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3F72" w14:paraId="64AE1CD5" w14:textId="77777777" w:rsidTr="0010095E">
        <w:trPr>
          <w:trHeight w:hRule="exact" w:val="1418"/>
        </w:trPr>
        <w:tc>
          <w:tcPr>
            <w:tcW w:w="6804" w:type="dxa"/>
            <w:shd w:val="clear" w:color="auto" w:fill="auto"/>
            <w:vAlign w:val="center"/>
          </w:tcPr>
          <w:p w14:paraId="158BCD4D" w14:textId="77777777" w:rsidR="00751A4A" w:rsidRPr="00C33F72" w:rsidRDefault="00874882" w:rsidP="0010095E">
            <w:pPr>
              <w:pStyle w:val="EPName"/>
            </w:pPr>
            <w:r w:rsidRPr="00C33F72">
              <w:t>Европейски</w:t>
            </w:r>
            <w:r w:rsidR="009F26B1" w:rsidRPr="00C33F72">
              <w:t xml:space="preserve"> парламент</w:t>
            </w:r>
          </w:p>
          <w:p w14:paraId="2F4FC92F" w14:textId="77777777" w:rsidR="00751A4A" w:rsidRPr="00C33F72" w:rsidRDefault="005F1B17" w:rsidP="005F1B17">
            <w:pPr>
              <w:pStyle w:val="EPTerm"/>
              <w:rPr>
                <w:rStyle w:val="HideTWBExt"/>
                <w:noProof w:val="0"/>
                <w:vanish w:val="0"/>
                <w:color w:val="auto"/>
              </w:rPr>
            </w:pPr>
            <w:r w:rsidRPr="00C33F72">
              <w:t>2024</w:t>
            </w:r>
            <w:r w:rsidR="00874882" w:rsidRPr="00C33F72">
              <w:t> – </w:t>
            </w:r>
            <w:r w:rsidR="00817416" w:rsidRPr="00C33F72">
              <w:t>202</w:t>
            </w:r>
            <w:r w:rsidRPr="00C33F72">
              <w:t>9</w:t>
            </w:r>
          </w:p>
        </w:tc>
        <w:tc>
          <w:tcPr>
            <w:tcW w:w="2268" w:type="dxa"/>
            <w:shd w:val="clear" w:color="auto" w:fill="auto"/>
          </w:tcPr>
          <w:p w14:paraId="22E5CB1F" w14:textId="77777777" w:rsidR="00751A4A" w:rsidRPr="00C33F72" w:rsidRDefault="00187494" w:rsidP="0010095E">
            <w:pPr>
              <w:pStyle w:val="EPLogo"/>
            </w:pPr>
            <w:r w:rsidRPr="00C33F72">
              <w:rPr>
                <w:noProof/>
                <w:lang w:val="en-GB"/>
              </w:rPr>
              <w:drawing>
                <wp:inline distT="0" distB="0" distL="0" distR="0" wp14:anchorId="00F4F761" wp14:editId="50C2E8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94F68B" w14:textId="77777777" w:rsidR="00D058B8" w:rsidRPr="00C33F72" w:rsidRDefault="00D058B8" w:rsidP="004C5D52">
      <w:pPr>
        <w:pStyle w:val="LineTop"/>
      </w:pPr>
    </w:p>
    <w:p w14:paraId="1BC2D9D6" w14:textId="77777777" w:rsidR="00680577" w:rsidRPr="00C33F72" w:rsidRDefault="009F26B1" w:rsidP="00680577">
      <w:pPr>
        <w:pStyle w:val="EPBodyTA1"/>
      </w:pPr>
      <w:r w:rsidRPr="00C33F72">
        <w:t>ПРИЕТИ ТЕКСТОВЕ</w:t>
      </w:r>
    </w:p>
    <w:p w14:paraId="1D2BA815" w14:textId="77777777" w:rsidR="00D058B8" w:rsidRPr="00C33F72" w:rsidRDefault="00D058B8" w:rsidP="00D058B8">
      <w:pPr>
        <w:pStyle w:val="LineBottom"/>
      </w:pPr>
    </w:p>
    <w:p w14:paraId="2EDBF017" w14:textId="77777777" w:rsidR="009F26B1" w:rsidRPr="00C33F72" w:rsidRDefault="009F26B1" w:rsidP="009F26B1">
      <w:pPr>
        <w:pStyle w:val="ATHeading1"/>
      </w:pPr>
      <w:bookmarkStart w:id="0" w:name="TANumber"/>
      <w:r w:rsidRPr="00C33F72">
        <w:t>P10_TA(2025)00</w:t>
      </w:r>
      <w:r w:rsidR="00B020DB">
        <w:t>89</w:t>
      </w:r>
      <w:bookmarkEnd w:id="0"/>
    </w:p>
    <w:p w14:paraId="4696809D" w14:textId="77777777" w:rsidR="009F26B1" w:rsidRPr="00C33F72" w:rsidRDefault="009F26B1" w:rsidP="009F26B1">
      <w:pPr>
        <w:pStyle w:val="ATHeading2"/>
      </w:pPr>
      <w:bookmarkStart w:id="1" w:name="title"/>
      <w:r w:rsidRPr="00C33F72">
        <w:t>Освобождаване от отговорност във връзка с изпълнението на бюджета за 2023 г.: Съвместни предприятия</w:t>
      </w:r>
      <w:bookmarkEnd w:id="1"/>
    </w:p>
    <w:p w14:paraId="16D0F435" w14:textId="77777777" w:rsidR="009F26B1" w:rsidRPr="00C33F72" w:rsidRDefault="009F26B1" w:rsidP="009F26B1">
      <w:pPr>
        <w:rPr>
          <w:i/>
          <w:vanish/>
        </w:rPr>
      </w:pPr>
      <w:r w:rsidRPr="00C33F72">
        <w:rPr>
          <w:i/>
        </w:rPr>
        <w:fldChar w:fldCharType="begin"/>
      </w:r>
      <w:r w:rsidRPr="00C33F72">
        <w:rPr>
          <w:i/>
        </w:rPr>
        <w:instrText xml:space="preserve"> TC"(</w:instrText>
      </w:r>
      <w:bookmarkStart w:id="2" w:name="DocNumber"/>
      <w:r w:rsidRPr="00C33F72">
        <w:rPr>
          <w:i/>
        </w:rPr>
        <w:instrText>A10-0056/2025</w:instrText>
      </w:r>
      <w:bookmarkEnd w:id="2"/>
      <w:r w:rsidRPr="00C33F72">
        <w:rPr>
          <w:i/>
        </w:rPr>
        <w:instrText xml:space="preserve"> - Докладчик: Михал </w:instrText>
      </w:r>
      <w:proofErr w:type="spellStart"/>
      <w:r w:rsidRPr="00C33F72">
        <w:rPr>
          <w:i/>
        </w:rPr>
        <w:instrText>Виезик</w:instrText>
      </w:r>
      <w:proofErr w:type="spellEnd"/>
      <w:r w:rsidRPr="00C33F72">
        <w:rPr>
          <w:i/>
        </w:rPr>
        <w:instrText xml:space="preserve">)"\l3 \n&gt; \* MERGEFORMAT </w:instrText>
      </w:r>
      <w:r w:rsidRPr="00C33F72">
        <w:rPr>
          <w:i/>
        </w:rPr>
        <w:fldChar w:fldCharType="end"/>
      </w:r>
    </w:p>
    <w:p w14:paraId="693561AE" w14:textId="77777777" w:rsidR="009F26B1" w:rsidRPr="00C33F72" w:rsidRDefault="009F26B1" w:rsidP="009F26B1">
      <w:pPr>
        <w:rPr>
          <w:vanish/>
        </w:rPr>
      </w:pPr>
      <w:bookmarkStart w:id="3" w:name="Commission"/>
      <w:r w:rsidRPr="00C33F72">
        <w:rPr>
          <w:vanish/>
        </w:rPr>
        <w:t>Комисия по бюджетен контрол</w:t>
      </w:r>
      <w:bookmarkEnd w:id="3"/>
    </w:p>
    <w:p w14:paraId="3FF1348A" w14:textId="77777777" w:rsidR="009F26B1" w:rsidRPr="00C33F72" w:rsidRDefault="009F26B1" w:rsidP="009F26B1">
      <w:pPr>
        <w:rPr>
          <w:vanish/>
        </w:rPr>
      </w:pPr>
      <w:bookmarkStart w:id="4" w:name="PE"/>
      <w:r w:rsidRPr="00C33F72">
        <w:rPr>
          <w:vanish/>
        </w:rPr>
        <w:t>PE765.276</w:t>
      </w:r>
      <w:bookmarkEnd w:id="4"/>
    </w:p>
    <w:p w14:paraId="2379744A" w14:textId="77777777" w:rsidR="009F26B1" w:rsidRPr="00C33F72" w:rsidRDefault="00CB6981" w:rsidP="00874882">
      <w:pPr>
        <w:pStyle w:val="ATHeading3"/>
      </w:pPr>
      <w:bookmarkStart w:id="5" w:name="Sujet"/>
      <w:r w:rsidRPr="00C33F72">
        <w:t xml:space="preserve">1. </w:t>
      </w:r>
      <w:r w:rsidR="009F26B1" w:rsidRPr="00C33F72">
        <w:t xml:space="preserve">Решение на Европейския парламент от </w:t>
      </w:r>
      <w:r w:rsidR="00874882" w:rsidRPr="00C33F72">
        <w:t>7 май</w:t>
      </w:r>
      <w:r w:rsidR="009F26B1" w:rsidRPr="00C33F72">
        <w:t xml:space="preserve"> 2025 г. относно освобождаването от отговорност във връзка с изпълнението на бюджета на </w:t>
      </w:r>
      <w:r w:rsidR="00874882" w:rsidRPr="00C33F72">
        <w:t>съвместното предприятие „Чисто въздухоплаване“</w:t>
      </w:r>
      <w:r w:rsidR="00115FFB">
        <w:t xml:space="preserve"> </w:t>
      </w:r>
      <w:r w:rsidR="009F26B1" w:rsidRPr="00C33F72">
        <w:t>за финансовата 2023 година</w:t>
      </w:r>
      <w:bookmarkEnd w:id="5"/>
      <w:r w:rsidR="009F26B1" w:rsidRPr="00C33F72">
        <w:t xml:space="preserve"> </w:t>
      </w:r>
      <w:bookmarkStart w:id="6" w:name="References"/>
      <w:r w:rsidR="009F26B1" w:rsidRPr="00C33F72">
        <w:t>(2024/2031(DEC))</w:t>
      </w:r>
      <w:bookmarkEnd w:id="6"/>
    </w:p>
    <w:p w14:paraId="056F12C7" w14:textId="77777777" w:rsidR="0015435E" w:rsidRPr="00C33F72" w:rsidRDefault="0015435E" w:rsidP="0015435E">
      <w:pPr>
        <w:pStyle w:val="EPComma"/>
      </w:pPr>
      <w:bookmarkStart w:id="7" w:name="TextBodyBegin"/>
      <w:bookmarkEnd w:id="7"/>
      <w:r w:rsidRPr="00C33F72">
        <w:rPr>
          <w:i/>
          <w:iCs/>
        </w:rPr>
        <w:t>Европейският парламент</w:t>
      </w:r>
      <w:r w:rsidRPr="00C33F72">
        <w:t>,</w:t>
      </w:r>
    </w:p>
    <w:p w14:paraId="1130123F"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„Чисто въздухоплаване“ за финансовата 2023 година,</w:t>
      </w:r>
    </w:p>
    <w:p w14:paraId="7C38A5F8"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
      </w:r>
      <w:r w:rsidRPr="00C33F72">
        <w:t>,</w:t>
      </w:r>
    </w:p>
    <w:p w14:paraId="244405F2"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2"/>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0A4C94A"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CCAF473"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0110AE15" w14:textId="77777777" w:rsidR="0015435E" w:rsidRPr="00C33F72" w:rsidRDefault="0015435E" w:rsidP="0015435E">
      <w:pPr>
        <w:pStyle w:val="NormalHanging12a"/>
      </w:pPr>
      <w:r w:rsidRPr="00C33F72">
        <w:t>–</w:t>
      </w:r>
      <w:r w:rsidRPr="00C33F72">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C33F72">
        <w:lastRenderedPageBreak/>
        <w:t>отмяна на Регламент (ЕС, Евратом) № 966/2012</w:t>
      </w:r>
      <w:r w:rsidRPr="00C33F72">
        <w:rPr>
          <w:rStyle w:val="FootnoteReference"/>
        </w:rPr>
        <w:footnoteReference w:id="3"/>
      </w:r>
      <w:r w:rsidRPr="00C33F72">
        <w:t>, и по-специално член 71 от него,</w:t>
      </w:r>
    </w:p>
    <w:p w14:paraId="77F307FC"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4"/>
      </w:r>
      <w:r w:rsidRPr="00C33F72">
        <w:t xml:space="preserve">, и по-специално член 71 от него, </w:t>
      </w:r>
    </w:p>
    <w:p w14:paraId="41863CC5"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5"/>
      </w:r>
      <w:r w:rsidRPr="00C33F72">
        <w:t>, и по-специално член 26 от него,</w:t>
      </w:r>
    </w:p>
    <w:p w14:paraId="55D61813" w14:textId="77777777" w:rsidR="0015435E" w:rsidRPr="00C33F72" w:rsidRDefault="0015435E" w:rsidP="0015435E">
      <w:pPr>
        <w:pStyle w:val="NormalHanging12a"/>
      </w:pPr>
      <w:r w:rsidRPr="00C33F72">
        <w:t>–</w:t>
      </w:r>
      <w:r w:rsidRPr="00C33F72">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C33F72">
        <w:rPr>
          <w:rStyle w:val="FootnoteReference"/>
        </w:rPr>
        <w:footnoteReference w:id="6"/>
      </w:r>
      <w:r w:rsidRPr="00C33F72">
        <w:t>,</w:t>
      </w:r>
    </w:p>
    <w:p w14:paraId="116667D3"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20A9B1BE"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29148052"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128B8968"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„Чисто въздухоплаване“ във връзка с изпълнението на бюджета на съвместното предприятие за финансовата 2023 година;</w:t>
      </w:r>
    </w:p>
    <w:p w14:paraId="0E23166D"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73201D8D"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„Чисто въздухоплаване“,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321A8EC7" w14:textId="77777777" w:rsidR="0015435E" w:rsidRPr="00C33F72" w:rsidRDefault="0015435E" w:rsidP="0015435E"/>
    <w:p w14:paraId="3FE43924" w14:textId="77777777" w:rsidR="0015435E" w:rsidRPr="00C33F72" w:rsidRDefault="0015435E" w:rsidP="0015435E">
      <w:pPr>
        <w:pStyle w:val="PageHeading"/>
        <w:sectPr w:rsidR="0015435E" w:rsidRPr="00C33F72" w:rsidSect="00A738B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70F38B" w14:textId="77777777" w:rsidR="0015435E" w:rsidRPr="00C33F72" w:rsidRDefault="0015435E" w:rsidP="00CB6981">
      <w:pPr>
        <w:pStyle w:val="ATHeading3"/>
      </w:pPr>
      <w:r w:rsidRPr="00C33F72">
        <w:lastRenderedPageBreak/>
        <w:t>2.</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„Чисто въздухоплаване“ за финансовата 2023 година</w:t>
      </w:r>
      <w:r w:rsidR="00CB6981" w:rsidRPr="00C33F72">
        <w:t xml:space="preserve"> </w:t>
      </w:r>
      <w:r w:rsidRPr="00C33F72">
        <w:t>(2024/2031(DEC))</w:t>
      </w:r>
    </w:p>
    <w:p w14:paraId="553BF0B0" w14:textId="77777777" w:rsidR="0015435E" w:rsidRPr="00C33F72" w:rsidRDefault="0015435E" w:rsidP="0015435E">
      <w:pPr>
        <w:pStyle w:val="EPComma"/>
      </w:pPr>
      <w:r w:rsidRPr="00C33F72">
        <w:rPr>
          <w:i/>
          <w:iCs/>
        </w:rPr>
        <w:t>Европейският парламент</w:t>
      </w:r>
      <w:r w:rsidRPr="00C33F72">
        <w:t>,</w:t>
      </w:r>
    </w:p>
    <w:p w14:paraId="778D7DEE"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„Чисто въздухоплаване“ за финансовата 2023 година,</w:t>
      </w:r>
    </w:p>
    <w:p w14:paraId="0A25062E"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7"/>
      </w:r>
      <w:r w:rsidRPr="00C33F72">
        <w:t>,</w:t>
      </w:r>
    </w:p>
    <w:p w14:paraId="496AC9C8"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8"/>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0CBEAE7"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9FF7350"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67F7A445"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9"/>
      </w:r>
      <w:r w:rsidRPr="00C33F72">
        <w:t>, и по-специално член 71 от него,</w:t>
      </w:r>
    </w:p>
    <w:p w14:paraId="2265CD99"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0"/>
      </w:r>
      <w:r w:rsidRPr="00C33F72">
        <w:t xml:space="preserve">, и по-специално член 71 от него, </w:t>
      </w:r>
    </w:p>
    <w:p w14:paraId="368D3AF4"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1"/>
      </w:r>
      <w:r w:rsidRPr="00C33F72">
        <w:t>, и по-специално член 26 от него,</w:t>
      </w:r>
    </w:p>
    <w:p w14:paraId="631B6A58"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2"/>
      </w:r>
      <w:r w:rsidRPr="00C33F72">
        <w:t>,</w:t>
      </w:r>
    </w:p>
    <w:p w14:paraId="2DCBABA7"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7984FEE8"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7E33F0EE"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29AED4F8"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„Чисто въздухоплаване“ за финансовата 2023 година,</w:t>
      </w:r>
    </w:p>
    <w:p w14:paraId="332D0756"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съответно на изпълнителния директор на съвместното предприятие „Чисто въздухоплаване“,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617F2E87" w14:textId="77777777" w:rsidR="0015435E" w:rsidRPr="00C33F72" w:rsidRDefault="0015435E" w:rsidP="0015435E">
      <w:pPr>
        <w:pStyle w:val="PageHeadingDec"/>
        <w:jc w:val="left"/>
      </w:pPr>
    </w:p>
    <w:p w14:paraId="6728EB66" w14:textId="77777777" w:rsidR="0015435E" w:rsidRPr="00C33F72" w:rsidRDefault="0015435E" w:rsidP="0015435E">
      <w:pPr>
        <w:pStyle w:val="PageHeadingNotTOC"/>
        <w:sectPr w:rsidR="0015435E" w:rsidRPr="00C33F72" w:rsidSect="00A738B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DB99A6" w14:textId="77777777" w:rsidR="0015435E" w:rsidRPr="00C33F72" w:rsidRDefault="0015435E" w:rsidP="00CB6981">
      <w:pPr>
        <w:pStyle w:val="ATHeading3"/>
      </w:pPr>
      <w:r w:rsidRPr="00C33F72">
        <w:lastRenderedPageBreak/>
        <w:t>3.</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„Кръгова биотехнологична Европа“ за финансовата 2023 година</w:t>
      </w:r>
      <w:r w:rsidR="00CB6981" w:rsidRPr="00C33F72">
        <w:t xml:space="preserve"> </w:t>
      </w:r>
      <w:r w:rsidRPr="00C33F72">
        <w:t>(2024/2031(DEC))</w:t>
      </w:r>
    </w:p>
    <w:p w14:paraId="2EA236DE" w14:textId="77777777" w:rsidR="0015435E" w:rsidRPr="00C33F72" w:rsidRDefault="0015435E" w:rsidP="0015435E">
      <w:pPr>
        <w:pStyle w:val="EPComma"/>
      </w:pPr>
      <w:r w:rsidRPr="00C33F72">
        <w:rPr>
          <w:i/>
          <w:iCs/>
        </w:rPr>
        <w:t>Европейският парламент</w:t>
      </w:r>
      <w:r w:rsidRPr="00C33F72">
        <w:t>,</w:t>
      </w:r>
    </w:p>
    <w:p w14:paraId="201FBA04"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„Кръгова биотехнологична Европа“ за финансовата 2023 година,</w:t>
      </w:r>
    </w:p>
    <w:p w14:paraId="7C2FFD59"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3"/>
      </w:r>
      <w:r w:rsidRPr="00C33F72">
        <w:t>,</w:t>
      </w:r>
    </w:p>
    <w:p w14:paraId="58172DA0"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4"/>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C3E3B5B"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A77B892"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6DF0A0D0"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5"/>
      </w:r>
      <w:r w:rsidRPr="00C33F72">
        <w:t>, и по-специално член 71 от него,</w:t>
      </w:r>
    </w:p>
    <w:p w14:paraId="43563B5B"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6"/>
      </w:r>
      <w:r w:rsidRPr="00C33F72">
        <w:t xml:space="preserve">, и по-специално член 71 от него, </w:t>
      </w:r>
    </w:p>
    <w:p w14:paraId="5E2FEC32"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7"/>
      </w:r>
      <w:r w:rsidRPr="00C33F72">
        <w:t>, и по-специално член 26 от него,</w:t>
      </w:r>
    </w:p>
    <w:p w14:paraId="6F8527B5"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8"/>
      </w:r>
      <w:r w:rsidRPr="00C33F72">
        <w:t>,</w:t>
      </w:r>
    </w:p>
    <w:p w14:paraId="62513A05"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612BC7FA"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67A3ACD1"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0D29B674"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„Кръгова биотехнологична Европа“ във връзка с изпълнението на бюджета на съвместното предприятие за финансовата 2023 година;</w:t>
      </w:r>
    </w:p>
    <w:p w14:paraId="14494288"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598A0C55"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„Кръгова биотехнологична Европа“,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20080A2C" w14:textId="77777777" w:rsidR="0015435E" w:rsidRPr="00C33F72" w:rsidRDefault="0015435E" w:rsidP="0015435E"/>
    <w:p w14:paraId="6F7B0609"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A36F1E" w14:textId="77777777" w:rsidR="0015435E" w:rsidRPr="00C33F72" w:rsidRDefault="0015435E" w:rsidP="00CB6981">
      <w:pPr>
        <w:pStyle w:val="ATHeading3"/>
      </w:pPr>
      <w:r w:rsidRPr="00C33F72">
        <w:lastRenderedPageBreak/>
        <w:t>4.</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„Кръгова биотехнологична Европа“ за финансовата 2023 година</w:t>
      </w:r>
      <w:r w:rsidR="00CB6981" w:rsidRPr="00C33F72">
        <w:t xml:space="preserve"> </w:t>
      </w:r>
      <w:r w:rsidRPr="00C33F72">
        <w:t>(2024/2031(DEC))</w:t>
      </w:r>
    </w:p>
    <w:p w14:paraId="61EAC8CF" w14:textId="77777777" w:rsidR="0015435E" w:rsidRPr="00C33F72" w:rsidRDefault="0015435E" w:rsidP="0015435E">
      <w:pPr>
        <w:pStyle w:val="EPComma"/>
      </w:pPr>
      <w:r w:rsidRPr="00C33F72">
        <w:rPr>
          <w:i/>
          <w:iCs/>
        </w:rPr>
        <w:t>Европейският парламент</w:t>
      </w:r>
      <w:r w:rsidRPr="00C33F72">
        <w:t>,</w:t>
      </w:r>
    </w:p>
    <w:p w14:paraId="07269128"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„Кръгова биотехнологична Европа“ за финансовата 2023 година,</w:t>
      </w:r>
    </w:p>
    <w:p w14:paraId="6D9B6AD8"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9"/>
      </w:r>
      <w:r w:rsidRPr="00C33F72">
        <w:t>,</w:t>
      </w:r>
    </w:p>
    <w:p w14:paraId="7E5ECCF6"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20"/>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5E9FA2C"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C2F26C0"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47EE7981"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21"/>
      </w:r>
      <w:r w:rsidRPr="00C33F72">
        <w:t>, и по-специално член 71 от него,</w:t>
      </w:r>
    </w:p>
    <w:p w14:paraId="22B816F7"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22"/>
      </w:r>
      <w:r w:rsidRPr="00C33F72">
        <w:t xml:space="preserve">, и по-специално член 71 от него, </w:t>
      </w:r>
    </w:p>
    <w:p w14:paraId="0B55D80D"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23"/>
      </w:r>
      <w:r w:rsidRPr="00C33F72">
        <w:t>, и по-специално член 26 от него,</w:t>
      </w:r>
    </w:p>
    <w:p w14:paraId="774E27C9"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24"/>
      </w:r>
      <w:r w:rsidRPr="00C33F72">
        <w:t>,</w:t>
      </w:r>
    </w:p>
    <w:p w14:paraId="0C594BA6"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58B7DC12"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2082844B"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4A19FE59"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„Кръгова биотехнологична Европа“ за финансовата 2023 година,</w:t>
      </w:r>
    </w:p>
    <w:p w14:paraId="623F72A6"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съответно на изпълнителния директор на съвместното предприятие „Кръгова биотехнологична Европа“,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371E2DBC" w14:textId="77777777" w:rsidR="00CB6981" w:rsidRPr="00C33F72" w:rsidRDefault="00CB6981" w:rsidP="0015435E">
      <w:pPr>
        <w:pStyle w:val="PageHeadingDec"/>
        <w:jc w:val="left"/>
      </w:pPr>
    </w:p>
    <w:p w14:paraId="1BCD6090" w14:textId="77777777" w:rsidR="0015435E" w:rsidRPr="00C33F72" w:rsidRDefault="0015435E" w:rsidP="0015435E">
      <w:pPr>
        <w:pStyle w:val="PageHeadingDec"/>
        <w:jc w:val="left"/>
        <w:sectPr w:rsidR="0015435E" w:rsidRPr="00C33F72" w:rsidSect="00A738B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FE30EE" w14:textId="77777777" w:rsidR="0015435E" w:rsidRPr="00C33F72" w:rsidRDefault="0015435E" w:rsidP="00CB6981">
      <w:pPr>
        <w:pStyle w:val="ATHeading3"/>
      </w:pPr>
      <w:r w:rsidRPr="00C33F72">
        <w:lastRenderedPageBreak/>
        <w:t>5.</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„Чист водород“ за финансовата 2023 година</w:t>
      </w:r>
      <w:r w:rsidR="00CB6981" w:rsidRPr="00C33F72">
        <w:t xml:space="preserve"> </w:t>
      </w:r>
      <w:r w:rsidRPr="00C33F72">
        <w:t>(2024/2031(DEC))</w:t>
      </w:r>
    </w:p>
    <w:p w14:paraId="22A7F247" w14:textId="77777777" w:rsidR="0015435E" w:rsidRPr="00C33F72" w:rsidRDefault="0015435E" w:rsidP="0015435E">
      <w:pPr>
        <w:pStyle w:val="EPComma"/>
      </w:pPr>
      <w:r w:rsidRPr="00C33F72">
        <w:rPr>
          <w:i/>
          <w:iCs/>
        </w:rPr>
        <w:t>Европейският парламент</w:t>
      </w:r>
      <w:r w:rsidRPr="00C33F72">
        <w:t>,</w:t>
      </w:r>
    </w:p>
    <w:p w14:paraId="20066323"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„Чист водород“ за финансовата 2023 година,</w:t>
      </w:r>
    </w:p>
    <w:p w14:paraId="30160B49"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25"/>
      </w:r>
      <w:r w:rsidRPr="00C33F72">
        <w:t>,</w:t>
      </w:r>
    </w:p>
    <w:p w14:paraId="58BBB3A1"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26"/>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3E70599"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0CE9DD1"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51892F98"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27"/>
      </w:r>
      <w:r w:rsidRPr="00C33F72">
        <w:t>, и по-специално член 71 от него,</w:t>
      </w:r>
    </w:p>
    <w:p w14:paraId="16F3BDCD"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28"/>
      </w:r>
      <w:r w:rsidRPr="00C33F72">
        <w:t xml:space="preserve">, и по-специално член 71 от него, </w:t>
      </w:r>
    </w:p>
    <w:p w14:paraId="1FC52450"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29"/>
      </w:r>
      <w:r w:rsidRPr="00C33F72">
        <w:t>, и по-специално член 26 от него,</w:t>
      </w:r>
    </w:p>
    <w:p w14:paraId="690EC56F"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30"/>
      </w:r>
      <w:r w:rsidRPr="00C33F72">
        <w:t>,</w:t>
      </w:r>
    </w:p>
    <w:p w14:paraId="76B93240"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39C9B5EA"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0A54A4CF"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6C4341A8"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„Чист водород“ във връзка с изпълнението на бюджета на съвместното предприятие за финансовата 2023 година;</w:t>
      </w:r>
    </w:p>
    <w:p w14:paraId="6B3ACD87"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49EBABDA"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„Чист водород“, на Съвета, на Комисията и на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712CB51E" w14:textId="77777777" w:rsidR="0015435E" w:rsidRPr="00C33F72" w:rsidRDefault="0015435E" w:rsidP="0015435E"/>
    <w:p w14:paraId="5B2D2174"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694C29" w14:textId="77777777" w:rsidR="0015435E" w:rsidRPr="00C33F72" w:rsidRDefault="0015435E" w:rsidP="00CB6981">
      <w:pPr>
        <w:pStyle w:val="ATHeading3"/>
      </w:pPr>
      <w:r w:rsidRPr="00C33F72">
        <w:lastRenderedPageBreak/>
        <w:t>6.</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„Чист водород“ за финансовата 2023 година</w:t>
      </w:r>
      <w:r w:rsidR="00CB6981" w:rsidRPr="00C33F72">
        <w:t xml:space="preserve"> </w:t>
      </w:r>
      <w:r w:rsidRPr="00C33F72">
        <w:t>(2024/2031(DEC))</w:t>
      </w:r>
    </w:p>
    <w:p w14:paraId="7B9BA5BF" w14:textId="77777777" w:rsidR="0015435E" w:rsidRPr="00C33F72" w:rsidRDefault="0015435E" w:rsidP="0015435E">
      <w:pPr>
        <w:pStyle w:val="EPComma"/>
      </w:pPr>
      <w:r w:rsidRPr="00C33F72">
        <w:rPr>
          <w:i/>
          <w:iCs/>
        </w:rPr>
        <w:t>Европейският парламент</w:t>
      </w:r>
      <w:r w:rsidRPr="00C33F72">
        <w:t>,</w:t>
      </w:r>
    </w:p>
    <w:p w14:paraId="1D327D1C"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„Чист водород“ за финансовата 2023 година,</w:t>
      </w:r>
    </w:p>
    <w:p w14:paraId="34F6643A"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31"/>
      </w:r>
      <w:r w:rsidRPr="00C33F72">
        <w:t>,</w:t>
      </w:r>
    </w:p>
    <w:p w14:paraId="6B6FE2BA"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32"/>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E59FBB9"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1D1AAF51"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23C4785D"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33"/>
      </w:r>
      <w:r w:rsidRPr="00C33F72">
        <w:t>, и по-специално член 71 от него,</w:t>
      </w:r>
    </w:p>
    <w:p w14:paraId="434A5BA1"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34"/>
      </w:r>
      <w:r w:rsidRPr="00C33F72">
        <w:t xml:space="preserve">, и по-специално член 71 от него, </w:t>
      </w:r>
    </w:p>
    <w:p w14:paraId="16AA1325"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35"/>
      </w:r>
      <w:r w:rsidRPr="00C33F72">
        <w:t>, и по-специално член 26 от него,</w:t>
      </w:r>
    </w:p>
    <w:p w14:paraId="15AD3C40"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36"/>
      </w:r>
      <w:r w:rsidRPr="00C33F72">
        <w:t>,</w:t>
      </w:r>
    </w:p>
    <w:p w14:paraId="31ED1381"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6F1214CD"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23B4ED9E"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6F0C84A9"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„Чист водород“ за финансовата 2023 година,</w:t>
      </w:r>
    </w:p>
    <w:p w14:paraId="4E4A456C"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„Чист водород“, на Съвета, на Комисията и на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12562E28" w14:textId="77777777" w:rsidR="0015435E" w:rsidRPr="00C33F72" w:rsidRDefault="0015435E" w:rsidP="0015435E">
      <w:pPr>
        <w:pStyle w:val="PageHeadingDec"/>
        <w:jc w:val="left"/>
      </w:pPr>
    </w:p>
    <w:p w14:paraId="0F3579EB" w14:textId="77777777" w:rsidR="0015435E" w:rsidRPr="00C33F72" w:rsidRDefault="0015435E" w:rsidP="0015435E">
      <w:pPr>
        <w:pStyle w:val="PageHeadingNotTOC"/>
        <w:sectPr w:rsidR="0015435E" w:rsidRPr="00C33F72" w:rsidSect="00A738B3">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92E77E" w14:textId="77777777" w:rsidR="0015435E" w:rsidRPr="00C33F72" w:rsidRDefault="0015435E" w:rsidP="00CB6981">
      <w:pPr>
        <w:pStyle w:val="ATHeading3"/>
      </w:pPr>
      <w:r w:rsidRPr="00C33F72">
        <w:lastRenderedPageBreak/>
        <w:t>7.</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„Европейски железопътен транспорт“ за финансовата 2023 година</w:t>
      </w:r>
      <w:r w:rsidR="00CB6981" w:rsidRPr="00C33F72">
        <w:t xml:space="preserve"> </w:t>
      </w:r>
      <w:r w:rsidRPr="00C33F72">
        <w:t>(2024/2031(DEC))</w:t>
      </w:r>
    </w:p>
    <w:p w14:paraId="4BC78C50" w14:textId="77777777" w:rsidR="0015435E" w:rsidRPr="00C33F72" w:rsidRDefault="0015435E" w:rsidP="0015435E">
      <w:pPr>
        <w:pStyle w:val="EPComma"/>
      </w:pPr>
      <w:r w:rsidRPr="00C33F72">
        <w:rPr>
          <w:i/>
          <w:iCs/>
        </w:rPr>
        <w:t>Европейският парламент</w:t>
      </w:r>
      <w:r w:rsidRPr="00C33F72">
        <w:t>,</w:t>
      </w:r>
    </w:p>
    <w:p w14:paraId="415EB41A"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„Европейски железопътен транспорт“ за финансовата 2023 година,</w:t>
      </w:r>
    </w:p>
    <w:p w14:paraId="69301785"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37"/>
      </w:r>
      <w:r w:rsidRPr="00C33F72">
        <w:t>,</w:t>
      </w:r>
    </w:p>
    <w:p w14:paraId="75032D7E"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38"/>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5F5355C"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7B0CC430"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33CF675D"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39"/>
      </w:r>
      <w:r w:rsidRPr="00C33F72">
        <w:t>, и по-специално член 71 от него,</w:t>
      </w:r>
    </w:p>
    <w:p w14:paraId="36BD336D"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40"/>
      </w:r>
      <w:r w:rsidRPr="00C33F72">
        <w:t xml:space="preserve">, и по-специално член 71 от него, </w:t>
      </w:r>
    </w:p>
    <w:p w14:paraId="136AB1DE"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41"/>
      </w:r>
      <w:r w:rsidRPr="00C33F72">
        <w:t>, и по-специално член 26 от него,</w:t>
      </w:r>
    </w:p>
    <w:p w14:paraId="7F36603F"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42"/>
      </w:r>
      <w:r w:rsidRPr="00C33F72">
        <w:t>,</w:t>
      </w:r>
    </w:p>
    <w:p w14:paraId="64173F7B"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6AEB2F6B"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5B86FEA0"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64E3298C" w14:textId="77777777" w:rsidR="0015435E" w:rsidRPr="00C33F72" w:rsidRDefault="0015435E" w:rsidP="00874882">
      <w:pPr>
        <w:pStyle w:val="NormalHanging12a"/>
      </w:pPr>
      <w:r w:rsidRPr="00C33F72">
        <w:t>1.</w:t>
      </w:r>
      <w:r w:rsidRPr="00C33F72">
        <w:tab/>
        <w:t>освобождава от отговорност изпълнител</w:t>
      </w:r>
      <w:r w:rsidR="00874882" w:rsidRPr="00C33F72">
        <w:t>ния</w:t>
      </w:r>
      <w:r w:rsidRPr="00C33F72">
        <w:t xml:space="preserve"> директор на съвместното предприятие „Европейски железопътен транспорт“ във връзка с изпълнението на бюджета на съвместното предприятие за финансовата 2023 година;</w:t>
      </w:r>
    </w:p>
    <w:p w14:paraId="79BDCF80"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01CE5412" w14:textId="77777777" w:rsidR="0015435E" w:rsidRPr="00C33F72" w:rsidRDefault="0015435E" w:rsidP="00874882">
      <w:pPr>
        <w:pStyle w:val="NormalHanging12a"/>
      </w:pPr>
      <w:r w:rsidRPr="00C33F72">
        <w:t>3.</w:t>
      </w:r>
      <w:r w:rsidRPr="00C33F72">
        <w:tab/>
        <w:t>възлага на своя председател да предаде настоящото решение, както и резолюцията, която е неразделна част от него, на изпълнител</w:t>
      </w:r>
      <w:r w:rsidR="00874882" w:rsidRPr="00C33F72">
        <w:t>ния</w:t>
      </w:r>
      <w:r w:rsidRPr="00C33F72">
        <w:t xml:space="preserve"> директор на съвместното предприятие „Европейски железопътен транспорт“,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637BDFAC" w14:textId="77777777" w:rsidR="0015435E" w:rsidRPr="00C33F72" w:rsidRDefault="0015435E" w:rsidP="0015435E"/>
    <w:p w14:paraId="2240BEFA"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EB401C" w14:textId="77777777" w:rsidR="0015435E" w:rsidRPr="00C33F72" w:rsidRDefault="0015435E" w:rsidP="00CB6981">
      <w:pPr>
        <w:pStyle w:val="ATHeading3"/>
      </w:pPr>
      <w:r w:rsidRPr="00C33F72">
        <w:lastRenderedPageBreak/>
        <w:t>8.</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„Европейски железопътен транспорт“ за финансовата 2023 година</w:t>
      </w:r>
      <w:r w:rsidR="00CB6981" w:rsidRPr="00C33F72">
        <w:t xml:space="preserve"> </w:t>
      </w:r>
      <w:r w:rsidRPr="00C33F72">
        <w:t>(2024/2031(DEC))</w:t>
      </w:r>
    </w:p>
    <w:p w14:paraId="640729FE" w14:textId="77777777" w:rsidR="0015435E" w:rsidRPr="00C33F72" w:rsidRDefault="0015435E" w:rsidP="0015435E">
      <w:pPr>
        <w:pStyle w:val="EPComma"/>
      </w:pPr>
      <w:r w:rsidRPr="00C33F72">
        <w:rPr>
          <w:i/>
          <w:iCs/>
        </w:rPr>
        <w:t>Европейският парламент</w:t>
      </w:r>
      <w:r w:rsidRPr="00C33F72">
        <w:t>,</w:t>
      </w:r>
    </w:p>
    <w:p w14:paraId="01E2DB7B"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„Европейски железопътен транспорт“ за финансовата 2023 година,</w:t>
      </w:r>
    </w:p>
    <w:p w14:paraId="770AA7DD"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43"/>
      </w:r>
      <w:r w:rsidRPr="00C33F72">
        <w:t>,</w:t>
      </w:r>
    </w:p>
    <w:p w14:paraId="6ED6D39A"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44"/>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280B7B3"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5F143880"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25C8649D"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45"/>
      </w:r>
      <w:r w:rsidRPr="00C33F72">
        <w:t>, и по-специално член 71 от него,</w:t>
      </w:r>
    </w:p>
    <w:p w14:paraId="13C893E9"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46"/>
      </w:r>
      <w:r w:rsidRPr="00C33F72">
        <w:t xml:space="preserve">, и по-специално член 71 от него, </w:t>
      </w:r>
    </w:p>
    <w:p w14:paraId="10DEFFF4"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47"/>
      </w:r>
      <w:r w:rsidRPr="00C33F72">
        <w:t>, и по-специално член 26 от него,</w:t>
      </w:r>
    </w:p>
    <w:p w14:paraId="560DF0DB"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48"/>
      </w:r>
      <w:r w:rsidRPr="00C33F72">
        <w:t>,</w:t>
      </w:r>
    </w:p>
    <w:p w14:paraId="6FDDEAC1"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2F83EF37"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737CE99E"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1A1B4E08"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„Европейски железопътен транспорт“ за финансовата 2023 година;</w:t>
      </w:r>
    </w:p>
    <w:p w14:paraId="248D57A8" w14:textId="77777777" w:rsidR="0015435E" w:rsidRPr="00C33F72" w:rsidRDefault="0015435E" w:rsidP="00874882">
      <w:pPr>
        <w:pStyle w:val="NormalHanging12a"/>
      </w:pPr>
      <w:r w:rsidRPr="00C33F72">
        <w:t>2.</w:t>
      </w:r>
      <w:r w:rsidRPr="00C33F72">
        <w:tab/>
        <w:t>възлага на своя председател да предаде настоящото решение съответно на изпълнител</w:t>
      </w:r>
      <w:r w:rsidR="00874882" w:rsidRPr="00C33F72">
        <w:t>ния</w:t>
      </w:r>
      <w:r w:rsidRPr="00C33F72">
        <w:t xml:space="preserve"> директор на съвместното предприятие „Европейски железопътен транспорт“,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5D689E33" w14:textId="77777777" w:rsidR="0015435E" w:rsidRPr="00C33F72" w:rsidRDefault="0015435E" w:rsidP="0015435E">
      <w:pPr>
        <w:pStyle w:val="PageHeadingDec"/>
        <w:jc w:val="left"/>
      </w:pPr>
    </w:p>
    <w:p w14:paraId="1189E006" w14:textId="77777777" w:rsidR="0015435E" w:rsidRPr="00C33F72" w:rsidRDefault="0015435E" w:rsidP="0015435E">
      <w:pPr>
        <w:pStyle w:val="PageHeadingNotTOC"/>
        <w:sectPr w:rsidR="0015435E" w:rsidRPr="00C33F72" w:rsidSect="00A738B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640352" w14:textId="77777777" w:rsidR="0015435E" w:rsidRPr="00C33F72" w:rsidRDefault="0015435E" w:rsidP="00CB6981">
      <w:pPr>
        <w:pStyle w:val="ATHeading3"/>
      </w:pPr>
      <w:r w:rsidRPr="00C33F72">
        <w:lastRenderedPageBreak/>
        <w:t>9.</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за европейски високопроизводителни изчислителни технологии за финансовата 2023 година</w:t>
      </w:r>
      <w:r w:rsidR="00CB6981" w:rsidRPr="00C33F72">
        <w:t xml:space="preserve"> </w:t>
      </w:r>
      <w:r w:rsidRPr="00C33F72">
        <w:t>(2024/2031(DEC))</w:t>
      </w:r>
    </w:p>
    <w:p w14:paraId="24E04306" w14:textId="77777777" w:rsidR="0015435E" w:rsidRPr="00C33F72" w:rsidRDefault="0015435E" w:rsidP="0015435E">
      <w:pPr>
        <w:pStyle w:val="EPComma"/>
      </w:pPr>
      <w:r w:rsidRPr="00C33F72">
        <w:rPr>
          <w:i/>
          <w:iCs/>
        </w:rPr>
        <w:t>Европейският парламент</w:t>
      </w:r>
      <w:r w:rsidRPr="00C33F72">
        <w:t>,</w:t>
      </w:r>
    </w:p>
    <w:p w14:paraId="4A77F5C0"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за европейски високопроизводителни изчислителни технологии за финансовата 2023 година,</w:t>
      </w:r>
    </w:p>
    <w:p w14:paraId="771BA5E8"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49"/>
      </w:r>
      <w:r w:rsidRPr="00C33F72">
        <w:t>,</w:t>
      </w:r>
    </w:p>
    <w:p w14:paraId="7AB8A958"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50"/>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9457CBF"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19CF74E5"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46C42FEF"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51"/>
      </w:r>
      <w:r w:rsidRPr="00C33F72">
        <w:t>, и по-специално член 71 от него,</w:t>
      </w:r>
    </w:p>
    <w:p w14:paraId="6F6FCD3F"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52"/>
      </w:r>
      <w:r w:rsidRPr="00C33F72">
        <w:t xml:space="preserve">, и по-специално член 71 от него, </w:t>
      </w:r>
    </w:p>
    <w:p w14:paraId="2F21D988" w14:textId="77777777" w:rsidR="0015435E" w:rsidRPr="00C33F72" w:rsidRDefault="0015435E" w:rsidP="0015435E">
      <w:pPr>
        <w:pStyle w:val="NormalHanging12a"/>
      </w:pPr>
      <w:r w:rsidRPr="00C33F72">
        <w:t>–</w:t>
      </w:r>
      <w:r w:rsidRPr="00C33F72">
        <w:tab/>
        <w:t>като взе предвид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C33F72">
        <w:rPr>
          <w:rStyle w:val="FootnoteReference"/>
        </w:rPr>
        <w:footnoteReference w:id="53"/>
      </w:r>
      <w:r w:rsidRPr="00C33F72">
        <w:t>, и по-специално член 19 от него,</w:t>
      </w:r>
    </w:p>
    <w:p w14:paraId="40A302C2"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54"/>
      </w:r>
      <w:r w:rsidRPr="00C33F72">
        <w:t>,</w:t>
      </w:r>
    </w:p>
    <w:p w14:paraId="48ADA9D6"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49595D05"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04526056"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67467CB6"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за европейски високопроизводителни изчислителни технологии във връзка с изпълнението на бюджета на съвместното предприятие за финансовата 2023 година;</w:t>
      </w:r>
    </w:p>
    <w:p w14:paraId="162B382C"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1316B299"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за европейски високопроизводителни изчислителни технологии,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68CE5D6A" w14:textId="77777777" w:rsidR="0015435E" w:rsidRPr="00C33F72" w:rsidRDefault="0015435E" w:rsidP="0015435E"/>
    <w:p w14:paraId="4FE29070"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CBE5DD" w14:textId="77777777" w:rsidR="0015435E" w:rsidRPr="00C33F72" w:rsidRDefault="0015435E" w:rsidP="00CB6981">
      <w:pPr>
        <w:pStyle w:val="ATHeading3"/>
      </w:pPr>
      <w:r w:rsidRPr="00C33F72">
        <w:lastRenderedPageBreak/>
        <w:t>10.</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за европейски високопроизводителни изчислителни технологии за финансовата 2023 година</w:t>
      </w:r>
      <w:r w:rsidR="00CB6981" w:rsidRPr="00C33F72">
        <w:t xml:space="preserve"> </w:t>
      </w:r>
      <w:r w:rsidRPr="00C33F72">
        <w:t>(2024/2031(DEC))</w:t>
      </w:r>
    </w:p>
    <w:p w14:paraId="463E2C92" w14:textId="77777777" w:rsidR="0015435E" w:rsidRPr="00C33F72" w:rsidRDefault="0015435E" w:rsidP="0015435E">
      <w:pPr>
        <w:pStyle w:val="EPComma"/>
      </w:pPr>
      <w:r w:rsidRPr="00C33F72">
        <w:rPr>
          <w:i/>
          <w:iCs/>
        </w:rPr>
        <w:t>Европейският парламент</w:t>
      </w:r>
      <w:r w:rsidRPr="00C33F72">
        <w:t>,</w:t>
      </w:r>
    </w:p>
    <w:p w14:paraId="5A40BC59"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за европейски високопроизводителни изчислителни технологии за финансовата 2023 година,</w:t>
      </w:r>
    </w:p>
    <w:p w14:paraId="00867DF9"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55"/>
      </w:r>
      <w:r w:rsidRPr="00C33F72">
        <w:t>,</w:t>
      </w:r>
    </w:p>
    <w:p w14:paraId="429B728D"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56"/>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08674CC"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13B98CB"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06615FB1"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57"/>
      </w:r>
      <w:r w:rsidRPr="00C33F72">
        <w:t>, и по-специално член 71 от него,</w:t>
      </w:r>
    </w:p>
    <w:p w14:paraId="60A0C8C3"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58"/>
      </w:r>
      <w:r w:rsidRPr="00C33F72">
        <w:t xml:space="preserve">, и по-специално член 71 от него, </w:t>
      </w:r>
    </w:p>
    <w:p w14:paraId="1342DB47" w14:textId="77777777" w:rsidR="0015435E" w:rsidRPr="00C33F72" w:rsidRDefault="0015435E" w:rsidP="0015435E">
      <w:pPr>
        <w:pStyle w:val="NormalHanging12a"/>
      </w:pPr>
      <w:r w:rsidRPr="00C33F72">
        <w:t>–</w:t>
      </w:r>
      <w:r w:rsidRPr="00C33F72">
        <w:tab/>
        <w:t>като взе предвид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C33F72">
        <w:rPr>
          <w:rStyle w:val="FootnoteReference"/>
        </w:rPr>
        <w:footnoteReference w:id="59"/>
      </w:r>
      <w:r w:rsidRPr="00C33F72">
        <w:t>, и по-специално член 19 от него,</w:t>
      </w:r>
    </w:p>
    <w:p w14:paraId="06E2DEA1"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60"/>
      </w:r>
      <w:r w:rsidRPr="00C33F72">
        <w:t>,</w:t>
      </w:r>
    </w:p>
    <w:p w14:paraId="488383EE"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78691933"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72F8AE43"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4942408B"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за европейски високопроизводителни изчислителни технологии за финансовата 2023 година;</w:t>
      </w:r>
    </w:p>
    <w:p w14:paraId="0DB2E63F"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за европейски високопроизводителни изчислителни технологии,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2337B8E2" w14:textId="77777777" w:rsidR="0015435E" w:rsidRPr="00C33F72" w:rsidRDefault="0015435E" w:rsidP="0015435E">
      <w:pPr>
        <w:pStyle w:val="PageHeadingDec"/>
        <w:jc w:val="left"/>
      </w:pPr>
    </w:p>
    <w:p w14:paraId="2BBC8035" w14:textId="77777777" w:rsidR="0015435E" w:rsidRPr="00C33F72" w:rsidRDefault="0015435E" w:rsidP="0015435E">
      <w:pPr>
        <w:pStyle w:val="PageHeadingNotTOC"/>
        <w:sectPr w:rsidR="0015435E" w:rsidRPr="00C33F72" w:rsidSect="00A738B3">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8F3D61" w14:textId="77777777" w:rsidR="0015435E" w:rsidRPr="00C33F72" w:rsidRDefault="0015435E" w:rsidP="00CB6981">
      <w:pPr>
        <w:pStyle w:val="ATHeading3"/>
      </w:pPr>
      <w:r w:rsidRPr="00C33F72">
        <w:lastRenderedPageBreak/>
        <w:t>11.</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Европейското съвместно предприятие за „ITER“ и развитието на термоядрената енергия за финансовата 2023 година</w:t>
      </w:r>
      <w:r w:rsidR="00CB6981" w:rsidRPr="00C33F72">
        <w:t xml:space="preserve"> </w:t>
      </w:r>
      <w:r w:rsidRPr="00C33F72">
        <w:t>(2024/2031(DEC))</w:t>
      </w:r>
    </w:p>
    <w:p w14:paraId="0732A110" w14:textId="77777777" w:rsidR="00CB6981" w:rsidRPr="00C33F72" w:rsidRDefault="00CB6981" w:rsidP="00CB6981">
      <w:pPr>
        <w:pStyle w:val="EPComma"/>
      </w:pPr>
      <w:r w:rsidRPr="00C33F72">
        <w:rPr>
          <w:i/>
          <w:iCs/>
        </w:rPr>
        <w:t>Европейският парламент</w:t>
      </w:r>
      <w:r w:rsidRPr="00C33F72">
        <w:t>,</w:t>
      </w:r>
    </w:p>
    <w:p w14:paraId="3C5988CD" w14:textId="77777777" w:rsidR="0015435E" w:rsidRPr="00C33F72" w:rsidRDefault="0015435E" w:rsidP="0015435E">
      <w:pPr>
        <w:pStyle w:val="NormalHanging12a"/>
      </w:pPr>
      <w:r w:rsidRPr="00C33F72">
        <w:t>–</w:t>
      </w:r>
      <w:r w:rsidRPr="00C33F72">
        <w:tab/>
        <w:t>като взе предвид окончателните годишни отчети на Европейското съвместно предприятие за „ITER“ и развитието на термоядрената енергия за финансовата 2023 година,</w:t>
      </w:r>
    </w:p>
    <w:p w14:paraId="51E1FDD5"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61"/>
      </w:r>
      <w:r w:rsidRPr="00C33F72">
        <w:t>,</w:t>
      </w:r>
    </w:p>
    <w:p w14:paraId="65D3BAA7"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62"/>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6AC968D"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61858B2"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0F0F645B" w14:textId="77777777" w:rsidR="0015435E" w:rsidRPr="00C33F72" w:rsidRDefault="0015435E" w:rsidP="0015435E">
      <w:pPr>
        <w:pStyle w:val="NormalHanging12a"/>
      </w:pPr>
      <w:r w:rsidRPr="00C33F72">
        <w:t>–</w:t>
      </w:r>
      <w:r w:rsidRPr="00C33F72">
        <w:tab/>
        <w:t>като взе предвид член 106а от Договора за създаване на Европейската общност за атомна енергия,</w:t>
      </w:r>
    </w:p>
    <w:p w14:paraId="5C89B9AB"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63"/>
      </w:r>
      <w:r w:rsidRPr="00C33F72">
        <w:t>, и по-специално член 70 от него,</w:t>
      </w:r>
    </w:p>
    <w:p w14:paraId="2AA4C152" w14:textId="77777777" w:rsidR="0015435E" w:rsidRPr="00C33F72" w:rsidRDefault="0015435E" w:rsidP="0015435E">
      <w:pPr>
        <w:pStyle w:val="NormalHanging12a"/>
      </w:pPr>
      <w:r w:rsidRPr="00C33F72">
        <w:t>–</w:t>
      </w:r>
      <w:r w:rsidRPr="00C33F72">
        <w:tab/>
        <w:t>като взе предвид Регламент (ЕС, Евратом) №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64"/>
      </w:r>
      <w:r w:rsidRPr="00C33F72">
        <w:t xml:space="preserve">, и по-специално член 70 от него, </w:t>
      </w:r>
    </w:p>
    <w:p w14:paraId="0D99255C" w14:textId="6DFBDE50" w:rsidR="0015435E" w:rsidRPr="00C33F72" w:rsidRDefault="0015435E" w:rsidP="0015435E">
      <w:pPr>
        <w:pStyle w:val="NormalHanging12a"/>
      </w:pPr>
      <w:r w:rsidRPr="00C33F72">
        <w:t>–</w:t>
      </w:r>
      <w:r w:rsidRPr="00C33F72">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C33F72">
        <w:rPr>
          <w:rStyle w:val="FootnoteReference"/>
        </w:rPr>
        <w:footnoteReference w:id="65"/>
      </w:r>
      <w:r w:rsidRPr="00C33F72">
        <w:t>, и по-</w:t>
      </w:r>
      <w:r w:rsidRPr="00C33F72">
        <w:lastRenderedPageBreak/>
        <w:t>специално член 5 от него,</w:t>
      </w:r>
    </w:p>
    <w:p w14:paraId="473AE13C" w14:textId="77777777" w:rsidR="0015435E" w:rsidRPr="00C33F72" w:rsidRDefault="0015435E" w:rsidP="0015435E">
      <w:pPr>
        <w:pStyle w:val="NormalHanging12a"/>
      </w:pPr>
      <w:r w:rsidRPr="00C33F72">
        <w:t>–</w:t>
      </w:r>
      <w:r w:rsidRPr="00C33F72">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C33F72">
        <w:rPr>
          <w:rStyle w:val="FootnoteReference"/>
        </w:rPr>
        <w:footnoteReference w:id="66"/>
      </w:r>
      <w:r w:rsidRPr="00C33F72">
        <w:t>,</w:t>
      </w:r>
    </w:p>
    <w:p w14:paraId="38DF9815"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74DA3CEF"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73609ED2"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5CB9E42F" w14:textId="77777777" w:rsidR="0015435E" w:rsidRPr="00C33F72" w:rsidRDefault="0015435E" w:rsidP="0015435E">
      <w:pPr>
        <w:pStyle w:val="NormalHanging12a"/>
      </w:pPr>
      <w:r w:rsidRPr="00C33F72">
        <w:t>1.</w:t>
      </w:r>
      <w:r w:rsidRPr="00C33F72">
        <w:tab/>
        <w:t>освобождава от отговорност директора на Европейското съвместно предприятие за „ITER“ и развитието на термоядрената енергия във връзка с изпълнението на бюджета на съвместното предприятие за финансовата 2023 година;</w:t>
      </w:r>
    </w:p>
    <w:p w14:paraId="6273CFB1"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0FF3935E"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директора на Европейското съвместно предприятие за „ITER“ и развитието на термоядрената енергия,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0E693D5E" w14:textId="77777777" w:rsidR="0015435E" w:rsidRPr="00C33F72" w:rsidRDefault="0015435E" w:rsidP="0015435E"/>
    <w:p w14:paraId="7663E5CF"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742BE9" w14:textId="77777777" w:rsidR="0015435E" w:rsidRPr="00C33F72" w:rsidRDefault="0015435E" w:rsidP="00CB6981">
      <w:pPr>
        <w:pStyle w:val="ATHeading3"/>
      </w:pPr>
      <w:r w:rsidRPr="00C33F72">
        <w:lastRenderedPageBreak/>
        <w:t>12.</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Европейското съвместно предприятие за „ITER“ и развитието на термоядрената енергия за финансовата 2023 година</w:t>
      </w:r>
      <w:r w:rsidR="00CB6981" w:rsidRPr="00C33F72">
        <w:t xml:space="preserve"> </w:t>
      </w:r>
      <w:r w:rsidRPr="00C33F72">
        <w:t>(2024/2031(DEC))</w:t>
      </w:r>
    </w:p>
    <w:p w14:paraId="10C57146" w14:textId="77777777" w:rsidR="0015435E" w:rsidRPr="00C33F72" w:rsidRDefault="0015435E" w:rsidP="0015435E">
      <w:pPr>
        <w:pStyle w:val="EPComma"/>
      </w:pPr>
      <w:r w:rsidRPr="00C33F72">
        <w:rPr>
          <w:i/>
          <w:iCs/>
        </w:rPr>
        <w:t>Европейският парламент</w:t>
      </w:r>
      <w:r w:rsidRPr="00C33F72">
        <w:t>,</w:t>
      </w:r>
    </w:p>
    <w:p w14:paraId="01974600" w14:textId="77777777" w:rsidR="0015435E" w:rsidRPr="00C33F72" w:rsidRDefault="0015435E" w:rsidP="0015435E">
      <w:pPr>
        <w:pStyle w:val="NormalHanging12a"/>
      </w:pPr>
      <w:r w:rsidRPr="00C33F72">
        <w:t>–</w:t>
      </w:r>
      <w:r w:rsidRPr="00C33F72">
        <w:tab/>
        <w:t>като взе предвид окончателните годишни отчети на Европейското съвместно предприятие за „ITER“ и развитието на термоядрената енергия за финансовата 2023 година,</w:t>
      </w:r>
    </w:p>
    <w:p w14:paraId="236530FD"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67"/>
      </w:r>
      <w:r w:rsidRPr="00C33F72">
        <w:t>,</w:t>
      </w:r>
    </w:p>
    <w:p w14:paraId="7C151C38"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68"/>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0E89288"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054A4925"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0DE4CCD6" w14:textId="77777777" w:rsidR="0015435E" w:rsidRPr="00C33F72" w:rsidRDefault="0015435E" w:rsidP="0015435E">
      <w:pPr>
        <w:pStyle w:val="NormalHanging12a"/>
      </w:pPr>
      <w:r w:rsidRPr="00C33F72">
        <w:t>–</w:t>
      </w:r>
      <w:r w:rsidRPr="00C33F72">
        <w:tab/>
        <w:t>като взе предвид член 106а от Договора за създаване на Европейската общност за атомна енергия,</w:t>
      </w:r>
    </w:p>
    <w:p w14:paraId="1D92F0A8"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69"/>
      </w:r>
      <w:r w:rsidRPr="00C33F72">
        <w:t>, и по-специално член 70 от него,</w:t>
      </w:r>
    </w:p>
    <w:p w14:paraId="29271860"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70"/>
      </w:r>
      <w:r w:rsidRPr="00C33F72">
        <w:t>, и по-специално член 7</w:t>
      </w:r>
      <w:r w:rsidR="00874882" w:rsidRPr="00C33F72">
        <w:t>0</w:t>
      </w:r>
      <w:r w:rsidRPr="00C33F72">
        <w:t xml:space="preserve"> от него, </w:t>
      </w:r>
    </w:p>
    <w:p w14:paraId="5BDEEF51" w14:textId="307F5B0A" w:rsidR="0015435E" w:rsidRPr="00C33F72" w:rsidRDefault="0015435E" w:rsidP="0015435E">
      <w:pPr>
        <w:pStyle w:val="NormalHanging12a"/>
      </w:pPr>
      <w:r w:rsidRPr="00C33F72">
        <w:t>–</w:t>
      </w:r>
      <w:r w:rsidRPr="00C33F72">
        <w:tab/>
        <w:t>като взе предвид Решение 2007/198/Евратом на Съвета от 27 март 2007 г. за създаване на Европейско съвместно предприятие за „ITER“ и развитието на термоядрената енергия и за предоставяне на предимства на същото</w:t>
      </w:r>
      <w:r w:rsidRPr="00C33F72">
        <w:rPr>
          <w:rStyle w:val="FootnoteReference"/>
        </w:rPr>
        <w:footnoteReference w:id="71"/>
      </w:r>
      <w:r w:rsidRPr="00C33F72">
        <w:t>, и по-специално член 5 от него,</w:t>
      </w:r>
    </w:p>
    <w:p w14:paraId="128FEB78" w14:textId="77777777" w:rsidR="0015435E" w:rsidRPr="00C33F72" w:rsidRDefault="0015435E" w:rsidP="0015435E">
      <w:pPr>
        <w:pStyle w:val="NormalHanging12a"/>
      </w:pPr>
      <w:r w:rsidRPr="00C33F72">
        <w:lastRenderedPageBreak/>
        <w:t>–</w:t>
      </w:r>
      <w:r w:rsidRPr="00C33F72">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C33F72">
        <w:rPr>
          <w:rStyle w:val="FootnoteReference"/>
        </w:rPr>
        <w:footnoteReference w:id="72"/>
      </w:r>
      <w:r w:rsidRPr="00C33F72">
        <w:t>,</w:t>
      </w:r>
    </w:p>
    <w:p w14:paraId="3649036E"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2A156C94"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12F32689"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151A1529" w14:textId="77777777" w:rsidR="0015435E" w:rsidRPr="00C33F72" w:rsidRDefault="0015435E" w:rsidP="0015435E">
      <w:pPr>
        <w:pStyle w:val="NormalHanging12a"/>
      </w:pPr>
      <w:r w:rsidRPr="00C33F72">
        <w:t>1.</w:t>
      </w:r>
      <w:r w:rsidRPr="00C33F72">
        <w:tab/>
        <w:t>одобрява приключването на сметките на Европейското съвместно предприятие за „ITER“ и развитието на термоядрената енергия за финансовата 2023 година;</w:t>
      </w:r>
    </w:p>
    <w:p w14:paraId="24AA92FF"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директора на Европейското съвместно предприятие за „ITER“ и развитието на термоядрената енергия,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3ED616F4" w14:textId="77777777" w:rsidR="0015435E" w:rsidRPr="00C33F72" w:rsidRDefault="0015435E" w:rsidP="0015435E">
      <w:pPr>
        <w:pStyle w:val="PageHeadingDec"/>
        <w:jc w:val="left"/>
      </w:pPr>
    </w:p>
    <w:p w14:paraId="363B7212" w14:textId="77777777" w:rsidR="0015435E" w:rsidRPr="00C33F72" w:rsidRDefault="0015435E" w:rsidP="0015435E">
      <w:pPr>
        <w:pStyle w:val="PageHeadingNotTOC"/>
        <w:sectPr w:rsidR="0015435E" w:rsidRPr="00C33F72" w:rsidSect="00A738B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93F7CE" w14:textId="77777777" w:rsidR="0015435E" w:rsidRPr="00C33F72" w:rsidRDefault="0015435E" w:rsidP="00CB6981">
      <w:pPr>
        <w:pStyle w:val="ATHeading3"/>
      </w:pPr>
      <w:r w:rsidRPr="00C33F72">
        <w:lastRenderedPageBreak/>
        <w:t>13.</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„Глобално здравеопазване EDCTP3“ за финансовата 2023 година</w:t>
      </w:r>
      <w:r w:rsidR="00CB6981" w:rsidRPr="00C33F72">
        <w:t xml:space="preserve"> </w:t>
      </w:r>
      <w:r w:rsidRPr="00C33F72">
        <w:t>(2024/2031(DEC))</w:t>
      </w:r>
    </w:p>
    <w:p w14:paraId="44965674" w14:textId="77777777" w:rsidR="0015435E" w:rsidRPr="00C33F72" w:rsidRDefault="0015435E" w:rsidP="0015435E">
      <w:pPr>
        <w:pStyle w:val="EPComma"/>
      </w:pPr>
      <w:r w:rsidRPr="00C33F72">
        <w:rPr>
          <w:i/>
          <w:iCs/>
        </w:rPr>
        <w:t>Европейският парламент</w:t>
      </w:r>
      <w:r w:rsidRPr="00C33F72">
        <w:t>,</w:t>
      </w:r>
    </w:p>
    <w:p w14:paraId="567F77F5"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„Глобално здравеопазване EDCTP3“ за финансовата 2023 година,</w:t>
      </w:r>
    </w:p>
    <w:p w14:paraId="7329C758"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73"/>
      </w:r>
      <w:r w:rsidRPr="00C33F72">
        <w:t>,</w:t>
      </w:r>
    </w:p>
    <w:p w14:paraId="24D176E7"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74"/>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2CB402E"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1A69EA66"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6C51FBAE"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75"/>
      </w:r>
      <w:r w:rsidRPr="00C33F72">
        <w:t>, и по-специално член 71 от него,</w:t>
      </w:r>
    </w:p>
    <w:p w14:paraId="20313DFF"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76"/>
      </w:r>
      <w:r w:rsidRPr="00C33F72">
        <w:t xml:space="preserve">, и по-специално член 71 от него, </w:t>
      </w:r>
    </w:p>
    <w:p w14:paraId="1C2415D0"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77"/>
      </w:r>
      <w:r w:rsidRPr="00C33F72">
        <w:t>, и по-специално член 26 от него,</w:t>
      </w:r>
    </w:p>
    <w:p w14:paraId="2F658C8D"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78"/>
      </w:r>
      <w:r w:rsidRPr="00C33F72">
        <w:t>,</w:t>
      </w:r>
    </w:p>
    <w:p w14:paraId="65CDDBB5"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25728A78"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3636DDA9"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71E25B7B"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„Глобално здравеопазване EDCTP3“ във връзка с изпълнението на бюджета на съвместното предприятие за финансовата 2023 година;</w:t>
      </w:r>
    </w:p>
    <w:p w14:paraId="13DC7BA4"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0C800318"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„Глобално здравеопазване EDCTP3“, на Съвета, на Комисията и на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26037242" w14:textId="77777777" w:rsidR="0015435E" w:rsidRPr="00C33F72" w:rsidRDefault="0015435E" w:rsidP="0015435E"/>
    <w:p w14:paraId="6D430CD7"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507D28" w14:textId="77777777" w:rsidR="0015435E" w:rsidRPr="00C33F72" w:rsidRDefault="0015435E" w:rsidP="00CB6981">
      <w:pPr>
        <w:pStyle w:val="ATHeading3"/>
      </w:pPr>
      <w:r w:rsidRPr="00C33F72">
        <w:lastRenderedPageBreak/>
        <w:t>14.</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„Глобално здравеопазване EDCTP3“ за финансовата 2023 година</w:t>
      </w:r>
      <w:r w:rsidR="00CB6981" w:rsidRPr="00C33F72">
        <w:t xml:space="preserve"> </w:t>
      </w:r>
      <w:r w:rsidRPr="00C33F72">
        <w:t>(2024/2031(DEC))</w:t>
      </w:r>
    </w:p>
    <w:p w14:paraId="6ADE347B" w14:textId="77777777" w:rsidR="0015435E" w:rsidRPr="00C33F72" w:rsidRDefault="0015435E" w:rsidP="0015435E">
      <w:pPr>
        <w:pStyle w:val="EPComma"/>
      </w:pPr>
      <w:r w:rsidRPr="00C33F72">
        <w:rPr>
          <w:i/>
          <w:iCs/>
        </w:rPr>
        <w:t>Европейският парламент</w:t>
      </w:r>
      <w:r w:rsidRPr="00C33F72">
        <w:t>,</w:t>
      </w:r>
    </w:p>
    <w:p w14:paraId="6990416D"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„Глобално здравеопазване EDCTP3“ за финансовата 2023 година,</w:t>
      </w:r>
    </w:p>
    <w:p w14:paraId="5E2ADE6B"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79"/>
      </w:r>
      <w:r w:rsidRPr="00C33F72">
        <w:t>,</w:t>
      </w:r>
    </w:p>
    <w:p w14:paraId="2DA39753"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80"/>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7F10691"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7495EA73"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36502EB2"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81"/>
      </w:r>
      <w:r w:rsidRPr="00C33F72">
        <w:t>, и по-специално член 71 от него,</w:t>
      </w:r>
    </w:p>
    <w:p w14:paraId="3D1C3250"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82"/>
      </w:r>
      <w:r w:rsidRPr="00C33F72">
        <w:t xml:space="preserve">, и по-специално член 71 от него, </w:t>
      </w:r>
    </w:p>
    <w:p w14:paraId="7DC3041F"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83"/>
      </w:r>
      <w:r w:rsidRPr="00C33F72">
        <w:t>, и по-специално член 26 от него,</w:t>
      </w:r>
    </w:p>
    <w:p w14:paraId="3D820A07"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84"/>
      </w:r>
      <w:r w:rsidRPr="00C33F72">
        <w:t>,</w:t>
      </w:r>
    </w:p>
    <w:p w14:paraId="40C7969E"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43EA10B4"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058F930D"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7008FC0A"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„Глобално здравеопазване EDCTP3“ за финансовата 2023 година;</w:t>
      </w:r>
    </w:p>
    <w:p w14:paraId="23B9ECD1"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„Глобално здравеопазване EDCTP3“, на Съвета, на Комисията и на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2EBED808" w14:textId="77777777" w:rsidR="0015435E" w:rsidRPr="00C33F72" w:rsidRDefault="0015435E" w:rsidP="0015435E">
      <w:pPr>
        <w:pStyle w:val="PageHeadingDec"/>
        <w:jc w:val="left"/>
      </w:pPr>
    </w:p>
    <w:p w14:paraId="6A727708" w14:textId="77777777" w:rsidR="0015435E" w:rsidRPr="00C33F72" w:rsidRDefault="0015435E" w:rsidP="0015435E">
      <w:pPr>
        <w:pStyle w:val="PageHeadingNotTOC"/>
        <w:sectPr w:rsidR="0015435E" w:rsidRPr="00C33F72" w:rsidSect="00A738B3">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4D5CBA" w14:textId="77777777" w:rsidR="0015435E" w:rsidRPr="00C33F72" w:rsidRDefault="0015435E" w:rsidP="00CB6981">
      <w:pPr>
        <w:pStyle w:val="ATHeading3"/>
      </w:pPr>
      <w:r w:rsidRPr="00C33F72">
        <w:lastRenderedPageBreak/>
        <w:t>15.</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„Инициатива за иновативно здравеопазване“ за финансовата 2023 година</w:t>
      </w:r>
      <w:r w:rsidR="00CB6981" w:rsidRPr="00C33F72">
        <w:t xml:space="preserve"> </w:t>
      </w:r>
      <w:r w:rsidRPr="00C33F72">
        <w:t>(2024/2031(DEC))</w:t>
      </w:r>
    </w:p>
    <w:p w14:paraId="66EB17D8" w14:textId="77777777" w:rsidR="0015435E" w:rsidRPr="00C33F72" w:rsidRDefault="0015435E" w:rsidP="0015435E">
      <w:pPr>
        <w:pStyle w:val="EPComma"/>
      </w:pPr>
      <w:r w:rsidRPr="00C33F72">
        <w:rPr>
          <w:i/>
          <w:iCs/>
        </w:rPr>
        <w:t>Европейският парламент</w:t>
      </w:r>
      <w:r w:rsidRPr="00C33F72">
        <w:t>,</w:t>
      </w:r>
    </w:p>
    <w:p w14:paraId="63FEB639"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„Инициатива за иновативно здравеопазване“ за финансовата 2023 година,</w:t>
      </w:r>
    </w:p>
    <w:p w14:paraId="3DA1931B"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85"/>
      </w:r>
      <w:r w:rsidRPr="00C33F72">
        <w:t>,</w:t>
      </w:r>
    </w:p>
    <w:p w14:paraId="7A9549F2"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86"/>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C42D2A2"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3A97654C"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5D15E348"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87"/>
      </w:r>
      <w:r w:rsidRPr="00C33F72">
        <w:t>, и по-специално член 71 от него,</w:t>
      </w:r>
    </w:p>
    <w:p w14:paraId="2BBD36B8"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88"/>
      </w:r>
      <w:r w:rsidRPr="00C33F72">
        <w:t xml:space="preserve">, и по-специално член 71 от него, </w:t>
      </w:r>
    </w:p>
    <w:p w14:paraId="14E90A76"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89"/>
      </w:r>
      <w:r w:rsidRPr="00C33F72">
        <w:t>, и по-специално член 26 от него,</w:t>
      </w:r>
    </w:p>
    <w:p w14:paraId="4B430DA2"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90"/>
      </w:r>
      <w:r w:rsidRPr="00C33F72">
        <w:t>,</w:t>
      </w:r>
    </w:p>
    <w:p w14:paraId="666EE59A"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476B3869"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775FEA75"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35B2944C"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„Инициатива за иновативно здравеопазване“ във връзка с изпълнението на бюджета на съвместното предприятие за финансовата 2023 година;</w:t>
      </w:r>
    </w:p>
    <w:p w14:paraId="1EF002F3"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78ADE7DC"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„Инициатива за иновативно здравеопазване“, на Съвета, на Комисията и на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42A4DCFB" w14:textId="77777777" w:rsidR="0015435E" w:rsidRPr="00C33F72" w:rsidRDefault="0015435E" w:rsidP="0015435E"/>
    <w:p w14:paraId="49BE5EFA"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4E75D6" w14:textId="77777777" w:rsidR="0015435E" w:rsidRPr="00C33F72" w:rsidRDefault="0015435E" w:rsidP="00CB6981">
      <w:pPr>
        <w:pStyle w:val="ATHeading3"/>
      </w:pPr>
      <w:r w:rsidRPr="00C33F72">
        <w:lastRenderedPageBreak/>
        <w:t>16.</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приключването на сметките на съвместното предприятие „Инициатива за иновативно здравеопазване“ за финансовата 2023 година</w:t>
      </w:r>
      <w:r w:rsidR="00CB6981" w:rsidRPr="00C33F72">
        <w:t xml:space="preserve"> </w:t>
      </w:r>
      <w:r w:rsidRPr="00C33F72">
        <w:t>(2024/2031(DEC))</w:t>
      </w:r>
    </w:p>
    <w:p w14:paraId="080B647E" w14:textId="77777777" w:rsidR="0015435E" w:rsidRPr="00C33F72" w:rsidRDefault="0015435E" w:rsidP="0015435E">
      <w:pPr>
        <w:pStyle w:val="EPComma"/>
      </w:pPr>
      <w:r w:rsidRPr="00C33F72">
        <w:rPr>
          <w:i/>
          <w:iCs/>
        </w:rPr>
        <w:t>Европейският парламент</w:t>
      </w:r>
      <w:r w:rsidRPr="00C33F72">
        <w:t>,</w:t>
      </w:r>
    </w:p>
    <w:p w14:paraId="381AEFC5"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„Инициатива за иновативно здравеопазване“ за финансовата 2023 година,</w:t>
      </w:r>
    </w:p>
    <w:p w14:paraId="7C6D22AB"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91"/>
      </w:r>
      <w:r w:rsidRPr="00C33F72">
        <w:t>,</w:t>
      </w:r>
    </w:p>
    <w:p w14:paraId="01D7EC9E"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92"/>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39D0B7D"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ACEAD0D"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75D1B91D"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93"/>
      </w:r>
      <w:r w:rsidRPr="00C33F72">
        <w:t>, и по-специално член 71 от него,</w:t>
      </w:r>
    </w:p>
    <w:p w14:paraId="09B7953C"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94"/>
      </w:r>
      <w:r w:rsidRPr="00C33F72">
        <w:t xml:space="preserve">, и по-специално член 71 от него, </w:t>
      </w:r>
    </w:p>
    <w:p w14:paraId="62E4D079"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95"/>
      </w:r>
      <w:r w:rsidRPr="00C33F72">
        <w:t>, и по-специално член 26 от него,</w:t>
      </w:r>
    </w:p>
    <w:p w14:paraId="7F1E9C34"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96"/>
      </w:r>
      <w:r w:rsidRPr="00C33F72">
        <w:t>,</w:t>
      </w:r>
    </w:p>
    <w:p w14:paraId="545B6675"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5176822D"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4A6CD2DC"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4BE22BF2"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„Инициатива за иновативно здравеопазване“ за финансовата 2023 година;</w:t>
      </w:r>
    </w:p>
    <w:p w14:paraId="3EBCBD94"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„Инициатива за иновативно здравеопазване“, на Съвета, на Комисията и на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69C1A85C" w14:textId="77777777" w:rsidR="0015435E" w:rsidRPr="00C33F72" w:rsidRDefault="0015435E" w:rsidP="0015435E">
      <w:pPr>
        <w:pStyle w:val="PageHeadingDec"/>
        <w:jc w:val="left"/>
      </w:pPr>
    </w:p>
    <w:p w14:paraId="4564CA35" w14:textId="77777777" w:rsidR="0015435E" w:rsidRPr="00C33F72" w:rsidRDefault="0015435E" w:rsidP="0015435E">
      <w:pPr>
        <w:pStyle w:val="PageHeadingNotTOC"/>
        <w:sectPr w:rsidR="0015435E" w:rsidRPr="00C33F72" w:rsidSect="00A738B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AE259A" w14:textId="77777777" w:rsidR="0015435E" w:rsidRPr="00C33F72" w:rsidRDefault="0015435E" w:rsidP="00CB6981">
      <w:pPr>
        <w:pStyle w:val="ATHeading3"/>
      </w:pPr>
      <w:r w:rsidRPr="00C33F72">
        <w:lastRenderedPageBreak/>
        <w:t>17.</w:t>
      </w:r>
      <w:r w:rsidR="00874882" w:rsidRPr="00C33F72">
        <w:t xml:space="preserve"> </w:t>
      </w:r>
      <w:r w:rsidR="00CB6981" w:rsidRPr="00C33F72">
        <w:t xml:space="preserve">Решение на Европейския парламент от </w:t>
      </w:r>
      <w:r w:rsidR="00874882"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„Интегрални схеми“ (преди 21.9.2023 г. съвместното предприятие „Ключови цифрови технологии“) за финансовата 2023 година</w:t>
      </w:r>
      <w:r w:rsidR="00CB6981" w:rsidRPr="00C33F72">
        <w:t xml:space="preserve"> </w:t>
      </w:r>
      <w:r w:rsidRPr="00C33F72">
        <w:t>(2024/2031(DEC))</w:t>
      </w:r>
    </w:p>
    <w:p w14:paraId="21E55053" w14:textId="77777777" w:rsidR="0015435E" w:rsidRPr="00C33F72" w:rsidRDefault="0015435E" w:rsidP="0015435E">
      <w:pPr>
        <w:pStyle w:val="EPComma"/>
      </w:pPr>
      <w:r w:rsidRPr="00C33F72">
        <w:rPr>
          <w:i/>
          <w:iCs/>
        </w:rPr>
        <w:t>Европейският парламент</w:t>
      </w:r>
      <w:r w:rsidRPr="00C33F72">
        <w:t>,</w:t>
      </w:r>
    </w:p>
    <w:p w14:paraId="75474FA6"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„Интегрални схеми“ за финансовата 2023 година,</w:t>
      </w:r>
    </w:p>
    <w:p w14:paraId="4BC788CB"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97"/>
      </w:r>
      <w:r w:rsidRPr="00C33F72">
        <w:t>,</w:t>
      </w:r>
    </w:p>
    <w:p w14:paraId="40D7A664"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98"/>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C173195"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10D5E026"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7804BC10"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99"/>
      </w:r>
      <w:r w:rsidRPr="00C33F72">
        <w:t>, и по-специално член 71 от него,</w:t>
      </w:r>
    </w:p>
    <w:p w14:paraId="68AF9CBC"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00"/>
      </w:r>
      <w:r w:rsidRPr="00C33F72">
        <w:t xml:space="preserve">, и по-специално член 71 от него, </w:t>
      </w:r>
    </w:p>
    <w:p w14:paraId="341CB9EE"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01"/>
      </w:r>
      <w:r w:rsidRPr="00C33F72">
        <w:t>, и по-специално член 26 от него,</w:t>
      </w:r>
    </w:p>
    <w:p w14:paraId="4D15ACF0" w14:textId="24A683F8" w:rsidR="0015435E" w:rsidRPr="00770C50" w:rsidRDefault="0015435E" w:rsidP="0015435E">
      <w:pPr>
        <w:pStyle w:val="NormalHanging12a"/>
        <w:rPr>
          <w:lang w:val="en-GB"/>
        </w:rPr>
      </w:pPr>
      <w:r w:rsidRPr="00C33F72">
        <w:t>–</w:t>
      </w:r>
      <w:r w:rsidRPr="00C33F72">
        <w:tab/>
        <w:t xml:space="preserve">като взе предвид Регламент (ЕС) 2023/1782 на Съвета от 25 юли 2023 г. за изменение на Регламент (EС) 2021/2085 за създаване на съвместните предприятия в рамките на програмата „Хоризонт Европа“ по отношение на съвместното </w:t>
      </w:r>
      <w:r w:rsidRPr="00C33F72">
        <w:lastRenderedPageBreak/>
        <w:t>предприятие „Интегрални схеми“</w:t>
      </w:r>
      <w:r w:rsidR="00770C50" w:rsidRPr="002E3515">
        <w:rPr>
          <w:rStyle w:val="FootnoteReference"/>
        </w:rPr>
        <w:footnoteReference w:id="102"/>
      </w:r>
      <w:r w:rsidR="00770C50" w:rsidRPr="002E3515">
        <w:t>,</w:t>
      </w:r>
    </w:p>
    <w:p w14:paraId="539845FB" w14:textId="77777777" w:rsidR="0015435E" w:rsidRPr="00C33F72" w:rsidRDefault="0015435E" w:rsidP="0015435E">
      <w:pPr>
        <w:pStyle w:val="NormalHanging12a"/>
      </w:pPr>
      <w:r w:rsidRPr="00C33F72">
        <w:t>–</w:t>
      </w:r>
      <w:r w:rsidRPr="00C33F72">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C33F72">
        <w:rPr>
          <w:rStyle w:val="FootnoteReference"/>
        </w:rPr>
        <w:footnoteReference w:id="103"/>
      </w:r>
      <w:r w:rsidRPr="00C33F72">
        <w:t>,</w:t>
      </w:r>
    </w:p>
    <w:p w14:paraId="13C1A360"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06A550A7"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0F13C1AE"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03F9EDBB"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„Интегрални схеми“ във връзка с изпълнението на бюджета на съвместното предприятие за финансовата 2023 година;</w:t>
      </w:r>
    </w:p>
    <w:p w14:paraId="2621D748"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7B4CAF68"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„Интегрални схеми“, на Съвета, на Комисията и на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47F22935" w14:textId="77777777" w:rsidR="0015435E" w:rsidRPr="00C33F72" w:rsidRDefault="0015435E" w:rsidP="0015435E"/>
    <w:p w14:paraId="3023BCFB"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15C425" w14:textId="77777777" w:rsidR="0015435E" w:rsidRPr="00C33F72" w:rsidRDefault="0015435E" w:rsidP="00CB6981">
      <w:pPr>
        <w:pStyle w:val="ATHeading3"/>
      </w:pPr>
      <w:r w:rsidRPr="00C33F72">
        <w:lastRenderedPageBreak/>
        <w:t>18.</w:t>
      </w:r>
      <w:r w:rsidR="009A70BC" w:rsidRPr="00C33F72">
        <w:t xml:space="preserve"> </w:t>
      </w:r>
      <w:r w:rsidR="00CB6981" w:rsidRPr="00C33F72">
        <w:t xml:space="preserve">Решение на Европейския парламент от </w:t>
      </w:r>
      <w:r w:rsidR="009A70BC" w:rsidRPr="00C33F72">
        <w:t>7 май</w:t>
      </w:r>
      <w:r w:rsidR="00CB6981" w:rsidRPr="00C33F72">
        <w:t xml:space="preserve"> 2025 г. </w:t>
      </w:r>
      <w:r w:rsidRPr="00C33F72">
        <w:t>относно приключването на сметките на съвместното предприятие „Интегрални схеми“ (преди 21.9.2023 г. съвместно предприятие „Ключови цифрови технологии“) за финансовата 2023 година</w:t>
      </w:r>
      <w:r w:rsidR="00CB6981" w:rsidRPr="00C33F72">
        <w:t xml:space="preserve"> </w:t>
      </w:r>
      <w:r w:rsidRPr="00C33F72">
        <w:t>(2024/2031(DEC))</w:t>
      </w:r>
    </w:p>
    <w:p w14:paraId="6C12ACE9" w14:textId="77777777" w:rsidR="0015435E" w:rsidRPr="00C33F72" w:rsidRDefault="0015435E" w:rsidP="0015435E">
      <w:pPr>
        <w:pStyle w:val="EPComma"/>
      </w:pPr>
      <w:r w:rsidRPr="00C33F72">
        <w:rPr>
          <w:i/>
          <w:iCs/>
        </w:rPr>
        <w:t>Европейският парламент</w:t>
      </w:r>
      <w:r w:rsidRPr="00C33F72">
        <w:t>,</w:t>
      </w:r>
    </w:p>
    <w:p w14:paraId="23804EF2"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„Интегрални схеми“ за финансовата 2023 година,</w:t>
      </w:r>
    </w:p>
    <w:p w14:paraId="0C616DC3"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04"/>
      </w:r>
      <w:r w:rsidRPr="00C33F72">
        <w:t>,</w:t>
      </w:r>
    </w:p>
    <w:p w14:paraId="10BC8F22"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05"/>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CCBD528"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2BD3627"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4FD328BE"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06"/>
      </w:r>
      <w:r w:rsidRPr="00C33F72">
        <w:t>, и по-специално член 71 от него,</w:t>
      </w:r>
    </w:p>
    <w:p w14:paraId="72CEF22A"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07"/>
      </w:r>
      <w:r w:rsidRPr="00C33F72">
        <w:t xml:space="preserve">, и по-специално член 71 от него, </w:t>
      </w:r>
    </w:p>
    <w:p w14:paraId="082D19BE"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08"/>
      </w:r>
      <w:r w:rsidRPr="00C33F72">
        <w:t>, и по-специално член 26 от него,</w:t>
      </w:r>
    </w:p>
    <w:p w14:paraId="45413177" w14:textId="03509961" w:rsidR="0015435E" w:rsidRPr="00770C50" w:rsidRDefault="0015435E" w:rsidP="0015435E">
      <w:pPr>
        <w:pStyle w:val="NormalHanging12a"/>
        <w:rPr>
          <w:lang w:val="en-GB"/>
        </w:rPr>
      </w:pPr>
      <w:r w:rsidRPr="00C33F72">
        <w:t>–</w:t>
      </w:r>
      <w:r w:rsidRPr="00C33F72">
        <w:tab/>
        <w:t xml:space="preserve">като взе предвид Регламент (ЕС) 2023/1782 на Съвета от 25 юли 2023 г. за изменение на Регламент (EС) 2021/2085 за създаване на съвместните предприятия в рамките на програмата „Хоризонт Европа“ по отношение на съвместното </w:t>
      </w:r>
      <w:r w:rsidRPr="00C33F72">
        <w:lastRenderedPageBreak/>
        <w:t>предприятие „Интегрални схеми“</w:t>
      </w:r>
      <w:r w:rsidR="00770C50" w:rsidRPr="002E3515">
        <w:rPr>
          <w:rStyle w:val="FootnoteReference"/>
        </w:rPr>
        <w:footnoteReference w:id="109"/>
      </w:r>
      <w:r w:rsidR="00770C50" w:rsidRPr="002E3515">
        <w:t>,</w:t>
      </w:r>
    </w:p>
    <w:p w14:paraId="711378D8" w14:textId="77777777" w:rsidR="0015435E" w:rsidRPr="00C33F72" w:rsidRDefault="0015435E" w:rsidP="0015435E">
      <w:pPr>
        <w:pStyle w:val="NormalHanging12a"/>
      </w:pPr>
      <w:r w:rsidRPr="00C33F72">
        <w:t>–</w:t>
      </w:r>
      <w:r w:rsidRPr="00C33F72">
        <w:tab/>
        <w:t>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2018/1046 на Европейския парламент и на Съвета</w:t>
      </w:r>
      <w:r w:rsidRPr="00C33F72">
        <w:rPr>
          <w:rStyle w:val="FootnoteReference"/>
        </w:rPr>
        <w:footnoteReference w:id="110"/>
      </w:r>
      <w:r w:rsidRPr="00C33F72">
        <w:t>,</w:t>
      </w:r>
    </w:p>
    <w:p w14:paraId="130FF5C6"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665477C8"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51841F1A"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54AA146B"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„Интегрални схеми“ за финансовата 2023 година;</w:t>
      </w:r>
    </w:p>
    <w:p w14:paraId="1BDE1CE6"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„Интегрални схеми“, на Съвета, на Комисията и на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330756BB" w14:textId="77777777" w:rsidR="0015435E" w:rsidRPr="00C33F72" w:rsidRDefault="0015435E" w:rsidP="0015435E">
      <w:pPr>
        <w:pStyle w:val="PageHeadingDec"/>
        <w:jc w:val="left"/>
      </w:pPr>
    </w:p>
    <w:p w14:paraId="3B972019" w14:textId="77777777" w:rsidR="0015435E" w:rsidRPr="00C33F72" w:rsidRDefault="0015435E" w:rsidP="0015435E">
      <w:pPr>
        <w:pStyle w:val="PageHeadingNotTOC"/>
        <w:sectPr w:rsidR="0015435E" w:rsidRPr="00C33F72" w:rsidSect="00A738B3">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B72298" w14:textId="77777777" w:rsidR="0015435E" w:rsidRPr="00C33F72" w:rsidRDefault="0015435E" w:rsidP="00CB6981">
      <w:pPr>
        <w:pStyle w:val="ATHeading3"/>
      </w:pPr>
      <w:r w:rsidRPr="00C33F72">
        <w:lastRenderedPageBreak/>
        <w:t>19.</w:t>
      </w:r>
      <w:r w:rsidR="009A70BC" w:rsidRPr="00C33F72">
        <w:t xml:space="preserve"> </w:t>
      </w:r>
      <w:r w:rsidR="00CB6981" w:rsidRPr="00C33F72">
        <w:t xml:space="preserve">Решение на Европейския парламент от </w:t>
      </w:r>
      <w:r w:rsidR="009A70BC"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„Изследване на управлението на въздушното движение (УВД) в единното европейско небе 3“ за финансовата 2023 година</w:t>
      </w:r>
      <w:r w:rsidR="00CB6981" w:rsidRPr="00C33F72">
        <w:t xml:space="preserve"> </w:t>
      </w:r>
      <w:r w:rsidRPr="00C33F72">
        <w:t>(2024/2031(DEC))</w:t>
      </w:r>
    </w:p>
    <w:p w14:paraId="1FB6EDF3" w14:textId="77777777" w:rsidR="0015435E" w:rsidRPr="00C33F72" w:rsidRDefault="0015435E" w:rsidP="0015435E">
      <w:pPr>
        <w:pStyle w:val="EPComma"/>
      </w:pPr>
      <w:r w:rsidRPr="00C33F72">
        <w:rPr>
          <w:i/>
          <w:iCs/>
        </w:rPr>
        <w:t>Европейският парламент</w:t>
      </w:r>
      <w:r w:rsidRPr="00C33F72">
        <w:t>,</w:t>
      </w:r>
    </w:p>
    <w:p w14:paraId="47D336C1"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„Изследване на УВД в единното европейско небе 3“ за финансовата 2023 година,</w:t>
      </w:r>
    </w:p>
    <w:p w14:paraId="0CE85BCA"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11"/>
      </w:r>
      <w:r w:rsidRPr="00C33F72">
        <w:t>,</w:t>
      </w:r>
    </w:p>
    <w:p w14:paraId="49160769"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12"/>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D27155E"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0F6BA944"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304961C2"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13"/>
      </w:r>
      <w:r w:rsidRPr="00C33F72">
        <w:t>, и по-специално член 71 от него,</w:t>
      </w:r>
    </w:p>
    <w:p w14:paraId="0A3810F8"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14"/>
      </w:r>
      <w:r w:rsidRPr="00C33F72">
        <w:t xml:space="preserve">, и по-специално член 71 от него, </w:t>
      </w:r>
    </w:p>
    <w:p w14:paraId="23EFA421"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15"/>
      </w:r>
      <w:r w:rsidRPr="00C33F72">
        <w:t>, и по-специално член 26 от него,</w:t>
      </w:r>
    </w:p>
    <w:p w14:paraId="3B785C02"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16"/>
      </w:r>
      <w:r w:rsidRPr="00C33F72">
        <w:t>,</w:t>
      </w:r>
    </w:p>
    <w:p w14:paraId="136E8049"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113C35E8"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4DECC066"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0E9DEEF6"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„Изследване на УВД в единното европейско небе 3“ във връзка с изпълнението на бюджета на съвместното предприятие за финансовата 2023 година;</w:t>
      </w:r>
    </w:p>
    <w:p w14:paraId="5BE5080A"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7C725C11"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„Изследване на УВД в единното европейско небе 3“, на Съвета, Комисията и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4A4302B8" w14:textId="77777777" w:rsidR="0015435E" w:rsidRPr="00C33F72" w:rsidRDefault="0015435E" w:rsidP="0015435E"/>
    <w:p w14:paraId="07CC2124"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2022D1" w14:textId="77777777" w:rsidR="0015435E" w:rsidRPr="00C33F72" w:rsidRDefault="0015435E" w:rsidP="00CB6981">
      <w:pPr>
        <w:pStyle w:val="ATHeading3"/>
      </w:pPr>
      <w:r w:rsidRPr="00C33F72">
        <w:lastRenderedPageBreak/>
        <w:t>20.</w:t>
      </w:r>
      <w:r w:rsidR="009A70BC" w:rsidRPr="00C33F72">
        <w:t xml:space="preserve"> </w:t>
      </w:r>
      <w:r w:rsidR="00CB6981" w:rsidRPr="00C33F72">
        <w:t xml:space="preserve">Решение на Европейския парламент от </w:t>
      </w:r>
      <w:r w:rsidR="009A70BC" w:rsidRPr="00C33F72">
        <w:t>7 май</w:t>
      </w:r>
      <w:r w:rsidR="00CB6981" w:rsidRPr="00C33F72">
        <w:t xml:space="preserve"> 2025 г. </w:t>
      </w:r>
      <w:r w:rsidRPr="00C33F72">
        <w:t>относно приключването на сметките на съвместното предприятие „Изследване на управлението на въздушното движение (УВД) в единното европейско небе 3“ за финансовата 2023 година</w:t>
      </w:r>
      <w:r w:rsidR="00CB6981" w:rsidRPr="00C33F72">
        <w:t xml:space="preserve"> </w:t>
      </w:r>
      <w:r w:rsidRPr="00C33F72">
        <w:t>(2024/2031(DEC))</w:t>
      </w:r>
    </w:p>
    <w:p w14:paraId="14E4835F" w14:textId="77777777" w:rsidR="0015435E" w:rsidRPr="00C33F72" w:rsidRDefault="0015435E" w:rsidP="0015435E">
      <w:pPr>
        <w:pStyle w:val="EPComma"/>
      </w:pPr>
      <w:r w:rsidRPr="00C33F72">
        <w:rPr>
          <w:i/>
          <w:iCs/>
        </w:rPr>
        <w:t>Европейският парламент</w:t>
      </w:r>
      <w:r w:rsidRPr="00C33F72">
        <w:t>,</w:t>
      </w:r>
    </w:p>
    <w:p w14:paraId="1D908604"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„Изследване на УВД в единното европейско небе 3“ за финансовата 2023 година,</w:t>
      </w:r>
    </w:p>
    <w:p w14:paraId="4C720B43"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17"/>
      </w:r>
      <w:r w:rsidRPr="00C33F72">
        <w:t>,</w:t>
      </w:r>
    </w:p>
    <w:p w14:paraId="4E26F1F0"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18"/>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71C73E8"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9975E74"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2F0F5372"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19"/>
      </w:r>
      <w:r w:rsidRPr="00C33F72">
        <w:t>, и по-специално член 71 от него,</w:t>
      </w:r>
    </w:p>
    <w:p w14:paraId="7A0104F1"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20"/>
      </w:r>
      <w:r w:rsidRPr="00C33F72">
        <w:t xml:space="preserve">, и по-специално член 71 от него, </w:t>
      </w:r>
    </w:p>
    <w:p w14:paraId="14278B2A"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21"/>
      </w:r>
      <w:r w:rsidRPr="00C33F72">
        <w:t>, и по-специално член 26 от него,</w:t>
      </w:r>
    </w:p>
    <w:p w14:paraId="4C12763E"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22"/>
      </w:r>
      <w:r w:rsidRPr="00C33F72">
        <w:t>,</w:t>
      </w:r>
    </w:p>
    <w:p w14:paraId="7B4EF3E6"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1EEFB46B"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6CE93C11"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4AB25827"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„Изследване на УВД в единното европейско небе 3“ за финансовата 2023 година,</w:t>
      </w:r>
    </w:p>
    <w:p w14:paraId="36ECB34D"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съответно на изпълнителния директор на съвместното предприятие „Изследване на УВД в единното европейско небе 3“, на Съвета, Комисията и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31A7505D" w14:textId="77777777" w:rsidR="0015435E" w:rsidRPr="00C33F72" w:rsidRDefault="0015435E" w:rsidP="0015435E">
      <w:pPr>
        <w:pStyle w:val="PageHeadingDec"/>
        <w:jc w:val="left"/>
      </w:pPr>
    </w:p>
    <w:p w14:paraId="7AC2CCE2" w14:textId="77777777" w:rsidR="0015435E" w:rsidRPr="00C33F72" w:rsidRDefault="0015435E" w:rsidP="0015435E">
      <w:pPr>
        <w:pStyle w:val="PageHeadingNotTOC"/>
        <w:sectPr w:rsidR="0015435E" w:rsidRPr="00C33F72" w:rsidSect="00A738B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3AF6C9" w14:textId="77777777" w:rsidR="0015435E" w:rsidRPr="00C33F72" w:rsidRDefault="0015435E" w:rsidP="00CB6981">
      <w:pPr>
        <w:pStyle w:val="ATHeading3"/>
      </w:pPr>
      <w:r w:rsidRPr="00C33F72">
        <w:lastRenderedPageBreak/>
        <w:t>21.</w:t>
      </w:r>
      <w:r w:rsidR="009A70BC" w:rsidRPr="00C33F72">
        <w:t xml:space="preserve"> </w:t>
      </w:r>
      <w:r w:rsidR="00CB6981" w:rsidRPr="00C33F72">
        <w:t xml:space="preserve">Решение на Европейския парламент от </w:t>
      </w:r>
      <w:r w:rsidR="009A70BC" w:rsidRPr="00C33F72">
        <w:t>7 май</w:t>
      </w:r>
      <w:r w:rsidR="00CB6981" w:rsidRPr="00C33F72">
        <w:t xml:space="preserve"> 2025 г. </w:t>
      </w:r>
      <w:r w:rsidRPr="00C33F72">
        <w:t>относно освобождаването от отговорност във връзка с изпълнението на бюджета на съвместното предприятие „Интелигентни мрежи и услуги“ за финансовата 2023 година</w:t>
      </w:r>
      <w:r w:rsidR="00CB6981" w:rsidRPr="00C33F72">
        <w:t xml:space="preserve"> </w:t>
      </w:r>
      <w:r w:rsidRPr="00C33F72">
        <w:t>(2024/2031(DEC))</w:t>
      </w:r>
    </w:p>
    <w:p w14:paraId="571A3A16" w14:textId="77777777" w:rsidR="0015435E" w:rsidRPr="00C33F72" w:rsidRDefault="0015435E" w:rsidP="0015435E">
      <w:pPr>
        <w:pStyle w:val="EPComma"/>
      </w:pPr>
      <w:r w:rsidRPr="00C33F72">
        <w:rPr>
          <w:i/>
          <w:iCs/>
        </w:rPr>
        <w:t>Европейският парламент</w:t>
      </w:r>
      <w:r w:rsidRPr="00C33F72">
        <w:t>,</w:t>
      </w:r>
    </w:p>
    <w:p w14:paraId="24333942"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„Интелигентни мрежи и услуги“ за финансовата 2023 година,</w:t>
      </w:r>
    </w:p>
    <w:p w14:paraId="5C285598"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23"/>
      </w:r>
      <w:r w:rsidRPr="00C33F72">
        <w:t>,</w:t>
      </w:r>
    </w:p>
    <w:p w14:paraId="1268800A"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24"/>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E04AE9D"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24AB929B"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6524086B"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25"/>
      </w:r>
      <w:r w:rsidRPr="00C33F72">
        <w:t>, и по-специално член 71 от него,</w:t>
      </w:r>
    </w:p>
    <w:p w14:paraId="3263CEFB"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26"/>
      </w:r>
      <w:r w:rsidRPr="00C33F72">
        <w:t xml:space="preserve">, и по-специално член 71 от него, </w:t>
      </w:r>
    </w:p>
    <w:p w14:paraId="3A08526B"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27"/>
      </w:r>
      <w:r w:rsidRPr="00C33F72">
        <w:t>, и по-специално член 26 от него,</w:t>
      </w:r>
    </w:p>
    <w:p w14:paraId="6C4EA78A"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28"/>
      </w:r>
      <w:r w:rsidRPr="00C33F72">
        <w:t>,</w:t>
      </w:r>
    </w:p>
    <w:p w14:paraId="207E3CB7"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25EBFB65"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69180D08"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5AB8E6B6" w14:textId="77777777" w:rsidR="0015435E" w:rsidRPr="00C33F72" w:rsidRDefault="0015435E" w:rsidP="0015435E">
      <w:pPr>
        <w:pStyle w:val="NormalHanging12a"/>
      </w:pPr>
      <w:r w:rsidRPr="00C33F72">
        <w:t>1.</w:t>
      </w:r>
      <w:r w:rsidRPr="00C33F72">
        <w:tab/>
        <w:t>освобождава от отговорност изпълнителния директор на съвместното предприятие „Интелигентни мрежи и услуги“ във връзка с изпълнението на бюджета на съвместното предприятие за финансовата 2023 година;</w:t>
      </w:r>
    </w:p>
    <w:p w14:paraId="0277C929" w14:textId="77777777" w:rsidR="0015435E" w:rsidRPr="00C33F72" w:rsidRDefault="0015435E" w:rsidP="0015435E">
      <w:pPr>
        <w:pStyle w:val="NormalHanging12a"/>
      </w:pPr>
      <w:r w:rsidRPr="00C33F72">
        <w:t>2.</w:t>
      </w:r>
      <w:r w:rsidRPr="00C33F72">
        <w:tab/>
        <w:t>представя своите забележки в резолюцията по-долу;</w:t>
      </w:r>
    </w:p>
    <w:p w14:paraId="486CD2BB" w14:textId="77777777" w:rsidR="0015435E" w:rsidRPr="00C33F72" w:rsidRDefault="0015435E" w:rsidP="0015435E">
      <w:pPr>
        <w:pStyle w:val="NormalHanging12a"/>
      </w:pPr>
      <w:r w:rsidRPr="00C33F72">
        <w:t>3.</w:t>
      </w:r>
      <w:r w:rsidRPr="00C33F72">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съвместното предприятие „Интелигентни мрежи и услуги“, на Съвета, на Комисията и на Сметната палата и да осигури публикуването им в </w:t>
      </w:r>
      <w:r w:rsidRPr="00C33F72">
        <w:rPr>
          <w:i/>
          <w:iCs/>
        </w:rPr>
        <w:t>Официален вестник на Европейския съюз</w:t>
      </w:r>
      <w:r w:rsidRPr="00C33F72">
        <w:t xml:space="preserve"> (серия L).</w:t>
      </w:r>
    </w:p>
    <w:p w14:paraId="11DD298E" w14:textId="77777777" w:rsidR="0015435E" w:rsidRPr="00C33F72" w:rsidRDefault="0015435E" w:rsidP="0015435E"/>
    <w:p w14:paraId="6C8FD9FD" w14:textId="77777777" w:rsidR="0015435E" w:rsidRPr="00C33F72" w:rsidRDefault="0015435E" w:rsidP="0015435E">
      <w:pPr>
        <w:pStyle w:val="PageHeading"/>
        <w:sectPr w:rsidR="0015435E" w:rsidRPr="00C33F72" w:rsidSect="00A738B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AAC1F5" w14:textId="77777777" w:rsidR="0015435E" w:rsidRPr="00C33F72" w:rsidRDefault="0015435E" w:rsidP="00CB6981">
      <w:pPr>
        <w:pStyle w:val="ATHeading3"/>
      </w:pPr>
      <w:r w:rsidRPr="00C33F72">
        <w:lastRenderedPageBreak/>
        <w:t>22.</w:t>
      </w:r>
      <w:r w:rsidR="009A70BC" w:rsidRPr="00C33F72">
        <w:t xml:space="preserve"> </w:t>
      </w:r>
      <w:r w:rsidR="00CB6981" w:rsidRPr="00C33F72">
        <w:t xml:space="preserve">Решение на Европейския парламент от </w:t>
      </w:r>
      <w:r w:rsidR="009A70BC" w:rsidRPr="00C33F72">
        <w:t>7 май</w:t>
      </w:r>
      <w:r w:rsidR="00CB6981" w:rsidRPr="00C33F72">
        <w:t xml:space="preserve"> 2025 г. </w:t>
      </w:r>
      <w:r w:rsidRPr="00C33F72">
        <w:t>относно приключването на сметките на съвместното предприятие „Интелигентни мрежи и услуги“ за финансовата 2023 година</w:t>
      </w:r>
      <w:r w:rsidR="00CB6981" w:rsidRPr="00C33F72">
        <w:t xml:space="preserve"> </w:t>
      </w:r>
      <w:r w:rsidRPr="00C33F72">
        <w:t>(2024/2031(DEC))</w:t>
      </w:r>
    </w:p>
    <w:p w14:paraId="62DFC85E" w14:textId="77777777" w:rsidR="0015435E" w:rsidRPr="00C33F72" w:rsidRDefault="0015435E" w:rsidP="0015435E">
      <w:pPr>
        <w:pStyle w:val="EPComma"/>
      </w:pPr>
      <w:r w:rsidRPr="00C33F72">
        <w:rPr>
          <w:i/>
          <w:iCs/>
        </w:rPr>
        <w:t>Европейският парламент</w:t>
      </w:r>
      <w:r w:rsidRPr="00C33F72">
        <w:t>,</w:t>
      </w:r>
    </w:p>
    <w:p w14:paraId="3E169B5C" w14:textId="77777777" w:rsidR="0015435E" w:rsidRPr="00C33F72" w:rsidRDefault="0015435E" w:rsidP="0015435E">
      <w:pPr>
        <w:pStyle w:val="NormalHanging12a"/>
      </w:pPr>
      <w:r w:rsidRPr="00C33F72">
        <w:t>–</w:t>
      </w:r>
      <w:r w:rsidRPr="00C33F72">
        <w:tab/>
        <w:t>като взе предвид окончателните годишни отчети на съвместното предприятие „Интелигентни мрежи и услуги“ за финансовата 2023 година,</w:t>
      </w:r>
    </w:p>
    <w:p w14:paraId="0452F0C4" w14:textId="77777777" w:rsidR="0015435E" w:rsidRPr="00C33F72" w:rsidRDefault="0015435E" w:rsidP="0015435E">
      <w:pPr>
        <w:pStyle w:val="NormalHanging12a"/>
      </w:pPr>
      <w:r w:rsidRPr="00C33F72">
        <w:t>–</w:t>
      </w:r>
      <w:r w:rsidRPr="00C33F72">
        <w:tab/>
        <w:t>като взе предвид годишния доклад на Сметната палата относно съвместните предприятия на ЕС за финансовата 2023 година, придружен от отговорите на съвместните предприятия</w:t>
      </w:r>
      <w:r w:rsidRPr="00C33F72">
        <w:rPr>
          <w:rStyle w:val="FootnoteReference"/>
        </w:rPr>
        <w:footnoteReference w:id="129"/>
      </w:r>
      <w:r w:rsidRPr="00C33F72">
        <w:t>,</w:t>
      </w:r>
    </w:p>
    <w:p w14:paraId="7CEB4898" w14:textId="77777777" w:rsidR="0015435E" w:rsidRPr="00C33F72" w:rsidRDefault="0015435E" w:rsidP="0015435E">
      <w:pPr>
        <w:pStyle w:val="NormalHanging12a"/>
      </w:pPr>
      <w:r w:rsidRPr="00C33F72">
        <w:t>–</w:t>
      </w:r>
      <w:r w:rsidRPr="00C33F72">
        <w:tab/>
        <w:t>като взе предвид декларацията за достоверност</w:t>
      </w:r>
      <w:r w:rsidRPr="00C33F72">
        <w:rPr>
          <w:rStyle w:val="FootnoteReference"/>
        </w:rPr>
        <w:footnoteReference w:id="130"/>
      </w:r>
      <w:r w:rsidRPr="00C33F72">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94CF4AA" w14:textId="77777777" w:rsidR="0015435E" w:rsidRPr="00C33F72" w:rsidRDefault="0015435E" w:rsidP="0015435E">
      <w:pPr>
        <w:pStyle w:val="NormalHanging12a"/>
      </w:pPr>
      <w:r w:rsidRPr="00C33F72">
        <w:t>–</w:t>
      </w:r>
      <w:r w:rsidRPr="00C33F72">
        <w:tab/>
        <w:t>като взе предвид препоръката на Съвета от 17 февруари 2025 г. относно освобождаването от отговорност на съвместното предприятие във връзка с изпълнението на бюджета за финансовата 2023 година (05757/2025 – C10</w:t>
      </w:r>
      <w:r w:rsidRPr="00C33F72">
        <w:noBreakHyphen/>
        <w:t>0025/2025),</w:t>
      </w:r>
    </w:p>
    <w:p w14:paraId="48530AEE" w14:textId="77777777" w:rsidR="0015435E" w:rsidRPr="00C33F72" w:rsidRDefault="0015435E" w:rsidP="0015435E">
      <w:pPr>
        <w:pStyle w:val="NormalHanging12a"/>
      </w:pPr>
      <w:r w:rsidRPr="00C33F72">
        <w:t>–</w:t>
      </w:r>
      <w:r w:rsidRPr="00C33F72">
        <w:tab/>
        <w:t>като взе предвид член 319 от Договора за функционирането на Европейския съюз,</w:t>
      </w:r>
    </w:p>
    <w:p w14:paraId="34D718E4" w14:textId="77777777" w:rsidR="0015435E" w:rsidRPr="00C33F72" w:rsidRDefault="0015435E" w:rsidP="0015435E">
      <w:pPr>
        <w:pStyle w:val="NormalHanging12a"/>
      </w:pPr>
      <w:r w:rsidRPr="00C33F72">
        <w:t>–</w:t>
      </w:r>
      <w:r w:rsidRPr="00C33F72">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C33F72">
        <w:rPr>
          <w:rStyle w:val="FootnoteReference"/>
        </w:rPr>
        <w:footnoteReference w:id="131"/>
      </w:r>
      <w:r w:rsidRPr="00C33F72">
        <w:t>, и по-специално член 71 от него,</w:t>
      </w:r>
    </w:p>
    <w:p w14:paraId="3AE2A0CB" w14:textId="77777777" w:rsidR="0015435E" w:rsidRPr="00C33F72" w:rsidRDefault="0015435E" w:rsidP="0015435E">
      <w:pPr>
        <w:pStyle w:val="NormalHanging12a"/>
      </w:pPr>
      <w:r w:rsidRPr="00C33F72">
        <w:t>–</w:t>
      </w:r>
      <w:r w:rsidRPr="00C33F72">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C33F72">
        <w:rPr>
          <w:rStyle w:val="FootnoteReference"/>
        </w:rPr>
        <w:footnoteReference w:id="132"/>
      </w:r>
      <w:r w:rsidRPr="00C33F72">
        <w:t xml:space="preserve">, и по-специално член 71 от него, </w:t>
      </w:r>
    </w:p>
    <w:p w14:paraId="233F6DE7" w14:textId="77777777" w:rsidR="0015435E" w:rsidRPr="00C33F72" w:rsidRDefault="0015435E" w:rsidP="0015435E">
      <w:pPr>
        <w:pStyle w:val="NormalHanging12a"/>
      </w:pPr>
      <w:r w:rsidRPr="00C33F72">
        <w:t>–</w:t>
      </w:r>
      <w:r w:rsidRPr="00C33F72">
        <w:tab/>
        <w:t>като взе предвид Регламент (ЕС) 2021/2085 на Съвета от 19 ноември 2021 г.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w:t>
      </w:r>
      <w:r w:rsidRPr="00C33F72">
        <w:rPr>
          <w:rStyle w:val="FootnoteReference"/>
        </w:rPr>
        <w:footnoteReference w:id="133"/>
      </w:r>
      <w:r w:rsidRPr="00C33F72">
        <w:t>, и по-специално член 26 от него,</w:t>
      </w:r>
    </w:p>
    <w:p w14:paraId="53680ECF" w14:textId="77777777" w:rsidR="0015435E" w:rsidRPr="00C33F72" w:rsidRDefault="0015435E" w:rsidP="0015435E">
      <w:pPr>
        <w:pStyle w:val="NormalHanging12a"/>
      </w:pPr>
      <w:r w:rsidRPr="00C33F72">
        <w:t>–</w:t>
      </w:r>
      <w:r w:rsidRPr="00C33F72">
        <w:tab/>
        <w:t xml:space="preserve">като взе предвид Делегиран регламент (ЕС) 2019/887 на Комисията от 13 март 2019 г. относно образеца на финансов регламент за органите, осъществяващи публично-частно партньорство, посочени в член 71 от Регламент (ЕС, Евратом) </w:t>
      </w:r>
      <w:r w:rsidRPr="00C33F72">
        <w:lastRenderedPageBreak/>
        <w:t>2018/1046 на Европейския парламент и на Съвета</w:t>
      </w:r>
      <w:r w:rsidRPr="00C33F72">
        <w:rPr>
          <w:rStyle w:val="FootnoteReference"/>
        </w:rPr>
        <w:footnoteReference w:id="134"/>
      </w:r>
      <w:r w:rsidRPr="00C33F72">
        <w:t>,</w:t>
      </w:r>
    </w:p>
    <w:p w14:paraId="5A0CF782" w14:textId="77777777" w:rsidR="0015435E" w:rsidRPr="00C33F72" w:rsidRDefault="0015435E" w:rsidP="0015435E">
      <w:pPr>
        <w:pStyle w:val="NormalHanging12a"/>
      </w:pPr>
      <w:r w:rsidRPr="00C33F72">
        <w:t>–</w:t>
      </w:r>
      <w:r w:rsidRPr="00C33F72">
        <w:tab/>
        <w:t>като взе предвид член 102 и приложение V към своя Правилник за дейността,</w:t>
      </w:r>
    </w:p>
    <w:p w14:paraId="3E802E0A" w14:textId="77777777" w:rsidR="0015435E" w:rsidRPr="00C33F72" w:rsidRDefault="0015435E" w:rsidP="0015435E">
      <w:pPr>
        <w:pStyle w:val="NormalHanging12a"/>
      </w:pPr>
      <w:r w:rsidRPr="00C33F72">
        <w:t>–</w:t>
      </w:r>
      <w:r w:rsidRPr="00C33F72">
        <w:tab/>
        <w:t>като взе предвид становището на комисията по транспорт и туризъм,</w:t>
      </w:r>
    </w:p>
    <w:p w14:paraId="5672FA1E" w14:textId="77777777" w:rsidR="0015435E" w:rsidRPr="00C33F72" w:rsidRDefault="0015435E" w:rsidP="0015435E">
      <w:pPr>
        <w:pStyle w:val="NormalHanging12a"/>
      </w:pPr>
      <w:r w:rsidRPr="00C33F72">
        <w:t>–</w:t>
      </w:r>
      <w:r w:rsidRPr="00C33F72">
        <w:tab/>
        <w:t>като взе предвид доклада на комисията по бюджетен контрол (A10-0056/2025),</w:t>
      </w:r>
    </w:p>
    <w:p w14:paraId="13F22B7D" w14:textId="77777777" w:rsidR="0015435E" w:rsidRPr="00C33F72" w:rsidRDefault="0015435E" w:rsidP="0015435E">
      <w:pPr>
        <w:pStyle w:val="NormalHanging12a"/>
      </w:pPr>
      <w:r w:rsidRPr="00C33F72">
        <w:t>1.</w:t>
      </w:r>
      <w:r w:rsidRPr="00C33F72">
        <w:tab/>
        <w:t>одобрява приключването на сметките на съвместното предприятие „Интелигентни мрежи и услуги“ за финансовата 2023 година;</w:t>
      </w:r>
    </w:p>
    <w:p w14:paraId="4C7B250A" w14:textId="77777777" w:rsidR="0015435E" w:rsidRPr="00C33F72" w:rsidRDefault="0015435E" w:rsidP="0015435E">
      <w:pPr>
        <w:pStyle w:val="NormalHanging12a"/>
      </w:pPr>
      <w:r w:rsidRPr="00C33F72">
        <w:t>2.</w:t>
      </w:r>
      <w:r w:rsidRPr="00C33F72">
        <w:tab/>
        <w:t xml:space="preserve">възлага на своя председател да предаде настоящото решение на изпълнителния директор на съвместното предприятие „Интелигентни мрежи и услуги“, на Съвета, на Комисията и на Сметната палата и да осигури публикуването му в </w:t>
      </w:r>
      <w:r w:rsidRPr="00C33F72">
        <w:rPr>
          <w:i/>
          <w:iCs/>
        </w:rPr>
        <w:t>Официален вестник на Европейския съюз</w:t>
      </w:r>
      <w:r w:rsidRPr="00C33F72">
        <w:t xml:space="preserve"> (серия L).</w:t>
      </w:r>
    </w:p>
    <w:p w14:paraId="2B48C72D" w14:textId="77777777" w:rsidR="0015435E" w:rsidRPr="00C33F72" w:rsidRDefault="0015435E" w:rsidP="0015435E"/>
    <w:p w14:paraId="220DDB52" w14:textId="77777777" w:rsidR="00CB6981" w:rsidRPr="00C33F72" w:rsidRDefault="00CB6981" w:rsidP="0015435E">
      <w:pPr>
        <w:sectPr w:rsidR="00CB6981" w:rsidRPr="00C33F72" w:rsidSect="00A738B3">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A3A7B1" w14:textId="77777777" w:rsidR="0015435E" w:rsidRPr="00C33F72" w:rsidRDefault="0015435E" w:rsidP="00CB6981">
      <w:pPr>
        <w:pStyle w:val="ATHeading3"/>
      </w:pPr>
      <w:r w:rsidRPr="00C33F72">
        <w:lastRenderedPageBreak/>
        <w:t>23.</w:t>
      </w:r>
      <w:r w:rsidR="009A70BC" w:rsidRPr="00C33F72">
        <w:t xml:space="preserve"> </w:t>
      </w:r>
      <w:r w:rsidR="008C445E" w:rsidRPr="00C33F72">
        <w:t xml:space="preserve">Резолюция на Европейския парламент от </w:t>
      </w:r>
      <w:r w:rsidR="009A70BC" w:rsidRPr="00C33F72">
        <w:t>7 май</w:t>
      </w:r>
      <w:r w:rsidR="008C445E" w:rsidRPr="00C33F72">
        <w:t xml:space="preserve"> 2025 г., </w:t>
      </w:r>
      <w:r w:rsidRPr="00C33F72">
        <w:t>съдържащ</w:t>
      </w:r>
      <w:r w:rsidR="009A70BC" w:rsidRPr="00C33F72">
        <w:t>а</w:t>
      </w:r>
      <w:r w:rsidRPr="00C33F72">
        <w:t xml:space="preserve"> забележките, които са неразделна част от решенията за освобождаване от отговорност във връзка с изпълнението на бюджета на съвместните предприятия на Европейския съюз за финансовата 2023 година</w:t>
      </w:r>
      <w:r w:rsidR="00CB6981" w:rsidRPr="00C33F72">
        <w:t xml:space="preserve"> </w:t>
      </w:r>
      <w:r w:rsidRPr="00C33F72">
        <w:t>(2024/2031(DEC))</w:t>
      </w:r>
    </w:p>
    <w:p w14:paraId="0964EF0C" w14:textId="77777777" w:rsidR="0015435E" w:rsidRPr="00C33F72" w:rsidRDefault="0015435E" w:rsidP="0015435E">
      <w:pPr>
        <w:pStyle w:val="EPComma"/>
      </w:pPr>
      <w:r w:rsidRPr="00C33F72">
        <w:rPr>
          <w:i/>
        </w:rPr>
        <w:t>Европейският парламент</w:t>
      </w:r>
      <w:r w:rsidRPr="00C33F72">
        <w:t>,</w:t>
      </w:r>
    </w:p>
    <w:p w14:paraId="00334640"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„Чисто въздухоплаване“ за финансовата 2023 година,</w:t>
      </w:r>
    </w:p>
    <w:p w14:paraId="4A1AC324"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„Кръгова биотехнологична Европа“ за финансовата 2023 година,</w:t>
      </w:r>
    </w:p>
    <w:p w14:paraId="7FBD1744"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„Чист водород“ за финансовата 2023 година,</w:t>
      </w:r>
    </w:p>
    <w:p w14:paraId="1432761B"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„Европейски железопътен транспорт“ за финансовата 2023 година,</w:t>
      </w:r>
    </w:p>
    <w:p w14:paraId="6EE99A96"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за европейски високопроизводителни изчислителни технологии за финансовата 2023 година,</w:t>
      </w:r>
    </w:p>
    <w:p w14:paraId="12DC4FDA"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Европейското съвместно предприятие за „ITER“ и развитието на термоядрената енергия за финансовата 2023 година,</w:t>
      </w:r>
    </w:p>
    <w:p w14:paraId="28F00C47"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„Глобално здравеопазване EDCTP3“ за финансовата 2023 година,</w:t>
      </w:r>
    </w:p>
    <w:p w14:paraId="1C13CE78"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„Инициатива за иновативно здравеопазване“ за финансовата 2023 година,</w:t>
      </w:r>
    </w:p>
    <w:p w14:paraId="3EE4A0CB"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„Интегрални схеми“ за финансовата 2023 година,</w:t>
      </w:r>
    </w:p>
    <w:p w14:paraId="63F9655C"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освобождаването от отговорност във връзка с изпълнението на бюджета на съвместното предприятие „Изследване на УВД в единното европейско небе 3“ за финансовата 2023 година,</w:t>
      </w:r>
    </w:p>
    <w:p w14:paraId="71B25D8D" w14:textId="77777777" w:rsidR="0015435E" w:rsidRPr="00C33F72" w:rsidRDefault="0015435E" w:rsidP="00CB6981">
      <w:pPr>
        <w:pStyle w:val="NormalHanging12a"/>
        <w:widowControl/>
      </w:pPr>
      <w:r w:rsidRPr="00C33F72">
        <w:t>–</w:t>
      </w:r>
      <w:r w:rsidRPr="00C33F72">
        <w:tab/>
        <w:t>като взе предвид своето решение за освобождаване от отговорност във връзка с изпълнението на бюджета на съвместното предприятие „Интелигентни мрежи и услуги“ за финансовата 2023 година,</w:t>
      </w:r>
    </w:p>
    <w:p w14:paraId="62BBCFF9" w14:textId="77777777" w:rsidR="0015435E" w:rsidRPr="00C33F72" w:rsidRDefault="0015435E" w:rsidP="00CB6981">
      <w:pPr>
        <w:pStyle w:val="NormalHanging12a"/>
        <w:widowControl/>
      </w:pPr>
      <w:r w:rsidRPr="00C33F72">
        <w:t>–</w:t>
      </w:r>
      <w:r w:rsidRPr="00C33F72">
        <w:tab/>
        <w:t>като взе предвид член 102 и приложение V към своя Правилник за дейността,</w:t>
      </w:r>
    </w:p>
    <w:p w14:paraId="5A267712" w14:textId="77777777" w:rsidR="0015435E" w:rsidRPr="00C33F72" w:rsidRDefault="0015435E" w:rsidP="00CB6981">
      <w:pPr>
        <w:pStyle w:val="NormalHanging12a"/>
        <w:widowControl/>
      </w:pPr>
      <w:r w:rsidRPr="00C33F72">
        <w:lastRenderedPageBreak/>
        <w:t>–</w:t>
      </w:r>
      <w:r w:rsidRPr="00C33F72">
        <w:tab/>
        <w:t>като взе предвид становището на комисията по транспорт и туризъм,</w:t>
      </w:r>
    </w:p>
    <w:p w14:paraId="10B2D1CC" w14:textId="77777777" w:rsidR="0015435E" w:rsidRPr="00C33F72" w:rsidRDefault="0015435E" w:rsidP="00CB6981">
      <w:pPr>
        <w:pStyle w:val="NormalHanging12a"/>
        <w:widowControl/>
      </w:pPr>
      <w:r w:rsidRPr="00C33F72">
        <w:t>–</w:t>
      </w:r>
      <w:r w:rsidRPr="00C33F72">
        <w:tab/>
        <w:t>като взе предвид доклада на комисията по бюджетен контрол (A10-0056/2025),</w:t>
      </w:r>
    </w:p>
    <w:p w14:paraId="372733EF" w14:textId="573C7AE4" w:rsidR="0015435E" w:rsidRPr="00C33F72" w:rsidRDefault="0015435E" w:rsidP="00CB6981">
      <w:pPr>
        <w:pStyle w:val="NormalHanging12a"/>
        <w:widowControl/>
        <w:rPr>
          <w:szCs w:val="24"/>
        </w:rPr>
      </w:pPr>
      <w:r w:rsidRPr="00C33F72">
        <w:t>А.</w:t>
      </w:r>
      <w:r w:rsidRPr="00C33F72">
        <w:tab/>
        <w:t>като има предвид, че съвместното предприятие „Изследване на УВД в единното европейско небе 3“, съвместното предприятие „Чисто въздухоплаване“, съвместното предприятие „Инициатива за иновативно здравеопазване“, съвместното предприятие „Чист водород“, съвместното предприятие „Кръгова биотехнологична Европа“, съвместното предприятие „Европейски железопътен транспорт“, съвместното предприятие „Интелигентни мрежи и услуги“ и съвместното предприятие „Глобално здравеопазване EDCTP3“ бяха създадени с Регламент (ЕС) 2021/2085 на Съвета</w:t>
      </w:r>
      <w:r w:rsidR="00770C50" w:rsidRPr="002E3515">
        <w:rPr>
          <w:rStyle w:val="FootnoteReference"/>
        </w:rPr>
        <w:footnoteReference w:id="135"/>
      </w:r>
      <w:r w:rsidRPr="00C33F72">
        <w:t xml:space="preserve"> за създаване на съвместните предприятия в рамките на програмата „Хоризонт Европа“ и за отмяна на регламенти (ЕО) № 219/2007, (ЕС) № 557/2014, (ЕС) № 558/2014, (ЕС) № 559/2014, (ЕС) № 560/2014, (ЕС) № 561/2014 и (ЕС) № 642/2014, като последният се нарича „Единен основен акт“ (SBA);</w:t>
      </w:r>
    </w:p>
    <w:p w14:paraId="760033D5" w14:textId="04B60DCF" w:rsidR="0015435E" w:rsidRPr="00C33F72" w:rsidRDefault="0015435E" w:rsidP="00CB6981">
      <w:pPr>
        <w:pStyle w:val="NormalHanging12a"/>
        <w:widowControl/>
        <w:rPr>
          <w:szCs w:val="24"/>
        </w:rPr>
      </w:pPr>
      <w:r w:rsidRPr="00C33F72">
        <w:t>Б.</w:t>
      </w:r>
      <w:r w:rsidRPr="00C33F72">
        <w:tab/>
        <w:t>като има предвид, че съвместното предприятие „Ключови цифрови технологии“ беше създадено с Регламент (ЕС) 2021/2085</w:t>
      </w:r>
      <w:r w:rsidR="00770C50">
        <w:rPr>
          <w:lang w:val="en-GB"/>
        </w:rPr>
        <w:t xml:space="preserve">; </w:t>
      </w:r>
      <w:r w:rsidR="00770C50" w:rsidRPr="00C33F72">
        <w:t>като има предвид, че</w:t>
      </w:r>
      <w:r w:rsidR="00770C50">
        <w:rPr>
          <w:lang w:val="en-GB"/>
        </w:rPr>
        <w:t xml:space="preserve"> </w:t>
      </w:r>
      <w:r w:rsidR="00770C50">
        <w:t>през юли 2023 г.</w:t>
      </w:r>
      <w:r w:rsidRPr="00C33F72">
        <w:t xml:space="preserve"> съвместното предприятие „Ключови цифрови технологии“ беше преобразувано в съвместно предприятие „Интегрални схеми“ по силата на Регламент (ЕС) 2023/1782 на Съвета</w:t>
      </w:r>
      <w:r w:rsidRPr="00C33F72">
        <w:rPr>
          <w:rStyle w:val="FootnoteReference"/>
        </w:rPr>
        <w:footnoteReference w:id="136"/>
      </w:r>
      <w:r w:rsidRPr="00C33F72">
        <w:t>;</w:t>
      </w:r>
    </w:p>
    <w:p w14:paraId="00D174AF" w14:textId="77BFA35B" w:rsidR="0015435E" w:rsidRPr="00C33F72" w:rsidRDefault="0015435E" w:rsidP="00CB6981">
      <w:pPr>
        <w:pStyle w:val="NormalHanging12a"/>
        <w:widowControl/>
        <w:rPr>
          <w:szCs w:val="24"/>
        </w:rPr>
      </w:pPr>
      <w:r w:rsidRPr="00C33F72">
        <w:t>В.</w:t>
      </w:r>
      <w:r w:rsidRPr="00C33F72">
        <w:tab/>
        <w:t>като има предвид, че Европейското съвместно предприятие за „ITER“ и развитието на термоядрената енергия беше създадено през април 2007 г. с Решение 2007/198/Евратом</w:t>
      </w:r>
      <w:r w:rsidR="00770C50">
        <w:t xml:space="preserve"> </w:t>
      </w:r>
      <w:r w:rsidR="00770C50" w:rsidRPr="00C33F72">
        <w:t>на Съвета</w:t>
      </w:r>
      <w:r w:rsidRPr="00C33F72">
        <w:rPr>
          <w:rStyle w:val="FootnoteReference"/>
        </w:rPr>
        <w:footnoteReference w:id="137"/>
      </w:r>
      <w:r w:rsidRPr="00C33F72">
        <w:t>;</w:t>
      </w:r>
    </w:p>
    <w:p w14:paraId="7E760C40" w14:textId="5AFA6183" w:rsidR="0015435E" w:rsidRPr="00C33F72" w:rsidRDefault="0015435E" w:rsidP="00CB6981">
      <w:pPr>
        <w:pStyle w:val="NormalHanging12a"/>
        <w:widowControl/>
        <w:rPr>
          <w:szCs w:val="24"/>
        </w:rPr>
      </w:pPr>
      <w:r w:rsidRPr="00C33F72">
        <w:t>Г.</w:t>
      </w:r>
      <w:r w:rsidRPr="00C33F72">
        <w:tab/>
        <w:t>като има предвид, че Съвместното предприятие за европейски високопроизводителни изчислителни технологии беше създадено с Регламент (ЕС) 2021/1173 на Съвета</w:t>
      </w:r>
      <w:r w:rsidRPr="00C33F72">
        <w:rPr>
          <w:rStyle w:val="FootnoteReference"/>
        </w:rPr>
        <w:footnoteReference w:id="138"/>
      </w:r>
      <w:r w:rsidRPr="00C33F72">
        <w:t>,</w:t>
      </w:r>
    </w:p>
    <w:p w14:paraId="11C0F9AD" w14:textId="77777777" w:rsidR="0015435E" w:rsidRPr="00C33F72" w:rsidRDefault="0015435E" w:rsidP="00CB6981">
      <w:pPr>
        <w:pStyle w:val="NormalHanging12a"/>
        <w:widowControl/>
        <w:rPr>
          <w:szCs w:val="24"/>
        </w:rPr>
      </w:pPr>
      <w:r w:rsidRPr="00C33F72">
        <w:t>Д.</w:t>
      </w:r>
      <w:r w:rsidRPr="00C33F72">
        <w:tab/>
        <w:t xml:space="preserve">като има предвид, че съвместното предприятие „Изследване на УВД в единното европейско небе 3“ е публично-частно партньорство за разработването на модернизирано управление на въздушното движение (УВД) в Европа, като се </w:t>
      </w:r>
      <w:r w:rsidRPr="00C33F72">
        <w:lastRenderedPageBreak/>
        <w:t>използват научните изследвания и иновациите за ускоряване на постигането на целта за цифрово европейско небе;</w:t>
      </w:r>
    </w:p>
    <w:p w14:paraId="33371B9E" w14:textId="77777777" w:rsidR="0015435E" w:rsidRPr="00C33F72" w:rsidRDefault="0015435E" w:rsidP="00CB6981">
      <w:pPr>
        <w:pStyle w:val="NormalHanging12a"/>
        <w:widowControl/>
        <w:rPr>
          <w:szCs w:val="24"/>
        </w:rPr>
      </w:pPr>
      <w:r w:rsidRPr="00C33F72">
        <w:t>Е.</w:t>
      </w:r>
      <w:r w:rsidRPr="00C33F72">
        <w:tab/>
        <w:t>като има предвид, че съвместното предприятие „Чисто въздухоплаване“ е публично-частно партньорство, насочено към научни изследвания и иновации за трансформация на въздухоплаването, за да се постигне устойчиво и неутрално по отношение на климата бъдеще;</w:t>
      </w:r>
    </w:p>
    <w:p w14:paraId="642B57F5" w14:textId="77777777" w:rsidR="0015435E" w:rsidRPr="00C33F72" w:rsidRDefault="0015435E" w:rsidP="00CB6981">
      <w:pPr>
        <w:pStyle w:val="NormalHanging12a"/>
        <w:widowControl/>
        <w:rPr>
          <w:szCs w:val="24"/>
        </w:rPr>
      </w:pPr>
      <w:r w:rsidRPr="00C33F72">
        <w:t>Ж.</w:t>
      </w:r>
      <w:r w:rsidRPr="00C33F72">
        <w:tab/>
        <w:t>като има предвид, че съвместното предприятие „Инициатива за иновативно здравеопазване“ е публично-частно партньорство, съсредоточено върху интердисциплинарни, устойчиви и ориентирани към пациентите научни изследвания и иновации в областта на здравеопазването;</w:t>
      </w:r>
    </w:p>
    <w:p w14:paraId="6DDA50DB" w14:textId="77777777" w:rsidR="0015435E" w:rsidRPr="00C33F72" w:rsidRDefault="0015435E" w:rsidP="00CB6981">
      <w:pPr>
        <w:pStyle w:val="NormalHanging12a"/>
        <w:widowControl/>
        <w:rPr>
          <w:szCs w:val="24"/>
        </w:rPr>
      </w:pPr>
      <w:r w:rsidRPr="00C33F72">
        <w:t>З.</w:t>
      </w:r>
      <w:r w:rsidRPr="00C33F72">
        <w:tab/>
        <w:t>като има предвид, че съвместно предприятие „Чист водород“ е публично-частно партньорство в областта на научните изследвания и иновациите в технологиите за водород и горивни клетки;</w:t>
      </w:r>
    </w:p>
    <w:p w14:paraId="6B5CCF40" w14:textId="77777777" w:rsidR="0015435E" w:rsidRPr="00C33F72" w:rsidRDefault="0015435E" w:rsidP="00CB6981">
      <w:pPr>
        <w:pStyle w:val="NormalHanging12a"/>
        <w:widowControl/>
        <w:rPr>
          <w:szCs w:val="24"/>
        </w:rPr>
      </w:pPr>
      <w:r w:rsidRPr="00C33F72">
        <w:t>И.</w:t>
      </w:r>
      <w:r w:rsidRPr="00C33F72">
        <w:tab/>
        <w:t>като има предвид, че съвместното предприятие „Интегрални схеми“ е публично-частно партньорство, насочено към научни изследвания и иновации в ключови цифрови технологии, които са от съществено значение за конкурентното лидерство на Европа в цифровата икономика, по-специално в сектора на електронните компоненти и системи;</w:t>
      </w:r>
    </w:p>
    <w:p w14:paraId="6287C774" w14:textId="77777777" w:rsidR="0015435E" w:rsidRPr="00C33F72" w:rsidRDefault="0015435E" w:rsidP="00CB6981">
      <w:pPr>
        <w:pStyle w:val="NormalHanging12a"/>
        <w:widowControl/>
        <w:rPr>
          <w:szCs w:val="24"/>
        </w:rPr>
      </w:pPr>
      <w:r w:rsidRPr="00C33F72">
        <w:t>Й.</w:t>
      </w:r>
      <w:r w:rsidRPr="00C33F72">
        <w:tab/>
        <w:t>като има предвид, че съвместно предприятие „Кръгова биотехнологична Европа“ е публично-частно партньорство, което се съсредоточава върху научните изследвания и иновациите за изграждане на устойчив и конкурентен сектор на кръговата биотехнологична промишленост;</w:t>
      </w:r>
    </w:p>
    <w:p w14:paraId="0DFB9B10" w14:textId="77777777" w:rsidR="0015435E" w:rsidRPr="00C33F72" w:rsidRDefault="0015435E" w:rsidP="00CB6981">
      <w:pPr>
        <w:pStyle w:val="NormalHanging12a"/>
        <w:widowControl/>
        <w:rPr>
          <w:szCs w:val="24"/>
        </w:rPr>
      </w:pPr>
      <w:r w:rsidRPr="00C33F72">
        <w:t>К.</w:t>
      </w:r>
      <w:r w:rsidRPr="00C33F72">
        <w:tab/>
        <w:t>като има предвид, че съвместното предприятие „Европейски железопътен транспорт“ е публично-частно партньорство за изследвания и иновации в железопътния сектор;</w:t>
      </w:r>
    </w:p>
    <w:p w14:paraId="08787A33" w14:textId="77777777" w:rsidR="0015435E" w:rsidRPr="00C33F72" w:rsidRDefault="0015435E" w:rsidP="00CB6981">
      <w:pPr>
        <w:pStyle w:val="NormalHanging12a"/>
        <w:widowControl/>
        <w:rPr>
          <w:szCs w:val="24"/>
        </w:rPr>
      </w:pPr>
      <w:r w:rsidRPr="00C33F72">
        <w:t>Л.</w:t>
      </w:r>
      <w:r w:rsidRPr="00C33F72">
        <w:tab/>
        <w:t>като има предвид, че Съвместното предприятие за европейски високопроизводителни изчислителни технологии е публично-частно партньорство, което дава възможност за обединяване на ресурси за разработването и внедряването на високопроизводителни изчислителни технологии в Европа;</w:t>
      </w:r>
    </w:p>
    <w:p w14:paraId="10F4B1A6" w14:textId="77777777" w:rsidR="0015435E" w:rsidRPr="00C33F72" w:rsidRDefault="0015435E" w:rsidP="00CB6981">
      <w:pPr>
        <w:pStyle w:val="NormalHanging12a"/>
        <w:widowControl/>
        <w:rPr>
          <w:szCs w:val="24"/>
        </w:rPr>
      </w:pPr>
      <w:r w:rsidRPr="00C33F72">
        <w:t>М.</w:t>
      </w:r>
      <w:r w:rsidRPr="00C33F72">
        <w:tab/>
        <w:t>като има предвид, че съвместното предприятие „Интелигентни мрежи и услуги“ е публично-частно партньорство, което се съсредоточава върху укрепването на технологичното лидерство на Европа и стратегическото му привеждане в съответствие с телекомуникационния сектор и насърчаване на внедряването на цифрови решения;</w:t>
      </w:r>
    </w:p>
    <w:p w14:paraId="164FECD9" w14:textId="77777777" w:rsidR="0015435E" w:rsidRPr="00C33F72" w:rsidRDefault="0015435E" w:rsidP="00CB6981">
      <w:pPr>
        <w:pStyle w:val="NormalHanging12a"/>
        <w:widowControl/>
        <w:rPr>
          <w:szCs w:val="24"/>
        </w:rPr>
      </w:pPr>
      <w:r w:rsidRPr="00C33F72">
        <w:t>Н.</w:t>
      </w:r>
      <w:r w:rsidRPr="00C33F72">
        <w:tab/>
        <w:t>като има предвид, че съвместното предприятие „Глобално здравеопазване EDCTP3“ е публично-частно партньорство, което се съсредоточава върху намаляване на социално-икономическата тежест на инфекциозните болести в Африка на юг от Сахара благодарение на нови и подобрени здравни технологични приложения, както и върху подобряване на готовността и реакцията при инфекциозни болести за глобални цели;</w:t>
      </w:r>
    </w:p>
    <w:p w14:paraId="133DF582" w14:textId="77777777" w:rsidR="0015435E" w:rsidRPr="00C33F72" w:rsidRDefault="0015435E" w:rsidP="00CB6981">
      <w:pPr>
        <w:pStyle w:val="NormalHanging12a"/>
        <w:widowControl/>
        <w:rPr>
          <w:szCs w:val="24"/>
        </w:rPr>
      </w:pPr>
      <w:r w:rsidRPr="00C33F72">
        <w:t>О.</w:t>
      </w:r>
      <w:r w:rsidRPr="00C33F72">
        <w:tab/>
        <w:t xml:space="preserve">като има предвид, че целта на Европейското съвместно предприятие за „ITER“ и развитието на термоядрената енергия е да се осигури приносът на Съюза към </w:t>
      </w:r>
      <w:r w:rsidRPr="00C33F72">
        <w:lastRenderedPageBreak/>
        <w:t xml:space="preserve">международния проект за термоядрена енергия „ITER“, да се приложи Споразумението за широкообхватен подход между Евратом и Япония, както и да се подготви изграждането на демонстрационен реактор за ядрен синтез и на свързаните с него съоръжения; </w:t>
      </w:r>
    </w:p>
    <w:p w14:paraId="4B004A4D" w14:textId="77777777" w:rsidR="0015435E" w:rsidRPr="00C33F72" w:rsidRDefault="0015435E" w:rsidP="00CB6981">
      <w:pPr>
        <w:pStyle w:val="NormalHanging12a"/>
        <w:widowControl/>
        <w:rPr>
          <w:b/>
          <w:i/>
        </w:rPr>
      </w:pPr>
      <w:r w:rsidRPr="00C33F72">
        <w:rPr>
          <w:b/>
          <w:i/>
        </w:rPr>
        <w:t>Общи положения</w:t>
      </w:r>
    </w:p>
    <w:p w14:paraId="652F5026" w14:textId="77777777" w:rsidR="0015435E" w:rsidRPr="00C33F72" w:rsidRDefault="0015435E" w:rsidP="00CB6981">
      <w:pPr>
        <w:pStyle w:val="Normal6a"/>
        <w:widowControl/>
        <w:spacing w:after="240"/>
        <w:ind w:left="567" w:hanging="567"/>
      </w:pPr>
      <w:r w:rsidRPr="00C33F72">
        <w:t>1.</w:t>
      </w:r>
      <w:r w:rsidRPr="00C33F72">
        <w:tab/>
        <w:t>отбелязва, че ролята на съвместните предприятия следва да бъде да подкрепят научните изследвания и иновациите в областта на транспорта, енергетиката, здравеопазването, кръговата биотехнологична промишленост, ключовите електронни компоненти, суперкомпютрите и мрежовите системи; призовава съвместните предприятия да насърчават превръщането на научните знания в пазарни иновации и да създават механизми, които да гарантират, че тяхната дейност води до повишаване на европейската конкурентоспособност в света;</w:t>
      </w:r>
    </w:p>
    <w:p w14:paraId="6322BC63" w14:textId="77777777" w:rsidR="0015435E" w:rsidRPr="00C33F72" w:rsidRDefault="0015435E" w:rsidP="00CB6981">
      <w:pPr>
        <w:pStyle w:val="NormalHanging12a"/>
        <w:widowControl/>
        <w:rPr>
          <w:szCs w:val="24"/>
        </w:rPr>
      </w:pPr>
      <w:r w:rsidRPr="00C33F72">
        <w:t>2.</w:t>
      </w:r>
      <w:r w:rsidRPr="00C33F72">
        <w:tab/>
        <w:t>подчертава, че според Сметната палата</w:t>
      </w:r>
      <w:r w:rsidR="009A70BC" w:rsidRPr="00C33F72">
        <w:t xml:space="preserve"> („Палатата“)</w:t>
      </w:r>
      <w:r w:rsidRPr="00C33F72">
        <w:t xml:space="preserve"> в настоящата многогодишна финансова рамка за съвместните предприятия се очаква да получат общ бюджет от 17 милиарда евро от паричната вноска на Съюза и да привлекат 21,1 милиарда евро вноски от други членове;</w:t>
      </w:r>
    </w:p>
    <w:p w14:paraId="46A20219" w14:textId="77777777" w:rsidR="0015435E" w:rsidRPr="00C33F72" w:rsidRDefault="0015435E" w:rsidP="00CB6981">
      <w:pPr>
        <w:pStyle w:val="NormalHanging12a"/>
        <w:widowControl/>
      </w:pPr>
      <w:r w:rsidRPr="00C33F72">
        <w:t>3.</w:t>
      </w:r>
      <w:r w:rsidRPr="00C33F72">
        <w:tab/>
        <w:t>отбелязва, че естеството на съвместните предприятия се базира на публично-частни партньорства, които насочват инвестициите и привличат публични и частни средства за финансирането на общи цели; във връзка с това припомня, че приносът на частните членове трябва да отговаря на установените цели, за да могат съответните партньорства да продължат да бъдат взаимноизгодни; призовава съвместните предприятия, които позволяват непарични вноски за допълнителни дейности (IKAA), да избягват, когато е възможно, прекомерно разчитане на такива вноски, за да се постигнат установените цели;</w:t>
      </w:r>
    </w:p>
    <w:p w14:paraId="503754A5" w14:textId="77777777" w:rsidR="0015435E" w:rsidRPr="00C33F72" w:rsidRDefault="0015435E" w:rsidP="00CB6981">
      <w:pPr>
        <w:pStyle w:val="NormalHanging12a"/>
        <w:widowControl/>
      </w:pPr>
      <w:r w:rsidRPr="00C33F72">
        <w:t>4.</w:t>
      </w:r>
      <w:r w:rsidRPr="00C33F72">
        <w:tab/>
        <w:t>признава значителния принос на съвместните предприятия за напредъка в научните изследвания, иновациите и технологичното развитие в различни сектори, включително въздухоплаването, железопътния транспорт и управлението на въздушното движение, като неразделна част от постигането на стратегическите цели на Съюза за устойчивост, цифрова трансформация и конкурентоспособност;</w:t>
      </w:r>
    </w:p>
    <w:p w14:paraId="75B7166E" w14:textId="77777777" w:rsidR="0015435E" w:rsidRPr="00C33F72" w:rsidRDefault="0015435E" w:rsidP="00CB6981">
      <w:pPr>
        <w:pStyle w:val="NormalHanging12a"/>
        <w:widowControl/>
        <w:rPr>
          <w:szCs w:val="24"/>
        </w:rPr>
      </w:pPr>
      <w:r w:rsidRPr="00C33F72">
        <w:t>5.</w:t>
      </w:r>
      <w:r w:rsidRPr="00C33F72">
        <w:tab/>
        <w:t xml:space="preserve">приветства годишния доклад на </w:t>
      </w:r>
      <w:r w:rsidR="009A70BC" w:rsidRPr="00C33F72">
        <w:t>Палатата</w:t>
      </w:r>
      <w:r w:rsidRPr="00C33F72">
        <w:t xml:space="preserve"> относно съвместните предприятия на Европейския съюз за финансовата 2023 година („доклада на Палатата“); подчертава, че мисията на </w:t>
      </w:r>
      <w:r w:rsidR="009A70BC" w:rsidRPr="00C33F72">
        <w:t>Палатата</w:t>
      </w:r>
      <w:r w:rsidRPr="00C33F72">
        <w:t xml:space="preserve"> е от решаващо значение за доброто изпълнение на бюджета на Съюза и за надзора на бюджета; </w:t>
      </w:r>
    </w:p>
    <w:p w14:paraId="0BE467A9" w14:textId="77777777" w:rsidR="0015435E" w:rsidRPr="00C33F72" w:rsidRDefault="0015435E" w:rsidP="00CB6981">
      <w:pPr>
        <w:pStyle w:val="NormalHanging12a"/>
        <w:widowControl/>
        <w:rPr>
          <w:szCs w:val="24"/>
        </w:rPr>
      </w:pPr>
      <w:r w:rsidRPr="00C33F72">
        <w:t>6.</w:t>
      </w:r>
      <w:r w:rsidRPr="00C33F72">
        <w:tab/>
        <w:t xml:space="preserve">приветства факта, че </w:t>
      </w:r>
      <w:r w:rsidR="009A70BC" w:rsidRPr="00C33F72">
        <w:t>Палатата</w:t>
      </w:r>
      <w:r w:rsidRPr="00C33F72">
        <w:t xml:space="preserve"> предостави на органа по освобождаване от отговорност годишен доклад относно съвместните предприятия на ЕС, който съдържа специална декларация за достоверност за всяко от съвместните предприятия по отношение на техните годишни отчети и свързаните с тях операции; споделя становището, че в допълнение към правните разпоредби, обвързващи Палатата, институционалната рамка на съвместните предприятия заслужава специално внимание от страна на </w:t>
      </w:r>
      <w:r w:rsidR="009A70BC" w:rsidRPr="00C33F72">
        <w:t>Палатата</w:t>
      </w:r>
      <w:r w:rsidRPr="00C33F72">
        <w:t>; призовава за продължаване на тази добра практика; приветства доброто сътрудничество на съвместните предприятия с Палатата по време на изготвянето на доклада на Палатата и приветства обясненията, предоставени по някои от забележките и акцентите по същество в отговорите, предоставени от съвместните предприятия;</w:t>
      </w:r>
    </w:p>
    <w:p w14:paraId="54696EDF" w14:textId="77777777" w:rsidR="0015435E" w:rsidRPr="00C33F72" w:rsidRDefault="0015435E" w:rsidP="00CB6981">
      <w:pPr>
        <w:pStyle w:val="NormalHanging12a"/>
        <w:widowControl/>
        <w:rPr>
          <w:szCs w:val="24"/>
        </w:rPr>
      </w:pPr>
      <w:r w:rsidRPr="00C33F72">
        <w:lastRenderedPageBreak/>
        <w:t>7.</w:t>
      </w:r>
      <w:r w:rsidRPr="00C33F72">
        <w:tab/>
        <w:t xml:space="preserve">приветства факта, че две съвместни предприятия са придобили финансова автономност през финансовата 2023 година, а именно съвместното предприятие „Интелигентни мрежи и услуги“ на 24 октомври 2023 г. и съвместното предприятие „Глобално здравеопазване EDCTP3“ на 23 ноември 2023 г.; отбелязва също така, че в резултат на това </w:t>
      </w:r>
      <w:r w:rsidR="009A70BC" w:rsidRPr="00C33F72">
        <w:t>Палатата</w:t>
      </w:r>
      <w:r w:rsidRPr="00C33F72">
        <w:t xml:space="preserve"> е извършила одит на тези две съвместни предприятия за първи път, в допълнение към деветте съвместни предприятия, които </w:t>
      </w:r>
      <w:r w:rsidR="009A70BC" w:rsidRPr="00C33F72">
        <w:t>Палатата</w:t>
      </w:r>
      <w:r w:rsidRPr="00C33F72">
        <w:t xml:space="preserve"> вече е одитирала за финансовата 2022 година; </w:t>
      </w:r>
    </w:p>
    <w:p w14:paraId="6BCF4EDB" w14:textId="77777777" w:rsidR="0015435E" w:rsidRPr="00C33F72" w:rsidRDefault="0015435E" w:rsidP="00CB6981">
      <w:pPr>
        <w:pStyle w:val="NormalHanging12a"/>
        <w:widowControl/>
        <w:rPr>
          <w:szCs w:val="24"/>
        </w:rPr>
      </w:pPr>
      <w:r w:rsidRPr="00C33F72">
        <w:t>8.</w:t>
      </w:r>
      <w:r w:rsidRPr="00C33F72">
        <w:tab/>
        <w:t xml:space="preserve">подчертава, че е осведомен, че през финансовата 2023 година някои съвместни предприятия бяха засегнати в значителна степен от важни събития, чието въздействие е вероятно да промени техните резултати; подчертава по-конкретно, че: </w:t>
      </w:r>
    </w:p>
    <w:p w14:paraId="0B110C57" w14:textId="77777777" w:rsidR="0015435E" w:rsidRPr="00C33F72" w:rsidRDefault="0015435E" w:rsidP="00115FFB">
      <w:pPr>
        <w:pStyle w:val="NormalHanging12a"/>
        <w:widowControl/>
        <w:ind w:left="1134"/>
        <w:rPr>
          <w:szCs w:val="24"/>
        </w:rPr>
      </w:pPr>
      <w:r w:rsidRPr="00C33F72">
        <w:t>а)</w:t>
      </w:r>
      <w:r w:rsidRPr="00C33F72">
        <w:tab/>
        <w:t>агресивната война на Русия срещу Украйна оказа значително въздействие върху икономиката на Съюза и върху веригите на доставки, като засегна значително дейностите на някои съвместни предприятия;</w:t>
      </w:r>
    </w:p>
    <w:p w14:paraId="281324EC" w14:textId="77777777" w:rsidR="0015435E" w:rsidRPr="00C33F72" w:rsidRDefault="0015435E" w:rsidP="00115FFB">
      <w:pPr>
        <w:pStyle w:val="NormalHanging12a"/>
        <w:widowControl/>
        <w:ind w:left="1134"/>
        <w:rPr>
          <w:szCs w:val="24"/>
        </w:rPr>
      </w:pPr>
      <w:r w:rsidRPr="00C33F72">
        <w:t>б)</w:t>
      </w:r>
      <w:r w:rsidRPr="00C33F72">
        <w:tab/>
        <w:t>последиците от пандемията от COVID-19 все още се усещат в цяла Европа днес и през финансовата 2023 година все още представляваха огромно сътресение за икономическите и административните дейности;</w:t>
      </w:r>
    </w:p>
    <w:p w14:paraId="017C37DF" w14:textId="77777777" w:rsidR="0015435E" w:rsidRPr="00C33F72" w:rsidRDefault="0015435E" w:rsidP="00115FFB">
      <w:pPr>
        <w:pStyle w:val="NormalHanging12a"/>
        <w:widowControl/>
        <w:ind w:left="1134"/>
      </w:pPr>
      <w:r w:rsidRPr="00C33F72">
        <w:t>в)</w:t>
      </w:r>
      <w:r w:rsidRPr="00C33F72">
        <w:tab/>
        <w:t>високите равнища на инфлация, причинени от двете горепосочени събития, оказаха въздействие върху доставките и сроковете за доставки на съвместните предприятия;</w:t>
      </w:r>
    </w:p>
    <w:p w14:paraId="15781A17" w14:textId="77777777" w:rsidR="0015435E" w:rsidRPr="00C33F72" w:rsidRDefault="0015435E" w:rsidP="00CB6981">
      <w:pPr>
        <w:pStyle w:val="NormalHanging12a"/>
        <w:widowControl/>
      </w:pPr>
      <w:r w:rsidRPr="00C33F72">
        <w:t>9.</w:t>
      </w:r>
      <w:r w:rsidRPr="00C33F72">
        <w:tab/>
        <w:t>признава ползите от съвместните предприятия, значението на публично-частното сътрудничество за насърчаване на иновациите, стимулиране на научните изследвания и развойните дейности, както и икономическите ползи от партньорствата; отбелязва, че чрез обединяването на ресурси и експертен опит от двата сектора (публичния и частния) съвместните предприятия могат да се справят по-ефективно с предизвикателствата; подчертава значението на прозрачността, отчетността и ефективното използване на публичните средства от съвместните предприятия;</w:t>
      </w:r>
    </w:p>
    <w:p w14:paraId="3B8DA10D" w14:textId="77777777" w:rsidR="0015435E" w:rsidRPr="00C33F72" w:rsidRDefault="0015435E" w:rsidP="00CB6981">
      <w:pPr>
        <w:pStyle w:val="NormalHanging12a"/>
        <w:widowControl/>
      </w:pPr>
      <w:r w:rsidRPr="00C33F72">
        <w:t>10.</w:t>
      </w:r>
      <w:r w:rsidRPr="00C33F72">
        <w:tab/>
        <w:t>признава стойността на инициативите за насърчаване на ангажираност и участие на заинтересованите страни, като например открити покани за изразяване на интерес и съвместни покани за представяне на предложения от съвместните предприятия, като средство за привличане на колективен експертен опит и ресурси; обръща специално внимание на съвместната покана за представяне на предложения, отправена от съвместните предприятия „Европейски железопътен транспорт“ и „Изследване на УВД в единното европейско небе 3“ – първата по рода си съвместна покана за представяне на предложения от съвместни предприятия, насочена към разработване на интегрирана въздушна и железопътна мрежа за устойчива мултимодална транспортна система;</w:t>
      </w:r>
    </w:p>
    <w:p w14:paraId="436833A5" w14:textId="77777777" w:rsidR="0015435E" w:rsidRPr="00C33F72" w:rsidRDefault="0015435E" w:rsidP="00CB6981">
      <w:pPr>
        <w:pStyle w:val="NormalHanging12a"/>
        <w:widowControl/>
      </w:pPr>
      <w:r w:rsidRPr="00C33F72">
        <w:t>11.</w:t>
      </w:r>
      <w:r w:rsidRPr="00C33F72">
        <w:tab/>
        <w:t xml:space="preserve">припомня, че съвместните предприятия трябва да извършват дейността си в съответствие с доброто финансово управление, като по този начин допринасят ефективно за целите на политиката на Съюза, както и за доброто изпълнение на бюджета на Съюза; въпреки това в контекста на констатациите на </w:t>
      </w:r>
      <w:r w:rsidR="009A70BC" w:rsidRPr="00C33F72">
        <w:t>Палатата</w:t>
      </w:r>
      <w:r w:rsidRPr="00C33F72">
        <w:t xml:space="preserve"> изразява загриженост във връзка с редица елементи, изложени в настоящата резолюция;</w:t>
      </w:r>
    </w:p>
    <w:p w14:paraId="0F9220DA" w14:textId="77777777" w:rsidR="0015435E" w:rsidRPr="00C33F72" w:rsidRDefault="0015435E" w:rsidP="00CB6981">
      <w:pPr>
        <w:pStyle w:val="NormalHanging12a"/>
        <w:widowControl/>
        <w:rPr>
          <w:b/>
          <w:i/>
        </w:rPr>
      </w:pPr>
      <w:r w:rsidRPr="00C33F72">
        <w:rPr>
          <w:b/>
          <w:i/>
        </w:rPr>
        <w:lastRenderedPageBreak/>
        <w:t>Годишни отчети</w:t>
      </w:r>
    </w:p>
    <w:p w14:paraId="740311DA" w14:textId="77777777" w:rsidR="0015435E" w:rsidRPr="00C33F72" w:rsidRDefault="0015435E" w:rsidP="00CB6981">
      <w:pPr>
        <w:pStyle w:val="NormalHanging12a"/>
        <w:widowControl/>
        <w:rPr>
          <w:szCs w:val="24"/>
        </w:rPr>
      </w:pPr>
      <w:r w:rsidRPr="00C33F72">
        <w:t>12.</w:t>
      </w:r>
      <w:r w:rsidRPr="00C33F72">
        <w:tab/>
        <w:t xml:space="preserve">отбелязва, че в доклада на </w:t>
      </w:r>
      <w:r w:rsidR="009A70BC" w:rsidRPr="00C33F72">
        <w:t>Палатата</w:t>
      </w:r>
      <w:r w:rsidRPr="00C33F72">
        <w:t xml:space="preserve"> се констатира, че годишните отчети на единайсетте съвместни предприятия за финансовата 2023 година дават вярна представа във всички съществени аспекти за тяхното финансово състояние към 31 декември 2023 г., както и за резултатите от тяхната дейност, паричните потоци и промените в нетните активи за приключилата на тази дата финансова година, в съответствие с разпоредбите на техните финансови регламенти и счетоводните правила, приети от отговорния счетоводител на Комисията; отбелязва освен това, че в резултат на това Палатата е изразила одитни становища без резерви относно надеждността на годишните отчети на съвместните предприятия;</w:t>
      </w:r>
    </w:p>
    <w:p w14:paraId="34D0BD0D" w14:textId="77777777" w:rsidR="0015435E" w:rsidRPr="00C33F72" w:rsidRDefault="0015435E" w:rsidP="00CB6981">
      <w:pPr>
        <w:pStyle w:val="NormalHanging12a"/>
        <w:widowControl/>
        <w:rPr>
          <w:szCs w:val="24"/>
        </w:rPr>
      </w:pPr>
      <w:r w:rsidRPr="00C33F72">
        <w:t>13.</w:t>
      </w:r>
      <w:r w:rsidRPr="00C33F72">
        <w:tab/>
        <w:t xml:space="preserve">отбелязва, че в доклада на Палатата се констатира, че операциите, свързани с годишните отчети, са законосъобразни и редовни във всички съществени аспекти; отбелязва в допълнение, че в резултат на това Палатата е изразила одитни становища без резерви относно законосъобразността и редовността както на приходите, така и на свързаните с отчетите плащания на съвместните предприятия; </w:t>
      </w:r>
    </w:p>
    <w:p w14:paraId="46F16215" w14:textId="77777777" w:rsidR="0015435E" w:rsidRPr="00C33F72" w:rsidRDefault="0015435E" w:rsidP="00CB6981">
      <w:pPr>
        <w:pStyle w:val="NormalHanging12a"/>
        <w:widowControl/>
      </w:pPr>
      <w:r w:rsidRPr="00C33F72">
        <w:t>14.</w:t>
      </w:r>
      <w:r w:rsidRPr="00C33F72">
        <w:tab/>
        <w:t xml:space="preserve">отбелязва факта, че според </w:t>
      </w:r>
      <w:r w:rsidR="009A70BC" w:rsidRPr="00C33F72">
        <w:t>Палатата</w:t>
      </w:r>
      <w:r w:rsidRPr="00C33F72">
        <w:t xml:space="preserve"> на съвместното предприятие „Интелигентни мрежи и услуги“ и на съвместното предприятие „Глобално здравеопазване EDCTP3“ не са предоставени достатъчно насоки относно изготвянето на първите им годишни отчети, особено по отношение на необходимостта от яснота при разграничаването на финансовите ресурси, управлявани от Комисията, преди те да постигнат финансова автономност, и тези, управлявани от съвместните предприятия след нейното постигане; подкрепя препоръката на Палатата за действие в това отношение, в която се препоръчва да се разработят</w:t>
      </w:r>
      <w:r w:rsidRPr="00C33F72">
        <w:rPr>
          <w:b/>
          <w:i/>
        </w:rPr>
        <w:t xml:space="preserve"> </w:t>
      </w:r>
      <w:r w:rsidRPr="00C33F72">
        <w:t>по ясен и разбираем начин счетоводни насоки, в които да се определят правилата за представяне на първите годишни отчети на новите съвместни предприятия, като тези насоки включват указания за това как да се разграничат финансовите ресурси, изпълнявани от Комисията, от ресурсите, изпълнявани от съвместното предприятие, след като то постигне финансова автономност; отбелязва, че рискът за надеждността на годишните отчети се счита като нисък за всички съвместни предприятия, с изключение на съвместното предприятие „Интелигентни мрежи и услуги“ и съвместното предприятие „Глобално здравеопазване EDCTP3“, за които рискът за надеждността се счита за среден поради сложността, породена от прехвърлянето на бюджетни кредити и активи от отговорността на Комисията към отговорността на съвместното предприятие;</w:t>
      </w:r>
    </w:p>
    <w:p w14:paraId="354C889C" w14:textId="77777777" w:rsidR="0015435E" w:rsidRPr="00C33F72" w:rsidRDefault="0015435E" w:rsidP="00CB6981">
      <w:pPr>
        <w:pStyle w:val="NormalHanging12a"/>
        <w:widowControl/>
        <w:rPr>
          <w:szCs w:val="24"/>
        </w:rPr>
      </w:pPr>
      <w:r w:rsidRPr="00C33F72">
        <w:t>15.</w:t>
      </w:r>
      <w:r w:rsidRPr="00C33F72">
        <w:tab/>
        <w:t xml:space="preserve">отбелязва факта, че годишните отчети на Европейското съвместно предприятие за „ITER“ и развитието на термоядрената енергия се изготвят въз основа на базовите стойности за проекта ITER, въведени през 2023 г., но че последните са предмет на текущо преразглеждане, резултатът от което вероятно ще доведе до значителни промени за Европейското съвместно предприятие за „ITER“ и развитието на термоядрената енергия и неговите прогнозни общи разходи при приключване; подчертава, че въпросното съвместно предприятие следва да предприеме всички необходими действия, за да гарантира, че бъдещите базови стойности и техните последици като необходимост от парични вноски на Съюза в съвместното предприятие няма да представляват отговорност за бюджета на Съюза; отбелязва въз основа на изслушването на въпросното съвместно предприятие в комисията по бюджетен контрол, че към момента на изслушването и според въпросното съвместно предприятие е било твърде рано да се представи оценка на </w:t>
      </w:r>
      <w:r w:rsidRPr="00C33F72">
        <w:lastRenderedPageBreak/>
        <w:t xml:space="preserve">финансовото въздействие на посоченото преразглеждане; освен това изразява загриженост във връзка със забавянията, оказващи въздействие върху проекта ITER, дължащи се на фактори извън контрола на съвместното предприятие; </w:t>
      </w:r>
    </w:p>
    <w:p w14:paraId="54219F5D" w14:textId="77777777" w:rsidR="0015435E" w:rsidRPr="00C33F72" w:rsidRDefault="0015435E" w:rsidP="00CB6981">
      <w:pPr>
        <w:pStyle w:val="NormalHanging12a"/>
        <w:widowControl/>
        <w:rPr>
          <w:szCs w:val="24"/>
        </w:rPr>
      </w:pPr>
      <w:r w:rsidRPr="00C33F72">
        <w:t>16.</w:t>
      </w:r>
      <w:r w:rsidRPr="00C33F72">
        <w:tab/>
        <w:t>изразява загриженост относно потенциалното въздействие, което реорганизацията на Европейското съвместно предприятие за „ITER“ и развитието на термоядрената енергия ще окаже върху неговите дейности, по-специално върху нестабилността в краткосрочен и средносрочен план и оперативните рискове за съвместното предприятие; приветства осведомеността на засегнатото съвместно предприятие по тези въпроси и предоставеното обяснение за неговите виждания относно положението; приветства допълнителната информация, предоставена по време на изслушването на въпросното съвместно предприятие в комисията по бюджетен контрол, по-специално по отношение на факта, че рискът за непрекъснатостта на дейността досега е бил смекчен благодарение на силната зависимост от съществуващи програми и проекти; приветства гъвкавостта, която се предоставя от новата матрична структура;</w:t>
      </w:r>
    </w:p>
    <w:p w14:paraId="28EB92B2" w14:textId="77777777" w:rsidR="0015435E" w:rsidRPr="00C33F72" w:rsidRDefault="0015435E" w:rsidP="00CB6981">
      <w:pPr>
        <w:pStyle w:val="NormalHanging12a"/>
        <w:widowControl/>
        <w:rPr>
          <w:szCs w:val="24"/>
        </w:rPr>
      </w:pPr>
      <w:r w:rsidRPr="00C33F72">
        <w:t>17.</w:t>
      </w:r>
      <w:r w:rsidRPr="00C33F72">
        <w:tab/>
        <w:t>отбелязва факта, че рискът за законосъобразността и редовността на приходите беше счетен за нисък за всички съвместни предприятия;</w:t>
      </w:r>
    </w:p>
    <w:p w14:paraId="70677D52" w14:textId="77777777" w:rsidR="0015435E" w:rsidRPr="00C33F72" w:rsidRDefault="0015435E" w:rsidP="00CB6981">
      <w:pPr>
        <w:pStyle w:val="NormalHanging12a"/>
        <w:widowControl/>
        <w:rPr>
          <w:b/>
          <w:i/>
        </w:rPr>
      </w:pPr>
      <w:r w:rsidRPr="00C33F72">
        <w:rPr>
          <w:b/>
          <w:i/>
        </w:rPr>
        <w:t>Бюджетно и финансово управление</w:t>
      </w:r>
    </w:p>
    <w:p w14:paraId="4D3F97A4" w14:textId="77777777" w:rsidR="0015435E" w:rsidRPr="00C33F72" w:rsidRDefault="0015435E" w:rsidP="00CB6981">
      <w:pPr>
        <w:pStyle w:val="NormalHanging12a"/>
        <w:widowControl/>
        <w:rPr>
          <w:szCs w:val="24"/>
        </w:rPr>
      </w:pPr>
      <w:r w:rsidRPr="00C33F72">
        <w:t>18.</w:t>
      </w:r>
      <w:r w:rsidRPr="00C33F72">
        <w:tab/>
        <w:t xml:space="preserve">отбелязва, че според </w:t>
      </w:r>
      <w:r w:rsidR="009A70BC" w:rsidRPr="00C33F72">
        <w:t>Палатата</w:t>
      </w:r>
      <w:r w:rsidRPr="00C33F72">
        <w:t xml:space="preserve"> общият наличен бюджет за 2023 г. за единадесетте съвместни предприятия, одитирани от Палатата, възлиза на 4,25 милиарда евро бюджетни кредити за поети задължения и 3,87 милиарда евро бюджетни кредити за плащания; Палатата счита, че общият наличен бюджет включва неусвоените бюджетни кредити от предходни години, които съвместните предприятия са вписали отново в бюджета за текущата година, както и целевите приходи и преразпределенията за следващата година; отбелязва по-конкретно, че:</w:t>
      </w:r>
    </w:p>
    <w:p w14:paraId="1BA95B4D" w14:textId="77777777" w:rsidR="0015435E" w:rsidRPr="00C33F72" w:rsidRDefault="0015435E" w:rsidP="00115FFB">
      <w:pPr>
        <w:pStyle w:val="NormalHanging12a"/>
        <w:widowControl/>
        <w:ind w:left="1134"/>
        <w:rPr>
          <w:szCs w:val="24"/>
        </w:rPr>
      </w:pPr>
      <w:r w:rsidRPr="00C33F72">
        <w:t>а)</w:t>
      </w:r>
      <w:r w:rsidRPr="00C33F72">
        <w:tab/>
        <w:t>общият наличен бюджет за 2023 г. за съвместното предприятие „Изследване на УВД в единното европейско небе 3“ възлиза на 111,2 милиона евро бюджетни кредити за поети задължения (в сравнение със 158,8 милиона евро през 2022 г.) и 241,5 милиона евро бюджетни кредити за плащания (в сравнение със 146,9 милиона евро през 2022 г.); освен това разбира, че според доклада относно бюджетното и финансовото управление на съвместното предприятие „Изследване на УВД в единното европейско небе 3“ общата степен на изпълнение на бюджета за финансовата 2023 година е достигнала 92% за бюджетните кредити за поети задължения и 81% за бюджетните кредити за плащания, което показва, че няма сериозни проблеми, свързани с темпа на изпълнение на бюджета; въпреки това подчертава ниската степен на изпълнение на бюджетните кредити за плащания, предназначени за инфраструктура и оперативни разходи, която достигна 55%; отбелязва обяснението на съвместното предприятие и като цяло призовава съвместното предприятие да гарантира стабилен темп на изпълнение за всеки раздел от своя бюджет;</w:t>
      </w:r>
    </w:p>
    <w:p w14:paraId="4B2061F4" w14:textId="77777777" w:rsidR="0015435E" w:rsidRPr="00C33F72" w:rsidRDefault="0015435E" w:rsidP="00115FFB">
      <w:pPr>
        <w:pStyle w:val="NormalHanging12a"/>
        <w:widowControl/>
        <w:ind w:left="1134"/>
        <w:rPr>
          <w:szCs w:val="24"/>
        </w:rPr>
      </w:pPr>
      <w:r w:rsidRPr="00C33F72">
        <w:t>б)</w:t>
      </w:r>
      <w:r w:rsidRPr="00C33F72">
        <w:tab/>
        <w:t xml:space="preserve">общият наличен бюджет за 2023 г. за съвместното предприятие „Чисто въздухоплаване“ възлиза на 269 милиона евро бюджетни кредити за поети задължения (в сравнение с 411,2 милиона евро през 2022 г.) и 486,4 милиона евро бюджетни кредити за плащания (в сравнение с 415,3 милиона евро през 2022 г.); освен това разбира, че според доклада относно бюджетното и </w:t>
      </w:r>
      <w:r w:rsidRPr="00C33F72">
        <w:lastRenderedPageBreak/>
        <w:t xml:space="preserve">финансовото управление на съвместното предприятие „Чисто въздухоплаване“ общата степен на изпълнение на бюджета за финансовата 2023 година е достигнала 98,58% за бюджетните кредити за поети задължения и 51,18% за бюджетните кредити за плащания, което показва, че няма сериозни проблеми, свързани с темпа на изпълнение на бюджета; отбелязва по-специално, че степента на изпълнение на двата дяла за оперативни разходи е съответно 80,50% и 81,11% за бюджетните кредити за плащания; освен това подчертава ниската степен на изпълнение на бюджетните кредити за плащания, предназначени за инфраструктура, която достигна 60,52%; изразява дълбоко съжаление във връзка с голямата сума, отпусната за дял 5 от неговия бюджет за неизползвани бюджетни кредити за плащания в размер на 177 милиона евро, който има степен на техническо изпълнение от 0%; отбелязва обяснението на съвместното предприятие и по принцип призовава съвместното предприятие да гарантира стабилен темп на изпълнение за всеки раздел от своя бюджет; </w:t>
      </w:r>
    </w:p>
    <w:p w14:paraId="345AA455" w14:textId="77777777" w:rsidR="0015435E" w:rsidRPr="00C33F72" w:rsidRDefault="0015435E" w:rsidP="00115FFB">
      <w:pPr>
        <w:pStyle w:val="NormalHanging12a"/>
        <w:widowControl/>
        <w:ind w:left="1134"/>
        <w:rPr>
          <w:szCs w:val="24"/>
        </w:rPr>
      </w:pPr>
      <w:r w:rsidRPr="00C33F72">
        <w:t>в)</w:t>
      </w:r>
      <w:r w:rsidRPr="00C33F72">
        <w:tab/>
        <w:t>общият наличен бюджет за 2023 г. за съвместното предприятие „Инициатива за иновативно здравеопазване“ възлиза на 223,2 милиона евро бюджетни кредити за поети задължения (в сравнение с 272,4 милиона евро през 2022 г.) и 225,9 милиона евро бюджетни кредити за плащания (в сравнение със 174,8 милиона евро през 2022 г.); освен това разбира, че според доклада относно бюджетното и финансовото управление на съвместното предприятие „Инициатива за иновативно здравеопазване“ общата степен на изпълнение на бюджета за финансовата 2023 година е достигнала 92,65% за бюджетните кредити за поети задължения и 90,29% за бюджетните кредити за плащания, което показва, че няма сериозни проблеми, свързани с темпа на изпълнение на бюджета; при все това подчертава ниската степен на изпълнение на бюджетните кредити за поети задължения и за плащания, предназначени за инфраструктура, която достигна съответно 68,67% и 67,30%; отбелязва обяснението на съвместното предприятие и по принцип призовава съвместното предприятие да гарантира стабилен темп на изпълнение за всеки раздел от своя бюджет;</w:t>
      </w:r>
    </w:p>
    <w:p w14:paraId="145F30CA" w14:textId="77777777" w:rsidR="0015435E" w:rsidRPr="00C33F72" w:rsidRDefault="0015435E" w:rsidP="00115FFB">
      <w:pPr>
        <w:pStyle w:val="NormalHanging12a"/>
        <w:widowControl/>
        <w:ind w:left="1134"/>
        <w:rPr>
          <w:szCs w:val="24"/>
        </w:rPr>
      </w:pPr>
      <w:r w:rsidRPr="00C33F72">
        <w:t>г)</w:t>
      </w:r>
      <w:r w:rsidRPr="00C33F72">
        <w:tab/>
        <w:t>общият наличен бюджет за 2023 г. за съвместното предприятие „Чист водород“ възлиза на 268,9 милиона евро бюджетни кредити за поети задължения (в сравнение с 314,3 милиона евро през 2022 г.) и 327,8 милиона евро бюджетни кредити за плащания (в сравнение със 118,3 милиона евро през 2022 г.); освен това разбира, че според доклада относно бюджетното и финансовото управление на съвместното предприятие „Чист водород“ общата степен на изпълнение на бюджета за финансовата 2023 година е достигнала 96,62% за бюджетните кредити за поети задължения и 85,43% за бюджетните кредити за плащания, което показва, че няма сериозни проблеми, свързани с темпа на изпълнение на бюджета; при все това подчертава ниската степен на изпълнение на бюджетните кредити за плащания, предназначени за оперативни разходи, финансирани по линия на „Хоризонт 2020“, която достигна 69,41%; подчертава също така ниската степен на изпълнение на бюджетните кредити за поети задължения и за плащания, предназначени за инфраструктура, която достигна съответно 71,21% и 60,60%; отбелязва обясненията на съвместното предприятие и по принцип призовава съвместното предприятие да гарантира стабилен темп на изпълнение за всеки раздел от своя бюджет;</w:t>
      </w:r>
    </w:p>
    <w:p w14:paraId="22DF7C0B" w14:textId="77777777" w:rsidR="0015435E" w:rsidRPr="00C33F72" w:rsidRDefault="0015435E" w:rsidP="00115FFB">
      <w:pPr>
        <w:pStyle w:val="NormalHanging12a"/>
        <w:widowControl/>
        <w:ind w:left="1134"/>
        <w:rPr>
          <w:szCs w:val="24"/>
        </w:rPr>
      </w:pPr>
      <w:r w:rsidRPr="00C33F72">
        <w:lastRenderedPageBreak/>
        <w:t>д)</w:t>
      </w:r>
      <w:r w:rsidRPr="00C33F72">
        <w:tab/>
        <w:t>общият наличен бюджет за 2023 г. за съвместното предприятие „Интегрални схеми“ възлиза на 835,7 милиона евро бюджетни кредити за поети задължения (в сравнение с 261,4 милиона евро през 2022 г.) и 518,4 милиона евро бюджетни кредити за плащания (в сравнение с 222,2 милиона евро през 2022 г.); освен това разбира, че според доклада относно бюджетното и финансовото управление на съвместното предприятие „Интегрални схеми“ общата степен на изпълнение на бюджета за финансовата 2023 година е достигнала 100% за бюджетните кредити за поети задължения и 37% за бюджетните кредити за плащания, което показва, че няма сериозни проблеми, свързани с темпа на изпълнение на бюджета; подчертава по-специално изключително ниската степен на изпълнение на бюджетните кредити за плащания, предназначени за оперативни разходи, която достигна 36%; отбелязва обяснението на съвместното предприятие, но изразява дълбоко съжаление за тази толкова ниска степен на изпълнение и по принцип призовава съвместното предприятие да гарантира стабилен темп на изпълнение за всеки раздел от своя бюджет; отбелязва факта, че тези елементи във връзка с увеличеното финансиране, от което съвместното предприятие „Интегрални схеми“ се е възползвало през 2023 г., и които съвместното предприятие „Интегрални схеми“ е трябвало да изпълни, доведоха Палатата до заключението, че за това съвместно предприятие рискът за управлението на бюджета е среден;</w:t>
      </w:r>
    </w:p>
    <w:p w14:paraId="72A6707C" w14:textId="77777777" w:rsidR="0015435E" w:rsidRPr="00C33F72" w:rsidRDefault="0015435E" w:rsidP="00115FFB">
      <w:pPr>
        <w:pStyle w:val="NormalHanging12a"/>
        <w:widowControl/>
        <w:ind w:left="1134"/>
        <w:rPr>
          <w:szCs w:val="24"/>
        </w:rPr>
      </w:pPr>
      <w:r w:rsidRPr="00C33F72">
        <w:t>е)</w:t>
      </w:r>
      <w:r w:rsidRPr="00C33F72">
        <w:tab/>
        <w:t>общият наличен бюджет за 2023 г. за съвместното предприятие „Кръгова биотехнологична Европа“ възлиза на 227,4 милиона евро бюджетни кредити за поети задължения (в сравнение с 264,2 милиона евро през 2022 г.) и 137,4 милиона евро бюджетни кредити за плащания (в сравнение с 80,3 милиона евро през 2022 г.); освен това разбира, че според доклада относно бюджетното и финансовото управление на съвместното предприятие „Кръгова биотехнологична Европа“ общата степен на изпълнение на бюджета за финансовата 2023 година е достигнала 97,6% за бюджетните кредити за поети задължения и 90,3% за бюджетните кредити за плащания, което показва, че няма сериозни проблеми, свързани с темпа на изпълнение на бюджета; въпреки това подчертава ниската степен на изпълнение на бюджетните кредити за поети задължения и за плащания за частта от административните разходи, предназначена за заплати, която достигна съответно 64% и 57%, както и ниската степен на изпълнение на бюджетните кредити за плащания за частта от административните разходи, предназначена за други административни разходи, която достигна 54%; отбелязва обяснението на съвместното предприятие и по принцип призовава съвместното предприятие да гарантира стабилен темп на изпълнение за всеки раздел от своя бюджет;</w:t>
      </w:r>
    </w:p>
    <w:p w14:paraId="7636319D" w14:textId="77777777" w:rsidR="0015435E" w:rsidRPr="00C33F72" w:rsidRDefault="0015435E" w:rsidP="00115FFB">
      <w:pPr>
        <w:pStyle w:val="NormalHanging12a"/>
        <w:widowControl/>
        <w:ind w:left="1134"/>
        <w:rPr>
          <w:szCs w:val="24"/>
        </w:rPr>
      </w:pPr>
      <w:r w:rsidRPr="00C33F72">
        <w:t>ж)</w:t>
      </w:r>
      <w:r w:rsidRPr="00C33F72">
        <w:tab/>
        <w:t xml:space="preserve">общият наличен бюджет за 2023 г. за съвместното предприятие „Европейски железопътен транспорт“ възлиза на 102,6 милиона евро бюджетни кредити за поети задължения (в сравнение със 171,4 милиона евро през 2022 г.) и 120,3 милиона евро бюджетни кредити за плащания (в сравнение със 180,8 милиона евро през 2022 г.); освен това разбира, че според доклада относно бюджетното и финансовото управление на съвместното предприятие „Европейски железопътен транспорт“ общата степен на изпълнение на бюджета за финансовата 2023 година е достигнала 97% за бюджетните кредити за поети задължения и 82% за бюджетните кредити за плащания, което показва, че няма сериозни проблеми, свързани с темпа на </w:t>
      </w:r>
      <w:r w:rsidRPr="00C33F72">
        <w:lastRenderedPageBreak/>
        <w:t xml:space="preserve">изпълнение на бюджета; при все това подчертава ниската степен на изпълнение на бюджетните кредити за плащания за частта от оперативни разходи, финансирани по линия на „Хоризонт 2020“, която достигна 67%; отбелязва обяснението на съвместното предприятие и по принцип призовава съвместното предприятие да гарантира стабилен темп на изпълнение за всеки раздел от своя бюджет; посочва, че съвместното предприятие „Европейски железопътен транспорт“ е отложило окончателните плащания за 2024 г. поради технически проблеми, с които се сблъскват бенефициентите; отбелязва, че по няколко проекта бюджетите все още не са изцяло заявени, което е намалило необходимостта от оперативни плащания с приблизително 4,1 милиона евро. </w:t>
      </w:r>
      <w:r w:rsidRPr="00C33F72">
        <w:rPr>
          <w:color w:val="000000"/>
        </w:rPr>
        <w:t xml:space="preserve">призовава въпросното съвместно предприятие да разработи план за това как да се подобрят задълженията за счетоводно отчитане; </w:t>
      </w:r>
      <w:r w:rsidRPr="00C33F72">
        <w:t>подчертава значението на подкрепата за съвместното предприятие предвид присъщите предимства на железопътния транспорт по отношение на екологичните характеристики, земеползването, потреблението на енергия и безопасността;</w:t>
      </w:r>
    </w:p>
    <w:p w14:paraId="181A5BE2" w14:textId="55304A34" w:rsidR="0015435E" w:rsidRPr="00C33F72" w:rsidRDefault="0015435E" w:rsidP="00115FFB">
      <w:pPr>
        <w:pStyle w:val="NormalHanging12a"/>
        <w:widowControl/>
        <w:ind w:left="1134"/>
        <w:rPr>
          <w:szCs w:val="24"/>
        </w:rPr>
      </w:pPr>
      <w:r w:rsidRPr="00C33F72">
        <w:t>з)</w:t>
      </w:r>
      <w:r w:rsidRPr="00C33F72">
        <w:tab/>
        <w:t>общият наличен бюджет за 2023 г. за Съвместното предприятие за европейски високопроизводителни изчислителни технологии възлиза на 1</w:t>
      </w:r>
      <w:r w:rsidR="006138DC">
        <w:t> </w:t>
      </w:r>
      <w:r w:rsidRPr="00C33F72">
        <w:t>136 милиона евро бюджетни кредити за поети задължения (в сравнение с 1</w:t>
      </w:r>
      <w:r w:rsidR="006138DC">
        <w:t> </w:t>
      </w:r>
      <w:r w:rsidRPr="00C33F72">
        <w:t>374,5 милиона евро през 2022 г.) и 1</w:t>
      </w:r>
      <w:r w:rsidR="006138DC">
        <w:t> </w:t>
      </w:r>
      <w:r w:rsidRPr="00C33F72">
        <w:t>058 милиона евро бюджетни кредити за плащания (в сравнение с 629,9 милиона евро през 2022 г.); освен това разбира, че според доклада относно бюджетното и финансовото управление на Съвместното предприятие за европейски високопроизводителни изчислителни технологии общата степен на изпълнение на бюджета за финансовата 2023 година е достигнала 83% за бюджетните кредити за поети задължения и 19% за бюджетните кредити за плащания, което показва, че няма сериозни проблеми, свързани с темпа на изпълнение на бюджета; подчертава по-специално изключително ниската степен на изпълнение на бюджетните кредити за плащания, предназначени за оперативни разходи, която достигна 19%; отбелязва обяснението на съвместното предприятие, но изразява дълбоко съжаление във връзка с тази ниска степен на изпълнение; подчертава също така ниската степен на изпълнение на бюджетните кредити за поети задължения и за плащания, предназначени за административни разходи, която достигна съответно 45% и 42%; отбелязва обяснението на съвместното предприятие и по принцип призовава съвместното предприятие да гарантира стабилен темп на изпълнение за всеки раздел от своя бюджет; отбелязва факта, че тези елементи във връзка с увеличеното финансиране, от което Съвместното предприятие за европейски високопроизводителни изчислителни технологии се е възползвало през 2023 г., и които Съвместното предприятие за европейски високопроизводителни изчислителни технологии е трябвало да изпълни, доведоха Палатата до заключението, че за това съвместно предприятие рискът за управлението на бюджета е среден; приветства допълнителната информация, предоставена по време на изслушването на засегнатото съвместно предприятие в комисията по бюджетен контрол относно причините за ниска бавна степен на изпълнение;</w:t>
      </w:r>
    </w:p>
    <w:p w14:paraId="4643ACB7" w14:textId="77777777" w:rsidR="0015435E" w:rsidRPr="00C33F72" w:rsidRDefault="0015435E" w:rsidP="00115FFB">
      <w:pPr>
        <w:pStyle w:val="NormalHanging12a"/>
        <w:widowControl/>
        <w:ind w:left="1134"/>
        <w:rPr>
          <w:szCs w:val="24"/>
        </w:rPr>
      </w:pPr>
      <w:r w:rsidRPr="00C33F72">
        <w:t>и)</w:t>
      </w:r>
      <w:r w:rsidRPr="00C33F72">
        <w:tab/>
        <w:t xml:space="preserve">общият наличен бюджет за 2023 г. за съвместното предприятие „Интелигентни мрежи и услуги“ възлиза на 134,7 милиона евро бюджетни кредити за поети задължения и 122,9 милиона евро бюджетни кредити за плащания); освен това разбира, че според доклада относно бюджетното и </w:t>
      </w:r>
      <w:r w:rsidRPr="00C33F72">
        <w:lastRenderedPageBreak/>
        <w:t>финансовото управление на съвместното предприятие „Интелигентни мрежи и услуги“ общата степен на изпълнение на бюджета за финансовата 2023 година е достигнала 99% за бюджетните кредити за поети задължения и 89% за бюджетните кредити за плащания; счита, че предвид краткия период от време, през който съвместното предприятие е придобило финансова автономност през финансовата 2023 година, Европейският парламент няма достатъчно основания да изрази добросъвестно своето становище относно качеството на финансовото управление на съвместното предприятие; въпреки това отбелязва, че поради тази ситуация рискът за законосъобразността и редовността на административните разходи за съвместното предприятие беше счетен за среден;</w:t>
      </w:r>
    </w:p>
    <w:p w14:paraId="2D45CA7D" w14:textId="77777777" w:rsidR="0015435E" w:rsidRPr="00C33F72" w:rsidRDefault="0015435E" w:rsidP="00115FFB">
      <w:pPr>
        <w:pStyle w:val="NormalHanging12a"/>
        <w:widowControl/>
        <w:ind w:left="1134"/>
        <w:rPr>
          <w:szCs w:val="24"/>
        </w:rPr>
      </w:pPr>
      <w:r w:rsidRPr="00C33F72">
        <w:t>й)</w:t>
      </w:r>
      <w:r w:rsidRPr="00C33F72">
        <w:tab/>
        <w:t>общият наличен бюджет за 2023 г. за съвместното предприятие „Глобално здравеопазване EDCTP3“ възлиза на 136,4 милиона евро бюджетни кредити за поети задължения и 2,2 милиона евро бюджетни кредити за плащания; освен това разбира, че според доклада относно бюджетното и финансовото управление на съвместното предприятие „Глобално здравеопазване EDCTP3“ общата степен на изпълнение на бюджета за финансовата 2023 година е достигнала 100% за бюджетните кредити за поети задължения и 47% за бюджетните кредити за плащания; счита, че предвид краткия период от време, през който съвместното предприятие е придобило финансова автономност през финансовата 2023 година, Европейският парламент няма достатъчно основания да изрази добросъвестно своето становище относно качеството на финансовото управление на съвместното предприятие; въпреки това отбелязва, че поради тази ситуация рискът за законосъобразността и редовността на административните разходи за съвместното предприятие беше счетен за среден;</w:t>
      </w:r>
    </w:p>
    <w:p w14:paraId="6975E75D" w14:textId="77777777" w:rsidR="0015435E" w:rsidRPr="00C33F72" w:rsidRDefault="0015435E" w:rsidP="00115FFB">
      <w:pPr>
        <w:pStyle w:val="NormalHanging12a"/>
        <w:widowControl/>
        <w:ind w:left="1134"/>
        <w:rPr>
          <w:szCs w:val="24"/>
        </w:rPr>
      </w:pPr>
      <w:r w:rsidRPr="00C33F72">
        <w:t>к)</w:t>
      </w:r>
      <w:r w:rsidRPr="00C33F72">
        <w:tab/>
        <w:t>общият наличен бюджет за 2023 г. за Европейското съвместно предприятие за „ITER“ и развитието на термоядрената енергия възлиза на 807 милиона евро бюджетни кредити за поети задължения (в сравнение с 981,2 милиона евро през 2022 г.) и 631,5 милиона евро бюджетни кредити за плащания (в сравнение с 844 милиона евро през 2022 г.); освен това разбира, че според доклада относно бюджетното и финансовото управление на Европейското съвместно предприятие за „ITER“ и развитието на термоядрената енергия общата степен на изпълнение на бюджета за финансовата 2023 година е достигнала 73% за бюджетните кредити за поети задължения и 95% за бюджетните кредити за плащания, което показва, че няма сериозни проблеми, свързани с темпа на изпълнение на бюджета; подчертава по-специално ниската степен на изпълнение на бюджетните кредити за поети задължения, предназначени за оперативни разходи, която достигна 70%; отбелязва обяснението на съвместното предприятие и отбелязва трансферите, направени обратно към първоначално планираните вноски на Евратом и държавата – домакин на ITER, и по принцип призовава съвместното предприятие да гарантира стабилен темп на изпълнение за всеки раздел от своя бюджет; отбелязва факта, че тези елементи, които са свързани със закъснения и трудности при изпълнението, са довели до заключението на Палатата, че за това съвместно предприятие рискът за управлението на бюджета е среден;</w:t>
      </w:r>
    </w:p>
    <w:p w14:paraId="6B39BF56" w14:textId="77777777" w:rsidR="0015435E" w:rsidRPr="00C33F72" w:rsidRDefault="0015435E" w:rsidP="00CB6981">
      <w:pPr>
        <w:pStyle w:val="NormalHanging12a"/>
        <w:widowControl/>
        <w:rPr>
          <w:szCs w:val="24"/>
        </w:rPr>
      </w:pPr>
      <w:r w:rsidRPr="00C33F72">
        <w:t>19.</w:t>
      </w:r>
      <w:r w:rsidRPr="00C33F72">
        <w:tab/>
        <w:t xml:space="preserve">споделя загрижеността на Палатата по отношение на неизползваните бюджетни кредити за изпълнението на програмите на някои съвместни предприятия и </w:t>
      </w:r>
      <w:r w:rsidRPr="00C33F72">
        <w:lastRenderedPageBreak/>
        <w:t>призовава съответните съвместни предприятия да избягват повторно възникване на подобни ситуации, тъй като натрупването на неизползвани бюджетни кредити води до парични излишъци, които следователно не са на разположение на Съюза за финансиране на други дейности и програми; подчертава, че това не е в съответствие с принципа на добро финансово управление и е довело до общ паричен излишък в размер на 1,5 милиарда евро за финансовата 2023 година; споделя препоръката на Палатата за действие в това отношение, а именно съответните съвместни предприятия да разработят коригиращи механизми за намаляване на своите парични излишъци до разумно равнище и впоследствие да привеждат исканията си за парични средства за всяка финансова година в съответствие с прогнозните си нужди от разходи, при координиране с Комисията; разбира възможностите съгласно финансовите правила на съответните съвместни предприятия неизползваните бюджетни кредити да бъдат вписани в прогнозата за приходите и разходите за срок до три финансови години след тяхното получаване; въпреки това изразява загриженост по-конкретно във връзка с:</w:t>
      </w:r>
    </w:p>
    <w:p w14:paraId="216E3D4E" w14:textId="77777777" w:rsidR="0015435E" w:rsidRPr="00C33F72" w:rsidRDefault="0015435E" w:rsidP="00115FFB">
      <w:pPr>
        <w:pStyle w:val="NormalHanging12a"/>
        <w:widowControl/>
        <w:ind w:left="1134"/>
        <w:rPr>
          <w:szCs w:val="24"/>
        </w:rPr>
      </w:pPr>
      <w:r w:rsidRPr="00C33F72">
        <w:t>а)</w:t>
      </w:r>
      <w:r w:rsidRPr="00C33F72">
        <w:tab/>
        <w:t>недостатъците в паричното планиране на съвместното предприятие „Чисто въздухоплаване“ вследствие на искането за допълнителни финансови вноски от Съюза в размер на 178 милиона евро, надхвърлящи нуждите от парични средства за планирани плащания през 2023 г., което води до паричен излишък от 237 милиона евро в края на 2023 г.; отбелязва обаче обяснението на съвместното предприятие; при все това отново призовава съвместното предприятие „Чисто въздухоплаване“ да избягва повтаряне на подобни ситуации и приветства корекциите, обявени от съвместното предприятие за 2024 г.;</w:t>
      </w:r>
    </w:p>
    <w:p w14:paraId="1D32A4F1" w14:textId="77777777" w:rsidR="0015435E" w:rsidRPr="00C33F72" w:rsidRDefault="0015435E" w:rsidP="00115FFB">
      <w:pPr>
        <w:pStyle w:val="NormalHanging12a"/>
        <w:widowControl/>
        <w:ind w:left="1134"/>
        <w:rPr>
          <w:szCs w:val="24"/>
        </w:rPr>
      </w:pPr>
      <w:r w:rsidRPr="00C33F72">
        <w:t>б)</w:t>
      </w:r>
      <w:r w:rsidRPr="00C33F72">
        <w:tab/>
        <w:t>недостатъците в паричното планиране на съвместното предприятие „Интегрални схеми“ вследствие на искането за допълнителни финансови вноски от Съюза в размер на 196 милиона евро, надхвърлящи нуждите от парични средства за планирани плащания през 2023 г., което води до паричен излишък от 438 милиона евро в края на 2023 г.; отбелязва обаче обяснението на съвместното предприятие; при все това отново призовава съвместното предприятие „Интегрални схеми“ да избягва повтаряне на подобни ситуации и приветства амбицията, обявена от съвместното предприятие за 2024 г.;</w:t>
      </w:r>
    </w:p>
    <w:p w14:paraId="3AEE6F98" w14:textId="77777777" w:rsidR="0015435E" w:rsidRPr="00C33F72" w:rsidRDefault="0015435E" w:rsidP="00115FFB">
      <w:pPr>
        <w:pStyle w:val="NormalHanging12a"/>
        <w:widowControl/>
        <w:ind w:left="1134"/>
        <w:rPr>
          <w:szCs w:val="24"/>
        </w:rPr>
      </w:pPr>
      <w:r w:rsidRPr="00C33F72">
        <w:t>в)</w:t>
      </w:r>
      <w:r w:rsidRPr="00C33F72">
        <w:tab/>
        <w:t>недостатъците в паричното планиране на Съвместното предприятие за европейски високопроизводителни изчислителни технологии вследствие на искането за допълнителни финансови вноски от Съюза в размер на 488,6 милиона евро, надхвърлящи нуждите от парични средства за планирани плащания през 2023 г., което води до паричен излишък от 840,7 милиона евро в края на 2023 г.; разбира ситуацията в съвместното предприятие, довела до този излишък, и приветства допълнителната информация, предоставена по време на изслушването на въпросното съвместно предприятие в комисията по бюджетен контрол, по-специално относно очакванията проектите, свързани с изкуствения интелект, да предоставят възможност за значителни изходящи парични потоци; въпреки това отново призовава Съвместното предприятие за европейски високопроизводителни изчислителни технологии да избягва повтаряне на подобни ситуации;</w:t>
      </w:r>
    </w:p>
    <w:p w14:paraId="683BDCFA" w14:textId="77777777" w:rsidR="0015435E" w:rsidRPr="00C33F72" w:rsidRDefault="0015435E" w:rsidP="00CB6981">
      <w:pPr>
        <w:pStyle w:val="NormalHanging12a"/>
        <w:widowControl/>
        <w:rPr>
          <w:b/>
          <w:i/>
        </w:rPr>
      </w:pPr>
      <w:r w:rsidRPr="00C33F72">
        <w:lastRenderedPageBreak/>
        <w:t>20.</w:t>
      </w:r>
      <w:r w:rsidRPr="00C33F72">
        <w:tab/>
        <w:t>подчертава, че всички съвместни предприятия трябва да подобрят вътрешния си финансов контрол и механизмите си за публична прозрачност, като гарантират, че средствата се разпределят ефективно и в съответствие със стратегическите цели на Съюза;</w:t>
      </w:r>
    </w:p>
    <w:p w14:paraId="5B995CF4" w14:textId="77777777" w:rsidR="0015435E" w:rsidRPr="00C33F72" w:rsidRDefault="0015435E" w:rsidP="00CB6981">
      <w:pPr>
        <w:pStyle w:val="NormalHanging12a"/>
        <w:widowControl/>
      </w:pPr>
      <w:r w:rsidRPr="00C33F72">
        <w:t>21.</w:t>
      </w:r>
      <w:r w:rsidRPr="00C33F72">
        <w:tab/>
        <w:t>споделя опасенията на Палатата относно вноските на членовете за някои съвместни предприятия, по-специално относно възможността някои съвместни предприятия да не могат да постигнат своите цели за вноските или да го постигнат само чрез силна зависимост от вноски в натура за допълнителни дейности, и призовава съответните съвместни предприятия да предприемат всички необходими действия, за да предотвратят възникването на подобни ситуации в бъдеще; подчертава, че постигането на целите за вноските е отговорност и задължение на съответните съвместни предприятия и че неизпълнението на целите за вноските противоречи на основополагащата идея за съвместни предприятия; изразява загриженост по-конкретно във връзка с:</w:t>
      </w:r>
    </w:p>
    <w:p w14:paraId="258FD954" w14:textId="77777777" w:rsidR="0015435E" w:rsidRPr="00C33F72" w:rsidRDefault="0015435E" w:rsidP="00115FFB">
      <w:pPr>
        <w:pStyle w:val="NormalHanging12a"/>
        <w:widowControl/>
        <w:ind w:left="1134"/>
        <w:rPr>
          <w:szCs w:val="24"/>
        </w:rPr>
      </w:pPr>
      <w:r w:rsidRPr="00C33F72">
        <w:t>а)</w:t>
      </w:r>
      <w:r w:rsidRPr="00C33F72">
        <w:tab/>
        <w:t>положението на съвместното предприятие „Изследване на УВД в единното европейско небе 3“, което постигна едва 70% от целта за оперативната вноска на неговия член Евроконтрол, в резултат на което съвместното предприятие не разполага с планираните вноски, за да изпълни изцяло своята част от „Хоризонт 2020“; отбелязва факта, че този елемент обаче не е накарал Палатата да счете, че за това съвместно предприятие рискът за изпълнението на програмата е среден или висок, а той е бил счетен за нисък;</w:t>
      </w:r>
    </w:p>
    <w:p w14:paraId="1A913972" w14:textId="77777777" w:rsidR="0015435E" w:rsidRPr="00C33F72" w:rsidRDefault="0015435E" w:rsidP="00115FFB">
      <w:pPr>
        <w:pStyle w:val="NormalHanging12a"/>
        <w:widowControl/>
        <w:ind w:left="1134"/>
        <w:rPr>
          <w:szCs w:val="24"/>
        </w:rPr>
      </w:pPr>
      <w:r w:rsidRPr="00C33F72">
        <w:t>б)</w:t>
      </w:r>
      <w:r w:rsidRPr="00C33F72">
        <w:tab/>
        <w:t>положението на съвместното предприятие „Кръгова биотехнологична Европа“, което постигна добри резултати при достигането на целта си за вноските по „Хоризонт 2020“, но по-конкретно направи това чрез преразглеждане на баланса между целите за вноски в натура за оперативни дейности и за вноски в натура за допълнителни дейности, като последните бяха увеличени на 2444,5 милиона евро, което съответства на 90% от общата цел; подчертава, че подобно разчитане на вноски в натура за допълнителни дейности представлява риск за изпълнението на програма „Хоризонт 2020“; подчертава същественото въздействие на преразглеждането, извършено от съвместното предприятие; отбелязва обяснението на съвместното предприятие и факта, че допълнителните дейности допринасят за общите цели на съвместното предприятие; въпреки това подчертава, че това представлява прекомерна зависимост от вноски в натура за допълнителни дейности за постигане на установените цели, и призовава съвместното предприятие да избягва повтаряне на такава ситуация; отбелязва факта, че тези елементи са довели до заключението на Палатата, че за това съвместно предприятие рискът за управлението на бюджета е висок;</w:t>
      </w:r>
    </w:p>
    <w:p w14:paraId="50557A4B" w14:textId="77777777" w:rsidR="0015435E" w:rsidRPr="00C33F72" w:rsidRDefault="0015435E" w:rsidP="00115FFB">
      <w:pPr>
        <w:pStyle w:val="NormalHanging12a"/>
        <w:widowControl/>
        <w:ind w:left="1134"/>
        <w:rPr>
          <w:szCs w:val="24"/>
        </w:rPr>
      </w:pPr>
      <w:r w:rsidRPr="00C33F72">
        <w:t>в)</w:t>
      </w:r>
      <w:r w:rsidRPr="00C33F72">
        <w:tab/>
        <w:t xml:space="preserve">положението на Съвместното предприятие за европейски високопроизводителни изчислителни технологии, чиито вноски от частни членове по „Хоризонт 2020“ достигнаха само отчетена сума от 18,4 милиона евро при цел от 420 милиона евро, което представлява сериозна разлика; отбелязва освен това, че подобна ситуация може да възникне отново в рамките на „Хоризонт Европа“ и „Цифрова Европа“, тъй като целта за вноските за членовете от частния сектор се е увеличила значително на 900 милиона евро, докато механизмите за финансиране, които са причинили трудности за членовете от частния сектор в рамките на „Хоризонт 2020“, остават в сила; отбелязва факта, че тези елементи са довели до заключението </w:t>
      </w:r>
      <w:r w:rsidRPr="00C33F72">
        <w:lastRenderedPageBreak/>
        <w:t>на Палатата, че за това съвместно предприятие рискът за управлението на бюджета е висок; разбира от допълнителната информация, предоставена по време на изслушването на засегнатото съвместно предприятие в комисията по бюджетен контрол, че този проблем се разглежда в сътрудничество с управителния съвет; въпреки това споделя препоръката на Палатата за действие в това отношение, в която се препоръчва Съвместното предприятие за европейски високопроизводителни изчислителни технологии да подкрепи едно повторно оценяване от Комисията на настоящата цел, за да се гарантира, че то може да постигне целта си за вноските за членовете от частния сектор по „Хоризонт Европа“ и „Цифрова Европа“, и отново подчертава, че постигането на целите за вноските не следва просто да се разглежда като амбиция, а като задължение;</w:t>
      </w:r>
    </w:p>
    <w:p w14:paraId="7A416BB4" w14:textId="77777777" w:rsidR="0015435E" w:rsidRPr="00C33F72" w:rsidRDefault="0015435E" w:rsidP="00CB6981">
      <w:pPr>
        <w:pStyle w:val="NormalHanging12a"/>
        <w:widowControl/>
        <w:rPr>
          <w:szCs w:val="24"/>
        </w:rPr>
      </w:pPr>
      <w:r w:rsidRPr="00C33F72">
        <w:t>22.</w:t>
      </w:r>
      <w:r w:rsidRPr="00C33F72">
        <w:tab/>
        <w:t xml:space="preserve">подчертава, че за да се насърчи по-добра ефективност, Единният основен акт на съвместните предприятия предвижда задължение съвместните предприятия да постигат полезни взаимодействия чрез установяване на </w:t>
      </w:r>
      <w:proofErr w:type="spellStart"/>
      <w:r w:rsidRPr="00C33F72">
        <w:t>бекофис</w:t>
      </w:r>
      <w:proofErr w:type="spellEnd"/>
      <w:r w:rsidRPr="00C33F72">
        <w:t xml:space="preserve"> договорености, действащи в редица набелязани области; разбира, че четири области са определени като приоритетни от съответните съвместни предприятия, а именно счетоводни дейности, правни дейности, информационни и комуникационни технологии и човешки ресурси; приветства по-специално в това отношение:</w:t>
      </w:r>
    </w:p>
    <w:p w14:paraId="3ACDDE23" w14:textId="77777777" w:rsidR="0015435E" w:rsidRPr="00C33F72" w:rsidRDefault="0015435E" w:rsidP="00115FFB">
      <w:pPr>
        <w:pStyle w:val="NormalHanging12a"/>
        <w:widowControl/>
        <w:ind w:left="1134"/>
        <w:rPr>
          <w:szCs w:val="24"/>
        </w:rPr>
      </w:pPr>
      <w:r w:rsidRPr="00C33F72">
        <w:t>а)</w:t>
      </w:r>
      <w:r w:rsidRPr="00C33F72">
        <w:tab/>
        <w:t xml:space="preserve">факта, че </w:t>
      </w:r>
      <w:proofErr w:type="spellStart"/>
      <w:r w:rsidRPr="00C33F72">
        <w:t>бекофис</w:t>
      </w:r>
      <w:proofErr w:type="spellEnd"/>
      <w:r w:rsidRPr="00C33F72">
        <w:t xml:space="preserve"> договореностите, посветени на счетоводните дейности, са в сила от декември 2022 г. и следователно са били в действие през цялата финансова 2023 година, което беше наблюдавано при изготвянето на годишните отчети, както и факта, че съвместното предприятие „Европейски железопътен транспорт“ пое водещата роля при прилагането на тези </w:t>
      </w:r>
      <w:proofErr w:type="spellStart"/>
      <w:r w:rsidRPr="00C33F72">
        <w:t>бекофис</w:t>
      </w:r>
      <w:proofErr w:type="spellEnd"/>
      <w:r w:rsidRPr="00C33F72">
        <w:t xml:space="preserve"> договорености;</w:t>
      </w:r>
    </w:p>
    <w:p w14:paraId="06CFC766" w14:textId="77777777" w:rsidR="0015435E" w:rsidRPr="00C33F72" w:rsidRDefault="0015435E" w:rsidP="00115FFB">
      <w:pPr>
        <w:pStyle w:val="NormalHanging12a"/>
        <w:widowControl/>
        <w:ind w:left="1134"/>
        <w:rPr>
          <w:szCs w:val="24"/>
        </w:rPr>
      </w:pPr>
      <w:r w:rsidRPr="00C33F72">
        <w:t>б)</w:t>
      </w:r>
      <w:r w:rsidRPr="00C33F72">
        <w:tab/>
        <w:t xml:space="preserve">факта, че съвместното предприятие „Кръгова биотехнологична Европа“ и съвместното предприятие „Инициатива за иновативно здравеопазване“ поеха водеща роля в прилагането на </w:t>
      </w:r>
      <w:proofErr w:type="spellStart"/>
      <w:r w:rsidRPr="00C33F72">
        <w:t>бекофис</w:t>
      </w:r>
      <w:proofErr w:type="spellEnd"/>
      <w:r w:rsidRPr="00C33F72">
        <w:t xml:space="preserve"> договорености за управлението на общото набиране на персонал, правната рамка за човешките ресурси и цифровизацията на човешките ресурси;</w:t>
      </w:r>
    </w:p>
    <w:p w14:paraId="6C214FFF" w14:textId="77777777" w:rsidR="0015435E" w:rsidRPr="00C33F72" w:rsidRDefault="0015435E" w:rsidP="00115FFB">
      <w:pPr>
        <w:pStyle w:val="NormalHanging12a"/>
        <w:widowControl/>
        <w:ind w:left="1134"/>
        <w:rPr>
          <w:szCs w:val="24"/>
        </w:rPr>
      </w:pPr>
      <w:r w:rsidRPr="00C33F72">
        <w:t>в)</w:t>
      </w:r>
      <w:r w:rsidRPr="00C33F72">
        <w:tab/>
        <w:t xml:space="preserve">факта, че съвместното предприятие „Чист водород“ и съвместното предприятие „Инициатива за иновативно здравеопазване“ поеха водеща роля в прилагането на </w:t>
      </w:r>
      <w:proofErr w:type="spellStart"/>
      <w:r w:rsidRPr="00C33F72">
        <w:t>бекофис</w:t>
      </w:r>
      <w:proofErr w:type="spellEnd"/>
      <w:r w:rsidRPr="00C33F72">
        <w:t xml:space="preserve"> договорености за управление на услугите в областта на информационните и комуникационните технологии;</w:t>
      </w:r>
    </w:p>
    <w:p w14:paraId="5506CF77" w14:textId="77777777" w:rsidR="0015435E" w:rsidRPr="00C33F72" w:rsidRDefault="0015435E" w:rsidP="00115FFB">
      <w:pPr>
        <w:pStyle w:val="NormalHanging12a"/>
        <w:widowControl/>
        <w:ind w:left="1134"/>
        <w:rPr>
          <w:szCs w:val="24"/>
        </w:rPr>
      </w:pPr>
      <w:r w:rsidRPr="00C33F72">
        <w:t>г)</w:t>
      </w:r>
      <w:r w:rsidRPr="00C33F72">
        <w:tab/>
        <w:t xml:space="preserve">факта, че съвместното предприятие „Чисто въздухоплаване“, съвместното предприятие „Европейски железопътен транспорт“ и Съвместното предприятие за европейски високопроизводителни изчислителни технологии поеха водеща роля в прилагането на </w:t>
      </w:r>
      <w:proofErr w:type="spellStart"/>
      <w:r w:rsidRPr="00C33F72">
        <w:t>бекофис</w:t>
      </w:r>
      <w:proofErr w:type="spellEnd"/>
      <w:r w:rsidRPr="00C33F72">
        <w:t xml:space="preserve"> договорености за управлението на административните обществени поръчки;</w:t>
      </w:r>
    </w:p>
    <w:p w14:paraId="0151DC61" w14:textId="77777777" w:rsidR="0015435E" w:rsidRPr="00C33F72" w:rsidRDefault="0015435E" w:rsidP="00115FFB">
      <w:pPr>
        <w:pStyle w:val="NormalHanging12a"/>
        <w:widowControl/>
        <w:ind w:left="1134"/>
        <w:rPr>
          <w:szCs w:val="24"/>
        </w:rPr>
      </w:pPr>
      <w:r w:rsidRPr="00C33F72">
        <w:t>д)</w:t>
      </w:r>
      <w:r w:rsidRPr="00C33F72">
        <w:tab/>
        <w:t>факта, че съвместните предприятия продължават да изпълняват съвместния стратегически план за ИКТ на съвместните предприятия, разположени в сградата „</w:t>
      </w:r>
      <w:proofErr w:type="spellStart"/>
      <w:r w:rsidRPr="00C33F72">
        <w:t>White</w:t>
      </w:r>
      <w:proofErr w:type="spellEnd"/>
      <w:r w:rsidRPr="00C33F72">
        <w:t xml:space="preserve"> </w:t>
      </w:r>
      <w:proofErr w:type="spellStart"/>
      <w:r w:rsidRPr="00C33F72">
        <w:t>Atrium</w:t>
      </w:r>
      <w:proofErr w:type="spellEnd"/>
      <w:r w:rsidRPr="00C33F72">
        <w:t>“;</w:t>
      </w:r>
    </w:p>
    <w:p w14:paraId="3C80280A" w14:textId="77777777" w:rsidR="0015435E" w:rsidRPr="00C33F72" w:rsidRDefault="0015435E" w:rsidP="00CB6981">
      <w:pPr>
        <w:pStyle w:val="NormalHanging12a"/>
        <w:widowControl/>
        <w:spacing w:line="259" w:lineRule="auto"/>
        <w:rPr>
          <w:szCs w:val="24"/>
        </w:rPr>
      </w:pPr>
      <w:r w:rsidRPr="00C33F72">
        <w:t>23.</w:t>
      </w:r>
      <w:r w:rsidRPr="00C33F72">
        <w:tab/>
        <w:t xml:space="preserve">призовава съвместните предприятия, за които се отнася задължението съгласно Единния основен акт, да продължат да докладват относно установяването на </w:t>
      </w:r>
      <w:proofErr w:type="spellStart"/>
      <w:r w:rsidRPr="00C33F72">
        <w:t>бекофис</w:t>
      </w:r>
      <w:proofErr w:type="spellEnd"/>
      <w:r w:rsidRPr="00C33F72">
        <w:t xml:space="preserve"> договорености, да предоставят ясна информация за това кои съвместни </w:t>
      </w:r>
      <w:r w:rsidRPr="00C33F72">
        <w:lastRenderedPageBreak/>
        <w:t xml:space="preserve">предприятия изпълняват задачи за други съвместни предприятия в определени области, да включат възможно най-скоро в списъка с приоритети комуникацията, логистиката, проявите и управлението на заседателните зали, както и подкрепата за стратегиите за одит и борба с измамите, и да предоставят информация относно областите, които трябва да бъдат разгледани за установяването на </w:t>
      </w:r>
      <w:proofErr w:type="spellStart"/>
      <w:r w:rsidRPr="00C33F72">
        <w:t>бекофис</w:t>
      </w:r>
      <w:proofErr w:type="spellEnd"/>
      <w:r w:rsidRPr="00C33F72">
        <w:t xml:space="preserve"> договорености в бъдеще, след като бъдат сключени договорености в областите, определени като приоритетни;</w:t>
      </w:r>
    </w:p>
    <w:p w14:paraId="1B8CE752" w14:textId="77777777" w:rsidR="0015435E" w:rsidRPr="00C33F72" w:rsidRDefault="0015435E" w:rsidP="00CB6981">
      <w:pPr>
        <w:pStyle w:val="NormalHanging12a"/>
        <w:widowControl/>
        <w:rPr>
          <w:b/>
          <w:i/>
        </w:rPr>
      </w:pPr>
      <w:r w:rsidRPr="00C33F72">
        <w:rPr>
          <w:b/>
          <w:i/>
        </w:rPr>
        <w:t>Обществени поръчки и търгове</w:t>
      </w:r>
    </w:p>
    <w:p w14:paraId="0792F202" w14:textId="77777777" w:rsidR="0015435E" w:rsidRPr="00C33F72" w:rsidRDefault="0015435E" w:rsidP="00CB6981">
      <w:pPr>
        <w:pStyle w:val="NormalHanging12a"/>
        <w:widowControl/>
        <w:rPr>
          <w:szCs w:val="24"/>
        </w:rPr>
      </w:pPr>
      <w:r w:rsidRPr="00C33F72">
        <w:t>24.</w:t>
      </w:r>
      <w:r w:rsidRPr="00C33F72">
        <w:tab/>
        <w:t>споделя загрижеността на Палатата по отношение на процедурите за възлагане на обществени поръчки и призовава съвместните предприятия да гарантират, че спазването на съответните правни разпоредби и необходимата сложност на някои процедури за възлагане на обществени поръчки не водят до повишен риск за законосъобразността и редовността на оперативните разходи; изразява загриженост по-конкретно във връзка с:</w:t>
      </w:r>
    </w:p>
    <w:p w14:paraId="2B5AF990" w14:textId="77777777" w:rsidR="0015435E" w:rsidRPr="00C33F72" w:rsidRDefault="0015435E" w:rsidP="00115FFB">
      <w:pPr>
        <w:pStyle w:val="NormalHanging12a"/>
        <w:widowControl/>
        <w:ind w:left="1134"/>
        <w:rPr>
          <w:szCs w:val="24"/>
        </w:rPr>
      </w:pPr>
      <w:r w:rsidRPr="00C33F72">
        <w:t>а)</w:t>
      </w:r>
      <w:r w:rsidRPr="00C33F72">
        <w:tab/>
        <w:t xml:space="preserve">положението на съвместното предприятие „Инициатива за иновативно здравеопазване“ и на съвместното предприятие „Интегрални схеми“, за които </w:t>
      </w:r>
      <w:r w:rsidR="009A70BC" w:rsidRPr="00C33F72">
        <w:t>Палатата</w:t>
      </w:r>
      <w:r w:rsidRPr="00C33F72">
        <w:t xml:space="preserve"> установи слабости при разработването и оценката на една важна процедура за възлагане на обществена поръчка; отбелязва факта, че този елемент обаче не е накарал Палатата да счете, че за това съвместно предприятие рискът за контрола на оперативните разходи е среден или висок; въпреки това подчертава факта, че подобни слабости могат да доведат до нередовни договори и плащания, ако не им бъде обърнато внимание в бъдещите процедури за възлагане на обществени поръчки; приветства готовността на съвместните предприятия да предприемат действия по тези конкретни случаи и да подобрят своите процедури за възлагане на обществени поръчки;</w:t>
      </w:r>
    </w:p>
    <w:p w14:paraId="5C24E40D" w14:textId="77777777" w:rsidR="0015435E" w:rsidRPr="00C33F72" w:rsidRDefault="0015435E" w:rsidP="00115FFB">
      <w:pPr>
        <w:pStyle w:val="NormalHanging12a"/>
        <w:widowControl/>
        <w:ind w:left="1134"/>
        <w:rPr>
          <w:szCs w:val="24"/>
        </w:rPr>
      </w:pPr>
      <w:r w:rsidRPr="00C33F72">
        <w:t>б)</w:t>
      </w:r>
      <w:r w:rsidRPr="00C33F72">
        <w:tab/>
        <w:t xml:space="preserve">факта, че </w:t>
      </w:r>
      <w:r w:rsidR="009A70BC" w:rsidRPr="00C33F72">
        <w:t>Палатата</w:t>
      </w:r>
      <w:r w:rsidRPr="00C33F72">
        <w:t xml:space="preserve"> е оценила, че рискът за оперативните разходи по договорите е среден за Съвместното предприятие за европейски високопроизводителни изчислителни технологии и Европейското съвместно предприятие за „ITER“ и развитието на термоядрената енергия поради сложните им процедури за възлагане на обществени поръчки за договори с висока стойност;</w:t>
      </w:r>
    </w:p>
    <w:p w14:paraId="0E4D9F4B" w14:textId="77777777" w:rsidR="0015435E" w:rsidRPr="00C33F72" w:rsidRDefault="0015435E" w:rsidP="00CB6981">
      <w:pPr>
        <w:pStyle w:val="NormalHanging12a"/>
        <w:widowControl/>
        <w:rPr>
          <w:szCs w:val="24"/>
        </w:rPr>
      </w:pPr>
      <w:r w:rsidRPr="00C33F72">
        <w:t>25.</w:t>
      </w:r>
      <w:r w:rsidRPr="00C33F72">
        <w:tab/>
        <w:t>подчертава финансовата експозиция на Съвместното предприятие за европейски високопроизводителни изчислителни технологии към доставчик, изправен пред трудности, която се оценява от съвместното предприятие като варираща от потенциално слабо въздействие в размер на 0 EUR до очаквано максимално въздействие в размер на 88 милиона евро; разбира от годишните отчети на съвместното предприятие, че това положение се наблюдава внимателно; призовава съвместното предприятие да предприеме всички необходими действия за свеждане до минимум на финансовите пасиви; приветства допълнителната информация, предоставена по време на изслушването на съответното съвместно предприятие в комисията по бюджетен контрол, особено относно допълнителните гаранции, поискани от съответното съвместно предприятие за свеждане до минимум на този финансов пасив, както и предоставеното обяснение относно ключовата роля на този конкретен доставчик;</w:t>
      </w:r>
    </w:p>
    <w:p w14:paraId="52E4A82F" w14:textId="77777777" w:rsidR="0015435E" w:rsidRPr="00C33F72" w:rsidRDefault="0015435E" w:rsidP="00CB6981">
      <w:pPr>
        <w:pStyle w:val="NormalHanging12a"/>
        <w:widowControl/>
      </w:pPr>
      <w:r w:rsidRPr="00C33F72">
        <w:lastRenderedPageBreak/>
        <w:t>26.</w:t>
      </w:r>
      <w:r w:rsidRPr="00C33F72">
        <w:tab/>
        <w:t>отбелязва факта, че степента на детайлност и степента на достъпност се различават, когато става въпрос за количествените данни, предоставени от съвместните предприятия относно баланса между половете сред експертите, избрани да работят със съвместните предприятия; призовава всички съвместни предприятия да повишат прозрачността и да включат ясни количествени данни относно баланса между половете сред избраните експерти в своите бъдещи годишни отчети за дейността; призовава всички съвместни предприятия да засилят усилията си за насърчаване на равенството между половете на всички нива и да гарантират, че балансът между половете остава хоризонтален приоритет във всички дейности, свързани с възлагането на обществени поръчки, безвъзмездните средства и тръжните процедури, и да предоставят обяснения, когато не може да бъде постигнат баланс между половете;</w:t>
      </w:r>
    </w:p>
    <w:p w14:paraId="2914E5CC" w14:textId="77777777" w:rsidR="0015435E" w:rsidRPr="00C33F72" w:rsidRDefault="0015435E" w:rsidP="00CB6981">
      <w:pPr>
        <w:widowControl/>
        <w:spacing w:after="240"/>
        <w:ind w:left="567" w:hanging="567"/>
      </w:pPr>
      <w:r w:rsidRPr="00C33F72">
        <w:t>27.</w:t>
      </w:r>
      <w:r w:rsidRPr="00C33F72">
        <w:tab/>
        <w:t>отбелязва факта, че степента на детайлност и степента на достъпност се различават, когато става въпрос за количествените данни, предоставени от съвместните предприятия относно географското разпределение на експертите, избрани да работят със съвместните предприятия; призовава всички съвместни предприятия да включат ясни количествени данни относно географското разпределение на избраните експерти в своите бъдещи годишни отчети за дейността; призовава всички съвместни предприятия да гарантират, че географското разпределение остава хоризонтален приоритет във всички дейности, свързани с възлагането на обществени поръчки, безвъзмездните средства и тръжните процедури, и да предоставят обяснения, когато не може да бъде постигнато достатъчен географски баланс;</w:t>
      </w:r>
    </w:p>
    <w:p w14:paraId="21C08AF8" w14:textId="77777777" w:rsidR="0015435E" w:rsidRPr="00C33F72" w:rsidRDefault="0015435E" w:rsidP="00CB6981">
      <w:pPr>
        <w:pStyle w:val="NormalHanging12a"/>
        <w:widowControl/>
        <w:rPr>
          <w:b/>
          <w:i/>
        </w:rPr>
      </w:pPr>
      <w:r w:rsidRPr="00C33F72">
        <w:t>28</w:t>
      </w:r>
      <w:r w:rsidRPr="00C33F72">
        <w:rPr>
          <w:i/>
        </w:rPr>
        <w:t>.</w:t>
      </w:r>
      <w:r w:rsidRPr="00C33F72">
        <w:rPr>
          <w:b/>
          <w:i/>
        </w:rPr>
        <w:tab/>
      </w:r>
      <w:r w:rsidRPr="00C33F72">
        <w:t>призовава за справедливо и равноправно географско разпределение на финансирането от съвместните предприятия, като се гарантира, че регионите с по-малък капацитет за иновации и МСП получават подходяща подкрепа;</w:t>
      </w:r>
    </w:p>
    <w:p w14:paraId="72A006FC" w14:textId="77777777" w:rsidR="0015435E" w:rsidRPr="00C33F72" w:rsidRDefault="0015435E" w:rsidP="00CB6981">
      <w:pPr>
        <w:pStyle w:val="NormalHanging12a"/>
        <w:widowControl/>
        <w:rPr>
          <w:b/>
          <w:i/>
        </w:rPr>
      </w:pPr>
      <w:r w:rsidRPr="00C33F72">
        <w:rPr>
          <w:b/>
          <w:i/>
        </w:rPr>
        <w:t>Персонал и наемане на персонал</w:t>
      </w:r>
    </w:p>
    <w:p w14:paraId="0038E8E9" w14:textId="77777777" w:rsidR="0015435E" w:rsidRPr="00C33F72" w:rsidRDefault="0015435E" w:rsidP="00CB6981">
      <w:pPr>
        <w:pStyle w:val="NormalHanging12a"/>
        <w:widowControl/>
      </w:pPr>
      <w:r w:rsidRPr="00C33F72">
        <w:t>29.</w:t>
      </w:r>
      <w:r w:rsidRPr="00C33F72">
        <w:tab/>
        <w:t xml:space="preserve">изразява загриженост относно актуалното състояние на наемането на персонал в Съвместното предприятие за европейски високопроизводителни изчислителни технологии, което получи 39 допълнителни длъжности за назначаване до края на финансовата 2023 година, за да бъдат усвоени значителните средства, получени по настоящата многогодишна финансова рамка, но което успя да назначи само 21 допълнителни служители; освен това изразява загриженост във връзка с оценката на </w:t>
      </w:r>
      <w:r w:rsidR="009A70BC" w:rsidRPr="00C33F72">
        <w:t>Палатата</w:t>
      </w:r>
      <w:r w:rsidRPr="00C33F72">
        <w:t xml:space="preserve">, която установи, че процедурите за наемане на персонал на съвместните предприятия не са достатъчно прозрачни поради липсата на ясна и предварително договорена скала за оценяване на кандидатите и техните квалификации, както и поради липсата на достатъчно документиране на съответния процес на вземане на решения; изразява съжаление, че според </w:t>
      </w:r>
      <w:r w:rsidR="009A70BC" w:rsidRPr="00C33F72">
        <w:t>Палатата</w:t>
      </w:r>
      <w:r w:rsidRPr="00C33F72">
        <w:t xml:space="preserve"> това положение може да е довело до неравно третиране на кандидатите; припомня, че е много важно да се избегне прилагането на двойни стандарти при процеса по набиране на персонал, и изисква предприемане на всички необходими мерки в тази връзка; подкрепя препоръката на Палатата за действие в това отношение, в която се препоръчва Съвместното предприятие за европейски високопроизводителни изчислителни технологии да използва ефективно своя увеличен персонал, за да постигне целта си за наемане на персонал до края на 2024 г.; също така се препоръчва, че за да увеличи прозрачността на своите процедури за наемане на персонал и да обоснове процесите на вземане на решения на комисията за подбор, Съвместното предприятие за европейски </w:t>
      </w:r>
      <w:r w:rsidRPr="00C33F72">
        <w:lastRenderedPageBreak/>
        <w:t>високопроизводителни изчислителни технологии следва да използва предварително договорена скала за оценяване по време на етапа на предварителен подбор, в съответствие с практиката на други съвместни предприятия и органи на Съюза; приветства готовността на съвместното предприятие да включи препоръките за подобрения;</w:t>
      </w:r>
    </w:p>
    <w:p w14:paraId="224BF3C2" w14:textId="77777777" w:rsidR="0015435E" w:rsidRPr="00C33F72" w:rsidRDefault="0015435E" w:rsidP="00CB6981">
      <w:pPr>
        <w:pStyle w:val="NormalHanging12a"/>
        <w:widowControl/>
        <w:rPr>
          <w:b/>
          <w:i/>
        </w:rPr>
      </w:pPr>
      <w:r w:rsidRPr="00C33F72">
        <w:t>30.</w:t>
      </w:r>
      <w:r w:rsidRPr="00C33F72">
        <w:rPr>
          <w:b/>
          <w:i/>
        </w:rPr>
        <w:tab/>
      </w:r>
      <w:r w:rsidRPr="00C33F72">
        <w:t>подчертава необходимостта от последователна и справедлива политика за персонала във всички съвместни предприятия, за да се гарантират подходящи и приобщаващи условия на труд, възможности за професионално развитие и баланс между професионалния и личния живот на служителите; призовава за прилагане на мерки, за да се избегне прекомерно разчитане на временни договори и несигурна заетост; подчертава значението на структурите за подкрепа на психичното здраве, гъвкавите схеми на работа и справедливите възможности за повишение в рамките на организацията с цел подобряване на благосъстоянието на служителите;</w:t>
      </w:r>
    </w:p>
    <w:p w14:paraId="56D32D66" w14:textId="77777777" w:rsidR="0015435E" w:rsidRPr="00C33F72" w:rsidRDefault="0015435E" w:rsidP="00CB6981">
      <w:pPr>
        <w:pStyle w:val="NormalHanging12a"/>
        <w:widowControl/>
        <w:rPr>
          <w:b/>
          <w:i/>
        </w:rPr>
      </w:pPr>
      <w:r w:rsidRPr="00C33F72">
        <w:t>31.</w:t>
      </w:r>
      <w:r w:rsidRPr="00C33F72">
        <w:tab/>
        <w:t>призовава всички съвместни предприятия да приложат конкретни мерки за подобряване на баланса между половете при лицата на ръководни длъжности и в органите за вземане на решения, включително определяне на цели за баланс между половете и редовно проследяване на напредъка; подчертава необходимостта от преодоляване на разликите в заплащането между жените и мъжете и от гарантиране на равни възможности за професионално израстване;</w:t>
      </w:r>
    </w:p>
    <w:p w14:paraId="7E8174B2" w14:textId="77777777" w:rsidR="0015435E" w:rsidRPr="00C33F72" w:rsidRDefault="0015435E" w:rsidP="00CB6981">
      <w:pPr>
        <w:pStyle w:val="NormalHanging12a"/>
        <w:widowControl/>
        <w:rPr>
          <w:szCs w:val="24"/>
        </w:rPr>
      </w:pPr>
      <w:r w:rsidRPr="00C33F72">
        <w:t>32.</w:t>
      </w:r>
      <w:r w:rsidRPr="00C33F72">
        <w:tab/>
        <w:t>отбелязва, че Палатата счита риска за законосъобразността и редовността на административните разходи за нисък за всички съвместни предприятия с изключение на съвместното предприятие „Интегрални схеми“ и Съвместното предприятие за европейски високопроизводителни изчислителни технологии, за които се счита, че той е среден поради високото им равнище на набиране на персонал, както и за съвместното предприятие „Интелигентни мрежи и услуги“ и съвместното предприятие „Глобално здравеопазване EDCTP3“ поради неотдавнашната им финансова автономност;</w:t>
      </w:r>
    </w:p>
    <w:p w14:paraId="4766DE47" w14:textId="77777777" w:rsidR="0015435E" w:rsidRPr="00C33F72" w:rsidRDefault="0015435E" w:rsidP="00CB6981">
      <w:pPr>
        <w:pStyle w:val="NormalHanging12a"/>
        <w:widowControl/>
        <w:rPr>
          <w:szCs w:val="24"/>
        </w:rPr>
      </w:pPr>
      <w:r w:rsidRPr="00C33F72">
        <w:t>33.</w:t>
      </w:r>
      <w:r w:rsidRPr="00C33F72">
        <w:tab/>
        <w:t xml:space="preserve">изразява загриженост за положението на Европейското съвместно предприятие за „ITER“ и развитието на термоядрената енергия по отношение на различни наблюдавани от </w:t>
      </w:r>
      <w:r w:rsidR="009A70BC" w:rsidRPr="00C33F72">
        <w:t>Палатата</w:t>
      </w:r>
      <w:r w:rsidRPr="00C33F72">
        <w:t xml:space="preserve"> аспекти, свързани с управлението на човешките ресурси, особено по отношение на използването на външни доставчици на услуги, а именно:</w:t>
      </w:r>
    </w:p>
    <w:p w14:paraId="506A2F52" w14:textId="77777777" w:rsidR="0015435E" w:rsidRPr="00C33F72" w:rsidRDefault="0015435E" w:rsidP="00115FFB">
      <w:pPr>
        <w:pStyle w:val="NormalHanging12a"/>
        <w:widowControl/>
        <w:ind w:left="1134"/>
        <w:rPr>
          <w:szCs w:val="24"/>
        </w:rPr>
      </w:pPr>
      <w:r w:rsidRPr="00C33F72">
        <w:t>а)</w:t>
      </w:r>
      <w:r w:rsidRPr="00C33F72">
        <w:tab/>
        <w:t>голямата зависимост на съвместното предприятие от външни доставчици на услуги, тъй като беше констатирано, че почти половината от персонала на съвместното предприятие се състои от външни доставчици на услуги (361 външни доставчици на услуги и 429 души щатен персонал през 2023 г.), което превръща това положение в критичен въпрос с потенциално широкомащабно въздействие върху капацитета на съвместното предприятие да управлява своите човешки ресурси по устойчив начин, като същевременно се гарантира капацитет за запазване на знанията и институционалната памет, което също така дава възможност за финансови печалби в дългосрочен план;</w:t>
      </w:r>
    </w:p>
    <w:p w14:paraId="14A63B5A" w14:textId="77777777" w:rsidR="0015435E" w:rsidRPr="00C33F72" w:rsidRDefault="0015435E" w:rsidP="00115FFB">
      <w:pPr>
        <w:pStyle w:val="NormalHanging12a"/>
        <w:widowControl/>
        <w:ind w:left="1134"/>
      </w:pPr>
      <w:r w:rsidRPr="00C33F72">
        <w:t>б)</w:t>
      </w:r>
      <w:r w:rsidRPr="00C33F72">
        <w:tab/>
        <w:t xml:space="preserve">факта, че съвместното предприятие не е приело единно официално определение за външни доставчици на услуги, което е довело до липса на яснота в неговата оценка на тяхното въздействие върху нуждите от редовния </w:t>
      </w:r>
      <w:r w:rsidRPr="00C33F72">
        <w:lastRenderedPageBreak/>
        <w:t>персонал; отбелязва освен това, че регистърът на риска на съвместното предприятие не включва всички потенциални рискове, свързани с високата степен на зависимост от външни доставчици на услуги в дългосрочен план, което може да попречи на вътрешния контрол на съвместното предприятие да въведе подходящи смекчаващи мерки за справяне с тези рискове;</w:t>
      </w:r>
    </w:p>
    <w:p w14:paraId="483FA803" w14:textId="77777777" w:rsidR="0015435E" w:rsidRPr="00C33F72" w:rsidRDefault="0015435E" w:rsidP="00115FFB">
      <w:pPr>
        <w:pStyle w:val="NormalHanging12a"/>
        <w:widowControl/>
        <w:ind w:left="1134"/>
      </w:pPr>
      <w:r w:rsidRPr="00C33F72">
        <w:t>в)</w:t>
      </w:r>
      <w:r w:rsidRPr="00C33F72">
        <w:tab/>
        <w:t xml:space="preserve">констатациите от одита, проведен по този въпрос от Службата за вътрешен одит на Комисията, който показа, че съвместното предприятие не е създало централизирана функция за координация и управление на външните доставчици на услуги, нито е създало методология за оценка на съвкупните си нужди от човешки ресурси, и по-специално нуждите си от външни доставчици на услуги; подчертава, че беше отбелязано, че поради това решението на съвместното предприятие относно използването на външни доставчици на услуги се основава на опасения за бюджета, а не на нуждите от човешки ресурси; </w:t>
      </w:r>
    </w:p>
    <w:p w14:paraId="4D1D5D65" w14:textId="77777777" w:rsidR="0015435E" w:rsidRPr="00C33F72" w:rsidRDefault="0015435E" w:rsidP="00115FFB">
      <w:pPr>
        <w:pStyle w:val="NormalHanging12a"/>
        <w:widowControl/>
        <w:ind w:left="1134"/>
      </w:pPr>
      <w:r w:rsidRPr="00C33F72">
        <w:t>г)</w:t>
      </w:r>
      <w:r w:rsidRPr="00C33F72">
        <w:tab/>
        <w:t>липсата на прозрачност при докладването от съвместното предприятие относно неговите човешки ресурси, по-специално що се отнася до представянето на бройката на постоянните и временните служители, като се има предвид, че 224 от 386-те срочно и договорно наети служители в действителност са имали безсрочен договор и следователно е можело да бъдат считани за постоянни служители от практическа гледна точка; призовава съвместното предприятие да подчертава подобни нюанси в бъдеще в своите доклади относно човешките ресурси;</w:t>
      </w:r>
    </w:p>
    <w:p w14:paraId="7A94D184" w14:textId="77777777" w:rsidR="0015435E" w:rsidRPr="00C33F72" w:rsidRDefault="0015435E" w:rsidP="00115FFB">
      <w:pPr>
        <w:pStyle w:val="NormalHanging12a"/>
        <w:widowControl/>
        <w:ind w:left="1134"/>
      </w:pPr>
      <w:r w:rsidRPr="00C33F72">
        <w:t>д)</w:t>
      </w:r>
      <w:r w:rsidRPr="00C33F72">
        <w:tab/>
        <w:t xml:space="preserve">споделя препоръката за действие на Палатата, в която се препоръчва Европейското съвместно предприятие за „ITER“ и развитието на термоядрената енергия да създаде централизирана координационна и управленска функция за външните доставчици на услуги и да приеме всеобхватна методология за редовно оценяване на общите си нужди от човешки ресурси въз основа на очакваното работно натоварване и изискваните умения, както и въпросното съвместно предприятие също така да допълни своя регистър на риска с най-важните рискове, произтичащи от високото равнище на използване на външни доставчици на услуги в дългосрочен план; </w:t>
      </w:r>
    </w:p>
    <w:p w14:paraId="3A36AF63" w14:textId="77777777" w:rsidR="0015435E" w:rsidRPr="00C33F72" w:rsidRDefault="0015435E" w:rsidP="00115FFB">
      <w:pPr>
        <w:pStyle w:val="NormalHanging12a"/>
        <w:widowControl/>
        <w:ind w:left="1134"/>
      </w:pPr>
      <w:r w:rsidRPr="00C33F72">
        <w:t>е)</w:t>
      </w:r>
      <w:r w:rsidRPr="00C33F72">
        <w:tab/>
        <w:t>приветства ангажиментите, поети от съвместното предприятие, и приветства неговото обяснение на предизвикателствата, водещи до масово използване на външни доставчици на услуги; въпреки това изразява загриженост във връзка с тази голяма зависимост и свързаните с нея рискове; призовава съвместното предприятие в бъдеще да предоставя по-подробна информация относно процесите на вземане на решения, водещи до използване на външни доставчици на услуги;</w:t>
      </w:r>
    </w:p>
    <w:p w14:paraId="5EF33B4F" w14:textId="77777777" w:rsidR="0015435E" w:rsidRPr="00C33F72" w:rsidRDefault="0015435E" w:rsidP="00CB6981">
      <w:pPr>
        <w:pStyle w:val="NormalHanging12a"/>
        <w:widowControl/>
      </w:pPr>
      <w:r w:rsidRPr="00C33F72">
        <w:t>34.</w:t>
      </w:r>
      <w:r w:rsidRPr="00C33F72">
        <w:tab/>
        <w:t xml:space="preserve">отбелязва факта, че степента на детайлност и степента на достъпност се различават, когато става въпрос за количествените данни, предоставени от съвместните предприятия относно баланса между половете сред служителите и в управителните органи и структури в техните годишни отчети за дейността; призовава всички съвместни предприятия да включат в бъдещите си годишни отчети за дейността ясен раздел, посветен на количествените данни за баланса между половете сред служителите и в управителните органи и структури, включително разбивка на данните между различните равнища на отговорност и </w:t>
      </w:r>
      <w:r w:rsidRPr="00C33F72">
        <w:lastRenderedPageBreak/>
        <w:t>различните видове договори; призовава всички съвместни предприятия да гарантират, че балансът между половете остава цел на всички равнища на отговорност, и да продължат усилията си за подобряване на този баланс, за да се гарантира справедливо представителство на обществото сред техния персонал и да се насърчи здравословна и продуктивна работна среда; призовава ги предоставят обяснения, когато не може да бъде постигнат баланс между половете;</w:t>
      </w:r>
    </w:p>
    <w:p w14:paraId="34373771" w14:textId="77777777" w:rsidR="0015435E" w:rsidRPr="00C33F72" w:rsidRDefault="0015435E" w:rsidP="00CB6981">
      <w:pPr>
        <w:widowControl/>
        <w:spacing w:after="240"/>
        <w:ind w:left="567" w:hanging="567"/>
      </w:pPr>
      <w:r w:rsidRPr="00C33F72">
        <w:t>35.</w:t>
      </w:r>
      <w:r w:rsidRPr="00C33F72">
        <w:tab/>
        <w:t>отбелязва факта, че степента на детайлност и степента на достъпност се различават, когато става въпрос за количествените данни, предоставени от съвместните предприятия относно географското разпределение сред служителите и сред управленските органи и структури в техните годишни отчети за дейността; призовава всички съвместни предприятия да включат в бъдещите си годишни отчети за дейността конкретен раздел, посветен на количествените данни за географското разпределение сред служителите и в управителните органи и структури, включително разбивка на данните между различните равнища на отговорност и различните видове договори; призовава всички съвместни предприятия да гарантират, че задоволителното географско разпределение остава цел на всички равнища на отговорност, и да предоставят обяснения, когато не може да бъде постигнат достатъчен географски баланс;</w:t>
      </w:r>
    </w:p>
    <w:p w14:paraId="4556B98D" w14:textId="77777777" w:rsidR="0015435E" w:rsidRPr="00C33F72" w:rsidRDefault="0015435E" w:rsidP="00CB6981">
      <w:pPr>
        <w:widowControl/>
        <w:spacing w:after="240"/>
        <w:ind w:left="567" w:hanging="567"/>
      </w:pPr>
      <w:r w:rsidRPr="00C33F72">
        <w:t>36.</w:t>
      </w:r>
      <w:r w:rsidRPr="00C33F72">
        <w:tab/>
        <w:t>приветства работата на Мрежата на агенциите на ЕС (EUAN) и нейната работна група за многообразие и приобщаване, чийто резултат е Хартата на Мрежата на агенциите на ЕС за многообразие и приобщаване; приканва съвместните предприятия да приемат тази харта;</w:t>
      </w:r>
    </w:p>
    <w:p w14:paraId="2B192559" w14:textId="77777777" w:rsidR="0015435E" w:rsidRPr="00C33F72" w:rsidRDefault="0015435E" w:rsidP="00CB6981">
      <w:pPr>
        <w:pStyle w:val="NormalHanging12a"/>
        <w:widowControl/>
        <w:rPr>
          <w:b/>
          <w:i/>
        </w:rPr>
      </w:pPr>
      <w:r w:rsidRPr="00C33F72">
        <w:t>37.</w:t>
      </w:r>
      <w:r w:rsidRPr="00C33F72">
        <w:rPr>
          <w:b/>
          <w:i/>
        </w:rPr>
        <w:tab/>
      </w:r>
      <w:r w:rsidRPr="00C33F72">
        <w:t>подчертава, че съвместните предприятия следва да гарантират, че финансираните проекти допринасят за социалното благосъстояние и приобщаването на служителите, че правата на работниците и условията на труд се зачитат и че при реализацията на проектите се съблюдават принципите за справедлив преход към устойчиви технологии;</w:t>
      </w:r>
    </w:p>
    <w:p w14:paraId="7EBA99F9" w14:textId="77777777" w:rsidR="0015435E" w:rsidRPr="00C33F72" w:rsidRDefault="0015435E" w:rsidP="00CB6981">
      <w:pPr>
        <w:pStyle w:val="NormalHanging12a"/>
        <w:widowControl/>
        <w:rPr>
          <w:b/>
          <w:i/>
        </w:rPr>
      </w:pPr>
      <w:r w:rsidRPr="00C33F72">
        <w:rPr>
          <w:b/>
          <w:i/>
        </w:rPr>
        <w:t>Системи за управление и контрол</w:t>
      </w:r>
    </w:p>
    <w:p w14:paraId="57B1F312" w14:textId="77777777" w:rsidR="0015435E" w:rsidRPr="00C33F72" w:rsidRDefault="0015435E" w:rsidP="00CB6981">
      <w:pPr>
        <w:pStyle w:val="NormalHanging12a"/>
        <w:widowControl/>
      </w:pPr>
      <w:r w:rsidRPr="00C33F72">
        <w:t>38.</w:t>
      </w:r>
      <w:r w:rsidRPr="00C33F72">
        <w:tab/>
        <w:t xml:space="preserve">приветства работата на </w:t>
      </w:r>
      <w:r w:rsidR="009A70BC" w:rsidRPr="00C33F72">
        <w:t>Палатата</w:t>
      </w:r>
      <w:r w:rsidRPr="00C33F72">
        <w:t xml:space="preserve"> по проверката на плащанията на безвъзмездни средства, извършени от десетте съвместни предприятия, изпълняващи проекти за научни изследвания и иновации, особено допълнителния ѝ одит на извадка от плащания на безвъзмездни средства на равнище бенефициенти по „Хоризонт 2020“; изразява загриженост във връзка с резултатите от тази проверка, които показаха трайни системни грешки, особено по отношение на декларираните разходи за персонал и оборудване;</w:t>
      </w:r>
      <w:r w:rsidRPr="00C33F72">
        <w:rPr>
          <w:b/>
          <w:i/>
        </w:rPr>
        <w:t> </w:t>
      </w:r>
      <w:r w:rsidRPr="00C33F72">
        <w:t>призовава за коригиране на системните грешки;</w:t>
      </w:r>
    </w:p>
    <w:p w14:paraId="60C6DF11" w14:textId="77777777" w:rsidR="0015435E" w:rsidRPr="00C33F72" w:rsidRDefault="0015435E" w:rsidP="00CB6981">
      <w:pPr>
        <w:pStyle w:val="NormalHanging12a"/>
        <w:widowControl/>
        <w:rPr>
          <w:szCs w:val="24"/>
        </w:rPr>
      </w:pPr>
      <w:r w:rsidRPr="00C33F72">
        <w:t>39.</w:t>
      </w:r>
      <w:r w:rsidRPr="00C33F72">
        <w:tab/>
        <w:t xml:space="preserve">подчертава, че </w:t>
      </w:r>
      <w:r w:rsidR="009A70BC" w:rsidRPr="00C33F72">
        <w:t>Палатата</w:t>
      </w:r>
      <w:r w:rsidRPr="00C33F72">
        <w:t xml:space="preserve"> установи един случай на количествено измерими и сериозни грешки при плащанията по „Хоризонт 2020“ за съвместното предприятие „Чисто въздухоплаване“, съвместното предприятие „Инициатива за иновативно здравеопазване“, съвместното предприятие „Чист водород“, съвместното предприятие „Кръгова биотехнологична Европа“ и съвместното предприятие „Европейски железопътен транспорт“; приветства инициативите, предприети в това отношение за повишаване на осведомеността на равнище бенефициенти; призовава всички съвместни предприятия да гарантират законосъобразността и редовността на оперативните разходи и подчертава, че </w:t>
      </w:r>
      <w:r w:rsidR="009A70BC" w:rsidRPr="00C33F72">
        <w:lastRenderedPageBreak/>
        <w:t>Палатата</w:t>
      </w:r>
      <w:r w:rsidRPr="00C33F72">
        <w:t xml:space="preserve"> счита, че рискът за междинните и окончателните плащания на безвъзмездни средства на съвместните предприятия е среден;</w:t>
      </w:r>
    </w:p>
    <w:p w14:paraId="48686DBC" w14:textId="77777777" w:rsidR="0015435E" w:rsidRPr="00C33F72" w:rsidRDefault="0015435E" w:rsidP="00CB6981">
      <w:pPr>
        <w:pStyle w:val="NormalHanging12a"/>
        <w:widowControl/>
        <w:rPr>
          <w:b/>
          <w:i/>
        </w:rPr>
      </w:pPr>
      <w:r w:rsidRPr="00C33F72">
        <w:t>40.</w:t>
      </w:r>
      <w:r w:rsidRPr="00C33F72">
        <w:rPr>
          <w:b/>
          <w:i/>
        </w:rPr>
        <w:tab/>
      </w:r>
      <w:r w:rsidRPr="00C33F72">
        <w:t>призовава Комисията да приложи: i) задължително финансово обучение за бенефициентите на съвместните предприятия с цел предотвратяване на повтарящи се счетоводни грешки; ii) инструменти за автоматизирана проверка с цел повишаване на точността при изчисляването на разходите за персонал; iii) по-строги процедури за предварителен одит, за да се гарантира правилно използване на средствата на Съюза;</w:t>
      </w:r>
    </w:p>
    <w:p w14:paraId="6946A7FA" w14:textId="77777777" w:rsidR="0015435E" w:rsidRPr="00C33F72" w:rsidRDefault="0015435E" w:rsidP="00CB6981">
      <w:pPr>
        <w:pStyle w:val="NormalHanging12a"/>
        <w:widowControl/>
        <w:rPr>
          <w:szCs w:val="24"/>
        </w:rPr>
      </w:pPr>
      <w:r w:rsidRPr="00C33F72">
        <w:t>41.</w:t>
      </w:r>
      <w:r w:rsidRPr="00C33F72">
        <w:tab/>
        <w:t xml:space="preserve">приветства факта, че според екстраполацията на </w:t>
      </w:r>
      <w:r w:rsidR="009A70BC" w:rsidRPr="00C33F72">
        <w:t>Палатата</w:t>
      </w:r>
      <w:r w:rsidRPr="00C33F72">
        <w:t xml:space="preserve"> за всички съвместни предприятия средният процент грешки е малко под прага на същественост от 2% за разходите за безвъзмездни средства, както и факта, че процентите остатъчни грешки, изчислени от Общата служба за одит на Комисията, също са били под прага на същественост;</w:t>
      </w:r>
    </w:p>
    <w:p w14:paraId="56A70420" w14:textId="77777777" w:rsidR="0015435E" w:rsidRPr="00C33F72" w:rsidRDefault="0015435E" w:rsidP="00CB6981">
      <w:pPr>
        <w:pStyle w:val="NormalHanging12a"/>
        <w:widowControl/>
        <w:rPr>
          <w:szCs w:val="24"/>
        </w:rPr>
      </w:pPr>
      <w:r w:rsidRPr="00C33F72">
        <w:t>42.</w:t>
      </w:r>
      <w:r w:rsidRPr="00C33F72">
        <w:tab/>
        <w:t xml:space="preserve">отбелязва факта, че броят на междинните плащания по „Хоризонт Европа“ и „Цифрова Европа“ е твърде малък, за да бъде включен в одитираната от </w:t>
      </w:r>
      <w:r w:rsidR="009A70BC" w:rsidRPr="00C33F72">
        <w:t>Палатата</w:t>
      </w:r>
      <w:r w:rsidRPr="00C33F72">
        <w:t xml:space="preserve"> извадка през 2023 г.; </w:t>
      </w:r>
    </w:p>
    <w:p w14:paraId="60562573" w14:textId="77777777" w:rsidR="0015435E" w:rsidRPr="00C33F72" w:rsidRDefault="0015435E" w:rsidP="00CB6981">
      <w:pPr>
        <w:pStyle w:val="NormalHanging12a"/>
        <w:widowControl/>
        <w:rPr>
          <w:szCs w:val="24"/>
        </w:rPr>
      </w:pPr>
      <w:r w:rsidRPr="00C33F72">
        <w:t>43.</w:t>
      </w:r>
      <w:r w:rsidRPr="00C33F72">
        <w:tab/>
        <w:t>отбелязва факта, че са настъпили няколко промени в рамката за вътрешен контрол на съвместните предприятия по линия на „Хоризонт Европа“, по-специално факта, че Комисията вече не възнамерява да извършва конкретни представителни последващи одити от името на отделни заинтересовани страни по „Хоризонт Европа“, като например съвместни предприятия; отбелязва освен това, че Комисията планира да приложи същата промяна по отношение на плащанията на безвъзмездни средства по „Цифрова Европа“;</w:t>
      </w:r>
    </w:p>
    <w:p w14:paraId="63E7A735" w14:textId="77777777" w:rsidR="0015435E" w:rsidRPr="00C33F72" w:rsidRDefault="0015435E" w:rsidP="00CB6981">
      <w:pPr>
        <w:pStyle w:val="NormalHanging12a"/>
        <w:widowControl/>
        <w:rPr>
          <w:szCs w:val="24"/>
        </w:rPr>
      </w:pPr>
      <w:r w:rsidRPr="00C33F72">
        <w:t>44.</w:t>
      </w:r>
      <w:r w:rsidRPr="00C33F72">
        <w:tab/>
        <w:t>изразява загриженост относно липсата на комуникация, сътрудничество и координация между управлението на риска на Европейското съвместно предприятие за „ITER“ и развитието на термоядрената енергия и неговите функции за вътрешен одит, както и относно свързаната с това липса на интегриран процес за управление на риска и относно факта, че съвместното предприятие не е могло да предостави задоволителни доказателства, че редовно използва информация за управлението на риска при планирането на дейностите по вътрешен одит; подкрепя препоръката на Палатата за действие в това отношение, в която се препоръчва въпросното съвместно предприятие да прилага интегриран процес за управление на риска в своята рамка за вътрешен контрол, за да управлява ефективно рисковете си; приветства плановете на съвместното предприятие да предприеме действия по този въпрос;</w:t>
      </w:r>
    </w:p>
    <w:p w14:paraId="490694D0" w14:textId="77777777" w:rsidR="0015435E" w:rsidRPr="00C33F72" w:rsidRDefault="0015435E" w:rsidP="00CB6981">
      <w:pPr>
        <w:pStyle w:val="NormalHanging12a"/>
        <w:widowControl/>
        <w:rPr>
          <w:szCs w:val="24"/>
        </w:rPr>
      </w:pPr>
      <w:r w:rsidRPr="00C33F72">
        <w:t>45.</w:t>
      </w:r>
      <w:r w:rsidRPr="00C33F72">
        <w:tab/>
        <w:t xml:space="preserve">подчертава значението на прилагането на всеобхватен и актуален план за непрекъснатост на дейността и план за възстановяване след бедствия за съвместните предприятия; във връзка с това изразява съжаление, че в края на финансовата 2023 година съвместните предприятия, с изключение на Европейското съвместно предприятие за „ITER“ и развитието на термоядрената енергия, не са имали въведена задоволителна политика по този въпрос; приветства плановете на съвместното предприятие да предприеме действия по този въпрос; </w:t>
      </w:r>
    </w:p>
    <w:p w14:paraId="1C87D35F" w14:textId="77777777" w:rsidR="0015435E" w:rsidRPr="00C33F72" w:rsidRDefault="0015435E" w:rsidP="00CB6981">
      <w:pPr>
        <w:pStyle w:val="NormalHanging12a"/>
        <w:widowControl/>
        <w:rPr>
          <w:szCs w:val="24"/>
        </w:rPr>
      </w:pPr>
      <w:r w:rsidRPr="00C33F72">
        <w:t>46.</w:t>
      </w:r>
      <w:r w:rsidRPr="00C33F72">
        <w:tab/>
        <w:t xml:space="preserve">посочва, че съвместното предприятие „Интелигентни мрежи и услуги“ и съвместното предприятие „Глобално здравеопазване EDCTP3“ все още не са </w:t>
      </w:r>
      <w:r w:rsidRPr="00C33F72">
        <w:lastRenderedPageBreak/>
        <w:t>приложили изцяло рамката за вътрешен контрол на Комисията, и призовава тези две съвместни предприятия да приложат изцяло тази рамка;</w:t>
      </w:r>
    </w:p>
    <w:p w14:paraId="21C494E4" w14:textId="77777777" w:rsidR="0015435E" w:rsidRPr="00C33F72" w:rsidRDefault="0015435E" w:rsidP="00CB6981">
      <w:pPr>
        <w:pStyle w:val="NormalHanging12a"/>
        <w:widowControl/>
        <w:rPr>
          <w:b/>
          <w:i/>
        </w:rPr>
      </w:pPr>
      <w:r w:rsidRPr="00C33F72">
        <w:rPr>
          <w:b/>
          <w:i/>
        </w:rPr>
        <w:t>Измами, етика и конфликти на интереси</w:t>
      </w:r>
    </w:p>
    <w:p w14:paraId="0D90BD35" w14:textId="77777777" w:rsidR="0015435E" w:rsidRPr="00C33F72" w:rsidRDefault="0015435E" w:rsidP="00CB6981">
      <w:pPr>
        <w:pStyle w:val="NormalHanging12a"/>
        <w:widowControl/>
        <w:rPr>
          <w:szCs w:val="24"/>
        </w:rPr>
      </w:pPr>
      <w:r w:rsidRPr="00C33F72">
        <w:t>47.</w:t>
      </w:r>
      <w:r w:rsidRPr="00C33F72">
        <w:tab/>
        <w:t xml:space="preserve">отбелязва факта, че </w:t>
      </w:r>
      <w:r w:rsidR="009A70BC" w:rsidRPr="00C33F72">
        <w:t>Палатата</w:t>
      </w:r>
      <w:r w:rsidRPr="00C33F72">
        <w:t xml:space="preserve"> е изпратила на Европейската служба за борба с измамите (OLAF) едно уведомление за предполагаема измама по време на своя одит за финансовата 2023 година; разбира, че по-късно случаят е бил отхвърлен от OLAF, тъй като не е установена измама във връзка със съответния въпрос, свързан с персонала; приветства надлежната проверка на </w:t>
      </w:r>
      <w:r w:rsidR="009A70BC" w:rsidRPr="00C33F72">
        <w:t>Палатата</w:t>
      </w:r>
      <w:r w:rsidRPr="00C33F72">
        <w:t xml:space="preserve"> и сътрудничеството в рамките на структурата за борба с измамите;</w:t>
      </w:r>
    </w:p>
    <w:p w14:paraId="04B74D95" w14:textId="77777777" w:rsidR="0015435E" w:rsidRPr="00C33F72" w:rsidRDefault="0015435E" w:rsidP="00CB6981">
      <w:pPr>
        <w:pStyle w:val="NormalHanging12a"/>
        <w:widowControl/>
      </w:pPr>
      <w:r w:rsidRPr="00C33F72">
        <w:t>48.</w:t>
      </w:r>
      <w:r w:rsidRPr="00C33F72">
        <w:tab/>
        <w:t>подчертава значението на прилагането на политика за вътрешен контрол по отношение на чувствителните функции за съвместните предприятия;</w:t>
      </w:r>
      <w:r w:rsidRPr="00C33F72">
        <w:rPr>
          <w:b/>
          <w:i/>
        </w:rPr>
        <w:t xml:space="preserve"> </w:t>
      </w:r>
      <w:r w:rsidRPr="00C33F72">
        <w:t>подчертава, че подобна политика може да предотврати и да намали риска от неподходящи или измамни действия; изразява съжаление, че в края на финансовата 2023 година съвместното предприятие „Изследване на УВД в единното европейско небе 3“, съвместното предприятие „Чист водород“, съвместното предприятие „Интегрални схеми“, Съвместното предприятие за европейски високопроизводителни изчислителни технологии и Европейското съвместно предприятие за „ITER“ и развитието на термоядрената енергия все още не са имали политика във връзка с това; подчертава критичния характер на това положение и настоятелно призовава съвместните предприятия да предприемат действия без ненужно забавяне;</w:t>
      </w:r>
    </w:p>
    <w:p w14:paraId="072810DE" w14:textId="77777777" w:rsidR="0015435E" w:rsidRPr="00C33F72" w:rsidRDefault="0015435E" w:rsidP="00CB6981">
      <w:pPr>
        <w:pStyle w:val="NormalHanging12a"/>
        <w:widowControl/>
        <w:rPr>
          <w:szCs w:val="24"/>
        </w:rPr>
      </w:pPr>
      <w:r w:rsidRPr="00C33F72">
        <w:t>49.</w:t>
      </w:r>
      <w:r w:rsidRPr="00C33F72">
        <w:tab/>
        <w:t xml:space="preserve">отбелязва ситуацията в съвместното предприятие „Интегрални схеми“, посочена от </w:t>
      </w:r>
      <w:r w:rsidR="009A70BC" w:rsidRPr="00C33F72">
        <w:t>Палатата</w:t>
      </w:r>
      <w:r w:rsidRPr="00C33F72">
        <w:t>, при която един от неговите бивши висши служители, напуснал съвместното предприятие, наскоро е започнал нова професионална дейност без предизвестие до въпросното съвместно предприятие; призовава въпросното съвместно предприятие и всички други съвместни предприятия да извършват активен мониторинг на новите професионални дейности на бивши висши служители, както и на служители, заемащи чувствителна длъжност; приветства допълнителната информация, предоставена от въпросното съвместно предприятие по този конкретен случай;</w:t>
      </w:r>
    </w:p>
    <w:p w14:paraId="271BCFEB" w14:textId="77777777" w:rsidR="0015435E" w:rsidRPr="00C33F72" w:rsidRDefault="0015435E" w:rsidP="00CB6981">
      <w:pPr>
        <w:pStyle w:val="NormalHanging12a"/>
        <w:widowControl/>
        <w:rPr>
          <w:b/>
          <w:i/>
        </w:rPr>
      </w:pPr>
      <w:r w:rsidRPr="00C33F72">
        <w:t>50.</w:t>
      </w:r>
      <w:r w:rsidRPr="00C33F72">
        <w:rPr>
          <w:b/>
          <w:i/>
        </w:rPr>
        <w:tab/>
      </w:r>
      <w:r w:rsidRPr="00C33F72">
        <w:t>призовава всички съвместни предприятия да подобрят своите политики за прозрачност, по-специално по отношение на потенциалните конфликти на интереси; настоятелно призовава съвместните предприятия да публикуват декларациите за интереси на членовете на техните управителни съвети, на членовете на научните комитети и на външните експерти, като гарантират оповестяване на всички финансови, професионални или лични връзки със субекти, които ползват финансиране от съвместните предприятия; настоява за въвеждане на задължителен период на прекъсване за висшите служители на съвместните предприятия, преди те да могат да започнат работа в организации, получаващи финансиране от съвместните предприятия;</w:t>
      </w:r>
    </w:p>
    <w:p w14:paraId="710437D8" w14:textId="77777777" w:rsidR="0015435E" w:rsidRPr="00C33F72" w:rsidRDefault="0015435E" w:rsidP="00CB6981">
      <w:pPr>
        <w:pStyle w:val="NormalHanging12a"/>
        <w:widowControl/>
      </w:pPr>
      <w:r w:rsidRPr="00C33F72">
        <w:t>51.</w:t>
      </w:r>
      <w:r w:rsidRPr="00C33F72">
        <w:tab/>
        <w:t>отбелязва информацията, докладвана от съвместните предприятия относно техните дейности, свързани с предотвратяването, разкриването и коригирането на измами; призовава всички съвместни предприятия да засилят своята роля и да идентифицират своите слабости, като продължат да участват в дискусии за борба с измамите, да докладват по тези елементи и да включват в бъдещите си доклади ясно представяне на правната рамка и политиките, въведени в това отношение;</w:t>
      </w:r>
    </w:p>
    <w:p w14:paraId="49DF52A1" w14:textId="77777777" w:rsidR="0015435E" w:rsidRPr="00C33F72" w:rsidRDefault="0015435E" w:rsidP="00115FFB">
      <w:pPr>
        <w:pStyle w:val="NormalHanging12a"/>
        <w:widowControl/>
        <w:ind w:left="0" w:firstLine="0"/>
        <w:rPr>
          <w:b/>
          <w:i/>
        </w:rPr>
      </w:pPr>
      <w:r w:rsidRPr="00C33F72">
        <w:rPr>
          <w:b/>
          <w:i/>
        </w:rPr>
        <w:lastRenderedPageBreak/>
        <w:t>Забележки относно последващите действия на съвместните предприятия във връзка с предходната процедура по освобождаване от отговорност във връзка с изпълнението на бюджета</w:t>
      </w:r>
    </w:p>
    <w:p w14:paraId="1771B964" w14:textId="77777777" w:rsidR="0015435E" w:rsidRPr="00C33F72" w:rsidRDefault="0015435E" w:rsidP="00CB6981">
      <w:pPr>
        <w:pStyle w:val="NormalHanging12a"/>
        <w:widowControl/>
        <w:rPr>
          <w:szCs w:val="24"/>
        </w:rPr>
      </w:pPr>
      <w:r w:rsidRPr="00C33F72">
        <w:t>52.</w:t>
      </w:r>
      <w:r w:rsidRPr="00C33F72">
        <w:tab/>
        <w:t>приветства факта, че съвместните предприятия са изготвили последващ доклад във връзка с резолюциите на Европейския парламент, съдържащи забележките, които са неразделна част от решенията за освобождаване от отговорност във връзка с изпълнението на бюджета на съвместните предприятия на Европейския съюз за финансовата 2022 година; отбелязва, че тези доклади предоставят в задоволителна степен становищата на съвместните предприятия по въпросите, подчертани от Европейския парламент;</w:t>
      </w:r>
    </w:p>
    <w:p w14:paraId="00E1EF13" w14:textId="77777777" w:rsidR="0015435E" w:rsidRPr="00C33F72" w:rsidRDefault="0015435E" w:rsidP="00CB6981">
      <w:pPr>
        <w:pStyle w:val="NormalHanging12a"/>
        <w:widowControl/>
        <w:rPr>
          <w:szCs w:val="24"/>
        </w:rPr>
      </w:pPr>
      <w:r w:rsidRPr="00C33F72">
        <w:t>53.</w:t>
      </w:r>
      <w:r w:rsidRPr="00C33F72">
        <w:tab/>
        <w:t xml:space="preserve">приветства факта, че докладът на Палатата включва и анализ на последващите действия на съвместните предприятия във връзка с предишни констатации и препоръки за действия, публикувани от Палатата; отбелязва в тази връзка, че от общо 37 забележки, които не са разгледани в достатъчна степен в края на 2022 г., 16 са приключени, а 21 са останали неприключени в края на 2023 г.; отбелязва освен това, че от 15-те препоръчани действия в годишните доклади за 2021 г. и 2022 г. 9 са били изцяло изпълнени, 2 са били изпълнени в повечето отношения, 3 в някои отношения и 1 изобщо не е изпълнено; разбира, че някои препоръки, които все още не са изпълнени, се отнасят главно до въпроси, свързани с човешките ресурси, които съвместните предприятия могат да осъществят само в сътрудничество с Генерална дирекция „Бюджет“ на Комисията и след като заявленията са готови за изпълнение; разбира, че препоръките, които трябваше да бъдат изпълнени преди края на 2023 г., бяха осъществени своевременно; </w:t>
      </w:r>
    </w:p>
    <w:p w14:paraId="769D52CA" w14:textId="77777777" w:rsidR="0015435E" w:rsidRPr="00C33F72" w:rsidRDefault="0015435E" w:rsidP="00CB6981">
      <w:pPr>
        <w:pStyle w:val="NormalHanging12a"/>
        <w:widowControl/>
        <w:rPr>
          <w:szCs w:val="24"/>
        </w:rPr>
      </w:pPr>
      <w:r w:rsidRPr="00C33F72">
        <w:t>54.</w:t>
      </w:r>
      <w:r w:rsidRPr="00C33F72">
        <w:tab/>
        <w:t xml:space="preserve">приветства факта, че </w:t>
      </w:r>
      <w:r w:rsidR="009A70BC" w:rsidRPr="00C33F72">
        <w:t>Палатата</w:t>
      </w:r>
      <w:r w:rsidRPr="00C33F72">
        <w:t xml:space="preserve"> вече е предвидила краен срок за изпълнение на всяка от своите неизпълнени препоръки за действие, които бяха определени в сътрудничество със съвместните предприятия, за да се гарантира тяхната осъществимост; призовава всички съвместни предприятия да продължат да докладват на </w:t>
      </w:r>
      <w:r w:rsidR="009A70BC" w:rsidRPr="00C33F72">
        <w:t>Палатата</w:t>
      </w:r>
      <w:r w:rsidRPr="00C33F72">
        <w:t xml:space="preserve"> и на Европейския парламент по тези въпроси;</w:t>
      </w:r>
    </w:p>
    <w:p w14:paraId="0C7DF3A4" w14:textId="77777777" w:rsidR="0015435E" w:rsidRPr="00C33F72" w:rsidRDefault="0015435E" w:rsidP="00CB6981">
      <w:pPr>
        <w:pStyle w:val="NormalHanging12a"/>
        <w:widowControl/>
        <w:rPr>
          <w:b/>
          <w:i/>
        </w:rPr>
      </w:pPr>
      <w:r w:rsidRPr="00C33F72">
        <w:t>55.</w:t>
      </w:r>
      <w:r w:rsidRPr="00C33F72">
        <w:rPr>
          <w:b/>
          <w:i/>
        </w:rPr>
        <w:tab/>
      </w:r>
      <w:r w:rsidRPr="00C33F72">
        <w:t>отбелязва със загриженост продължаващите предизвикателства във връзка с превишаването на разходите, закъсненията и проблемите с управлението при изпълнението на проекта ITER; призовава за подобрен финансов надзор и по-голяма прозрачност на бюджета, включително по-подробно публично докладване относно развитието на разходите, ефективността на разходите и напредъка към ключовите етапи на проектите; подчертава необходимостта от по-строги механизми за одит, за да се гарантира, че вноските на Съюза за проекта се използват ефективно; настоятелно призовава съвместното предприятие да оптимизира вътрешното си управление, като осигури редовни и независими оценки на рисковете по проектите и подобри механизмите за отчетност на висшето ръководство;</w:t>
      </w:r>
    </w:p>
    <w:p w14:paraId="56F89AF1" w14:textId="77777777" w:rsidR="0015435E" w:rsidRPr="00C33F72" w:rsidRDefault="0015435E" w:rsidP="00CB6981">
      <w:pPr>
        <w:pStyle w:val="NormalHanging12a"/>
        <w:widowControl/>
        <w:rPr>
          <w:b/>
          <w:i/>
        </w:rPr>
      </w:pPr>
      <w:r w:rsidRPr="00C33F72">
        <w:rPr>
          <w:b/>
          <w:i/>
        </w:rPr>
        <w:t>Други приоритети за съвместните предприятия</w:t>
      </w:r>
    </w:p>
    <w:p w14:paraId="1A5CEA84" w14:textId="77777777" w:rsidR="0015435E" w:rsidRPr="00C33F72" w:rsidRDefault="0015435E" w:rsidP="00CB6981">
      <w:pPr>
        <w:pStyle w:val="NormalHanging12a"/>
        <w:widowControl/>
        <w:rPr>
          <w:szCs w:val="24"/>
        </w:rPr>
      </w:pPr>
      <w:r w:rsidRPr="00C33F72">
        <w:t>56.</w:t>
      </w:r>
      <w:r w:rsidRPr="00C33F72">
        <w:tab/>
        <w:t xml:space="preserve">осъзнава административните и бюджетните ограничения на съвместните предприятия и във връзка с тези ограничения призовава съвместните предприятия да разпространяват по-добре своя принос към научноизследователските и иновационните дейности чрез достъпни комуникационни материали, предназначени за академични и научноизследователски институции, публични и частни организации и европейски и национални органи; призовава тези достъпни </w:t>
      </w:r>
      <w:r w:rsidRPr="00C33F72">
        <w:lastRenderedPageBreak/>
        <w:t>комуникационни материали да популяризират възможностите за договори за обществени поръчки и безвъзмездни средства, предлагани от съвместните предприятия в областта на научноизследователските и иновационните дейности;</w:t>
      </w:r>
    </w:p>
    <w:p w14:paraId="799D910F" w14:textId="77777777" w:rsidR="0015435E" w:rsidRPr="00C33F72" w:rsidRDefault="0015435E" w:rsidP="00CB6981">
      <w:pPr>
        <w:pStyle w:val="NormalHanging12a"/>
        <w:widowControl/>
        <w:rPr>
          <w:szCs w:val="24"/>
        </w:rPr>
      </w:pPr>
      <w:r w:rsidRPr="00C33F72">
        <w:t>57.</w:t>
      </w:r>
      <w:r w:rsidRPr="00C33F72">
        <w:tab/>
        <w:t>призовава съвместните предприятия да участват проактивно в комуникационни дейности, предназначени за широк кръг граждани на ЕС, за да представят по педагогически начин своя принос към общите цели и необходимостта от институционализирани партньорства, в които участват частни членове;</w:t>
      </w:r>
    </w:p>
    <w:p w14:paraId="2CD2D4C0" w14:textId="77777777" w:rsidR="0015435E" w:rsidRPr="00C33F72" w:rsidRDefault="0015435E" w:rsidP="00CB6981">
      <w:pPr>
        <w:pStyle w:val="NormalHanging12a"/>
        <w:widowControl/>
        <w:rPr>
          <w:b/>
          <w:i/>
        </w:rPr>
      </w:pPr>
      <w:r w:rsidRPr="00C33F72">
        <w:t>58.</w:t>
      </w:r>
      <w:r w:rsidRPr="00C33F72">
        <w:rPr>
          <w:b/>
          <w:i/>
        </w:rPr>
        <w:tab/>
      </w:r>
      <w:r w:rsidRPr="00C33F72">
        <w:t>призовава съвместните предприятия да установят сътрудничество с университети, за да могат да достигнат до младите европейски висшисти и да подобрят бъдещите си процеси по набиране на персонал;</w:t>
      </w:r>
    </w:p>
    <w:p w14:paraId="2F389D99" w14:textId="77777777" w:rsidR="0015435E" w:rsidRPr="00C33F72" w:rsidRDefault="0015435E" w:rsidP="00CB6981">
      <w:pPr>
        <w:pStyle w:val="NormalHanging12a"/>
        <w:widowControl/>
        <w:rPr>
          <w:szCs w:val="24"/>
        </w:rPr>
      </w:pPr>
      <w:r w:rsidRPr="00C33F72">
        <w:t>59.</w:t>
      </w:r>
      <w:r w:rsidRPr="00C33F72">
        <w:tab/>
        <w:t xml:space="preserve">призовава съвместните предприятия да продължат да докладват ефективно и доколкото им е възможно, за приноса си за заетостта и за конкурентоспособността на европейската икономика с оглед на необходимостта всички важни заинтересовани страни на Европейския съюз в областта на научните изследвания и иновациите да се съсредоточат върху повторната индустриализация на Европейския съюз; </w:t>
      </w:r>
    </w:p>
    <w:p w14:paraId="2A02B3E0" w14:textId="77777777" w:rsidR="0015435E" w:rsidRPr="00C33F72" w:rsidRDefault="0015435E" w:rsidP="00CB6981">
      <w:pPr>
        <w:pStyle w:val="NormalHanging12a"/>
        <w:widowControl/>
        <w:rPr>
          <w:szCs w:val="24"/>
        </w:rPr>
      </w:pPr>
      <w:r w:rsidRPr="00C33F72">
        <w:t>60.</w:t>
      </w:r>
      <w:r w:rsidRPr="00C33F72">
        <w:tab/>
        <w:t>призовава съвместните предприятия да продължат да гарантират достатъчно равнище на участие на частните дружества, особено на малките и средните предприятия, които представляват най-силният актив на европейската икономика;</w:t>
      </w:r>
    </w:p>
    <w:p w14:paraId="44BB622E" w14:textId="77777777" w:rsidR="0015435E" w:rsidRPr="00C33F72" w:rsidRDefault="0015435E" w:rsidP="00CB6981">
      <w:pPr>
        <w:pStyle w:val="NormalHanging12a"/>
        <w:widowControl/>
        <w:rPr>
          <w:szCs w:val="24"/>
        </w:rPr>
      </w:pPr>
      <w:r w:rsidRPr="00C33F72">
        <w:t>61.</w:t>
      </w:r>
      <w:r w:rsidRPr="00C33F72">
        <w:tab/>
        <w:t>призовава съвместните предприятия да докладват ефективно за своя принос към хоризонталните приоритети на бюджета на Европейския съюз;</w:t>
      </w:r>
    </w:p>
    <w:p w14:paraId="63B25554" w14:textId="77777777" w:rsidR="0015435E" w:rsidRPr="00C33F72" w:rsidRDefault="0015435E" w:rsidP="00CB6981">
      <w:pPr>
        <w:widowControl/>
        <w:spacing w:after="240"/>
        <w:ind w:left="567" w:hanging="567"/>
        <w:rPr>
          <w:szCs w:val="24"/>
        </w:rPr>
      </w:pPr>
      <w:r w:rsidRPr="00C33F72">
        <w:t>62.</w:t>
      </w:r>
      <w:r w:rsidRPr="00C33F72">
        <w:tab/>
        <w:t>призовава всички съвместни предприятия да продължат да действат внимателно, когато работят с международни заинтересовани страни, особено с оглед на режима на ограничителни мерки, въведен от Европейския съюз; подчертава особеното положение на Европейското съвместно предприятие за „ITER“ и развитието на термоядрената енергия в това отношение и приветства обясненията, предоставени по време на изслушването на това съвместно предприятие в комисията по бюджетен контрол относно мерките, въведени за предотвратяване на всякакви проблеми в рамките на проекта ITER;</w:t>
      </w:r>
    </w:p>
    <w:p w14:paraId="4B805075" w14:textId="77777777" w:rsidR="0015435E" w:rsidRPr="00C33F72" w:rsidRDefault="0015435E" w:rsidP="00CB6981">
      <w:pPr>
        <w:widowControl/>
        <w:spacing w:after="240"/>
        <w:ind w:left="567" w:hanging="567"/>
      </w:pPr>
      <w:r w:rsidRPr="00C33F72">
        <w:t>63.</w:t>
      </w:r>
      <w:r w:rsidRPr="00C33F72">
        <w:tab/>
        <w:t>призовава всички съвместни предприятия да гарантират, че техните служители използват пълноценно възможните полезни взаимодействия с други субекти от Европейския съюз, като например агенции, във всички относими области с цел повишаване на ефективността и въздействието на техните операции; призовава всички съвместни предприятия да гарантират, че техните служители използват пълноценно платформата, която представлява Мрежата на агенциите на ЕС (EUAN);</w:t>
      </w:r>
    </w:p>
    <w:p w14:paraId="149B6349" w14:textId="77777777" w:rsidR="0015435E" w:rsidRPr="00C33F72" w:rsidRDefault="0015435E" w:rsidP="00CB6981">
      <w:pPr>
        <w:pStyle w:val="NormalHanging12a"/>
        <w:widowControl/>
        <w:rPr>
          <w:b/>
          <w:i/>
        </w:rPr>
      </w:pPr>
      <w:r w:rsidRPr="00C33F72">
        <w:t>64.</w:t>
      </w:r>
      <w:r w:rsidRPr="00C33F72">
        <w:rPr>
          <w:b/>
          <w:i/>
        </w:rPr>
        <w:tab/>
      </w:r>
      <w:r w:rsidRPr="00C33F72">
        <w:t xml:space="preserve">подчертава необходимостта от цифров суверенитет при провеждането на научни изследвания, финансирани от Съюза; във връзка с това поставя специален акцент върху съвместното предприятие „Интегрални схеми“, Съвместното предприятие за европейски високопроизводителни изчислителни технологии и съвместното предприятие „Интелигентни мрежи и услуги“, които отдават приоритет на проекти, повишаващи автономността на ЕС в сферата на производството на полупроводници, изкуствения интелект и киберсигурността; призовава Комисията да гарантира, че финансираните от съвместните предприятия проекти: i) не </w:t>
      </w:r>
      <w:r w:rsidRPr="00C33F72">
        <w:lastRenderedPageBreak/>
        <w:t>разчитат твърде много на доставчици от трети държави за осигуряването на технологии от критично значение; ii) допринасят за устойчивостта на промишлеността и стратегическата независимост на Съюза; iii) насърчават научноизследователската и развойна дейност на тяхната територия в ключови цифрови сектори;</w:t>
      </w:r>
    </w:p>
    <w:p w14:paraId="283CA5A3" w14:textId="77777777" w:rsidR="0015435E" w:rsidRPr="00C33F72" w:rsidRDefault="0015435E" w:rsidP="00CB6981">
      <w:pPr>
        <w:pStyle w:val="NormalHanging12a"/>
        <w:widowControl/>
        <w:rPr>
          <w:b/>
          <w:i/>
        </w:rPr>
      </w:pPr>
      <w:r w:rsidRPr="00C33F72">
        <w:rPr>
          <w:b/>
          <w:i/>
        </w:rPr>
        <w:t>Призив за последващи действия</w:t>
      </w:r>
    </w:p>
    <w:p w14:paraId="39AB27F2" w14:textId="77777777" w:rsidR="0015435E" w:rsidRPr="00C33F72" w:rsidRDefault="0015435E" w:rsidP="00CB6981">
      <w:pPr>
        <w:pStyle w:val="NormalHanging12a"/>
        <w:widowControl/>
        <w:rPr>
          <w:szCs w:val="24"/>
        </w:rPr>
      </w:pPr>
      <w:r w:rsidRPr="00C33F72">
        <w:t>65.</w:t>
      </w:r>
      <w:r w:rsidRPr="00C33F72">
        <w:tab/>
        <w:t xml:space="preserve">призовава всяко съвместно предприятие, разглеждано във връзка с освобождаването от отговорност за изпълнението на бюджета за финансовата 2023 година, да изготви индивидуален доклад за всички последващи действия, предприети за справяне с конкретните въпроси, посочени в настоящата резолюция, и да представи на Европейския парламент този доклад за последващи действия, подписан от изпълнителния директор/директора на съвместното предприятие, не по-късно от 30 септември 2025 г.; </w:t>
      </w:r>
    </w:p>
    <w:p w14:paraId="76283E8F" w14:textId="77777777" w:rsidR="0015435E" w:rsidRPr="00C33F72" w:rsidRDefault="0015435E" w:rsidP="00CB6981">
      <w:pPr>
        <w:pStyle w:val="NormalHanging12a"/>
        <w:widowControl/>
      </w:pPr>
      <w:r w:rsidRPr="00C33F72">
        <w:t>66.</w:t>
      </w:r>
      <w:r w:rsidRPr="00C33F72">
        <w:tab/>
        <w:t>подчертава, че докладите за последващи действия могат също така да съдържат общите становища на съвместните предприятия по настоящата резолюция и по други въпроси от значение за органа по освобождаване от отговорност; очаква съвместните предприятия да изготвят този доклад с всеобхватен подход, да засегнат всички въпроси, разгледани от Европейския парламент във връзка с техните дейности, и да направят това добросъвестно и като действат в сътрудничество.</w:t>
      </w:r>
    </w:p>
    <w:sectPr w:rsidR="0015435E" w:rsidRPr="00C33F72" w:rsidSect="00CB6981">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C8110" w14:textId="77777777" w:rsidR="00874882" w:rsidRPr="00A738B3" w:rsidRDefault="00874882">
      <w:r w:rsidRPr="00A738B3">
        <w:separator/>
      </w:r>
    </w:p>
  </w:endnote>
  <w:endnote w:type="continuationSeparator" w:id="0">
    <w:p w14:paraId="26AF6F22" w14:textId="77777777" w:rsidR="00874882" w:rsidRPr="00A738B3" w:rsidRDefault="00874882">
      <w:r w:rsidRPr="00A738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A41D" w14:textId="77777777" w:rsidR="00874882" w:rsidRPr="00A738B3" w:rsidRDefault="00874882" w:rsidP="00CB6981">
    <w:pPr>
      <w:pStyle w:val="EPFooter"/>
    </w:pPr>
    <w:r w:rsidRPr="00A738B3">
      <w:t>PE</w:t>
    </w:r>
    <w:r w:rsidRPr="00A738B3">
      <w:rPr>
        <w:rStyle w:val="HideTWBExt"/>
      </w:rPr>
      <w:t>&lt;</w:t>
    </w:r>
    <w:proofErr w:type="spellStart"/>
    <w:r w:rsidRPr="00A738B3">
      <w:rPr>
        <w:rStyle w:val="HideTWBExt"/>
      </w:rPr>
      <w:t>NoPE</w:t>
    </w:r>
    <w:proofErr w:type="spellEnd"/>
    <w:r w:rsidRPr="00A738B3">
      <w:rPr>
        <w:rStyle w:val="HideTWBExt"/>
      </w:rPr>
      <w:t>&gt;</w:t>
    </w:r>
    <w:r w:rsidRPr="00A738B3">
      <w:t>765.276</w:t>
    </w:r>
    <w:r w:rsidRPr="00A738B3">
      <w:rPr>
        <w:rStyle w:val="HideTWBExt"/>
      </w:rPr>
      <w:t>&lt;/</w:t>
    </w:r>
    <w:proofErr w:type="spellStart"/>
    <w:r w:rsidRPr="00A738B3">
      <w:rPr>
        <w:rStyle w:val="HideTWBExt"/>
      </w:rPr>
      <w:t>NoPE</w:t>
    </w:r>
    <w:proofErr w:type="spellEnd"/>
    <w:r w:rsidRPr="00A738B3">
      <w:rPr>
        <w:rStyle w:val="HideTWBExt"/>
      </w:rPr>
      <w:t>&gt;&lt;Version&gt;</w:t>
    </w:r>
    <w:r w:rsidRPr="00A738B3">
      <w:t>v03-00</w:t>
    </w:r>
    <w:r w:rsidRPr="00A738B3">
      <w:rPr>
        <w:rStyle w:val="HideTWBExt"/>
      </w:rPr>
      <w:t>&lt;/</w:t>
    </w:r>
    <w:proofErr w:type="spellStart"/>
    <w:r w:rsidRPr="00A738B3">
      <w:rPr>
        <w:rStyle w:val="HideTWBExt"/>
      </w:rPr>
      <w:t>Version</w:t>
    </w:r>
    <w:proofErr w:type="spellEnd"/>
    <w:r w:rsidRPr="00A738B3">
      <w:rPr>
        <w:rStyle w:val="HideTWBExt"/>
      </w:rPr>
      <w:t>&gt;</w:t>
    </w:r>
    <w:r w:rsidRPr="00A738B3">
      <w:tab/>
    </w:r>
    <w:r w:rsidRPr="00A738B3">
      <w:fldChar w:fldCharType="begin"/>
    </w:r>
    <w:r w:rsidRPr="00A738B3">
      <w:instrText xml:space="preserve"> PAGE  \* MERGEFORMAT </w:instrText>
    </w:r>
    <w:r w:rsidRPr="00A738B3">
      <w:fldChar w:fldCharType="separate"/>
    </w:r>
    <w:r w:rsidRPr="00A738B3">
      <w:rPr>
        <w:noProof/>
      </w:rPr>
      <w:t>2</w:t>
    </w:r>
    <w:r w:rsidRPr="00A738B3">
      <w:fldChar w:fldCharType="end"/>
    </w:r>
    <w:r w:rsidRPr="00A738B3">
      <w:t>/</w:t>
    </w:r>
    <w:fldSimple w:instr=" NUMPAGES  \* MERGEFORMAT ">
      <w:r w:rsidRPr="00A738B3">
        <w:rPr>
          <w:noProof/>
        </w:rPr>
        <w:t>3</w:t>
      </w:r>
    </w:fldSimple>
    <w:r w:rsidRPr="00A738B3">
      <w:tab/>
    </w:r>
    <w:r w:rsidRPr="00A738B3">
      <w:rPr>
        <w:rStyle w:val="HideTWBExt"/>
      </w:rPr>
      <w:t>&lt;PathFdR&gt;</w:t>
    </w:r>
    <w:r w:rsidRPr="00A738B3">
      <w:t>RR\1318956BG.docx</w:t>
    </w:r>
    <w:r w:rsidRPr="00A738B3">
      <w:rPr>
        <w:rStyle w:val="HideTWBExt"/>
      </w:rPr>
      <w:t>&lt;/</w:t>
    </w:r>
    <w:proofErr w:type="spellStart"/>
    <w:r w:rsidRPr="00A738B3">
      <w:rPr>
        <w:rStyle w:val="HideTWBExt"/>
      </w:rPr>
      <w:t>PathFdR</w:t>
    </w:r>
    <w:proofErr w:type="spellEnd"/>
    <w:r w:rsidRPr="00A738B3">
      <w:rPr>
        <w:rStyle w:val="HideTWBExt"/>
      </w:rPr>
      <w:t>&gt;</w:t>
    </w:r>
  </w:p>
  <w:p w14:paraId="16DCDC8E" w14:textId="77777777" w:rsidR="00874882" w:rsidRPr="00A738B3" w:rsidRDefault="00874882" w:rsidP="00CB6981">
    <w:pPr>
      <w:pStyle w:val="EPFooter2"/>
    </w:pPr>
    <w:r w:rsidRPr="00A738B3">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9DE3" w14:textId="77777777" w:rsidR="00874882" w:rsidRPr="00A738B3" w:rsidRDefault="00874882" w:rsidP="00CB6981">
    <w:pPr>
      <w:pStyle w:val="EPFooter"/>
    </w:pPr>
    <w:r w:rsidRPr="00A738B3">
      <w:rPr>
        <w:rStyle w:val="HideTWBExt"/>
      </w:rPr>
      <w:t>&lt;PathFdR&gt;</w:t>
    </w:r>
    <w:r w:rsidRPr="00A738B3">
      <w:t>RR\1318956BG.docx</w:t>
    </w:r>
    <w:r w:rsidRPr="00A738B3">
      <w:rPr>
        <w:rStyle w:val="HideTWBExt"/>
      </w:rPr>
      <w:t>&lt;/</w:t>
    </w:r>
    <w:proofErr w:type="spellStart"/>
    <w:r w:rsidRPr="00A738B3">
      <w:rPr>
        <w:rStyle w:val="HideTWBExt"/>
      </w:rPr>
      <w:t>PathFdR</w:t>
    </w:r>
    <w:proofErr w:type="spellEnd"/>
    <w:r w:rsidRPr="00A738B3">
      <w:rPr>
        <w:rStyle w:val="HideTWBExt"/>
      </w:rPr>
      <w:t>&gt;</w:t>
    </w:r>
    <w:r w:rsidRPr="00A738B3">
      <w:tab/>
    </w:r>
    <w:r w:rsidRPr="00A738B3">
      <w:tab/>
      <w:t>PE</w:t>
    </w:r>
    <w:r w:rsidRPr="00A738B3">
      <w:rPr>
        <w:rStyle w:val="HideTWBExt"/>
      </w:rPr>
      <w:t>&lt;</w:t>
    </w:r>
    <w:proofErr w:type="spellStart"/>
    <w:r w:rsidRPr="00A738B3">
      <w:rPr>
        <w:rStyle w:val="HideTWBExt"/>
      </w:rPr>
      <w:t>NoPE</w:t>
    </w:r>
    <w:proofErr w:type="spellEnd"/>
    <w:r w:rsidRPr="00A738B3">
      <w:rPr>
        <w:rStyle w:val="HideTWBExt"/>
      </w:rPr>
      <w:t>&gt;</w:t>
    </w:r>
    <w:r w:rsidRPr="00A738B3">
      <w:t>765.276</w:t>
    </w:r>
    <w:r w:rsidRPr="00A738B3">
      <w:rPr>
        <w:rStyle w:val="HideTWBExt"/>
      </w:rPr>
      <w:t>&lt;/</w:t>
    </w:r>
    <w:proofErr w:type="spellStart"/>
    <w:r w:rsidRPr="00A738B3">
      <w:rPr>
        <w:rStyle w:val="HideTWBExt"/>
      </w:rPr>
      <w:t>NoPE</w:t>
    </w:r>
    <w:proofErr w:type="spellEnd"/>
    <w:r w:rsidRPr="00A738B3">
      <w:rPr>
        <w:rStyle w:val="HideTWBExt"/>
      </w:rPr>
      <w:t>&gt;&lt;Version&gt;</w:t>
    </w:r>
    <w:r w:rsidRPr="00A738B3">
      <w:t>v03-00</w:t>
    </w:r>
    <w:r w:rsidRPr="00A738B3">
      <w:rPr>
        <w:rStyle w:val="HideTWBExt"/>
      </w:rPr>
      <w:t>&lt;/</w:t>
    </w:r>
    <w:proofErr w:type="spellStart"/>
    <w:r w:rsidRPr="00A738B3">
      <w:rPr>
        <w:rStyle w:val="HideTWBExt"/>
      </w:rPr>
      <w:t>Version</w:t>
    </w:r>
    <w:proofErr w:type="spellEnd"/>
    <w:r w:rsidRPr="00A738B3">
      <w:rPr>
        <w:rStyle w:val="HideTWBExt"/>
      </w:rPr>
      <w:t>&gt;</w:t>
    </w:r>
  </w:p>
  <w:p w14:paraId="14D4D77F" w14:textId="77777777" w:rsidR="00874882" w:rsidRPr="00A738B3" w:rsidRDefault="00874882" w:rsidP="00CB6981">
    <w:pPr>
      <w:pStyle w:val="EPFooter2"/>
    </w:pPr>
    <w:r w:rsidRPr="00A738B3">
      <w:t>BG</w:t>
    </w:r>
    <w:r w:rsidRPr="00A738B3">
      <w:tab/>
    </w:r>
    <w:r w:rsidRPr="00A738B3">
      <w:rPr>
        <w:b w:val="0"/>
        <w:i/>
        <w:color w:val="C0C0C0"/>
        <w:sz w:val="22"/>
      </w:rPr>
      <w:t>Единство в многообразието</w:t>
    </w:r>
    <w:r w:rsidRPr="00A738B3">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B7830"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286E9557"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E3AF5"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11F89E47"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6A522"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7E1A0D72"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45A0"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45F9EFAE"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D42D"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1225796C"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B14A"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142D6A75"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88DA"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4FBA0144"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FC6C"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6AE57B85"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79326"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272507B4"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AC8C9" w14:textId="77777777" w:rsidR="00874882" w:rsidRPr="00A738B3" w:rsidRDefault="00874882">
    <w:pPr>
      <w:pStyle w:val="EPFooter"/>
    </w:pPr>
    <w:r w:rsidRPr="00A738B3">
      <w:rPr>
        <w:rStyle w:val="HideTWBExt"/>
        <w:rFonts w:eastAsiaTheme="majorEastAsia"/>
      </w:rPr>
      <w:t>&lt;PathFdR&gt;</w:t>
    </w:r>
    <w:r w:rsidRPr="00A738B3">
      <w:t>PR\1313546EN.docx</w:t>
    </w:r>
    <w:r w:rsidRPr="00A738B3">
      <w:rPr>
        <w:rStyle w:val="HideTWBExt"/>
        <w:rFonts w:eastAsiaTheme="majorEastAsia"/>
      </w:rPr>
      <w:t>&lt;/</w:t>
    </w:r>
    <w:proofErr w:type="spellStart"/>
    <w:r w:rsidRPr="00A738B3">
      <w:rPr>
        <w:rStyle w:val="HideTWBExt"/>
        <w:rFonts w:eastAsiaTheme="majorEastAsia"/>
      </w:rPr>
      <w:t>PathFdR</w:t>
    </w:r>
    <w:proofErr w:type="spellEnd"/>
    <w:r w:rsidRPr="00A738B3">
      <w:rPr>
        <w:rStyle w:val="HideTWBExt"/>
        <w:rFonts w:eastAsiaTheme="majorEastAsia"/>
      </w:rPr>
      <w:t>&gt;</w:t>
    </w:r>
    <w:r w:rsidRPr="00A738B3">
      <w:tab/>
    </w:r>
    <w:r w:rsidRPr="00A738B3">
      <w:tab/>
      <w:t>PE</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w:t>
    </w:r>
    <w:r w:rsidRPr="00A738B3">
      <w:t>765.276</w:t>
    </w:r>
    <w:r w:rsidRPr="00A738B3">
      <w:rPr>
        <w:rStyle w:val="HideTWBExt"/>
        <w:rFonts w:eastAsiaTheme="majorEastAsia"/>
      </w:rPr>
      <w:t>&lt;/</w:t>
    </w:r>
    <w:proofErr w:type="spellStart"/>
    <w:r w:rsidRPr="00A738B3">
      <w:rPr>
        <w:rStyle w:val="HideTWBExt"/>
        <w:rFonts w:eastAsiaTheme="majorEastAsia"/>
      </w:rPr>
      <w:t>NoPE</w:t>
    </w:r>
    <w:proofErr w:type="spellEnd"/>
    <w:r w:rsidRPr="00A738B3">
      <w:rPr>
        <w:rStyle w:val="HideTWBExt"/>
        <w:rFonts w:eastAsiaTheme="majorEastAsia"/>
      </w:rPr>
      <w:t>&gt;&lt;Version&gt;</w:t>
    </w:r>
    <w:r w:rsidRPr="00A738B3">
      <w:t>v01-00</w:t>
    </w:r>
    <w:r w:rsidRPr="00A738B3">
      <w:rPr>
        <w:rStyle w:val="HideTWBExt"/>
        <w:rFonts w:eastAsiaTheme="majorEastAsia"/>
      </w:rPr>
      <w:t>&lt;/</w:t>
    </w:r>
    <w:proofErr w:type="spellStart"/>
    <w:r w:rsidRPr="00A738B3">
      <w:rPr>
        <w:rStyle w:val="HideTWBExt"/>
        <w:rFonts w:eastAsiaTheme="majorEastAsia"/>
      </w:rPr>
      <w:t>Version</w:t>
    </w:r>
    <w:proofErr w:type="spellEnd"/>
    <w:r w:rsidRPr="00A738B3">
      <w:rPr>
        <w:rStyle w:val="HideTWBExt"/>
        <w:rFonts w:eastAsiaTheme="majorEastAsia"/>
      </w:rPr>
      <w:t>&gt;</w:t>
    </w:r>
  </w:p>
  <w:p w14:paraId="26959CF7" w14:textId="77777777" w:rsidR="00874882" w:rsidRPr="00A738B3" w:rsidRDefault="00874882">
    <w:pPr>
      <w:pStyle w:val="EPFooter2"/>
      <w:tabs>
        <w:tab w:val="clear" w:pos="4535"/>
        <w:tab w:val="center" w:pos="4536"/>
      </w:tabs>
    </w:pPr>
    <w:r w:rsidRPr="00A738B3">
      <w:fldChar w:fldCharType="begin"/>
    </w:r>
    <w:r w:rsidRPr="00A738B3">
      <w:instrText xml:space="preserve"> DOCPROPERTY "&lt;Extension&gt;" </w:instrText>
    </w:r>
    <w:r w:rsidRPr="00A738B3">
      <w:fldChar w:fldCharType="separate"/>
    </w:r>
    <w:r w:rsidRPr="00A738B3">
      <w:t>BG</w:t>
    </w:r>
    <w:r w:rsidRPr="00A738B3">
      <w:fldChar w:fldCharType="end"/>
    </w:r>
    <w:r w:rsidRPr="00A738B3">
      <w:tab/>
    </w:r>
    <w:proofErr w:type="spellStart"/>
    <w:r w:rsidRPr="00A738B3">
      <w:rPr>
        <w:b w:val="0"/>
        <w:i/>
        <w:color w:val="C0C0C0"/>
        <w:sz w:val="22"/>
        <w:szCs w:val="22"/>
      </w:rPr>
      <w:t>United</w:t>
    </w:r>
    <w:proofErr w:type="spellEnd"/>
    <w:r w:rsidRPr="00A738B3">
      <w:rPr>
        <w:b w:val="0"/>
        <w:i/>
        <w:color w:val="C0C0C0"/>
        <w:sz w:val="22"/>
        <w:szCs w:val="22"/>
      </w:rPr>
      <w:t xml:space="preserve"> </w:t>
    </w:r>
    <w:proofErr w:type="spellStart"/>
    <w:r w:rsidRPr="00A738B3">
      <w:rPr>
        <w:b w:val="0"/>
        <w:i/>
        <w:color w:val="C0C0C0"/>
        <w:sz w:val="22"/>
        <w:szCs w:val="22"/>
      </w:rPr>
      <w:t>in</w:t>
    </w:r>
    <w:proofErr w:type="spellEnd"/>
    <w:r w:rsidRPr="00A738B3">
      <w:rPr>
        <w:b w:val="0"/>
        <w:i/>
        <w:color w:val="C0C0C0"/>
        <w:sz w:val="22"/>
        <w:szCs w:val="22"/>
      </w:rPr>
      <w:t xml:space="preserve"> </w:t>
    </w:r>
    <w:proofErr w:type="spellStart"/>
    <w:r w:rsidRPr="00A738B3">
      <w:rPr>
        <w:b w:val="0"/>
        <w:i/>
        <w:color w:val="C0C0C0"/>
        <w:sz w:val="22"/>
        <w:szCs w:val="22"/>
      </w:rPr>
      <w:t>diversity</w:t>
    </w:r>
    <w:proofErr w:type="spellEnd"/>
    <w:r w:rsidRPr="00A738B3">
      <w:tab/>
    </w:r>
    <w:r w:rsidRPr="00A738B3">
      <w:fldChar w:fldCharType="begin"/>
    </w:r>
    <w:r w:rsidRPr="00A738B3">
      <w:instrText xml:space="preserve"> DOCPROPERTY "&lt;Extension&gt;" </w:instrText>
    </w:r>
    <w:r w:rsidRPr="00A738B3">
      <w:fldChar w:fldCharType="separate"/>
    </w:r>
    <w:r w:rsidRPr="00A738B3">
      <w:t>BG</w:t>
    </w:r>
    <w:r w:rsidRPr="00A738B3">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0F8D" w14:textId="77777777" w:rsidR="00874882" w:rsidRPr="00A738B3" w:rsidRDefault="0087488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C455" w14:textId="77777777" w:rsidR="00874882" w:rsidRPr="00A738B3" w:rsidRDefault="0087488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D3248" w14:textId="77777777" w:rsidR="00874882" w:rsidRPr="00A738B3" w:rsidRDefault="0087488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CCA6" w14:textId="77777777" w:rsidR="00874882" w:rsidRPr="00A738B3" w:rsidRDefault="008748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7D054" w14:textId="77777777" w:rsidR="00874882" w:rsidRPr="00A738B3" w:rsidRDefault="00874882">
      <w:r w:rsidRPr="00A738B3">
        <w:separator/>
      </w:r>
    </w:p>
  </w:footnote>
  <w:footnote w:type="continuationSeparator" w:id="0">
    <w:p w14:paraId="1B74D619" w14:textId="77777777" w:rsidR="00874882" w:rsidRPr="00A738B3" w:rsidRDefault="00874882">
      <w:r w:rsidRPr="00A738B3">
        <w:continuationSeparator/>
      </w:r>
    </w:p>
  </w:footnote>
  <w:footnote w:id="1">
    <w:p w14:paraId="0EAD585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 w:history="1">
        <w:r w:rsidRPr="00A738B3">
          <w:rPr>
            <w:rStyle w:val="Hyperlink"/>
            <w:sz w:val="24"/>
            <w:lang w:val="bg-BG"/>
          </w:rPr>
          <w:t>http://data.europa.eu/eli/C/2024/6841/oj</w:t>
        </w:r>
      </w:hyperlink>
      <w:r w:rsidRPr="00A738B3">
        <w:rPr>
          <w:sz w:val="24"/>
          <w:lang w:val="bg-BG"/>
        </w:rPr>
        <w:t>.</w:t>
      </w:r>
    </w:p>
  </w:footnote>
  <w:footnote w:id="2">
    <w:p w14:paraId="2B23619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2" w:history="1">
        <w:r w:rsidRPr="00A738B3">
          <w:rPr>
            <w:rStyle w:val="Hyperlink"/>
            <w:sz w:val="24"/>
            <w:lang w:val="bg-BG"/>
          </w:rPr>
          <w:t>http://data.europa.eu/eli/C/2024/6041/oj</w:t>
        </w:r>
      </w:hyperlink>
      <w:r w:rsidRPr="00A738B3">
        <w:rPr>
          <w:sz w:val="24"/>
          <w:lang w:val="bg-BG"/>
        </w:rPr>
        <w:t>.</w:t>
      </w:r>
    </w:p>
  </w:footnote>
  <w:footnote w:id="3">
    <w:p w14:paraId="0762CE9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3" w:history="1">
        <w:r w:rsidRPr="00A738B3">
          <w:rPr>
            <w:rStyle w:val="Hyperlink"/>
            <w:sz w:val="24"/>
            <w:lang w:val="bg-BG"/>
          </w:rPr>
          <w:t>http://data.europa.eu/eli/reg/2018/1046/oj</w:t>
        </w:r>
      </w:hyperlink>
      <w:r w:rsidRPr="00A738B3">
        <w:rPr>
          <w:sz w:val="24"/>
          <w:lang w:val="bg-BG"/>
        </w:rPr>
        <w:t>.</w:t>
      </w:r>
    </w:p>
  </w:footnote>
  <w:footnote w:id="4">
    <w:p w14:paraId="749C6BA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4"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5">
    <w:p w14:paraId="2FDB5FC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5" w:history="1">
        <w:r w:rsidRPr="00A738B3">
          <w:rPr>
            <w:rStyle w:val="Hyperlink"/>
            <w:sz w:val="24"/>
            <w:lang w:val="bg-BG"/>
          </w:rPr>
          <w:t>http://data.europa.eu/eli/reg/2021/2085/oj</w:t>
        </w:r>
      </w:hyperlink>
      <w:r w:rsidRPr="00A738B3">
        <w:rPr>
          <w:sz w:val="24"/>
          <w:lang w:val="bg-BG"/>
        </w:rPr>
        <w:t>.</w:t>
      </w:r>
    </w:p>
  </w:footnote>
  <w:footnote w:id="6">
    <w:p w14:paraId="0DF63B6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6" w:history="1">
        <w:r w:rsidRPr="00A738B3">
          <w:rPr>
            <w:rStyle w:val="Hyperlink"/>
            <w:sz w:val="24"/>
            <w:lang w:val="bg-BG"/>
          </w:rPr>
          <w:t>http://data.europa.eu/eli/reg_del/2019/887/oj</w:t>
        </w:r>
      </w:hyperlink>
      <w:r w:rsidRPr="00A738B3">
        <w:rPr>
          <w:sz w:val="24"/>
          <w:lang w:val="bg-BG"/>
        </w:rPr>
        <w:t>.</w:t>
      </w:r>
    </w:p>
  </w:footnote>
  <w:footnote w:id="7">
    <w:p w14:paraId="3A5267D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7" w:history="1">
        <w:r w:rsidRPr="00A738B3">
          <w:rPr>
            <w:rStyle w:val="Hyperlink"/>
            <w:sz w:val="24"/>
            <w:lang w:val="bg-BG"/>
          </w:rPr>
          <w:t>http://data.europa.eu/eli/C/2024/6841/oj</w:t>
        </w:r>
      </w:hyperlink>
      <w:r w:rsidRPr="00A738B3">
        <w:rPr>
          <w:sz w:val="24"/>
          <w:lang w:val="bg-BG"/>
        </w:rPr>
        <w:t>.</w:t>
      </w:r>
    </w:p>
  </w:footnote>
  <w:footnote w:id="8">
    <w:p w14:paraId="06657EA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8" w:history="1">
        <w:r w:rsidRPr="00A738B3">
          <w:rPr>
            <w:rStyle w:val="Hyperlink"/>
            <w:sz w:val="24"/>
            <w:lang w:val="bg-BG"/>
          </w:rPr>
          <w:t>http://data.europa.eu/eli/C/2024/6041/oj</w:t>
        </w:r>
      </w:hyperlink>
      <w:r w:rsidRPr="00A738B3">
        <w:rPr>
          <w:sz w:val="24"/>
          <w:lang w:val="bg-BG"/>
        </w:rPr>
        <w:t>.</w:t>
      </w:r>
    </w:p>
  </w:footnote>
  <w:footnote w:id="9">
    <w:p w14:paraId="7EB8188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9" w:history="1">
        <w:r w:rsidRPr="00A738B3">
          <w:rPr>
            <w:rStyle w:val="Hyperlink"/>
            <w:sz w:val="24"/>
            <w:lang w:val="bg-BG"/>
          </w:rPr>
          <w:t>http://data.europa.eu/eli/reg/2018/1046/oj</w:t>
        </w:r>
      </w:hyperlink>
      <w:r w:rsidRPr="00A738B3">
        <w:rPr>
          <w:sz w:val="24"/>
          <w:lang w:val="bg-BG"/>
        </w:rPr>
        <w:t>.</w:t>
      </w:r>
    </w:p>
  </w:footnote>
  <w:footnote w:id="10">
    <w:p w14:paraId="77916FF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0"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1">
    <w:p w14:paraId="21816C3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1" w:history="1">
        <w:r w:rsidRPr="00A738B3">
          <w:rPr>
            <w:rStyle w:val="Hyperlink"/>
            <w:sz w:val="24"/>
            <w:lang w:val="bg-BG"/>
          </w:rPr>
          <w:t>http://data.europa.eu/eli/reg/2021/2085/oj</w:t>
        </w:r>
      </w:hyperlink>
      <w:r w:rsidRPr="00A738B3">
        <w:rPr>
          <w:sz w:val="24"/>
          <w:lang w:val="bg-BG"/>
        </w:rPr>
        <w:t>.</w:t>
      </w:r>
    </w:p>
  </w:footnote>
  <w:footnote w:id="12">
    <w:p w14:paraId="7D213BD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2" w:history="1">
        <w:r w:rsidRPr="00A738B3">
          <w:rPr>
            <w:rStyle w:val="Hyperlink"/>
            <w:sz w:val="24"/>
            <w:lang w:val="bg-BG"/>
          </w:rPr>
          <w:t>http://data.europa.eu/eli/reg_del/2019/887/oj</w:t>
        </w:r>
      </w:hyperlink>
      <w:r w:rsidRPr="00A738B3">
        <w:rPr>
          <w:sz w:val="24"/>
          <w:lang w:val="bg-BG"/>
        </w:rPr>
        <w:t>.</w:t>
      </w:r>
    </w:p>
  </w:footnote>
  <w:footnote w:id="13">
    <w:p w14:paraId="7F019A5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3" w:history="1">
        <w:r w:rsidRPr="00A738B3">
          <w:rPr>
            <w:rStyle w:val="Hyperlink"/>
            <w:sz w:val="24"/>
            <w:lang w:val="bg-BG"/>
          </w:rPr>
          <w:t>http://data.europa.eu/eli/C/2024/6841/oj</w:t>
        </w:r>
      </w:hyperlink>
      <w:r w:rsidRPr="00A738B3">
        <w:rPr>
          <w:sz w:val="24"/>
          <w:lang w:val="bg-BG"/>
        </w:rPr>
        <w:t>.</w:t>
      </w:r>
    </w:p>
  </w:footnote>
  <w:footnote w:id="14">
    <w:p w14:paraId="7B8B09E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4" w:history="1">
        <w:r w:rsidRPr="00A738B3">
          <w:rPr>
            <w:rStyle w:val="Hyperlink"/>
            <w:sz w:val="24"/>
            <w:lang w:val="bg-BG"/>
          </w:rPr>
          <w:t>http://data.europa.eu/eli/C/2024/6041/oj</w:t>
        </w:r>
      </w:hyperlink>
      <w:r w:rsidRPr="00A738B3">
        <w:rPr>
          <w:sz w:val="24"/>
          <w:lang w:val="bg-BG"/>
        </w:rPr>
        <w:t>.</w:t>
      </w:r>
    </w:p>
  </w:footnote>
  <w:footnote w:id="15">
    <w:p w14:paraId="20076DA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5" w:history="1">
        <w:r w:rsidRPr="00A738B3">
          <w:rPr>
            <w:rStyle w:val="Hyperlink"/>
            <w:sz w:val="24"/>
            <w:lang w:val="bg-BG"/>
          </w:rPr>
          <w:t>http://data.europa.eu/eli/reg/2018/1046/oj</w:t>
        </w:r>
      </w:hyperlink>
      <w:r w:rsidRPr="00A738B3">
        <w:rPr>
          <w:sz w:val="24"/>
          <w:lang w:val="bg-BG"/>
        </w:rPr>
        <w:t>.</w:t>
      </w:r>
    </w:p>
  </w:footnote>
  <w:footnote w:id="16">
    <w:p w14:paraId="5805B8C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6"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7">
    <w:p w14:paraId="6E8F0E8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7" w:history="1">
        <w:r w:rsidRPr="00A738B3">
          <w:rPr>
            <w:rStyle w:val="Hyperlink"/>
            <w:sz w:val="24"/>
            <w:lang w:val="bg-BG"/>
          </w:rPr>
          <w:t>http://data.europa.eu/eli/reg/2021/2085/oj</w:t>
        </w:r>
      </w:hyperlink>
      <w:r w:rsidRPr="00A738B3">
        <w:rPr>
          <w:sz w:val="24"/>
          <w:lang w:val="bg-BG"/>
        </w:rPr>
        <w:t>.</w:t>
      </w:r>
    </w:p>
  </w:footnote>
  <w:footnote w:id="18">
    <w:p w14:paraId="012D0F2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8" w:history="1">
        <w:r w:rsidRPr="00A738B3">
          <w:rPr>
            <w:rStyle w:val="Hyperlink"/>
            <w:sz w:val="24"/>
            <w:lang w:val="bg-BG"/>
          </w:rPr>
          <w:t>http://data.europa.eu/eli/reg_del/2019/887/oj</w:t>
        </w:r>
      </w:hyperlink>
      <w:r w:rsidRPr="00A738B3">
        <w:rPr>
          <w:sz w:val="24"/>
          <w:lang w:val="bg-BG"/>
        </w:rPr>
        <w:t>.</w:t>
      </w:r>
    </w:p>
  </w:footnote>
  <w:footnote w:id="19">
    <w:p w14:paraId="38AB61B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9" w:history="1">
        <w:r w:rsidRPr="00A738B3">
          <w:rPr>
            <w:rStyle w:val="Hyperlink"/>
            <w:sz w:val="24"/>
            <w:lang w:val="bg-BG"/>
          </w:rPr>
          <w:t>http://data.europa.eu/eli/C/2024/6841/oj</w:t>
        </w:r>
      </w:hyperlink>
      <w:r w:rsidRPr="00A738B3">
        <w:rPr>
          <w:sz w:val="24"/>
          <w:lang w:val="bg-BG"/>
        </w:rPr>
        <w:t>.</w:t>
      </w:r>
    </w:p>
  </w:footnote>
  <w:footnote w:id="20">
    <w:p w14:paraId="21CFE6A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20" w:history="1">
        <w:r w:rsidRPr="00A738B3">
          <w:rPr>
            <w:rStyle w:val="Hyperlink"/>
            <w:sz w:val="24"/>
            <w:lang w:val="bg-BG"/>
          </w:rPr>
          <w:t>http://data.europa.eu/eli/C/2024/6041/oj</w:t>
        </w:r>
      </w:hyperlink>
      <w:r w:rsidRPr="00A738B3">
        <w:rPr>
          <w:sz w:val="24"/>
          <w:lang w:val="bg-BG"/>
        </w:rPr>
        <w:t xml:space="preserve">. </w:t>
      </w:r>
    </w:p>
  </w:footnote>
  <w:footnote w:id="21">
    <w:p w14:paraId="3FD02C5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21" w:history="1">
        <w:r w:rsidRPr="00A738B3">
          <w:rPr>
            <w:rStyle w:val="Hyperlink"/>
            <w:sz w:val="24"/>
            <w:lang w:val="bg-BG"/>
          </w:rPr>
          <w:t>http://data.europa.eu/eli/reg/2018/1046/oj</w:t>
        </w:r>
      </w:hyperlink>
      <w:r w:rsidRPr="00A738B3">
        <w:rPr>
          <w:sz w:val="24"/>
          <w:lang w:val="bg-BG"/>
        </w:rPr>
        <w:t>.</w:t>
      </w:r>
    </w:p>
  </w:footnote>
  <w:footnote w:id="22">
    <w:p w14:paraId="3042151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22"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23">
    <w:p w14:paraId="72300D7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23" w:history="1">
        <w:r w:rsidRPr="00A738B3">
          <w:rPr>
            <w:rStyle w:val="Hyperlink"/>
            <w:sz w:val="24"/>
            <w:lang w:val="bg-BG"/>
          </w:rPr>
          <w:t>http://data.europa.eu/eli/reg/2021/2085/oj</w:t>
        </w:r>
      </w:hyperlink>
      <w:r w:rsidRPr="00A738B3">
        <w:rPr>
          <w:sz w:val="24"/>
          <w:lang w:val="bg-BG"/>
        </w:rPr>
        <w:t>.</w:t>
      </w:r>
    </w:p>
  </w:footnote>
  <w:footnote w:id="24">
    <w:p w14:paraId="3882511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24" w:history="1">
        <w:r w:rsidRPr="00A738B3">
          <w:rPr>
            <w:rStyle w:val="Hyperlink"/>
            <w:sz w:val="24"/>
            <w:lang w:val="bg-BG"/>
          </w:rPr>
          <w:t>http://data.europa.eu/eli/reg_del/2019/887/oj</w:t>
        </w:r>
      </w:hyperlink>
      <w:r w:rsidRPr="00A738B3">
        <w:rPr>
          <w:sz w:val="24"/>
          <w:lang w:val="bg-BG"/>
        </w:rPr>
        <w:t>.</w:t>
      </w:r>
    </w:p>
  </w:footnote>
  <w:footnote w:id="25">
    <w:p w14:paraId="7A6DFA1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25" w:history="1">
        <w:r w:rsidRPr="00A738B3">
          <w:rPr>
            <w:rStyle w:val="Hyperlink"/>
            <w:sz w:val="24"/>
            <w:lang w:val="bg-BG"/>
          </w:rPr>
          <w:t>http://data.europa.eu/eli/C/2024/6841/oj</w:t>
        </w:r>
      </w:hyperlink>
      <w:r w:rsidRPr="00A738B3">
        <w:rPr>
          <w:sz w:val="24"/>
          <w:lang w:val="bg-BG"/>
        </w:rPr>
        <w:t>.</w:t>
      </w:r>
    </w:p>
  </w:footnote>
  <w:footnote w:id="26">
    <w:p w14:paraId="681FD4D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26" w:history="1">
        <w:r w:rsidRPr="00A738B3">
          <w:rPr>
            <w:rStyle w:val="Hyperlink"/>
            <w:sz w:val="24"/>
            <w:lang w:val="bg-BG"/>
          </w:rPr>
          <w:t>http://data.europa.eu/eli/C/2024/6041/oj</w:t>
        </w:r>
      </w:hyperlink>
      <w:r w:rsidRPr="00A738B3">
        <w:rPr>
          <w:sz w:val="24"/>
          <w:lang w:val="bg-BG"/>
        </w:rPr>
        <w:t xml:space="preserve">. </w:t>
      </w:r>
    </w:p>
  </w:footnote>
  <w:footnote w:id="27">
    <w:p w14:paraId="2835147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27" w:history="1">
        <w:r w:rsidRPr="00A738B3">
          <w:rPr>
            <w:rStyle w:val="Hyperlink"/>
            <w:sz w:val="24"/>
            <w:lang w:val="bg-BG"/>
          </w:rPr>
          <w:t>http://data.europa.eu/eli/reg/2018/1046/oj</w:t>
        </w:r>
      </w:hyperlink>
      <w:r w:rsidRPr="00A738B3">
        <w:rPr>
          <w:sz w:val="24"/>
          <w:lang w:val="bg-BG"/>
        </w:rPr>
        <w:t>.</w:t>
      </w:r>
    </w:p>
  </w:footnote>
  <w:footnote w:id="28">
    <w:p w14:paraId="175E392D"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28"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29">
    <w:p w14:paraId="14C42C12"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29" w:history="1">
        <w:r w:rsidRPr="00A738B3">
          <w:rPr>
            <w:rStyle w:val="Hyperlink"/>
            <w:sz w:val="24"/>
            <w:lang w:val="bg-BG"/>
          </w:rPr>
          <w:t>http://data.europa.eu/eli/reg/2021/2085/oj</w:t>
        </w:r>
      </w:hyperlink>
      <w:r w:rsidRPr="00A738B3">
        <w:rPr>
          <w:sz w:val="24"/>
          <w:lang w:val="bg-BG"/>
        </w:rPr>
        <w:t>.</w:t>
      </w:r>
    </w:p>
  </w:footnote>
  <w:footnote w:id="30">
    <w:p w14:paraId="44DB754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30" w:history="1">
        <w:r w:rsidRPr="00A738B3">
          <w:rPr>
            <w:rStyle w:val="Hyperlink"/>
            <w:sz w:val="24"/>
            <w:lang w:val="bg-BG"/>
          </w:rPr>
          <w:t>http://data.europa.eu/eli/reg_del/2019/887/oj</w:t>
        </w:r>
      </w:hyperlink>
      <w:r w:rsidRPr="00A738B3">
        <w:rPr>
          <w:sz w:val="24"/>
          <w:lang w:val="bg-BG"/>
        </w:rPr>
        <w:t>.</w:t>
      </w:r>
    </w:p>
  </w:footnote>
  <w:footnote w:id="31">
    <w:p w14:paraId="322EC3E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31" w:history="1">
        <w:r w:rsidRPr="00A738B3">
          <w:rPr>
            <w:rStyle w:val="Hyperlink"/>
            <w:sz w:val="24"/>
            <w:lang w:val="bg-BG"/>
          </w:rPr>
          <w:t>http://data.europa.eu/eli/C/2024/6841/oj</w:t>
        </w:r>
      </w:hyperlink>
      <w:r w:rsidRPr="00A738B3">
        <w:rPr>
          <w:sz w:val="24"/>
          <w:lang w:val="bg-BG"/>
        </w:rPr>
        <w:t>.</w:t>
      </w:r>
    </w:p>
  </w:footnote>
  <w:footnote w:id="32">
    <w:p w14:paraId="471DC3E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32" w:history="1">
        <w:r w:rsidRPr="00A738B3">
          <w:rPr>
            <w:rStyle w:val="Hyperlink"/>
            <w:sz w:val="24"/>
            <w:lang w:val="bg-BG"/>
          </w:rPr>
          <w:t>http://data.europa.eu/eli/C/2024/6041/oj</w:t>
        </w:r>
      </w:hyperlink>
      <w:r w:rsidRPr="00A738B3">
        <w:rPr>
          <w:sz w:val="24"/>
          <w:lang w:val="bg-BG"/>
        </w:rPr>
        <w:t xml:space="preserve">. </w:t>
      </w:r>
    </w:p>
  </w:footnote>
  <w:footnote w:id="33">
    <w:p w14:paraId="5BF1C9C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33" w:history="1">
        <w:r w:rsidRPr="00A738B3">
          <w:rPr>
            <w:rStyle w:val="Hyperlink"/>
            <w:sz w:val="24"/>
            <w:lang w:val="bg-BG"/>
          </w:rPr>
          <w:t>http://data.europa.eu/eli/reg/2018/1046/oj</w:t>
        </w:r>
      </w:hyperlink>
      <w:r w:rsidRPr="00A738B3">
        <w:rPr>
          <w:sz w:val="24"/>
          <w:lang w:val="bg-BG"/>
        </w:rPr>
        <w:t>.</w:t>
      </w:r>
    </w:p>
  </w:footnote>
  <w:footnote w:id="34">
    <w:p w14:paraId="65D725C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34"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35">
    <w:p w14:paraId="09D1CDA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35" w:history="1">
        <w:r w:rsidRPr="00A738B3">
          <w:rPr>
            <w:rStyle w:val="Hyperlink"/>
            <w:sz w:val="24"/>
            <w:lang w:val="bg-BG"/>
          </w:rPr>
          <w:t>http://data.europa.eu/eli/reg/2021/2085/oj</w:t>
        </w:r>
      </w:hyperlink>
      <w:r w:rsidRPr="00A738B3">
        <w:rPr>
          <w:sz w:val="24"/>
          <w:lang w:val="bg-BG"/>
        </w:rPr>
        <w:t>.</w:t>
      </w:r>
    </w:p>
  </w:footnote>
  <w:footnote w:id="36">
    <w:p w14:paraId="50CBC25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36" w:history="1">
        <w:r w:rsidRPr="00A738B3">
          <w:rPr>
            <w:rStyle w:val="Hyperlink"/>
            <w:sz w:val="24"/>
            <w:lang w:val="bg-BG"/>
          </w:rPr>
          <w:t>http://data.europa.eu/eli/reg_del/2019/887/oj</w:t>
        </w:r>
      </w:hyperlink>
      <w:r w:rsidRPr="00A738B3">
        <w:rPr>
          <w:sz w:val="24"/>
          <w:lang w:val="bg-BG"/>
        </w:rPr>
        <w:t>.</w:t>
      </w:r>
    </w:p>
  </w:footnote>
  <w:footnote w:id="37">
    <w:p w14:paraId="33EB0CF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37" w:history="1">
        <w:r w:rsidRPr="00A738B3">
          <w:rPr>
            <w:rStyle w:val="Hyperlink"/>
            <w:sz w:val="24"/>
            <w:lang w:val="bg-BG"/>
          </w:rPr>
          <w:t>http://data.europa.eu/eli/C/2024/6841/oj</w:t>
        </w:r>
      </w:hyperlink>
      <w:r w:rsidRPr="00A738B3">
        <w:rPr>
          <w:sz w:val="24"/>
          <w:lang w:val="bg-BG"/>
        </w:rPr>
        <w:t>.</w:t>
      </w:r>
    </w:p>
  </w:footnote>
  <w:footnote w:id="38">
    <w:p w14:paraId="5B5D7AF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38" w:history="1">
        <w:r w:rsidRPr="00A738B3">
          <w:rPr>
            <w:rStyle w:val="Hyperlink"/>
            <w:sz w:val="24"/>
            <w:lang w:val="bg-BG"/>
          </w:rPr>
          <w:t>http://data.europa.eu/eli/C/2024/6041/oj</w:t>
        </w:r>
      </w:hyperlink>
      <w:r w:rsidRPr="00A738B3">
        <w:rPr>
          <w:sz w:val="24"/>
          <w:lang w:val="bg-BG"/>
        </w:rPr>
        <w:t>.</w:t>
      </w:r>
    </w:p>
  </w:footnote>
  <w:footnote w:id="39">
    <w:p w14:paraId="2C43D6D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39" w:history="1">
        <w:r w:rsidRPr="00A738B3">
          <w:rPr>
            <w:rStyle w:val="Hyperlink"/>
            <w:sz w:val="24"/>
            <w:lang w:val="bg-BG"/>
          </w:rPr>
          <w:t>http://data.europa.eu/eli/reg/2018/1046/oj</w:t>
        </w:r>
      </w:hyperlink>
      <w:r w:rsidRPr="00A738B3">
        <w:rPr>
          <w:sz w:val="24"/>
          <w:lang w:val="bg-BG"/>
        </w:rPr>
        <w:t>.</w:t>
      </w:r>
    </w:p>
  </w:footnote>
  <w:footnote w:id="40">
    <w:p w14:paraId="4194A50E"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40"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41">
    <w:p w14:paraId="7E8CEC7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41" w:history="1">
        <w:r w:rsidRPr="00A738B3">
          <w:rPr>
            <w:rStyle w:val="Hyperlink"/>
            <w:sz w:val="24"/>
            <w:lang w:val="bg-BG"/>
          </w:rPr>
          <w:t>http://data.europa.eu/eli/reg/2021/2085/oj</w:t>
        </w:r>
      </w:hyperlink>
      <w:r w:rsidRPr="00A738B3">
        <w:rPr>
          <w:sz w:val="24"/>
          <w:lang w:val="bg-BG"/>
        </w:rPr>
        <w:t>.</w:t>
      </w:r>
    </w:p>
  </w:footnote>
  <w:footnote w:id="42">
    <w:p w14:paraId="7F587E0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42" w:history="1">
        <w:r w:rsidRPr="00A738B3">
          <w:rPr>
            <w:rStyle w:val="Hyperlink"/>
            <w:sz w:val="24"/>
            <w:lang w:val="bg-BG"/>
          </w:rPr>
          <w:t>http://data.europa.eu/eli/reg_del/2019/887/oj</w:t>
        </w:r>
      </w:hyperlink>
      <w:r w:rsidRPr="00A738B3">
        <w:rPr>
          <w:sz w:val="24"/>
          <w:lang w:val="bg-BG"/>
        </w:rPr>
        <w:t>.</w:t>
      </w:r>
    </w:p>
  </w:footnote>
  <w:footnote w:id="43">
    <w:p w14:paraId="00E7A27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43" w:history="1">
        <w:r w:rsidRPr="00A738B3">
          <w:rPr>
            <w:rStyle w:val="Hyperlink"/>
            <w:sz w:val="24"/>
            <w:lang w:val="bg-BG"/>
          </w:rPr>
          <w:t>http://data.europa.eu/eli/C/2024/6841/oj</w:t>
        </w:r>
      </w:hyperlink>
      <w:r w:rsidRPr="00A738B3">
        <w:rPr>
          <w:sz w:val="24"/>
          <w:lang w:val="bg-BG"/>
        </w:rPr>
        <w:t>.</w:t>
      </w:r>
    </w:p>
  </w:footnote>
  <w:footnote w:id="44">
    <w:p w14:paraId="51518E6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44" w:history="1">
        <w:r w:rsidRPr="00A738B3">
          <w:rPr>
            <w:rStyle w:val="Hyperlink"/>
            <w:sz w:val="24"/>
            <w:lang w:val="bg-BG"/>
          </w:rPr>
          <w:t>http://data.europa.eu/eli/C/2024/6041/oj</w:t>
        </w:r>
      </w:hyperlink>
      <w:r w:rsidRPr="00A738B3">
        <w:rPr>
          <w:sz w:val="24"/>
          <w:lang w:val="bg-BG"/>
        </w:rPr>
        <w:t>.</w:t>
      </w:r>
    </w:p>
  </w:footnote>
  <w:footnote w:id="45">
    <w:p w14:paraId="40D1862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45" w:history="1">
        <w:r w:rsidRPr="00A738B3">
          <w:rPr>
            <w:rStyle w:val="Hyperlink"/>
            <w:sz w:val="24"/>
            <w:lang w:val="bg-BG"/>
          </w:rPr>
          <w:t>http://data.europa.eu/eli/reg/2018/1046/oj</w:t>
        </w:r>
      </w:hyperlink>
      <w:r w:rsidRPr="00A738B3">
        <w:rPr>
          <w:sz w:val="24"/>
          <w:lang w:val="bg-BG"/>
        </w:rPr>
        <w:t>.</w:t>
      </w:r>
    </w:p>
  </w:footnote>
  <w:footnote w:id="46">
    <w:p w14:paraId="4113441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46"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47">
    <w:p w14:paraId="1B28886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47" w:history="1">
        <w:r w:rsidRPr="00A738B3">
          <w:rPr>
            <w:rStyle w:val="Hyperlink"/>
            <w:sz w:val="24"/>
            <w:lang w:val="bg-BG"/>
          </w:rPr>
          <w:t>http://data.europa.eu/eli/reg/2021/2085/oj</w:t>
        </w:r>
      </w:hyperlink>
      <w:r w:rsidRPr="00A738B3">
        <w:rPr>
          <w:sz w:val="24"/>
          <w:lang w:val="bg-BG"/>
        </w:rPr>
        <w:t>.</w:t>
      </w:r>
    </w:p>
  </w:footnote>
  <w:footnote w:id="48">
    <w:p w14:paraId="7D0624B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48" w:history="1">
        <w:r w:rsidRPr="00A738B3">
          <w:rPr>
            <w:rStyle w:val="Hyperlink"/>
            <w:sz w:val="24"/>
            <w:lang w:val="bg-BG"/>
          </w:rPr>
          <w:t>http://data.europa.eu/eli/reg_del/2019/887/oj</w:t>
        </w:r>
      </w:hyperlink>
      <w:r w:rsidRPr="00A738B3">
        <w:rPr>
          <w:sz w:val="24"/>
          <w:lang w:val="bg-BG"/>
        </w:rPr>
        <w:t>.</w:t>
      </w:r>
    </w:p>
  </w:footnote>
  <w:footnote w:id="49">
    <w:p w14:paraId="6FBB9B5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49" w:history="1">
        <w:r w:rsidRPr="00A738B3">
          <w:rPr>
            <w:rStyle w:val="Hyperlink"/>
            <w:sz w:val="24"/>
            <w:lang w:val="bg-BG"/>
          </w:rPr>
          <w:t>http://data.europa.eu/eli/C/2024/6841/oj</w:t>
        </w:r>
      </w:hyperlink>
      <w:r w:rsidRPr="00A738B3">
        <w:rPr>
          <w:sz w:val="24"/>
          <w:lang w:val="bg-BG"/>
        </w:rPr>
        <w:t>.</w:t>
      </w:r>
    </w:p>
  </w:footnote>
  <w:footnote w:id="50">
    <w:p w14:paraId="0B43DD4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50" w:history="1">
        <w:r w:rsidRPr="00A738B3">
          <w:rPr>
            <w:rStyle w:val="Hyperlink"/>
            <w:sz w:val="24"/>
            <w:lang w:val="bg-BG"/>
          </w:rPr>
          <w:t>http://data.europa.eu/eli/C/2024/6041/oj</w:t>
        </w:r>
      </w:hyperlink>
      <w:r w:rsidRPr="00A738B3">
        <w:rPr>
          <w:sz w:val="24"/>
          <w:lang w:val="bg-BG"/>
        </w:rPr>
        <w:t xml:space="preserve">. </w:t>
      </w:r>
    </w:p>
  </w:footnote>
  <w:footnote w:id="51">
    <w:p w14:paraId="458CEA4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51" w:history="1">
        <w:r w:rsidRPr="00A738B3">
          <w:rPr>
            <w:rStyle w:val="Hyperlink"/>
            <w:sz w:val="24"/>
            <w:lang w:val="bg-BG"/>
          </w:rPr>
          <w:t>http://data.europa.eu/eli/reg/2018/1046/oj</w:t>
        </w:r>
      </w:hyperlink>
      <w:r w:rsidRPr="00A738B3">
        <w:rPr>
          <w:sz w:val="24"/>
          <w:lang w:val="bg-BG"/>
        </w:rPr>
        <w:t>.</w:t>
      </w:r>
    </w:p>
  </w:footnote>
  <w:footnote w:id="52">
    <w:p w14:paraId="4A0548F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52"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53">
    <w:p w14:paraId="47CD000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256, 19.7.2021 г., стр. 3, ELI: </w:t>
      </w:r>
      <w:hyperlink r:id="rId53" w:history="1">
        <w:r w:rsidRPr="00A738B3">
          <w:rPr>
            <w:rStyle w:val="Hyperlink"/>
            <w:sz w:val="24"/>
            <w:lang w:val="bg-BG"/>
          </w:rPr>
          <w:t>https://eur-lex.europa.eu/eli/reg/2021/1173/oj</w:t>
        </w:r>
      </w:hyperlink>
      <w:r w:rsidRPr="00A738B3">
        <w:rPr>
          <w:sz w:val="24"/>
          <w:lang w:val="bg-BG"/>
        </w:rPr>
        <w:t>.</w:t>
      </w:r>
    </w:p>
  </w:footnote>
  <w:footnote w:id="54">
    <w:p w14:paraId="1E86CD4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54" w:history="1">
        <w:r w:rsidRPr="00A738B3">
          <w:rPr>
            <w:rStyle w:val="Hyperlink"/>
            <w:sz w:val="24"/>
            <w:lang w:val="bg-BG"/>
          </w:rPr>
          <w:t>http://data.europa.eu/eli/reg_del/2019/887/oj</w:t>
        </w:r>
      </w:hyperlink>
      <w:r w:rsidRPr="00A738B3">
        <w:rPr>
          <w:sz w:val="24"/>
          <w:lang w:val="bg-BG"/>
        </w:rPr>
        <w:t>.</w:t>
      </w:r>
    </w:p>
  </w:footnote>
  <w:footnote w:id="55">
    <w:p w14:paraId="347E1A9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55" w:history="1">
        <w:r w:rsidRPr="00A738B3">
          <w:rPr>
            <w:rStyle w:val="Hyperlink"/>
            <w:sz w:val="24"/>
            <w:lang w:val="bg-BG"/>
          </w:rPr>
          <w:t>http://data.europa.eu/eli/C/2024/6841/oj</w:t>
        </w:r>
      </w:hyperlink>
      <w:r w:rsidRPr="00A738B3">
        <w:rPr>
          <w:sz w:val="24"/>
          <w:lang w:val="bg-BG"/>
        </w:rPr>
        <w:t>.</w:t>
      </w:r>
    </w:p>
  </w:footnote>
  <w:footnote w:id="56">
    <w:p w14:paraId="64CF3872"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56" w:history="1">
        <w:r w:rsidRPr="00A738B3">
          <w:rPr>
            <w:rStyle w:val="Hyperlink"/>
            <w:sz w:val="24"/>
            <w:lang w:val="bg-BG"/>
          </w:rPr>
          <w:t>http://data.europa.eu/eli/C/2024/6041/oj</w:t>
        </w:r>
      </w:hyperlink>
      <w:r w:rsidRPr="00A738B3">
        <w:rPr>
          <w:sz w:val="24"/>
          <w:lang w:val="bg-BG"/>
        </w:rPr>
        <w:t xml:space="preserve">. </w:t>
      </w:r>
    </w:p>
  </w:footnote>
  <w:footnote w:id="57">
    <w:p w14:paraId="7CB5579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57" w:history="1">
        <w:r w:rsidRPr="00A738B3">
          <w:rPr>
            <w:rStyle w:val="Hyperlink"/>
            <w:sz w:val="24"/>
            <w:lang w:val="bg-BG"/>
          </w:rPr>
          <w:t>http://data.europa.eu/eli/reg/2018/1046/oj</w:t>
        </w:r>
      </w:hyperlink>
      <w:r w:rsidRPr="00A738B3">
        <w:rPr>
          <w:sz w:val="24"/>
          <w:lang w:val="bg-BG"/>
        </w:rPr>
        <w:t>.</w:t>
      </w:r>
    </w:p>
  </w:footnote>
  <w:footnote w:id="58">
    <w:p w14:paraId="53EDFE1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58"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59">
    <w:p w14:paraId="6C39A812" w14:textId="04C71EB2"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256, 19.7.2021 г., стр. 3, ELI: </w:t>
      </w:r>
      <w:hyperlink r:id="rId59" w:history="1">
        <w:r w:rsidR="00770C50" w:rsidRPr="002E3515">
          <w:rPr>
            <w:rStyle w:val="Hyperlink"/>
            <w:sz w:val="24"/>
            <w:lang w:val="bg-BG"/>
          </w:rPr>
          <w:t>http://data.europa.eu/eli/reg/2021/1173/oj</w:t>
        </w:r>
      </w:hyperlink>
      <w:r w:rsidRPr="00A738B3">
        <w:rPr>
          <w:sz w:val="24"/>
          <w:lang w:val="bg-BG"/>
        </w:rPr>
        <w:t>.</w:t>
      </w:r>
    </w:p>
  </w:footnote>
  <w:footnote w:id="60">
    <w:p w14:paraId="7AF1B412"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60" w:history="1">
        <w:r w:rsidRPr="00A738B3">
          <w:rPr>
            <w:rStyle w:val="Hyperlink"/>
            <w:sz w:val="24"/>
            <w:lang w:val="bg-BG"/>
          </w:rPr>
          <w:t>http://data.europa.eu/eli/reg_del/2019/887/oj</w:t>
        </w:r>
      </w:hyperlink>
      <w:r w:rsidRPr="00A738B3">
        <w:rPr>
          <w:sz w:val="24"/>
          <w:lang w:val="bg-BG"/>
        </w:rPr>
        <w:t>.</w:t>
      </w:r>
    </w:p>
  </w:footnote>
  <w:footnote w:id="61">
    <w:p w14:paraId="2596085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61" w:history="1">
        <w:r w:rsidRPr="00A738B3">
          <w:rPr>
            <w:rStyle w:val="Hyperlink"/>
            <w:sz w:val="24"/>
            <w:lang w:val="bg-BG"/>
          </w:rPr>
          <w:t>http://data.europa.eu/eli/C/2024/6841/oj</w:t>
        </w:r>
      </w:hyperlink>
      <w:r w:rsidRPr="00A738B3">
        <w:rPr>
          <w:sz w:val="24"/>
          <w:lang w:val="bg-BG"/>
        </w:rPr>
        <w:t>.</w:t>
      </w:r>
    </w:p>
  </w:footnote>
  <w:footnote w:id="62">
    <w:p w14:paraId="07CB619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62" w:history="1">
        <w:r w:rsidRPr="00A738B3">
          <w:rPr>
            <w:rStyle w:val="Hyperlink"/>
            <w:sz w:val="24"/>
            <w:lang w:val="bg-BG"/>
          </w:rPr>
          <w:t>http://data.europa.eu/eli/C/2024/6041/oj</w:t>
        </w:r>
      </w:hyperlink>
      <w:r w:rsidRPr="00A738B3">
        <w:rPr>
          <w:sz w:val="24"/>
          <w:lang w:val="bg-BG"/>
        </w:rPr>
        <w:t xml:space="preserve">. </w:t>
      </w:r>
    </w:p>
  </w:footnote>
  <w:footnote w:id="63">
    <w:p w14:paraId="206C22E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63" w:history="1">
        <w:r w:rsidRPr="00A738B3">
          <w:rPr>
            <w:rStyle w:val="Hyperlink"/>
            <w:sz w:val="24"/>
            <w:lang w:val="bg-BG"/>
          </w:rPr>
          <w:t>http://data.europa.eu/eli/reg/2018/1046/oj</w:t>
        </w:r>
      </w:hyperlink>
      <w:r w:rsidRPr="00A738B3">
        <w:rPr>
          <w:sz w:val="24"/>
          <w:lang w:val="bg-BG"/>
        </w:rPr>
        <w:t>.</w:t>
      </w:r>
    </w:p>
  </w:footnote>
  <w:footnote w:id="64">
    <w:p w14:paraId="6F84604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64"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65">
    <w:p w14:paraId="446E1B2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90, 30.3.2007 г., стр. 58, ELI: </w:t>
      </w:r>
      <w:hyperlink r:id="rId65" w:history="1">
        <w:r w:rsidRPr="00A738B3">
          <w:rPr>
            <w:rStyle w:val="Hyperlink"/>
            <w:sz w:val="24"/>
            <w:lang w:val="bg-BG"/>
          </w:rPr>
          <w:t>http://data.europa.eu/eli/dec/2007/198/oj</w:t>
        </w:r>
      </w:hyperlink>
      <w:r w:rsidRPr="00A738B3">
        <w:rPr>
          <w:sz w:val="24"/>
          <w:lang w:val="bg-BG"/>
        </w:rPr>
        <w:t>.</w:t>
      </w:r>
    </w:p>
  </w:footnote>
  <w:footnote w:id="66">
    <w:p w14:paraId="4F15343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122, 10.5.2019 г., стр. 1, ELI: </w:t>
      </w:r>
      <w:hyperlink r:id="rId66" w:history="1">
        <w:r w:rsidRPr="00A738B3">
          <w:rPr>
            <w:rStyle w:val="Hyperlink"/>
            <w:sz w:val="24"/>
            <w:lang w:val="bg-BG"/>
          </w:rPr>
          <w:t>http://data.europa.eu/eli/reg_del/2019/715/oj</w:t>
        </w:r>
      </w:hyperlink>
      <w:r w:rsidRPr="00A738B3">
        <w:rPr>
          <w:sz w:val="24"/>
          <w:lang w:val="bg-BG"/>
        </w:rPr>
        <w:t>.</w:t>
      </w:r>
    </w:p>
  </w:footnote>
  <w:footnote w:id="67">
    <w:p w14:paraId="7B81C60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67" w:history="1">
        <w:r w:rsidRPr="00A738B3">
          <w:rPr>
            <w:rStyle w:val="Hyperlink"/>
            <w:sz w:val="24"/>
            <w:lang w:val="bg-BG"/>
          </w:rPr>
          <w:t>http://data.europa.eu/eli/C/2024/6841/oj</w:t>
        </w:r>
      </w:hyperlink>
      <w:r w:rsidRPr="00A738B3">
        <w:rPr>
          <w:sz w:val="24"/>
          <w:lang w:val="bg-BG"/>
        </w:rPr>
        <w:t>.</w:t>
      </w:r>
    </w:p>
  </w:footnote>
  <w:footnote w:id="68">
    <w:p w14:paraId="3C97BBE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68" w:history="1">
        <w:r w:rsidRPr="00A738B3">
          <w:rPr>
            <w:rStyle w:val="Hyperlink"/>
            <w:sz w:val="24"/>
            <w:lang w:val="bg-BG"/>
          </w:rPr>
          <w:t>http://data.europa.eu/eli/C/2024/6041/oj</w:t>
        </w:r>
      </w:hyperlink>
      <w:r w:rsidRPr="00A738B3">
        <w:rPr>
          <w:sz w:val="24"/>
          <w:lang w:val="bg-BG"/>
        </w:rPr>
        <w:t>.</w:t>
      </w:r>
    </w:p>
  </w:footnote>
  <w:footnote w:id="69">
    <w:p w14:paraId="2410B5B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69" w:history="1">
        <w:r w:rsidRPr="00A738B3">
          <w:rPr>
            <w:rStyle w:val="Hyperlink"/>
            <w:sz w:val="24"/>
            <w:lang w:val="bg-BG"/>
          </w:rPr>
          <w:t>http://data.europa.eu/eli/reg/2018/1046/oj</w:t>
        </w:r>
      </w:hyperlink>
      <w:r w:rsidRPr="00A738B3">
        <w:rPr>
          <w:sz w:val="24"/>
          <w:lang w:val="bg-BG"/>
        </w:rPr>
        <w:t>.</w:t>
      </w:r>
    </w:p>
  </w:footnote>
  <w:footnote w:id="70">
    <w:p w14:paraId="3018A9D7" w14:textId="762F1DA6"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r>
      <w:r w:rsidRPr="00A738B3">
        <w:rPr>
          <w:sz w:val="24"/>
          <w:lang w:val="bg-BG"/>
        </w:rPr>
        <w:t xml:space="preserve">ОВ L, 2024/2509, 26.9.2024 г., ELI: </w:t>
      </w:r>
      <w:hyperlink r:id="rId70" w:history="1">
        <w:r w:rsidR="00CD52B7" w:rsidRPr="00F2760A">
          <w:rPr>
            <w:rStyle w:val="Hyperlink"/>
            <w:sz w:val="24"/>
            <w:shd w:val="clear" w:color="auto" w:fill="FFFFFF"/>
            <w:lang w:val="bg-BG"/>
          </w:rPr>
          <w:t>http://data.europa.eu/eli/reg/2024/2509/oj</w:t>
        </w:r>
      </w:hyperlink>
      <w:r w:rsidRPr="00A738B3">
        <w:rPr>
          <w:sz w:val="24"/>
          <w:lang w:val="bg-BG"/>
        </w:rPr>
        <w:t>.</w:t>
      </w:r>
    </w:p>
  </w:footnote>
  <w:footnote w:id="71">
    <w:p w14:paraId="3D386DF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90, 30.3.2007 г., стр. 58, ELI: </w:t>
      </w:r>
      <w:hyperlink r:id="rId71" w:history="1">
        <w:r w:rsidRPr="00A738B3">
          <w:rPr>
            <w:rStyle w:val="Hyperlink"/>
            <w:sz w:val="24"/>
            <w:lang w:val="bg-BG"/>
          </w:rPr>
          <w:t>http://data.europa.eu/eli/dec/2007/198/oj</w:t>
        </w:r>
      </w:hyperlink>
      <w:r w:rsidRPr="00A738B3">
        <w:rPr>
          <w:sz w:val="24"/>
          <w:lang w:val="bg-BG"/>
        </w:rPr>
        <w:t>.</w:t>
      </w:r>
    </w:p>
  </w:footnote>
  <w:footnote w:id="72">
    <w:p w14:paraId="38DF031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122, 10.5.2019 г., стр. 1, ELI: </w:t>
      </w:r>
      <w:hyperlink r:id="rId72" w:history="1">
        <w:r w:rsidRPr="00A738B3">
          <w:rPr>
            <w:rStyle w:val="Hyperlink"/>
            <w:sz w:val="24"/>
            <w:lang w:val="bg-BG"/>
          </w:rPr>
          <w:t>http://data.europa.eu/eli/reg_del/2019/715/oj</w:t>
        </w:r>
      </w:hyperlink>
      <w:r w:rsidRPr="00A738B3">
        <w:rPr>
          <w:sz w:val="24"/>
          <w:lang w:val="bg-BG"/>
        </w:rPr>
        <w:t>.</w:t>
      </w:r>
    </w:p>
  </w:footnote>
  <w:footnote w:id="73">
    <w:p w14:paraId="5E86F80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73" w:history="1">
        <w:r w:rsidRPr="00A738B3">
          <w:rPr>
            <w:rStyle w:val="Hyperlink"/>
            <w:sz w:val="24"/>
            <w:lang w:val="bg-BG"/>
          </w:rPr>
          <w:t>http://data.europa.eu/eli/C/2024/6841/oj</w:t>
        </w:r>
      </w:hyperlink>
      <w:r w:rsidRPr="00A738B3">
        <w:rPr>
          <w:sz w:val="24"/>
          <w:lang w:val="bg-BG"/>
        </w:rPr>
        <w:t>.</w:t>
      </w:r>
    </w:p>
  </w:footnote>
  <w:footnote w:id="74">
    <w:p w14:paraId="7AE505FE"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74" w:history="1">
        <w:r w:rsidRPr="00A738B3">
          <w:rPr>
            <w:rStyle w:val="Hyperlink"/>
            <w:sz w:val="24"/>
            <w:lang w:val="bg-BG"/>
          </w:rPr>
          <w:t>http://data.europa.eu/eli/C/2024/6041/oj</w:t>
        </w:r>
      </w:hyperlink>
      <w:r w:rsidRPr="00A738B3">
        <w:rPr>
          <w:sz w:val="24"/>
          <w:lang w:val="bg-BG"/>
        </w:rPr>
        <w:t>.</w:t>
      </w:r>
    </w:p>
  </w:footnote>
  <w:footnote w:id="75">
    <w:p w14:paraId="3F23D3FD"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75" w:history="1">
        <w:r w:rsidRPr="00A738B3">
          <w:rPr>
            <w:rStyle w:val="Hyperlink"/>
            <w:sz w:val="24"/>
            <w:lang w:val="bg-BG"/>
          </w:rPr>
          <w:t>http://data.europa.eu/eli/reg/2018/1046/oj</w:t>
        </w:r>
      </w:hyperlink>
      <w:r w:rsidRPr="00A738B3">
        <w:rPr>
          <w:sz w:val="24"/>
          <w:lang w:val="bg-BG"/>
        </w:rPr>
        <w:t>.</w:t>
      </w:r>
    </w:p>
  </w:footnote>
  <w:footnote w:id="76">
    <w:p w14:paraId="5C886E5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76"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77">
    <w:p w14:paraId="78FE133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77" w:history="1">
        <w:r w:rsidRPr="00A738B3">
          <w:rPr>
            <w:rStyle w:val="Hyperlink"/>
            <w:sz w:val="24"/>
            <w:lang w:val="bg-BG"/>
          </w:rPr>
          <w:t>http://data.europa.eu/eli/reg/2021/2085/oj</w:t>
        </w:r>
      </w:hyperlink>
      <w:r w:rsidRPr="00A738B3">
        <w:rPr>
          <w:sz w:val="24"/>
          <w:lang w:val="bg-BG"/>
        </w:rPr>
        <w:t>.</w:t>
      </w:r>
    </w:p>
  </w:footnote>
  <w:footnote w:id="78">
    <w:p w14:paraId="4633F86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78" w:history="1">
        <w:r w:rsidRPr="00A738B3">
          <w:rPr>
            <w:rStyle w:val="Hyperlink"/>
            <w:sz w:val="24"/>
            <w:lang w:val="bg-BG"/>
          </w:rPr>
          <w:t>http://data.europa.eu/eli/reg_del/2019/887/oj</w:t>
        </w:r>
      </w:hyperlink>
      <w:r w:rsidRPr="00A738B3">
        <w:rPr>
          <w:sz w:val="24"/>
          <w:lang w:val="bg-BG"/>
        </w:rPr>
        <w:t>.</w:t>
      </w:r>
    </w:p>
  </w:footnote>
  <w:footnote w:id="79">
    <w:p w14:paraId="52CC5B2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79" w:history="1">
        <w:r w:rsidRPr="00A738B3">
          <w:rPr>
            <w:rStyle w:val="Hyperlink"/>
            <w:sz w:val="24"/>
            <w:lang w:val="bg-BG"/>
          </w:rPr>
          <w:t>http://data.europa.eu/eli/C/2024/6841/oj</w:t>
        </w:r>
      </w:hyperlink>
      <w:r w:rsidRPr="00A738B3">
        <w:rPr>
          <w:sz w:val="24"/>
          <w:lang w:val="bg-BG"/>
        </w:rPr>
        <w:t>.</w:t>
      </w:r>
    </w:p>
  </w:footnote>
  <w:footnote w:id="80">
    <w:p w14:paraId="04D1F70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80" w:history="1">
        <w:r w:rsidRPr="00A738B3">
          <w:rPr>
            <w:rStyle w:val="Hyperlink"/>
            <w:sz w:val="24"/>
            <w:lang w:val="bg-BG"/>
          </w:rPr>
          <w:t>http://data.europa.eu/eli/C/2024/6041/oj</w:t>
        </w:r>
      </w:hyperlink>
      <w:r w:rsidRPr="00A738B3">
        <w:rPr>
          <w:sz w:val="24"/>
          <w:lang w:val="bg-BG"/>
        </w:rPr>
        <w:t>.</w:t>
      </w:r>
    </w:p>
  </w:footnote>
  <w:footnote w:id="81">
    <w:p w14:paraId="05FEBE2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81" w:history="1">
        <w:r w:rsidRPr="00A738B3">
          <w:rPr>
            <w:rStyle w:val="Hyperlink"/>
            <w:sz w:val="24"/>
            <w:lang w:val="bg-BG"/>
          </w:rPr>
          <w:t>http://data.europa.eu/eli/reg/2018/1046/oj</w:t>
        </w:r>
      </w:hyperlink>
      <w:r w:rsidRPr="00A738B3">
        <w:rPr>
          <w:sz w:val="24"/>
          <w:lang w:val="bg-BG"/>
        </w:rPr>
        <w:t>.</w:t>
      </w:r>
    </w:p>
  </w:footnote>
  <w:footnote w:id="82">
    <w:p w14:paraId="18D1CC9D"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82"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83">
    <w:p w14:paraId="43A372D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83" w:history="1">
        <w:r w:rsidRPr="00A738B3">
          <w:rPr>
            <w:rStyle w:val="Hyperlink"/>
            <w:sz w:val="24"/>
            <w:lang w:val="bg-BG"/>
          </w:rPr>
          <w:t>http://data.europa.eu/eli/reg/2021/2085/oj</w:t>
        </w:r>
      </w:hyperlink>
      <w:r w:rsidRPr="00A738B3">
        <w:rPr>
          <w:sz w:val="24"/>
          <w:lang w:val="bg-BG"/>
        </w:rPr>
        <w:t>.</w:t>
      </w:r>
    </w:p>
  </w:footnote>
  <w:footnote w:id="84">
    <w:p w14:paraId="7079406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84" w:history="1">
        <w:r w:rsidRPr="00A738B3">
          <w:rPr>
            <w:rStyle w:val="Hyperlink"/>
            <w:sz w:val="24"/>
            <w:lang w:val="bg-BG"/>
          </w:rPr>
          <w:t>http://data.europa.eu/eli/reg_del/2019/887/oj</w:t>
        </w:r>
      </w:hyperlink>
      <w:r w:rsidRPr="00A738B3">
        <w:rPr>
          <w:sz w:val="24"/>
          <w:lang w:val="bg-BG"/>
        </w:rPr>
        <w:t>.</w:t>
      </w:r>
    </w:p>
  </w:footnote>
  <w:footnote w:id="85">
    <w:p w14:paraId="76A78B6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85" w:history="1">
        <w:r w:rsidRPr="00A738B3">
          <w:rPr>
            <w:rStyle w:val="Hyperlink"/>
            <w:sz w:val="24"/>
            <w:lang w:val="bg-BG"/>
          </w:rPr>
          <w:t>http://data.europa.eu/eli/C/2024/6841/oj</w:t>
        </w:r>
      </w:hyperlink>
      <w:r w:rsidRPr="00A738B3">
        <w:rPr>
          <w:sz w:val="24"/>
          <w:lang w:val="bg-BG"/>
        </w:rPr>
        <w:t>.</w:t>
      </w:r>
    </w:p>
  </w:footnote>
  <w:footnote w:id="86">
    <w:p w14:paraId="149BB0E2"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86" w:history="1">
        <w:r w:rsidRPr="00A738B3">
          <w:rPr>
            <w:rStyle w:val="Hyperlink"/>
            <w:sz w:val="24"/>
            <w:lang w:val="bg-BG"/>
          </w:rPr>
          <w:t>http://data.europa.eu/eli/C/2024/6041/oj</w:t>
        </w:r>
      </w:hyperlink>
      <w:r w:rsidRPr="00A738B3">
        <w:rPr>
          <w:sz w:val="24"/>
          <w:lang w:val="bg-BG"/>
        </w:rPr>
        <w:t>.</w:t>
      </w:r>
    </w:p>
  </w:footnote>
  <w:footnote w:id="87">
    <w:p w14:paraId="33DD861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87" w:history="1">
        <w:r w:rsidRPr="00A738B3">
          <w:rPr>
            <w:rStyle w:val="Hyperlink"/>
            <w:sz w:val="24"/>
            <w:lang w:val="bg-BG"/>
          </w:rPr>
          <w:t>http://data.europa.eu/eli/reg/2018/1046/oj</w:t>
        </w:r>
      </w:hyperlink>
      <w:r w:rsidRPr="00A738B3">
        <w:rPr>
          <w:sz w:val="24"/>
          <w:lang w:val="bg-BG"/>
        </w:rPr>
        <w:t>.</w:t>
      </w:r>
    </w:p>
  </w:footnote>
  <w:footnote w:id="88">
    <w:p w14:paraId="546D54AD"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88"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89">
    <w:p w14:paraId="01565F8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89" w:history="1">
        <w:r w:rsidRPr="00A738B3">
          <w:rPr>
            <w:rStyle w:val="Hyperlink"/>
            <w:sz w:val="24"/>
            <w:lang w:val="bg-BG"/>
          </w:rPr>
          <w:t>http://data.europa.eu/eli/reg/2021/2085/oj</w:t>
        </w:r>
      </w:hyperlink>
      <w:r w:rsidRPr="00A738B3">
        <w:rPr>
          <w:sz w:val="24"/>
          <w:lang w:val="bg-BG"/>
        </w:rPr>
        <w:t>.</w:t>
      </w:r>
    </w:p>
  </w:footnote>
  <w:footnote w:id="90">
    <w:p w14:paraId="699B2FA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90" w:history="1">
        <w:r w:rsidRPr="00A738B3">
          <w:rPr>
            <w:rStyle w:val="Hyperlink"/>
            <w:sz w:val="24"/>
            <w:lang w:val="bg-BG"/>
          </w:rPr>
          <w:t>http://data.europa.eu/eli/reg_del/2019/887/oj</w:t>
        </w:r>
      </w:hyperlink>
      <w:r w:rsidRPr="00A738B3">
        <w:rPr>
          <w:sz w:val="24"/>
          <w:lang w:val="bg-BG"/>
        </w:rPr>
        <w:t>.</w:t>
      </w:r>
    </w:p>
  </w:footnote>
  <w:footnote w:id="91">
    <w:p w14:paraId="01801EA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91" w:history="1">
        <w:r w:rsidRPr="00A738B3">
          <w:rPr>
            <w:rStyle w:val="Hyperlink"/>
            <w:sz w:val="24"/>
            <w:lang w:val="bg-BG"/>
          </w:rPr>
          <w:t>http://data.europa.eu/eli/C/2024/6841/oj</w:t>
        </w:r>
      </w:hyperlink>
      <w:r w:rsidRPr="00A738B3">
        <w:rPr>
          <w:sz w:val="24"/>
          <w:lang w:val="bg-BG"/>
        </w:rPr>
        <w:t>.</w:t>
      </w:r>
    </w:p>
  </w:footnote>
  <w:footnote w:id="92">
    <w:p w14:paraId="2B2554D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92" w:history="1">
        <w:r w:rsidRPr="00A738B3">
          <w:rPr>
            <w:rStyle w:val="Hyperlink"/>
            <w:sz w:val="24"/>
            <w:lang w:val="bg-BG"/>
          </w:rPr>
          <w:t>http://data.europa.eu/eli/C/2024/6041/oj</w:t>
        </w:r>
      </w:hyperlink>
      <w:r w:rsidRPr="00A738B3">
        <w:rPr>
          <w:sz w:val="24"/>
          <w:lang w:val="bg-BG"/>
        </w:rPr>
        <w:t>.</w:t>
      </w:r>
    </w:p>
  </w:footnote>
  <w:footnote w:id="93">
    <w:p w14:paraId="5235C52E"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93" w:history="1">
        <w:r w:rsidRPr="00A738B3">
          <w:rPr>
            <w:rStyle w:val="Hyperlink"/>
            <w:sz w:val="24"/>
            <w:lang w:val="bg-BG"/>
          </w:rPr>
          <w:t>http://data.europa.eu/eli/reg/2018/1046/oj</w:t>
        </w:r>
      </w:hyperlink>
      <w:r w:rsidRPr="00A738B3">
        <w:rPr>
          <w:sz w:val="24"/>
          <w:lang w:val="bg-BG"/>
        </w:rPr>
        <w:t>.</w:t>
      </w:r>
    </w:p>
  </w:footnote>
  <w:footnote w:id="94">
    <w:p w14:paraId="73DA56B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94"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95">
    <w:p w14:paraId="1A3D299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95" w:history="1">
        <w:r w:rsidRPr="00A738B3">
          <w:rPr>
            <w:rStyle w:val="Hyperlink"/>
            <w:sz w:val="24"/>
            <w:lang w:val="bg-BG"/>
          </w:rPr>
          <w:t>http://data.europa.eu/eli/reg/2021/2085/oj</w:t>
        </w:r>
      </w:hyperlink>
      <w:r w:rsidRPr="00A738B3">
        <w:rPr>
          <w:sz w:val="24"/>
          <w:lang w:val="bg-BG"/>
        </w:rPr>
        <w:t>.</w:t>
      </w:r>
    </w:p>
  </w:footnote>
  <w:footnote w:id="96">
    <w:p w14:paraId="37710C1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96" w:history="1">
        <w:r w:rsidRPr="00A738B3">
          <w:rPr>
            <w:rStyle w:val="Hyperlink"/>
            <w:sz w:val="24"/>
            <w:lang w:val="bg-BG"/>
          </w:rPr>
          <w:t>http://data.europa.eu/eli/reg_del/2019/887/oj</w:t>
        </w:r>
      </w:hyperlink>
      <w:r w:rsidRPr="00A738B3">
        <w:rPr>
          <w:sz w:val="24"/>
          <w:lang w:val="bg-BG"/>
        </w:rPr>
        <w:t>.</w:t>
      </w:r>
    </w:p>
  </w:footnote>
  <w:footnote w:id="97">
    <w:p w14:paraId="06E911A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97" w:history="1">
        <w:r w:rsidRPr="00A738B3">
          <w:rPr>
            <w:rStyle w:val="Hyperlink"/>
            <w:sz w:val="24"/>
            <w:lang w:val="bg-BG"/>
          </w:rPr>
          <w:t>http://data.europa.eu/eli/C/2024/6841/oj</w:t>
        </w:r>
      </w:hyperlink>
      <w:r w:rsidRPr="00A738B3">
        <w:rPr>
          <w:sz w:val="24"/>
          <w:lang w:val="bg-BG"/>
        </w:rPr>
        <w:t>.</w:t>
      </w:r>
    </w:p>
  </w:footnote>
  <w:footnote w:id="98">
    <w:p w14:paraId="36577BA7"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98" w:history="1">
        <w:r w:rsidRPr="00A738B3">
          <w:rPr>
            <w:rStyle w:val="Hyperlink"/>
            <w:sz w:val="24"/>
            <w:lang w:val="bg-BG"/>
          </w:rPr>
          <w:t>http://data.europa.eu/eli/C/2024/6041/oj</w:t>
        </w:r>
      </w:hyperlink>
      <w:r w:rsidRPr="00A738B3">
        <w:rPr>
          <w:sz w:val="24"/>
          <w:lang w:val="bg-BG"/>
        </w:rPr>
        <w:t>.</w:t>
      </w:r>
    </w:p>
  </w:footnote>
  <w:footnote w:id="99">
    <w:p w14:paraId="552F87C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99" w:history="1">
        <w:r w:rsidRPr="00A738B3">
          <w:rPr>
            <w:rStyle w:val="Hyperlink"/>
            <w:sz w:val="24"/>
            <w:lang w:val="bg-BG"/>
          </w:rPr>
          <w:t>http://data.europa.eu/eli/reg/2018/1046/oj</w:t>
        </w:r>
      </w:hyperlink>
      <w:r w:rsidRPr="00A738B3">
        <w:rPr>
          <w:sz w:val="24"/>
          <w:lang w:val="bg-BG"/>
        </w:rPr>
        <w:t>.</w:t>
      </w:r>
    </w:p>
  </w:footnote>
  <w:footnote w:id="100">
    <w:p w14:paraId="1B792D3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00"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01">
    <w:p w14:paraId="12C8993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01" w:history="1">
        <w:r w:rsidRPr="00A738B3">
          <w:rPr>
            <w:rStyle w:val="Hyperlink"/>
            <w:sz w:val="24"/>
            <w:lang w:val="bg-BG"/>
          </w:rPr>
          <w:t>http://data.europa.eu/eli/reg/2021/2085/oj</w:t>
        </w:r>
      </w:hyperlink>
      <w:r w:rsidRPr="00A738B3">
        <w:rPr>
          <w:sz w:val="24"/>
          <w:lang w:val="bg-BG"/>
        </w:rPr>
        <w:t>.</w:t>
      </w:r>
    </w:p>
  </w:footnote>
  <w:footnote w:id="102">
    <w:p w14:paraId="23217519" w14:textId="77777777" w:rsidR="00770C50" w:rsidRPr="00C71E8A" w:rsidRDefault="00770C50" w:rsidP="00770C50">
      <w:pPr>
        <w:pStyle w:val="FootnoteText"/>
        <w:ind w:left="567" w:hanging="567"/>
        <w:rPr>
          <w:sz w:val="24"/>
          <w:lang w:val="bg-BG"/>
        </w:rPr>
      </w:pPr>
      <w:r w:rsidRPr="00C71E8A">
        <w:rPr>
          <w:rStyle w:val="FootnoteReference"/>
          <w:sz w:val="24"/>
        </w:rPr>
        <w:footnoteRef/>
      </w:r>
      <w:r w:rsidRPr="002E3515">
        <w:rPr>
          <w:sz w:val="24"/>
          <w:lang w:val="bg-BG"/>
        </w:rPr>
        <w:tab/>
        <w:t xml:space="preserve">OB L 229, 18.9.2023 г., стр. 55, </w:t>
      </w:r>
      <w:r w:rsidRPr="002E3515">
        <w:rPr>
          <w:sz w:val="24"/>
        </w:rPr>
        <w:t>ELI: </w:t>
      </w:r>
      <w:hyperlink r:id="rId102" w:tooltip="Дава достъп до този документ чрез неговия URI на ELI." w:history="1">
        <w:r w:rsidRPr="002E3515">
          <w:rPr>
            <w:rStyle w:val="Hyperlink"/>
            <w:sz w:val="24"/>
          </w:rPr>
          <w:t>http://data.europa.eu/eli/reg/2023/1782/oj</w:t>
        </w:r>
      </w:hyperlink>
      <w:r w:rsidRPr="002E3515">
        <w:rPr>
          <w:sz w:val="24"/>
          <w:lang w:val="bg-BG"/>
        </w:rPr>
        <w:t>.</w:t>
      </w:r>
    </w:p>
  </w:footnote>
  <w:footnote w:id="103">
    <w:p w14:paraId="34AA544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03" w:history="1">
        <w:r w:rsidRPr="00A738B3">
          <w:rPr>
            <w:rStyle w:val="Hyperlink"/>
            <w:sz w:val="24"/>
            <w:lang w:val="bg-BG"/>
          </w:rPr>
          <w:t>http://data.europa.eu/eli/reg_del/2019/887/oj</w:t>
        </w:r>
      </w:hyperlink>
      <w:r w:rsidRPr="00A738B3">
        <w:rPr>
          <w:sz w:val="24"/>
          <w:lang w:val="bg-BG"/>
        </w:rPr>
        <w:t>.</w:t>
      </w:r>
    </w:p>
  </w:footnote>
  <w:footnote w:id="104">
    <w:p w14:paraId="056F1ED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04" w:history="1">
        <w:r w:rsidRPr="00A738B3">
          <w:rPr>
            <w:rStyle w:val="Hyperlink"/>
            <w:sz w:val="24"/>
            <w:lang w:val="bg-BG"/>
          </w:rPr>
          <w:t>http://data.europa.eu/eli/C/2024/6841/oj</w:t>
        </w:r>
      </w:hyperlink>
      <w:r w:rsidRPr="00A738B3">
        <w:rPr>
          <w:sz w:val="24"/>
          <w:lang w:val="bg-BG"/>
        </w:rPr>
        <w:t>.</w:t>
      </w:r>
    </w:p>
  </w:footnote>
  <w:footnote w:id="105">
    <w:p w14:paraId="12FE5CF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05" w:history="1">
        <w:r w:rsidRPr="00A738B3">
          <w:rPr>
            <w:rStyle w:val="Hyperlink"/>
            <w:sz w:val="24"/>
            <w:lang w:val="bg-BG"/>
          </w:rPr>
          <w:t>http://data.europa.eu/eli/C/2024/6041/oj</w:t>
        </w:r>
      </w:hyperlink>
      <w:r w:rsidRPr="00A738B3">
        <w:rPr>
          <w:sz w:val="24"/>
          <w:lang w:val="bg-BG"/>
        </w:rPr>
        <w:t>.</w:t>
      </w:r>
    </w:p>
  </w:footnote>
  <w:footnote w:id="106">
    <w:p w14:paraId="43425C0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06" w:history="1">
        <w:r w:rsidRPr="00A738B3">
          <w:rPr>
            <w:rStyle w:val="Hyperlink"/>
            <w:sz w:val="24"/>
            <w:lang w:val="bg-BG"/>
          </w:rPr>
          <w:t>http://data.europa.eu/eli/reg/2018/1046/oj</w:t>
        </w:r>
      </w:hyperlink>
      <w:r w:rsidRPr="00A738B3">
        <w:rPr>
          <w:sz w:val="24"/>
          <w:lang w:val="bg-BG"/>
        </w:rPr>
        <w:t>.</w:t>
      </w:r>
    </w:p>
  </w:footnote>
  <w:footnote w:id="107">
    <w:p w14:paraId="63D17DFD"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07"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08">
    <w:p w14:paraId="76DB400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08" w:history="1">
        <w:r w:rsidRPr="00A738B3">
          <w:rPr>
            <w:rStyle w:val="Hyperlink"/>
            <w:sz w:val="24"/>
            <w:lang w:val="bg-BG"/>
          </w:rPr>
          <w:t>http://data.europa.eu/eli/reg/2021/2085/oj</w:t>
        </w:r>
      </w:hyperlink>
      <w:r w:rsidRPr="00A738B3">
        <w:rPr>
          <w:sz w:val="24"/>
          <w:lang w:val="bg-BG"/>
        </w:rPr>
        <w:t>.</w:t>
      </w:r>
    </w:p>
  </w:footnote>
  <w:footnote w:id="109">
    <w:p w14:paraId="4618D4A3" w14:textId="77777777" w:rsidR="00770C50" w:rsidRPr="00C71E8A" w:rsidRDefault="00770C50" w:rsidP="00770C50">
      <w:pPr>
        <w:pStyle w:val="FootnoteText"/>
        <w:ind w:left="567" w:hanging="567"/>
        <w:rPr>
          <w:sz w:val="24"/>
          <w:lang w:val="bg-BG"/>
        </w:rPr>
      </w:pPr>
      <w:r w:rsidRPr="00C71E8A">
        <w:rPr>
          <w:rStyle w:val="FootnoteReference"/>
          <w:sz w:val="24"/>
        </w:rPr>
        <w:footnoteRef/>
      </w:r>
      <w:r w:rsidRPr="002E3515">
        <w:rPr>
          <w:sz w:val="24"/>
          <w:lang w:val="bg-BG"/>
        </w:rPr>
        <w:tab/>
        <w:t xml:space="preserve">OB L 229, 18.9.2023 г., стр. 55, </w:t>
      </w:r>
      <w:r w:rsidRPr="002E3515">
        <w:rPr>
          <w:sz w:val="24"/>
        </w:rPr>
        <w:t>ELI: </w:t>
      </w:r>
      <w:hyperlink r:id="rId109" w:tooltip="Дава достъп до този документ чрез неговия URI на ELI." w:history="1">
        <w:r w:rsidRPr="002E3515">
          <w:rPr>
            <w:rStyle w:val="Hyperlink"/>
            <w:sz w:val="24"/>
          </w:rPr>
          <w:t>http://data.europa.eu/eli/reg/2023/1782/oj</w:t>
        </w:r>
      </w:hyperlink>
      <w:r w:rsidRPr="002E3515">
        <w:rPr>
          <w:sz w:val="24"/>
          <w:lang w:val="bg-BG"/>
        </w:rPr>
        <w:t>.</w:t>
      </w:r>
    </w:p>
  </w:footnote>
  <w:footnote w:id="110">
    <w:p w14:paraId="5433522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10" w:history="1">
        <w:r w:rsidRPr="00A738B3">
          <w:rPr>
            <w:rStyle w:val="Hyperlink"/>
            <w:sz w:val="24"/>
            <w:lang w:val="bg-BG"/>
          </w:rPr>
          <w:t>http://data.europa.eu/eli/reg_del/2019/887/oj</w:t>
        </w:r>
      </w:hyperlink>
      <w:r w:rsidRPr="00A738B3">
        <w:rPr>
          <w:sz w:val="24"/>
          <w:lang w:val="bg-BG"/>
        </w:rPr>
        <w:t>.</w:t>
      </w:r>
    </w:p>
  </w:footnote>
  <w:footnote w:id="111">
    <w:p w14:paraId="4FE4BD9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11" w:history="1">
        <w:r w:rsidRPr="00A738B3">
          <w:rPr>
            <w:rStyle w:val="Hyperlink"/>
            <w:sz w:val="24"/>
            <w:lang w:val="bg-BG"/>
          </w:rPr>
          <w:t>http://data.europa.eu/eli/C/2024/6841/oj</w:t>
        </w:r>
      </w:hyperlink>
      <w:r w:rsidRPr="00A738B3">
        <w:rPr>
          <w:sz w:val="24"/>
          <w:lang w:val="bg-BG"/>
        </w:rPr>
        <w:t>.</w:t>
      </w:r>
    </w:p>
  </w:footnote>
  <w:footnote w:id="112">
    <w:p w14:paraId="154A7F5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12" w:history="1">
        <w:r w:rsidRPr="00A738B3">
          <w:rPr>
            <w:rStyle w:val="Hyperlink"/>
            <w:sz w:val="24"/>
            <w:lang w:val="bg-BG"/>
          </w:rPr>
          <w:t>http://data.europa.eu/eli/C/2024/6041/oj</w:t>
        </w:r>
      </w:hyperlink>
      <w:r w:rsidRPr="00A738B3">
        <w:rPr>
          <w:sz w:val="24"/>
          <w:lang w:val="bg-BG"/>
        </w:rPr>
        <w:t>.</w:t>
      </w:r>
    </w:p>
  </w:footnote>
  <w:footnote w:id="113">
    <w:p w14:paraId="6603B72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13" w:history="1">
        <w:r w:rsidRPr="00A738B3">
          <w:rPr>
            <w:rStyle w:val="Hyperlink"/>
            <w:sz w:val="24"/>
            <w:lang w:val="bg-BG"/>
          </w:rPr>
          <w:t>http://data.europa.eu/eli/reg/2018/1046/oj</w:t>
        </w:r>
      </w:hyperlink>
      <w:r w:rsidRPr="00A738B3">
        <w:rPr>
          <w:sz w:val="24"/>
          <w:lang w:val="bg-BG"/>
        </w:rPr>
        <w:t>.</w:t>
      </w:r>
    </w:p>
  </w:footnote>
  <w:footnote w:id="114">
    <w:p w14:paraId="3796DDE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14"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15">
    <w:p w14:paraId="31CC2610"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15" w:history="1">
        <w:r w:rsidRPr="00A738B3">
          <w:rPr>
            <w:rStyle w:val="Hyperlink"/>
            <w:sz w:val="24"/>
            <w:lang w:val="bg-BG"/>
          </w:rPr>
          <w:t>http://data.europa.eu/eli/reg/2021/2085/oj</w:t>
        </w:r>
      </w:hyperlink>
      <w:r w:rsidRPr="00A738B3">
        <w:rPr>
          <w:sz w:val="24"/>
          <w:lang w:val="bg-BG"/>
        </w:rPr>
        <w:t>.</w:t>
      </w:r>
    </w:p>
  </w:footnote>
  <w:footnote w:id="116">
    <w:p w14:paraId="7FDCF54C"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16" w:history="1">
        <w:r w:rsidRPr="00A738B3">
          <w:rPr>
            <w:rStyle w:val="Hyperlink"/>
            <w:sz w:val="24"/>
            <w:lang w:val="bg-BG"/>
          </w:rPr>
          <w:t>http://data.europa.eu/eli/reg_del/2019/887/oj</w:t>
        </w:r>
      </w:hyperlink>
      <w:r w:rsidRPr="00A738B3">
        <w:rPr>
          <w:sz w:val="24"/>
          <w:lang w:val="bg-BG"/>
        </w:rPr>
        <w:t>.</w:t>
      </w:r>
    </w:p>
  </w:footnote>
  <w:footnote w:id="117">
    <w:p w14:paraId="5ABB5B5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17" w:history="1">
        <w:r w:rsidRPr="00A738B3">
          <w:rPr>
            <w:rStyle w:val="Hyperlink"/>
            <w:sz w:val="24"/>
            <w:lang w:val="bg-BG"/>
          </w:rPr>
          <w:t>http://data.europa.eu/eli/C/2024/6841/oj</w:t>
        </w:r>
      </w:hyperlink>
      <w:r w:rsidRPr="00A738B3">
        <w:rPr>
          <w:sz w:val="24"/>
          <w:lang w:val="bg-BG"/>
        </w:rPr>
        <w:t>.</w:t>
      </w:r>
    </w:p>
  </w:footnote>
  <w:footnote w:id="118">
    <w:p w14:paraId="60AD219A"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18" w:history="1">
        <w:r w:rsidRPr="00A738B3">
          <w:rPr>
            <w:rStyle w:val="Hyperlink"/>
            <w:sz w:val="24"/>
            <w:lang w:val="bg-BG"/>
          </w:rPr>
          <w:t>http://data.europa.eu/eli/C/2024/6041/oj</w:t>
        </w:r>
      </w:hyperlink>
      <w:r w:rsidRPr="00A738B3">
        <w:rPr>
          <w:sz w:val="24"/>
          <w:lang w:val="bg-BG"/>
        </w:rPr>
        <w:t>.</w:t>
      </w:r>
    </w:p>
  </w:footnote>
  <w:footnote w:id="119">
    <w:p w14:paraId="6CEF05D5"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19" w:history="1">
        <w:r w:rsidRPr="00A738B3">
          <w:rPr>
            <w:rStyle w:val="Hyperlink"/>
            <w:sz w:val="24"/>
            <w:lang w:val="bg-BG"/>
          </w:rPr>
          <w:t>http://data.europa.eu/eli/reg/2018/1046/oj</w:t>
        </w:r>
      </w:hyperlink>
      <w:r w:rsidRPr="00A738B3">
        <w:rPr>
          <w:sz w:val="24"/>
          <w:lang w:val="bg-BG"/>
        </w:rPr>
        <w:t>.</w:t>
      </w:r>
    </w:p>
  </w:footnote>
  <w:footnote w:id="120">
    <w:p w14:paraId="28BFA402"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20"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21">
    <w:p w14:paraId="5B039C4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21" w:history="1">
        <w:r w:rsidRPr="00A738B3">
          <w:rPr>
            <w:rStyle w:val="Hyperlink"/>
            <w:sz w:val="24"/>
            <w:lang w:val="bg-BG"/>
          </w:rPr>
          <w:t>http://data.europa.eu/eli/reg/2021/2085/oj</w:t>
        </w:r>
      </w:hyperlink>
      <w:r w:rsidRPr="00A738B3">
        <w:rPr>
          <w:sz w:val="24"/>
          <w:lang w:val="bg-BG"/>
        </w:rPr>
        <w:t>.</w:t>
      </w:r>
    </w:p>
  </w:footnote>
  <w:footnote w:id="122">
    <w:p w14:paraId="348FD299"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22" w:history="1">
        <w:r w:rsidRPr="00A738B3">
          <w:rPr>
            <w:rStyle w:val="Hyperlink"/>
            <w:sz w:val="24"/>
            <w:lang w:val="bg-BG"/>
          </w:rPr>
          <w:t>http://data.europa.eu/eli/reg_del/2019/887/oj</w:t>
        </w:r>
      </w:hyperlink>
      <w:r w:rsidRPr="00A738B3">
        <w:rPr>
          <w:sz w:val="24"/>
          <w:lang w:val="bg-BG"/>
        </w:rPr>
        <w:t>.</w:t>
      </w:r>
    </w:p>
  </w:footnote>
  <w:footnote w:id="123">
    <w:p w14:paraId="0C8EF9E6"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23" w:history="1">
        <w:r w:rsidRPr="00A738B3">
          <w:rPr>
            <w:rStyle w:val="Hyperlink"/>
            <w:sz w:val="24"/>
            <w:lang w:val="bg-BG"/>
          </w:rPr>
          <w:t>http://data.europa.eu/eli/C/2024/6841/oj</w:t>
        </w:r>
      </w:hyperlink>
      <w:r w:rsidRPr="00A738B3">
        <w:rPr>
          <w:sz w:val="24"/>
          <w:lang w:val="bg-BG"/>
        </w:rPr>
        <w:t>.</w:t>
      </w:r>
    </w:p>
  </w:footnote>
  <w:footnote w:id="124">
    <w:p w14:paraId="64159683"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24" w:history="1">
        <w:r w:rsidRPr="00A738B3">
          <w:rPr>
            <w:rStyle w:val="Hyperlink"/>
            <w:sz w:val="24"/>
            <w:lang w:val="bg-BG"/>
          </w:rPr>
          <w:t>http://data.europa.eu/eli/C/2024/6041/oj</w:t>
        </w:r>
      </w:hyperlink>
      <w:r w:rsidRPr="00A738B3">
        <w:rPr>
          <w:sz w:val="24"/>
          <w:lang w:val="bg-BG"/>
        </w:rPr>
        <w:t>.</w:t>
      </w:r>
    </w:p>
  </w:footnote>
  <w:footnote w:id="125">
    <w:p w14:paraId="2B3C150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25" w:history="1">
        <w:r w:rsidRPr="00A738B3">
          <w:rPr>
            <w:rStyle w:val="Hyperlink"/>
            <w:sz w:val="24"/>
            <w:lang w:val="bg-BG"/>
          </w:rPr>
          <w:t>http://data.europa.eu/eli/reg/2018/1046/oj</w:t>
        </w:r>
      </w:hyperlink>
      <w:r w:rsidRPr="00A738B3">
        <w:rPr>
          <w:sz w:val="24"/>
          <w:lang w:val="bg-BG"/>
        </w:rPr>
        <w:t>.</w:t>
      </w:r>
    </w:p>
  </w:footnote>
  <w:footnote w:id="126">
    <w:p w14:paraId="3AFE930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2024/2509, 26.9.2024 г., ELI: </w:t>
      </w:r>
      <w:hyperlink r:id="rId126"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27">
    <w:p w14:paraId="535BD201"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L 427, 30.11.2021 г., стр. 17, ELI: </w:t>
      </w:r>
      <w:hyperlink r:id="rId127" w:history="1">
        <w:r w:rsidRPr="00A738B3">
          <w:rPr>
            <w:rStyle w:val="Hyperlink"/>
            <w:sz w:val="24"/>
            <w:lang w:val="bg-BG"/>
          </w:rPr>
          <w:t>http://data.europa.eu/eli/reg/2021/2085/oj</w:t>
        </w:r>
      </w:hyperlink>
      <w:r w:rsidRPr="00A738B3">
        <w:rPr>
          <w:sz w:val="24"/>
          <w:lang w:val="bg-BG"/>
        </w:rPr>
        <w:t>.</w:t>
      </w:r>
    </w:p>
  </w:footnote>
  <w:footnote w:id="128">
    <w:p w14:paraId="0494555F"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142, 29.5.2019 г., стр. 16, ELI: </w:t>
      </w:r>
      <w:hyperlink r:id="rId128" w:history="1">
        <w:r w:rsidRPr="00A738B3">
          <w:rPr>
            <w:rStyle w:val="Hyperlink"/>
            <w:sz w:val="24"/>
            <w:lang w:val="bg-BG"/>
          </w:rPr>
          <w:t>http://data.europa.eu/eli/reg_del/2019/887/oj</w:t>
        </w:r>
      </w:hyperlink>
      <w:r w:rsidRPr="00A738B3">
        <w:rPr>
          <w:sz w:val="24"/>
          <w:lang w:val="bg-BG"/>
        </w:rPr>
        <w:t>.</w:t>
      </w:r>
    </w:p>
  </w:footnote>
  <w:footnote w:id="129">
    <w:p w14:paraId="499BCB4B"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C/2024/6841, 13.11.2024 г., ELI: </w:t>
      </w:r>
      <w:hyperlink r:id="rId129" w:history="1">
        <w:r w:rsidRPr="00A738B3">
          <w:rPr>
            <w:rStyle w:val="Hyperlink"/>
            <w:sz w:val="24"/>
            <w:lang w:val="bg-BG"/>
          </w:rPr>
          <w:t>http://data.europa.eu/eli/C/2024/6841/oj</w:t>
        </w:r>
      </w:hyperlink>
      <w:r w:rsidRPr="00A738B3">
        <w:rPr>
          <w:sz w:val="24"/>
          <w:lang w:val="bg-BG"/>
        </w:rPr>
        <w:t>.</w:t>
      </w:r>
    </w:p>
  </w:footnote>
  <w:footnote w:id="130">
    <w:p w14:paraId="78D2D568"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ОВ C, C/2024/6041, 10.10.2024 г., ELI: </w:t>
      </w:r>
      <w:hyperlink r:id="rId130" w:history="1">
        <w:r w:rsidRPr="00A738B3">
          <w:rPr>
            <w:rStyle w:val="Hyperlink"/>
            <w:sz w:val="24"/>
            <w:lang w:val="bg-BG"/>
          </w:rPr>
          <w:t>http://data.europa.eu/eli/C/2024/6041/oj</w:t>
        </w:r>
      </w:hyperlink>
      <w:r w:rsidRPr="00A738B3">
        <w:rPr>
          <w:sz w:val="24"/>
          <w:lang w:val="bg-BG"/>
        </w:rPr>
        <w:t>.</w:t>
      </w:r>
    </w:p>
  </w:footnote>
  <w:footnote w:id="131">
    <w:p w14:paraId="4B51FCD4" w14:textId="77777777"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t xml:space="preserve">OВ L 193, 30.7.2018 г., стр. 1, ELI: </w:t>
      </w:r>
      <w:hyperlink r:id="rId131" w:history="1">
        <w:r w:rsidRPr="00A738B3">
          <w:rPr>
            <w:rStyle w:val="Hyperlink"/>
            <w:sz w:val="24"/>
            <w:lang w:val="bg-BG"/>
          </w:rPr>
          <w:t>http://data.europa.eu/eli/reg/2018/1046/oj</w:t>
        </w:r>
      </w:hyperlink>
      <w:r w:rsidRPr="00A738B3">
        <w:rPr>
          <w:sz w:val="24"/>
          <w:lang w:val="bg-BG"/>
        </w:rPr>
        <w:t>.</w:t>
      </w:r>
    </w:p>
  </w:footnote>
  <w:footnote w:id="132">
    <w:p w14:paraId="235D2935" w14:textId="77777777" w:rsidR="00874882" w:rsidRPr="00A738B3" w:rsidRDefault="00874882" w:rsidP="00A738B3">
      <w:pPr>
        <w:pStyle w:val="FootnoteText"/>
        <w:ind w:left="567" w:hanging="567"/>
        <w:rPr>
          <w:sz w:val="24"/>
          <w:szCs w:val="24"/>
          <w:lang w:val="bg-BG"/>
        </w:rPr>
      </w:pPr>
      <w:r w:rsidRPr="00A738B3">
        <w:rPr>
          <w:rStyle w:val="FootnoteReference"/>
          <w:sz w:val="24"/>
          <w:szCs w:val="24"/>
          <w:lang w:val="bg-BG"/>
        </w:rPr>
        <w:footnoteRef/>
      </w:r>
      <w:r w:rsidRPr="00A738B3">
        <w:rPr>
          <w:sz w:val="24"/>
          <w:lang w:val="bg-BG"/>
        </w:rPr>
        <w:t xml:space="preserve"> </w:t>
      </w:r>
      <w:r w:rsidRPr="00A738B3">
        <w:rPr>
          <w:sz w:val="24"/>
          <w:lang w:val="bg-BG"/>
        </w:rPr>
        <w:tab/>
        <w:t xml:space="preserve">ОВ L, 2024/2509, 26.9.2024 г., ELI: </w:t>
      </w:r>
      <w:hyperlink r:id="rId132" w:tgtFrame="_blank" w:history="1">
        <w:r w:rsidRPr="00A738B3">
          <w:rPr>
            <w:rStyle w:val="Hyperlink"/>
            <w:sz w:val="24"/>
            <w:shd w:val="clear" w:color="auto" w:fill="FFFFFF"/>
            <w:lang w:val="bg-BG"/>
          </w:rPr>
          <w:t>http://data.europa.eu/eli/reg/2024/2509/oj</w:t>
        </w:r>
      </w:hyperlink>
      <w:r w:rsidRPr="00A738B3">
        <w:rPr>
          <w:sz w:val="24"/>
          <w:lang w:val="bg-BG"/>
        </w:rPr>
        <w:t>.</w:t>
      </w:r>
    </w:p>
  </w:footnote>
  <w:footnote w:id="133">
    <w:p w14:paraId="4802A813" w14:textId="77777777" w:rsidR="00874882" w:rsidRPr="00A738B3" w:rsidRDefault="00874882" w:rsidP="00A738B3">
      <w:pPr>
        <w:pStyle w:val="FootnoteText"/>
        <w:ind w:left="567" w:hanging="567"/>
        <w:rPr>
          <w:sz w:val="24"/>
          <w:szCs w:val="24"/>
          <w:lang w:val="bg-BG"/>
        </w:rPr>
      </w:pPr>
      <w:r w:rsidRPr="00A738B3">
        <w:rPr>
          <w:rStyle w:val="FootnoteReference"/>
          <w:sz w:val="24"/>
          <w:szCs w:val="24"/>
          <w:lang w:val="bg-BG"/>
        </w:rPr>
        <w:footnoteRef/>
      </w:r>
      <w:r w:rsidRPr="00A738B3">
        <w:rPr>
          <w:sz w:val="24"/>
          <w:lang w:val="bg-BG"/>
        </w:rPr>
        <w:t xml:space="preserve"> </w:t>
      </w:r>
      <w:r w:rsidRPr="00A738B3">
        <w:rPr>
          <w:sz w:val="24"/>
          <w:lang w:val="bg-BG"/>
        </w:rPr>
        <w:tab/>
        <w:t xml:space="preserve">ОВ L 427, 30.11.2021 г., стр. 17, ELI: </w:t>
      </w:r>
      <w:hyperlink r:id="rId133" w:history="1">
        <w:r w:rsidRPr="00A738B3">
          <w:rPr>
            <w:rStyle w:val="Hyperlink"/>
            <w:sz w:val="24"/>
            <w:lang w:val="bg-BG"/>
          </w:rPr>
          <w:t>http://data.europa.eu/eli/reg/2021/2085/oj</w:t>
        </w:r>
      </w:hyperlink>
      <w:r w:rsidRPr="00A738B3">
        <w:rPr>
          <w:sz w:val="24"/>
          <w:lang w:val="bg-BG"/>
        </w:rPr>
        <w:t>.</w:t>
      </w:r>
    </w:p>
  </w:footnote>
  <w:footnote w:id="134">
    <w:p w14:paraId="28F6C83B" w14:textId="77777777" w:rsidR="00874882" w:rsidRPr="00A738B3" w:rsidRDefault="00874882" w:rsidP="00A738B3">
      <w:pPr>
        <w:pStyle w:val="FootnoteText"/>
        <w:ind w:left="567" w:hanging="567"/>
        <w:rPr>
          <w:sz w:val="24"/>
          <w:szCs w:val="24"/>
          <w:lang w:val="bg-BG"/>
        </w:rPr>
      </w:pPr>
      <w:r w:rsidRPr="00A738B3">
        <w:rPr>
          <w:rStyle w:val="FootnoteReference"/>
          <w:sz w:val="24"/>
          <w:szCs w:val="24"/>
          <w:lang w:val="bg-BG"/>
        </w:rPr>
        <w:footnoteRef/>
      </w:r>
      <w:r w:rsidRPr="00A738B3">
        <w:rPr>
          <w:sz w:val="24"/>
          <w:lang w:val="bg-BG"/>
        </w:rPr>
        <w:t xml:space="preserve"> </w:t>
      </w:r>
      <w:r w:rsidRPr="00A738B3">
        <w:rPr>
          <w:sz w:val="24"/>
          <w:lang w:val="bg-BG"/>
        </w:rPr>
        <w:tab/>
        <w:t xml:space="preserve">OВ L 142, 29.5.2019 г., стр. 16, ELI: </w:t>
      </w:r>
      <w:hyperlink r:id="rId134" w:history="1">
        <w:r w:rsidRPr="00A738B3">
          <w:rPr>
            <w:rStyle w:val="Hyperlink"/>
            <w:sz w:val="24"/>
            <w:lang w:val="bg-BG"/>
          </w:rPr>
          <w:t>http://data.europa.eu/eli/reg_del/2019/887/oj</w:t>
        </w:r>
      </w:hyperlink>
      <w:r w:rsidRPr="00A738B3">
        <w:rPr>
          <w:sz w:val="24"/>
          <w:lang w:val="bg-BG"/>
        </w:rPr>
        <w:t>.</w:t>
      </w:r>
    </w:p>
  </w:footnote>
  <w:footnote w:id="135">
    <w:p w14:paraId="1DB290EB" w14:textId="55513DBC" w:rsidR="00770C50" w:rsidRPr="00F75920" w:rsidRDefault="00770C50" w:rsidP="00770C50">
      <w:pPr>
        <w:pStyle w:val="FootnoteText"/>
        <w:ind w:left="567" w:hanging="567"/>
        <w:rPr>
          <w:sz w:val="24"/>
          <w:lang w:val="bg-BG"/>
        </w:rPr>
      </w:pPr>
      <w:r w:rsidRPr="00F75920">
        <w:rPr>
          <w:rStyle w:val="FootnoteReference"/>
          <w:sz w:val="24"/>
        </w:rPr>
        <w:footnoteRef/>
      </w:r>
      <w:r w:rsidRPr="002E3515">
        <w:rPr>
          <w:sz w:val="24"/>
          <w:lang w:val="bg-BG"/>
        </w:rPr>
        <w:tab/>
        <w:t>Регламент (ЕС) 2021/2085 на Съвета от 19 ноември 2021 г</w:t>
      </w:r>
      <w:r>
        <w:rPr>
          <w:sz w:val="24"/>
          <w:lang w:val="en-GB"/>
        </w:rPr>
        <w:t>.</w:t>
      </w:r>
      <w:r w:rsidRPr="002E3515">
        <w:rPr>
          <w:sz w:val="24"/>
          <w:lang w:val="bg-BG"/>
        </w:rPr>
        <w:t xml:space="preserve">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 (OB L</w:t>
      </w:r>
      <w:r w:rsidRPr="002E3515">
        <w:rPr>
          <w:sz w:val="24"/>
          <w:lang w:val="fr-BE"/>
        </w:rPr>
        <w:t> </w:t>
      </w:r>
      <w:r w:rsidRPr="002E3515">
        <w:rPr>
          <w:sz w:val="24"/>
          <w:lang w:val="bg-BG"/>
        </w:rPr>
        <w:t>427, 30.11.2021</w:t>
      </w:r>
      <w:r w:rsidRPr="002E3515">
        <w:rPr>
          <w:sz w:val="24"/>
          <w:lang w:val="fr-BE"/>
        </w:rPr>
        <w:t> </w:t>
      </w:r>
      <w:r w:rsidRPr="002E3515">
        <w:rPr>
          <w:sz w:val="24"/>
          <w:lang w:val="bg-BG"/>
        </w:rPr>
        <w:t>г., стр.</w:t>
      </w:r>
      <w:r w:rsidRPr="002E3515">
        <w:rPr>
          <w:sz w:val="24"/>
          <w:lang w:val="fr-BE"/>
        </w:rPr>
        <w:t> </w:t>
      </w:r>
      <w:r w:rsidRPr="002E3515">
        <w:rPr>
          <w:sz w:val="24"/>
          <w:lang w:val="bg-BG"/>
        </w:rPr>
        <w:t>17, ELI: </w:t>
      </w:r>
      <w:hyperlink r:id="rId135" w:history="1">
        <w:r w:rsidRPr="002E3515">
          <w:rPr>
            <w:rStyle w:val="Hyperlink1"/>
            <w:sz w:val="24"/>
            <w:lang w:val="bg-BG"/>
          </w:rPr>
          <w:t>http://data.europa.eu/eli/reg/2021/2085/oj</w:t>
        </w:r>
      </w:hyperlink>
      <w:r w:rsidRPr="002E3515">
        <w:rPr>
          <w:sz w:val="24"/>
          <w:lang w:val="bg-BG"/>
        </w:rPr>
        <w:t>).</w:t>
      </w:r>
    </w:p>
  </w:footnote>
  <w:footnote w:id="136">
    <w:p w14:paraId="3AAFE660" w14:textId="4E6AD5C9"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r>
      <w:r w:rsidR="00770C50" w:rsidRPr="002E3515">
        <w:rPr>
          <w:sz w:val="24"/>
          <w:lang w:val="bg-BG"/>
        </w:rPr>
        <w:t>Регламент (ЕС) 2023/1782 на Съвета от 25 юли 2023 г</w:t>
      </w:r>
      <w:r w:rsidR="00770C50">
        <w:rPr>
          <w:sz w:val="24"/>
          <w:lang w:val="bg-BG"/>
        </w:rPr>
        <w:t>.</w:t>
      </w:r>
      <w:r w:rsidR="00770C50" w:rsidRPr="002E3515">
        <w:rPr>
          <w:sz w:val="24"/>
          <w:lang w:val="bg-BG"/>
        </w:rPr>
        <w:t xml:space="preserve"> за изменение на Регламент (ЕС) 2021/2085 за създаване на съвместните предприятия в рамките на програмата „Хоризонт Европа“ по отношение на съвместното предприятие „Интегрални схеми“ (ОВ L 229, 18.9.2023 г., стр. 55, ELI: </w:t>
      </w:r>
      <w:hyperlink r:id="rId136" w:history="1">
        <w:r w:rsidR="00770C50" w:rsidRPr="002E3515">
          <w:rPr>
            <w:rStyle w:val="Hyperlink"/>
            <w:sz w:val="24"/>
            <w:lang w:val="bg-BG"/>
          </w:rPr>
          <w:t>http://data.europa.eu/eli/reg/2023/1782/oj</w:t>
        </w:r>
      </w:hyperlink>
      <w:r w:rsidR="00770C50" w:rsidRPr="002E3515">
        <w:rPr>
          <w:sz w:val="24"/>
          <w:lang w:val="bg-BG"/>
        </w:rPr>
        <w:t>)</w:t>
      </w:r>
      <w:r w:rsidRPr="00A738B3">
        <w:rPr>
          <w:sz w:val="24"/>
          <w:lang w:val="bg-BG"/>
        </w:rPr>
        <w:t xml:space="preserve">. </w:t>
      </w:r>
    </w:p>
  </w:footnote>
  <w:footnote w:id="137">
    <w:p w14:paraId="0925B5D0" w14:textId="30A74808" w:rsidR="00874882" w:rsidRPr="00A738B3" w:rsidRDefault="00874882" w:rsidP="00A738B3">
      <w:pPr>
        <w:pStyle w:val="FootnoteText"/>
        <w:ind w:left="567" w:hanging="567"/>
        <w:rPr>
          <w:sz w:val="24"/>
          <w:lang w:val="bg-BG"/>
        </w:rPr>
      </w:pPr>
      <w:r w:rsidRPr="00A738B3">
        <w:rPr>
          <w:rStyle w:val="FootnoteReference"/>
          <w:sz w:val="24"/>
          <w:lang w:val="bg-BG"/>
        </w:rPr>
        <w:footnoteRef/>
      </w:r>
      <w:r w:rsidRPr="00A738B3">
        <w:rPr>
          <w:sz w:val="24"/>
          <w:lang w:val="bg-BG"/>
        </w:rPr>
        <w:t xml:space="preserve"> </w:t>
      </w:r>
      <w:r w:rsidRPr="00A738B3">
        <w:rPr>
          <w:sz w:val="24"/>
          <w:lang w:val="bg-BG"/>
        </w:rPr>
        <w:tab/>
      </w:r>
      <w:r w:rsidR="006138DC" w:rsidRPr="002E3515">
        <w:rPr>
          <w:sz w:val="24"/>
          <w:lang w:val="bg-BG"/>
        </w:rPr>
        <w:t>Решение 2007/198/Евратом на Съвета от 27 март 2007 г</w:t>
      </w:r>
      <w:r w:rsidR="006138DC">
        <w:rPr>
          <w:sz w:val="24"/>
          <w:lang w:val="bg-BG"/>
        </w:rPr>
        <w:t>.</w:t>
      </w:r>
      <w:r w:rsidR="006138DC" w:rsidRPr="002E3515">
        <w:rPr>
          <w:sz w:val="24"/>
          <w:lang w:val="bg-BG"/>
        </w:rPr>
        <w:t xml:space="preserve"> за създаване на Европейско съвместно предприятие за ITER и развитието на термоядрената енергия и за предоставяне на предимства на същото (ОВ L 90, 30.3.2007 г., стр. 58, ELI: </w:t>
      </w:r>
      <w:hyperlink r:id="rId137" w:history="1">
        <w:r w:rsidR="006138DC" w:rsidRPr="002E3515">
          <w:rPr>
            <w:rStyle w:val="Hyperlink"/>
            <w:sz w:val="24"/>
            <w:lang w:val="bg-BG"/>
          </w:rPr>
          <w:t>http://data.europa.eu/eli/dec/2007/198/oj</w:t>
        </w:r>
      </w:hyperlink>
      <w:r w:rsidR="006138DC" w:rsidRPr="002E3515">
        <w:rPr>
          <w:sz w:val="24"/>
          <w:lang w:val="bg-BG"/>
        </w:rPr>
        <w:t>).</w:t>
      </w:r>
    </w:p>
  </w:footnote>
  <w:footnote w:id="138">
    <w:p w14:paraId="06BCA43D" w14:textId="31C9F666" w:rsidR="00874882" w:rsidRPr="00A738B3" w:rsidRDefault="00874882" w:rsidP="00A738B3">
      <w:pPr>
        <w:pStyle w:val="FootnoteText"/>
        <w:ind w:left="567" w:hanging="567"/>
        <w:rPr>
          <w:sz w:val="24"/>
          <w:szCs w:val="24"/>
          <w:lang w:val="bg-BG"/>
        </w:rPr>
      </w:pPr>
      <w:r w:rsidRPr="00A738B3">
        <w:rPr>
          <w:rStyle w:val="FootnoteReference"/>
          <w:sz w:val="24"/>
          <w:lang w:val="bg-BG"/>
        </w:rPr>
        <w:footnoteRef/>
      </w:r>
      <w:r w:rsidRPr="00A738B3">
        <w:rPr>
          <w:sz w:val="24"/>
          <w:lang w:val="bg-BG"/>
        </w:rPr>
        <w:t xml:space="preserve"> </w:t>
      </w:r>
      <w:r w:rsidRPr="00A738B3">
        <w:rPr>
          <w:sz w:val="24"/>
          <w:lang w:val="bg-BG"/>
        </w:rPr>
        <w:tab/>
      </w:r>
      <w:r w:rsidR="006138DC" w:rsidRPr="002E3515">
        <w:rPr>
          <w:sz w:val="24"/>
          <w:lang w:val="bg-BG"/>
        </w:rPr>
        <w:t>Регламент (ЕС) 2021/1173 на Съвета от 13 юли 2021 г</w:t>
      </w:r>
      <w:r w:rsidR="006138DC">
        <w:rPr>
          <w:sz w:val="24"/>
          <w:lang w:val="bg-BG"/>
        </w:rPr>
        <w:t>.</w:t>
      </w:r>
      <w:r w:rsidR="006138DC" w:rsidRPr="002E3515">
        <w:rPr>
          <w:sz w:val="24"/>
          <w:lang w:val="bg-BG"/>
        </w:rPr>
        <w:t xml:space="preserve"> за създаване на Съвместно предприятие за европейски високопроизводителни изчислителни технологии и за отмяна на Регламент (ЕС) 2018/1488 (</w:t>
      </w:r>
      <w:r w:rsidRPr="00A738B3">
        <w:rPr>
          <w:sz w:val="24"/>
          <w:lang w:val="bg-BG"/>
        </w:rPr>
        <w:t xml:space="preserve">ОВ L 256, 19.7.2021 г., стр. 3, ELI: </w:t>
      </w:r>
      <w:hyperlink r:id="rId138" w:history="1">
        <w:r w:rsidRPr="00A738B3">
          <w:rPr>
            <w:rStyle w:val="Hyperlink"/>
            <w:sz w:val="24"/>
            <w:lang w:val="bg-BG"/>
          </w:rPr>
          <w:t>http://data.europa.eu/eli/reg/2021/1173/oj</w:t>
        </w:r>
      </w:hyperlink>
      <w:r w:rsidR="006138DC">
        <w:rPr>
          <w:sz w:val="24"/>
          <w:lang w:val="bg-BG"/>
        </w:rPr>
        <w:t>).</w:t>
      </w:r>
      <w:r w:rsidRPr="00A738B3">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C34C" w14:textId="77777777" w:rsidR="00874882" w:rsidRPr="00A738B3" w:rsidRDefault="008748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6720" w14:textId="77777777" w:rsidR="00874882" w:rsidRPr="00A738B3" w:rsidRDefault="00874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EDFE" w14:textId="77777777" w:rsidR="00874882" w:rsidRPr="00A738B3" w:rsidRDefault="008748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4107" w14:textId="77777777" w:rsidR="00874882" w:rsidRPr="00A738B3" w:rsidRDefault="0087488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E7EEC" w14:textId="77777777" w:rsidR="00874882" w:rsidRPr="00A738B3" w:rsidRDefault="0087488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56EE4" w14:textId="77777777" w:rsidR="00874882" w:rsidRPr="00A738B3" w:rsidRDefault="008748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0AC169A">
      <w:start w:val="1"/>
      <w:numFmt w:val="upperLetter"/>
      <w:lvlText w:val="%1."/>
      <w:lvlJc w:val="left"/>
      <w:pPr>
        <w:tabs>
          <w:tab w:val="num" w:pos="360"/>
        </w:tabs>
        <w:ind w:left="360" w:hanging="360"/>
      </w:pPr>
      <w:rPr>
        <w:rFonts w:hint="default"/>
      </w:rPr>
    </w:lvl>
    <w:lvl w:ilvl="1" w:tplc="8D52E88A" w:tentative="1">
      <w:start w:val="1"/>
      <w:numFmt w:val="lowerLetter"/>
      <w:lvlText w:val="%2."/>
      <w:lvlJc w:val="left"/>
      <w:pPr>
        <w:tabs>
          <w:tab w:val="num" w:pos="1080"/>
        </w:tabs>
        <w:ind w:left="1080" w:hanging="360"/>
      </w:pPr>
    </w:lvl>
    <w:lvl w:ilvl="2" w:tplc="B3AA27B2" w:tentative="1">
      <w:start w:val="1"/>
      <w:numFmt w:val="lowerRoman"/>
      <w:lvlText w:val="%3."/>
      <w:lvlJc w:val="right"/>
      <w:pPr>
        <w:tabs>
          <w:tab w:val="num" w:pos="1800"/>
        </w:tabs>
        <w:ind w:left="1800" w:hanging="180"/>
      </w:pPr>
    </w:lvl>
    <w:lvl w:ilvl="3" w:tplc="265E67A8" w:tentative="1">
      <w:start w:val="1"/>
      <w:numFmt w:val="decimal"/>
      <w:lvlText w:val="%4."/>
      <w:lvlJc w:val="left"/>
      <w:pPr>
        <w:tabs>
          <w:tab w:val="num" w:pos="2520"/>
        </w:tabs>
        <w:ind w:left="2520" w:hanging="360"/>
      </w:pPr>
    </w:lvl>
    <w:lvl w:ilvl="4" w:tplc="0E5E75E8" w:tentative="1">
      <w:start w:val="1"/>
      <w:numFmt w:val="lowerLetter"/>
      <w:lvlText w:val="%5."/>
      <w:lvlJc w:val="left"/>
      <w:pPr>
        <w:tabs>
          <w:tab w:val="num" w:pos="3240"/>
        </w:tabs>
        <w:ind w:left="3240" w:hanging="360"/>
      </w:pPr>
    </w:lvl>
    <w:lvl w:ilvl="5" w:tplc="C15A3DDA" w:tentative="1">
      <w:start w:val="1"/>
      <w:numFmt w:val="lowerRoman"/>
      <w:lvlText w:val="%6."/>
      <w:lvlJc w:val="right"/>
      <w:pPr>
        <w:tabs>
          <w:tab w:val="num" w:pos="3960"/>
        </w:tabs>
        <w:ind w:left="3960" w:hanging="180"/>
      </w:pPr>
    </w:lvl>
    <w:lvl w:ilvl="6" w:tplc="43AEEB2C" w:tentative="1">
      <w:start w:val="1"/>
      <w:numFmt w:val="decimal"/>
      <w:lvlText w:val="%7."/>
      <w:lvlJc w:val="left"/>
      <w:pPr>
        <w:tabs>
          <w:tab w:val="num" w:pos="4680"/>
        </w:tabs>
        <w:ind w:left="4680" w:hanging="360"/>
      </w:pPr>
    </w:lvl>
    <w:lvl w:ilvl="7" w:tplc="BC6636B2" w:tentative="1">
      <w:start w:val="1"/>
      <w:numFmt w:val="lowerLetter"/>
      <w:lvlText w:val="%8."/>
      <w:lvlJc w:val="left"/>
      <w:pPr>
        <w:tabs>
          <w:tab w:val="num" w:pos="5400"/>
        </w:tabs>
        <w:ind w:left="5400" w:hanging="360"/>
      </w:pPr>
    </w:lvl>
    <w:lvl w:ilvl="8" w:tplc="B37C2A16"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1DFEE3D0">
      <w:start w:val="1"/>
      <w:numFmt w:val="decimal"/>
      <w:lvlText w:val="%1."/>
      <w:lvlJc w:val="left"/>
      <w:pPr>
        <w:tabs>
          <w:tab w:val="num" w:pos="720"/>
        </w:tabs>
        <w:ind w:left="720" w:hanging="360"/>
      </w:pPr>
    </w:lvl>
    <w:lvl w:ilvl="1" w:tplc="6464AE00" w:tentative="1">
      <w:start w:val="1"/>
      <w:numFmt w:val="lowerLetter"/>
      <w:lvlText w:val="%2."/>
      <w:lvlJc w:val="left"/>
      <w:pPr>
        <w:tabs>
          <w:tab w:val="num" w:pos="1440"/>
        </w:tabs>
        <w:ind w:left="1440" w:hanging="360"/>
      </w:pPr>
    </w:lvl>
    <w:lvl w:ilvl="2" w:tplc="C5F611CC" w:tentative="1">
      <w:start w:val="1"/>
      <w:numFmt w:val="lowerRoman"/>
      <w:lvlText w:val="%3."/>
      <w:lvlJc w:val="right"/>
      <w:pPr>
        <w:tabs>
          <w:tab w:val="num" w:pos="2160"/>
        </w:tabs>
        <w:ind w:left="2160" w:hanging="180"/>
      </w:pPr>
    </w:lvl>
    <w:lvl w:ilvl="3" w:tplc="1264C63E" w:tentative="1">
      <w:start w:val="1"/>
      <w:numFmt w:val="decimal"/>
      <w:lvlText w:val="%4."/>
      <w:lvlJc w:val="left"/>
      <w:pPr>
        <w:tabs>
          <w:tab w:val="num" w:pos="2880"/>
        </w:tabs>
        <w:ind w:left="2880" w:hanging="360"/>
      </w:pPr>
    </w:lvl>
    <w:lvl w:ilvl="4" w:tplc="C8BA1C7A" w:tentative="1">
      <w:start w:val="1"/>
      <w:numFmt w:val="lowerLetter"/>
      <w:lvlText w:val="%5."/>
      <w:lvlJc w:val="left"/>
      <w:pPr>
        <w:tabs>
          <w:tab w:val="num" w:pos="3600"/>
        </w:tabs>
        <w:ind w:left="3600" w:hanging="360"/>
      </w:pPr>
    </w:lvl>
    <w:lvl w:ilvl="5" w:tplc="E034E362" w:tentative="1">
      <w:start w:val="1"/>
      <w:numFmt w:val="lowerRoman"/>
      <w:lvlText w:val="%6."/>
      <w:lvlJc w:val="right"/>
      <w:pPr>
        <w:tabs>
          <w:tab w:val="num" w:pos="4320"/>
        </w:tabs>
        <w:ind w:left="4320" w:hanging="180"/>
      </w:pPr>
    </w:lvl>
    <w:lvl w:ilvl="6" w:tplc="E7009EEE" w:tentative="1">
      <w:start w:val="1"/>
      <w:numFmt w:val="decimal"/>
      <w:lvlText w:val="%7."/>
      <w:lvlJc w:val="left"/>
      <w:pPr>
        <w:tabs>
          <w:tab w:val="num" w:pos="5040"/>
        </w:tabs>
        <w:ind w:left="5040" w:hanging="360"/>
      </w:pPr>
    </w:lvl>
    <w:lvl w:ilvl="7" w:tplc="7D4C292A" w:tentative="1">
      <w:start w:val="1"/>
      <w:numFmt w:val="lowerLetter"/>
      <w:lvlText w:val="%8."/>
      <w:lvlJc w:val="left"/>
      <w:pPr>
        <w:tabs>
          <w:tab w:val="num" w:pos="5760"/>
        </w:tabs>
        <w:ind w:left="5760" w:hanging="360"/>
      </w:pPr>
    </w:lvl>
    <w:lvl w:ilvl="8" w:tplc="AD4A62D6" w:tentative="1">
      <w:start w:val="1"/>
      <w:numFmt w:val="lowerRoman"/>
      <w:lvlText w:val="%9."/>
      <w:lvlJc w:val="right"/>
      <w:pPr>
        <w:tabs>
          <w:tab w:val="num" w:pos="6480"/>
        </w:tabs>
        <w:ind w:left="6480" w:hanging="180"/>
      </w:pPr>
    </w:lvl>
  </w:abstractNum>
  <w:num w:numId="1" w16cid:durableId="74787711">
    <w:abstractNumId w:val="9"/>
  </w:num>
  <w:num w:numId="2" w16cid:durableId="55857729">
    <w:abstractNumId w:val="9"/>
  </w:num>
  <w:num w:numId="3" w16cid:durableId="2096438116">
    <w:abstractNumId w:val="7"/>
  </w:num>
  <w:num w:numId="4" w16cid:durableId="1719236475">
    <w:abstractNumId w:val="7"/>
  </w:num>
  <w:num w:numId="5" w16cid:durableId="323827262">
    <w:abstractNumId w:val="6"/>
  </w:num>
  <w:num w:numId="6" w16cid:durableId="650253401">
    <w:abstractNumId w:val="6"/>
  </w:num>
  <w:num w:numId="7" w16cid:durableId="1300768108">
    <w:abstractNumId w:val="5"/>
  </w:num>
  <w:num w:numId="8" w16cid:durableId="1759710994">
    <w:abstractNumId w:val="5"/>
  </w:num>
  <w:num w:numId="9" w16cid:durableId="638724831">
    <w:abstractNumId w:val="4"/>
  </w:num>
  <w:num w:numId="10" w16cid:durableId="1564104155">
    <w:abstractNumId w:val="4"/>
  </w:num>
  <w:num w:numId="11" w16cid:durableId="1917207466">
    <w:abstractNumId w:val="8"/>
  </w:num>
  <w:num w:numId="12" w16cid:durableId="739209669">
    <w:abstractNumId w:val="8"/>
  </w:num>
  <w:num w:numId="13" w16cid:durableId="1584685343">
    <w:abstractNumId w:val="3"/>
  </w:num>
  <w:num w:numId="14" w16cid:durableId="1580215399">
    <w:abstractNumId w:val="3"/>
  </w:num>
  <w:num w:numId="15" w16cid:durableId="1541934393">
    <w:abstractNumId w:val="2"/>
  </w:num>
  <w:num w:numId="16" w16cid:durableId="654187620">
    <w:abstractNumId w:val="2"/>
  </w:num>
  <w:num w:numId="17" w16cid:durableId="1258098941">
    <w:abstractNumId w:val="1"/>
  </w:num>
  <w:num w:numId="18" w16cid:durableId="1918326127">
    <w:abstractNumId w:val="1"/>
  </w:num>
  <w:num w:numId="19" w16cid:durableId="901061346">
    <w:abstractNumId w:val="0"/>
  </w:num>
  <w:num w:numId="20" w16cid:durableId="544098973">
    <w:abstractNumId w:val="0"/>
  </w:num>
  <w:num w:numId="21" w16cid:durableId="84108550">
    <w:abstractNumId w:val="9"/>
  </w:num>
  <w:num w:numId="22" w16cid:durableId="1631086130">
    <w:abstractNumId w:val="7"/>
  </w:num>
  <w:num w:numId="23" w16cid:durableId="65298062">
    <w:abstractNumId w:val="6"/>
  </w:num>
  <w:num w:numId="24" w16cid:durableId="552304005">
    <w:abstractNumId w:val="5"/>
  </w:num>
  <w:num w:numId="25" w16cid:durableId="105471748">
    <w:abstractNumId w:val="4"/>
  </w:num>
  <w:num w:numId="26" w16cid:durableId="2057468905">
    <w:abstractNumId w:val="8"/>
  </w:num>
  <w:num w:numId="27" w16cid:durableId="615872443">
    <w:abstractNumId w:val="3"/>
  </w:num>
  <w:num w:numId="28" w16cid:durableId="348529746">
    <w:abstractNumId w:val="2"/>
  </w:num>
  <w:num w:numId="29" w16cid:durableId="194933033">
    <w:abstractNumId w:val="1"/>
  </w:num>
  <w:num w:numId="30" w16cid:durableId="183058137">
    <w:abstractNumId w:val="0"/>
  </w:num>
  <w:num w:numId="31" w16cid:durableId="496385165">
    <w:abstractNumId w:val="9"/>
  </w:num>
  <w:num w:numId="32" w16cid:durableId="1006906197">
    <w:abstractNumId w:val="7"/>
  </w:num>
  <w:num w:numId="33" w16cid:durableId="358356918">
    <w:abstractNumId w:val="6"/>
  </w:num>
  <w:num w:numId="34" w16cid:durableId="1027490673">
    <w:abstractNumId w:val="5"/>
  </w:num>
  <w:num w:numId="35" w16cid:durableId="1420367626">
    <w:abstractNumId w:val="4"/>
  </w:num>
  <w:num w:numId="36" w16cid:durableId="1110129704">
    <w:abstractNumId w:val="8"/>
  </w:num>
  <w:num w:numId="37" w16cid:durableId="1924949761">
    <w:abstractNumId w:val="3"/>
  </w:num>
  <w:num w:numId="38" w16cid:durableId="1541015029">
    <w:abstractNumId w:val="2"/>
  </w:num>
  <w:num w:numId="39" w16cid:durableId="1600092241">
    <w:abstractNumId w:val="1"/>
  </w:num>
  <w:num w:numId="40" w16cid:durableId="780075165">
    <w:abstractNumId w:val="0"/>
  </w:num>
  <w:num w:numId="41" w16cid:durableId="1103765994">
    <w:abstractNumId w:val="10"/>
  </w:num>
  <w:num w:numId="42" w16cid:durableId="947591400">
    <w:abstractNumId w:val="10"/>
  </w:num>
  <w:num w:numId="43" w16cid:durableId="1343320227">
    <w:abstractNumId w:val="10"/>
  </w:num>
  <w:num w:numId="44" w16cid:durableId="460078546">
    <w:abstractNumId w:val="12"/>
  </w:num>
  <w:num w:numId="45" w16cid:durableId="1769694674">
    <w:abstractNumId w:val="13"/>
  </w:num>
  <w:num w:numId="46" w16cid:durableId="1805587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BG"/>
    <w:docVar w:name="dvnumam" w:val="0"/>
    <w:docVar w:name="dvpe" w:val="765.276"/>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бюджета на съвместните предприятия на ЕС за финансовата 2023 година(2024/2031(DEC))"/>
  </w:docVars>
  <w:rsids>
    <w:rsidRoot w:val="009F26B1"/>
    <w:rsid w:val="00002272"/>
    <w:rsid w:val="00064002"/>
    <w:rsid w:val="000677B9"/>
    <w:rsid w:val="000831BA"/>
    <w:rsid w:val="000A42CC"/>
    <w:rsid w:val="000E7DD9"/>
    <w:rsid w:val="0010095E"/>
    <w:rsid w:val="00115FFB"/>
    <w:rsid w:val="00125B37"/>
    <w:rsid w:val="0015435E"/>
    <w:rsid w:val="00174627"/>
    <w:rsid w:val="00187494"/>
    <w:rsid w:val="001F32AE"/>
    <w:rsid w:val="002767FF"/>
    <w:rsid w:val="002B18FE"/>
    <w:rsid w:val="002B5493"/>
    <w:rsid w:val="00343214"/>
    <w:rsid w:val="00361C00"/>
    <w:rsid w:val="00395FA1"/>
    <w:rsid w:val="003E15D4"/>
    <w:rsid w:val="00411CCE"/>
    <w:rsid w:val="0041666E"/>
    <w:rsid w:val="00420932"/>
    <w:rsid w:val="00421060"/>
    <w:rsid w:val="00454306"/>
    <w:rsid w:val="00471C19"/>
    <w:rsid w:val="004867E3"/>
    <w:rsid w:val="00494A28"/>
    <w:rsid w:val="004C0004"/>
    <w:rsid w:val="004C5D52"/>
    <w:rsid w:val="0050519A"/>
    <w:rsid w:val="005072A1"/>
    <w:rsid w:val="00514517"/>
    <w:rsid w:val="00545827"/>
    <w:rsid w:val="00560270"/>
    <w:rsid w:val="005664EE"/>
    <w:rsid w:val="005C2568"/>
    <w:rsid w:val="005F1B17"/>
    <w:rsid w:val="006037C0"/>
    <w:rsid w:val="006138DC"/>
    <w:rsid w:val="006631B6"/>
    <w:rsid w:val="00680577"/>
    <w:rsid w:val="006B07A9"/>
    <w:rsid w:val="006F74FA"/>
    <w:rsid w:val="00731ADD"/>
    <w:rsid w:val="00734777"/>
    <w:rsid w:val="00747932"/>
    <w:rsid w:val="00751A4A"/>
    <w:rsid w:val="00756632"/>
    <w:rsid w:val="00762C74"/>
    <w:rsid w:val="00770C50"/>
    <w:rsid w:val="00786EC0"/>
    <w:rsid w:val="007D1690"/>
    <w:rsid w:val="007E22AD"/>
    <w:rsid w:val="007E2C67"/>
    <w:rsid w:val="00817416"/>
    <w:rsid w:val="00842779"/>
    <w:rsid w:val="00865F67"/>
    <w:rsid w:val="00874882"/>
    <w:rsid w:val="00881A7B"/>
    <w:rsid w:val="008840E5"/>
    <w:rsid w:val="00887B3E"/>
    <w:rsid w:val="008C2AC6"/>
    <w:rsid w:val="008C445E"/>
    <w:rsid w:val="00930C23"/>
    <w:rsid w:val="0093193B"/>
    <w:rsid w:val="009509D8"/>
    <w:rsid w:val="00950B64"/>
    <w:rsid w:val="00981893"/>
    <w:rsid w:val="009A70BC"/>
    <w:rsid w:val="009F26B1"/>
    <w:rsid w:val="00A1687D"/>
    <w:rsid w:val="00A43E52"/>
    <w:rsid w:val="00A4678D"/>
    <w:rsid w:val="00A738B3"/>
    <w:rsid w:val="00A778C7"/>
    <w:rsid w:val="00AB441E"/>
    <w:rsid w:val="00AB6293"/>
    <w:rsid w:val="00AE0928"/>
    <w:rsid w:val="00AF3B82"/>
    <w:rsid w:val="00B020DB"/>
    <w:rsid w:val="00B12E95"/>
    <w:rsid w:val="00B22876"/>
    <w:rsid w:val="00B558F0"/>
    <w:rsid w:val="00BD48FE"/>
    <w:rsid w:val="00BD7BD8"/>
    <w:rsid w:val="00BE6ADC"/>
    <w:rsid w:val="00C05BFE"/>
    <w:rsid w:val="00C23CD4"/>
    <w:rsid w:val="00C33F72"/>
    <w:rsid w:val="00C61C0C"/>
    <w:rsid w:val="00C941CB"/>
    <w:rsid w:val="00CB6981"/>
    <w:rsid w:val="00CC2357"/>
    <w:rsid w:val="00CD52B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3B726"/>
  <w15:chartTrackingRefBased/>
  <w15:docId w15:val="{3ABD0C1A-FC28-4F9B-A122-D2866494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5435E"/>
    <w:rPr>
      <w:b/>
      <w:kern w:val="28"/>
      <w:sz w:val="28"/>
      <w:lang w:val="fr-FR" w:eastAsia="fr-FR"/>
    </w:rPr>
  </w:style>
  <w:style w:type="character" w:customStyle="1" w:styleId="Heading2Char">
    <w:name w:val="Heading 2 Char"/>
    <w:basedOn w:val="DefaultParagraphFont"/>
    <w:link w:val="Heading2"/>
    <w:semiHidden/>
    <w:rsid w:val="0015435E"/>
    <w:rPr>
      <w:sz w:val="24"/>
      <w:lang w:val="fr-FR" w:eastAsia="fr-FR"/>
    </w:rPr>
  </w:style>
  <w:style w:type="character" w:customStyle="1" w:styleId="Heading3Char">
    <w:name w:val="Heading 3 Char"/>
    <w:basedOn w:val="DefaultParagraphFont"/>
    <w:link w:val="Heading3"/>
    <w:semiHidden/>
    <w:rsid w:val="0015435E"/>
    <w:rPr>
      <w:rFonts w:ascii="Arial" w:hAnsi="Arial"/>
      <w:sz w:val="24"/>
      <w:lang w:val="fr-FR" w:eastAsia="fr-FR"/>
    </w:rPr>
  </w:style>
  <w:style w:type="character" w:customStyle="1" w:styleId="Heading4Char">
    <w:name w:val="Heading 4 Char"/>
    <w:basedOn w:val="DefaultParagraphFont"/>
    <w:link w:val="Heading4"/>
    <w:semiHidden/>
    <w:rsid w:val="0015435E"/>
    <w:rPr>
      <w:sz w:val="24"/>
      <w:lang w:val="en-US" w:eastAsia="fr-FR"/>
    </w:rPr>
  </w:style>
  <w:style w:type="character" w:customStyle="1" w:styleId="Heading5Char">
    <w:name w:val="Heading 5 Char"/>
    <w:basedOn w:val="DefaultParagraphFont"/>
    <w:link w:val="Heading5"/>
    <w:semiHidden/>
    <w:rsid w:val="0015435E"/>
    <w:rPr>
      <w:sz w:val="24"/>
      <w:lang w:val="en-US" w:eastAsia="fr-FR"/>
    </w:rPr>
  </w:style>
  <w:style w:type="character" w:customStyle="1" w:styleId="Heading6Char">
    <w:name w:val="Heading 6 Char"/>
    <w:basedOn w:val="DefaultParagraphFont"/>
    <w:link w:val="Heading6"/>
    <w:semiHidden/>
    <w:rsid w:val="0015435E"/>
    <w:rPr>
      <w:i/>
      <w:sz w:val="22"/>
      <w:lang w:val="bg-BG"/>
    </w:rPr>
  </w:style>
  <w:style w:type="character" w:customStyle="1" w:styleId="Heading7Char">
    <w:name w:val="Heading 7 Char"/>
    <w:basedOn w:val="DefaultParagraphFont"/>
    <w:link w:val="Heading7"/>
    <w:semiHidden/>
    <w:rsid w:val="0015435E"/>
    <w:rPr>
      <w:rFonts w:ascii="Arial" w:hAnsi="Arial"/>
      <w:sz w:val="24"/>
      <w:lang w:val="bg-BG"/>
    </w:rPr>
  </w:style>
  <w:style w:type="character" w:customStyle="1" w:styleId="Heading8Char">
    <w:name w:val="Heading 8 Char"/>
    <w:basedOn w:val="DefaultParagraphFont"/>
    <w:link w:val="Heading8"/>
    <w:semiHidden/>
    <w:rsid w:val="0015435E"/>
    <w:rPr>
      <w:rFonts w:ascii="Arial" w:hAnsi="Arial"/>
      <w:i/>
      <w:sz w:val="24"/>
      <w:lang w:val="bg-BG"/>
    </w:rPr>
  </w:style>
  <w:style w:type="character" w:customStyle="1" w:styleId="Heading9Char">
    <w:name w:val="Heading 9 Char"/>
    <w:basedOn w:val="DefaultParagraphFont"/>
    <w:link w:val="Heading9"/>
    <w:semiHidden/>
    <w:rsid w:val="0015435E"/>
    <w:rPr>
      <w:rFonts w:ascii="Arial" w:hAnsi="Arial"/>
      <w:b/>
      <w:i/>
      <w:sz w:val="18"/>
      <w:lang w:val="bg-BG"/>
    </w:rPr>
  </w:style>
  <w:style w:type="paragraph" w:styleId="TOCHeading">
    <w:name w:val="TOC Heading"/>
    <w:basedOn w:val="Normal"/>
    <w:next w:val="Normal"/>
    <w:unhideWhenUsed/>
    <w:qFormat/>
    <w:rsid w:val="0015435E"/>
    <w:pPr>
      <w:widowControl/>
      <w:spacing w:after="240"/>
    </w:pPr>
    <w:rPr>
      <w:lang w:val="en-GB"/>
    </w:rPr>
  </w:style>
  <w:style w:type="paragraph" w:customStyle="1" w:styleId="EPFooter2">
    <w:name w:val="EPFooter2"/>
    <w:basedOn w:val="Normal"/>
    <w:next w:val="Normal"/>
    <w:rsid w:val="001543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435E"/>
    <w:pPr>
      <w:spacing w:before="480" w:after="240"/>
    </w:pPr>
  </w:style>
  <w:style w:type="paragraph" w:customStyle="1" w:styleId="TOCPage">
    <w:name w:val="TOC Page"/>
    <w:basedOn w:val="Normal"/>
    <w:next w:val="TOC1"/>
    <w:rsid w:val="0015435E"/>
    <w:pPr>
      <w:keepNext/>
      <w:spacing w:after="240"/>
      <w:jc w:val="right"/>
    </w:pPr>
    <w:rPr>
      <w:rFonts w:ascii="Arial" w:hAnsi="Arial"/>
      <w:b/>
    </w:rPr>
  </w:style>
  <w:style w:type="paragraph" w:customStyle="1" w:styleId="PageHeading">
    <w:name w:val="PageHeading"/>
    <w:basedOn w:val="Normal"/>
    <w:rsid w:val="0015435E"/>
    <w:pPr>
      <w:keepNext/>
      <w:spacing w:after="480"/>
      <w:jc w:val="center"/>
    </w:pPr>
    <w:rPr>
      <w:rFonts w:ascii="Arial" w:hAnsi="Arial" w:cs="Arial"/>
      <w:b/>
    </w:rPr>
  </w:style>
  <w:style w:type="paragraph" w:customStyle="1" w:styleId="NormalBold">
    <w:name w:val="NormalBold"/>
    <w:basedOn w:val="Normal"/>
    <w:rsid w:val="0015435E"/>
    <w:rPr>
      <w:b/>
    </w:rPr>
  </w:style>
  <w:style w:type="paragraph" w:customStyle="1" w:styleId="NormalHanging12a">
    <w:name w:val="NormalHanging12a"/>
    <w:basedOn w:val="Normal"/>
    <w:link w:val="NormalHanging12aChar"/>
    <w:rsid w:val="0015435E"/>
    <w:pPr>
      <w:spacing w:after="240"/>
      <w:ind w:left="567" w:hanging="567"/>
    </w:pPr>
  </w:style>
  <w:style w:type="paragraph" w:customStyle="1" w:styleId="Subheading">
    <w:name w:val="Subheading"/>
    <w:basedOn w:val="Normal"/>
    <w:rsid w:val="0015435E"/>
    <w:pPr>
      <w:spacing w:before="480" w:after="240"/>
    </w:pPr>
    <w:rPr>
      <w:b/>
      <w:i/>
    </w:rPr>
  </w:style>
  <w:style w:type="paragraph" w:customStyle="1" w:styleId="CoverNormal24a">
    <w:name w:val="CoverNormal24a"/>
    <w:basedOn w:val="Normal"/>
    <w:rsid w:val="0015435E"/>
    <w:pPr>
      <w:spacing w:after="480"/>
      <w:ind w:left="1417"/>
    </w:pPr>
  </w:style>
  <w:style w:type="paragraph" w:customStyle="1" w:styleId="CoverNormal">
    <w:name w:val="CoverNormal"/>
    <w:basedOn w:val="Normal"/>
    <w:rsid w:val="0015435E"/>
    <w:pPr>
      <w:ind w:left="1418"/>
    </w:pPr>
  </w:style>
  <w:style w:type="paragraph" w:customStyle="1" w:styleId="CoverReference">
    <w:name w:val="CoverReference"/>
    <w:basedOn w:val="Normal"/>
    <w:rsid w:val="0015435E"/>
    <w:pPr>
      <w:spacing w:before="1080"/>
      <w:jc w:val="right"/>
    </w:pPr>
    <w:rPr>
      <w:rFonts w:ascii="Arial" w:hAnsi="Arial" w:cs="Arial"/>
      <w:b/>
    </w:rPr>
  </w:style>
  <w:style w:type="paragraph" w:customStyle="1" w:styleId="CoverDocType24a">
    <w:name w:val="CoverDocType24a"/>
    <w:basedOn w:val="Normal"/>
    <w:rsid w:val="0015435E"/>
    <w:pPr>
      <w:spacing w:after="480"/>
      <w:ind w:left="1418"/>
    </w:pPr>
    <w:rPr>
      <w:rFonts w:ascii="Arial" w:hAnsi="Arial"/>
      <w:b/>
      <w:sz w:val="48"/>
    </w:rPr>
  </w:style>
  <w:style w:type="paragraph" w:customStyle="1" w:styleId="CoverDate">
    <w:name w:val="CoverDate"/>
    <w:basedOn w:val="Normal"/>
    <w:rsid w:val="0015435E"/>
    <w:pPr>
      <w:spacing w:before="240" w:after="1200"/>
    </w:pPr>
  </w:style>
  <w:style w:type="paragraph" w:styleId="Header">
    <w:name w:val="header"/>
    <w:basedOn w:val="Normal"/>
    <w:link w:val="HeaderChar"/>
    <w:rsid w:val="0015435E"/>
    <w:pPr>
      <w:tabs>
        <w:tab w:val="center" w:pos="4513"/>
        <w:tab w:val="right" w:pos="9026"/>
      </w:tabs>
    </w:pPr>
  </w:style>
  <w:style w:type="character" w:customStyle="1" w:styleId="HeaderChar">
    <w:name w:val="Header Char"/>
    <w:basedOn w:val="DefaultParagraphFont"/>
    <w:link w:val="Header"/>
    <w:rsid w:val="0015435E"/>
    <w:rPr>
      <w:sz w:val="24"/>
      <w:lang w:val="bg-BG"/>
    </w:rPr>
  </w:style>
  <w:style w:type="paragraph" w:customStyle="1" w:styleId="EPBody">
    <w:name w:val="EPBody"/>
    <w:basedOn w:val="Normal"/>
    <w:rsid w:val="0015435E"/>
    <w:pPr>
      <w:jc w:val="center"/>
    </w:pPr>
    <w:rPr>
      <w:rFonts w:ascii="Arial" w:hAnsi="Arial" w:cs="Arial"/>
      <w:i/>
      <w:sz w:val="22"/>
      <w:szCs w:val="22"/>
    </w:rPr>
  </w:style>
  <w:style w:type="paragraph" w:customStyle="1" w:styleId="EPFooter">
    <w:name w:val="EPFooter"/>
    <w:basedOn w:val="Normal"/>
    <w:rsid w:val="0015435E"/>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15435E"/>
    <w:rPr>
      <w:rFonts w:ascii="Times New Roman" w:hAnsi="Times New Roman"/>
    </w:rPr>
  </w:style>
  <w:style w:type="character" w:customStyle="1" w:styleId="PageHeadingDecChar">
    <w:name w:val="PageHeadingDec Char"/>
    <w:basedOn w:val="DefaultParagraphFont"/>
    <w:link w:val="PageHeadingDec"/>
    <w:rsid w:val="0015435E"/>
    <w:rPr>
      <w:rFonts w:cs="Arial"/>
      <w:b/>
      <w:sz w:val="24"/>
      <w:lang w:val="bg-BG"/>
    </w:rPr>
  </w:style>
  <w:style w:type="paragraph" w:customStyle="1" w:styleId="PageHeadingNotTOC">
    <w:name w:val="PageHeadingNotTOC"/>
    <w:basedOn w:val="Normal"/>
    <w:link w:val="PageHeadingNotTOCChar"/>
    <w:rsid w:val="0015435E"/>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15435E"/>
    <w:rPr>
      <w:sz w:val="24"/>
      <w:lang w:val="bg-BG"/>
    </w:rPr>
  </w:style>
  <w:style w:type="paragraph" w:styleId="TOC8">
    <w:name w:val="toc 8"/>
    <w:basedOn w:val="Normal"/>
    <w:next w:val="Normal"/>
    <w:autoRedefine/>
    <w:uiPriority w:val="39"/>
    <w:rsid w:val="0015435E"/>
    <w:pPr>
      <w:spacing w:after="240"/>
    </w:pPr>
    <w:rPr>
      <w:b/>
    </w:rPr>
  </w:style>
  <w:style w:type="paragraph" w:styleId="TOC9">
    <w:name w:val="toc 9"/>
    <w:basedOn w:val="Normal"/>
    <w:next w:val="Normal"/>
    <w:autoRedefine/>
    <w:uiPriority w:val="39"/>
    <w:rsid w:val="0015435E"/>
    <w:pPr>
      <w:spacing w:after="100"/>
      <w:jc w:val="center"/>
    </w:pPr>
  </w:style>
  <w:style w:type="paragraph" w:styleId="TOC7">
    <w:name w:val="toc 7"/>
    <w:basedOn w:val="Normal"/>
    <w:next w:val="Normal"/>
    <w:autoRedefine/>
    <w:uiPriority w:val="39"/>
    <w:rsid w:val="0015435E"/>
    <w:pPr>
      <w:tabs>
        <w:tab w:val="right" w:leader="dot" w:pos="9060"/>
      </w:tabs>
      <w:spacing w:after="240"/>
      <w:ind w:left="720" w:hanging="720"/>
    </w:pPr>
  </w:style>
  <w:style w:type="character" w:styleId="Hyperlink">
    <w:name w:val="Hyperlink"/>
    <w:basedOn w:val="DefaultParagraphFont"/>
    <w:uiPriority w:val="99"/>
    <w:rsid w:val="0015435E"/>
    <w:rPr>
      <w:color w:val="0563C1" w:themeColor="hyperlink"/>
      <w:u w:val="single"/>
    </w:rPr>
  </w:style>
  <w:style w:type="character" w:styleId="FollowedHyperlink">
    <w:name w:val="FollowedHyperlink"/>
    <w:basedOn w:val="DefaultParagraphFont"/>
    <w:rsid w:val="0015435E"/>
    <w:rPr>
      <w:color w:val="954F72" w:themeColor="followedHyperlink"/>
      <w:u w:val="single"/>
    </w:rPr>
  </w:style>
  <w:style w:type="character" w:styleId="CommentReference">
    <w:name w:val="annotation reference"/>
    <w:basedOn w:val="DefaultParagraphFont"/>
    <w:rsid w:val="0015435E"/>
    <w:rPr>
      <w:sz w:val="16"/>
      <w:szCs w:val="16"/>
    </w:rPr>
  </w:style>
  <w:style w:type="paragraph" w:styleId="CommentText">
    <w:name w:val="annotation text"/>
    <w:basedOn w:val="Normal"/>
    <w:link w:val="CommentTextChar"/>
    <w:rsid w:val="0015435E"/>
    <w:rPr>
      <w:sz w:val="20"/>
    </w:rPr>
  </w:style>
  <w:style w:type="character" w:customStyle="1" w:styleId="CommentTextChar">
    <w:name w:val="Comment Text Char"/>
    <w:basedOn w:val="DefaultParagraphFont"/>
    <w:link w:val="CommentText"/>
    <w:rsid w:val="0015435E"/>
    <w:rPr>
      <w:lang w:val="bg-BG"/>
    </w:rPr>
  </w:style>
  <w:style w:type="paragraph" w:styleId="CommentSubject">
    <w:name w:val="annotation subject"/>
    <w:basedOn w:val="CommentText"/>
    <w:next w:val="CommentText"/>
    <w:link w:val="CommentSubjectChar"/>
    <w:unhideWhenUsed/>
    <w:rsid w:val="0015435E"/>
    <w:rPr>
      <w:b/>
      <w:bCs/>
    </w:rPr>
  </w:style>
  <w:style w:type="character" w:customStyle="1" w:styleId="CommentSubjectChar">
    <w:name w:val="Comment Subject Char"/>
    <w:basedOn w:val="CommentTextChar"/>
    <w:link w:val="CommentSubject"/>
    <w:rsid w:val="0015435E"/>
    <w:rPr>
      <w:b/>
      <w:bCs/>
      <w:lang w:val="bg-BG"/>
    </w:rPr>
  </w:style>
  <w:style w:type="paragraph" w:styleId="BalloonText">
    <w:name w:val="Balloon Text"/>
    <w:basedOn w:val="Normal"/>
    <w:link w:val="BalloonTextChar"/>
    <w:unhideWhenUsed/>
    <w:rsid w:val="0015435E"/>
    <w:rPr>
      <w:rFonts w:ascii="Segoe UI" w:hAnsi="Segoe UI" w:cs="Segoe UI"/>
      <w:sz w:val="18"/>
      <w:szCs w:val="18"/>
    </w:rPr>
  </w:style>
  <w:style w:type="character" w:customStyle="1" w:styleId="BalloonTextChar">
    <w:name w:val="Balloon Text Char"/>
    <w:basedOn w:val="DefaultParagraphFont"/>
    <w:link w:val="BalloonText"/>
    <w:rsid w:val="0015435E"/>
    <w:rPr>
      <w:rFonts w:ascii="Segoe UI" w:hAnsi="Segoe UI" w:cs="Segoe UI"/>
      <w:sz w:val="18"/>
      <w:szCs w:val="18"/>
      <w:lang w:val="bg-BG"/>
    </w:rPr>
  </w:style>
  <w:style w:type="paragraph" w:styleId="Revision">
    <w:name w:val="Revision"/>
    <w:hidden/>
    <w:uiPriority w:val="99"/>
    <w:semiHidden/>
    <w:rsid w:val="0015435E"/>
    <w:rPr>
      <w:sz w:val="24"/>
      <w:lang w:val="bg-BG"/>
    </w:rPr>
  </w:style>
  <w:style w:type="paragraph" w:customStyle="1" w:styleId="Normal24a">
    <w:name w:val="Normal24a"/>
    <w:basedOn w:val="Normal"/>
    <w:rsid w:val="0015435E"/>
    <w:pPr>
      <w:spacing w:after="480"/>
    </w:pPr>
  </w:style>
  <w:style w:type="paragraph" w:customStyle="1" w:styleId="NormalBoldCenter">
    <w:name w:val="NormalBoldCenter"/>
    <w:basedOn w:val="Normal"/>
    <w:rsid w:val="0015435E"/>
    <w:pPr>
      <w:jc w:val="center"/>
    </w:pPr>
    <w:rPr>
      <w:b/>
    </w:rPr>
  </w:style>
  <w:style w:type="paragraph" w:customStyle="1" w:styleId="Footprint12b">
    <w:name w:val="Footprint12b"/>
    <w:basedOn w:val="Normal"/>
    <w:rsid w:val="0015435E"/>
    <w:pPr>
      <w:spacing w:before="240"/>
    </w:pPr>
    <w:rPr>
      <w:szCs w:val="24"/>
    </w:rPr>
  </w:style>
  <w:style w:type="paragraph" w:customStyle="1" w:styleId="NormalSingle">
    <w:name w:val="NormalSingle"/>
    <w:basedOn w:val="Normal"/>
    <w:qFormat/>
    <w:rsid w:val="0015435E"/>
    <w:rPr>
      <w:szCs w:val="24"/>
    </w:rPr>
  </w:style>
  <w:style w:type="paragraph" w:customStyle="1" w:styleId="Normal12a">
    <w:name w:val="Normal12a"/>
    <w:basedOn w:val="Normal"/>
    <w:rsid w:val="0015435E"/>
    <w:pPr>
      <w:spacing w:after="240"/>
    </w:pPr>
  </w:style>
  <w:style w:type="paragraph" w:customStyle="1" w:styleId="Visa">
    <w:name w:val="Visa"/>
    <w:basedOn w:val="Normal"/>
    <w:rsid w:val="0015435E"/>
    <w:pPr>
      <w:tabs>
        <w:tab w:val="left" w:pos="357"/>
      </w:tabs>
      <w:snapToGrid w:val="0"/>
      <w:spacing w:after="240"/>
      <w:ind w:left="357" w:hanging="357"/>
    </w:pPr>
    <w:rPr>
      <w:lang w:eastAsia="en-US"/>
    </w:rPr>
  </w:style>
  <w:style w:type="paragraph" w:customStyle="1" w:styleId="RollCallSymbols14pt">
    <w:name w:val="RollCallSymbols14pt"/>
    <w:basedOn w:val="Normal"/>
    <w:rsid w:val="0015435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5435E"/>
    <w:pPr>
      <w:tabs>
        <w:tab w:val="center" w:pos="284"/>
        <w:tab w:val="left" w:pos="426"/>
      </w:tabs>
    </w:pPr>
    <w:rPr>
      <w:snapToGrid w:val="0"/>
      <w:lang w:eastAsia="en-US"/>
    </w:rPr>
  </w:style>
  <w:style w:type="paragraph" w:customStyle="1" w:styleId="RollCallVotes">
    <w:name w:val="RollCallVotes"/>
    <w:basedOn w:val="Normal"/>
    <w:rsid w:val="0015435E"/>
    <w:pPr>
      <w:spacing w:before="120" w:after="120"/>
      <w:jc w:val="center"/>
    </w:pPr>
    <w:rPr>
      <w:b/>
      <w:bCs/>
      <w:snapToGrid w:val="0"/>
      <w:sz w:val="16"/>
      <w:lang w:eastAsia="en-US"/>
    </w:rPr>
  </w:style>
  <w:style w:type="paragraph" w:customStyle="1" w:styleId="RollCallTable">
    <w:name w:val="RollCallTable"/>
    <w:basedOn w:val="Normal"/>
    <w:rsid w:val="0015435E"/>
    <w:pPr>
      <w:spacing w:before="120" w:after="120"/>
    </w:pPr>
    <w:rPr>
      <w:snapToGrid w:val="0"/>
      <w:sz w:val="16"/>
      <w:lang w:eastAsia="en-US"/>
    </w:rPr>
  </w:style>
  <w:style w:type="paragraph" w:customStyle="1" w:styleId="Normal6a">
    <w:name w:val="Normal6a"/>
    <w:basedOn w:val="Normal"/>
    <w:rsid w:val="0015435E"/>
    <w:pPr>
      <w:spacing w:after="120"/>
    </w:pPr>
    <w:rPr>
      <w:szCs w:val="24"/>
      <w:lang w:eastAsia="en-US"/>
    </w:rPr>
  </w:style>
  <w:style w:type="paragraph" w:customStyle="1" w:styleId="RollCallSubtitle">
    <w:name w:val="RollCallSubtitle"/>
    <w:basedOn w:val="Normal"/>
    <w:qFormat/>
    <w:rsid w:val="0015435E"/>
    <w:pPr>
      <w:snapToGrid w:val="0"/>
      <w:spacing w:after="240"/>
    </w:pPr>
    <w:rPr>
      <w:lang w:eastAsia="en-US"/>
    </w:rPr>
  </w:style>
  <w:style w:type="character" w:customStyle="1" w:styleId="PageHeadingNotTOCChar">
    <w:name w:val="PageHeadingNotTOC Char"/>
    <w:basedOn w:val="DefaultParagraphFont"/>
    <w:link w:val="PageHeadingNotTOC"/>
    <w:rsid w:val="0015435E"/>
    <w:rPr>
      <w:rFonts w:ascii="Arial" w:hAnsi="Arial" w:cs="Arial"/>
      <w:b/>
      <w:sz w:val="24"/>
      <w:lang w:val="bg-BG"/>
    </w:rPr>
  </w:style>
  <w:style w:type="paragraph" w:styleId="Footer">
    <w:name w:val="footer"/>
    <w:basedOn w:val="Normal"/>
    <w:link w:val="FooterChar"/>
    <w:rsid w:val="0015435E"/>
    <w:pPr>
      <w:tabs>
        <w:tab w:val="center" w:pos="4513"/>
        <w:tab w:val="right" w:pos="9026"/>
      </w:tabs>
    </w:pPr>
  </w:style>
  <w:style w:type="character" w:customStyle="1" w:styleId="FooterChar">
    <w:name w:val="Footer Char"/>
    <w:basedOn w:val="DefaultParagraphFont"/>
    <w:link w:val="Footer"/>
    <w:rsid w:val="0015435E"/>
    <w:rPr>
      <w:sz w:val="24"/>
      <w:lang w:val="bg-BG"/>
    </w:rPr>
  </w:style>
  <w:style w:type="character" w:customStyle="1" w:styleId="Hyperlink1">
    <w:name w:val="Hyperlink1"/>
    <w:basedOn w:val="DefaultParagraphFont"/>
    <w:uiPriority w:val="99"/>
    <w:rsid w:val="00770C50"/>
    <w:rPr>
      <w:color w:val="0563C1"/>
      <w:u w:val="single"/>
    </w:rPr>
  </w:style>
  <w:style w:type="character" w:styleId="UnresolvedMention">
    <w:name w:val="Unresolved Mention"/>
    <w:basedOn w:val="DefaultParagraphFont"/>
    <w:uiPriority w:val="99"/>
    <w:semiHidden/>
    <w:unhideWhenUsed/>
    <w:rsid w:val="00CD5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3.xml"/><Relationship Id="rId28" Type="http://schemas.openxmlformats.org/officeDocument/2006/relationships/footer" Target="footer15.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2.xml"/><Relationship Id="rId27" Type="http://schemas.openxmlformats.org/officeDocument/2006/relationships/footer" Target="footer14.xml"/><Relationship Id="rId30"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eur-lex.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A764-6836-4800-BF72-020AD935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20165</Words>
  <Characters>121941</Characters>
  <Application>Microsoft Office Word</Application>
  <DocSecurity>0</DocSecurity>
  <Lines>2066</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2025-11-26T12:13:00Z</dcterms:created>
  <dcterms:modified xsi:type="dcterms:W3CDTF">2025-11-26T12:13:00Z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P10_TA(2025)0089_</vt:lpwstr>
  </property>
  <property fmtid="{D5CDD505-2E9C-101B-9397-08002B2CF9AE}" pid="4" name="&lt;Type&gt;">
    <vt:lpwstr>RR</vt:lpwstr>
  </property>
</Properties>
</file>