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FBD" w14:paraId="211A8547" w14:textId="77777777" w:rsidTr="0010095E">
        <w:trPr>
          <w:trHeight w:hRule="exact" w:val="1418"/>
        </w:trPr>
        <w:tc>
          <w:tcPr>
            <w:tcW w:w="6804" w:type="dxa"/>
            <w:shd w:val="clear" w:color="auto" w:fill="auto"/>
            <w:vAlign w:val="center"/>
          </w:tcPr>
          <w:p w14:paraId="1970A510" w14:textId="77777777" w:rsidR="00751A4A" w:rsidRPr="006B2FBD" w:rsidRDefault="00322C89" w:rsidP="0010095E">
            <w:pPr>
              <w:pStyle w:val="EPName"/>
            </w:pPr>
            <w:r w:rsidRPr="006B2FBD">
              <w:t>Euroopa Parlament</w:t>
            </w:r>
          </w:p>
          <w:p w14:paraId="1179124F" w14:textId="77777777" w:rsidR="00751A4A" w:rsidRPr="006B2FBD" w:rsidRDefault="005F1B17" w:rsidP="005F1B17">
            <w:pPr>
              <w:pStyle w:val="EPTerm"/>
              <w:rPr>
                <w:rStyle w:val="HideTWBExt"/>
                <w:noProof w:val="0"/>
                <w:vanish w:val="0"/>
                <w:color w:val="auto"/>
              </w:rPr>
            </w:pPr>
            <w:r w:rsidRPr="006B2FBD">
              <w:t>2024</w:t>
            </w:r>
            <w:r w:rsidR="00817416" w:rsidRPr="006B2FBD">
              <w:t>-202</w:t>
            </w:r>
            <w:r w:rsidRPr="006B2FBD">
              <w:t>9</w:t>
            </w:r>
          </w:p>
        </w:tc>
        <w:tc>
          <w:tcPr>
            <w:tcW w:w="2268" w:type="dxa"/>
            <w:shd w:val="clear" w:color="auto" w:fill="auto"/>
          </w:tcPr>
          <w:p w14:paraId="6CC01CB7" w14:textId="77777777" w:rsidR="00751A4A" w:rsidRPr="006B2FBD" w:rsidRDefault="00187494" w:rsidP="0010095E">
            <w:pPr>
              <w:pStyle w:val="EPLogo"/>
            </w:pPr>
            <w:r w:rsidRPr="006B2FBD">
              <w:rPr>
                <w:noProof/>
              </w:rPr>
              <w:drawing>
                <wp:inline distT="0" distB="0" distL="0" distR="0" wp14:anchorId="088B2078" wp14:editId="5C6960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7C4BF" w14:textId="77777777" w:rsidR="00D058B8" w:rsidRPr="006B2FBD" w:rsidRDefault="00D058B8" w:rsidP="004C5D52">
      <w:pPr>
        <w:pStyle w:val="LineTop"/>
      </w:pPr>
    </w:p>
    <w:p w14:paraId="3AC37F98" w14:textId="77777777" w:rsidR="00680577" w:rsidRPr="006B2FBD" w:rsidRDefault="00322C89" w:rsidP="00680577">
      <w:pPr>
        <w:pStyle w:val="EPBodyTA1"/>
      </w:pPr>
      <w:r w:rsidRPr="006B2FBD">
        <w:t>VASTUVÕETUD TEKSTID</w:t>
      </w:r>
    </w:p>
    <w:p w14:paraId="7902CA80" w14:textId="77777777" w:rsidR="00D058B8" w:rsidRPr="006B2FBD" w:rsidRDefault="00D058B8" w:rsidP="00D058B8">
      <w:pPr>
        <w:pStyle w:val="LineBottom"/>
      </w:pPr>
    </w:p>
    <w:p w14:paraId="7B1F79FF" w14:textId="77777777" w:rsidR="00322C89" w:rsidRPr="006B2FBD" w:rsidRDefault="00322C89" w:rsidP="00322C89">
      <w:pPr>
        <w:pStyle w:val="ATHeading1"/>
      </w:pPr>
      <w:bookmarkStart w:id="0" w:name="TANumber"/>
      <w:r w:rsidRPr="006B2FBD">
        <w:t>P10_TA(2025)00</w:t>
      </w:r>
      <w:bookmarkEnd w:id="0"/>
      <w:r w:rsidR="004762E9" w:rsidRPr="006B2FBD">
        <w:t>89</w:t>
      </w:r>
    </w:p>
    <w:p w14:paraId="01982241" w14:textId="77777777" w:rsidR="00322C89" w:rsidRPr="006B2FBD" w:rsidRDefault="00322C89" w:rsidP="00322C89">
      <w:pPr>
        <w:pStyle w:val="ATHeading2"/>
      </w:pPr>
      <w:bookmarkStart w:id="1" w:name="title"/>
      <w:r w:rsidRPr="006B2FBD">
        <w:t>2023. aasta eelarve täitmisele heakskiidu andmine:</w:t>
      </w:r>
      <w:r w:rsidR="009474E4" w:rsidRPr="006B2FBD">
        <w:t xml:space="preserve"> </w:t>
      </w:r>
      <w:r w:rsidRPr="006B2FBD">
        <w:t>ühisettevõtted</w:t>
      </w:r>
      <w:bookmarkEnd w:id="1"/>
    </w:p>
    <w:p w14:paraId="4466B968" w14:textId="77777777" w:rsidR="00322C89" w:rsidRPr="006B2FBD" w:rsidRDefault="00322C89" w:rsidP="006B2FBD">
      <w:pPr>
        <w:pStyle w:val="ATHeading3"/>
        <w:rPr>
          <w:vanish/>
        </w:rPr>
      </w:pPr>
      <w:r w:rsidRPr="006B2FBD">
        <w:fldChar w:fldCharType="begin"/>
      </w:r>
      <w:r w:rsidRPr="006B2FBD">
        <w:instrText xml:space="preserve"> TC"(</w:instrText>
      </w:r>
      <w:bookmarkStart w:id="2" w:name="DocNumber"/>
      <w:r w:rsidRPr="006B2FBD">
        <w:instrText>A10-0056/2025</w:instrText>
      </w:r>
      <w:bookmarkEnd w:id="2"/>
      <w:r w:rsidRPr="006B2FBD">
        <w:instrText xml:space="preserve"> - Raportöör: Michal Wiezik)"\l3 \n&gt; \* MERGEFORMAT </w:instrText>
      </w:r>
      <w:r w:rsidRPr="006B2FBD">
        <w:fldChar w:fldCharType="end"/>
      </w:r>
    </w:p>
    <w:p w14:paraId="33E3A18D" w14:textId="77777777" w:rsidR="00322C89" w:rsidRPr="006B2FBD" w:rsidRDefault="00322C89" w:rsidP="006B2FBD">
      <w:pPr>
        <w:pStyle w:val="ATHeading3"/>
        <w:rPr>
          <w:vanish/>
        </w:rPr>
      </w:pPr>
      <w:bookmarkStart w:id="3" w:name="Commission"/>
      <w:r w:rsidRPr="006B2FBD">
        <w:rPr>
          <w:vanish/>
        </w:rPr>
        <w:t>Eelarvekontrollikomisjon</w:t>
      </w:r>
      <w:bookmarkEnd w:id="3"/>
    </w:p>
    <w:p w14:paraId="3EB96A33" w14:textId="77777777" w:rsidR="00322C89" w:rsidRPr="006B2FBD" w:rsidRDefault="00322C89" w:rsidP="006B2FBD">
      <w:pPr>
        <w:pStyle w:val="ATHeading3"/>
        <w:rPr>
          <w:vanish/>
        </w:rPr>
      </w:pPr>
      <w:bookmarkStart w:id="4" w:name="PE"/>
      <w:r w:rsidRPr="006B2FBD">
        <w:rPr>
          <w:vanish/>
        </w:rPr>
        <w:t>PE765.276</w:t>
      </w:r>
      <w:bookmarkEnd w:id="4"/>
    </w:p>
    <w:p w14:paraId="246DB36D" w14:textId="77777777" w:rsidR="006B2FBD" w:rsidRPr="006B2FBD" w:rsidRDefault="006B2FBD" w:rsidP="006B2FBD">
      <w:pPr>
        <w:pStyle w:val="ATHeading3"/>
        <w:rPr>
          <w:kern w:val="2"/>
          <w14:ligatures w14:val="standardContextual"/>
        </w:rPr>
      </w:pPr>
      <w:r w:rsidRPr="006B2FBD">
        <w:rPr>
          <w:kern w:val="2"/>
          <w14:ligatures w14:val="standardContextual"/>
        </w:rPr>
        <w:t>1. Euroopa Parlamendi 7. mai 2025. aasta otsus Keskkonnahoidliku Lennunduse Ühisettevõtte 2023. aasta eelarve täitmisele heakskiidu andmise kohta (2024/2031(DEC))</w:t>
      </w:r>
    </w:p>
    <w:p w14:paraId="1F480290"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6B70959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Keskkonnahoidliku Lennunduse Ühisettevõtte 2023. aasta lõplikku raamatupidamisaruannet,</w:t>
      </w:r>
    </w:p>
    <w:p w14:paraId="59277F8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
      </w:r>
      <w:r w:rsidRPr="006B2FBD">
        <w:rPr>
          <w:kern w:val="2"/>
          <w14:ligatures w14:val="standardContextual"/>
        </w:rPr>
        <w:t>,</w:t>
      </w:r>
    </w:p>
    <w:p w14:paraId="5B53FE0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2"/>
      </w:r>
      <w:r w:rsidRPr="006B2FBD">
        <w:rPr>
          <w:kern w:val="2"/>
          <w14:ligatures w14:val="standardContextual"/>
        </w:rPr>
        <w:t xml:space="preserve"> 2023. aasta raamatupidamiskontode usaldatavuse ja nende aluseks olevate tehingute seaduslikkuse ja korrektsuse kohta,</w:t>
      </w:r>
    </w:p>
    <w:p w14:paraId="40458E9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477CF3B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1F9F067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3"/>
      </w:r>
      <w:r w:rsidRPr="006B2FBD">
        <w:rPr>
          <w:kern w:val="2"/>
          <w14:ligatures w14:val="standardContextual"/>
        </w:rPr>
        <w:t xml:space="preserve"> eriti selle artiklit 71,</w:t>
      </w:r>
    </w:p>
    <w:p w14:paraId="32C8635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4"/>
      </w:r>
      <w:r w:rsidRPr="006B2FBD">
        <w:rPr>
          <w:kern w:val="2"/>
          <w14:ligatures w14:val="standardContextual"/>
        </w:rPr>
        <w:t xml:space="preserve"> eriti selle artiklit 71,</w:t>
      </w:r>
    </w:p>
    <w:p w14:paraId="4C97E57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nõukogu 19. novembri 2021. aasta määrust (EL) 2021/2085, millega </w:t>
      </w:r>
      <w:r w:rsidRPr="006B2FBD">
        <w:rPr>
          <w:kern w:val="2"/>
          <w14:ligatures w14:val="standardContextual"/>
        </w:rPr>
        <w:lastRenderedPageBreak/>
        <w:t>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5"/>
      </w:r>
      <w:r w:rsidRPr="006B2FBD">
        <w:rPr>
          <w:kern w:val="2"/>
          <w14:ligatures w14:val="standardContextual"/>
        </w:rPr>
        <w:t xml:space="preserve"> eriti selle artiklit 26,</w:t>
      </w:r>
    </w:p>
    <w:p w14:paraId="7A4AA61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6"/>
      </w:r>
      <w:r w:rsidRPr="006B2FBD">
        <w:rPr>
          <w:kern w:val="2"/>
          <w14:ligatures w14:val="standardContextual"/>
        </w:rPr>
        <w:t>,</w:t>
      </w:r>
    </w:p>
    <w:p w14:paraId="1CD2085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40959DA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46CD2F0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489153C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Keskkonnahoidliku Lennunduse Ühisettevõtte tegevdirektori tegevusele ühisettevõtte 2023. aasta eelarve täitmisel;</w:t>
      </w:r>
    </w:p>
    <w:p w14:paraId="0A48541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13CE927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Keskkonnahoidliku Lennunduse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76D54A66"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6F941839" w14:textId="77777777" w:rsidR="006B2FBD" w:rsidRPr="006B2FBD" w:rsidRDefault="006B2FBD" w:rsidP="006B2FBD">
      <w:pPr>
        <w:pStyle w:val="ATHeading3"/>
      </w:pPr>
      <w:r w:rsidRPr="006B2FBD">
        <w:lastRenderedPageBreak/>
        <w:t>2. Euroopa Parlamendi 7. mai 2025. aasta otsus Keskkonnahoidliku Lennunduse Ühisettevõtte 2023. aasta raamatupidamiskontode sulgemise kohta (2024/2031(DEC))</w:t>
      </w:r>
    </w:p>
    <w:p w14:paraId="45FB6FAE"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7B7E0D6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Keskkonnahoidliku Lennunduse Ühisettevõtte 2023. aasta lõplikku raamatupidamisaruannet,</w:t>
      </w:r>
    </w:p>
    <w:p w14:paraId="2DD55A2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7"/>
      </w:r>
      <w:r w:rsidRPr="006B2FBD">
        <w:rPr>
          <w:kern w:val="2"/>
          <w14:ligatures w14:val="standardContextual"/>
        </w:rPr>
        <w:t>,</w:t>
      </w:r>
    </w:p>
    <w:p w14:paraId="6CF037F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8"/>
      </w:r>
      <w:r w:rsidRPr="006B2FBD">
        <w:rPr>
          <w:kern w:val="2"/>
          <w14:ligatures w14:val="standardContextual"/>
        </w:rPr>
        <w:t xml:space="preserve"> 2023. aasta raamatupidamiskontode usaldatavuse ja nende aluseks olevate tehingute seaduslikkuse ja korrektsuse kohta,</w:t>
      </w:r>
    </w:p>
    <w:p w14:paraId="569F3E7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62B54E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3764482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9"/>
      </w:r>
      <w:r w:rsidRPr="006B2FBD">
        <w:rPr>
          <w:kern w:val="2"/>
          <w14:ligatures w14:val="standardContextual"/>
        </w:rPr>
        <w:t xml:space="preserve"> eriti selle artiklit 71,</w:t>
      </w:r>
    </w:p>
    <w:p w14:paraId="1D30E92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0"/>
      </w:r>
      <w:r w:rsidRPr="006B2FBD">
        <w:rPr>
          <w:kern w:val="2"/>
          <w14:ligatures w14:val="standardContextual"/>
        </w:rPr>
        <w:t xml:space="preserve"> eriti selle artiklit 71,</w:t>
      </w:r>
    </w:p>
    <w:p w14:paraId="786CF64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1"/>
      </w:r>
      <w:r w:rsidRPr="006B2FBD">
        <w:rPr>
          <w:kern w:val="2"/>
          <w14:ligatures w14:val="standardContextual"/>
        </w:rPr>
        <w:t xml:space="preserve"> eriti selle artiklit 26,</w:t>
      </w:r>
    </w:p>
    <w:p w14:paraId="0730C05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2"/>
      </w:r>
      <w:r w:rsidRPr="006B2FBD">
        <w:rPr>
          <w:kern w:val="2"/>
          <w14:ligatures w14:val="standardContextual"/>
        </w:rPr>
        <w:t>,</w:t>
      </w:r>
    </w:p>
    <w:p w14:paraId="745056A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4919E8B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0202760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3375A19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Keskkonnahoidliku Lennunduse Ühisettevõtte 2023. aasta raamatupidamiskontode sulgemisele;</w:t>
      </w:r>
    </w:p>
    <w:p w14:paraId="42C4CB3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Keskkonnahoidliku Lennunduse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12B3DD29"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193836E1" w14:textId="77777777" w:rsidR="006B2FBD" w:rsidRPr="006B2FBD" w:rsidRDefault="006B2FBD" w:rsidP="006B2FBD">
      <w:pPr>
        <w:pStyle w:val="ATHeading3"/>
      </w:pPr>
      <w:r w:rsidRPr="006B2FBD">
        <w:lastRenderedPageBreak/>
        <w:t>3. Euroopa Parlamendi 7. mai 2025. aasta otsus Bioressursipõhise Ringmajandusega Euroopa Ühisettevõtte 2023. aasta eelarve täitmisele heakskiidu andmise kohta (2024/2031(DEC))</w:t>
      </w:r>
    </w:p>
    <w:p w14:paraId="633570DC"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755B9A1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Bioressursipõhise Ringmajandusega Euroopa Ühisettevõtte 2023. aasta lõplikku raamatupidamisaruannet,</w:t>
      </w:r>
    </w:p>
    <w:p w14:paraId="563304A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3"/>
      </w:r>
      <w:r w:rsidRPr="006B2FBD">
        <w:rPr>
          <w:kern w:val="2"/>
          <w14:ligatures w14:val="standardContextual"/>
        </w:rPr>
        <w:t>,</w:t>
      </w:r>
    </w:p>
    <w:p w14:paraId="7E46393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4"/>
      </w:r>
      <w:r w:rsidRPr="006B2FBD">
        <w:rPr>
          <w:kern w:val="2"/>
          <w14:ligatures w14:val="standardContextual"/>
        </w:rPr>
        <w:t xml:space="preserve"> 2023. aasta raamatupidamiskontode usaldatavuse ja nende aluseks olevate tehingute seaduslikkuse ja korrektsuse kohta,</w:t>
      </w:r>
    </w:p>
    <w:p w14:paraId="670E7FF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25050E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4E3C281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5"/>
      </w:r>
      <w:r w:rsidRPr="006B2FBD">
        <w:rPr>
          <w:kern w:val="2"/>
          <w14:ligatures w14:val="standardContextual"/>
        </w:rPr>
        <w:t xml:space="preserve"> eriti selle artiklit 71,</w:t>
      </w:r>
    </w:p>
    <w:p w14:paraId="74DA344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6"/>
      </w:r>
      <w:r w:rsidRPr="006B2FBD">
        <w:rPr>
          <w:kern w:val="2"/>
          <w14:ligatures w14:val="standardContextual"/>
        </w:rPr>
        <w:t xml:space="preserve"> eriti selle artiklit 71,</w:t>
      </w:r>
    </w:p>
    <w:p w14:paraId="721527D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7"/>
      </w:r>
      <w:r w:rsidRPr="006B2FBD">
        <w:rPr>
          <w:kern w:val="2"/>
          <w14:ligatures w14:val="standardContextual"/>
        </w:rPr>
        <w:t xml:space="preserve"> eriti selle artiklit 26,</w:t>
      </w:r>
    </w:p>
    <w:p w14:paraId="30A55F7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8"/>
      </w:r>
      <w:r w:rsidRPr="006B2FBD">
        <w:rPr>
          <w:kern w:val="2"/>
          <w14:ligatures w14:val="standardContextual"/>
        </w:rPr>
        <w:t>,</w:t>
      </w:r>
    </w:p>
    <w:p w14:paraId="534BDFF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20DB3BF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1597CED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7BE6E7B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Bioressursipõhise Ringmajandusega Euroopa Ühisettevõtte tegevdirektori tegevusele ühisettevõtte 2023. aasta eelarve täitmisel;</w:t>
      </w:r>
    </w:p>
    <w:p w14:paraId="645460F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1419164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Bioressursipõhise Ringmajandusega Euroopa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2178C297"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30CDED0E" w14:textId="77777777" w:rsidR="006B2FBD" w:rsidRPr="006B2FBD" w:rsidRDefault="006B2FBD" w:rsidP="006B2FBD">
      <w:pPr>
        <w:pStyle w:val="ATHeading3"/>
      </w:pPr>
      <w:r w:rsidRPr="006B2FBD">
        <w:lastRenderedPageBreak/>
        <w:t>4. Euroopa Parlamendi 7. mai 2025. aasta otsus Bioressursipõhise Ringmajandusega Euroopa Ühisettevõtte 2023. aasta raamatupidamiskontode sulgemise kohta (2024/2031(DEC))</w:t>
      </w:r>
    </w:p>
    <w:p w14:paraId="72DA6855"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4FF0E5C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Bioressursipõhise Ringmajandusega Euroopa Ühisettevõtte 2023. aasta lõplikku raamatupidamisaruannet,</w:t>
      </w:r>
    </w:p>
    <w:p w14:paraId="67AC1E6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9"/>
      </w:r>
      <w:r w:rsidRPr="006B2FBD">
        <w:rPr>
          <w:kern w:val="2"/>
          <w14:ligatures w14:val="standardContextual"/>
        </w:rPr>
        <w:t>,</w:t>
      </w:r>
    </w:p>
    <w:p w14:paraId="5116E26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20"/>
      </w:r>
      <w:r w:rsidRPr="006B2FBD">
        <w:rPr>
          <w:kern w:val="2"/>
          <w14:ligatures w14:val="standardContextual"/>
        </w:rPr>
        <w:t xml:space="preserve"> 2023. aasta raamatupidamiskontode usaldatavuse ja nende aluseks olevate tehingute seaduslikkuse ja korrektsuse kohta,</w:t>
      </w:r>
    </w:p>
    <w:p w14:paraId="75F78D5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4F5FDE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5C1947E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21"/>
      </w:r>
      <w:r w:rsidRPr="006B2FBD">
        <w:rPr>
          <w:kern w:val="2"/>
          <w14:ligatures w14:val="standardContextual"/>
        </w:rPr>
        <w:t xml:space="preserve"> eriti selle artiklit 71,</w:t>
      </w:r>
    </w:p>
    <w:p w14:paraId="50E928D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22"/>
      </w:r>
      <w:r w:rsidRPr="006B2FBD">
        <w:rPr>
          <w:kern w:val="2"/>
          <w14:ligatures w14:val="standardContextual"/>
        </w:rPr>
        <w:t xml:space="preserve"> eriti selle artiklit 71,</w:t>
      </w:r>
    </w:p>
    <w:p w14:paraId="1BD170F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23"/>
      </w:r>
      <w:r w:rsidRPr="006B2FBD">
        <w:rPr>
          <w:kern w:val="2"/>
          <w14:ligatures w14:val="standardContextual"/>
        </w:rPr>
        <w:t xml:space="preserve"> eriti selle artiklit 26,</w:t>
      </w:r>
    </w:p>
    <w:p w14:paraId="4CE8776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24"/>
      </w:r>
      <w:r w:rsidRPr="006B2FBD">
        <w:rPr>
          <w:kern w:val="2"/>
          <w14:ligatures w14:val="standardContextual"/>
        </w:rPr>
        <w:t>,</w:t>
      </w:r>
    </w:p>
    <w:p w14:paraId="0D3A381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0D86734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7A00D84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D76478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Bioressursipõhise Ringmajandusega Euroopa Ühisettevõtte 2023. aasta raamatupidamiskontode sulgemisele;</w:t>
      </w:r>
    </w:p>
    <w:p w14:paraId="0DA2EC2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Bioressursipõhise Ringmajandusega Euroopa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3E4B1D90"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62BA0563" w14:textId="77777777" w:rsidR="006B2FBD" w:rsidRPr="006B2FBD" w:rsidRDefault="006B2FBD" w:rsidP="006B2FBD">
      <w:pPr>
        <w:pStyle w:val="ATHeading3"/>
      </w:pPr>
      <w:r w:rsidRPr="006B2FBD">
        <w:lastRenderedPageBreak/>
        <w:t>5. Euroopa Parlamendi 7. mai 2025. aasta otsus Saastevaba Vesiniku Ühisettevõtte 2023. aasta eelarve täitmisele heakskiidu andmise kohta (2024/2031(DEC))</w:t>
      </w:r>
    </w:p>
    <w:p w14:paraId="5557CD82"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26AAFCB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Saastevaba Vesiniku Ühisettevõtte 2023. aasta lõplikku raamatupidamisaruannet,</w:t>
      </w:r>
    </w:p>
    <w:p w14:paraId="08AE0DE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25"/>
      </w:r>
      <w:r w:rsidRPr="006B2FBD">
        <w:rPr>
          <w:kern w:val="2"/>
          <w14:ligatures w14:val="standardContextual"/>
        </w:rPr>
        <w:t>,</w:t>
      </w:r>
    </w:p>
    <w:p w14:paraId="18579EA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26"/>
      </w:r>
      <w:r w:rsidRPr="006B2FBD">
        <w:rPr>
          <w:kern w:val="2"/>
          <w14:ligatures w14:val="standardContextual"/>
        </w:rPr>
        <w:t xml:space="preserve"> 2023. aasta raamatupidamiskontode usaldatavuse ja nende aluseks olevate tehingute seaduslikkuse ja korrektsuse kohta,</w:t>
      </w:r>
    </w:p>
    <w:p w14:paraId="746E105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D75786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5E98D41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27"/>
      </w:r>
      <w:r w:rsidRPr="006B2FBD">
        <w:rPr>
          <w:kern w:val="2"/>
          <w14:ligatures w14:val="standardContextual"/>
        </w:rPr>
        <w:t>, eriti selle artiklit 71,</w:t>
      </w:r>
    </w:p>
    <w:p w14:paraId="280C896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28"/>
      </w:r>
      <w:r w:rsidRPr="006B2FBD">
        <w:rPr>
          <w:kern w:val="2"/>
          <w14:ligatures w14:val="standardContextual"/>
        </w:rPr>
        <w:t>, eriti selle artiklit 71,</w:t>
      </w:r>
    </w:p>
    <w:p w14:paraId="040056F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29"/>
      </w:r>
      <w:r w:rsidRPr="006B2FBD">
        <w:rPr>
          <w:kern w:val="2"/>
          <w14:ligatures w14:val="standardContextual"/>
        </w:rPr>
        <w:t>, eriti selle artiklit 26,</w:t>
      </w:r>
    </w:p>
    <w:p w14:paraId="1C140E3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30"/>
      </w:r>
      <w:r w:rsidRPr="006B2FBD">
        <w:rPr>
          <w:kern w:val="2"/>
          <w14:ligatures w14:val="standardContextual"/>
        </w:rPr>
        <w:t>,</w:t>
      </w:r>
    </w:p>
    <w:p w14:paraId="4871B2A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4CDEF79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20CC8C8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6237235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Saastevaba Vesiniku Ühisettevõtte tegevdirektori tegevusele ühisettevõtte 2023. aasta eelarve täitmisel;</w:t>
      </w:r>
    </w:p>
    <w:p w14:paraId="7854228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4EBCEE3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Saastevaba Vesiniku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410C23FA"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09CCFFCC" w14:textId="406C4BA7" w:rsidR="006B2FBD" w:rsidRPr="006B2FBD" w:rsidRDefault="006B2FBD" w:rsidP="006B2FBD">
      <w:pPr>
        <w:pStyle w:val="ATHeading3"/>
      </w:pPr>
      <w:r w:rsidRPr="006B2FBD">
        <w:lastRenderedPageBreak/>
        <w:t>6. Euroopa Parlamendi 7. mai 2025. aasta otsus Saastevaba Vesiniku Ühisettevõtte 2023. aasta raamatupidamiskontode sulgemise kohta (2024/2031(DEC))</w:t>
      </w:r>
    </w:p>
    <w:p w14:paraId="5BC18891"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2FACE70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Saastevaba Vesiniku Ühisettevõtte 2023. aasta lõplikku raamatupidamisaruannet,</w:t>
      </w:r>
    </w:p>
    <w:p w14:paraId="1728849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31"/>
      </w:r>
      <w:r w:rsidRPr="006B2FBD">
        <w:rPr>
          <w:kern w:val="2"/>
          <w14:ligatures w14:val="standardContextual"/>
        </w:rPr>
        <w:t>,</w:t>
      </w:r>
    </w:p>
    <w:p w14:paraId="087438E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32"/>
      </w:r>
      <w:r w:rsidRPr="006B2FBD">
        <w:rPr>
          <w:kern w:val="2"/>
          <w14:ligatures w14:val="standardContextual"/>
        </w:rPr>
        <w:t xml:space="preserve"> 2023. aasta raamatupidamiskontode usaldatavuse ja nende aluseks olevate tehingute seaduslikkuse ja korrektsuse kohta,</w:t>
      </w:r>
    </w:p>
    <w:p w14:paraId="6DB8B74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625C478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0931085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33"/>
      </w:r>
      <w:r w:rsidRPr="006B2FBD">
        <w:rPr>
          <w:kern w:val="2"/>
          <w14:ligatures w14:val="standardContextual"/>
        </w:rPr>
        <w:t>, eriti selle artiklit 71,</w:t>
      </w:r>
    </w:p>
    <w:p w14:paraId="3919ECF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34"/>
      </w:r>
      <w:r w:rsidRPr="006B2FBD">
        <w:rPr>
          <w:kern w:val="2"/>
          <w14:ligatures w14:val="standardContextual"/>
        </w:rPr>
        <w:t>, eriti selle artiklit 71,</w:t>
      </w:r>
    </w:p>
    <w:p w14:paraId="32A38C4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35"/>
      </w:r>
      <w:r w:rsidRPr="006B2FBD">
        <w:rPr>
          <w:kern w:val="2"/>
          <w14:ligatures w14:val="standardContextual"/>
        </w:rPr>
        <w:t>, eriti selle artiklit 26,</w:t>
      </w:r>
    </w:p>
    <w:p w14:paraId="4749588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36"/>
      </w:r>
      <w:r w:rsidRPr="006B2FBD">
        <w:rPr>
          <w:kern w:val="2"/>
          <w14:ligatures w14:val="standardContextual"/>
        </w:rPr>
        <w:t>,</w:t>
      </w:r>
    </w:p>
    <w:p w14:paraId="63D54F7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095652B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4FAFD8B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281A0B6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Saastevaba Vesiniku Ühisettevõtte 2023. aasta raamatupidamiskontode sulgemisele;</w:t>
      </w:r>
    </w:p>
    <w:p w14:paraId="0A34FC6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Saastevaba Vesiniku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2DC326C0"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32B263D9" w14:textId="159F231B" w:rsidR="006B2FBD" w:rsidRPr="006B2FBD" w:rsidRDefault="006B2FBD" w:rsidP="006B2FBD">
      <w:pPr>
        <w:pStyle w:val="ATHeading3"/>
      </w:pPr>
      <w:r w:rsidRPr="006B2FBD">
        <w:lastRenderedPageBreak/>
        <w:t>7. Euroopa Parlamendi 7. mai 2025. aasta otsus Euroopa Raudtee Ühisettevõtte 2023. aasta eelarve täitmisele heakskiidu andmise kohta (2024/2031(DEC))</w:t>
      </w:r>
    </w:p>
    <w:p w14:paraId="43D70CB3"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15BC4DA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Raudtee Ühisettevõtte 2023. aasta lõplikku raamatupidamisaruannet,</w:t>
      </w:r>
    </w:p>
    <w:p w14:paraId="73FB9D3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37"/>
      </w:r>
      <w:r w:rsidRPr="006B2FBD">
        <w:rPr>
          <w:kern w:val="2"/>
          <w14:ligatures w14:val="standardContextual"/>
        </w:rPr>
        <w:t>,</w:t>
      </w:r>
    </w:p>
    <w:p w14:paraId="16CA358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38"/>
      </w:r>
      <w:r w:rsidRPr="006B2FBD">
        <w:rPr>
          <w:kern w:val="2"/>
          <w14:ligatures w14:val="standardContextual"/>
        </w:rPr>
        <w:t xml:space="preserve"> 2023. aasta raamatupidamiskontode usaldatavuse ja nende aluseks olevate tehingute seaduslikkuse ja korrektsuse kohta,</w:t>
      </w:r>
    </w:p>
    <w:p w14:paraId="6673903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7A70A5E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4E9AA9C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39"/>
      </w:r>
      <w:r w:rsidRPr="006B2FBD">
        <w:rPr>
          <w:kern w:val="2"/>
          <w14:ligatures w14:val="standardContextual"/>
        </w:rPr>
        <w:t>, eriti selle artiklit 71,</w:t>
      </w:r>
    </w:p>
    <w:p w14:paraId="1E6F023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40"/>
      </w:r>
      <w:r w:rsidRPr="006B2FBD">
        <w:rPr>
          <w:kern w:val="2"/>
          <w14:ligatures w14:val="standardContextual"/>
        </w:rPr>
        <w:t>, eriti selle artiklit 71,</w:t>
      </w:r>
    </w:p>
    <w:p w14:paraId="23B3EAA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41"/>
      </w:r>
      <w:r w:rsidRPr="006B2FBD">
        <w:rPr>
          <w:kern w:val="2"/>
          <w14:ligatures w14:val="standardContextual"/>
        </w:rPr>
        <w:t>, eriti selle artiklit 26,</w:t>
      </w:r>
    </w:p>
    <w:p w14:paraId="483E65E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42"/>
      </w:r>
      <w:r w:rsidRPr="006B2FBD">
        <w:rPr>
          <w:kern w:val="2"/>
          <w14:ligatures w14:val="standardContextual"/>
        </w:rPr>
        <w:t>,</w:t>
      </w:r>
    </w:p>
    <w:p w14:paraId="1CD9441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5614E32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7A5BBBC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2C40260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Raudtee Ühisettevõtte tegevdirektori tegevusele ühisettevõtte 2023. aasta eelarve täitmisel;</w:t>
      </w:r>
    </w:p>
    <w:p w14:paraId="3400895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13A135B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Euroopa Raudtee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2A971516"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0110B1C8" w14:textId="151289B2" w:rsidR="006B2FBD" w:rsidRPr="006B2FBD" w:rsidRDefault="006B2FBD" w:rsidP="006B2FBD">
      <w:pPr>
        <w:pStyle w:val="ATHeading3"/>
      </w:pPr>
      <w:r w:rsidRPr="006B2FBD">
        <w:lastRenderedPageBreak/>
        <w:t>8. Euroopa Parlamendi 7. mai 2025. aasta otsus Euroopa Raudtee Ühisettevõtte 2023. aasta raamatupidamiskontode sulgemise kohta (2024/2031(DEC))</w:t>
      </w:r>
    </w:p>
    <w:p w14:paraId="2095FBE2" w14:textId="77777777"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p>
    <w:p w14:paraId="056CAFD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Raudtee Ühisettevõtte 2023. aasta lõplikku raamatupidamisaruannet,</w:t>
      </w:r>
    </w:p>
    <w:p w14:paraId="35A2885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43"/>
      </w:r>
      <w:r w:rsidRPr="006B2FBD">
        <w:rPr>
          <w:kern w:val="2"/>
          <w14:ligatures w14:val="standardContextual"/>
        </w:rPr>
        <w:t>,</w:t>
      </w:r>
    </w:p>
    <w:p w14:paraId="37549AF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44"/>
      </w:r>
      <w:r w:rsidRPr="006B2FBD">
        <w:rPr>
          <w:kern w:val="2"/>
          <w14:ligatures w14:val="standardContextual"/>
        </w:rPr>
        <w:t xml:space="preserve"> 2023. aasta raamatupidamiskontode usaldatavuse ja nende aluseks olevate tehingute seaduslikkuse ja korrektsuse kohta,</w:t>
      </w:r>
    </w:p>
    <w:p w14:paraId="43CAB6A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52CDD6D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3DB8F75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45"/>
      </w:r>
      <w:r w:rsidRPr="006B2FBD">
        <w:rPr>
          <w:kern w:val="2"/>
          <w14:ligatures w14:val="standardContextual"/>
        </w:rPr>
        <w:t>, eriti selle artiklit 71,</w:t>
      </w:r>
    </w:p>
    <w:p w14:paraId="7BF48AC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(uuesti sõnastatud)</w:t>
      </w:r>
      <w:r w:rsidRPr="006B2FBD">
        <w:rPr>
          <w:kern w:val="2"/>
          <w:vertAlign w:val="superscript"/>
          <w14:ligatures w14:val="standardContextual"/>
        </w:rPr>
        <w:footnoteReference w:id="46"/>
      </w:r>
      <w:r w:rsidRPr="006B2FBD">
        <w:rPr>
          <w:kern w:val="2"/>
          <w14:ligatures w14:val="standardContextual"/>
        </w:rPr>
        <w:t>, eriti selle artiklit 71,</w:t>
      </w:r>
    </w:p>
    <w:p w14:paraId="6F7D08E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47"/>
      </w:r>
      <w:r w:rsidRPr="006B2FBD">
        <w:rPr>
          <w:kern w:val="2"/>
          <w14:ligatures w14:val="standardContextual"/>
        </w:rPr>
        <w:t>, eriti selle artiklit 26,</w:t>
      </w:r>
    </w:p>
    <w:p w14:paraId="2ACA5AB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48"/>
      </w:r>
      <w:r w:rsidRPr="006B2FBD">
        <w:rPr>
          <w:kern w:val="2"/>
          <w14:ligatures w14:val="standardContextual"/>
        </w:rPr>
        <w:t>,</w:t>
      </w:r>
    </w:p>
    <w:p w14:paraId="3006A9C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0AACBAF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1F8E91D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3B7DD0B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Raudtee Ühisettevõtte 2023. aasta raamatupidamiskontode sulgemisele;</w:t>
      </w:r>
    </w:p>
    <w:p w14:paraId="64BC5CE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Euroopa Raudtee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29462AF8"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03EB4663" w14:textId="03391EB3" w:rsidR="006B2FBD" w:rsidRPr="006B2FBD" w:rsidRDefault="006B2FBD" w:rsidP="00CF2B3D">
      <w:pPr>
        <w:pStyle w:val="ATHeading3"/>
      </w:pPr>
      <w:r w:rsidRPr="006B2FBD">
        <w:lastRenderedPageBreak/>
        <w:t>9. Euroopa Parlamendi 7. mai 2025. aasta otsus Euroopa kõrgjõudlusega andmetöötluse ühisettevõtte 2023. aasta eelarve täitmisele heakskiidu andmise kohta (2024/2031(DEC))</w:t>
      </w:r>
    </w:p>
    <w:p w14:paraId="2088B734"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0A2763E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kõrgjõudlusega andmetöötluse ühisettevõtte 2023. aasta lõplikku raamatupidamisaruannet,</w:t>
      </w:r>
    </w:p>
    <w:p w14:paraId="242F329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49"/>
      </w:r>
      <w:r w:rsidRPr="006B2FBD">
        <w:rPr>
          <w:kern w:val="2"/>
          <w14:ligatures w14:val="standardContextual"/>
        </w:rPr>
        <w:t>,</w:t>
      </w:r>
    </w:p>
    <w:p w14:paraId="41B37BE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50"/>
      </w:r>
      <w:r w:rsidRPr="006B2FBD">
        <w:rPr>
          <w:kern w:val="2"/>
          <w14:ligatures w14:val="standardContextual"/>
        </w:rPr>
        <w:t xml:space="preserve"> 2023. aasta raamatupidamiskontode usaldatavuse ja nende aluseks olevate tehingute seaduslikkuse ja korrektsuse kohta,</w:t>
      </w:r>
    </w:p>
    <w:p w14:paraId="1DA5329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6592DDB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4E508FE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51"/>
      </w:r>
      <w:r w:rsidRPr="006B2FBD">
        <w:rPr>
          <w:kern w:val="2"/>
          <w14:ligatures w14:val="standardContextual"/>
        </w:rPr>
        <w:t>, eriti selle artiklit 71,</w:t>
      </w:r>
    </w:p>
    <w:p w14:paraId="03AE0D6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52"/>
      </w:r>
      <w:r w:rsidRPr="006B2FBD">
        <w:rPr>
          <w:kern w:val="2"/>
          <w14:ligatures w14:val="standardContextual"/>
        </w:rPr>
        <w:t>, eriti selle artiklit 71,</w:t>
      </w:r>
    </w:p>
    <w:p w14:paraId="4745ED6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13. juuli 2021. aasta määrust (EL) 2021/1173 (millega asutatakse Euroopa kõrgjõudlusega andmetöötluse ühisettevõte ning tunnistatakse kehtetuks määrus (EL) 2018/1488)</w:t>
      </w:r>
      <w:r w:rsidRPr="006B2FBD">
        <w:rPr>
          <w:kern w:val="2"/>
          <w:vertAlign w:val="superscript"/>
          <w14:ligatures w14:val="standardContextual"/>
        </w:rPr>
        <w:footnoteReference w:id="53"/>
      </w:r>
      <w:r w:rsidRPr="006B2FBD">
        <w:rPr>
          <w:kern w:val="2"/>
          <w14:ligatures w14:val="standardContextual"/>
        </w:rPr>
        <w:t>, eriti selle artiklit 19,</w:t>
      </w:r>
    </w:p>
    <w:p w14:paraId="60B099D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54"/>
      </w:r>
      <w:r w:rsidRPr="006B2FBD">
        <w:rPr>
          <w:kern w:val="2"/>
          <w14:ligatures w14:val="standardContextual"/>
        </w:rPr>
        <w:t>,</w:t>
      </w:r>
    </w:p>
    <w:p w14:paraId="720A099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061EF32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6C63A8A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eelarvekontrollikomisjoni raportit (A10-0056/2025),</w:t>
      </w:r>
    </w:p>
    <w:p w14:paraId="4649644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kõrgjõudlusega andmetöötluse ühisettevõtte tegevdirektori tegevusele ühisettevõtte 2023. aasta eelarve täitmisel;</w:t>
      </w:r>
    </w:p>
    <w:p w14:paraId="0898195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4E0FC3A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Euroopa kõrgjõudlusega andmetöötluse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4DD2340A"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142330F6" w14:textId="415B72DF" w:rsidR="006B2FBD" w:rsidRPr="006B2FBD" w:rsidRDefault="006B2FBD" w:rsidP="00CF2B3D">
      <w:pPr>
        <w:pStyle w:val="ATHeading3"/>
      </w:pPr>
      <w:r w:rsidRPr="006B2FBD">
        <w:lastRenderedPageBreak/>
        <w:t>10. Euroopa Parlamendi 7. mai 2025. aasta otsus Euroopa kõrgjõudlusega andmetöötluse ühisettevõtte 2023. aasta raamatupidamiskontode sulgemise kohta (2024/2031(DEC))</w:t>
      </w:r>
    </w:p>
    <w:p w14:paraId="176A1BAF"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743A122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kõrgjõudlusega andmetöötluse ühisettevõtte 2023. aasta lõplikku raamatupidamisaruannet,</w:t>
      </w:r>
    </w:p>
    <w:p w14:paraId="72D6A51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55"/>
      </w:r>
      <w:r w:rsidRPr="006B2FBD">
        <w:rPr>
          <w:kern w:val="2"/>
          <w14:ligatures w14:val="standardContextual"/>
        </w:rPr>
        <w:t>,</w:t>
      </w:r>
    </w:p>
    <w:p w14:paraId="2F88AEF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56"/>
      </w:r>
      <w:r w:rsidRPr="006B2FBD">
        <w:rPr>
          <w:kern w:val="2"/>
          <w14:ligatures w14:val="standardContextual"/>
        </w:rPr>
        <w:t xml:space="preserve"> 2023. aasta raamatupidamiskontode usaldatavuse ja nende aluseks olevate tehingute seaduslikkuse ja korrektsuse kohta,</w:t>
      </w:r>
    </w:p>
    <w:p w14:paraId="29ABF49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44D3490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78A57B4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57"/>
      </w:r>
      <w:r w:rsidRPr="006B2FBD">
        <w:rPr>
          <w:kern w:val="2"/>
          <w14:ligatures w14:val="standardContextual"/>
        </w:rPr>
        <w:t>, eriti selle artiklit 71,</w:t>
      </w:r>
    </w:p>
    <w:p w14:paraId="7F76C4D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58"/>
      </w:r>
      <w:r w:rsidRPr="006B2FBD">
        <w:rPr>
          <w:kern w:val="2"/>
          <w14:ligatures w14:val="standardContextual"/>
        </w:rPr>
        <w:t>, eriti selle artiklit 71,</w:t>
      </w:r>
    </w:p>
    <w:p w14:paraId="0A6AE7C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13. juuli 2021. aasta määrust (EL) 2021/1173 (millega asutatakse Euroopa kõrgjõudlusega andmetöötluse ühisettevõte ning tunnistatakse kehtetuks määrus (EL) 2018/1488)</w:t>
      </w:r>
      <w:r w:rsidRPr="006B2FBD">
        <w:rPr>
          <w:kern w:val="2"/>
          <w:vertAlign w:val="superscript"/>
          <w14:ligatures w14:val="standardContextual"/>
        </w:rPr>
        <w:footnoteReference w:id="59"/>
      </w:r>
      <w:r w:rsidRPr="006B2FBD">
        <w:rPr>
          <w:kern w:val="2"/>
          <w14:ligatures w14:val="standardContextual"/>
        </w:rPr>
        <w:t>, eriti selle artiklit 19,</w:t>
      </w:r>
    </w:p>
    <w:p w14:paraId="424B0F5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60"/>
      </w:r>
      <w:r w:rsidRPr="006B2FBD">
        <w:rPr>
          <w:kern w:val="2"/>
          <w14:ligatures w14:val="standardContextual"/>
        </w:rPr>
        <w:t>,</w:t>
      </w:r>
    </w:p>
    <w:p w14:paraId="5497759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5186C93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3AE1448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eelarvekontrollikomisjoni raportit (A10-0056/2025),</w:t>
      </w:r>
    </w:p>
    <w:p w14:paraId="6F0DCB5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kõrgjõudlusega andmetöötluse ühisettevõtte 2023. aasta raamatupidamiskontode sulgemisele;</w:t>
      </w:r>
    </w:p>
    <w:p w14:paraId="7F3E0D6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Euroopa kõrgjõudlusega andmetöötluse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0A956278"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1FEF49AC" w14:textId="6C52B78B" w:rsidR="006B2FBD" w:rsidRPr="006B2FBD" w:rsidRDefault="006B2FBD" w:rsidP="00CF2B3D">
      <w:pPr>
        <w:pStyle w:val="ATHeading3"/>
      </w:pPr>
      <w:r w:rsidRPr="006B2FBD">
        <w:lastRenderedPageBreak/>
        <w:t>11. Euroopa Parlamendi 7. mai 2025. aasta otsus ITERi ja tuumasünteesienergeetika arendamise Euroopa ühisettevõtte 2023. aasta eelarve täitmisele heakskiidu andmise kohta (2024/2031(DEC))</w:t>
      </w:r>
    </w:p>
    <w:p w14:paraId="678573B3"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6248852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ITERi ja tuumasünteesienergeetika arendamise Euroopa ühisettevõtte 2023. aasta lõplikku raamatupidamisaruannet,</w:t>
      </w:r>
    </w:p>
    <w:p w14:paraId="13283A9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61"/>
      </w:r>
      <w:r w:rsidRPr="006B2FBD">
        <w:rPr>
          <w:kern w:val="2"/>
          <w14:ligatures w14:val="standardContextual"/>
        </w:rPr>
        <w:t>,</w:t>
      </w:r>
    </w:p>
    <w:p w14:paraId="095BEF5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62"/>
      </w:r>
      <w:r w:rsidRPr="006B2FBD">
        <w:rPr>
          <w:kern w:val="2"/>
          <w14:ligatures w14:val="standardContextual"/>
        </w:rPr>
        <w:t xml:space="preserve"> 2023. aasta raamatupidamiskontode usaldatavuse ja nende aluseks olevate tehingute seaduslikkuse ja korrektsuse kohta,</w:t>
      </w:r>
    </w:p>
    <w:p w14:paraId="26F9E9E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5C8FCC3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139B214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Aatomienergiaühenduse asutamislepingu artiklit 106a,</w:t>
      </w:r>
    </w:p>
    <w:p w14:paraId="4158172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63"/>
      </w:r>
      <w:r w:rsidRPr="006B2FBD">
        <w:rPr>
          <w:kern w:val="2"/>
          <w14:ligatures w14:val="standardContextual"/>
        </w:rPr>
        <w:t>, eriti selle artiklit 70,</w:t>
      </w:r>
    </w:p>
    <w:p w14:paraId="6B7C164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64"/>
      </w:r>
      <w:r w:rsidRPr="006B2FBD">
        <w:rPr>
          <w:kern w:val="2"/>
          <w14:ligatures w14:val="standardContextual"/>
        </w:rPr>
        <w:t>, eriti selle artiklit 70,</w:t>
      </w:r>
    </w:p>
    <w:p w14:paraId="126F214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27. märtsi 2007. aasta otsust 2007/198/Euratom, millega luuakse ITERi ja tuumasünteesienergeetika arendamise Euroopa ühisettevõte ning antakse sellele eelised</w:t>
      </w:r>
      <w:r w:rsidRPr="006B2FBD">
        <w:rPr>
          <w:kern w:val="2"/>
          <w:vertAlign w:val="superscript"/>
          <w14:ligatures w14:val="standardContextual"/>
        </w:rPr>
        <w:footnoteReference w:id="65"/>
      </w:r>
      <w:r w:rsidRPr="006B2FBD">
        <w:rPr>
          <w:kern w:val="2"/>
          <w14:ligatures w14:val="standardContextual"/>
        </w:rPr>
        <w:t>, eriti selle artiklit 5,</w:t>
      </w:r>
    </w:p>
    <w:p w14:paraId="4C5C239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B2FBD">
        <w:rPr>
          <w:kern w:val="2"/>
          <w:vertAlign w:val="superscript"/>
          <w14:ligatures w14:val="standardContextual"/>
        </w:rPr>
        <w:footnoteReference w:id="66"/>
      </w:r>
      <w:r w:rsidRPr="006B2FBD">
        <w:rPr>
          <w:kern w:val="2"/>
          <w14:ligatures w14:val="standardContextual"/>
        </w:rPr>
        <w:t>,</w:t>
      </w:r>
    </w:p>
    <w:p w14:paraId="05CD40C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kodukorra artiklit 102 ja V lisa,</w:t>
      </w:r>
    </w:p>
    <w:p w14:paraId="2E3BCB1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46EC252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6C5A082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ITERi ja tuumasünteesienergeetika arendamise Euroopa ühisettevõtte direktori tegevusele ühisettevõtte 2023. aasta eelarve täitmisel;</w:t>
      </w:r>
    </w:p>
    <w:p w14:paraId="54F8C3B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66786E9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ITERi ja tuumasünteesienergeetika arendamise Euroopa ühisettevõtte 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3537520D"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2653833B" w14:textId="3C583ADE" w:rsidR="006B2FBD" w:rsidRPr="006B2FBD" w:rsidRDefault="006B2FBD" w:rsidP="00CF2B3D">
      <w:pPr>
        <w:pStyle w:val="ATHeading3"/>
      </w:pPr>
      <w:r w:rsidRPr="006B2FBD">
        <w:lastRenderedPageBreak/>
        <w:t>12. Euroopa Parlamendi 7. mai 2025. aasta otsus ITERi ja tuumasünteesienergeetika arendamise Euroopa ühisettevõtte 2023. aasta raamatupidamiskontode sulgemise kohta (2024/2031(DEC))</w:t>
      </w:r>
    </w:p>
    <w:p w14:paraId="00298D75"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26175C2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ITERi ja tuumasünteesienergeetika arendamise Euroopa ühisettevõtte 2023. aasta lõplikku raamatupidamisaruannet,</w:t>
      </w:r>
    </w:p>
    <w:p w14:paraId="6936D82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67"/>
      </w:r>
      <w:r w:rsidRPr="006B2FBD">
        <w:rPr>
          <w:kern w:val="2"/>
          <w14:ligatures w14:val="standardContextual"/>
        </w:rPr>
        <w:t>,</w:t>
      </w:r>
    </w:p>
    <w:p w14:paraId="780FFCE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68"/>
      </w:r>
      <w:r w:rsidRPr="006B2FBD">
        <w:rPr>
          <w:kern w:val="2"/>
          <w14:ligatures w14:val="standardContextual"/>
        </w:rPr>
        <w:t xml:space="preserve"> 2023. aasta raamatupidamiskontode usaldatavuse ja nende aluseks olevate tehingute seaduslikkuse ja korrektsuse kohta,</w:t>
      </w:r>
    </w:p>
    <w:p w14:paraId="1867145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458464B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0319684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Aatomienergiaühenduse asutamislepingu artiklit 106a,</w:t>
      </w:r>
    </w:p>
    <w:p w14:paraId="00C309F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69"/>
      </w:r>
      <w:r w:rsidRPr="006B2FBD">
        <w:rPr>
          <w:kern w:val="2"/>
          <w14:ligatures w14:val="standardContextual"/>
        </w:rPr>
        <w:t xml:space="preserve"> eriti selle artiklit 70,</w:t>
      </w:r>
    </w:p>
    <w:p w14:paraId="556156B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70"/>
      </w:r>
      <w:r w:rsidRPr="006B2FBD">
        <w:rPr>
          <w:kern w:val="2"/>
          <w14:ligatures w14:val="standardContextual"/>
        </w:rPr>
        <w:t xml:space="preserve"> eriti selle artiklit 70,</w:t>
      </w:r>
    </w:p>
    <w:p w14:paraId="1247A39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27. märtsi 2007. aasta otsust 2007/198/Euratom, millega luuakse ITERi ja tuumasünteesienergeetika arendamise Euroopa ühisettevõte ning antakse sellele eelised,</w:t>
      </w:r>
      <w:r w:rsidRPr="006B2FBD">
        <w:rPr>
          <w:kern w:val="2"/>
          <w:vertAlign w:val="superscript"/>
          <w14:ligatures w14:val="standardContextual"/>
        </w:rPr>
        <w:footnoteReference w:id="71"/>
      </w:r>
      <w:r w:rsidRPr="006B2FBD">
        <w:rPr>
          <w:kern w:val="2"/>
          <w14:ligatures w14:val="standardContextual"/>
        </w:rPr>
        <w:t xml:space="preserve"> eriti selle artiklit 5,</w:t>
      </w:r>
    </w:p>
    <w:p w14:paraId="615C39D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B2FBD">
        <w:rPr>
          <w:kern w:val="2"/>
          <w:vertAlign w:val="superscript"/>
          <w14:ligatures w14:val="standardContextual"/>
        </w:rPr>
        <w:footnoteReference w:id="72"/>
      </w:r>
      <w:r w:rsidRPr="006B2FBD">
        <w:rPr>
          <w:kern w:val="2"/>
          <w14:ligatures w14:val="standardContextual"/>
        </w:rPr>
        <w:t>,</w:t>
      </w:r>
    </w:p>
    <w:p w14:paraId="2A23C05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kodukorra artiklit 102 ja V lisa,</w:t>
      </w:r>
    </w:p>
    <w:p w14:paraId="38970EF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1626048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4B879C7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ITERi ja tuumasünteesienergeetika arendamise Euroopa ühisettevõtte 2023. aasta raamatupidamiskontode sulgemisele;</w:t>
      </w:r>
    </w:p>
    <w:p w14:paraId="2C8B0FC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ITERi ja tuumasünteesienergeetika arendamise Euroopa ühisettevõtte 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6DE9DB46"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3F8E0849" w14:textId="1FD73BBB" w:rsidR="006B2FBD" w:rsidRPr="006B2FBD" w:rsidRDefault="006B2FBD" w:rsidP="00CF2B3D">
      <w:pPr>
        <w:pStyle w:val="ATHeading3"/>
      </w:pPr>
      <w:r w:rsidRPr="006B2FBD">
        <w:lastRenderedPageBreak/>
        <w:t>13. Euroopa Parlamendi 7. mai 2025. aasta otsus Ülemaailmse Tervisealgatuse EDCTP3 Ühisettevõtte 2023. aasta eelarve täitmisele heakskiidu andmise kohta (2024/2031(DEC))</w:t>
      </w:r>
    </w:p>
    <w:p w14:paraId="0ED64123"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369CF44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Ülemaailmse Tervisealgatuse EDCTP3 Ühisettevõtte 2023. aasta lõplikku raamatupidamisaruannet,</w:t>
      </w:r>
    </w:p>
    <w:p w14:paraId="3E5448E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73"/>
      </w:r>
      <w:r w:rsidRPr="006B2FBD">
        <w:rPr>
          <w:kern w:val="2"/>
          <w14:ligatures w14:val="standardContextual"/>
        </w:rPr>
        <w:t>,</w:t>
      </w:r>
    </w:p>
    <w:p w14:paraId="427D51C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74"/>
      </w:r>
      <w:r w:rsidRPr="006B2FBD">
        <w:rPr>
          <w:kern w:val="2"/>
          <w14:ligatures w14:val="standardContextual"/>
        </w:rPr>
        <w:t xml:space="preserve"> 2023. aasta raamatupidamiskontode usaldatavuse ja nende aluseks olevate tehingute seaduslikkuse ja korrektsuse kohta,</w:t>
      </w:r>
    </w:p>
    <w:p w14:paraId="5CB64DC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58D29E0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2304C75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75"/>
      </w:r>
      <w:r w:rsidRPr="006B2FBD">
        <w:rPr>
          <w:kern w:val="2"/>
          <w14:ligatures w14:val="standardContextual"/>
        </w:rPr>
        <w:t>, eriti selle artiklit 71,</w:t>
      </w:r>
    </w:p>
    <w:p w14:paraId="095F02F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76"/>
      </w:r>
      <w:r w:rsidRPr="006B2FBD">
        <w:rPr>
          <w:kern w:val="2"/>
          <w14:ligatures w14:val="standardContextual"/>
        </w:rPr>
        <w:t>, eriti selle artiklit 71,</w:t>
      </w:r>
    </w:p>
    <w:p w14:paraId="1D01420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77"/>
      </w:r>
      <w:r w:rsidRPr="006B2FBD">
        <w:rPr>
          <w:kern w:val="2"/>
          <w14:ligatures w14:val="standardContextual"/>
        </w:rPr>
        <w:t>, eriti selle artiklit 26,</w:t>
      </w:r>
    </w:p>
    <w:p w14:paraId="544DE16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78"/>
      </w:r>
      <w:r w:rsidRPr="006B2FBD">
        <w:rPr>
          <w:kern w:val="2"/>
          <w14:ligatures w14:val="standardContextual"/>
        </w:rPr>
        <w:t>,</w:t>
      </w:r>
    </w:p>
    <w:p w14:paraId="4ACCF95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348779E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4C5C0B8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232080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Ülemaailmse Tervisealgatuse EDCTP3 Ühisettevõtte tegevdirektori tegevusele ühisettevõtte 2023. aasta eelarve täitmisel;</w:t>
      </w:r>
    </w:p>
    <w:p w14:paraId="546A451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0BEA443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Ülemaailmse Tervisealgatuse EDCTP3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35474121"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099A5859" w14:textId="1F1B29AF" w:rsidR="006B2FBD" w:rsidRPr="006B2FBD" w:rsidRDefault="006B2FBD" w:rsidP="00CF2B3D">
      <w:pPr>
        <w:pStyle w:val="ATHeading3"/>
      </w:pPr>
      <w:r w:rsidRPr="006B2FBD">
        <w:lastRenderedPageBreak/>
        <w:t>14. Euroopa Parlamendi 7. mai 2025. aasta otsus Ülemaailmse Tervisealgatuse EDCTP3 Ühisettevõtte 2023. aasta raamatupidamiskontode sulgemise kohta (2024/2031(DEC))</w:t>
      </w:r>
    </w:p>
    <w:p w14:paraId="1C8DA097"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751E5F6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Ülemaailmse Tervisealgatuse EDCTP3 Ühisettevõtte 2023. aasta lõplikku raamatupidamisaruannet,</w:t>
      </w:r>
    </w:p>
    <w:p w14:paraId="293DFB2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79"/>
      </w:r>
      <w:r w:rsidRPr="006B2FBD">
        <w:rPr>
          <w:kern w:val="2"/>
          <w14:ligatures w14:val="standardContextual"/>
        </w:rPr>
        <w:t>,</w:t>
      </w:r>
    </w:p>
    <w:p w14:paraId="49D8262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80"/>
      </w:r>
      <w:r w:rsidRPr="006B2FBD">
        <w:rPr>
          <w:kern w:val="2"/>
          <w14:ligatures w14:val="standardContextual"/>
        </w:rPr>
        <w:t xml:space="preserve"> 2023. aasta raamatupidamiskontode usaldatavuse ja nende aluseks olevate tehingute seaduslikkuse ja korrektsuse kohta,</w:t>
      </w:r>
    </w:p>
    <w:p w14:paraId="043BDDF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07BE162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2263D6F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81"/>
      </w:r>
      <w:r w:rsidRPr="006B2FBD">
        <w:rPr>
          <w:kern w:val="2"/>
          <w14:ligatures w14:val="standardContextual"/>
        </w:rPr>
        <w:t>, eriti selle artiklit 71,</w:t>
      </w:r>
    </w:p>
    <w:p w14:paraId="6B39A50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82"/>
      </w:r>
      <w:r w:rsidRPr="006B2FBD">
        <w:rPr>
          <w:kern w:val="2"/>
          <w14:ligatures w14:val="standardContextual"/>
        </w:rPr>
        <w:t>, eriti selle artiklit 71,</w:t>
      </w:r>
    </w:p>
    <w:p w14:paraId="1D7DEB3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83"/>
      </w:r>
      <w:r w:rsidRPr="006B2FBD">
        <w:rPr>
          <w:kern w:val="2"/>
          <w14:ligatures w14:val="standardContextual"/>
        </w:rPr>
        <w:t>, eriti selle artiklit 26,</w:t>
      </w:r>
    </w:p>
    <w:p w14:paraId="02B4A03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84"/>
      </w:r>
      <w:r w:rsidRPr="006B2FBD">
        <w:rPr>
          <w:kern w:val="2"/>
          <w14:ligatures w14:val="standardContextual"/>
        </w:rPr>
        <w:t>,</w:t>
      </w:r>
    </w:p>
    <w:p w14:paraId="66739A5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7BF53AE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09E16FF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2891D5B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Ülemaailmse Tervisealgatuse EDCTP3 Ühisettevõtte 2023. aasta raamatupidamiskontode sulgemisele;</w:t>
      </w:r>
    </w:p>
    <w:p w14:paraId="7DC085A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Ülemaailmse Tervisealgatuse EDCTP3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5DD52087"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544DBD6C" w14:textId="701AF39D" w:rsidR="006B2FBD" w:rsidRPr="006B2FBD" w:rsidRDefault="006B2FBD" w:rsidP="00CF2B3D">
      <w:pPr>
        <w:pStyle w:val="ATHeading3"/>
      </w:pPr>
      <w:r w:rsidRPr="006B2FBD">
        <w:lastRenderedPageBreak/>
        <w:t>15. Euroopa Parlamendi 7. mai 2025. aasta otsus Innovatiivse Tervishoiu Algatuse Ühisettevõtte 2023. aasta eelarve täitmisele heakskiidu andmise kohta (2024/2031(DEC))</w:t>
      </w:r>
    </w:p>
    <w:p w14:paraId="7B4A7FAD"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5F5B93D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Innovatiivse Tervishoiu Algatuse Ühisettevõtte 2023. aasta lõplikku raamatupidamisaruannet,</w:t>
      </w:r>
    </w:p>
    <w:p w14:paraId="57440B2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85"/>
      </w:r>
      <w:r w:rsidRPr="006B2FBD">
        <w:rPr>
          <w:kern w:val="2"/>
          <w14:ligatures w14:val="standardContextual"/>
        </w:rPr>
        <w:t>,</w:t>
      </w:r>
    </w:p>
    <w:p w14:paraId="686BD14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86"/>
      </w:r>
      <w:r w:rsidRPr="006B2FBD">
        <w:rPr>
          <w:kern w:val="2"/>
          <w14:ligatures w14:val="standardContextual"/>
        </w:rPr>
        <w:t xml:space="preserve"> 2023. aasta raamatupidamiskontode usaldatavuse ja nende aluseks olevate tehingute seaduslikkuse ja korrektsuse kohta,</w:t>
      </w:r>
    </w:p>
    <w:p w14:paraId="0B482D9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6B08E3E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4F1CC32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87"/>
      </w:r>
      <w:r w:rsidRPr="006B2FBD">
        <w:rPr>
          <w:kern w:val="2"/>
          <w14:ligatures w14:val="standardContextual"/>
        </w:rPr>
        <w:t>, eriti selle artiklit 71,</w:t>
      </w:r>
    </w:p>
    <w:p w14:paraId="1D788BA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88"/>
      </w:r>
      <w:r w:rsidRPr="006B2FBD">
        <w:rPr>
          <w:kern w:val="2"/>
          <w14:ligatures w14:val="standardContextual"/>
        </w:rPr>
        <w:t>, eriti selle artiklit 71,</w:t>
      </w:r>
    </w:p>
    <w:p w14:paraId="3492A4F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89"/>
      </w:r>
      <w:r w:rsidRPr="006B2FBD">
        <w:rPr>
          <w:kern w:val="2"/>
          <w14:ligatures w14:val="standardContextual"/>
        </w:rPr>
        <w:t>, eriti selle artiklit 26,</w:t>
      </w:r>
    </w:p>
    <w:p w14:paraId="78CF780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90"/>
      </w:r>
      <w:r w:rsidRPr="006B2FBD">
        <w:rPr>
          <w:kern w:val="2"/>
          <w14:ligatures w14:val="standardContextual"/>
        </w:rPr>
        <w:t>,</w:t>
      </w:r>
    </w:p>
    <w:p w14:paraId="4A3BF49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7923151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51ED74E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1DAA1EC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Innovatiivse Tervishoiu Algatuse Ühisettevõtte tegevdirektori tegevusele ühisettevõtte 2023. aasta eelarve täitmisel;</w:t>
      </w:r>
    </w:p>
    <w:p w14:paraId="226B8AD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12BB209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Innovatiivse Tervishoiu Algatuse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2FDD442D"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568D4298" w14:textId="5500D475" w:rsidR="006B2FBD" w:rsidRPr="006B2FBD" w:rsidRDefault="006B2FBD" w:rsidP="00CF2B3D">
      <w:pPr>
        <w:pStyle w:val="ATHeading3"/>
      </w:pPr>
      <w:r w:rsidRPr="006B2FBD">
        <w:lastRenderedPageBreak/>
        <w:t>16. Euroopa Parlamendi 7. mai 2025. aasta otsus Innovatiivse Tervishoiu Algatuse Ühisettevõtte 2023. aasta raamatupidamiskontode sulgemise kohta (2024/2031(DEC))</w:t>
      </w:r>
    </w:p>
    <w:p w14:paraId="05F2A63F"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409FDC8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Innovatiivse Tervishoiu Algatuse Ühisettevõtte 2023. aasta lõplikku raamatupidamisaruannet,</w:t>
      </w:r>
    </w:p>
    <w:p w14:paraId="4FDD1E9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91"/>
      </w:r>
      <w:r w:rsidRPr="006B2FBD">
        <w:rPr>
          <w:kern w:val="2"/>
          <w14:ligatures w14:val="standardContextual"/>
        </w:rPr>
        <w:t>,</w:t>
      </w:r>
    </w:p>
    <w:p w14:paraId="70EB22A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92"/>
      </w:r>
      <w:r w:rsidRPr="006B2FBD">
        <w:rPr>
          <w:kern w:val="2"/>
          <w14:ligatures w14:val="standardContextual"/>
        </w:rPr>
        <w:t xml:space="preserve"> 2023. aasta raamatupidamiskontode usaldatavuse ja nende aluseks olevate tehingute seaduslikkuse ja korrektsuse kohta,</w:t>
      </w:r>
    </w:p>
    <w:p w14:paraId="079D496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816655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4E3986E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93"/>
      </w:r>
      <w:r w:rsidRPr="006B2FBD">
        <w:rPr>
          <w:kern w:val="2"/>
          <w14:ligatures w14:val="standardContextual"/>
        </w:rPr>
        <w:t>, eriti selle artiklit 71,</w:t>
      </w:r>
    </w:p>
    <w:p w14:paraId="0FFA1C4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94"/>
      </w:r>
      <w:r w:rsidRPr="006B2FBD">
        <w:rPr>
          <w:kern w:val="2"/>
          <w14:ligatures w14:val="standardContextual"/>
        </w:rPr>
        <w:t>, eriti selle artiklit 71,</w:t>
      </w:r>
    </w:p>
    <w:p w14:paraId="091B6BA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95"/>
      </w:r>
      <w:r w:rsidRPr="006B2FBD">
        <w:rPr>
          <w:kern w:val="2"/>
          <w14:ligatures w14:val="standardContextual"/>
        </w:rPr>
        <w:t>, eriti selle artiklit 26,</w:t>
      </w:r>
    </w:p>
    <w:p w14:paraId="7BFE487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96"/>
      </w:r>
      <w:r w:rsidRPr="006B2FBD">
        <w:rPr>
          <w:kern w:val="2"/>
          <w14:ligatures w14:val="standardContextual"/>
        </w:rPr>
        <w:t>,</w:t>
      </w:r>
    </w:p>
    <w:p w14:paraId="652F437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613D043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7CD7FB8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4D9A82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Innovatiivse Tervishoiu Algatuse Ühisettevõtte 2023. aasta raamatupidamiskontode sulgemisele;</w:t>
      </w:r>
    </w:p>
    <w:p w14:paraId="2D1419D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Innovatiivse Tervishoiu Algatuse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772F04E5"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61DBB834" w14:textId="1BE36140" w:rsidR="006B2FBD" w:rsidRPr="006B2FBD" w:rsidRDefault="006B2FBD" w:rsidP="00CF2B3D">
      <w:pPr>
        <w:pStyle w:val="ATHeading3"/>
      </w:pPr>
      <w:r w:rsidRPr="006B2FBD">
        <w:lastRenderedPageBreak/>
        <w:t>17. Euroopa Parlamendi 7. mai 2025. aasta otsus Kiipide Ühisettevõtte (enne 21. septembrit 2023 Peamiste Digitehnoloogiate Ühisettevõte) 2023. aasta eelarve täitmisele heakskiidu andmise kohta (2024/2031(DEC))</w:t>
      </w:r>
    </w:p>
    <w:p w14:paraId="738F3FF0"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5B132D4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Kiipide Ühisettevõtte 2023. aasta lõplikku raamatupidamisaruannet,</w:t>
      </w:r>
    </w:p>
    <w:p w14:paraId="09BD44C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97"/>
      </w:r>
      <w:r w:rsidRPr="006B2FBD">
        <w:rPr>
          <w:kern w:val="2"/>
          <w14:ligatures w14:val="standardContextual"/>
        </w:rPr>
        <w:t>,</w:t>
      </w:r>
    </w:p>
    <w:p w14:paraId="3D04586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98"/>
      </w:r>
      <w:r w:rsidRPr="006B2FBD">
        <w:rPr>
          <w:kern w:val="2"/>
          <w14:ligatures w14:val="standardContextual"/>
        </w:rPr>
        <w:t xml:space="preserve"> 2023. aasta raamatupidamiskontode usaldatavuse ja nende aluseks olevate tehingute seaduslikkuse ja korrektsuse kohta,</w:t>
      </w:r>
    </w:p>
    <w:p w14:paraId="6AC0B75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7E4686D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72AF676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99"/>
      </w:r>
      <w:r w:rsidRPr="006B2FBD">
        <w:rPr>
          <w:kern w:val="2"/>
          <w14:ligatures w14:val="standardContextual"/>
        </w:rPr>
        <w:t xml:space="preserve"> eriti selle artiklit 71,</w:t>
      </w:r>
    </w:p>
    <w:p w14:paraId="4E1DD18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00"/>
      </w:r>
      <w:r w:rsidRPr="006B2FBD">
        <w:rPr>
          <w:kern w:val="2"/>
          <w14:ligatures w14:val="standardContextual"/>
        </w:rPr>
        <w:t xml:space="preserve"> eriti selle artiklit 71,</w:t>
      </w:r>
    </w:p>
    <w:p w14:paraId="68FBE11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01"/>
      </w:r>
      <w:r w:rsidRPr="006B2FBD">
        <w:rPr>
          <w:kern w:val="2"/>
          <w14:ligatures w14:val="standardContextual"/>
        </w:rPr>
        <w:t xml:space="preserve"> eriti selle artiklit 26,</w:t>
      </w:r>
    </w:p>
    <w:p w14:paraId="21F6056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25. juuli 2023. aasta määrust (EL) 2023/1782, millega muudetakse määrust (EL) 2021/2085 (millega luuakse ühisettevõtted programmi „Euroopa horisont“ raames) seoses kiipide ühisettevõttega</w:t>
      </w:r>
      <w:r w:rsidRPr="006B2FBD">
        <w:rPr>
          <w:kern w:val="2"/>
          <w:vertAlign w:val="superscript"/>
          <w14:ligatures w14:val="standardContextual"/>
        </w:rPr>
        <w:footnoteReference w:id="102"/>
      </w:r>
      <w:r w:rsidRPr="006B2FBD">
        <w:rPr>
          <w:kern w:val="2"/>
          <w14:ligatures w14:val="standardContextual"/>
        </w:rPr>
        <w:t>,</w:t>
      </w:r>
    </w:p>
    <w:p w14:paraId="763AB53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komisjoni 13. märtsi 2019. aasta delegeeritud määrust (EL) 2019/887 Euroopa Parlamendi ja nõukogu määruse (EL, Euratom) 2018/1046 artiklis 71 osutatud </w:t>
      </w:r>
      <w:r w:rsidRPr="006B2FBD">
        <w:rPr>
          <w:kern w:val="2"/>
          <w14:ligatures w14:val="standardContextual"/>
        </w:rPr>
        <w:lastRenderedPageBreak/>
        <w:t>avaliku ja erasektori partnerlusel põhinevate asutuste näidisfinantsmääruse kohta</w:t>
      </w:r>
      <w:r w:rsidRPr="006B2FBD">
        <w:rPr>
          <w:kern w:val="2"/>
          <w:vertAlign w:val="superscript"/>
          <w14:ligatures w14:val="standardContextual"/>
        </w:rPr>
        <w:footnoteReference w:id="103"/>
      </w:r>
      <w:r w:rsidRPr="006B2FBD">
        <w:rPr>
          <w:kern w:val="2"/>
          <w14:ligatures w14:val="standardContextual"/>
        </w:rPr>
        <w:t>,</w:t>
      </w:r>
    </w:p>
    <w:p w14:paraId="45469C3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40E34AB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6AB6F1F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76CE77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Kiipide Ühisettevõtte tegevdirektori tegevusele ühisettevõtte 2023. aasta eelarve täitmisel;</w:t>
      </w:r>
    </w:p>
    <w:p w14:paraId="77F7D70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7A0126D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Kiipide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193C1DB0"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324BAE19" w14:textId="7D16986E" w:rsidR="006B2FBD" w:rsidRPr="006B2FBD" w:rsidRDefault="006B2FBD" w:rsidP="00CF2B3D">
      <w:pPr>
        <w:pStyle w:val="ATHeading3"/>
      </w:pPr>
      <w:r w:rsidRPr="006B2FBD">
        <w:lastRenderedPageBreak/>
        <w:t>18. Euroopa Parlamendi 7. mai 2025. aasta otsus Kiipide Ühisettevõtte (enne 21. septembrit 2023 Peamiste Digitehnoloogiate Ühisettevõte) 2023. aasta raamatupidamiskontode sulgemise kohta (2024/2031(DEC))</w:t>
      </w:r>
    </w:p>
    <w:p w14:paraId="24FFBF01"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13AC3C4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Kiipide Ühisettevõtte 2023. aasta lõplikku raamatupidamisaruannet,</w:t>
      </w:r>
    </w:p>
    <w:p w14:paraId="5192098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04"/>
      </w:r>
      <w:r w:rsidRPr="006B2FBD">
        <w:rPr>
          <w:kern w:val="2"/>
          <w14:ligatures w14:val="standardContextual"/>
        </w:rPr>
        <w:t>,</w:t>
      </w:r>
    </w:p>
    <w:p w14:paraId="6A84325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05"/>
      </w:r>
      <w:r w:rsidRPr="006B2FBD">
        <w:rPr>
          <w:kern w:val="2"/>
          <w14:ligatures w14:val="standardContextual"/>
        </w:rPr>
        <w:t xml:space="preserve"> 2023. aasta raamatupidamiskontode usaldatavuse ja nende aluseks olevate tehingute seaduslikkuse ja korrektsuse kohta,</w:t>
      </w:r>
    </w:p>
    <w:p w14:paraId="6C8B490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367E930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30DC220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06"/>
      </w:r>
      <w:r w:rsidRPr="006B2FBD">
        <w:rPr>
          <w:kern w:val="2"/>
          <w14:ligatures w14:val="standardContextual"/>
        </w:rPr>
        <w:t>, eriti selle artiklit 71,</w:t>
      </w:r>
    </w:p>
    <w:p w14:paraId="08124B4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07"/>
      </w:r>
      <w:r w:rsidRPr="006B2FBD">
        <w:rPr>
          <w:kern w:val="2"/>
          <w14:ligatures w14:val="standardContextual"/>
        </w:rPr>
        <w:t>, eriti selle artiklit 71,</w:t>
      </w:r>
    </w:p>
    <w:p w14:paraId="40DD8E8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08"/>
      </w:r>
      <w:r w:rsidRPr="006B2FBD">
        <w:rPr>
          <w:kern w:val="2"/>
          <w14:ligatures w14:val="standardContextual"/>
        </w:rPr>
        <w:t>, eriti selle artiklit 26,</w:t>
      </w:r>
    </w:p>
    <w:p w14:paraId="0EB16DF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25. juuli 2023. aasta määrust (EL) 2023/1782, millega muudetakse määrust (EL) 2021/2085 (millega luuakse ühisettevõtted programmi „Euroopa horisont“ raames) seoses kiipide ühisettevõttega</w:t>
      </w:r>
      <w:r w:rsidRPr="006B2FBD">
        <w:rPr>
          <w:kern w:val="2"/>
          <w:vertAlign w:val="superscript"/>
          <w14:ligatures w14:val="standardContextual"/>
        </w:rPr>
        <w:footnoteReference w:id="109"/>
      </w:r>
      <w:r w:rsidRPr="006B2FBD">
        <w:rPr>
          <w:kern w:val="2"/>
          <w14:ligatures w14:val="standardContextual"/>
        </w:rPr>
        <w:t>,</w:t>
      </w:r>
    </w:p>
    <w:p w14:paraId="47D47AE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komisjoni 13. märtsi 2019. aasta delegeeritud määrust (EL) 2019/887 Euroopa Parlamendi ja nõukogu määruse (EL, Euratom) 2018/1046 artiklis 71 osutatud </w:t>
      </w:r>
      <w:r w:rsidRPr="006B2FBD">
        <w:rPr>
          <w:kern w:val="2"/>
          <w14:ligatures w14:val="standardContextual"/>
        </w:rPr>
        <w:lastRenderedPageBreak/>
        <w:t>avaliku ja erasektori partnerlusel põhinevate asutuste näidisfinantsmääruse kohta</w:t>
      </w:r>
      <w:r w:rsidRPr="006B2FBD">
        <w:rPr>
          <w:kern w:val="2"/>
          <w:vertAlign w:val="superscript"/>
          <w14:ligatures w14:val="standardContextual"/>
        </w:rPr>
        <w:footnoteReference w:id="110"/>
      </w:r>
      <w:r w:rsidRPr="006B2FBD">
        <w:rPr>
          <w:kern w:val="2"/>
          <w14:ligatures w14:val="standardContextual"/>
        </w:rPr>
        <w:t>,</w:t>
      </w:r>
    </w:p>
    <w:p w14:paraId="3D7C493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64116D2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transpordi- ja turismikomisjoni arvamust,</w:t>
      </w:r>
    </w:p>
    <w:p w14:paraId="0B95C83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C2EA54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Kiipide Ühisettevõtte 2023. aasta raamatupidamiskontode sulgemisele;</w:t>
      </w:r>
    </w:p>
    <w:p w14:paraId="74881AB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Kiipide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2476C577"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7B8222FE" w14:textId="66E2BF67" w:rsidR="006B2FBD" w:rsidRPr="006B2FBD" w:rsidRDefault="006B2FBD" w:rsidP="00CF2B3D">
      <w:pPr>
        <w:pStyle w:val="ATHeading3"/>
      </w:pPr>
      <w:r w:rsidRPr="006B2FBD">
        <w:lastRenderedPageBreak/>
        <w:t>19. Euroopa Parlamendi 7. mai 2025. aasta otsus Euroopa Lennuliikluse Uue Põlvkonna Juhtimissüsteemi (SESAR) Arendava Kolmanda Ühisettevõtte 2023. aasta eelarve täitmisele heakskiidu andmise kohta (2024/2031(DEC))</w:t>
      </w:r>
    </w:p>
    <w:p w14:paraId="22B03980"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7D1BA79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Lennuliikluse Uue Põlvkonna Juhtimissüsteemi (SESAR) Arendava Kolmanda Ühisettevõtte 2023. aasta lõplikku raamatupidamisaruannet,</w:t>
      </w:r>
    </w:p>
    <w:p w14:paraId="28F8BD0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11"/>
      </w:r>
      <w:r w:rsidRPr="006B2FBD">
        <w:rPr>
          <w:kern w:val="2"/>
          <w14:ligatures w14:val="standardContextual"/>
        </w:rPr>
        <w:t>,</w:t>
      </w:r>
    </w:p>
    <w:p w14:paraId="6978442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12"/>
      </w:r>
      <w:r w:rsidRPr="006B2FBD">
        <w:rPr>
          <w:kern w:val="2"/>
          <w14:ligatures w14:val="standardContextual"/>
        </w:rPr>
        <w:t xml:space="preserve"> 2023. aasta raamatupidamiskontode usaldatavuse ja nende aluseks olevate tehingute seaduslikkuse ja korrektsuse kohta,</w:t>
      </w:r>
    </w:p>
    <w:p w14:paraId="45DB761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0F4F3099"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6C080CE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13"/>
      </w:r>
      <w:r w:rsidRPr="006B2FBD">
        <w:rPr>
          <w:kern w:val="2"/>
          <w14:ligatures w14:val="standardContextual"/>
        </w:rPr>
        <w:t>, eriti selle artiklit 71,</w:t>
      </w:r>
    </w:p>
    <w:p w14:paraId="0BE5253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14"/>
      </w:r>
      <w:r w:rsidRPr="006B2FBD">
        <w:rPr>
          <w:kern w:val="2"/>
          <w14:ligatures w14:val="standardContextual"/>
        </w:rPr>
        <w:t>, eriti selle artiklit 71,</w:t>
      </w:r>
    </w:p>
    <w:p w14:paraId="70D244B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15"/>
      </w:r>
      <w:r w:rsidRPr="006B2FBD">
        <w:rPr>
          <w:kern w:val="2"/>
          <w14:ligatures w14:val="standardContextual"/>
        </w:rPr>
        <w:t>, eriti selle artiklit 26,</w:t>
      </w:r>
    </w:p>
    <w:p w14:paraId="4DA3ED9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16"/>
      </w:r>
      <w:r w:rsidRPr="006B2FBD">
        <w:rPr>
          <w:kern w:val="2"/>
          <w14:ligatures w14:val="standardContextual"/>
        </w:rPr>
        <w:t>,</w:t>
      </w:r>
    </w:p>
    <w:p w14:paraId="24DF69B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29E673F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08FC455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50FDF12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Lennuliikluse Uue Põlvkonna Juhtimissüsteemi (SESAR) Arendava Kolmanda Ühisettevõtte tegevdirektori tegevusele ühisettevõtte 2023. aasta eelarve täitmisel;</w:t>
      </w:r>
    </w:p>
    <w:p w14:paraId="391A36D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3DB7D59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Euroopa Lennuliikluse Uue Põlvkonna Juhtimissüsteemi (SESAR) Arendava Kolmanda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5089CDC2"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51A76564" w14:textId="23D5AD9C" w:rsidR="006B2FBD" w:rsidRPr="006B2FBD" w:rsidRDefault="006B2FBD" w:rsidP="00CF2B3D">
      <w:pPr>
        <w:pStyle w:val="ATHeading3"/>
      </w:pPr>
      <w:r w:rsidRPr="006B2FBD">
        <w:lastRenderedPageBreak/>
        <w:t>20. Euroopa Parlamendi 7. mai 2025. aasta otsus Euroopa Lennuliikluse Uue Põlvkonna Juhtimissüsteemi (SESAR) Arendava Kolmanda Ühisettevõtte 2023. aasta raamatupidamiskontode sulgemise kohta (2024/2031(DEC))</w:t>
      </w:r>
    </w:p>
    <w:p w14:paraId="3EDD7802"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22C5505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Lennuliikluse Uue Põlvkonna Juhtimissüsteemi (SESAR) Arendava Kolmanda Ühisettevõtte 2023. aasta lõplikku raamatupidamisaruannet,</w:t>
      </w:r>
    </w:p>
    <w:p w14:paraId="06A8CE6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17"/>
      </w:r>
      <w:r w:rsidRPr="006B2FBD">
        <w:rPr>
          <w:kern w:val="2"/>
          <w14:ligatures w14:val="standardContextual"/>
        </w:rPr>
        <w:t>,</w:t>
      </w:r>
    </w:p>
    <w:p w14:paraId="1502743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18"/>
      </w:r>
      <w:r w:rsidRPr="006B2FBD">
        <w:rPr>
          <w:kern w:val="2"/>
          <w14:ligatures w14:val="standardContextual"/>
        </w:rPr>
        <w:t xml:space="preserve"> 2023. aasta raamatupidamiskontode usaldatavuse ja nende aluseks olevate tehingute seaduslikkuse ja korrektsuse kohta,</w:t>
      </w:r>
    </w:p>
    <w:p w14:paraId="1A307FE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51A77D4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217F28F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19"/>
      </w:r>
      <w:r w:rsidRPr="006B2FBD">
        <w:rPr>
          <w:kern w:val="2"/>
          <w14:ligatures w14:val="standardContextual"/>
        </w:rPr>
        <w:t>, eriti selle artiklit 71,</w:t>
      </w:r>
    </w:p>
    <w:p w14:paraId="2653BA2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20"/>
      </w:r>
      <w:r w:rsidRPr="006B2FBD">
        <w:rPr>
          <w:kern w:val="2"/>
          <w14:ligatures w14:val="standardContextual"/>
        </w:rPr>
        <w:t>, eriti selle artiklit 71,</w:t>
      </w:r>
    </w:p>
    <w:p w14:paraId="7519B1B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21"/>
      </w:r>
      <w:r w:rsidRPr="006B2FBD">
        <w:rPr>
          <w:kern w:val="2"/>
          <w14:ligatures w14:val="standardContextual"/>
        </w:rPr>
        <w:t>, eriti selle artiklit 26,</w:t>
      </w:r>
    </w:p>
    <w:p w14:paraId="75C3151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22"/>
      </w:r>
      <w:r w:rsidRPr="006B2FBD">
        <w:rPr>
          <w:kern w:val="2"/>
          <w14:ligatures w14:val="standardContextual"/>
        </w:rPr>
        <w:t>,</w:t>
      </w:r>
    </w:p>
    <w:p w14:paraId="580BFC8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5EE3884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59F0FA3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CBB0C2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Euroopa Lennuliikluse Uue Põlvkonna Juhtimissüsteemi (SESAR) Arendava Kolmanda Ühisettevõtte 2023. aasta raamatupidamiskontode sulgemisele;</w:t>
      </w:r>
    </w:p>
    <w:p w14:paraId="7ECF2D8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Euroopa Lennuliikluse Uue Põlvkonna Juhtimissüsteemi (SESAR) Arendava Kolmanda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6D11A42C"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58D424FE" w14:textId="5771EF52" w:rsidR="006B2FBD" w:rsidRPr="006B2FBD" w:rsidRDefault="006B2FBD" w:rsidP="00CF2B3D">
      <w:pPr>
        <w:pStyle w:val="ATHeading3"/>
      </w:pPr>
      <w:r w:rsidRPr="006B2FBD">
        <w:lastRenderedPageBreak/>
        <w:t>21. Euroopa Parlamendi 7. mai 2025. aasta otsus Nutivõrkude ja -teenuste Ühisettevõtte 2023. aasta eelarve täitmisele heakskiidu andmise kohta (2024/2031(DEC))</w:t>
      </w:r>
    </w:p>
    <w:p w14:paraId="66BD61DE"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4675D8E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Nutivõrkude ja -teenuste Ühisettevõtte 2023. aasta lõplikku raamatupidamisaruannet,</w:t>
      </w:r>
    </w:p>
    <w:p w14:paraId="320FEEF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23"/>
      </w:r>
      <w:r w:rsidRPr="006B2FBD">
        <w:rPr>
          <w:kern w:val="2"/>
          <w14:ligatures w14:val="standardContextual"/>
        </w:rPr>
        <w:t>,</w:t>
      </w:r>
    </w:p>
    <w:p w14:paraId="284F3EA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24"/>
      </w:r>
      <w:r w:rsidRPr="006B2FBD">
        <w:rPr>
          <w:kern w:val="2"/>
          <w14:ligatures w14:val="standardContextual"/>
        </w:rPr>
        <w:t xml:space="preserve"> 2023. aasta raamatupidamiskontode usaldatavuse ja nende aluseks olevate tehingute seaduslikkuse ja korrektsuse kohta,</w:t>
      </w:r>
    </w:p>
    <w:p w14:paraId="0323DDC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12008D0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3A2E84E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25"/>
      </w:r>
      <w:r w:rsidRPr="006B2FBD">
        <w:rPr>
          <w:kern w:val="2"/>
          <w14:ligatures w14:val="standardContextual"/>
        </w:rPr>
        <w:t>, eriti selle artiklit 71,</w:t>
      </w:r>
    </w:p>
    <w:p w14:paraId="25ACA5F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26"/>
      </w:r>
      <w:r w:rsidRPr="006B2FBD">
        <w:rPr>
          <w:kern w:val="2"/>
          <w14:ligatures w14:val="standardContextual"/>
        </w:rPr>
        <w:t>, eriti selle artiklit 71,</w:t>
      </w:r>
    </w:p>
    <w:p w14:paraId="6B67189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27"/>
      </w:r>
      <w:r w:rsidRPr="006B2FBD">
        <w:rPr>
          <w:kern w:val="2"/>
          <w14:ligatures w14:val="standardContextual"/>
        </w:rPr>
        <w:t>, eriti selle artiklit 26,</w:t>
      </w:r>
    </w:p>
    <w:p w14:paraId="6D2662D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28"/>
      </w:r>
      <w:r w:rsidRPr="006B2FBD">
        <w:rPr>
          <w:kern w:val="2"/>
          <w14:ligatures w14:val="standardContextual"/>
        </w:rPr>
        <w:t>,</w:t>
      </w:r>
    </w:p>
    <w:p w14:paraId="74AACF2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57DA37E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699E8070"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00B2306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Nutivõrkude ja -teenuste Ühisettevõtte tegevdirektori tegevusele ühisettevõtte 2023. aasta eelarve täitmisel;</w:t>
      </w:r>
    </w:p>
    <w:p w14:paraId="4EF72EC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w:t>
      </w:r>
      <w:r w:rsidRPr="006B2FBD">
        <w:rPr>
          <w:kern w:val="2"/>
          <w14:ligatures w14:val="standardContextual"/>
        </w:rPr>
        <w:tab/>
        <w:t>esitab oma tähelepanekud alltoodud resolutsioonis;</w:t>
      </w:r>
    </w:p>
    <w:p w14:paraId="7BCAD9A4"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 xml:space="preserve">teeb presidendile ülesandeks edastada käesolev otsus ja resolutsioon, mis on selle lahutamatu osa, Nutivõrkude ja -teenuste Ühisettevõtte tegevdirektorile, nõukogule, komisjonile ja kontrollikojale ning korraldada nende avaldamine </w:t>
      </w:r>
      <w:r w:rsidRPr="006B2FBD">
        <w:rPr>
          <w:i/>
          <w:kern w:val="2"/>
          <w14:ligatures w14:val="standardContextual"/>
        </w:rPr>
        <w:t>Euroopa Liidu Teatajas</w:t>
      </w:r>
      <w:r w:rsidRPr="006B2FBD">
        <w:rPr>
          <w:kern w:val="2"/>
          <w14:ligatures w14:val="standardContextual"/>
        </w:rPr>
        <w:t xml:space="preserve"> (L-seerias).</w:t>
      </w:r>
    </w:p>
    <w:p w14:paraId="300C6137"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65FA3F8A" w14:textId="48F6F8BA" w:rsidR="006B2FBD" w:rsidRPr="006B2FBD" w:rsidRDefault="006B2FBD" w:rsidP="00CF2B3D">
      <w:pPr>
        <w:pStyle w:val="ATHeading3"/>
      </w:pPr>
      <w:r w:rsidRPr="006B2FBD">
        <w:lastRenderedPageBreak/>
        <w:t>22. Euroopa Parlamendi 7. mai 2025. aasta otsus Nutivõrkude ja -teenuste Ühisettevõtte 2023. aasta raamatupidamiskontode sulgemise kohta (2024/2031(DEC))</w:t>
      </w:r>
    </w:p>
    <w:p w14:paraId="3FE6D063" w14:textId="77777777" w:rsidR="00CF2B3D" w:rsidRPr="006B2FBD" w:rsidRDefault="00CF2B3D" w:rsidP="00CF2B3D">
      <w:pPr>
        <w:spacing w:before="480" w:after="240"/>
        <w:rPr>
          <w:i/>
          <w:kern w:val="2"/>
          <w14:ligatures w14:val="standardContextual"/>
        </w:rPr>
      </w:pPr>
      <w:r w:rsidRPr="006B2FBD">
        <w:rPr>
          <w:i/>
          <w:kern w:val="2"/>
          <w14:ligatures w14:val="standardContextual"/>
        </w:rPr>
        <w:t>Euroopa Parlament,</w:t>
      </w:r>
    </w:p>
    <w:p w14:paraId="4490B6C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Nutivõrkude ja -teenuste Ühisettevõtte 2023. aasta lõplikku raamatupidamisaruannet,</w:t>
      </w:r>
    </w:p>
    <w:p w14:paraId="7EC1FA1D"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kontrollikoja aastaaruannet ELi ühisettevõtete eelarveaasta 2023 kohta koos ühisettevõtete vastustega</w:t>
      </w:r>
      <w:r w:rsidRPr="006B2FBD">
        <w:rPr>
          <w:kern w:val="2"/>
          <w:vertAlign w:val="superscript"/>
          <w14:ligatures w14:val="standardContextual"/>
        </w:rPr>
        <w:footnoteReference w:id="129"/>
      </w:r>
      <w:r w:rsidRPr="006B2FBD">
        <w:rPr>
          <w:kern w:val="2"/>
          <w14:ligatures w14:val="standardContextual"/>
        </w:rPr>
        <w:t>,</w:t>
      </w:r>
    </w:p>
    <w:p w14:paraId="72A51F5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vastavalt Euroopa Liidu toimimise lepingu artiklile 287 tehtud kontrollikoja kinnitavat avaldust</w:t>
      </w:r>
      <w:r w:rsidRPr="006B2FBD">
        <w:rPr>
          <w:kern w:val="2"/>
          <w:vertAlign w:val="superscript"/>
          <w14:ligatures w14:val="standardContextual"/>
        </w:rPr>
        <w:footnoteReference w:id="130"/>
      </w:r>
      <w:r w:rsidRPr="006B2FBD">
        <w:rPr>
          <w:kern w:val="2"/>
          <w14:ligatures w14:val="standardContextual"/>
        </w:rPr>
        <w:t xml:space="preserve"> 2023. aasta raamatupidamiskontode usaldatavuse ja nende aluseks olevate tehingute seaduslikkuse ja korrektsuse kohta,</w:t>
      </w:r>
    </w:p>
    <w:p w14:paraId="43B07A1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17. veebruari 2025. aasta soovitust ühisettevõtte tegevusele heakskiidu andmise kohta 2023. aasta eelarve täitmisel (05757/2025 – C10</w:t>
      </w:r>
      <w:r w:rsidRPr="006B2FBD">
        <w:rPr>
          <w:kern w:val="2"/>
          <w14:ligatures w14:val="standardContextual"/>
        </w:rPr>
        <w:noBreakHyphen/>
        <w:t>0025/2025),</w:t>
      </w:r>
    </w:p>
    <w:p w14:paraId="6447A4D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Euroopa Liidu toimimise lepingu artiklit 319,</w:t>
      </w:r>
    </w:p>
    <w:p w14:paraId="2B8B643C"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18. juuli 2018. aasta määrust (EL, Euratom) 2018/1046 (mis käsitleb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B2FBD">
        <w:rPr>
          <w:kern w:val="2"/>
          <w:vertAlign w:val="superscript"/>
          <w14:ligatures w14:val="standardContextual"/>
        </w:rPr>
        <w:footnoteReference w:id="131"/>
      </w:r>
      <w:r w:rsidRPr="006B2FBD">
        <w:rPr>
          <w:kern w:val="2"/>
          <w14:ligatures w14:val="standardContextual"/>
        </w:rPr>
        <w:t>, eriti selle artiklit 71,</w:t>
      </w:r>
    </w:p>
    <w:p w14:paraId="1D91180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 xml:space="preserve">võttes arvesse Euroopa Parlamendi ja nõukogu 23. septembri 2024. aasta määrust (EL, Euratom) 2024/2509, mis käsitleb Euroopa Liidu </w:t>
      </w:r>
      <w:proofErr w:type="spellStart"/>
      <w:r w:rsidRPr="006B2FBD">
        <w:rPr>
          <w:kern w:val="2"/>
          <w14:ligatures w14:val="standardContextual"/>
        </w:rPr>
        <w:t>üldeelarve</w:t>
      </w:r>
      <w:proofErr w:type="spellEnd"/>
      <w:r w:rsidRPr="006B2FBD">
        <w:rPr>
          <w:kern w:val="2"/>
          <w14:ligatures w14:val="standardContextual"/>
        </w:rPr>
        <w:t xml:space="preserve"> suhtes kohaldatavaid finantsreegleid</w:t>
      </w:r>
      <w:r w:rsidRPr="006B2FBD">
        <w:rPr>
          <w:kern w:val="2"/>
          <w:vertAlign w:val="superscript"/>
          <w14:ligatures w14:val="standardContextual"/>
        </w:rPr>
        <w:footnoteReference w:id="132"/>
      </w:r>
      <w:r w:rsidRPr="006B2FBD">
        <w:rPr>
          <w:kern w:val="2"/>
          <w14:ligatures w14:val="standardContextual"/>
        </w:rPr>
        <w:t>, eriti selle artiklit 71,</w:t>
      </w:r>
    </w:p>
    <w:p w14:paraId="6252BFC5"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6B2FBD">
        <w:rPr>
          <w:kern w:val="2"/>
          <w:vertAlign w:val="superscript"/>
          <w14:ligatures w14:val="standardContextual"/>
        </w:rPr>
        <w:footnoteReference w:id="133"/>
      </w:r>
      <w:r w:rsidRPr="006B2FBD">
        <w:rPr>
          <w:kern w:val="2"/>
          <w14:ligatures w14:val="standardContextual"/>
        </w:rPr>
        <w:t>, eriti selle artiklit 26,</w:t>
      </w:r>
    </w:p>
    <w:p w14:paraId="1B93C78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komisjoni 13. märtsi 2019. aasta delegeeritud määrust (EL) 2019/887 Euroopa Parlamendi ja nõukogu määruse (EL, Euratom) 2018/1046 artiklis 71 osutatud avaliku ja erasektori partnerlusel põhinevate asutuste näidisfinantsmääruse kohta</w:t>
      </w:r>
      <w:r w:rsidRPr="006B2FBD">
        <w:rPr>
          <w:kern w:val="2"/>
          <w:vertAlign w:val="superscript"/>
          <w14:ligatures w14:val="standardContextual"/>
        </w:rPr>
        <w:footnoteReference w:id="134"/>
      </w:r>
      <w:r w:rsidRPr="006B2FBD">
        <w:rPr>
          <w:kern w:val="2"/>
          <w14:ligatures w14:val="standardContextual"/>
        </w:rPr>
        <w:t>,</w:t>
      </w:r>
    </w:p>
    <w:p w14:paraId="0F5958A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kodukorra artiklit 102 ja V lisa,</w:t>
      </w:r>
    </w:p>
    <w:p w14:paraId="71AB1918"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lastRenderedPageBreak/>
        <w:t>–</w:t>
      </w:r>
      <w:r w:rsidRPr="006B2FBD">
        <w:rPr>
          <w:kern w:val="2"/>
          <w14:ligatures w14:val="standardContextual"/>
        </w:rPr>
        <w:tab/>
        <w:t>võttes arvesse transpordi- ja turismikomisjoni arvamust,</w:t>
      </w:r>
    </w:p>
    <w:p w14:paraId="4BEE956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w:t>
      </w:r>
      <w:r w:rsidRPr="006B2FBD">
        <w:rPr>
          <w:kern w:val="2"/>
          <w14:ligatures w14:val="standardContextual"/>
        </w:rPr>
        <w:tab/>
        <w:t>võttes arvesse eelarvekontrollikomisjoni raportit (A10-0056/2025),</w:t>
      </w:r>
    </w:p>
    <w:p w14:paraId="1AE712B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w:t>
      </w:r>
      <w:r w:rsidRPr="006B2FBD">
        <w:rPr>
          <w:kern w:val="2"/>
          <w14:ligatures w14:val="standardContextual"/>
        </w:rPr>
        <w:tab/>
        <w:t>annab heakskiidu Nutivõrkude ja -teenuste Ühisettevõtte 2023. aasta raamatupidamiskontode sulgemisele;</w:t>
      </w:r>
    </w:p>
    <w:p w14:paraId="2DC514ED" w14:textId="77777777" w:rsidR="006B2FBD" w:rsidRPr="006B2FBD" w:rsidRDefault="006B2FBD" w:rsidP="006B2FBD">
      <w:pPr>
        <w:ind w:left="567" w:hanging="567"/>
        <w:rPr>
          <w:kern w:val="2"/>
          <w14:ligatures w14:val="standardContextual"/>
        </w:rPr>
      </w:pPr>
      <w:r w:rsidRPr="006B2FBD">
        <w:rPr>
          <w:kern w:val="2"/>
          <w14:ligatures w14:val="standardContextual"/>
        </w:rPr>
        <w:t>2.</w:t>
      </w:r>
      <w:r w:rsidRPr="006B2FBD">
        <w:rPr>
          <w:kern w:val="2"/>
          <w14:ligatures w14:val="standardContextual"/>
        </w:rPr>
        <w:tab/>
        <w:t xml:space="preserve">teeb presidendile ülesandeks edastada käesolev otsus Nutivõrkude ja -teenuste Ühisettevõtte tegevdirektorile, nõukogule, komisjonile ja kontrollikojale ning korraldada selle avaldamine </w:t>
      </w:r>
      <w:r w:rsidRPr="006B2FBD">
        <w:rPr>
          <w:i/>
          <w:kern w:val="2"/>
          <w14:ligatures w14:val="standardContextual"/>
        </w:rPr>
        <w:t>Euroopa Liidu Teatajas</w:t>
      </w:r>
      <w:r w:rsidRPr="006B2FBD">
        <w:rPr>
          <w:kern w:val="2"/>
          <w14:ligatures w14:val="standardContextual"/>
        </w:rPr>
        <w:t xml:space="preserve"> (L-seerias).</w:t>
      </w:r>
    </w:p>
    <w:p w14:paraId="7CC08EE7" w14:textId="77777777" w:rsidR="006B2FBD" w:rsidRPr="006B2FBD" w:rsidRDefault="006B2FBD" w:rsidP="006B2FBD">
      <w:pPr>
        <w:widowControl/>
        <w:jc w:val="both"/>
        <w:rPr>
          <w:rFonts w:eastAsia="Aptos"/>
          <w:kern w:val="2"/>
          <w:szCs w:val="24"/>
          <w:lang w:eastAsia="en-US"/>
          <w14:ligatures w14:val="standardContextual"/>
        </w:rPr>
        <w:sectPr w:rsidR="006B2FBD" w:rsidRPr="006B2FBD" w:rsidSect="006B2FBD">
          <w:footnotePr>
            <w:numRestart w:val="eachSect"/>
          </w:footnotePr>
          <w:pgSz w:w="11906" w:h="16838"/>
          <w:pgMar w:top="1440" w:right="1440" w:bottom="1440" w:left="1440" w:header="708" w:footer="708" w:gutter="0"/>
          <w:cols w:space="708"/>
          <w:docGrid w:linePitch="360"/>
        </w:sectPr>
      </w:pPr>
    </w:p>
    <w:p w14:paraId="023726B6" w14:textId="77777777" w:rsidR="006B2FBD" w:rsidRPr="006B2FBD" w:rsidRDefault="006B2FBD" w:rsidP="006B2FBD">
      <w:pPr>
        <w:pStyle w:val="ATHeading3"/>
      </w:pPr>
      <w:r w:rsidRPr="006B2FBD">
        <w:lastRenderedPageBreak/>
        <w:t>23. Euroopa Parlamendi 7. mai 2025. aasta resolutsioon tähelepanekutega, mis on Euroopa Liidu ühisettevõtete 2023. aasta eelarve täitmisele heakskiidu andmist käsitlevate otsuste lahutamatu osa (2024/2031(DEC))</w:t>
      </w:r>
    </w:p>
    <w:p w14:paraId="18D4D216" w14:textId="45CDC0D2" w:rsidR="006B2FBD" w:rsidRPr="006B2FBD" w:rsidRDefault="006B2FBD" w:rsidP="006B2FBD">
      <w:pPr>
        <w:spacing w:before="480" w:after="240"/>
        <w:rPr>
          <w:i/>
          <w:kern w:val="2"/>
          <w14:ligatures w14:val="standardContextual"/>
        </w:rPr>
      </w:pPr>
      <w:r w:rsidRPr="006B2FBD">
        <w:rPr>
          <w:i/>
          <w:kern w:val="2"/>
          <w14:ligatures w14:val="standardContextual"/>
        </w:rPr>
        <w:t>Euroopa Parlament</w:t>
      </w:r>
      <w:r w:rsidRPr="006B2FBD">
        <w:rPr>
          <w:i/>
          <w:kern w:val="2"/>
          <w14:ligatures w14:val="standardContextual"/>
        </w:rPr>
        <w:t>,</w:t>
      </w:r>
    </w:p>
    <w:p w14:paraId="378C51CA" w14:textId="62B99A6C"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Keskkonnahoidliku Lennunduse Ühisettevõtte 2023. aasta eelarve täitmisele heakskiidu andmise kohta,</w:t>
      </w:r>
    </w:p>
    <w:p w14:paraId="1D2A7AEA" w14:textId="34B9D570"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Bioressursipõhise Ringmajandusega Euroopa Ühisettevõtte 2023. aasta eelarve täitmisele heakskiidu andmise kohta,</w:t>
      </w:r>
    </w:p>
    <w:p w14:paraId="01BA3642" w14:textId="5B850175"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Saastevaba Vesiniku Ühisettevõtte 2023. aasta eelarve täitmisele heakskiidu andmise kohta,</w:t>
      </w:r>
    </w:p>
    <w:p w14:paraId="5FC02DE2" w14:textId="47D9B69A"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Euroopa Raudtee Ühisettevõtte 2023. aasta eelarve täitmisele heakskiidu andmise kohta,</w:t>
      </w:r>
    </w:p>
    <w:p w14:paraId="6AAD21E0" w14:textId="3A3E4081"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Euroopa kõrgjõudlusega andmetöötluse ühisettevõtte 2023. aasta eelarve täitmisele heakskiidu andmise kohta,</w:t>
      </w:r>
    </w:p>
    <w:p w14:paraId="0EF97900" w14:textId="2C87C42B"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ITERi ja tuumasünteesienergeetika arendamise Euroopa ühisettevõtte 2023. aasta eelarve täitmisele heakskiidu andmise kohta,</w:t>
      </w:r>
    </w:p>
    <w:p w14:paraId="13A3BAB0" w14:textId="3A118BC0"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Ülemaailmse Tervisealgatuse EDCTP3 Ühisettevõtte 2023. aasta eelarve täitmisele heakskiidu andmise kohta,</w:t>
      </w:r>
    </w:p>
    <w:p w14:paraId="0B3DA292" w14:textId="68834A0A"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Innovatiivse Tervishoiu Algatuse Ühisettevõtte 2023. aasta eelarve täitmisele heakskiidu andmise kohta,</w:t>
      </w:r>
    </w:p>
    <w:p w14:paraId="56926A18" w14:textId="48C2E342"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Kiipide Ühisettevõtte 2023. aasta eelarve täitmisele heakskiidu andmise kohta,</w:t>
      </w:r>
    </w:p>
    <w:p w14:paraId="49FCF741" w14:textId="634BAFEB"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Euroopa Lennuliikluse Uue Põlvkonna Juhtimissüsteemi (SESAR) Arendava Kolmanda Ühisettevõtte 2023. aasta eelarve täitmisele heakskiidu</w:t>
      </w:r>
      <w:r>
        <w:rPr>
          <w:kern w:val="2"/>
          <w14:ligatures w14:val="standardContextual"/>
        </w:rPr>
        <w:t xml:space="preserve"> </w:t>
      </w:r>
      <w:r w:rsidR="006B2FBD" w:rsidRPr="006B2FBD">
        <w:rPr>
          <w:kern w:val="2"/>
          <w14:ligatures w14:val="standardContextual"/>
        </w:rPr>
        <w:t>andmise kohta,</w:t>
      </w:r>
    </w:p>
    <w:p w14:paraId="08A65EF8" w14:textId="0AD50210"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oma otsust Nutivõrkude ja -teenuste Ühisettevõtte 2023. aasta eelarve täitmisele heakskiidu andmise kohta,</w:t>
      </w:r>
    </w:p>
    <w:p w14:paraId="71960836" w14:textId="60BB5638"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kodukorra artiklit 102 ja V lisa,</w:t>
      </w:r>
    </w:p>
    <w:p w14:paraId="23C601B2" w14:textId="08C41883"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transpordi- ja turismikomisjoni arvamust,</w:t>
      </w:r>
    </w:p>
    <w:p w14:paraId="7E3BC9B9" w14:textId="51A53C26" w:rsidR="006B2FBD" w:rsidRPr="006B2FBD" w:rsidRDefault="00CF2B3D" w:rsidP="006B2FBD">
      <w:pPr>
        <w:spacing w:after="240"/>
        <w:ind w:left="567" w:hanging="567"/>
        <w:rPr>
          <w:kern w:val="2"/>
          <w14:ligatures w14:val="standardContextual"/>
        </w:rPr>
      </w:pPr>
      <w:r w:rsidRPr="006B2FBD">
        <w:rPr>
          <w:kern w:val="2"/>
          <w14:ligatures w14:val="standardContextual"/>
        </w:rPr>
        <w:t>–</w:t>
      </w:r>
      <w:r w:rsidR="006B2FBD" w:rsidRPr="006B2FBD">
        <w:rPr>
          <w:kern w:val="2"/>
          <w14:ligatures w14:val="standardContextual"/>
        </w:rPr>
        <w:tab/>
        <w:t>võttes arvesse eelarvekontrollikomisjoni raportit (A10-0056/2025),</w:t>
      </w:r>
    </w:p>
    <w:p w14:paraId="56B6CA06"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A.</w:t>
      </w:r>
      <w:r w:rsidRPr="006B2FBD">
        <w:rPr>
          <w:kern w:val="2"/>
          <w14:ligatures w14:val="standardContextual"/>
        </w:rPr>
        <w:tab/>
        <w:t xml:space="preserve">arvestades, et Euroopa Lennuliikluse Uue Põlvkonna Juhtimissüsteemi (SESAR) Arendav Kolmas Ühisettevõte, Keskkonnahoidliku Lennunduse Ühisettevõte, Innovatiivse Tervishoiu Algatuse Ühisettevõte, Saastevaba Vesiniku Ühisettevõte, Bioressursipõhise Ringmajandusega Euroopa Ühisettevõte, Euroopa Raudtee Ühisettevõte, Nutivõrkude ja -teenuste Ühisettevõte ning Ülemaailmse Tervisealgatuse </w:t>
      </w:r>
      <w:r w:rsidRPr="006B2FBD">
        <w:rPr>
          <w:kern w:val="2"/>
          <w14:ligatures w14:val="standardContextual"/>
        </w:rPr>
        <w:lastRenderedPageBreak/>
        <w:t>EDCTP3 Ühisettevõte loodi nõukogu määrusega (EL) 2021/2085, </w:t>
      </w:r>
      <w:r w:rsidRPr="006B2FBD">
        <w:rPr>
          <w:kern w:val="2"/>
          <w:vertAlign w:val="superscript"/>
          <w14:ligatures w14:val="standardContextual"/>
        </w:rPr>
        <w:footnoteReference w:id="135"/>
      </w:r>
      <w:r w:rsidRPr="006B2FBD">
        <w:rPr>
          <w:kern w:val="2"/>
          <w14:ligatures w14:val="standardContextual"/>
        </w:rPr>
        <w:t xml:space="preserve"> millega luuakse ühisettevõtted programmi „Euroopa horisont“ raames ning tunnistatakse kehtetuks määrused (EÜ) nr 219/2007, (EL) nr 557/2014, (EL) nr 558/2014, (EL) nr 559/2014, (EL) nr 560/2014, (EL) nr 561/2014 ja (EL) nr 642/2014, kusjuures viimasele viidatakse kui ühtsele põhiõigusaktile;</w:t>
      </w:r>
    </w:p>
    <w:p w14:paraId="3D711FEC"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B.</w:t>
      </w:r>
      <w:r w:rsidRPr="006B2FBD">
        <w:rPr>
          <w:kern w:val="2"/>
          <w14:ligatures w14:val="standardContextual"/>
        </w:rPr>
        <w:tab/>
        <w:t>arvestades, et Peamiste Digitehnoloogiate Ühisettevõte loodi määrusega (EL) 2021/2085; arvestades, et Peamiste Digitehnoloogiate Ühisettevõte muudeti 2023. aasta juulis Kiipide Ühisettevõtteks vastavalt nõukogu määrusele (EL) 2023/1782 </w:t>
      </w:r>
      <w:r w:rsidRPr="006B2FBD">
        <w:rPr>
          <w:kern w:val="2"/>
          <w:vertAlign w:val="superscript"/>
          <w14:ligatures w14:val="standardContextual"/>
        </w:rPr>
        <w:footnoteReference w:id="136"/>
      </w:r>
      <w:r w:rsidRPr="006B2FBD">
        <w:rPr>
          <w:kern w:val="2"/>
          <w14:ligatures w14:val="standardContextual"/>
        </w:rPr>
        <w:t>;</w:t>
      </w:r>
    </w:p>
    <w:p w14:paraId="37E26F1C"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C.</w:t>
      </w:r>
      <w:r w:rsidRPr="006B2FBD">
        <w:rPr>
          <w:kern w:val="2"/>
          <w14:ligatures w14:val="standardContextual"/>
        </w:rPr>
        <w:tab/>
        <w:t>arvestades, et ITERi ja tuumasünteesienergeetika arendamise Euroopa ühisettevõte loodi 2007. aasta aprillis nõukogu otsusega 2007/198/Euratom </w:t>
      </w:r>
      <w:r w:rsidRPr="006B2FBD">
        <w:rPr>
          <w:kern w:val="2"/>
          <w:vertAlign w:val="superscript"/>
          <w14:ligatures w14:val="standardContextual"/>
        </w:rPr>
        <w:footnoteReference w:id="137"/>
      </w:r>
      <w:r w:rsidRPr="006B2FBD">
        <w:rPr>
          <w:kern w:val="2"/>
          <w14:ligatures w14:val="standardContextual"/>
        </w:rPr>
        <w:t>;</w:t>
      </w:r>
    </w:p>
    <w:p w14:paraId="04CD5EDD"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D.</w:t>
      </w:r>
      <w:r w:rsidRPr="006B2FBD">
        <w:rPr>
          <w:kern w:val="2"/>
          <w14:ligatures w14:val="standardContextual"/>
        </w:rPr>
        <w:tab/>
        <w:t>arvestades, et Euroopa kõrgjõudlusega andmetöötluse ühisettevõte loodi nõukogu määrusega (EL) 2021/1173 </w:t>
      </w:r>
      <w:r w:rsidRPr="006B2FBD">
        <w:rPr>
          <w:kern w:val="2"/>
          <w:vertAlign w:val="superscript"/>
          <w14:ligatures w14:val="standardContextual"/>
        </w:rPr>
        <w:footnoteReference w:id="138"/>
      </w:r>
      <w:r w:rsidRPr="006B2FBD">
        <w:rPr>
          <w:kern w:val="2"/>
          <w14:ligatures w14:val="standardContextual"/>
        </w:rPr>
        <w:t>;</w:t>
      </w:r>
    </w:p>
    <w:p w14:paraId="55BD0805"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E.</w:t>
      </w:r>
      <w:r w:rsidRPr="006B2FBD">
        <w:rPr>
          <w:kern w:val="2"/>
          <w14:ligatures w14:val="standardContextual"/>
        </w:rPr>
        <w:tab/>
        <w:t xml:space="preserve">arvestades, et Euroopa Lennuliikluse Uue Põlvkonna Juhtimissüsteemi (SESAR) Arendav Kolmas Ühisettevõte on avaliku ja erasektori partnerlus, mille eesmärk on arendada Euroopas ajakohastatud lennuliikluse korraldamist ning kiirendada teadusuuringute ja innovatsiooni kaudu algatuse „Digital </w:t>
      </w:r>
      <w:proofErr w:type="spellStart"/>
      <w:r w:rsidRPr="006B2FBD">
        <w:rPr>
          <w:kern w:val="2"/>
          <w14:ligatures w14:val="standardContextual"/>
        </w:rPr>
        <w:t>European</w:t>
      </w:r>
      <w:proofErr w:type="spellEnd"/>
      <w:r w:rsidRPr="006B2FBD">
        <w:rPr>
          <w:kern w:val="2"/>
          <w14:ligatures w14:val="standardContextual"/>
        </w:rPr>
        <w:t xml:space="preserve"> Sky“ elluviimist;</w:t>
      </w:r>
    </w:p>
    <w:p w14:paraId="4FE98973"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F.</w:t>
      </w:r>
      <w:r w:rsidRPr="006B2FBD">
        <w:rPr>
          <w:kern w:val="2"/>
          <w14:ligatures w14:val="standardContextual"/>
        </w:rPr>
        <w:tab/>
        <w:t>arvestades, et Keskkonnahoidliku Lennunduse Ühisettevõte on teadusuuringutele ja innovatsioonile suunatud avaliku ja erasektori partnerlus, et muuta lennundus tulevikus kestlikuks ja kliimaneutraalseks;</w:t>
      </w:r>
    </w:p>
    <w:p w14:paraId="4D4ACE4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G.</w:t>
      </w:r>
      <w:r w:rsidRPr="006B2FBD">
        <w:rPr>
          <w:kern w:val="2"/>
          <w14:ligatures w14:val="standardContextual"/>
        </w:rPr>
        <w:tab/>
        <w:t xml:space="preserve">arvestades, et Innovatiivse Tervishoiu Algatuse Ühisettevõte on avaliku ja erasektori partnerlus, mis keskendub </w:t>
      </w:r>
      <w:proofErr w:type="spellStart"/>
      <w:r w:rsidRPr="006B2FBD">
        <w:rPr>
          <w:kern w:val="2"/>
          <w14:ligatures w14:val="standardContextual"/>
        </w:rPr>
        <w:t>valdkondadevahelistele</w:t>
      </w:r>
      <w:proofErr w:type="spellEnd"/>
      <w:r w:rsidRPr="006B2FBD">
        <w:rPr>
          <w:kern w:val="2"/>
          <w14:ligatures w14:val="standardContextual"/>
        </w:rPr>
        <w:t>, kestlikele ja patsiendikesksetele tervishoiualastele teadusuuringutele ja innovatsioonile;</w:t>
      </w:r>
    </w:p>
    <w:p w14:paraId="49D76669"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H.</w:t>
      </w:r>
      <w:r w:rsidRPr="006B2FBD">
        <w:rPr>
          <w:kern w:val="2"/>
          <w14:ligatures w14:val="standardContextual"/>
        </w:rPr>
        <w:tab/>
        <w:t>arvestades, et Saastevaba Vesiniku Ühisettevõte on kütuseelementide ja vesiniku valdkonnas teadustegevuse ja innovatsiooni alal tegutsev avaliku ja erasektori partnerlusettevõte;</w:t>
      </w:r>
    </w:p>
    <w:p w14:paraId="678098F8"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I.</w:t>
      </w:r>
      <w:r w:rsidRPr="006B2FBD">
        <w:rPr>
          <w:kern w:val="2"/>
          <w14:ligatures w14:val="standardContextual"/>
        </w:rPr>
        <w:tab/>
        <w:t xml:space="preserve">arvestades, et Kiipide Ühisettevõte on avaliku ja erasektori partnerlus, mis keskendub teadusuuringutele ja innovatsioonile selliste peamiste digitehnoloogiate valdkonnas, </w:t>
      </w:r>
      <w:r w:rsidRPr="006B2FBD">
        <w:rPr>
          <w:kern w:val="2"/>
          <w14:ligatures w14:val="standardContextual"/>
        </w:rPr>
        <w:lastRenderedPageBreak/>
        <w:t>mis on olulised Euroopa konkurentsivõimelise juhtpositsiooni jaoks digimajanduses, sealhulgas eelkõige elektroonikakomponentide ja -süsteemide sektoris;</w:t>
      </w:r>
    </w:p>
    <w:p w14:paraId="4B793F3B"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J.</w:t>
      </w:r>
      <w:r w:rsidRPr="006B2FBD">
        <w:rPr>
          <w:kern w:val="2"/>
          <w14:ligatures w14:val="standardContextual"/>
        </w:rPr>
        <w:tab/>
        <w:t xml:space="preserve">arvestades, et Bioressursipõhise Ringmajandusega Euroopa Ühisettevõte on avaliku ja erasektori partnerlus, mis keskendub teadusuuringutele ja innovatsioonile kestliku ja konkurentsivõimelise </w:t>
      </w:r>
      <w:proofErr w:type="spellStart"/>
      <w:r w:rsidRPr="006B2FBD">
        <w:rPr>
          <w:kern w:val="2"/>
          <w14:ligatures w14:val="standardContextual"/>
        </w:rPr>
        <w:t>bioressursipõhise</w:t>
      </w:r>
      <w:proofErr w:type="spellEnd"/>
      <w:r w:rsidRPr="006B2FBD">
        <w:rPr>
          <w:kern w:val="2"/>
          <w14:ligatures w14:val="standardContextual"/>
        </w:rPr>
        <w:t xml:space="preserve"> ringmajandusega tööstussektori jaoks;</w:t>
      </w:r>
    </w:p>
    <w:p w14:paraId="057B8BC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K.</w:t>
      </w:r>
      <w:r w:rsidRPr="006B2FBD">
        <w:rPr>
          <w:kern w:val="2"/>
          <w14:ligatures w14:val="standardContextual"/>
        </w:rPr>
        <w:tab/>
        <w:t>arvestades, et Euroopa Raudtee Ühisettevõte kujutab endast raudteesektori teadusuuringute ja innovatsiooni valdkonnas avaliku ja erasektori partnerlust;</w:t>
      </w:r>
    </w:p>
    <w:p w14:paraId="6FAF41B6"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L.</w:t>
      </w:r>
      <w:r w:rsidRPr="006B2FBD">
        <w:rPr>
          <w:kern w:val="2"/>
          <w14:ligatures w14:val="standardContextual"/>
        </w:rPr>
        <w:tab/>
        <w:t>arvestades, et Euroopa kõrgjõudlusega andmetöötluse ühisettevõte on avaliku ja erasektori partnerlus, mis võimaldab koondada ressursse kõrgjõudlusega andmetöötluse arendamiseks ja kasutuselevõtuks Euroopas;</w:t>
      </w:r>
    </w:p>
    <w:p w14:paraId="3178E83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M.</w:t>
      </w:r>
      <w:r w:rsidRPr="006B2FBD">
        <w:rPr>
          <w:kern w:val="2"/>
          <w14:ligatures w14:val="standardContextual"/>
        </w:rPr>
        <w:tab/>
        <w:t>arvestades, et Nutivõrkude ja -teenuste Ühisettevõte on avaliku ja erasektori partnerlus, mille eesmärk on tugevdada Euroopa tehnoloogilist juhtpositsiooni ja strateegilist kooskõla telekommunikatsioonivaldkonnaga ning edendada digilahenduste kasutuselevõttu;</w:t>
      </w:r>
    </w:p>
    <w:p w14:paraId="06706A0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N.</w:t>
      </w:r>
      <w:r w:rsidRPr="006B2FBD">
        <w:rPr>
          <w:kern w:val="2"/>
          <w14:ligatures w14:val="standardContextual"/>
        </w:rPr>
        <w:tab/>
        <w:t xml:space="preserve">arvestades, et Ülemaailmse Tervisealgatuse EDCTP3 Ühisettevõte on avaliku ja erasektori partnerlus, mis keskendub nakkushaiguste </w:t>
      </w:r>
      <w:proofErr w:type="spellStart"/>
      <w:r w:rsidRPr="006B2FBD">
        <w:rPr>
          <w:kern w:val="2"/>
          <w14:ligatures w14:val="standardContextual"/>
        </w:rPr>
        <w:t>sotsiaal-majandusliku</w:t>
      </w:r>
      <w:proofErr w:type="spellEnd"/>
      <w:r w:rsidRPr="006B2FBD">
        <w:rPr>
          <w:kern w:val="2"/>
          <w14:ligatures w14:val="standardContextual"/>
        </w:rPr>
        <w:t xml:space="preserve"> koormuse vähendamisele Sahara-taguses Aafrikas uute ja täiustatud tervishoiualaste tehnoloogiliste rakenduste abil ning nakkushaigusteks valmisoleku ja nendele reageerimise parandamisele ülemaailmsetel eesmärkidel;</w:t>
      </w:r>
    </w:p>
    <w:p w14:paraId="21A17527"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O.</w:t>
      </w:r>
      <w:r w:rsidRPr="006B2FBD">
        <w:rPr>
          <w:kern w:val="2"/>
          <w14:ligatures w14:val="standardContextual"/>
        </w:rPr>
        <w:tab/>
        <w:t>arvestades, et ITERi ja tuumasünteesienergeetika arendamise Euroopa ühisettevõtte eesmärk on anda liidu panus ITERi rahvusvahelisse tuumasünteesienergeetika projekti, rakendada Euratomi ja Jaapani vahelist laiema lähenemisviisi lepingut ning valmistuda tuumasünteesi näidisreaktori ja sellega seotud rajatiste ehitamiseks;</w:t>
      </w:r>
    </w:p>
    <w:p w14:paraId="4A181962"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Üldine taust</w:t>
      </w:r>
    </w:p>
    <w:p w14:paraId="199291A1" w14:textId="77777777" w:rsidR="006B2FBD" w:rsidRPr="006B2FBD" w:rsidRDefault="006B2FBD" w:rsidP="006B2FBD">
      <w:pPr>
        <w:spacing w:after="240"/>
        <w:ind w:left="567" w:hanging="567"/>
        <w:rPr>
          <w:kern w:val="2"/>
          <w:szCs w:val="24"/>
          <w:lang w:eastAsia="en-US"/>
          <w14:ligatures w14:val="standardContextual"/>
        </w:rPr>
      </w:pPr>
      <w:r w:rsidRPr="006B2FBD">
        <w:rPr>
          <w:kern w:val="2"/>
          <w:szCs w:val="24"/>
          <w:lang w:eastAsia="en-US"/>
          <w14:ligatures w14:val="standardContextual"/>
        </w:rPr>
        <w:t>1.</w:t>
      </w:r>
      <w:r w:rsidRPr="006B2FBD">
        <w:rPr>
          <w:kern w:val="2"/>
          <w:szCs w:val="24"/>
          <w:lang w:eastAsia="en-US"/>
          <w14:ligatures w14:val="standardContextual"/>
        </w:rPr>
        <w:tab/>
        <w:t xml:space="preserve">märgib, et ühisettevõtete roll peaks olema teadus- ja innovatsioonitegevuse toetamine transpordi, energeetika, tervishoiu, </w:t>
      </w:r>
      <w:proofErr w:type="spellStart"/>
      <w:r w:rsidRPr="006B2FBD">
        <w:rPr>
          <w:kern w:val="2"/>
          <w:szCs w:val="24"/>
          <w:lang w:eastAsia="en-US"/>
          <w14:ligatures w14:val="standardContextual"/>
        </w:rPr>
        <w:t>bioressursipõhise</w:t>
      </w:r>
      <w:proofErr w:type="spellEnd"/>
      <w:r w:rsidRPr="006B2FBD">
        <w:rPr>
          <w:kern w:val="2"/>
          <w:szCs w:val="24"/>
          <w:lang w:eastAsia="en-US"/>
          <w14:ligatures w14:val="standardContextual"/>
        </w:rPr>
        <w:t xml:space="preserve"> ringmajanduse, peamiste elektroonikakomponentide, superandmetöötluse ja võrgusüsteemide valdkonnas; kutsub ühisettevõtteid üles edendama teaduslike teadmiste muutmist turustatavateks uuendusteks ning looma mehhanismid tagamaks see, et nende tegevus suurendab Euroopa konkurentsivõimet maailmas;</w:t>
      </w:r>
    </w:p>
    <w:p w14:paraId="26E99CD7"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2.</w:t>
      </w:r>
      <w:r w:rsidRPr="006B2FBD">
        <w:rPr>
          <w:kern w:val="2"/>
          <w14:ligatures w14:val="standardContextual"/>
        </w:rPr>
        <w:tab/>
        <w:t>rõhutab, et kontrollikoja andmetel eeldatakse, et ühisettevõtetele antakse kehtiva mitmeaastase finantsraamistiku ajal liidu rahalistest vahenditest kokku 17 miljardit eurot, mida võimendab teiste liikmete panus 21,1 miljardi euro ulatuses;</w:t>
      </w:r>
    </w:p>
    <w:p w14:paraId="6B32A54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w:t>
      </w:r>
      <w:r w:rsidRPr="006B2FBD">
        <w:rPr>
          <w:kern w:val="2"/>
          <w14:ligatures w14:val="standardContextual"/>
        </w:rPr>
        <w:tab/>
        <w:t>märgib, et ühisettevõtted põhinevad oma olemuselt era- ja avaliku sektori partnerlusel, suunates investeeringuid ja võimendades avaliku ja erasektori vahendeid, et ühiseid eesmärke rahastada; tuletab sellega seoses meelde, et erasektori liikmete sissemaksed peavad vastama kehtestatud eesmärkidele, et sellised partnerlused püsiksid vastastikku kasulikuna; kutsub lisategevuseks mitterahalisi sissemakseid võimaldavaid ühisettevõtteid üles võimaluse korral vältima liigset sõltuvust sellistest sissemaksetest, et püstitatud eesmärke täita;</w:t>
      </w:r>
    </w:p>
    <w:p w14:paraId="10FC092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4.</w:t>
      </w:r>
      <w:r w:rsidRPr="006B2FBD">
        <w:rPr>
          <w:kern w:val="2"/>
          <w14:ligatures w14:val="standardContextual"/>
        </w:rPr>
        <w:tab/>
        <w:t xml:space="preserve">tunnistab ühisettevõtete märkimisväärset panust teadusuuringute, innovatsiooni ja </w:t>
      </w:r>
      <w:r w:rsidRPr="006B2FBD">
        <w:rPr>
          <w:kern w:val="2"/>
          <w14:ligatures w14:val="standardContextual"/>
        </w:rPr>
        <w:lastRenderedPageBreak/>
        <w:t>tehnoloogia arengu edendamisse eri sektorites, sealhulgas lennunduses, raudteetranspordis ja lennuliikluse korraldamisel, mis on liidu kestlikkuse, digiülemineku ja konkurentsivõime strateegiliste eesmärkide saavutamise lahutamatu osa;</w:t>
      </w:r>
    </w:p>
    <w:p w14:paraId="2FF743EE"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w:t>
      </w:r>
      <w:r w:rsidRPr="006B2FBD">
        <w:rPr>
          <w:kern w:val="2"/>
          <w14:ligatures w14:val="standardContextual"/>
        </w:rPr>
        <w:tab/>
        <w:t>väljendab heameelt kontrollikoja aastaaruande üle Euroopa Liidu ühisettevõtete eelarveaasta 2023 kohta (edaspidi „kontrollikoja aruanne“); rõhutab, et kontrollikoja missioon on liidu eelarve usaldusväärse täitmise ja eelarve järelevalve seisukohalt otsustava tähtsusega;</w:t>
      </w:r>
    </w:p>
    <w:p w14:paraId="3BF5CE7D"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6.</w:t>
      </w:r>
      <w:r w:rsidRPr="006B2FBD">
        <w:rPr>
          <w:kern w:val="2"/>
          <w14:ligatures w14:val="standardContextual"/>
        </w:rPr>
        <w:tab/>
        <w:t>väljendab heameelt asjaolu üle, et kontrollikoda esitas eelarve täitmisele heakskiidu andmise eest vastutavatele institutsioonidele ELi ühisettevõtete kohta aastaaruande, mis sisaldab iga ühisettevõtte kinnitavat avaldust raamatupidamiskontode ja nende aluseks olevate tehingute kohta; jagab seisukohta, et lisaks kontrollikoja jaoks siduvatele õigusnormidele väärivad ühisettevõtted kontrollikoja erilist tähelepanu ka nende institutsioonilise raamistiku tõttu; kutsub kontrollikoda üles seda head tava jätkama; väljendab heameelt ühisettevõtete hea koostöö üle kontrollikojaga selle aruande koostamisel ning selgituste üle, mis on esitatud ühisettevõtete vastustes mõne tähelepaneku ja asjaolu kohta;</w:t>
      </w:r>
    </w:p>
    <w:p w14:paraId="5FFF60C2"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7.</w:t>
      </w:r>
      <w:r w:rsidRPr="006B2FBD">
        <w:rPr>
          <w:kern w:val="2"/>
          <w14:ligatures w14:val="standardContextual"/>
        </w:rPr>
        <w:tab/>
        <w:t>väljendab heameelt selle üle, et kaks ühisettevõtet, nimelt Nutivõrkude ja -teenuste Ühisettevõte 24. oktoobril 2023 ja Ülemaailmse Tervisealgatuse EDCTP3 Ühisettevõte 23. novembril 2023, saavutasid eelarveaastal 2023 finantsautonoomia; märgib lisaks, et selle tulemusena auditeeris kontrollikoda neid kahte ühisettevõtet esimest korda lisaks üheksale ühisettevõttele, mida kontrollikoda oli eelarveaasta 2022 osas juba auditeerinud;</w:t>
      </w:r>
    </w:p>
    <w:p w14:paraId="632FDA07"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8.</w:t>
      </w:r>
      <w:r w:rsidRPr="006B2FBD">
        <w:rPr>
          <w:kern w:val="2"/>
          <w14:ligatures w14:val="standardContextual"/>
        </w:rPr>
        <w:tab/>
        <w:t>rõhutab oma teadlikkust sellest, et mõnda ühisettevõtet mõjutasid eelarveaasta 2023 jooksul märkimisväärselt olulised sündmused, mis tõenäoliselt muutsid nende tulemuslikkust; täpsustab, et:</w:t>
      </w:r>
    </w:p>
    <w:p w14:paraId="3DCC196E"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Venemaa agressioonisõda Ukraina vastu on avaldanud märkimisväärset mõju liidu majandusele ja tarneahelatele, mõjutades oluliselt mõne ühisettevõtte tegevust;</w:t>
      </w:r>
    </w:p>
    <w:p w14:paraId="59F87776"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COVID-19 pandeemia tagajärjed on tänaseni tunda kogu Euroopas ja kujutasid eelarveaastal 2023 ikka veel tohutut šokki majandus- ja haldustegevusele;</w:t>
      </w:r>
    </w:p>
    <w:p w14:paraId="2C0BD64A"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c)</w:t>
      </w:r>
      <w:r w:rsidRPr="006B2FBD">
        <w:rPr>
          <w:kern w:val="2"/>
          <w14:ligatures w14:val="standardContextual"/>
        </w:rPr>
        <w:tab/>
        <w:t>kahe eespool nimetatud sündmuse põhjustatud kõrge inflatsioonitase mõjutas ühisettevõtete tarneid ja tarneaega;</w:t>
      </w:r>
    </w:p>
    <w:p w14:paraId="5D28A85A"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9.</w:t>
      </w:r>
      <w:r w:rsidRPr="006B2FBD">
        <w:rPr>
          <w:kern w:val="2"/>
          <w14:ligatures w14:val="standardContextual"/>
        </w:rPr>
        <w:tab/>
        <w:t>tunnistab ühisettevõtete eeliseid, avaliku ja erasektori koostöö tähtsust innovatsiooni edendamisel, teadus- ja arendustegevuse edendamisel ning partnerluste majanduslikku kasu; märgib, et mõlema sektori (avaliku ja erasektori) ressursside ja oskusteabe koondamisega saavad ühisettevõtted probleemidega tõhusamalt toime tulla; rõhutab läbipaistvuse, vastutuse ja avaliku sektori vahendite tõhusa kasutamise tähtsust ühisettevõtete poolt;</w:t>
      </w:r>
    </w:p>
    <w:p w14:paraId="7BCF6BD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10.</w:t>
      </w:r>
      <w:r w:rsidRPr="006B2FBD">
        <w:rPr>
          <w:kern w:val="2"/>
          <w14:ligatures w14:val="standardContextual"/>
        </w:rPr>
        <w:tab/>
        <w:t xml:space="preserve">tunnistab, kui väärtuslikud on sidusrühmade kaasamist ja osalemist edendavad algatused (nagu avatud osalemiskutsed ja ühised projektikonkursid kõigis ühisettevõtetes), mis on väga olulised kollektiivsete eksperditeadmiste ja ressursside </w:t>
      </w:r>
      <w:r w:rsidRPr="006B2FBD">
        <w:rPr>
          <w:kern w:val="2"/>
          <w14:ligatures w14:val="standardContextual"/>
        </w:rPr>
        <w:lastRenderedPageBreak/>
        <w:t xml:space="preserve">võimendamiseks; juhib erilist tähelepanu Euroopa Raudtee Ühisettevõtte ja Euroopa Lennuliikluse Uue Põlvkonna Juhtimissüsteemi (SESAR) Arendava Kolmanda Ühisettevõtte ühisele projektikonkursile, mis on esimene omalaadne mitme ühisettevõtte ühine projektikonkurss, mille eesmärk on töötada kestliku </w:t>
      </w:r>
      <w:proofErr w:type="spellStart"/>
      <w:r w:rsidRPr="006B2FBD">
        <w:rPr>
          <w:kern w:val="2"/>
          <w14:ligatures w14:val="standardContextual"/>
        </w:rPr>
        <w:t>mitmeliigilise</w:t>
      </w:r>
      <w:proofErr w:type="spellEnd"/>
      <w:r w:rsidRPr="006B2FBD">
        <w:rPr>
          <w:kern w:val="2"/>
          <w14:ligatures w14:val="standardContextual"/>
        </w:rPr>
        <w:t xml:space="preserve"> transpordisüsteemi jaoks välja lõimitud õhutranspordi- ja raudteevõrk;</w:t>
      </w:r>
    </w:p>
    <w:p w14:paraId="5F6A286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11.</w:t>
      </w:r>
      <w:r w:rsidRPr="006B2FBD">
        <w:rPr>
          <w:kern w:val="2"/>
          <w14:ligatures w14:val="standardContextual"/>
        </w:rPr>
        <w:tab/>
        <w:t>tuletab meelde, et ühisettevõtted peavad juhinduma oma tegevuses usaldusväärsest finantsjuhtimisest, aidates seeläbi mõjusalt kaasa liidu poliitikaeesmärkide saavutamisele ja liidu eelarve usaldusväärsele täitmisele; tunneb siiski muret mõningate elementide pärast, arvestades käesolevas resolutsioonis esitatud kontrollikoja järeldusi;</w:t>
      </w:r>
    </w:p>
    <w:p w14:paraId="069D8BFB"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Raamatupidamise aastaaruanne</w:t>
      </w:r>
    </w:p>
    <w:p w14:paraId="650FE05E"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12.</w:t>
      </w:r>
      <w:r w:rsidRPr="006B2FBD">
        <w:rPr>
          <w:kern w:val="2"/>
          <w14:ligatures w14:val="standardContextual"/>
        </w:rPr>
        <w:tab/>
        <w:t>märgib, et kontrollikoja aruandes leitakse, et auditeeritud 11 ühisettevõtte 2023. aasta raamatupidamise aastaaruanded annavad kõigis olulistes aspektides õiglase pildi nende finantsseisundist 31. detsembri 2023. aasta seisuga, samuti nende finantstulemustest ja rahavoogudest ning netovara muutustest lõppenud aastal vastavalt nende finantseeskirjadele ja komisjoni peaarvepidaja vastu võetud arvestuseeskirjadele; märgib lisaks, et selle tulemusena esitas kontrollikoda ühisettevõtete raamatupidamise aastaaruannete usaldusväärsuse kohta märkusteta auditiarvamused;</w:t>
      </w:r>
    </w:p>
    <w:p w14:paraId="2D1F5B3A"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13.</w:t>
      </w:r>
      <w:r w:rsidRPr="006B2FBD">
        <w:rPr>
          <w:kern w:val="2"/>
          <w14:ligatures w14:val="standardContextual"/>
        </w:rPr>
        <w:tab/>
        <w:t>märgib, et kontrollikoja aruande kohaselt on raamatupidamise aastaaruande aluseks olevad tehingud kõigis olulistes aspektides seaduslikud ja korrektsed; märgib lisaks, et selle tulemusena esitas kontrollikoda märkusteta auditiarvamused nii ühisettevõtete raamatupidamise aastaaruannete aluseks olevate tulude kui ka maksete seaduslikkuse ja korrektsuse kohta;</w:t>
      </w:r>
    </w:p>
    <w:p w14:paraId="26FB9B2F"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14.</w:t>
      </w:r>
      <w:r w:rsidRPr="006B2FBD">
        <w:rPr>
          <w:kern w:val="2"/>
          <w14:ligatures w14:val="standardContextual"/>
        </w:rPr>
        <w:tab/>
        <w:t>võtab teadmiseks asjaolu, et kontrollikoja arvates ei antud Nutivõrkude ja -teenuste Ühisettevõttele ning Ülemaailmse Tervisealgatuse EDCTP3 Ühisettevõttele nende esmakordse raamatupidamise aastaaruande kohta piisavalt suuniseid, eelkõige seoses vajadusega teha selget vahet rahalistel vahenditel, mida haldas komisjon enne nende finantsautonoomia saavutamist ja ühisettevõtted ise pärast finantsautonoomia saavutamist; kordab sellega seoses kontrollikoja soovitust töötada välja selged ja arusaadavad raamatupidamissuunised, milles tuleks täpsustada uute ühisettevõtete esimese raamatupidamise aastaaruande esitamise eeskirju, ning et neis suunistes tuleks anda juhised selle kohta, kuidas eraldada komisjoni rakendatavad rahalised vahendid nendest, mida ühisettevõte rakendab pärast oma finantsautonoomia saavutamist; märgib, et raamatupidamise aastaaruannete usaldusväärsust ohustavat riski peeti madalaks kõigi ühisettevõtete puhul, välja arvatud Nutivõrkude ja -teenuste Ühisettevõte ning Ülemaailmse Tervisealgatuse EDCTP3 Ühisettevõte, mille puhul peeti usaldusväärsusega seotud riski keskmiseks, kuna eelarveassigneeringute ja varade ülekandmine komisjoni vastutuselt ühisettevõtte vastutusele on keeruline;</w:t>
      </w:r>
    </w:p>
    <w:p w14:paraId="1D7D2F1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15.</w:t>
      </w:r>
      <w:r w:rsidRPr="006B2FBD">
        <w:rPr>
          <w:kern w:val="2"/>
          <w14:ligatures w14:val="standardContextual"/>
        </w:rPr>
        <w:tab/>
        <w:t xml:space="preserve">võtab teadmiseks asjaolu, et ITERi ja tuumasünteesienergeetika arendamise Euroopa ühisettevõtte raamatupidamise aastaaruanne on koostatud 2023. aastal käigus olnud ITERi projekti lähtenäitajate alusel, kuid seda ITERi projekti vaadatakse praegu läbi, mille tulemusena võivad ITERi ja tuumasünteesienergeetika arendamise Euroopa ühisettevõtte aastaaruanne ning selle hinnanguline kogukulu tõenäoliselt märkimisväärselt muutuda; rõhutab, et asjaomane ühisettevõte peaks võtma kõik vajalikud meetmed tagamaks, et tulevane lähtejoon ja selle mõju vajadusele liidu rahalise osaluse järele ühisettevõttes ei kujuta endast kohustust liidu eelarvele; märgib </w:t>
      </w:r>
      <w:r w:rsidRPr="006B2FBD">
        <w:rPr>
          <w:kern w:val="2"/>
          <w14:ligatures w14:val="standardContextual"/>
        </w:rPr>
        <w:lastRenderedPageBreak/>
        <w:t>asjaomase ühisettevõtte kuulamise põhjal eelarvekontrollikomisjonis, et kuulamise ajal ja asjaomase ühisettevõtte sõnul oli liiga vara esitada hinnangut selle läbivaatamise finantsmõju kohta; on lisaks mures ITERi projekti mõjutavate viivituste pärast, mis tulenevad ühisettevõttest sõltumatutest teguritest;</w:t>
      </w:r>
    </w:p>
    <w:p w14:paraId="668571F4"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16.</w:t>
      </w:r>
      <w:r w:rsidRPr="006B2FBD">
        <w:rPr>
          <w:kern w:val="2"/>
          <w14:ligatures w14:val="standardContextual"/>
        </w:rPr>
        <w:tab/>
        <w:t xml:space="preserve">tunneb muret võimaliku mõju pärast, mida ITERi ja tuumasünteesienergeetika arendamise Euroopa ühisettevõtte ümberkorraldamine avaldab selle tegevusele, eelkõige ühisettevõtte lühiajalise ja </w:t>
      </w:r>
      <w:proofErr w:type="spellStart"/>
      <w:r w:rsidRPr="006B2FBD">
        <w:rPr>
          <w:kern w:val="2"/>
          <w14:ligatures w14:val="standardContextual"/>
        </w:rPr>
        <w:t>keskpika</w:t>
      </w:r>
      <w:proofErr w:type="spellEnd"/>
      <w:r w:rsidRPr="006B2FBD">
        <w:rPr>
          <w:kern w:val="2"/>
          <w14:ligatures w14:val="standardContextual"/>
        </w:rPr>
        <w:t xml:space="preserve"> ebastabiilsuse ja tegevusriskide pärast; väljendab heameelt selle üle, et asjaomane ühisettevõte on nendest probleemidest teadlik ja on selgitanud oma seisukohti olukorra kohta; väljendab heameelt täiendava teabe üle, mis esitati asjaomase ühisettevõtte kuulamisel eelarvekontrollikomisjonis, eelkõige seoses asjaoluga, et tegevuse järjepidevuse riski on siiani leevendatud tänu suurele tuginemisele olemasolevatele programmidele ja projektidele; väljendab heameelt uue maatriksstruktuuriga kaasneva paindlikkuse üle;</w:t>
      </w:r>
    </w:p>
    <w:p w14:paraId="2871989A"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17.</w:t>
      </w:r>
      <w:r w:rsidRPr="006B2FBD">
        <w:rPr>
          <w:kern w:val="2"/>
          <w14:ligatures w14:val="standardContextual"/>
        </w:rPr>
        <w:tab/>
        <w:t>võtab teadmiseks asjaolu, et tulude seaduslikkust ja korrektsust ohustavat riski peeti kõigi ühisettevõtete puhul madalaks;</w:t>
      </w:r>
    </w:p>
    <w:p w14:paraId="28F80232"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Eelarve haldamine ja finantsjuhtimine</w:t>
      </w:r>
    </w:p>
    <w:p w14:paraId="4D78FF1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18.</w:t>
      </w:r>
      <w:r w:rsidRPr="006B2FBD">
        <w:rPr>
          <w:kern w:val="2"/>
          <w14:ligatures w14:val="standardContextual"/>
        </w:rPr>
        <w:tab/>
        <w:t>märgib, et kontrollikoja auditeeritud 11 ühisettevõtte 2023. aasta kasutatav eelarve kokku oli kontrollikoja andmetel 4,25 miljardit eurot kulukohustuste assigneeringutena ja 3,87 miljardit eurot maksete assigneeringutena, kusjuures kontrollikoda on seisukohal, et kasutada olnud kogueelarve sisaldab eelmiste aastate kasutamata assigneeringuid, mille ühisettevõtted kandsid uuesti jooksva aasta eelarvesse, ning sihtotstarbelisi tulusid ja järgmisesse aastasse ümberjaotatavaid summasid; märgib täpsemalt, et:</w:t>
      </w:r>
    </w:p>
    <w:p w14:paraId="35E022A0"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Euroopa Lennuliikluse Uue Põlvkonna Juhtimissüsteemi (SESAR) Arendava Kolmanda Ühisettevõtte 2023. aastal kasutada olnud eelarve kokku oli 111,2 miljonit eurot kulukohustuste assigneeringutena (võrreldes 158,8 miljoni euroga 2022. aastal) ja 241,5 miljonit eurot maksete assigneeringutena (võrreldes 146,9 miljoni euroga 2022. aastal); tõdeb ka, et Euroopa Lennuliikluse Uue Põlvkonna Juhtimissüsteemi (SESAR) Arendava Kolmanda Ühisettevõtte eelarvehalduse ja finantsjuhtimise aruande kohaselt oli ühisettevõtte 2023. aasta eelarve täitmise määr kulukohustuste assigneeringute puhul 92 % ja maksete assigneeringute puhul 81 %, mis näitab, et eelarve täitmise tempoga tõsiseid probleeme ei olnud; rõhutab siiski, et taristu- ja tegevuskuludeks ette nähtud maksete assigneeringute täitmise määr oli madal, ulatudes 55 %-</w:t>
      </w:r>
      <w:proofErr w:type="spellStart"/>
      <w:r w:rsidRPr="006B2FBD">
        <w:rPr>
          <w:kern w:val="2"/>
          <w14:ligatures w14:val="standardContextual"/>
        </w:rPr>
        <w:t>ni</w:t>
      </w:r>
      <w:proofErr w:type="spellEnd"/>
      <w:r w:rsidRPr="006B2FBD">
        <w:rPr>
          <w:kern w:val="2"/>
          <w14:ligatures w14:val="standardContextual"/>
        </w:rPr>
        <w:t>; võtab teadmiseks ühisettevõtte selgitused ja kutsub ühisettevõtet üles tagama eelarve iga osa täitmise sujuvus;</w:t>
      </w:r>
    </w:p>
    <w:p w14:paraId="729D3036"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 xml:space="preserve">Keskkonnahoidliku Lennunduse Ühisettevõtte 2023. aasta eelarve kokku oli 269 miljonit eurot kulukohustuste assigneeringutena (võrreldes 411,2 miljoni euroga 2022. aastal) ja 486,4 miljonit eurot maksete assigneeringutena (võrreldes 415,3 miljoni euroga 2022. aastal); tõdeb ühtlasi, et Keskkonnahoidliku Lennunduse Ühisettevõtte eelarvehalduse ja finantsjuhtimise aruande kohaselt oli ühisettevõtte 2023. aasta eelarve täitmise määr kulukohustuste assigneeringute puhul 98,58 % ja maksete assigneeringute puhul 51,18 %, mis näitab, et eelarve täitmise tempoga seoses esines tõsiseid probleeme; märgib eelkõige, et ühisettevõtte kahe tegevuskulude jaotise maksete assigneeringute täitmise määr oli vastavalt 80,5 % ja 81,11 %; rõhutab lisaks, et taristukuludeks ette nähtud maksete assigneeringute </w:t>
      </w:r>
      <w:r w:rsidRPr="006B2FBD">
        <w:rPr>
          <w:kern w:val="2"/>
          <w14:ligatures w14:val="standardContextual"/>
        </w:rPr>
        <w:lastRenderedPageBreak/>
        <w:t>täitmise määr oli madal, ulatudes 60,52 %-</w:t>
      </w:r>
      <w:proofErr w:type="spellStart"/>
      <w:r w:rsidRPr="006B2FBD">
        <w:rPr>
          <w:kern w:val="2"/>
          <w14:ligatures w14:val="standardContextual"/>
        </w:rPr>
        <w:t>ni</w:t>
      </w:r>
      <w:proofErr w:type="spellEnd"/>
      <w:r w:rsidRPr="006B2FBD">
        <w:rPr>
          <w:kern w:val="2"/>
          <w14:ligatures w14:val="standardContextual"/>
        </w:rPr>
        <w:t>; peab äärmiselt kahetsusväärseks, et eelarvejaotisele 5 on eraldatud märkimisväärse 177 miljoni euro ulatuses kasutamata maksete assigneeringuid, mille tehnilise täitmise määr on 0 %; võtab teadmiseks ühisettevõtte selgitused ja kutsub ühisettevõtet üles tagama eelarve iga osa täitmise sujuvus;</w:t>
      </w:r>
    </w:p>
    <w:p w14:paraId="134F6A87"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c)</w:t>
      </w:r>
      <w:r w:rsidRPr="006B2FBD">
        <w:rPr>
          <w:kern w:val="2"/>
          <w14:ligatures w14:val="standardContextual"/>
        </w:rPr>
        <w:tab/>
        <w:t>Innovatiivse Tervishoiu Algatuse Ühisettevõtte 2023. aasta eelarve kokku oli 223,2 miljonit eurot kulukohustuste assigneeringutena (võrreldes 272,4 miljoni euroga 2022. aastal) ja 225,9 miljonit eurot maksete assigneeringutena (võrreldes 174,8 miljoni euroga 2022. aastal); mõistab ka, et Innovatiivse Tervishoiu Algatuse Ühisettevõtte eelarvehalduse ja finantsjuhtimise aruande kohaselt oli ühisettevõtte 2023. aasta eelarve täitmise määr kulukohustuste assigneeringute puhul 92,65 % ja maksete assigneeringute puhul 90,29 %, mis näitab, et eelarve täitmise tempoga tõsiseid probleeme ei olnud; rõhutab siiski taristukuludeks ette nähtud kulukohustuste ja maksete assigneeringute madalat täitmismäära, mis oli vastavalt 68,67 % ja 67,3 %; võtab teadmiseks ühisettevõtte selgitused ja kutsub ühisettevõtet üles tagama eelarve iga osa täitmise sujuvus;</w:t>
      </w:r>
    </w:p>
    <w:p w14:paraId="68B66786"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d)</w:t>
      </w:r>
      <w:r w:rsidRPr="006B2FBD">
        <w:rPr>
          <w:kern w:val="2"/>
          <w14:ligatures w14:val="standardContextual"/>
        </w:rPr>
        <w:tab/>
        <w:t>Saastevaba Vesiniku Ühisettevõtte 2023. aasta eelarve kokku oli 268,9 miljonit eurot kulukohustuste assigneeringutena (võrreldes 314,3 miljoni euroga 2022. aastal) ja 327,8 miljonit eurot maksete assigneeringutena (võrreldes 118,3 miljoni euroga 2022. aastal); mõistab ka, et Saastevaba Vesiniku Ühisettevõtte eelarvehalduse ja finantsjuhtimise aruande kohaselt oli ühisettevõtte 2023. aasta eelarve täitmise määr kulukohustuste assigneeringute puhul 96,62 % ja maksete assigneeringute puhul 85,43 %, mis näitab, et eelarve täitmise tempoga tõsiseid probleeme ei olnud; rõhutab siiski programmi „Horisont 2020“ raames rahastatavate tegevuskulude jaoks ette nähtud maksete assigneeringute madalat täitmismäära, mis ulatus 69,41 %-</w:t>
      </w:r>
      <w:proofErr w:type="spellStart"/>
      <w:r w:rsidRPr="006B2FBD">
        <w:rPr>
          <w:kern w:val="2"/>
          <w14:ligatures w14:val="standardContextual"/>
        </w:rPr>
        <w:t>ni</w:t>
      </w:r>
      <w:proofErr w:type="spellEnd"/>
      <w:r w:rsidRPr="006B2FBD">
        <w:rPr>
          <w:kern w:val="2"/>
          <w14:ligatures w14:val="standardContextual"/>
        </w:rPr>
        <w:t>; rõhutab lisaks taristukuludeks ette nähtud kulukohustuste ja maksete assigneeringute madalat täitmismäära, mis oli vastavalt 71,21 % ja 60,6 %; võtab teadmiseks ühisettevõtte selgitused ja kutsub ühisettevõtet üldiselt üles tagama eelarve iga jao täitmise sujuvus;</w:t>
      </w:r>
    </w:p>
    <w:p w14:paraId="38AE7F82"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e)</w:t>
      </w:r>
      <w:r w:rsidRPr="006B2FBD">
        <w:rPr>
          <w:kern w:val="2"/>
          <w14:ligatures w14:val="standardContextual"/>
        </w:rPr>
        <w:tab/>
        <w:t>Kiipide Ühisettevõtte 2023. aasta eelarve kokku oli 835,7 miljonit eurot kulukohustuste assigneeringutena (võrreldes 261,4 miljoni euroga 2022. aastal) ja 518,4 miljonit eurot maksete assigneeringutena (võrreldes 222,2 miljoni euroga 2022. aastal); mõistab ka, et Kiipide Ühisettevõtte eelarvehalduse ja finantsjuhtimise aruande kohaselt oli ühisettevõtte 2023. aasta eelarve täitmise määr kulukohustuste assigneeringute puhul 100 % ja maksete assigneeringute puhul 37 %, mis näitab, et eelarve täitmise tempoga seoses esines tõsiseid probleeme; rõhutab eelkõige tegevuskuludeks ette nähtud maksete assigneeringute äärmiselt madalat täitmismäära, mis ulatus 36 %-</w:t>
      </w:r>
      <w:proofErr w:type="spellStart"/>
      <w:r w:rsidRPr="006B2FBD">
        <w:rPr>
          <w:kern w:val="2"/>
          <w14:ligatures w14:val="standardContextual"/>
        </w:rPr>
        <w:t>ni</w:t>
      </w:r>
      <w:proofErr w:type="spellEnd"/>
      <w:r w:rsidRPr="006B2FBD">
        <w:rPr>
          <w:kern w:val="2"/>
          <w14:ligatures w14:val="standardContextual"/>
        </w:rPr>
        <w:t>; võtab teadmiseks ühisettevõtte selgitused, kuid peab äärmiselt kahetsusväärseks nii madalat täitmismäära ja kutsub ühisettevõtet üldiselt üles tagama eelarve iga osa täitmise sujuvus; võtab teadmiseks, et need aspektid seoses Kiipide Ühisettevõttele 2023. aastal eraldatud suurema rahastusega, mida Kiipide Ühisettevõte pidi rakendama, viisid kontrollikoja järelduseni, et selle ühisettevõtte eelarve haldamisega seotud risk on keskmine;</w:t>
      </w:r>
    </w:p>
    <w:p w14:paraId="195E736C"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f)</w:t>
      </w:r>
      <w:r w:rsidRPr="006B2FBD">
        <w:rPr>
          <w:kern w:val="2"/>
          <w14:ligatures w14:val="standardContextual"/>
        </w:rPr>
        <w:tab/>
        <w:t xml:space="preserve">Bioressursipõhise Ringmajandusega Euroopa Ühisettevõtte 2023. aasta eelarve kokku oli 227,4 miljonit eurot kulukohustuste assigneeringutena (võrreldes 264,2 miljoni euroga 2022. aastal) ja 137,4 miljonit eurot maksete assigneeringutena </w:t>
      </w:r>
      <w:r w:rsidRPr="006B2FBD">
        <w:rPr>
          <w:kern w:val="2"/>
          <w14:ligatures w14:val="standardContextual"/>
        </w:rPr>
        <w:lastRenderedPageBreak/>
        <w:t>(võrreldes 80,3 miljoni euroga 2022. aastal); mõistab ka, et Bioressursipõhise Ringmajandusega Euroopa Ühisettevõtte eelarvehalduse ja finantsjuhtimise aruande kohaselt oli ühisettevõtte 2023. aasta eelarve täitmise määr kulukohustuste assigneeringute puhul 97,6 % ja maksete assigneeringute puhul 90,3 %, mis näitab, et eelarve täitmise tempoga tõsiseid probleeme ei olnud; rõhutab siiski kulukohustuste ja maksete assigneeringute madalat täitmismäära palkadega seotud halduskulude osas, mis oli vastavalt 64 % ja 57 %, ning maksete assigneeringute madalat täitmismäära muude halduskulude osas, mis oli 54 %; võtab teadmiseks ühisettevõtte selgitused ja kutsub ühisettevõtet üles tagama eelarve iga osa täitmise sujuvus;</w:t>
      </w:r>
    </w:p>
    <w:p w14:paraId="577EBDDD"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g)</w:t>
      </w:r>
      <w:r w:rsidRPr="006B2FBD">
        <w:rPr>
          <w:kern w:val="2"/>
          <w14:ligatures w14:val="standardContextual"/>
        </w:rPr>
        <w:tab/>
        <w:t>Euroopa Raudtee Ühisettevõtte 2023. aasta eelarve kokku oli 102,6 miljonit eurot kulukohustuste assigneeringutena (võrreldes 171,4 miljoni euroga 2022. aastal) ja 120,3 miljonit eurot maksete assigneeringutena (võrreldes 180,8 miljoni euroga 2022. aastal); mõistab ka, et Euroopa Raudtee Ühisettevõtte eelarvehalduse ja finantsjuhtimise aruande kohaselt oli ühisettevõtte 2023. aasta eelarve täitmise määr kulukohustuste assigneeringute puhul 97 % ja maksete assigneeringute puhul 82 %, mis näitab, et eelarve täitmise tempoga tõsiseid probleeme ei olnud; rõhutab siiski, et programmi „Horisont 2020“ raames rahastatavate tegevuskulude maksete assigneeringute täitmise määr oli madal, ulatudes 67 %-</w:t>
      </w:r>
      <w:proofErr w:type="spellStart"/>
      <w:r w:rsidRPr="006B2FBD">
        <w:rPr>
          <w:kern w:val="2"/>
          <w14:ligatures w14:val="standardContextual"/>
        </w:rPr>
        <w:t>ni</w:t>
      </w:r>
      <w:proofErr w:type="spellEnd"/>
      <w:r w:rsidRPr="006B2FBD">
        <w:rPr>
          <w:kern w:val="2"/>
          <w14:ligatures w14:val="standardContextual"/>
        </w:rPr>
        <w:t xml:space="preserve">; võtab teadmiseks ühisettevõtte selgitused ja kutsub ühisettevõtet üles tagama eelarve iga osa täitmise sujuvus; juhib tähelepanu sellele, et toetusesaajate tehniliste probleemide tõttu lükkas Euroopa Raudtee Ühisettevõte lõppmaksed edasi 2024. aastasse; võtab teadmiseks mitu projekti, milleks ei kasutatud eelarvet ära täies mahus, mis vähendas vajadust tegevuskulude maksete järele ligikaudu 4,1 miljoni euro võrra; </w:t>
      </w:r>
      <w:r w:rsidRPr="006B2FBD">
        <w:rPr>
          <w:color w:val="000000"/>
          <w:kern w:val="2"/>
          <w14:ligatures w14:val="standardContextual"/>
        </w:rPr>
        <w:t xml:space="preserve">kutsub asjaomast ühisettevõtet üles töötama välja kava raamatupidamisaruandluse kohustuste täitmise parandamiseks; </w:t>
      </w:r>
      <w:r w:rsidRPr="006B2FBD">
        <w:rPr>
          <w:kern w:val="2"/>
          <w14:ligatures w14:val="standardContextual"/>
        </w:rPr>
        <w:t xml:space="preserve">rõhutab ühisettevõtte toetamise tähtsust, arvestades raudtee </w:t>
      </w:r>
      <w:proofErr w:type="spellStart"/>
      <w:r w:rsidRPr="006B2FBD">
        <w:rPr>
          <w:kern w:val="2"/>
          <w14:ligatures w14:val="standardContextual"/>
        </w:rPr>
        <w:t>olemuslikke</w:t>
      </w:r>
      <w:proofErr w:type="spellEnd"/>
      <w:r w:rsidRPr="006B2FBD">
        <w:rPr>
          <w:kern w:val="2"/>
          <w14:ligatures w14:val="standardContextual"/>
        </w:rPr>
        <w:t xml:space="preserve"> eeliseid seoses keskkonnatoime, maakasutuse, energiatarbimise ja ohutusega;</w:t>
      </w:r>
    </w:p>
    <w:p w14:paraId="3446BA00"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h)</w:t>
      </w:r>
      <w:r w:rsidRPr="006B2FBD">
        <w:rPr>
          <w:kern w:val="2"/>
          <w14:ligatures w14:val="standardContextual"/>
        </w:rPr>
        <w:tab/>
        <w:t>Euroopa kõrgjõudlusega andmetöötluse ühisettevõtte 2023. aasta eelarve kokku oli 1,136 miljardit eurot kulukohustuste assigneeringutena (võrreldes 1 374,5 miljoni euroga 2022. aastal) ja 1,058 miljardit eurot maksete assigneeringutena (võrreldes 629,9 miljoni euroga 2022. aastal); mõistab ka, et Euroopa kõrgjõudlusega andmetöötluse ühisettevõtte eelarvehalduse ja finantsjuhtimise aruande kohaselt oli ühisettevõtte 2023. aasta eelarve täitmise määr kulukohustuste assigneeringute puhul 83 % ja maksete assigneeringute puhul 19 %, mis näitab, et eelarve täitmise tempoga seoses esines tõsiseid probleeme; rõhutab eelkõige tegevuskuludeks ette nähtud maksete assigneeringute äärmiselt madalat täitmismäära, mis ulatus 19 %-</w:t>
      </w:r>
      <w:proofErr w:type="spellStart"/>
      <w:r w:rsidRPr="006B2FBD">
        <w:rPr>
          <w:kern w:val="2"/>
          <w14:ligatures w14:val="standardContextual"/>
        </w:rPr>
        <w:t>ni</w:t>
      </w:r>
      <w:proofErr w:type="spellEnd"/>
      <w:r w:rsidRPr="006B2FBD">
        <w:rPr>
          <w:kern w:val="2"/>
          <w14:ligatures w14:val="standardContextual"/>
        </w:rPr>
        <w:t xml:space="preserve">; võtab teadmiseks ühisettevõtte selgitused, kuid peab äärmiselt kahetsusväärseks nii madalat täitmismäära; rõhutab lisaks halduskuludeks ette nähtud kulukohustuste ja maksete assigneeringute madalat täitmismäära, mis oli vastavalt 45 % ja 42 %; võtab teadmiseks ühisettevõtte selgitused ja kutsub ühisettevõtet üles tagama eelarve iga osa täitmise sujuvus; võtab teadmiseks, et need aspektid seoses Euroopa kõrgjõudlusega andmetöötluse ühisettevõttele 2023. aastal eraldatud suurema rahastusega, mida Euroopa kõrgjõudlusega andmetöötluse ühisettevõte pidi rakendama, viisid kontrollikoja järelduseni, et selle ühisettevõtte eelarve haldamisega seotud risk on keskmine; väljendab heameelt lisateabe üle, mis esitati asjaomase ühisettevõtte kuulamisel eelarvekontrollikomisjonis eelarve </w:t>
      </w:r>
      <w:r w:rsidRPr="006B2FBD">
        <w:rPr>
          <w:kern w:val="2"/>
          <w14:ligatures w14:val="standardContextual"/>
        </w:rPr>
        <w:lastRenderedPageBreak/>
        <w:t>aeglase täitmismäära põhjuste kohta;</w:t>
      </w:r>
    </w:p>
    <w:p w14:paraId="185A6F5D"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i)</w:t>
      </w:r>
      <w:r w:rsidRPr="006B2FBD">
        <w:rPr>
          <w:kern w:val="2"/>
          <w14:ligatures w14:val="standardContextual"/>
        </w:rPr>
        <w:tab/>
        <w:t>Nutivõrkude ja -teenuste Ühisettevõtte 2023. aasta eelarve kokku oli 134,7 miljonit eurot kulukohustuste assigneeringutena ja 122,9 miljonit eurot maksete assigneeringutena; mõistab ka, et Nutivõrkude ja -teenuste Ühisettevõtte eelarvehalduse ja finantsjuhtimise aruande kohaselt oli ühisettevõtte 2023. aasta eelarve täitmise määr kulukohustuste assigneeringute puhul 99 % ja maksete assigneeringute puhul 89 %; on seisukohal, et arvestades lühikest ajavahemikku, mille jooksul ühisettevõte saavutas eelarveaastal 2023 finantsautonoomia, ei ole piisavalt alust, mille põhjal Euroopa Parlament saaks avaldada oma arvamust ühisettevõtte finantsjuhtimise kvaliteedi kohta, tehes seda heas usus; märgib siiski, et sellise olukorra tõttu peeti selle ühisettevõtte puhul halduskulude seaduslikkuse ja korrektsuse riski keskmiseks;</w:t>
      </w:r>
    </w:p>
    <w:p w14:paraId="606F02B3"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j)</w:t>
      </w:r>
      <w:r w:rsidRPr="006B2FBD">
        <w:rPr>
          <w:kern w:val="2"/>
          <w14:ligatures w14:val="standardContextual"/>
        </w:rPr>
        <w:tab/>
        <w:t>Ülemaailmse Tervisealgatuse EDCTP3 Ühisettevõtte 2023. aasta eelarvekokku oli 136,4 miljonit eurot kulukohustuste assigneeringutena ja 2,2 miljonit eurot maksete assigneeringutena; mõistab ka, et Ülemaailmse Tervisealgatuse EDCTP3 Ühisettevõtte eelarvehalduse ja finantsjuhtimise aruande kohaselt oli ühisettevõtte 2023. aasta eelarve täitmise määr kulukohustuste assigneeringute puhul 100 % ja maksete assigneeringute puhul 47 %; on seisukohal, et arvestades lühikest ajavahemikku, mille jooksul ühisettevõte saavutas eelarveaastal 2023 finantsautonoomia, ei ole piisavalt alust, mille põhjal Euroopa Parlament saaks avaldada oma arvamust ühisettevõtte finantsjuhtimise kvaliteedi kohta, tehes seda heas usus; märgib siiski, et sellise olukorra tõttu peeti selle ühisettevõtte puhul halduskulude seaduslikkuse ja korrektsuse riski keskmiseks;</w:t>
      </w:r>
    </w:p>
    <w:p w14:paraId="1DC7648C"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k)</w:t>
      </w:r>
      <w:r w:rsidRPr="006B2FBD">
        <w:rPr>
          <w:kern w:val="2"/>
          <w14:ligatures w14:val="standardContextual"/>
        </w:rPr>
        <w:tab/>
        <w:t>ITERi ja tuumasünteesienergeetika arendamise Euroopa ühisettevõtte 2023. aasta eelarve kokku oli 807 miljonit eurot kulukohustuste assigneeringutena (võrreldes 981,2 miljoni euroga 2022. aastal) ja 631,5 miljonit eurot maksete assigneeringutena (võrreldes 844 miljoni euroga 2022. aastal); mõistab ka, et ITERi ja tuumasünteesienergeetika arendamise Euroopa ühisettevõtte eelarvehalduse ja finantsjuhtimise aruande kohaselt oli ühisettevõtte 2023. aasta eelarve täitmise määr kulukohustuste assigneeringute puhul 73 % ja maksete assigneeringute puhul 95 %, mis näitab, et eelarve täitmise tempoga seoses esines tõsiseid probleeme; rõhutab eelkõige tegevuskuludeks ette nähtud kulukohustuste assigneeringute madalat täitmismäära, mis ulatus 70 %-</w:t>
      </w:r>
      <w:proofErr w:type="spellStart"/>
      <w:r w:rsidRPr="006B2FBD">
        <w:rPr>
          <w:kern w:val="2"/>
          <w14:ligatures w14:val="standardContextual"/>
        </w:rPr>
        <w:t>ni</w:t>
      </w:r>
      <w:proofErr w:type="spellEnd"/>
      <w:r w:rsidRPr="006B2FBD">
        <w:rPr>
          <w:kern w:val="2"/>
          <w14:ligatures w14:val="standardContextual"/>
        </w:rPr>
        <w:t>; võtab teadmiseks ühisettevõtte selgitused ja sellest tulenevad ülekanded tagasi algselt kavandatud Euratomi ja ITERi vastuvõtva riigi osamaksetesse ning kutsub ühisettevõtet üldiselt üles tagama eelarve iga osa täitmise sujuvus; võtab teadmiseks asjaolu, et nende viivituste ja rakendamisraskustega seotud aspektide tõttu leidis kontrollikoda, et eelarve haldamisega seotud risk on selle ühisettevõtte puhul keskmine;</w:t>
      </w:r>
    </w:p>
    <w:p w14:paraId="05690855"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19.</w:t>
      </w:r>
      <w:r w:rsidRPr="006B2FBD">
        <w:rPr>
          <w:kern w:val="2"/>
          <w14:ligatures w14:val="standardContextual"/>
        </w:rPr>
        <w:tab/>
        <w:t xml:space="preserve">kordab kontrollikoja muret seoses teatavate ühisettevõtete programmide rakendamisel kasutamata jäänud assigneeringutega ning kutsub asjaomaseid ühisettevõtteid üles vältima sarnaste olukordade kordumist, kuna kasutamata jäänud assigneeringute kuhjumine toob kaasa rahaülejäägi, mis ei ole liidu jaoks kättesaadav muude tegevuste ja programmide rahastamiseks; rõhutab, et see ei ole kooskõlas usaldusväärse finantsjuhtimise põhimõttega ja tõi eelarveaastal 2023 kaasa kokku 1,5 miljardi euro suuruse ülejäägi; kordab sellega seoses kontrollikoja soovitust asjaomastele ühisettevõtetele töötada välja korrigeerimismehhanismid, et vähendada raha ülejääki </w:t>
      </w:r>
      <w:r w:rsidRPr="006B2FBD">
        <w:rPr>
          <w:kern w:val="2"/>
          <w14:ligatures w14:val="standardContextual"/>
        </w:rPr>
        <w:lastRenderedPageBreak/>
        <w:t>mõistliku tasemeni, ning seejärel viia oma iga eelarveaasta rahataotlused kooskõlla oma hinnanguliste kuluvajadustega, tehes seda koostöös komisjoniga; on teadlik asjaomaste ühisettevõtete finantseeskirjade kohasest võimalusest kanda kasutamata assigneeringud pärast nende vastuvõtmist kuni kolme eelarveaasta tulude ja kulude eelarvestusse; on siiski mures järgmise pärast:</w:t>
      </w:r>
    </w:p>
    <w:p w14:paraId="29716492"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puudused Keskkonnahoidliku Lennunduse Ühisettevõtte rahaplaneerimises pärast liidu täiendava rahalise toetuse taotlemist 178 miljoni euro ulatuses, mis ületab 2023. aastaks kavandatud rahavajadust, mille tulemuseks oli 2023. aasta lõpus 237 miljoni euro suurune rahaülejääk; võtab siiski teadmiseks ühisettevõtte selgituse; kordab sellele vaatamata oma nõudmist, et Keskkonnahoidliku Lennunduse Ühisettevõte väldiks sarnaste olukordade kordumist, ning väljendab heameelt ühisettevõtte 2024. aastaks välja kuulutatud kohanduste üle;</w:t>
      </w:r>
    </w:p>
    <w:p w14:paraId="7E2BF7A6"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puudused Kiipide Ühisettevõtte rahaplaneerimises pärast ELi täiendava rahalise toetuse taotlemist 196 miljoni euro ulatuses, mis ületab 2023. aastaks kavandatud rahavajadust, mille tulemuseks oli 2023. aasta lõpus 438 miljoni euro suurune rahaülejääk; võtab siiski teadmiseks ühisettevõtte selgituse; kordab sellele vaatamata nõudmist, et Kiipide Ühisettevõte väldiks sarnaste olukordade kordumist, ning väljendab heameelt ühisettevõtte 2024. aastaks välja kuulutatud eesmärkide üle;</w:t>
      </w:r>
    </w:p>
    <w:p w14:paraId="77C88780"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c)</w:t>
      </w:r>
      <w:r w:rsidRPr="006B2FBD">
        <w:rPr>
          <w:kern w:val="2"/>
          <w14:ligatures w14:val="standardContextual"/>
        </w:rPr>
        <w:tab/>
        <w:t>puudused Euroopa kõrgjõudlusega andmetöötluse ühisettevõtte rahaplaneerimises pärast liidu täiendava rahalise toetuse taotlemist 488,6 miljoni euro ulatuses, mis ületab 2023. aastaks kavandatud rahavajadust, mille tulemuseks oli 2023. aasta lõpus 840,7 miljoni euro suurune ülejääk; mõistab ühisettevõtte olukorda, mis viis selle ülejäägi tekkimiseni, ja väljendab heameelt täiendava teabe üle, mis esitati asjaomase ühisettevõtte kuulamisel eelarvekontrollikomisjonis, eelkõige seoses ootustega, et tehisintellektiga seotud projektid annavad võimaluse märkimisväärsete väljamaksete tegemiseks; kordab siiski oma nõudmist, et Euroopa kõrgjõudlusega andmetöötluse ühisettevõte väldiks sarnaste olukordade kordumist;</w:t>
      </w:r>
    </w:p>
    <w:p w14:paraId="63031E6D"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20.</w:t>
      </w:r>
      <w:r w:rsidRPr="006B2FBD">
        <w:rPr>
          <w:kern w:val="2"/>
          <w14:ligatures w14:val="standardContextual"/>
        </w:rPr>
        <w:tab/>
        <w:t xml:space="preserve">toonitab, et kõik ühisettevõtted peavad tugevdama </w:t>
      </w:r>
      <w:proofErr w:type="spellStart"/>
      <w:r w:rsidRPr="006B2FBD">
        <w:rPr>
          <w:kern w:val="2"/>
          <w14:ligatures w14:val="standardContextual"/>
        </w:rPr>
        <w:t>sisefinantskontrolli</w:t>
      </w:r>
      <w:proofErr w:type="spellEnd"/>
      <w:r w:rsidRPr="006B2FBD">
        <w:rPr>
          <w:kern w:val="2"/>
          <w14:ligatures w14:val="standardContextual"/>
        </w:rPr>
        <w:t xml:space="preserve"> ja avaliku läbipaistvuse mehhanisme, tagades selle, et vahendeid jaotatakse tõhusalt ja kooskõlas ELi strateegiliste eesmärkidega;</w:t>
      </w:r>
    </w:p>
    <w:p w14:paraId="09B32F3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21.</w:t>
      </w:r>
      <w:r w:rsidRPr="006B2FBD">
        <w:rPr>
          <w:kern w:val="2"/>
          <w14:ligatures w14:val="standardContextual"/>
        </w:rPr>
        <w:tab/>
        <w:t>kordab kontrollikoja muret seoses liikmete sissemaksetega teatavatesse ühisettevõtetesse, eelkõige seoses võimalusega, et mõned ühisettevõtted ei suutnud täita sissemaksete eesmärke või suutsid seda teha üksnes lisategevusse tehtava mitterahalise panuse kaudu, ning kutsub asjaomaseid ühisettevõtteid üles võtma kõik vajalikud meetmed, et tagada edaspidi selliste olukordade ärahoidmine; rõhutab, et sissemaksete eesmärkide saavutamine on asjaomaste ühisettevõtete vastutus ja kohustus ning sissemaksete eesmärkide täitmata jätmine on vastuolus ühisettevõtete loomise ideega; on täpsemalt mures järgmise pärast:</w:t>
      </w:r>
    </w:p>
    <w:p w14:paraId="3A270EDF"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 xml:space="preserve">Euroopa Lennuliikluse Uue Põlvkonna Juhtimissüsteemi (SESAR) Arendava Kolmanda Ühisettevõtte olukord, mille liikme </w:t>
      </w:r>
      <w:proofErr w:type="spellStart"/>
      <w:r w:rsidRPr="006B2FBD">
        <w:rPr>
          <w:kern w:val="2"/>
          <w14:ligatures w14:val="standardContextual"/>
        </w:rPr>
        <w:t>EUROCONTROLi</w:t>
      </w:r>
      <w:proofErr w:type="spellEnd"/>
      <w:r w:rsidRPr="006B2FBD">
        <w:rPr>
          <w:kern w:val="2"/>
          <w14:ligatures w14:val="standardContextual"/>
        </w:rPr>
        <w:t xml:space="preserve"> tegevustoetuse eesmärk saavutati ainult 70 % ulatuses, mille tulemusena ei olnud ühisettevõtte käsutuses programmi „Horisont 2020“ oma osa täielikuks rakendamiseks kavandatud toetusi; võtab teadmiseks, et selle asjaolu tõttu ei pidanud </w:t>
      </w:r>
      <w:r w:rsidRPr="006B2FBD">
        <w:rPr>
          <w:kern w:val="2"/>
          <w14:ligatures w14:val="standardContextual"/>
        </w:rPr>
        <w:lastRenderedPageBreak/>
        <w:t>kontrollikoda programmi rakendamise riski selle ühisettevõtte puhul siiski keskmiseks või kõrgeks, vaid seda peeti madalaks;</w:t>
      </w:r>
    </w:p>
    <w:p w14:paraId="07725C34"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 xml:space="preserve">Bioressursipõhise Ringmajandusega Euroopa Ühisettevõtte olukord, kuigi ta saavutas programmi „Horisont 2020“ raames oma sissemakse eesmärgi hästi, kuid tegi seda eelkõige põhitegevuseks mõeldud mitterahalise sissemakse ja lisategevuseks antava mitterahalise sissemakse eesmärkide vahelise tasakaalu läbivaatamise kaudu, kusjuures viimast suurendati 2 444,5 miljoni euroni, mis vastab 90 %-le üldisest eesmärgist; rõhutab, et selline tuginemine mitterahalistele sissemaksetele lisategevuste jaoks kujutab endast ohtu programmi „Horisont 2020“ elluviimisele; rõhutab ühisettevõtte tehtud läbivaatamise olulist mõju; võtab teadmiseks ühisettevõtte selgituse ja asjaolu, et lisategevused aitavad kaasa ühisettevõtte </w:t>
      </w:r>
      <w:proofErr w:type="spellStart"/>
      <w:r w:rsidRPr="006B2FBD">
        <w:rPr>
          <w:kern w:val="2"/>
          <w14:ligatures w14:val="standardContextual"/>
        </w:rPr>
        <w:t>üldeesmärkide</w:t>
      </w:r>
      <w:proofErr w:type="spellEnd"/>
      <w:r w:rsidRPr="006B2FBD">
        <w:rPr>
          <w:kern w:val="2"/>
          <w14:ligatures w14:val="standardContextual"/>
        </w:rPr>
        <w:t xml:space="preserve"> saavutamisele; rõhutab siiski, et see tähendab liigset sõltuvust mitterahalistest sissemaksetest lisategevusse, et saavutada seatud eesmärgid, ning kutsub ühisettevõtet üles vältima sellise olukorra kordumist; võtab teadmiseks asjaolu, et nende aspektide tõttu leidis kontrollikoda, et programmi rakendamise risk on selle ühisettevõtte puhul kõrge;</w:t>
      </w:r>
    </w:p>
    <w:p w14:paraId="4947EC8A"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c)</w:t>
      </w:r>
      <w:r w:rsidRPr="006B2FBD">
        <w:rPr>
          <w:kern w:val="2"/>
          <w14:ligatures w14:val="standardContextual"/>
        </w:rPr>
        <w:tab/>
        <w:t>olukord Euroopa kõrgjõudlusega andmetöötluse ühisettevõttes, mille erasektori liikmete sissemakse programmi „Horisont 2020“ raames ulatus vaid teatatud 18,4 miljoni euroni, kuigi eesmärk oli 420 miljonit eurot, mis on suur vahe; märgib lisaks, et selline olukord võib uuesti tekkida programmide „Euroopa horisont“ ja „Digitaalne Euroopa“ raames, kuna erasektori liikmete sissemakse eesmärk on märkimisväärselt suurenenud 900 miljoni euroni, samal ajal kui rahastamiskord, mis tekitas erasektori liikmetele programmi „Horisont 2020“ raames raskusi, jääb kehtima; võtab teadmiseks asjaolu, et nende aspektide tõttu leidis kontrollikoda, et programmi rakendamise risk on selle ühisettevõtte puhul kõrge; mõistab asjaomase ühisettevõtte kuulamisel eelarvekontrollikomisjonis esitatud lisateabe põhjal, et seda küsimust käsitletakse koostöös juhatusega; kordab sellega seoses kontrollikoja soovitust Euroopa kõrgjõudlusega andmetöötluse ühisettevõttele toetada praeguse eesmärgi ümberhindamist komisjoni poolt, tagamaks, et ta suudab saavutada oma erasektori liikmete sissemakse eesmärgi programmide „Euroopa horisont“ ja „Digitaalne Euroopa“ raames, ning rõhutab veel kord, et eesmärgiks seatud sissemakse saavutamist tuleks pidada kohustuseks, mitte lihtsalt eesmärgiks;</w:t>
      </w:r>
    </w:p>
    <w:p w14:paraId="674A461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22.</w:t>
      </w:r>
      <w:r w:rsidRPr="006B2FBD">
        <w:rPr>
          <w:kern w:val="2"/>
          <w14:ligatures w14:val="standardContextual"/>
        </w:rPr>
        <w:tab/>
        <w:t>rõhutab, et suurema tõhususe edendamiseks on ühisettevõtete ühtses põhiõigusaktis sätestatud ühisettevõtete kohustus saavutada koostoime, töötades välja mitmes kindlaksmääratud valdkonnas toimivad tugiteenused; mõistab, et asjaomased ühisettevõtted on seadnud prioriteediks neli valdkonda, nimelt raamatupidamistegevus, õigusalane tegevus, info- ja kommunikatsioonitehnoloogia ning inimressursid; peab sellega seoses eriti kiiduväärseks:</w:t>
      </w:r>
    </w:p>
    <w:p w14:paraId="276EF582"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asjaolu, et raamatupidamisega seotud tugiteenuste kord on kehtinud alates 2022. aasta detsembrist ja kehtis seega kogu 2023. eelarveaasta jooksul, mida võis täheldada raamatupidamise aastaaruannete koostamisel, samuti asjaolu, et Euroopa Raudtee Ühisettevõte võttis nende tugiteenuste korraldamisel juhtrolli;</w:t>
      </w:r>
    </w:p>
    <w:p w14:paraId="66CD5550"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 xml:space="preserve">asjaolu, et Bioressursipõhise Ringmajandusega Euroopa Ühisettevõte ja Innovatiivse Tervishoiu Algatuse Ühisettevõte võtsid juhtrolli tugiteenuste korraldamisel ühise värbamise, inimressursside õigusraamistiku ja </w:t>
      </w:r>
      <w:r w:rsidRPr="006B2FBD">
        <w:rPr>
          <w:kern w:val="2"/>
          <w14:ligatures w14:val="standardContextual"/>
        </w:rPr>
        <w:lastRenderedPageBreak/>
        <w:t xml:space="preserve">inimressursside </w:t>
      </w:r>
      <w:proofErr w:type="spellStart"/>
      <w:r w:rsidRPr="006B2FBD">
        <w:rPr>
          <w:kern w:val="2"/>
          <w14:ligatures w14:val="standardContextual"/>
        </w:rPr>
        <w:t>digiteerimise</w:t>
      </w:r>
      <w:proofErr w:type="spellEnd"/>
      <w:r w:rsidRPr="006B2FBD">
        <w:rPr>
          <w:kern w:val="2"/>
          <w14:ligatures w14:val="standardContextual"/>
        </w:rPr>
        <w:t xml:space="preserve"> haldamisel;</w:t>
      </w:r>
    </w:p>
    <w:p w14:paraId="6E4EDD23"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c)</w:t>
      </w:r>
      <w:r w:rsidRPr="006B2FBD">
        <w:rPr>
          <w:kern w:val="2"/>
          <w14:ligatures w14:val="standardContextual"/>
        </w:rPr>
        <w:tab/>
        <w:t>asjaolu, et Saastevaba Vesiniku Ühisettevõte ja Innovatiivse Tervishoiu Algatuse Ühisettevõte võtsid juhtrolli tugiteenuste korraldamisel info- ja kommunikatsioonitehnoloogia teenuste haldamisel;</w:t>
      </w:r>
    </w:p>
    <w:p w14:paraId="62868A50"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d)</w:t>
      </w:r>
      <w:r w:rsidRPr="006B2FBD">
        <w:rPr>
          <w:kern w:val="2"/>
          <w14:ligatures w14:val="standardContextual"/>
        </w:rPr>
        <w:tab/>
        <w:t>asjaolu, et Keskkonnahoidliku Lennunduse Ühisettevõte, Euroopa Raudtee Ühisettevõte ja Euroopa kõrgjõudlusega andmetöötluse ühisettevõte võtsid juhtrolli tugiteenuste korraldamisel haldushangete haldamisel;</w:t>
      </w:r>
    </w:p>
    <w:p w14:paraId="5E750FFA"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e)</w:t>
      </w:r>
      <w:r w:rsidRPr="006B2FBD">
        <w:rPr>
          <w:kern w:val="2"/>
          <w14:ligatures w14:val="standardContextual"/>
        </w:rPr>
        <w:tab/>
        <w:t xml:space="preserve">asjaolu, et ühisettevõtted jätkavad </w:t>
      </w:r>
      <w:proofErr w:type="spellStart"/>
      <w:r w:rsidRPr="006B2FBD">
        <w:rPr>
          <w:kern w:val="2"/>
          <w14:ligatures w14:val="standardContextual"/>
        </w:rPr>
        <w:t>White</w:t>
      </w:r>
      <w:proofErr w:type="spellEnd"/>
      <w:r w:rsidRPr="006B2FBD">
        <w:rPr>
          <w:kern w:val="2"/>
          <w14:ligatures w14:val="standardContextual"/>
        </w:rPr>
        <w:t xml:space="preserve"> </w:t>
      </w:r>
      <w:proofErr w:type="spellStart"/>
      <w:r w:rsidRPr="006B2FBD">
        <w:rPr>
          <w:kern w:val="2"/>
          <w14:ligatures w14:val="standardContextual"/>
        </w:rPr>
        <w:t>Atriumi</w:t>
      </w:r>
      <w:proofErr w:type="spellEnd"/>
      <w:r w:rsidRPr="006B2FBD">
        <w:rPr>
          <w:kern w:val="2"/>
          <w14:ligatures w14:val="standardContextual"/>
        </w:rPr>
        <w:t xml:space="preserve"> hoones asuvate ühisettevõtete ühise strateegilise IKT kava rakendamist;</w:t>
      </w:r>
    </w:p>
    <w:p w14:paraId="4BF2DFC2"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23.</w:t>
      </w:r>
      <w:r w:rsidRPr="006B2FBD">
        <w:rPr>
          <w:kern w:val="2"/>
          <w14:ligatures w14:val="standardContextual"/>
        </w:rPr>
        <w:tab/>
        <w:t>kutsub ühtsest põhiõigusaktist tuleneva kohustusega seotud ühisettevõtteid üles jätkama aruandlust tugiteenuste korra kehtestamise kohta, andma selget teavet selle kohta, millised ühisettevõtted täidavad teatavates valdkondades ülesandeid teiste ühisettevõtete jaoks, lisama prioriteetide loetellu võimalikult kiiresti teabevahetuse, logistika, ürituste ja koosolekuruumide haldamise ning auditi- ja pettusevastaste strateegiate toetamise ning andma teavet valdkondade kohta, mida tuleks tulevaste tugiteenuste korra kehtestamisel kaaluda, kui prioriteetseks tunnistatud valdkondades on korraldused lõpule viidud;</w:t>
      </w:r>
    </w:p>
    <w:p w14:paraId="3F7EEB92"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Hanked ja pakkumused</w:t>
      </w:r>
    </w:p>
    <w:p w14:paraId="03200E9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24.</w:t>
      </w:r>
      <w:r w:rsidRPr="006B2FBD">
        <w:rPr>
          <w:kern w:val="2"/>
          <w14:ligatures w14:val="standardContextual"/>
        </w:rPr>
        <w:tab/>
        <w:t>kordab kontrollikoja muret hankemenetluste pärast ja kutsub ühisettevõtteid üles tagama, et asjakohaste õigusnormide järgimine ja teatavate hankemenetluste puhul vajalik keerukus ei tooks kaasa suuremat riski tegevuskulude seaduslikkusele ja korrektsusele; tunneb täpsemalt muret järgmise pärast:</w:t>
      </w:r>
    </w:p>
    <w:p w14:paraId="7FDB91EF"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 xml:space="preserve">Innovatiivse Tervishoiu Algatuse Ühisettevõtte ja Kiipide Ühisettevõtte olukord, mille puhul kontrollikoda täheldas puudusi ühe olulise hankemenetluse kavandamisel ja hindamisel; võtab teadmiseks, et selle asjaolu tõttu ei pidanud kontrollikoda siiski selle ühisettevõtte tegevuskontrolli kulusid ohustavat riski keskmiseks ega kõrgeks; rõhutab sellele vaatamata asjaolu, et sellised puudused võivad kaasa tuua </w:t>
      </w:r>
      <w:proofErr w:type="spellStart"/>
      <w:r w:rsidRPr="006B2FBD">
        <w:rPr>
          <w:kern w:val="2"/>
          <w14:ligatures w14:val="standardContextual"/>
        </w:rPr>
        <w:t>eeskirjadevastased</w:t>
      </w:r>
      <w:proofErr w:type="spellEnd"/>
      <w:r w:rsidRPr="006B2FBD">
        <w:rPr>
          <w:kern w:val="2"/>
          <w14:ligatures w14:val="standardContextual"/>
        </w:rPr>
        <w:t xml:space="preserve"> lepingud ja maksed, kui neid tulevastes hankemenetlustes ei kõrvaldata; väljendab heameelt ühisettevõtete valmisoleku üle võtta nende konkreetsete juhtumite puhul meetmeid ja parandada oma hankemenetlusi;</w:t>
      </w:r>
    </w:p>
    <w:p w14:paraId="257A860C"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b)</w:t>
      </w:r>
      <w:r w:rsidRPr="006B2FBD">
        <w:rPr>
          <w:kern w:val="2"/>
          <w14:ligatures w14:val="standardContextual"/>
        </w:rPr>
        <w:tab/>
        <w:t>asjaolu, et kontrollikoja hinnangul on risk Euroopa kõrgjõudlusega andmetöötluse ühisettevõtte ning ITERi ja tuumasünteesienergeetika arendamise Euroopa ühisettevõtte lepingutega seotud tegevuskuludele nende suure maksumusega lepingute keerukate hankemenetluste tõttu keskmine;</w:t>
      </w:r>
    </w:p>
    <w:p w14:paraId="68754D74"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25.</w:t>
      </w:r>
      <w:r w:rsidRPr="006B2FBD">
        <w:rPr>
          <w:kern w:val="2"/>
          <w14:ligatures w14:val="standardContextual"/>
        </w:rPr>
        <w:tab/>
        <w:t xml:space="preserve">rõhutab Euroopa kõrgjõudlusega andmetöötluse ühisettevõtte finantsriski raskustes tarnija suhtes, mille mõju võib ühisettevõtte hinnangul ulatuda 0 eurost kuni hinnangulise maksimaalse 88 miljoni euroni; mõistab ühisettevõtte raamatupidamise aastaaruande põhjal, et seda olukorda uuritakse hoolikalt; kutsub ühisettevõtet üles võtma kõik vajalikud meetmed finantskohustuste vähendamiseks; väljendab heameelt asjaomase ühisettevõtte kuulamisel eelarvekontrollikomisjonis esitatud lisateabe üle, eelkõige seoses asjaomase ühisettevõtte taotletud lisatagatistega, et vähendada </w:t>
      </w:r>
      <w:r w:rsidRPr="006B2FBD">
        <w:rPr>
          <w:kern w:val="2"/>
          <w14:ligatures w14:val="standardContextual"/>
        </w:rPr>
        <w:lastRenderedPageBreak/>
        <w:t>kõnealust finantskohustust, ning selgitustega selle konkreetse tarnija olulise rolli kohta;</w:t>
      </w:r>
    </w:p>
    <w:p w14:paraId="772945D6"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26.</w:t>
      </w:r>
      <w:r w:rsidRPr="006B2FBD">
        <w:rPr>
          <w:kern w:val="2"/>
          <w14:ligatures w14:val="standardContextual"/>
        </w:rPr>
        <w:tab/>
        <w:t>võtab teadmiseks asjaolu, et ühisettevõtete esitatud kvantitatiivsed andmed soolise tasakaalu kohta ühisettevõtetega koostööd tegema valitud ekspertide hulgas on erineva üksikasjalikkuse ja juurdepääsetavuse tasemega; kutsub kõiki ühisettevõtteid üles suurendama läbipaistvust ja lisama tulevastesse iga-aastastesse tegevusaruannetesse selged kvantitatiivsed andmed soolise tasakaalu kohta valitud ekspertide osas; kutsub kõiki ühisettevõtteid üles kõigil tasanditel soolise võrdõiguslikkuse edendamiseks rohkem pingutama ja tagama, et sooline tasakaal jääks kõigis hangete, toetuste ja pakkumustega seotud tegevustes horisontaalseks prioriteediks, ning andma selgitusi, kui soolist tasakaalu ei ole võimalik saavutada;</w:t>
      </w:r>
    </w:p>
    <w:p w14:paraId="056915C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27.</w:t>
      </w:r>
      <w:r w:rsidRPr="006B2FBD">
        <w:rPr>
          <w:kern w:val="2"/>
          <w14:ligatures w14:val="standardContextual"/>
        </w:rPr>
        <w:tab/>
        <w:t>võtab teadmiseks asjaolu, et ühisettevõtete esitatud kvantitatiivsed andmed geograafilise jaotuse kohta ühisettevõtetega koostööd tegema valitud ekspertide osas on erineva üksikasjalikkuse ja juurdepääsetavuse tasemega; kutsub kõiki ühisettevõtteid üles lisama oma tulevastesse iga-aastastesse tegevusaruannetesse selged kvantitatiivsed andmed valitud ekspertide geograafilise jaotuse kohta; kutsub kõiki ühisettevõtteid üles tagama, et geograafiline jaotus jääks kõigis hangete, toetuste ja pakkumustega seotud tegevustes horisontaalseks prioriteediks, ning andma selgitusi, kui piisavat geograafilist jaotust ei ole võimalik saavutada;</w:t>
      </w:r>
    </w:p>
    <w:p w14:paraId="2B74866C"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28</w:t>
      </w:r>
      <w:r w:rsidRPr="006B2FBD">
        <w:rPr>
          <w:i/>
          <w:kern w:val="2"/>
          <w14:ligatures w14:val="standardContextual"/>
        </w:rPr>
        <w:t>.</w:t>
      </w:r>
      <w:r w:rsidRPr="006B2FBD">
        <w:rPr>
          <w:b/>
          <w:i/>
          <w:kern w:val="2"/>
          <w14:ligatures w14:val="standardContextual"/>
        </w:rPr>
        <w:tab/>
      </w:r>
      <w:r w:rsidRPr="006B2FBD">
        <w:rPr>
          <w:kern w:val="2"/>
          <w14:ligatures w14:val="standardContextual"/>
        </w:rPr>
        <w:t xml:space="preserve">nõuab ühisettevõtete rahaliste vahendite õiglast ja võrdset geograafilist jaotust, tagades selle, et väiksema innovatsioonisuutlikkusega piirkonnad ja </w:t>
      </w:r>
      <w:proofErr w:type="spellStart"/>
      <w:r w:rsidRPr="006B2FBD">
        <w:rPr>
          <w:kern w:val="2"/>
          <w14:ligatures w14:val="standardContextual"/>
        </w:rPr>
        <w:t>VKEd</w:t>
      </w:r>
      <w:proofErr w:type="spellEnd"/>
      <w:r w:rsidRPr="006B2FBD">
        <w:rPr>
          <w:kern w:val="2"/>
          <w14:ligatures w14:val="standardContextual"/>
        </w:rPr>
        <w:t xml:space="preserve"> saavad piisavat toetust;</w:t>
      </w:r>
    </w:p>
    <w:p w14:paraId="3055B9FF"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Töötajad ja töölevõtmine</w:t>
      </w:r>
    </w:p>
    <w:p w14:paraId="63CD4087"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29.</w:t>
      </w:r>
      <w:r w:rsidRPr="006B2FBD">
        <w:rPr>
          <w:kern w:val="2"/>
          <w14:ligatures w14:val="standardContextual"/>
        </w:rPr>
        <w:tab/>
        <w:t xml:space="preserve">on mures töötajate töölevõtmise olukorra pärast Euroopa kõrgjõudlusega andmetöötluse ühisettevõttes, mis sai 2023. aasta lõpuks 39 täiendavat ametikohta, et kasutada ära kehtiva mitmeaastase finantsraamistiku raames saadud märkimisväärsed rahalised vahendid, kuid ühisettevõttel õnnestus võtta tööle ainult 21 uut töötajat; on lisaks mures kontrollikoja hinnangu pärast, milles leiti, et ühisettevõtete värbamismenetlused ei olnud piisavalt läbipaistvad, kuna puudusid selged ja eelnevalt kokku lepitud hindamiskriteeriumid kandidaatide ja nende kvalifikatsiooni hindamiseks, samuti puudusid piisavad otsustusprotsessi aluseks olevad dokumendid; peab kahetsusväärseks, et kontrollikoja arvates võis selline olukord põhjustada kandidaatide ebavõrdset kohtlemist; tuletab meelde, et äärmiselt oluline on vältida </w:t>
      </w:r>
      <w:proofErr w:type="spellStart"/>
      <w:r w:rsidRPr="006B2FBD">
        <w:rPr>
          <w:kern w:val="2"/>
          <w14:ligatures w14:val="standardContextual"/>
        </w:rPr>
        <w:t>topeltstandardite</w:t>
      </w:r>
      <w:proofErr w:type="spellEnd"/>
      <w:r w:rsidRPr="006B2FBD">
        <w:rPr>
          <w:kern w:val="2"/>
          <w14:ligatures w14:val="standardContextual"/>
        </w:rPr>
        <w:t xml:space="preserve"> kohaldamist värbamisprotsessi ajal, ning nõuab sellega seoses kõigi vajalike meetmete võtmist; kordab sellega seoses kontrollikoja soovitust Euroopa kõrgjõudlusega andmetöötluse ühisettevõttele kasutada senisest arvukamat töötajaskonda oma värbamiseesmärgi mõjusaks saavutamiseks 2024. aasta lõpuks, kusjuures värbamismenetluste läbipaistvuse suurendamiseks ja valikukomisjoni otsustusprotsesside põhjendamiseks peaks Euroopa kõrgjõudlusega andmetöötluse ühisettevõte kasutama eelvaliku etapis eelnevalt kokku lepitud punktitabelit kooskõlas teiste ühisettevõtete ja liidu asutuste praktikaga; väljendab heameelt ühisettevõtte valmisoleku üle võtta arvesse parandusettepanekuid;</w:t>
      </w:r>
    </w:p>
    <w:p w14:paraId="54317387"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30.</w:t>
      </w:r>
      <w:r w:rsidRPr="006B2FBD">
        <w:rPr>
          <w:b/>
          <w:i/>
          <w:kern w:val="2"/>
          <w14:ligatures w14:val="standardContextual"/>
        </w:rPr>
        <w:tab/>
      </w:r>
      <w:r w:rsidRPr="006B2FBD">
        <w:rPr>
          <w:kern w:val="2"/>
          <w14:ligatures w14:val="standardContextual"/>
        </w:rPr>
        <w:t xml:space="preserve">rõhutab vajadust sidusa ja õiglase personalipoliitika järele kõigis ühisettevõtetes, et tagada töötajatele piisavad ja kaasavad töötingimused, karjäärivõimalused ning töö- ja eraelu tasakaal; nõuab meetmete rakendamist, et hoida ära liigne tuginemine ajutistele lepingutele ja ebakindlatele töösuhetele; rõhutab vaimse tervise tugistruktuuride, </w:t>
      </w:r>
      <w:r w:rsidRPr="006B2FBD">
        <w:rPr>
          <w:kern w:val="2"/>
          <w14:ligatures w14:val="standardContextual"/>
        </w:rPr>
        <w:lastRenderedPageBreak/>
        <w:t>paindliku töökorralduse ja õiglaste asutusesiseste edutamisvõimaluste tähtsust töötajate heaolu parandamiseks;</w:t>
      </w:r>
    </w:p>
    <w:p w14:paraId="0829DEE2"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31.</w:t>
      </w:r>
      <w:r w:rsidRPr="006B2FBD">
        <w:rPr>
          <w:kern w:val="2"/>
          <w14:ligatures w14:val="standardContextual"/>
        </w:rPr>
        <w:tab/>
        <w:t>kutsub kõiki ühisettevõtteid üles võtma konkreetseid meetmeid, et parandada soolist tasakaalu juhtivatel ametikohtadel ja otsuseid tegevates organites, sealhulgas seada soolise tasakaalu eesmärgid ja jälgida korrapäraselt edusamme; rõhutab vajadust tegeleda soolise palgalõhega ja tagada võrdsed võimalused karjääri edendamiseks;</w:t>
      </w:r>
    </w:p>
    <w:p w14:paraId="4958399A"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32.</w:t>
      </w:r>
      <w:r w:rsidRPr="006B2FBD">
        <w:rPr>
          <w:kern w:val="2"/>
          <w14:ligatures w14:val="standardContextual"/>
        </w:rPr>
        <w:tab/>
        <w:t>võtab teadmiseks, et kontrollikoda pidas halduskulude seaduslikkust ja korrektsust ohustavat riski madalaks kõigi ühisettevõtete puhul, välja arvatud Kiipide Ühisettevõte ja Euroopa kõrgjõudlusega andmetöötluse ühisettevõte, mille puhul leiti, et see on keskmine nende kõrge värbamistaseme tõttu, samuti Nutivõrkude ja -teenuste Ühisettevõte ja Ülemaailmse Tervisealgatuse EDCTP3 Ühisettevõte puhul nende hiljuti saavutatud finantsautonoomia tõttu;</w:t>
      </w:r>
    </w:p>
    <w:p w14:paraId="58A696F2"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33.</w:t>
      </w:r>
      <w:r w:rsidRPr="006B2FBD">
        <w:rPr>
          <w:kern w:val="2"/>
          <w14:ligatures w14:val="standardContextual"/>
        </w:rPr>
        <w:tab/>
        <w:t>on mures ITERi ja tuumasünteesienergeetika arendamise Euroopa ühisettevõtte olukorra pärast seoses kontrollikoja täheldatud erinevate inimressursside haldamisega seotud aspektidega, eriti seoses väliste teenuseosutajate kasutamisega, eelkõige seoses järgmisega:</w:t>
      </w:r>
    </w:p>
    <w:p w14:paraId="09F99F21" w14:textId="77777777" w:rsidR="006B2FBD" w:rsidRPr="006B2FBD" w:rsidRDefault="006B2FBD" w:rsidP="006B2FBD">
      <w:pPr>
        <w:spacing w:after="240"/>
        <w:ind w:left="1134" w:hanging="567"/>
        <w:rPr>
          <w:kern w:val="2"/>
          <w:szCs w:val="24"/>
          <w14:ligatures w14:val="standardContextual"/>
        </w:rPr>
      </w:pPr>
      <w:r w:rsidRPr="006B2FBD">
        <w:rPr>
          <w:kern w:val="2"/>
          <w14:ligatures w14:val="standardContextual"/>
        </w:rPr>
        <w:t>a)</w:t>
      </w:r>
      <w:r w:rsidRPr="006B2FBD">
        <w:rPr>
          <w:kern w:val="2"/>
          <w14:ligatures w14:val="standardContextual"/>
        </w:rPr>
        <w:tab/>
        <w:t>ühisettevõtte suur sõltuvus välistest teenuseosutajatest, kuna täheldati, et peaaegu pooled ühisettevõtte töötajatest olid välised teenuseosutajad (2023. aastal 361 välist teenuseosutajat ja 429 koosseisulist töötajat), mis muudab selle olukorra kriitiliseks probleemiks, millel võib olla ulatuslik mõju ühisettevõtte suutlikkusele hallata oma inimressursse kestlikult, tagades samal ajal võime säilitada teadmisi ja institutsioonilist mälu, mis võimaldab ka pikas perspektiivis rahalist kasu;</w:t>
      </w:r>
    </w:p>
    <w:p w14:paraId="485A66F7"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b)</w:t>
      </w:r>
      <w:r w:rsidRPr="006B2FBD">
        <w:rPr>
          <w:kern w:val="2"/>
          <w14:ligatures w14:val="standardContextual"/>
        </w:rPr>
        <w:tab/>
        <w:t xml:space="preserve">asjaolu, et ühisettevõte ei võtnud vastu ühtset ametlikku määratlust väliste teenuseosutajate kohta, mistõttu ei olnud selge, kuidas ühisettevõte hindab nende mõju koosseisuliste töötajate vajadustele; märgib lisaks, et ühisettevõtte riskiregister ei sisaldanud kõiki võimalikke riske, mis on seotud suure sõltuvusega välistest teenuseosutajatest pikas perspektiivis, ning see võib takistada ühisettevõtte sisekontrollil kehtestada nende riskide leevendamiseks piisavaid </w:t>
      </w:r>
      <w:proofErr w:type="spellStart"/>
      <w:r w:rsidRPr="006B2FBD">
        <w:rPr>
          <w:kern w:val="2"/>
          <w14:ligatures w14:val="standardContextual"/>
        </w:rPr>
        <w:t>riskimaandamismeetmeid</w:t>
      </w:r>
      <w:proofErr w:type="spellEnd"/>
      <w:r w:rsidRPr="006B2FBD">
        <w:rPr>
          <w:kern w:val="2"/>
          <w14:ligatures w14:val="standardContextual"/>
        </w:rPr>
        <w:t>;</w:t>
      </w:r>
    </w:p>
    <w:p w14:paraId="4F2CF17D"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c)</w:t>
      </w:r>
      <w:r w:rsidRPr="006B2FBD">
        <w:rPr>
          <w:kern w:val="2"/>
          <w14:ligatures w14:val="standardContextual"/>
        </w:rPr>
        <w:tab/>
        <w:t>komisjoni siseauditi talituse poolt selles küsimuses läbi viidud auditi tulemused, mis näitasid, et ühisettevõte ei olnud loonud keskset funktsiooni väliste teenuseosutajate koordineerimiseks ja haldamiseks ega metoodikat, et hinnata oma üldist personalivajadust ja eelkõige vajadust väliste teenuseosutajate järele; rõhutab, et täheldati, et ühisettevõtte otsus väliste teenuseosutajate kasutamise kohta põhines seega pigem eelarveprobleemidel kui personalivajadusel;</w:t>
      </w:r>
    </w:p>
    <w:p w14:paraId="0A39277F"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d)</w:t>
      </w:r>
      <w:r w:rsidRPr="006B2FBD">
        <w:rPr>
          <w:kern w:val="2"/>
          <w14:ligatures w14:val="standardContextual"/>
        </w:rPr>
        <w:tab/>
        <w:t>ühisettevõtte inimressursside alase aruandluse läbipaistmatus, eelkõige seoses alaliste ja ajutiste töötajate arvu esitamisega, arvestades seda, et 386 ajutisest ja lepingulisest töötajast 224 töötajal oli tegelikult tähtajatu leping ja seetõttu oleks neid võinud praktilisest seisukohast pidada alalisteks töötajateks; kutsub ühisettevõtet üles tulevikus selliseid nüansse oma personaliaruannetes välja tooma;</w:t>
      </w:r>
    </w:p>
    <w:p w14:paraId="4DACF9DE"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e)</w:t>
      </w:r>
      <w:r w:rsidRPr="006B2FBD">
        <w:rPr>
          <w:kern w:val="2"/>
          <w14:ligatures w14:val="standardContextual"/>
        </w:rPr>
        <w:tab/>
        <w:t xml:space="preserve">kordab kontrollikoja soovitust ITERi ja tuumasünteesienergeetika arendamise </w:t>
      </w:r>
      <w:r w:rsidRPr="006B2FBD">
        <w:rPr>
          <w:kern w:val="2"/>
          <w14:ligatures w14:val="standardContextual"/>
        </w:rPr>
        <w:lastRenderedPageBreak/>
        <w:t>Euroopa ühisettevõttele luua väliste teenuseosutajate keskne koordineerimis- ja juhtimisfunktsioon ning võtta vastu terviklik metoodika, et korrapäraselt hinnata oma kogu personalivajadust eeldatava töökoormuse ja nõutavate oskuste alusel, ning et asjaomane ühisettevõte peaks täiendama oma riskiregistrit ka kõige olulisemate riskidega, mis tulenevad väliste teenuseosutajate laialdasest kasutamisest pikas perspektiivis;</w:t>
      </w:r>
    </w:p>
    <w:p w14:paraId="7FFAA577" w14:textId="77777777" w:rsidR="006B2FBD" w:rsidRPr="006B2FBD" w:rsidRDefault="006B2FBD" w:rsidP="006B2FBD">
      <w:pPr>
        <w:spacing w:after="240"/>
        <w:ind w:left="1134" w:hanging="567"/>
        <w:rPr>
          <w:kern w:val="2"/>
          <w14:ligatures w14:val="standardContextual"/>
        </w:rPr>
      </w:pPr>
      <w:r w:rsidRPr="006B2FBD">
        <w:rPr>
          <w:kern w:val="2"/>
          <w14:ligatures w14:val="standardContextual"/>
        </w:rPr>
        <w:t>f)</w:t>
      </w:r>
      <w:r w:rsidRPr="006B2FBD">
        <w:rPr>
          <w:kern w:val="2"/>
          <w14:ligatures w14:val="standardContextual"/>
        </w:rPr>
        <w:tab/>
        <w:t>väljendab heameelt ühisettevõtte võetud kohustuste üle ja väljendab heameelt selgituste üle probleemide kohta, mis toovad kaasa väliste teenuseosutajate laialdase kasutamise; on siiski mures selle märkimisväärse sõltuvuse ja sellega seotud riskide pärast; kutsub ühisettevõtet üles andma tulevikus üksikasjalikumat teavet otsustusprotsesside kohta, mis viivad väliste teenuseosutajate kasutamiseni;</w:t>
      </w:r>
    </w:p>
    <w:p w14:paraId="4DAAD50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34.</w:t>
      </w:r>
      <w:r w:rsidRPr="006B2FBD">
        <w:rPr>
          <w:kern w:val="2"/>
          <w14:ligatures w14:val="standardContextual"/>
        </w:rPr>
        <w:tab/>
        <w:t>võtab teadmiseks asjaolu, et ühisettevõtete poolt iga-aastastes tegevusaruannetes töötajate ning juhtorganite ja -struktuuride soolise tasakaalu kohta esitatud kvantitatiivsete andmete üksikasjalikkuse ja juurdepääsetavuse tase on erinev; kutsub kõiki ühisettevõtteid üles lisama oma tulevastesse iga-aastastesse tegevusaruannetesse selge osa, mis käsitleb kvantitatiivseid andmeid soolise tasakaalu kohta nende töötajate seas ning juhtorganites ja -struktuurides, sealhulgas andmeid eri vastutustasandite ja eri lepinguliikide lõikes; kutsub kõiki ühisettevõtteid üles tagama, et sooline tasakaal jääks eesmärgiks kõigil vastutustasanditel, ning püüdma järjekindlalt seda edendada, et tagada ühiskonna õiglane esindatus töötajate hulgas ning edendada tervislikku ja produktiivset töökeskkonda, ning andma selgitusi, kui soolist tasakaalu ei ole võimalik saavutada;</w:t>
      </w:r>
    </w:p>
    <w:p w14:paraId="2DBBE8E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35.</w:t>
      </w:r>
      <w:r w:rsidRPr="006B2FBD">
        <w:rPr>
          <w:kern w:val="2"/>
          <w14:ligatures w14:val="standardContextual"/>
        </w:rPr>
        <w:tab/>
        <w:t>võtab teadmiseks asjaolu, et ühisettevõtete poolt iga-aastastes tegevusaruannetes töötajate ning juhtorganite ja -struktuuride geograafilise jaotuse kohta esitatud kvantitatiivsete andmete üksikasjalikkuse ja juurdepääsetavuse tase on erinev; kutsub kõiki ühisettevõtteid üles lisama oma tulevastesse iga-aastastesse tegevusaruannetesse selge osa, mis käsitleb kvantitatiivseid andmeid geograafilise jaotuse kohta nende töötajate seas ning juhtorganites ja -struktuurides, sealhulgas andmeid eri vastutustasandite ja eri lepinguliikide lõikes; kutsub kõiki ühisettevõtteid üles tagama, et rahuldav geograafiline jaotus jääks eesmärgiks kõigil vastutustasanditel, ning andma selgitusi, kui piisavat geograafilist jaotust ei ole võimalik saavutada;</w:t>
      </w:r>
    </w:p>
    <w:p w14:paraId="1CE3B573"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36.</w:t>
      </w:r>
      <w:r w:rsidRPr="006B2FBD">
        <w:rPr>
          <w:kern w:val="2"/>
          <w14:ligatures w14:val="standardContextual"/>
        </w:rPr>
        <w:tab/>
        <w:t xml:space="preserve">väljendab heameelt ELi asutuste võrgustiku (EUAN) ning selle mitmekesisuse ja kaasamise töörühma töö üle, mille tulemusel koostati </w:t>
      </w:r>
      <w:proofErr w:type="spellStart"/>
      <w:r w:rsidRPr="006B2FBD">
        <w:rPr>
          <w:kern w:val="2"/>
          <w14:ligatures w14:val="standardContextual"/>
        </w:rPr>
        <w:t>EUANi</w:t>
      </w:r>
      <w:proofErr w:type="spellEnd"/>
      <w:r w:rsidRPr="006B2FBD">
        <w:rPr>
          <w:kern w:val="2"/>
          <w14:ligatures w14:val="standardContextual"/>
        </w:rPr>
        <w:t xml:space="preserve"> mitmekesisuse ja kaasamise harta; kutsub ühisettevõtteid üles seda hartat vastu võtma;</w:t>
      </w:r>
    </w:p>
    <w:p w14:paraId="66B4BF16"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37.</w:t>
      </w:r>
      <w:r w:rsidRPr="006B2FBD">
        <w:rPr>
          <w:b/>
          <w:i/>
          <w:kern w:val="2"/>
          <w14:ligatures w14:val="standardContextual"/>
        </w:rPr>
        <w:tab/>
      </w:r>
      <w:r w:rsidRPr="006B2FBD">
        <w:rPr>
          <w:kern w:val="2"/>
          <w14:ligatures w14:val="standardContextual"/>
        </w:rPr>
        <w:t>rõhutab, et ühisettevõtted tagavad selle, et rahastatud projektid aitavad kaasa sotsiaalsele heaolule ja kaasatusele, nendega austatakse töötajate õigusi ja töötingimusi ning need on kooskõlas kestlikule tehnoloogiale õiglase ülemineku põhimõtetega;</w:t>
      </w:r>
    </w:p>
    <w:p w14:paraId="3F13A5AE"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Haldus- ja kontrollisüsteemid</w:t>
      </w:r>
    </w:p>
    <w:p w14:paraId="6FC7D342"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38.</w:t>
      </w:r>
      <w:r w:rsidRPr="006B2FBD">
        <w:rPr>
          <w:kern w:val="2"/>
          <w14:ligatures w14:val="standardContextual"/>
        </w:rPr>
        <w:tab/>
        <w:t>väljendab heameelt kontrollikoja töö üle teadus- ja innovatsiooniprojekte rakendava kümne ühisettevõtte tehtud toetuste väljamaksete kontrollimisel, eelkõige seoses programmi „Horisont 2020“ raames tehtud toetuste väljamaksete valimi täiendava auditiga toetusesaajate tasandil; tunneb muret selle kontrolli tulemuste pärast, mis näitasid püsivate süsteemsete vigade esinemist, eelkõige deklareeritud personali- ja seadmete kulude osas; nõuab süsteemsete vigade parandamist;</w:t>
      </w:r>
    </w:p>
    <w:p w14:paraId="60007D04"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lastRenderedPageBreak/>
        <w:t>39.</w:t>
      </w:r>
      <w:r w:rsidRPr="006B2FBD">
        <w:rPr>
          <w:kern w:val="2"/>
          <w14:ligatures w14:val="standardContextual"/>
        </w:rPr>
        <w:tab/>
        <w:t>rõhutab, et kontrollikoda leidis programmi „Horisont 2020“ raames ühe kvantifitseeritud ja tõsise vea Keskkonnahoidliku Lennunduse Ühisettevõtte, Innovatiivse Tervishoiu Algatuse Ühisettevõtte, Saastevaba Vesiniku Ühisettevõtte, Bioressursipõhise Ringmajandusega Euroopa Ühisettevõtte ning Euroopa Raudtee Ühisettevõtte maksetes; väljendab heameelt sellega seoses tehtud algatuste üle, mille eesmärk on suurendada teadlikkust toetusesaajate tasandil; kutsub kõiki ühisettevõtteid üles tagama tegevuskulude seaduslikkus ja korrektsus ning rõhutab, et kontrollikoja hinnangul on ühisettevõtete vahe- ja lõppmaksete riskitase keskmine;</w:t>
      </w:r>
    </w:p>
    <w:p w14:paraId="0DC8EDFB"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40.</w:t>
      </w:r>
      <w:r w:rsidRPr="006B2FBD">
        <w:rPr>
          <w:b/>
          <w:i/>
          <w:kern w:val="2"/>
          <w14:ligatures w14:val="standardContextual"/>
        </w:rPr>
        <w:tab/>
      </w:r>
      <w:r w:rsidRPr="006B2FBD">
        <w:rPr>
          <w:kern w:val="2"/>
          <w14:ligatures w14:val="standardContextual"/>
        </w:rPr>
        <w:t>palub komisjonil teha järgmist: i) korraldada ühisettevõtete toetusesaajate kohustuslik finantskoolitus, et vältida korduvaid raamatupidamisvigu; ii) automatiseerida kontrollivahendid, et suurendada personalikulude arvutuste täpsust; iii) tagada rangemad eelauditi menetlused, et tagada liidu vahendite nõuetekohane kasutamine;</w:t>
      </w:r>
    </w:p>
    <w:p w14:paraId="705E5C65"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41.</w:t>
      </w:r>
      <w:r w:rsidRPr="006B2FBD">
        <w:rPr>
          <w:kern w:val="2"/>
          <w14:ligatures w14:val="standardContextual"/>
        </w:rPr>
        <w:tab/>
        <w:t>väljendab heameelt asjaolu üle, et kontrollikoja ekstrapolatsiooni kohaselt on kõigi ühisettevõtete keskmine veamäär toetuskulude puhul veidi alla olulisuse läve (2 %), samuti selle üle, et komisjoni ühise audititalituse arvutatud allesjäänud veamäärad olid samuti allpool olulisuse läve;</w:t>
      </w:r>
    </w:p>
    <w:p w14:paraId="6F0B80F4"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42.</w:t>
      </w:r>
      <w:r w:rsidRPr="006B2FBD">
        <w:rPr>
          <w:kern w:val="2"/>
          <w14:ligatures w14:val="standardContextual"/>
        </w:rPr>
        <w:tab/>
        <w:t>võtab teadmiseks asjaolu, et programmide „Euroopa horisont“ ja „Digitaalne Euroopa“ vahemaksete arv oli liiga väike, et kuuluda kontrollikoja 2023. aasta auditeeritud valimisse;</w:t>
      </w:r>
    </w:p>
    <w:p w14:paraId="275F10F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43.</w:t>
      </w:r>
      <w:r w:rsidRPr="006B2FBD">
        <w:rPr>
          <w:kern w:val="2"/>
          <w14:ligatures w14:val="standardContextual"/>
        </w:rPr>
        <w:tab/>
        <w:t xml:space="preserve">võtab teadmiseks asjaolu, et programmi „Euroopa horisont“ raames muudeti ühisettevõtete sisekontrolliraamistikku mitu korda, eelkõige selle, et komisjon ei kavatse enam teha konkreetseid representatiivseid </w:t>
      </w:r>
      <w:proofErr w:type="spellStart"/>
      <w:r w:rsidRPr="006B2FBD">
        <w:rPr>
          <w:kern w:val="2"/>
          <w14:ligatures w14:val="standardContextual"/>
        </w:rPr>
        <w:t>järelauditeid</w:t>
      </w:r>
      <w:proofErr w:type="spellEnd"/>
      <w:r w:rsidRPr="006B2FBD">
        <w:rPr>
          <w:kern w:val="2"/>
          <w14:ligatures w14:val="standardContextual"/>
        </w:rPr>
        <w:t xml:space="preserve"> programmi „Euroopa horisont“ üksikute sidusrühmade, näiteks ühisettevõtete nimel; märgib ka, et komisjon kavatseb kohaldada sama muudatust programmi „Digitaalne Euroopa“ raames tehtavatele toetusmaksetele;</w:t>
      </w:r>
    </w:p>
    <w:p w14:paraId="051BBFF6"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44.</w:t>
      </w:r>
      <w:r w:rsidRPr="006B2FBD">
        <w:rPr>
          <w:kern w:val="2"/>
          <w14:ligatures w14:val="standardContextual"/>
        </w:rPr>
        <w:tab/>
        <w:t xml:space="preserve">tunneb muret ITERi ja tuumasünteesienergeetika arendamise Euroopa ühisettevõtte riskijuhtimise ja selle siseauditi funktsioonide vahelise teabevahetuse, koostöö ja koordineerimise puudumise pärast, samuti sellega seotud integreeritud </w:t>
      </w:r>
      <w:proofErr w:type="spellStart"/>
      <w:r w:rsidRPr="006B2FBD">
        <w:rPr>
          <w:kern w:val="2"/>
          <w14:ligatures w14:val="standardContextual"/>
        </w:rPr>
        <w:t>riskijuhtimisprotsessi</w:t>
      </w:r>
      <w:proofErr w:type="spellEnd"/>
      <w:r w:rsidRPr="006B2FBD">
        <w:rPr>
          <w:kern w:val="2"/>
          <w14:ligatures w14:val="standardContextual"/>
        </w:rPr>
        <w:t xml:space="preserve"> puudumise pärast ning selle tõttu, et ühisettevõte ei suutnud esitada rahuldavaid tõendeid selle kohta, et ta kasutab siseauditi tegevuste kavandamisel korrapäraselt riskijuhtimist käsitlevat teavet; kordab sellega seoses kontrollikoja soovitust asjaomastele ühisettevõtetele rakendada oma sisekontrolliraamistikus integreeritud </w:t>
      </w:r>
      <w:proofErr w:type="spellStart"/>
      <w:r w:rsidRPr="006B2FBD">
        <w:rPr>
          <w:kern w:val="2"/>
          <w14:ligatures w14:val="standardContextual"/>
        </w:rPr>
        <w:t>riskijuhtimisprotsessi</w:t>
      </w:r>
      <w:proofErr w:type="spellEnd"/>
      <w:r w:rsidRPr="006B2FBD">
        <w:rPr>
          <w:kern w:val="2"/>
          <w14:ligatures w14:val="standardContextual"/>
        </w:rPr>
        <w:t>, et oma riske tulemuslikult ohjata; väljendab heameelt ühisettevõtte plaanide üle võtta selles küsimuses meetmeid;</w:t>
      </w:r>
    </w:p>
    <w:p w14:paraId="149FF21F"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45.</w:t>
      </w:r>
      <w:r w:rsidRPr="006B2FBD">
        <w:rPr>
          <w:kern w:val="2"/>
          <w14:ligatures w14:val="standardContextual"/>
        </w:rPr>
        <w:tab/>
        <w:t>rõhutab, kui oluline on rakendada ühisettevõtete jaoks terviklikku ja ajakohast talitluspidevuse kava ja avariitaastekava; peab sellega seoses kahetsusväärseks, et eelarveaastal 2023 ei olnud ühisettevõtetel, välja arvatud ITERi ja tuumasünteesienergeetika arendamise Euroopa ühisettevõttel, selles osas rahuldavat poliitikat; väljendab heameelt ühisettevõtte plaanide üle võtta selles küsimuses meetmeid;</w:t>
      </w:r>
    </w:p>
    <w:p w14:paraId="57185A1D"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46.</w:t>
      </w:r>
      <w:r w:rsidRPr="006B2FBD">
        <w:rPr>
          <w:kern w:val="2"/>
          <w14:ligatures w14:val="standardContextual"/>
        </w:rPr>
        <w:tab/>
        <w:t>juhib tähelepanu sellele, et Nutivõrkude ja -teenuste Ühisettevõte ning Ülemaailmse Tervisealgatuse EDCTP3 Ühisettevõte ei ole ikka veel täielikult rakendanud komisjoni sisekontrolliraamistikku, ning kutsub neid kahte ühisettevõtet üles seda raamistikku täielikult rakendama;</w:t>
      </w:r>
    </w:p>
    <w:p w14:paraId="5C45F5FB"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lastRenderedPageBreak/>
        <w:t>Pettus, eetika ja huvide konfliktid</w:t>
      </w:r>
    </w:p>
    <w:p w14:paraId="02FA8A29"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47.</w:t>
      </w:r>
      <w:r w:rsidRPr="006B2FBD">
        <w:rPr>
          <w:kern w:val="2"/>
          <w14:ligatures w14:val="standardContextual"/>
        </w:rPr>
        <w:tab/>
        <w:t xml:space="preserve">võtab teadmiseks asjaolu, et kontrollikoda esitas eelarveaasta 2023 auditi käigus Euroopa </w:t>
      </w:r>
      <w:proofErr w:type="spellStart"/>
      <w:r w:rsidRPr="006B2FBD">
        <w:rPr>
          <w:kern w:val="2"/>
          <w14:ligatures w14:val="standardContextual"/>
        </w:rPr>
        <w:t>Pettustevastasele</w:t>
      </w:r>
      <w:proofErr w:type="spellEnd"/>
      <w:r w:rsidRPr="006B2FBD">
        <w:rPr>
          <w:kern w:val="2"/>
          <w14:ligatures w14:val="standardContextual"/>
        </w:rPr>
        <w:t xml:space="preserve"> Ametile (OLAF) ühe teate pettusekahtluse kohta; mõistab, et OLAF lõpetas hiljem selle juhtumi menetlemise, kuna asjaomase personaliküsimusega seoses pettust ei täheldatud; väljendab heameelt kontrollikoja hoolsuse ja pettusevastase struktuuri raames tehtava koostöö üle;</w:t>
      </w:r>
    </w:p>
    <w:p w14:paraId="6092F08E"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48.</w:t>
      </w:r>
      <w:r w:rsidRPr="006B2FBD">
        <w:rPr>
          <w:kern w:val="2"/>
          <w14:ligatures w14:val="standardContextual"/>
        </w:rPr>
        <w:tab/>
        <w:t>rõhutab, kui oluline on kohaldada ühisettevõtete tundlike funktsioonide suhtes sisekontrolli põhimõtteid;</w:t>
      </w:r>
      <w:r w:rsidRPr="006B2FBD">
        <w:rPr>
          <w:b/>
          <w:i/>
          <w:kern w:val="2"/>
          <w14:ligatures w14:val="standardContextual"/>
        </w:rPr>
        <w:t xml:space="preserve"> </w:t>
      </w:r>
      <w:r w:rsidRPr="006B2FBD">
        <w:rPr>
          <w:kern w:val="2"/>
          <w14:ligatures w14:val="standardContextual"/>
        </w:rPr>
        <w:t>rõhutab, et selline poliitika võib ennetada ja leevendada sobimatute tegude või pettuste ohtu; peab kahetsusväärseks, et eelarveaasta 2023 lõpuks ei olnud Euroopa Lennuliikluse Uue Põlvkonna Juhtimissüsteemi (SESAR) Arendaval Kolmandal Ühisettevõttel, Saastevaba Vesiniku Ühisettevõttel, Kiipide Ühisettevõttel, Euroopa kõrgjõudlusega andmetöötluse ühisettevõttel ega ITERi ja tuumasünteesienergeetika arendamise Euroopa ühisettevõttel veel sellekohast poliitikat; rõhutab selle olukorra kriitilist iseloomu ja nõuab tungivalt, et ühisettevõtted võtaksid meetmeid ilma tarbetu viivituseta;</w:t>
      </w:r>
    </w:p>
    <w:p w14:paraId="00235122"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49.</w:t>
      </w:r>
      <w:r w:rsidRPr="006B2FBD">
        <w:rPr>
          <w:kern w:val="2"/>
          <w14:ligatures w14:val="standardContextual"/>
        </w:rPr>
        <w:tab/>
        <w:t>võtab teadmiseks kontrollikoja osutatud olukorra Kiipide Ühisettevõttes, kus üks ühisettevõttest hiljuti lahkunud kõrgem ametnik alustas uut ametialast tegevust ilma asjaomast ühisettevõtet eelnevalt teavitamata; kutsub asjaomast ühisettevõtet ja kõiki teisi ühisettevõtteid üles aktiivselt jälgima endiste kõrgemate ametnike ja tundlikel ametikohtadel töötavate töötajate uut ametialast tegevust; väljendab heameelt asjaomase ühisettevõtte esitatud täiendava teabe üle selle konkreetse juhtumi kohta;</w:t>
      </w:r>
    </w:p>
    <w:p w14:paraId="65EC2BCA"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50.</w:t>
      </w:r>
      <w:r w:rsidRPr="006B2FBD">
        <w:rPr>
          <w:b/>
          <w:i/>
          <w:kern w:val="2"/>
          <w14:ligatures w14:val="standardContextual"/>
        </w:rPr>
        <w:tab/>
      </w:r>
      <w:r w:rsidRPr="006B2FBD">
        <w:rPr>
          <w:kern w:val="2"/>
          <w14:ligatures w14:val="standardContextual"/>
        </w:rPr>
        <w:t>kutsub kõiki ühisettevõtteid üles tõhustama läbipaistvuspoliitikat, eelkõige seoses võimalike huvide konfliktidega; nõuab tungivalt, et ühisettevõtted avaldaksid oma juhatuse, teaduskomiteede ja välisekspertide liikmete huvide deklaratsioonid, tagades selle, et avalikustatakse kõik rahalised, ametialased või isiklikud sidemed üksustega, kes saavad ühisettevõtetelt rahalisi vahendeid; nõuab, et ühisettevõtete kõrgematele töötajatele kehtestataks kohustuslik ooteaeg, enne kui nad saavad asuda tööle organisatsioonides, mida ühisettevõtted rahastavad;</w:t>
      </w:r>
    </w:p>
    <w:p w14:paraId="3058C531"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51.</w:t>
      </w:r>
      <w:r w:rsidRPr="006B2FBD">
        <w:rPr>
          <w:kern w:val="2"/>
          <w14:ligatures w14:val="standardContextual"/>
        </w:rPr>
        <w:tab/>
        <w:t xml:space="preserve">võtab teadmiseks ühisettevõtete esitatud teabe pettuste ennetamise, avastamise ja kõrvaldamisega seotud tegevuse kohta; kutsub kõiki ühisettevõtteid üles tugevdama oma rolli ja selgitama välja oma nõrkused, osaledes edaspidi </w:t>
      </w:r>
      <w:proofErr w:type="spellStart"/>
      <w:r w:rsidRPr="006B2FBD">
        <w:rPr>
          <w:kern w:val="2"/>
          <w14:ligatures w14:val="standardContextual"/>
        </w:rPr>
        <w:t>pettustevastastes</w:t>
      </w:r>
      <w:proofErr w:type="spellEnd"/>
      <w:r w:rsidRPr="006B2FBD">
        <w:rPr>
          <w:kern w:val="2"/>
          <w14:ligatures w14:val="standardContextual"/>
        </w:rPr>
        <w:t xml:space="preserve"> aruteludes ja andes aru sellistest elementidest, ning lisama oma tulevastesse aruannetesse selge ülevaate sellekohase õigusraamistiku ja kehtestatud poliitika kohta;</w:t>
      </w:r>
    </w:p>
    <w:p w14:paraId="5891C4BD" w14:textId="77777777" w:rsidR="006B2FBD" w:rsidRPr="006B2FBD" w:rsidRDefault="006B2FBD" w:rsidP="006B2FBD">
      <w:pPr>
        <w:spacing w:after="240"/>
        <w:rPr>
          <w:b/>
          <w:i/>
          <w:kern w:val="2"/>
          <w14:ligatures w14:val="standardContextual"/>
        </w:rPr>
      </w:pPr>
      <w:r w:rsidRPr="006B2FBD">
        <w:rPr>
          <w:b/>
          <w:i/>
          <w:kern w:val="2"/>
          <w14:ligatures w14:val="standardContextual"/>
        </w:rPr>
        <w:t>Märkused ühisettevõtete eelmise eelarve täitmisele heakskiidu andmise menetluse järelmeetmete kohta</w:t>
      </w:r>
    </w:p>
    <w:p w14:paraId="6B355BA0"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52.</w:t>
      </w:r>
      <w:r w:rsidRPr="006B2FBD">
        <w:rPr>
          <w:kern w:val="2"/>
          <w14:ligatures w14:val="standardContextual"/>
        </w:rPr>
        <w:tab/>
        <w:t>väljendab heameelt selle üle, et ühisettevõtted on koostanud Euroopa Parlamendi resolutsioonide põhjal järelmeetmete aruanded koos tähelepanekutega, mis on ühisettevõtete 2022. aasta eelarve täitmisele heakskiidu andmist käsitlevate otsuste lahutamatu osa; märgib, et nendes aruannetes esitatakse ühisettevõtete seisukohad Euroopa Parlamendi esile tõstetud küsimustes rahuldaval määral;</w:t>
      </w:r>
    </w:p>
    <w:p w14:paraId="79090893"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53.</w:t>
      </w:r>
      <w:r w:rsidRPr="006B2FBD">
        <w:rPr>
          <w:kern w:val="2"/>
          <w14:ligatures w14:val="standardContextual"/>
        </w:rPr>
        <w:tab/>
        <w:t xml:space="preserve">väljendab heameelt asjaolu üle, et kontrollikoja aruanne sisaldab ka kontrollikoja avaldatud varasemate tähelepanekute ja soovituste põhjal ühisettevõtete võetud järelmeetmete analüüsi; märgib sellega seoses, et 37 tähelepanekust, millega ei olnud </w:t>
      </w:r>
      <w:r w:rsidRPr="006B2FBD">
        <w:rPr>
          <w:kern w:val="2"/>
          <w14:ligatures w14:val="standardContextual"/>
        </w:rPr>
        <w:lastRenderedPageBreak/>
        <w:t>2022. aasta lõpuks piisavalt tegeletud, oli 16 lõpetatud ja 2023. aasta lõpus jäi avatuks 21 tähelepanekut; märgib lisaks, et 2021. ja 2022. aasta aruannetes soovitatud 15 meetmest oli täielikult ellu viidud 9, suuremas osas oli ellu viidud 2, osaliselt oli ellu viidud 3 ja täielikult ellu viimata 1 meede; mõistab, et mõned soovitused, mida tuleb veel rakendada, on seotud peamiselt personaliküsimustega, mida ühisettevõtted saavad rakendada ainult koostöös komisjoni eelarve peadirektoraadiga ja alles siis, kui taotlused on rakendamiseks valmis; mõistab, et soovitused, mis tuli ellu viia enne 2023. aasta lõppu, viidi ellu õigeaegselt;</w:t>
      </w:r>
    </w:p>
    <w:p w14:paraId="6A9AEE8E"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54.</w:t>
      </w:r>
      <w:r w:rsidRPr="006B2FBD">
        <w:rPr>
          <w:kern w:val="2"/>
          <w14:ligatures w14:val="standardContextual"/>
        </w:rPr>
        <w:tab/>
        <w:t>väljendab heameelt asjaolu üle, et kontrollikoda on nüüd määranud tähtaja kõigi oma täitmata tegevussoovituste elluviimiseks, mis määrati kindlaks koostöös ühisettevõtetega, et tagada nende teostatavus; kutsub kõiki ühisettevõtteid üles andma nendes küsimustes jätkuvalt aru kontrollikojale ja Euroopa Parlamendile;</w:t>
      </w:r>
    </w:p>
    <w:p w14:paraId="54BEA0DD"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55.</w:t>
      </w:r>
      <w:r w:rsidRPr="006B2FBD">
        <w:rPr>
          <w:b/>
          <w:i/>
          <w:kern w:val="2"/>
          <w14:ligatures w14:val="standardContextual"/>
        </w:rPr>
        <w:tab/>
      </w:r>
      <w:r w:rsidRPr="006B2FBD">
        <w:rPr>
          <w:kern w:val="2"/>
          <w14:ligatures w14:val="standardContextual"/>
        </w:rPr>
        <w:t>märgib murega, et ITERi projekti rakendamisel esineb püsivaid probleeme, mis on seotud ülekulude, viivituste ja juhtimisprobleemidega; nõuab paremat finantsjärelevalvet ja eelarve suuremat läbipaistvust, sealhulgas üksikasjalikumat avalikku aruandlust kulude muutumise, kulutuste tõhususe ja projekti peamiste vahe-eesmärkide suunas liikumise kohta; rõhutab vajadust rangemate auditeerimismehhanismide järele, et tagada liidu toetuse mõjus kasutamine projekti elluviimiseks; nõuab tungivalt, et ühisettevõte tugevdaks sisemist juhtimist, tagades projektiriskide korrapärase ja sõltumatu hindamise ning laiendades kõrgema juhtkonna aruandlusmehhanisme;</w:t>
      </w:r>
    </w:p>
    <w:p w14:paraId="302E31FA"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Ühisettevõtete muud prioriteedid</w:t>
      </w:r>
    </w:p>
    <w:p w14:paraId="774008AD"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56.</w:t>
      </w:r>
      <w:r w:rsidRPr="006B2FBD">
        <w:rPr>
          <w:kern w:val="2"/>
          <w14:ligatures w14:val="standardContextual"/>
        </w:rPr>
        <w:tab/>
        <w:t>on teadlik ühisettevõtete haldus- ja eelarvepiirangutest ning kutsub ühisettevõtteid neid piiranguid arvesse võttes üles paremini eraldama oma teadus- ja innovatsioonitegevuse toetusi akadeemilistele ja teadusasutustele, avaliku ja erasektori organisatsioonidele ning Euroopa ja riiklikele ametiasutustele mõeldud kättesaadavate teabematerjalide kaudu; nõuab, et need kättesaadavad teabematerjalid edendaksid ühisettevõtete pakutavate hankelepingute sõlmimise ja toetuste andmise võimalusi teadus- ja innovatsioonitegevuse valdkonnas;</w:t>
      </w:r>
    </w:p>
    <w:p w14:paraId="6E99D246"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57.</w:t>
      </w:r>
      <w:r w:rsidRPr="006B2FBD">
        <w:rPr>
          <w:kern w:val="2"/>
          <w14:ligatures w14:val="standardContextual"/>
        </w:rPr>
        <w:tab/>
        <w:t>kutsub ühisettevõtteid üles osalema ennetavalt teavitustegevuses, et jõuda paljude ELi kodanikeni pedagoogiliste püüdlustega tutvustada oma panust ühiste eesmärkide saavutamisse ja vajadust institutsionaliseeritud partnerluste järele, millesse on kaasatud erasektori liikmed;</w:t>
      </w:r>
    </w:p>
    <w:p w14:paraId="1E24CA55"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58.</w:t>
      </w:r>
      <w:r w:rsidRPr="006B2FBD">
        <w:rPr>
          <w:b/>
          <w:i/>
          <w:kern w:val="2"/>
          <w14:ligatures w14:val="standardContextual"/>
        </w:rPr>
        <w:tab/>
      </w:r>
      <w:r w:rsidRPr="006B2FBD">
        <w:rPr>
          <w:kern w:val="2"/>
          <w14:ligatures w14:val="standardContextual"/>
        </w:rPr>
        <w:t>kutsub ühisettevõtteid üles seadma sisse koostöö ülikoolidega, et jõuda noorte kõrgkooli lõpetanud eurooplasteni ja tõhustada tulevasi värbamisprotsesse;</w:t>
      </w:r>
    </w:p>
    <w:p w14:paraId="0472DEF2"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59.</w:t>
      </w:r>
      <w:r w:rsidRPr="006B2FBD">
        <w:rPr>
          <w:kern w:val="2"/>
          <w14:ligatures w14:val="standardContextual"/>
        </w:rPr>
        <w:tab/>
        <w:t xml:space="preserve">kutsub ühisettevõtteid üles andma jätkuvalt tõhusalt ja oma suutlikkuse piires aru oma panusest tööhõivesse ja Euroopa majanduse konkurentsivõimesse, pidades silmas vajadust, et kõik Euroopa Liidu teadusuuringute ja innovatsiooni valdkonna olulised sidusrühmad keskenduksid Euroopa Liidu </w:t>
      </w:r>
      <w:proofErr w:type="spellStart"/>
      <w:r w:rsidRPr="006B2FBD">
        <w:rPr>
          <w:kern w:val="2"/>
          <w14:ligatures w14:val="standardContextual"/>
        </w:rPr>
        <w:t>taasindustrialiseerimisele</w:t>
      </w:r>
      <w:proofErr w:type="spellEnd"/>
      <w:r w:rsidRPr="006B2FBD">
        <w:rPr>
          <w:kern w:val="2"/>
          <w14:ligatures w14:val="standardContextual"/>
        </w:rPr>
        <w:t>;</w:t>
      </w:r>
    </w:p>
    <w:p w14:paraId="45DFA90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60.</w:t>
      </w:r>
      <w:r w:rsidRPr="006B2FBD">
        <w:rPr>
          <w:kern w:val="2"/>
          <w14:ligatures w14:val="standardContextual"/>
        </w:rPr>
        <w:tab/>
        <w:t>kutsub ühisettevõtteid üles jätkuvalt tagama eraettevõtjate, eriti väikeste ja keskmise suurusega ettevõtjate, kes on Euroopa majanduse suurim vara, piisava osaluse;</w:t>
      </w:r>
    </w:p>
    <w:p w14:paraId="306362F5"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61.</w:t>
      </w:r>
      <w:r w:rsidRPr="006B2FBD">
        <w:rPr>
          <w:kern w:val="2"/>
          <w14:ligatures w14:val="standardContextual"/>
        </w:rPr>
        <w:tab/>
        <w:t xml:space="preserve">kutsub ühisettevõtteid üles andma tõhusalt aru oma panusest Euroopa Liidu eelarve </w:t>
      </w:r>
      <w:r w:rsidRPr="006B2FBD">
        <w:rPr>
          <w:kern w:val="2"/>
          <w14:ligatures w14:val="standardContextual"/>
        </w:rPr>
        <w:lastRenderedPageBreak/>
        <w:t>horisontaalsetesse prioriteetidesse;</w:t>
      </w:r>
    </w:p>
    <w:p w14:paraId="6FD81171"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62.</w:t>
      </w:r>
      <w:r w:rsidRPr="006B2FBD">
        <w:rPr>
          <w:kern w:val="2"/>
          <w14:ligatures w14:val="standardContextual"/>
        </w:rPr>
        <w:tab/>
        <w:t>kutsub kõiki ühisettevõtteid üles tegutsema jätkuvalt hoolikalt oma töös rahvusvaheliste sidusrühmadega suhtlemisel, pidades eelkõige silmas Euroopa Liidu kehtestatud piiravate meetmete korda; rõhutab sellega seoses ITERi ja tuumasünteesienergeetika arendamise Euroopa ühisettevõtte erilist olukorda ning väljendab heameelt selgituste üle, mis anti asjaomase ühisettevõtte kuulamisel eelarvekontrollikomisjonis meetmete kohta, mis on kehtestatud ITERi projekti raames tekkivate probleemide vältimiseks;</w:t>
      </w:r>
    </w:p>
    <w:p w14:paraId="4F21FDFB" w14:textId="77777777" w:rsidR="006B2FBD" w:rsidRPr="006B2FBD" w:rsidRDefault="006B2FBD" w:rsidP="006B2FBD">
      <w:pPr>
        <w:spacing w:after="240"/>
        <w:ind w:left="567" w:hanging="567"/>
        <w:rPr>
          <w:kern w:val="2"/>
          <w14:ligatures w14:val="standardContextual"/>
        </w:rPr>
      </w:pPr>
      <w:r w:rsidRPr="006B2FBD">
        <w:rPr>
          <w:kern w:val="2"/>
          <w14:ligatures w14:val="standardContextual"/>
        </w:rPr>
        <w:t>63.</w:t>
      </w:r>
      <w:r w:rsidRPr="006B2FBD">
        <w:rPr>
          <w:kern w:val="2"/>
          <w14:ligatures w14:val="standardContextual"/>
        </w:rPr>
        <w:tab/>
        <w:t>kutsub kõiki ühisettevõtteid üles tagama, et nende töötajad kasutaksid kõigis asjakohastes valdkondades hästi ära võimalikku koostoimet teiste Euroopa Liidu üksustega, näiteks ametitega, et suurendada nende tegevuse tõhusust ja mõju; kutsub kõiki ühisettevõtteid üles tagama, et nende töötajad kasutavad parimal moel ära platvormi, mis moodustab ELi asutuste võrgustiku (EUAN);</w:t>
      </w:r>
    </w:p>
    <w:p w14:paraId="66196F9B" w14:textId="77777777" w:rsidR="006B2FBD" w:rsidRPr="006B2FBD" w:rsidRDefault="006B2FBD" w:rsidP="006B2FBD">
      <w:pPr>
        <w:spacing w:after="240"/>
        <w:ind w:left="567" w:hanging="567"/>
        <w:rPr>
          <w:b/>
          <w:i/>
          <w:kern w:val="2"/>
          <w14:ligatures w14:val="standardContextual"/>
        </w:rPr>
      </w:pPr>
      <w:r w:rsidRPr="006B2FBD">
        <w:rPr>
          <w:kern w:val="2"/>
          <w14:ligatures w14:val="standardContextual"/>
        </w:rPr>
        <w:t>64.</w:t>
      </w:r>
      <w:r w:rsidRPr="006B2FBD">
        <w:rPr>
          <w:b/>
          <w:i/>
          <w:kern w:val="2"/>
          <w14:ligatures w14:val="standardContextual"/>
        </w:rPr>
        <w:tab/>
      </w:r>
      <w:r w:rsidRPr="006B2FBD">
        <w:rPr>
          <w:kern w:val="2"/>
          <w14:ligatures w14:val="standardContextual"/>
        </w:rPr>
        <w:t>rõhutab vajadust digitaalse suveräänsuse järele liidu rahastatavates teadusuuringutes; pöörab sellega seoses erilist tähelepanu Kiipide Ühisettevõttele, Euroopa kõrgjõudlusega andmetöötluse ühisettevõttele ning Nutivõrkude ja -teenuste Ühisettevõttele, kes seavad esikohale projektid, mis suurendavad liidu sõltumatust pooljuhtide tootmisel, tehisintellekti ja küberturvalisuse valdkondades; palub komisjonil tagada, et ühisettevõtete rahastatavad projektid: i) ei sõltuks elutähtsate tehnoloogiate puhul liigselt kolmandate riikide tarnijatest; ii) aitaksid kaasa liidu tööstuse vastupanuvõimele ja strateegilisele sõltumatusele; iii) edendaksid kohalikku teadus- ja arendustegevust strateegilistes digisektorites;</w:t>
      </w:r>
    </w:p>
    <w:p w14:paraId="78DB7CF3" w14:textId="77777777" w:rsidR="006B2FBD" w:rsidRPr="006B2FBD" w:rsidRDefault="006B2FBD" w:rsidP="006B2FBD">
      <w:pPr>
        <w:spacing w:after="240"/>
        <w:ind w:left="567" w:hanging="567"/>
        <w:rPr>
          <w:b/>
          <w:i/>
          <w:kern w:val="2"/>
          <w14:ligatures w14:val="standardContextual"/>
        </w:rPr>
      </w:pPr>
      <w:r w:rsidRPr="006B2FBD">
        <w:rPr>
          <w:b/>
          <w:i/>
          <w:kern w:val="2"/>
          <w14:ligatures w14:val="standardContextual"/>
        </w:rPr>
        <w:t>Üleskutse järelmeetmete võtmiseks</w:t>
      </w:r>
    </w:p>
    <w:p w14:paraId="175568D8" w14:textId="77777777" w:rsidR="006B2FBD" w:rsidRPr="006B2FBD" w:rsidRDefault="006B2FBD" w:rsidP="006B2FBD">
      <w:pPr>
        <w:spacing w:after="240"/>
        <w:ind w:left="567" w:hanging="567"/>
        <w:rPr>
          <w:kern w:val="2"/>
          <w:szCs w:val="24"/>
          <w14:ligatures w14:val="standardContextual"/>
        </w:rPr>
      </w:pPr>
      <w:r w:rsidRPr="006B2FBD">
        <w:rPr>
          <w:kern w:val="2"/>
          <w14:ligatures w14:val="standardContextual"/>
        </w:rPr>
        <w:t>65.</w:t>
      </w:r>
      <w:r w:rsidRPr="006B2FBD">
        <w:rPr>
          <w:kern w:val="2"/>
          <w14:ligatures w14:val="standardContextual"/>
        </w:rPr>
        <w:tab/>
        <w:t>kutsub iga ühisettevõtet, kelle puhul kaalutakse 2023. aasta eelarve täitmisele heakskiidu andmist, üles koostama individuaalse järelmeetmete aruande kõigi käesolevas resolutsioonis nimetatud konkreetsete probleemide lahendamiseks võetud meetmete kohta ning esitama selle järelmeetmete aruande, millele on alla kirjutanud ühisettevõtte (tegev)direktor, Euroopa Parlamendile hiljemalt 30. septembriks 2025;</w:t>
      </w:r>
    </w:p>
    <w:p w14:paraId="09A7E1B9" w14:textId="0909783B" w:rsidR="00E365E1" w:rsidRPr="006B2FBD" w:rsidRDefault="006B2FBD" w:rsidP="006B2FBD">
      <w:pPr>
        <w:spacing w:after="240"/>
        <w:ind w:left="567" w:hanging="567"/>
      </w:pPr>
      <w:r w:rsidRPr="006B2FBD">
        <w:rPr>
          <w:kern w:val="2"/>
          <w14:ligatures w14:val="standardContextual"/>
        </w:rPr>
        <w:t>66.</w:t>
      </w:r>
      <w:r w:rsidRPr="006B2FBD">
        <w:rPr>
          <w:kern w:val="2"/>
          <w14:ligatures w14:val="standardContextual"/>
        </w:rPr>
        <w:tab/>
        <w:t>rõhutab, et järelmeetmete aruanded võivad sisaldada ka ühisettevõtete üldisi seisukohti käesoleva resolutsiooni ja muude eelarve täitmisele heakskiidu andmise eest vastutava institutsiooni jaoks oluliste küsimuste kohta; eeldab, et ühisettevõtted kasutavad selle aruande koostamisel terviklikku lähenemisviisi, et hõlmata kõiki Euroopa Parlamendi käsitletud probleeme seoses nende tegevusega, ning et nad teevad seda heas usus ja koostöös.</w:t>
      </w:r>
    </w:p>
    <w:sectPr w:rsidR="00E365E1" w:rsidRPr="006B2FBD" w:rsidSect="006B2FB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F845E" w14:textId="77777777" w:rsidR="00322C89" w:rsidRPr="00CE6CE7" w:rsidRDefault="00322C89">
      <w:r w:rsidRPr="00CE6CE7">
        <w:separator/>
      </w:r>
    </w:p>
  </w:endnote>
  <w:endnote w:type="continuationSeparator" w:id="0">
    <w:p w14:paraId="21882C6F" w14:textId="77777777" w:rsidR="00322C89" w:rsidRPr="00CE6CE7" w:rsidRDefault="00322C89">
      <w:r w:rsidRPr="00CE6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D18A" w14:textId="77777777" w:rsidR="00064002" w:rsidRPr="00CE6C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95DA" w14:textId="77777777" w:rsidR="00064002" w:rsidRPr="00CE6C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AB0D" w14:textId="77777777" w:rsidR="00064002" w:rsidRPr="00CE6C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83B14" w14:textId="77777777" w:rsidR="00322C89" w:rsidRPr="00CE6CE7" w:rsidRDefault="00322C89">
      <w:r w:rsidRPr="00CE6CE7">
        <w:separator/>
      </w:r>
    </w:p>
  </w:footnote>
  <w:footnote w:type="continuationSeparator" w:id="0">
    <w:p w14:paraId="739DEA85" w14:textId="77777777" w:rsidR="00322C89" w:rsidRPr="00CE6CE7" w:rsidRDefault="00322C89">
      <w:r w:rsidRPr="00CE6CE7">
        <w:continuationSeparator/>
      </w:r>
    </w:p>
  </w:footnote>
  <w:footnote w:id="1">
    <w:p w14:paraId="66180C3F"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t xml:space="preserve">ELT C, C/2024/6841, 13.11.2024, ELI: </w:t>
      </w:r>
      <w:hyperlink r:id="rId1" w:history="1">
        <w:r w:rsidRPr="00CF2B3D">
          <w:rPr>
            <w:rStyle w:val="Hyperlink1"/>
            <w:sz w:val="24"/>
            <w:szCs w:val="24"/>
            <w:lang w:val="et-EE"/>
          </w:rPr>
          <w:t>http://data.europa.eu/eli/C/2024/6841/oj</w:t>
        </w:r>
      </w:hyperlink>
      <w:r w:rsidRPr="00CF2B3D">
        <w:rPr>
          <w:sz w:val="24"/>
          <w:szCs w:val="24"/>
          <w:lang w:val="et-EE"/>
        </w:rPr>
        <w:t>.</w:t>
      </w:r>
    </w:p>
  </w:footnote>
  <w:footnote w:id="2">
    <w:p w14:paraId="439AB65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2" w:history="1">
        <w:r w:rsidRPr="00CF2B3D">
          <w:rPr>
            <w:rStyle w:val="Hyperlink1"/>
            <w:sz w:val="24"/>
            <w:szCs w:val="24"/>
            <w:lang w:val="et-EE"/>
          </w:rPr>
          <w:t>http://data.europa.eu/eli/C/2024/6041/oj</w:t>
        </w:r>
      </w:hyperlink>
      <w:r w:rsidRPr="00CF2B3D">
        <w:rPr>
          <w:sz w:val="24"/>
          <w:szCs w:val="24"/>
          <w:lang w:val="et-EE"/>
        </w:rPr>
        <w:t>.</w:t>
      </w:r>
    </w:p>
  </w:footnote>
  <w:footnote w:id="3">
    <w:p w14:paraId="2150E45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3" w:history="1">
        <w:r w:rsidRPr="00CF2B3D">
          <w:rPr>
            <w:rStyle w:val="Hyperlink1"/>
            <w:sz w:val="24"/>
            <w:szCs w:val="24"/>
            <w:lang w:val="et-EE"/>
          </w:rPr>
          <w:t>http://data.europa.eu/eli/reg/2018/1046/oj</w:t>
        </w:r>
      </w:hyperlink>
      <w:r w:rsidRPr="00CF2B3D">
        <w:rPr>
          <w:sz w:val="24"/>
          <w:szCs w:val="24"/>
          <w:lang w:val="et-EE"/>
        </w:rPr>
        <w:t>.</w:t>
      </w:r>
    </w:p>
  </w:footnote>
  <w:footnote w:id="4">
    <w:p w14:paraId="3754D02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4"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5">
    <w:p w14:paraId="4BC2F76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5" w:history="1">
        <w:r w:rsidRPr="00CF2B3D">
          <w:rPr>
            <w:rStyle w:val="Hyperlink1"/>
            <w:sz w:val="24"/>
            <w:szCs w:val="24"/>
            <w:lang w:val="et-EE"/>
          </w:rPr>
          <w:t>http://data.europa.eu/eli/reg/2021/2085/oj</w:t>
        </w:r>
      </w:hyperlink>
      <w:r w:rsidRPr="00CF2B3D">
        <w:rPr>
          <w:sz w:val="24"/>
          <w:szCs w:val="24"/>
          <w:lang w:val="et-EE"/>
        </w:rPr>
        <w:t>.</w:t>
      </w:r>
    </w:p>
  </w:footnote>
  <w:footnote w:id="6">
    <w:p w14:paraId="119A3F4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6" w:history="1">
        <w:r w:rsidRPr="00CF2B3D">
          <w:rPr>
            <w:rStyle w:val="Hyperlink1"/>
            <w:sz w:val="24"/>
            <w:szCs w:val="24"/>
            <w:lang w:val="et-EE"/>
          </w:rPr>
          <w:t>http://data.europa.eu/eli/reg_del/2019/887/oj</w:t>
        </w:r>
      </w:hyperlink>
      <w:r w:rsidRPr="00CF2B3D">
        <w:rPr>
          <w:sz w:val="24"/>
          <w:szCs w:val="24"/>
          <w:lang w:val="et-EE"/>
        </w:rPr>
        <w:t>.</w:t>
      </w:r>
    </w:p>
  </w:footnote>
  <w:footnote w:id="7">
    <w:p w14:paraId="657B43B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7" w:history="1">
        <w:r w:rsidRPr="00CF2B3D">
          <w:rPr>
            <w:rStyle w:val="Hyperlink1"/>
            <w:sz w:val="24"/>
            <w:szCs w:val="24"/>
            <w:lang w:val="et-EE"/>
          </w:rPr>
          <w:t>http://data.europa.eu/eli/C/2024/6841/oj</w:t>
        </w:r>
      </w:hyperlink>
      <w:r w:rsidRPr="00CF2B3D">
        <w:rPr>
          <w:sz w:val="24"/>
          <w:szCs w:val="24"/>
          <w:lang w:val="et-EE"/>
        </w:rPr>
        <w:t>.</w:t>
      </w:r>
    </w:p>
  </w:footnote>
  <w:footnote w:id="8">
    <w:p w14:paraId="44E2908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8" w:history="1">
        <w:r w:rsidRPr="00CF2B3D">
          <w:rPr>
            <w:rStyle w:val="Hyperlink1"/>
            <w:sz w:val="24"/>
            <w:szCs w:val="24"/>
            <w:lang w:val="et-EE"/>
          </w:rPr>
          <w:t>http://data.europa.eu/eli/C/2024/6041/oj</w:t>
        </w:r>
      </w:hyperlink>
      <w:r w:rsidRPr="00CF2B3D">
        <w:rPr>
          <w:sz w:val="24"/>
          <w:szCs w:val="24"/>
          <w:lang w:val="et-EE"/>
        </w:rPr>
        <w:t>.</w:t>
      </w:r>
    </w:p>
  </w:footnote>
  <w:footnote w:id="9">
    <w:p w14:paraId="42CFC0A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9" w:history="1">
        <w:r w:rsidRPr="00CF2B3D">
          <w:rPr>
            <w:rStyle w:val="Hyperlink1"/>
            <w:sz w:val="24"/>
            <w:szCs w:val="24"/>
            <w:lang w:val="et-EE"/>
          </w:rPr>
          <w:t>http://data.europa.eu/eli/reg/2018/1046/oj</w:t>
        </w:r>
      </w:hyperlink>
      <w:r w:rsidRPr="00CF2B3D">
        <w:rPr>
          <w:sz w:val="24"/>
          <w:szCs w:val="24"/>
          <w:lang w:val="et-EE"/>
        </w:rPr>
        <w:t>.</w:t>
      </w:r>
    </w:p>
  </w:footnote>
  <w:footnote w:id="10">
    <w:p w14:paraId="371F455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0"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1">
    <w:p w14:paraId="45B4506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1" w:history="1">
        <w:r w:rsidRPr="00CF2B3D">
          <w:rPr>
            <w:rStyle w:val="Hyperlink1"/>
            <w:sz w:val="24"/>
            <w:szCs w:val="24"/>
            <w:lang w:val="et-EE"/>
          </w:rPr>
          <w:t>http://data.europa.eu/eli/reg/2021/2085/oj</w:t>
        </w:r>
      </w:hyperlink>
      <w:r w:rsidRPr="00CF2B3D">
        <w:rPr>
          <w:sz w:val="24"/>
          <w:szCs w:val="24"/>
          <w:lang w:val="et-EE"/>
        </w:rPr>
        <w:t>.</w:t>
      </w:r>
    </w:p>
  </w:footnote>
  <w:footnote w:id="12">
    <w:p w14:paraId="317C8C6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2" w:history="1">
        <w:r w:rsidRPr="00CF2B3D">
          <w:rPr>
            <w:rStyle w:val="Hyperlink1"/>
            <w:sz w:val="24"/>
            <w:szCs w:val="24"/>
            <w:lang w:val="et-EE"/>
          </w:rPr>
          <w:t>http://data.europa.eu/eli/reg_del/2019/887/oj</w:t>
        </w:r>
      </w:hyperlink>
      <w:r w:rsidRPr="00CF2B3D">
        <w:rPr>
          <w:sz w:val="24"/>
          <w:szCs w:val="24"/>
          <w:lang w:val="et-EE"/>
        </w:rPr>
        <w:t>.</w:t>
      </w:r>
    </w:p>
  </w:footnote>
  <w:footnote w:id="13">
    <w:p w14:paraId="12232C3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3" w:history="1">
        <w:r w:rsidRPr="00CF2B3D">
          <w:rPr>
            <w:rStyle w:val="Hyperlink1"/>
            <w:sz w:val="24"/>
            <w:szCs w:val="24"/>
            <w:lang w:val="et-EE"/>
          </w:rPr>
          <w:t>http://data.europa.eu/eli/C/2024/6841/oj</w:t>
        </w:r>
      </w:hyperlink>
      <w:r w:rsidRPr="00CF2B3D">
        <w:rPr>
          <w:sz w:val="24"/>
          <w:szCs w:val="24"/>
          <w:lang w:val="et-EE"/>
        </w:rPr>
        <w:t>.</w:t>
      </w:r>
    </w:p>
  </w:footnote>
  <w:footnote w:id="14">
    <w:p w14:paraId="6A647A9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4" w:history="1">
        <w:r w:rsidRPr="00CF2B3D">
          <w:rPr>
            <w:rStyle w:val="Hyperlink1"/>
            <w:sz w:val="24"/>
            <w:szCs w:val="24"/>
            <w:lang w:val="et-EE"/>
          </w:rPr>
          <w:t>http://data.europa.eu/eli/C/2024/6041/oj</w:t>
        </w:r>
      </w:hyperlink>
      <w:r w:rsidRPr="00CF2B3D">
        <w:rPr>
          <w:sz w:val="24"/>
          <w:szCs w:val="24"/>
          <w:lang w:val="et-EE"/>
        </w:rPr>
        <w:t>.</w:t>
      </w:r>
    </w:p>
  </w:footnote>
  <w:footnote w:id="15">
    <w:p w14:paraId="2BC0FF8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5" w:history="1">
        <w:r w:rsidRPr="00CF2B3D">
          <w:rPr>
            <w:rStyle w:val="Hyperlink1"/>
            <w:sz w:val="24"/>
            <w:szCs w:val="24"/>
            <w:lang w:val="et-EE"/>
          </w:rPr>
          <w:t>http://data.europa.eu/eli/reg/2018/1046/oj</w:t>
        </w:r>
      </w:hyperlink>
      <w:r w:rsidRPr="00CF2B3D">
        <w:rPr>
          <w:sz w:val="24"/>
          <w:szCs w:val="24"/>
          <w:lang w:val="et-EE"/>
        </w:rPr>
        <w:t>.</w:t>
      </w:r>
    </w:p>
  </w:footnote>
  <w:footnote w:id="16">
    <w:p w14:paraId="2617A8C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6"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7">
    <w:p w14:paraId="74B184E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7" w:history="1">
        <w:r w:rsidRPr="00CF2B3D">
          <w:rPr>
            <w:rStyle w:val="Hyperlink1"/>
            <w:sz w:val="24"/>
            <w:szCs w:val="24"/>
            <w:lang w:val="et-EE"/>
          </w:rPr>
          <w:t>http://data.europa.eu/eli/reg/2021/2085/oj</w:t>
        </w:r>
      </w:hyperlink>
      <w:r w:rsidRPr="00CF2B3D">
        <w:rPr>
          <w:sz w:val="24"/>
          <w:szCs w:val="24"/>
          <w:lang w:val="et-EE"/>
        </w:rPr>
        <w:t>.</w:t>
      </w:r>
    </w:p>
  </w:footnote>
  <w:footnote w:id="18">
    <w:p w14:paraId="5944396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8" w:history="1">
        <w:r w:rsidRPr="00CF2B3D">
          <w:rPr>
            <w:rStyle w:val="Hyperlink1"/>
            <w:sz w:val="24"/>
            <w:szCs w:val="24"/>
            <w:lang w:val="et-EE"/>
          </w:rPr>
          <w:t>http://data.europa.eu/eli/reg_del/2019/887/oj</w:t>
        </w:r>
      </w:hyperlink>
      <w:r w:rsidRPr="00CF2B3D">
        <w:rPr>
          <w:sz w:val="24"/>
          <w:szCs w:val="24"/>
          <w:lang w:val="et-EE"/>
        </w:rPr>
        <w:t>.</w:t>
      </w:r>
    </w:p>
  </w:footnote>
  <w:footnote w:id="19">
    <w:p w14:paraId="295B1A22"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C, C/2024/6841, 13.11.2024, ELI: </w:t>
      </w:r>
      <w:hyperlink r:id="rId19" w:history="1">
        <w:r w:rsidRPr="00CF2B3D">
          <w:rPr>
            <w:rStyle w:val="Hyperlink1"/>
            <w:sz w:val="24"/>
            <w:szCs w:val="24"/>
            <w:lang w:val="fi-FI"/>
          </w:rPr>
          <w:t>http://data.europa.eu/eli/C/2024/6841/oj</w:t>
        </w:r>
      </w:hyperlink>
      <w:r w:rsidRPr="00CF2B3D">
        <w:rPr>
          <w:sz w:val="24"/>
          <w:szCs w:val="24"/>
          <w:lang w:val="fi-FI"/>
        </w:rPr>
        <w:t>.</w:t>
      </w:r>
    </w:p>
  </w:footnote>
  <w:footnote w:id="20">
    <w:p w14:paraId="27064B8B"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C, C/2024/6041, 10.10.2024, ELI: </w:t>
      </w:r>
      <w:hyperlink r:id="rId20" w:history="1">
        <w:r w:rsidRPr="00CF2B3D">
          <w:rPr>
            <w:rStyle w:val="Hyperlink1"/>
            <w:sz w:val="24"/>
            <w:szCs w:val="24"/>
            <w:lang w:val="fi-FI"/>
          </w:rPr>
          <w:t>http://data.europa.eu/eli/C/2024/6041/oj</w:t>
        </w:r>
      </w:hyperlink>
      <w:r w:rsidRPr="00CF2B3D">
        <w:rPr>
          <w:sz w:val="24"/>
          <w:szCs w:val="24"/>
          <w:lang w:val="fi-FI"/>
        </w:rPr>
        <w:t>.</w:t>
      </w:r>
    </w:p>
  </w:footnote>
  <w:footnote w:id="21">
    <w:p w14:paraId="378CC806"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L 193, 30.7.2018, </w:t>
      </w:r>
      <w:proofErr w:type="spellStart"/>
      <w:r w:rsidRPr="00CF2B3D">
        <w:rPr>
          <w:sz w:val="24"/>
          <w:szCs w:val="24"/>
          <w:lang w:val="fi-FI"/>
        </w:rPr>
        <w:t>lk</w:t>
      </w:r>
      <w:proofErr w:type="spellEnd"/>
      <w:r w:rsidRPr="00CF2B3D">
        <w:rPr>
          <w:sz w:val="24"/>
          <w:szCs w:val="24"/>
          <w:lang w:val="fi-FI"/>
        </w:rPr>
        <w:t xml:space="preserve"> 1, ELI: </w:t>
      </w:r>
      <w:hyperlink r:id="rId21" w:history="1">
        <w:r w:rsidRPr="00CF2B3D">
          <w:rPr>
            <w:rStyle w:val="Hyperlink1"/>
            <w:sz w:val="24"/>
            <w:szCs w:val="24"/>
            <w:lang w:val="fi-FI"/>
          </w:rPr>
          <w:t>http://data.europa.eu/eli/reg/2018/1046/oj</w:t>
        </w:r>
      </w:hyperlink>
      <w:r w:rsidRPr="00CF2B3D">
        <w:rPr>
          <w:sz w:val="24"/>
          <w:szCs w:val="24"/>
          <w:lang w:val="fi-FI"/>
        </w:rPr>
        <w:t>.</w:t>
      </w:r>
    </w:p>
  </w:footnote>
  <w:footnote w:id="22">
    <w:p w14:paraId="2EE24E52"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L, 2024/2509, 26.9.2024, ELI: </w:t>
      </w:r>
      <w:hyperlink r:id="rId22" w:tgtFrame="_blank" w:history="1">
        <w:r w:rsidRPr="00CF2B3D">
          <w:rPr>
            <w:rStyle w:val="Hyperlink1"/>
            <w:sz w:val="24"/>
            <w:szCs w:val="24"/>
            <w:shd w:val="clear" w:color="auto" w:fill="FFFFFF"/>
            <w:lang w:val="fi-FI"/>
          </w:rPr>
          <w:t>http://data.europa.eu/eli/reg/2024/2509/oj</w:t>
        </w:r>
      </w:hyperlink>
      <w:r w:rsidRPr="00CF2B3D">
        <w:rPr>
          <w:sz w:val="24"/>
          <w:szCs w:val="24"/>
          <w:lang w:val="fi-FI"/>
        </w:rPr>
        <w:t>.</w:t>
      </w:r>
    </w:p>
  </w:footnote>
  <w:footnote w:id="23">
    <w:p w14:paraId="3AE365D9"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L 427, 30.11.2021, </w:t>
      </w:r>
      <w:proofErr w:type="spellStart"/>
      <w:r w:rsidRPr="00CF2B3D">
        <w:rPr>
          <w:sz w:val="24"/>
          <w:szCs w:val="24"/>
          <w:lang w:val="fi-FI"/>
        </w:rPr>
        <w:t>lk</w:t>
      </w:r>
      <w:proofErr w:type="spellEnd"/>
      <w:r w:rsidRPr="00CF2B3D">
        <w:rPr>
          <w:sz w:val="24"/>
          <w:szCs w:val="24"/>
          <w:lang w:val="fi-FI"/>
        </w:rPr>
        <w:t xml:space="preserve"> 17, ELI: </w:t>
      </w:r>
      <w:hyperlink r:id="rId23" w:history="1">
        <w:r w:rsidRPr="00CF2B3D">
          <w:rPr>
            <w:rStyle w:val="Hyperlink1"/>
            <w:sz w:val="24"/>
            <w:szCs w:val="24"/>
            <w:lang w:val="fi-FI"/>
          </w:rPr>
          <w:t>http://data.europa.eu/eli/reg/2021/2085/oj</w:t>
        </w:r>
      </w:hyperlink>
      <w:r w:rsidRPr="00CF2B3D">
        <w:rPr>
          <w:sz w:val="24"/>
          <w:szCs w:val="24"/>
          <w:lang w:val="fi-FI"/>
        </w:rPr>
        <w:t>.</w:t>
      </w:r>
    </w:p>
  </w:footnote>
  <w:footnote w:id="24">
    <w:p w14:paraId="40C7094D" w14:textId="77777777" w:rsidR="006B2FBD" w:rsidRPr="00CF2B3D" w:rsidRDefault="006B2FBD" w:rsidP="006B2FBD">
      <w:pPr>
        <w:pStyle w:val="FootnoteText"/>
        <w:ind w:left="567" w:hanging="567"/>
        <w:rPr>
          <w:sz w:val="24"/>
          <w:szCs w:val="24"/>
          <w:lang w:val="fi-FI"/>
        </w:rPr>
      </w:pPr>
      <w:r w:rsidRPr="00CF2B3D">
        <w:rPr>
          <w:rStyle w:val="FootnoteReference"/>
          <w:sz w:val="24"/>
          <w:szCs w:val="24"/>
        </w:rPr>
        <w:footnoteRef/>
      </w:r>
      <w:r w:rsidRPr="00CF2B3D">
        <w:rPr>
          <w:sz w:val="24"/>
          <w:szCs w:val="24"/>
          <w:lang w:val="fi-FI"/>
        </w:rPr>
        <w:t xml:space="preserve"> </w:t>
      </w:r>
      <w:r w:rsidRPr="00CF2B3D">
        <w:rPr>
          <w:sz w:val="24"/>
          <w:szCs w:val="24"/>
          <w:lang w:val="fi-FI"/>
        </w:rPr>
        <w:tab/>
        <w:t xml:space="preserve">ELT L 142, 29.5.2019, </w:t>
      </w:r>
      <w:proofErr w:type="spellStart"/>
      <w:r w:rsidRPr="00CF2B3D">
        <w:rPr>
          <w:sz w:val="24"/>
          <w:szCs w:val="24"/>
          <w:lang w:val="fi-FI"/>
        </w:rPr>
        <w:t>lk</w:t>
      </w:r>
      <w:proofErr w:type="spellEnd"/>
      <w:r w:rsidRPr="00CF2B3D">
        <w:rPr>
          <w:sz w:val="24"/>
          <w:szCs w:val="24"/>
          <w:lang w:val="fi-FI"/>
        </w:rPr>
        <w:t xml:space="preserve"> 16, ELI: </w:t>
      </w:r>
      <w:hyperlink r:id="rId24" w:history="1">
        <w:r w:rsidRPr="00CF2B3D">
          <w:rPr>
            <w:rStyle w:val="Hyperlink1"/>
            <w:sz w:val="24"/>
            <w:szCs w:val="24"/>
            <w:lang w:val="fi-FI"/>
          </w:rPr>
          <w:t>http://data.europa.eu/eli/reg_del/2019/887/oj</w:t>
        </w:r>
      </w:hyperlink>
      <w:r w:rsidRPr="00CF2B3D">
        <w:rPr>
          <w:sz w:val="24"/>
          <w:szCs w:val="24"/>
          <w:lang w:val="fi-FI"/>
        </w:rPr>
        <w:t>.</w:t>
      </w:r>
    </w:p>
  </w:footnote>
  <w:footnote w:id="25">
    <w:p w14:paraId="2EBCB62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25" w:history="1">
        <w:r w:rsidRPr="00CF2B3D">
          <w:rPr>
            <w:rStyle w:val="Hyperlink1"/>
            <w:sz w:val="24"/>
            <w:szCs w:val="24"/>
            <w:lang w:val="et-EE"/>
          </w:rPr>
          <w:t>http://data.europa.eu/eli/C/2024/6841/oj</w:t>
        </w:r>
      </w:hyperlink>
      <w:r w:rsidRPr="00CF2B3D">
        <w:rPr>
          <w:sz w:val="24"/>
          <w:szCs w:val="24"/>
          <w:lang w:val="et-EE"/>
        </w:rPr>
        <w:t>.</w:t>
      </w:r>
    </w:p>
  </w:footnote>
  <w:footnote w:id="26">
    <w:p w14:paraId="18A4AE3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26" w:history="1">
        <w:r w:rsidRPr="00CF2B3D">
          <w:rPr>
            <w:rStyle w:val="Hyperlink1"/>
            <w:sz w:val="24"/>
            <w:szCs w:val="24"/>
            <w:lang w:val="et-EE"/>
          </w:rPr>
          <w:t>http://data.europa.eu/eli/C/2024/6041/oj</w:t>
        </w:r>
      </w:hyperlink>
      <w:r w:rsidRPr="00CF2B3D">
        <w:rPr>
          <w:sz w:val="24"/>
          <w:szCs w:val="24"/>
          <w:lang w:val="et-EE"/>
        </w:rPr>
        <w:t>.</w:t>
      </w:r>
    </w:p>
  </w:footnote>
  <w:footnote w:id="27">
    <w:p w14:paraId="00BC48B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27" w:history="1">
        <w:r w:rsidRPr="00CF2B3D">
          <w:rPr>
            <w:rStyle w:val="Hyperlink1"/>
            <w:sz w:val="24"/>
            <w:szCs w:val="24"/>
            <w:lang w:val="et-EE"/>
          </w:rPr>
          <w:t>http://data.europa.eu/eli/reg/2018/1046/oj</w:t>
        </w:r>
      </w:hyperlink>
      <w:r w:rsidRPr="00CF2B3D">
        <w:rPr>
          <w:sz w:val="24"/>
          <w:szCs w:val="24"/>
          <w:lang w:val="et-EE"/>
        </w:rPr>
        <w:t>.</w:t>
      </w:r>
    </w:p>
  </w:footnote>
  <w:footnote w:id="28">
    <w:p w14:paraId="523ECBC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28"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29">
    <w:p w14:paraId="4E1B903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29" w:history="1">
        <w:r w:rsidRPr="00CF2B3D">
          <w:rPr>
            <w:rStyle w:val="Hyperlink1"/>
            <w:sz w:val="24"/>
            <w:szCs w:val="24"/>
            <w:lang w:val="et-EE"/>
          </w:rPr>
          <w:t>http://data.europa.eu/eli/reg/2021/2085/oj</w:t>
        </w:r>
      </w:hyperlink>
      <w:r w:rsidRPr="00CF2B3D">
        <w:rPr>
          <w:sz w:val="24"/>
          <w:szCs w:val="24"/>
          <w:lang w:val="et-EE"/>
        </w:rPr>
        <w:t>.</w:t>
      </w:r>
    </w:p>
  </w:footnote>
  <w:footnote w:id="30">
    <w:p w14:paraId="12778E6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30" w:history="1">
        <w:r w:rsidRPr="00CF2B3D">
          <w:rPr>
            <w:rStyle w:val="Hyperlink1"/>
            <w:sz w:val="24"/>
            <w:szCs w:val="24"/>
            <w:lang w:val="et-EE"/>
          </w:rPr>
          <w:t>http://data.europa.eu/eli/reg_del/2019/887/oj</w:t>
        </w:r>
      </w:hyperlink>
      <w:r w:rsidRPr="00CF2B3D">
        <w:rPr>
          <w:sz w:val="24"/>
          <w:szCs w:val="24"/>
          <w:lang w:val="et-EE"/>
        </w:rPr>
        <w:t>.</w:t>
      </w:r>
    </w:p>
  </w:footnote>
  <w:footnote w:id="31">
    <w:p w14:paraId="0F9DEC4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31" w:history="1">
        <w:r w:rsidRPr="00CF2B3D">
          <w:rPr>
            <w:rStyle w:val="Hyperlink1"/>
            <w:sz w:val="24"/>
            <w:szCs w:val="24"/>
            <w:lang w:val="et-EE"/>
          </w:rPr>
          <w:t>http://data.europa.eu/eli/C/2024/6841/oj</w:t>
        </w:r>
      </w:hyperlink>
      <w:r w:rsidRPr="00CF2B3D">
        <w:rPr>
          <w:sz w:val="24"/>
          <w:szCs w:val="24"/>
          <w:lang w:val="et-EE"/>
        </w:rPr>
        <w:t>.</w:t>
      </w:r>
    </w:p>
  </w:footnote>
  <w:footnote w:id="32">
    <w:p w14:paraId="387DBC0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32" w:history="1">
        <w:r w:rsidRPr="00CF2B3D">
          <w:rPr>
            <w:rStyle w:val="Hyperlink1"/>
            <w:sz w:val="24"/>
            <w:szCs w:val="24"/>
            <w:lang w:val="et-EE"/>
          </w:rPr>
          <w:t>http://data.europa.eu/eli/C/2024/6041/oj</w:t>
        </w:r>
      </w:hyperlink>
      <w:r w:rsidRPr="00CF2B3D">
        <w:rPr>
          <w:sz w:val="24"/>
          <w:szCs w:val="24"/>
          <w:lang w:val="et-EE"/>
        </w:rPr>
        <w:t>.</w:t>
      </w:r>
    </w:p>
  </w:footnote>
  <w:footnote w:id="33">
    <w:p w14:paraId="4AA4264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33" w:history="1">
        <w:r w:rsidRPr="00CF2B3D">
          <w:rPr>
            <w:rStyle w:val="Hyperlink1"/>
            <w:sz w:val="24"/>
            <w:szCs w:val="24"/>
            <w:lang w:val="et-EE"/>
          </w:rPr>
          <w:t>http://data.europa.eu/eli/reg/2018/1046/oj</w:t>
        </w:r>
      </w:hyperlink>
      <w:r w:rsidRPr="00CF2B3D">
        <w:rPr>
          <w:sz w:val="24"/>
          <w:szCs w:val="24"/>
          <w:lang w:val="et-EE"/>
        </w:rPr>
        <w:t>.</w:t>
      </w:r>
    </w:p>
  </w:footnote>
  <w:footnote w:id="34">
    <w:p w14:paraId="165D265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34"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35">
    <w:p w14:paraId="0E93D7E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35" w:history="1">
        <w:r w:rsidRPr="00CF2B3D">
          <w:rPr>
            <w:rStyle w:val="Hyperlink1"/>
            <w:sz w:val="24"/>
            <w:szCs w:val="24"/>
            <w:lang w:val="et-EE"/>
          </w:rPr>
          <w:t>http://data.europa.eu/eli/reg/2021/2085/oj</w:t>
        </w:r>
      </w:hyperlink>
      <w:r w:rsidRPr="00CF2B3D">
        <w:rPr>
          <w:sz w:val="24"/>
          <w:szCs w:val="24"/>
          <w:lang w:val="et-EE"/>
        </w:rPr>
        <w:t>.</w:t>
      </w:r>
    </w:p>
  </w:footnote>
  <w:footnote w:id="36">
    <w:p w14:paraId="58CF8B8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36" w:history="1">
        <w:r w:rsidRPr="00CF2B3D">
          <w:rPr>
            <w:rStyle w:val="Hyperlink1"/>
            <w:sz w:val="24"/>
            <w:szCs w:val="24"/>
            <w:lang w:val="et-EE"/>
          </w:rPr>
          <w:t>http://data.europa.eu/eli/reg_del/2019/887/oj</w:t>
        </w:r>
      </w:hyperlink>
      <w:r w:rsidRPr="00CF2B3D">
        <w:rPr>
          <w:sz w:val="24"/>
          <w:szCs w:val="24"/>
          <w:lang w:val="et-EE"/>
        </w:rPr>
        <w:t>.</w:t>
      </w:r>
    </w:p>
  </w:footnote>
  <w:footnote w:id="37">
    <w:p w14:paraId="2D2840C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37" w:history="1">
        <w:r w:rsidRPr="00CF2B3D">
          <w:rPr>
            <w:rStyle w:val="Hyperlink1"/>
            <w:sz w:val="24"/>
            <w:szCs w:val="24"/>
            <w:lang w:val="et-EE"/>
          </w:rPr>
          <w:t>http://data.europa.eu/eli/C/2024/6841/oj</w:t>
        </w:r>
      </w:hyperlink>
      <w:r w:rsidRPr="00CF2B3D">
        <w:rPr>
          <w:sz w:val="24"/>
          <w:szCs w:val="24"/>
          <w:lang w:val="et-EE"/>
        </w:rPr>
        <w:t>.</w:t>
      </w:r>
    </w:p>
  </w:footnote>
  <w:footnote w:id="38">
    <w:p w14:paraId="7C4A463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38" w:history="1">
        <w:r w:rsidRPr="00CF2B3D">
          <w:rPr>
            <w:rStyle w:val="Hyperlink1"/>
            <w:sz w:val="24"/>
            <w:szCs w:val="24"/>
            <w:lang w:val="et-EE"/>
          </w:rPr>
          <w:t>http://data.europa.eu/eli/C/2024/6041/oj</w:t>
        </w:r>
      </w:hyperlink>
      <w:r w:rsidRPr="00CF2B3D">
        <w:rPr>
          <w:sz w:val="24"/>
          <w:szCs w:val="24"/>
          <w:lang w:val="et-EE"/>
        </w:rPr>
        <w:t>.</w:t>
      </w:r>
    </w:p>
  </w:footnote>
  <w:footnote w:id="39">
    <w:p w14:paraId="4873CA9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39" w:history="1">
        <w:r w:rsidRPr="00CF2B3D">
          <w:rPr>
            <w:rStyle w:val="Hyperlink1"/>
            <w:sz w:val="24"/>
            <w:szCs w:val="24"/>
            <w:lang w:val="et-EE"/>
          </w:rPr>
          <w:t>http://data.europa.eu/eli/reg/2018/1046/oj</w:t>
        </w:r>
      </w:hyperlink>
      <w:r w:rsidRPr="00CF2B3D">
        <w:rPr>
          <w:sz w:val="24"/>
          <w:szCs w:val="24"/>
          <w:lang w:val="et-EE"/>
        </w:rPr>
        <w:t>.</w:t>
      </w:r>
    </w:p>
  </w:footnote>
  <w:footnote w:id="40">
    <w:p w14:paraId="1D2F3E2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40"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41">
    <w:p w14:paraId="386FFBF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41" w:history="1">
        <w:r w:rsidRPr="00CF2B3D">
          <w:rPr>
            <w:rStyle w:val="Hyperlink1"/>
            <w:sz w:val="24"/>
            <w:szCs w:val="24"/>
            <w:lang w:val="et-EE"/>
          </w:rPr>
          <w:t>http://data.europa.eu/eli/reg/2021/2085/oj</w:t>
        </w:r>
      </w:hyperlink>
      <w:r w:rsidRPr="00CF2B3D">
        <w:rPr>
          <w:sz w:val="24"/>
          <w:szCs w:val="24"/>
          <w:lang w:val="et-EE"/>
        </w:rPr>
        <w:t>.</w:t>
      </w:r>
    </w:p>
  </w:footnote>
  <w:footnote w:id="42">
    <w:p w14:paraId="3B22FDF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42" w:history="1">
        <w:r w:rsidRPr="00CF2B3D">
          <w:rPr>
            <w:rStyle w:val="Hyperlink1"/>
            <w:sz w:val="24"/>
            <w:szCs w:val="24"/>
            <w:lang w:val="et-EE"/>
          </w:rPr>
          <w:t>http://data.europa.eu/eli/reg_del/2019/887/oj</w:t>
        </w:r>
      </w:hyperlink>
      <w:r w:rsidRPr="00CF2B3D">
        <w:rPr>
          <w:sz w:val="24"/>
          <w:szCs w:val="24"/>
          <w:lang w:val="et-EE"/>
        </w:rPr>
        <w:t>.</w:t>
      </w:r>
    </w:p>
  </w:footnote>
  <w:footnote w:id="43">
    <w:p w14:paraId="4876AE0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43" w:history="1">
        <w:r w:rsidRPr="00CF2B3D">
          <w:rPr>
            <w:rStyle w:val="Hyperlink1"/>
            <w:sz w:val="24"/>
            <w:szCs w:val="24"/>
            <w:lang w:val="et-EE"/>
          </w:rPr>
          <w:t>http://data.europa.eu/eli/C/2024/6841/oj</w:t>
        </w:r>
      </w:hyperlink>
      <w:r w:rsidRPr="00CF2B3D">
        <w:rPr>
          <w:sz w:val="24"/>
          <w:szCs w:val="24"/>
          <w:lang w:val="et-EE"/>
        </w:rPr>
        <w:t>.</w:t>
      </w:r>
    </w:p>
  </w:footnote>
  <w:footnote w:id="44">
    <w:p w14:paraId="0BFEF13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44" w:history="1">
        <w:r w:rsidRPr="00CF2B3D">
          <w:rPr>
            <w:rStyle w:val="Hyperlink1"/>
            <w:sz w:val="24"/>
            <w:szCs w:val="24"/>
            <w:lang w:val="et-EE"/>
          </w:rPr>
          <w:t>http://data.europa.eu/eli/C/2024/6041/oj</w:t>
        </w:r>
      </w:hyperlink>
      <w:r w:rsidRPr="00CF2B3D">
        <w:rPr>
          <w:sz w:val="24"/>
          <w:szCs w:val="24"/>
          <w:lang w:val="et-EE"/>
        </w:rPr>
        <w:t>.</w:t>
      </w:r>
    </w:p>
  </w:footnote>
  <w:footnote w:id="45">
    <w:p w14:paraId="4E78F7C4"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45" w:history="1">
        <w:r w:rsidRPr="00CF2B3D">
          <w:rPr>
            <w:rStyle w:val="Hyperlink1"/>
            <w:sz w:val="24"/>
            <w:szCs w:val="24"/>
            <w:lang w:val="et-EE"/>
          </w:rPr>
          <w:t>http://data.europa.eu/eli/reg/2018/1046/oj</w:t>
        </w:r>
      </w:hyperlink>
      <w:r w:rsidRPr="00CF2B3D">
        <w:rPr>
          <w:sz w:val="24"/>
          <w:szCs w:val="24"/>
          <w:lang w:val="et-EE"/>
        </w:rPr>
        <w:t>.</w:t>
      </w:r>
    </w:p>
  </w:footnote>
  <w:footnote w:id="46">
    <w:p w14:paraId="11C5EEC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46"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47">
    <w:p w14:paraId="7166E4B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47" w:history="1">
        <w:r w:rsidRPr="00CF2B3D">
          <w:rPr>
            <w:rStyle w:val="Hyperlink1"/>
            <w:sz w:val="24"/>
            <w:szCs w:val="24"/>
            <w:lang w:val="et-EE"/>
          </w:rPr>
          <w:t>http://data.europa.eu/eli/reg/2021/2085/oj</w:t>
        </w:r>
      </w:hyperlink>
      <w:r w:rsidRPr="00CF2B3D">
        <w:rPr>
          <w:sz w:val="24"/>
          <w:szCs w:val="24"/>
          <w:lang w:val="et-EE"/>
        </w:rPr>
        <w:t>.</w:t>
      </w:r>
    </w:p>
  </w:footnote>
  <w:footnote w:id="48">
    <w:p w14:paraId="1361542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48" w:history="1">
        <w:r w:rsidRPr="00CF2B3D">
          <w:rPr>
            <w:rStyle w:val="Hyperlink1"/>
            <w:sz w:val="24"/>
            <w:szCs w:val="24"/>
            <w:lang w:val="et-EE"/>
          </w:rPr>
          <w:t>http://data.europa.eu/eli/reg_del/2019/887/oj</w:t>
        </w:r>
      </w:hyperlink>
      <w:r w:rsidRPr="00CF2B3D">
        <w:rPr>
          <w:sz w:val="24"/>
          <w:szCs w:val="24"/>
          <w:lang w:val="et-EE"/>
        </w:rPr>
        <w:t>.</w:t>
      </w:r>
    </w:p>
  </w:footnote>
  <w:footnote w:id="49">
    <w:p w14:paraId="17E6A9B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49" w:history="1">
        <w:r w:rsidRPr="00CF2B3D">
          <w:rPr>
            <w:rStyle w:val="Hyperlink1"/>
            <w:sz w:val="24"/>
            <w:szCs w:val="24"/>
            <w:lang w:val="et-EE"/>
          </w:rPr>
          <w:t>http://data.europa.eu/eli/C/2024/6841/oj</w:t>
        </w:r>
      </w:hyperlink>
      <w:r w:rsidRPr="00CF2B3D">
        <w:rPr>
          <w:sz w:val="24"/>
          <w:szCs w:val="24"/>
          <w:lang w:val="et-EE"/>
        </w:rPr>
        <w:t>.</w:t>
      </w:r>
    </w:p>
  </w:footnote>
  <w:footnote w:id="50">
    <w:p w14:paraId="0708F4B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50" w:history="1">
        <w:r w:rsidRPr="00CF2B3D">
          <w:rPr>
            <w:rStyle w:val="Hyperlink1"/>
            <w:sz w:val="24"/>
            <w:szCs w:val="24"/>
            <w:lang w:val="et-EE"/>
          </w:rPr>
          <w:t>http://data.europa.eu/eli/C/2024/6041/oj</w:t>
        </w:r>
      </w:hyperlink>
      <w:r w:rsidRPr="00CF2B3D">
        <w:rPr>
          <w:sz w:val="24"/>
          <w:szCs w:val="24"/>
          <w:lang w:val="et-EE"/>
        </w:rPr>
        <w:t>.</w:t>
      </w:r>
    </w:p>
  </w:footnote>
  <w:footnote w:id="51">
    <w:p w14:paraId="7DA115A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51" w:history="1">
        <w:r w:rsidRPr="00CF2B3D">
          <w:rPr>
            <w:rStyle w:val="Hyperlink1"/>
            <w:sz w:val="24"/>
            <w:szCs w:val="24"/>
            <w:lang w:val="et-EE"/>
          </w:rPr>
          <w:t>http://data.europa.eu/eli/reg/2018/1046/oj</w:t>
        </w:r>
      </w:hyperlink>
      <w:r w:rsidRPr="00CF2B3D">
        <w:rPr>
          <w:sz w:val="24"/>
          <w:szCs w:val="24"/>
          <w:lang w:val="et-EE"/>
        </w:rPr>
        <w:t>.</w:t>
      </w:r>
    </w:p>
  </w:footnote>
  <w:footnote w:id="52">
    <w:p w14:paraId="27C792B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52"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53">
    <w:p w14:paraId="2E54261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256, 19.7.2021, lk 3, ELI: </w:t>
      </w:r>
      <w:hyperlink r:id="rId53" w:history="1">
        <w:r w:rsidRPr="00CF2B3D">
          <w:rPr>
            <w:rStyle w:val="Hyperlink"/>
            <w:sz w:val="24"/>
            <w:szCs w:val="24"/>
            <w:lang w:val="fi-FI"/>
          </w:rPr>
          <w:t>https://data.europa.eu/eli/reg/2021/1173/oj</w:t>
        </w:r>
      </w:hyperlink>
      <w:r w:rsidRPr="00CF2B3D">
        <w:rPr>
          <w:sz w:val="24"/>
          <w:szCs w:val="24"/>
          <w:lang w:val="et-EE"/>
        </w:rPr>
        <w:t>.</w:t>
      </w:r>
    </w:p>
  </w:footnote>
  <w:footnote w:id="54">
    <w:p w14:paraId="6D44F46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54" w:history="1">
        <w:r w:rsidRPr="00CF2B3D">
          <w:rPr>
            <w:rStyle w:val="Hyperlink1"/>
            <w:sz w:val="24"/>
            <w:szCs w:val="24"/>
            <w:lang w:val="et-EE"/>
          </w:rPr>
          <w:t>http://data.europa.eu/eli/reg_del/2019/887/oj</w:t>
        </w:r>
      </w:hyperlink>
      <w:r w:rsidRPr="00CF2B3D">
        <w:rPr>
          <w:sz w:val="24"/>
          <w:szCs w:val="24"/>
          <w:lang w:val="et-EE"/>
        </w:rPr>
        <w:t>.</w:t>
      </w:r>
    </w:p>
  </w:footnote>
  <w:footnote w:id="55">
    <w:p w14:paraId="0960DCE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55" w:history="1">
        <w:r w:rsidRPr="00CF2B3D">
          <w:rPr>
            <w:rStyle w:val="Hyperlink1"/>
            <w:sz w:val="24"/>
            <w:szCs w:val="24"/>
            <w:lang w:val="et-EE"/>
          </w:rPr>
          <w:t>http://data.europa.eu/eli/C/2024/6841/oj</w:t>
        </w:r>
      </w:hyperlink>
      <w:r w:rsidRPr="00CF2B3D">
        <w:rPr>
          <w:sz w:val="24"/>
          <w:szCs w:val="24"/>
          <w:lang w:val="et-EE"/>
        </w:rPr>
        <w:t>.</w:t>
      </w:r>
    </w:p>
  </w:footnote>
  <w:footnote w:id="56">
    <w:p w14:paraId="64082AE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56" w:history="1">
        <w:r w:rsidRPr="00CF2B3D">
          <w:rPr>
            <w:rStyle w:val="Hyperlink1"/>
            <w:sz w:val="24"/>
            <w:szCs w:val="24"/>
            <w:lang w:val="et-EE"/>
          </w:rPr>
          <w:t>http://data.europa.eu/eli/C/2024/6041/oj</w:t>
        </w:r>
      </w:hyperlink>
      <w:r w:rsidRPr="00CF2B3D">
        <w:rPr>
          <w:sz w:val="24"/>
          <w:szCs w:val="24"/>
          <w:lang w:val="et-EE"/>
        </w:rPr>
        <w:t>.</w:t>
      </w:r>
    </w:p>
  </w:footnote>
  <w:footnote w:id="57">
    <w:p w14:paraId="2863436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57" w:history="1">
        <w:r w:rsidRPr="00CF2B3D">
          <w:rPr>
            <w:rStyle w:val="Hyperlink1"/>
            <w:sz w:val="24"/>
            <w:szCs w:val="24"/>
            <w:lang w:val="et-EE"/>
          </w:rPr>
          <w:t>http://data.europa.eu/eli/reg/2018/1046/oj</w:t>
        </w:r>
      </w:hyperlink>
      <w:r w:rsidRPr="00CF2B3D">
        <w:rPr>
          <w:sz w:val="24"/>
          <w:szCs w:val="24"/>
          <w:lang w:val="et-EE"/>
        </w:rPr>
        <w:t>.</w:t>
      </w:r>
    </w:p>
  </w:footnote>
  <w:footnote w:id="58">
    <w:p w14:paraId="031D8B9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58"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59">
    <w:p w14:paraId="1F80795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256, 19.7.2021, lk 3, ELI: </w:t>
      </w:r>
      <w:hyperlink r:id="rId59" w:history="1">
        <w:r w:rsidRPr="00CF2B3D">
          <w:rPr>
            <w:rStyle w:val="Hyperlink"/>
            <w:sz w:val="24"/>
            <w:szCs w:val="24"/>
            <w:lang w:val="fi-FI"/>
          </w:rPr>
          <w:t>https://data.europa.eu/eli/reg/2021/1173/oj</w:t>
        </w:r>
      </w:hyperlink>
      <w:r w:rsidRPr="00CF2B3D">
        <w:rPr>
          <w:sz w:val="24"/>
          <w:szCs w:val="24"/>
          <w:lang w:val="et-EE"/>
        </w:rPr>
        <w:t>.</w:t>
      </w:r>
    </w:p>
  </w:footnote>
  <w:footnote w:id="60">
    <w:p w14:paraId="1EBBF0E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60" w:history="1">
        <w:r w:rsidRPr="00CF2B3D">
          <w:rPr>
            <w:rStyle w:val="Hyperlink1"/>
            <w:sz w:val="24"/>
            <w:szCs w:val="24"/>
            <w:lang w:val="et-EE"/>
          </w:rPr>
          <w:t>http://data.europa.eu/eli/reg_del/2019/887/oj</w:t>
        </w:r>
      </w:hyperlink>
      <w:r w:rsidRPr="00CF2B3D">
        <w:rPr>
          <w:sz w:val="24"/>
          <w:szCs w:val="24"/>
          <w:lang w:val="et-EE"/>
        </w:rPr>
        <w:t>.</w:t>
      </w:r>
    </w:p>
  </w:footnote>
  <w:footnote w:id="61">
    <w:p w14:paraId="2B148BE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61" w:history="1">
        <w:r w:rsidRPr="00CF2B3D">
          <w:rPr>
            <w:rStyle w:val="Hyperlink1"/>
            <w:sz w:val="24"/>
            <w:szCs w:val="24"/>
            <w:lang w:val="et-EE"/>
          </w:rPr>
          <w:t>http://data.europa.eu/eli/C/2024/6841/oj</w:t>
        </w:r>
      </w:hyperlink>
      <w:r w:rsidRPr="00CF2B3D">
        <w:rPr>
          <w:sz w:val="24"/>
          <w:szCs w:val="24"/>
          <w:lang w:val="et-EE"/>
        </w:rPr>
        <w:t>.</w:t>
      </w:r>
    </w:p>
  </w:footnote>
  <w:footnote w:id="62">
    <w:p w14:paraId="4E48F90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62" w:history="1">
        <w:r w:rsidRPr="00CF2B3D">
          <w:rPr>
            <w:rStyle w:val="Hyperlink1"/>
            <w:sz w:val="24"/>
            <w:szCs w:val="24"/>
            <w:lang w:val="et-EE"/>
          </w:rPr>
          <w:t>http://data.europa.eu/eli/C/2024/6041/oj</w:t>
        </w:r>
      </w:hyperlink>
      <w:r w:rsidRPr="00CF2B3D">
        <w:rPr>
          <w:sz w:val="24"/>
          <w:szCs w:val="24"/>
          <w:lang w:val="et-EE"/>
        </w:rPr>
        <w:t>.</w:t>
      </w:r>
    </w:p>
  </w:footnote>
  <w:footnote w:id="63">
    <w:p w14:paraId="6086A45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63" w:history="1">
        <w:r w:rsidRPr="00CF2B3D">
          <w:rPr>
            <w:rStyle w:val="Hyperlink1"/>
            <w:sz w:val="24"/>
            <w:szCs w:val="24"/>
            <w:lang w:val="et-EE"/>
          </w:rPr>
          <w:t>http://data.europa.eu/eli/reg/2018/1046/oj</w:t>
        </w:r>
      </w:hyperlink>
      <w:r w:rsidRPr="00CF2B3D">
        <w:rPr>
          <w:sz w:val="24"/>
          <w:szCs w:val="24"/>
          <w:lang w:val="et-EE"/>
        </w:rPr>
        <w:t>.</w:t>
      </w:r>
    </w:p>
  </w:footnote>
  <w:footnote w:id="64">
    <w:p w14:paraId="285C525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64"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65">
    <w:p w14:paraId="78CE885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90, 30.3.2007, lk 58, ELI: </w:t>
      </w:r>
      <w:hyperlink r:id="rId65" w:history="1">
        <w:r w:rsidRPr="00CF2B3D">
          <w:rPr>
            <w:rStyle w:val="Hyperlink1"/>
            <w:sz w:val="24"/>
            <w:szCs w:val="24"/>
            <w:lang w:val="et-EE"/>
          </w:rPr>
          <w:t>http://data.europa.eu/eli/dec/2007/198/oj</w:t>
        </w:r>
      </w:hyperlink>
      <w:r w:rsidRPr="00CF2B3D">
        <w:rPr>
          <w:sz w:val="24"/>
          <w:szCs w:val="24"/>
          <w:lang w:val="et-EE"/>
        </w:rPr>
        <w:t>.</w:t>
      </w:r>
    </w:p>
  </w:footnote>
  <w:footnote w:id="66">
    <w:p w14:paraId="2650BA0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122, 10.5.2019, lk 1, ELI: </w:t>
      </w:r>
      <w:hyperlink r:id="rId66" w:history="1">
        <w:r w:rsidRPr="00CF2B3D">
          <w:rPr>
            <w:rStyle w:val="Hyperlink1"/>
            <w:sz w:val="24"/>
            <w:szCs w:val="24"/>
            <w:lang w:val="et-EE"/>
          </w:rPr>
          <w:t>http://data.europa.eu/eli/reg_del/2019/715/oj</w:t>
        </w:r>
      </w:hyperlink>
      <w:r w:rsidRPr="00CF2B3D">
        <w:rPr>
          <w:sz w:val="24"/>
          <w:szCs w:val="24"/>
          <w:lang w:val="et-EE"/>
        </w:rPr>
        <w:t>.</w:t>
      </w:r>
    </w:p>
  </w:footnote>
  <w:footnote w:id="67">
    <w:p w14:paraId="01FCC14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67" w:history="1">
        <w:r w:rsidRPr="00CF2B3D">
          <w:rPr>
            <w:rStyle w:val="Hyperlink1"/>
            <w:sz w:val="24"/>
            <w:szCs w:val="24"/>
            <w:lang w:val="et-EE"/>
          </w:rPr>
          <w:t>http://data.europa.eu/eli/C/2024/6841/oj</w:t>
        </w:r>
      </w:hyperlink>
      <w:r w:rsidRPr="00CF2B3D">
        <w:rPr>
          <w:sz w:val="24"/>
          <w:szCs w:val="24"/>
          <w:lang w:val="et-EE"/>
        </w:rPr>
        <w:t>.</w:t>
      </w:r>
    </w:p>
  </w:footnote>
  <w:footnote w:id="68">
    <w:p w14:paraId="588ED55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68" w:history="1">
        <w:r w:rsidRPr="00CF2B3D">
          <w:rPr>
            <w:rStyle w:val="Hyperlink1"/>
            <w:sz w:val="24"/>
            <w:szCs w:val="24"/>
            <w:lang w:val="et-EE"/>
          </w:rPr>
          <w:t>http://data.europa.eu/eli/C/2024/6041/oj</w:t>
        </w:r>
      </w:hyperlink>
      <w:r w:rsidRPr="00CF2B3D">
        <w:rPr>
          <w:sz w:val="24"/>
          <w:szCs w:val="24"/>
          <w:lang w:val="et-EE"/>
        </w:rPr>
        <w:t>.</w:t>
      </w:r>
    </w:p>
  </w:footnote>
  <w:footnote w:id="69">
    <w:p w14:paraId="7A9B7F0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69" w:history="1">
        <w:r w:rsidRPr="00CF2B3D">
          <w:rPr>
            <w:rStyle w:val="Hyperlink1"/>
            <w:sz w:val="24"/>
            <w:szCs w:val="24"/>
            <w:lang w:val="et-EE"/>
          </w:rPr>
          <w:t>http://data.europa.eu/eli/reg/2018/1046/oj</w:t>
        </w:r>
      </w:hyperlink>
      <w:r w:rsidRPr="00CF2B3D">
        <w:rPr>
          <w:sz w:val="24"/>
          <w:szCs w:val="24"/>
          <w:lang w:val="et-EE"/>
        </w:rPr>
        <w:t>.</w:t>
      </w:r>
    </w:p>
  </w:footnote>
  <w:footnote w:id="70">
    <w:p w14:paraId="3A658CF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70"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71">
    <w:p w14:paraId="64DD634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90, 30.3.2007, lk 58, ELI: </w:t>
      </w:r>
      <w:hyperlink r:id="rId71" w:history="1">
        <w:r w:rsidRPr="00CF2B3D">
          <w:rPr>
            <w:rStyle w:val="Hyperlink1"/>
            <w:sz w:val="24"/>
            <w:szCs w:val="24"/>
            <w:lang w:val="et-EE"/>
          </w:rPr>
          <w:t>http://data.europa.eu/eli/dec/2007/198/oj</w:t>
        </w:r>
      </w:hyperlink>
      <w:r w:rsidRPr="00CF2B3D">
        <w:rPr>
          <w:sz w:val="24"/>
          <w:szCs w:val="24"/>
          <w:lang w:val="et-EE"/>
        </w:rPr>
        <w:t>.</w:t>
      </w:r>
    </w:p>
  </w:footnote>
  <w:footnote w:id="72">
    <w:p w14:paraId="1C357CB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122, 10.5.2019, lk 1, ELI: </w:t>
      </w:r>
      <w:hyperlink r:id="rId72" w:history="1">
        <w:r w:rsidRPr="00CF2B3D">
          <w:rPr>
            <w:rStyle w:val="Hyperlink1"/>
            <w:sz w:val="24"/>
            <w:szCs w:val="24"/>
            <w:lang w:val="et-EE"/>
          </w:rPr>
          <w:t>http://data.europa.eu/eli/reg_del/2019/715/oj</w:t>
        </w:r>
      </w:hyperlink>
      <w:r w:rsidRPr="00CF2B3D">
        <w:rPr>
          <w:sz w:val="24"/>
          <w:szCs w:val="24"/>
          <w:lang w:val="et-EE"/>
        </w:rPr>
        <w:t>.</w:t>
      </w:r>
    </w:p>
  </w:footnote>
  <w:footnote w:id="73">
    <w:p w14:paraId="4AFD887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73" w:history="1">
        <w:r w:rsidRPr="00CF2B3D">
          <w:rPr>
            <w:rStyle w:val="Hyperlink1"/>
            <w:sz w:val="24"/>
            <w:szCs w:val="24"/>
            <w:lang w:val="et-EE"/>
          </w:rPr>
          <w:t>http://data.europa.eu/eli/C/2024/6841/oj</w:t>
        </w:r>
      </w:hyperlink>
      <w:r w:rsidRPr="00CF2B3D">
        <w:rPr>
          <w:sz w:val="24"/>
          <w:szCs w:val="24"/>
          <w:lang w:val="et-EE"/>
        </w:rPr>
        <w:t>.</w:t>
      </w:r>
    </w:p>
  </w:footnote>
  <w:footnote w:id="74">
    <w:p w14:paraId="7B6901D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74" w:history="1">
        <w:r w:rsidRPr="00CF2B3D">
          <w:rPr>
            <w:rStyle w:val="Hyperlink1"/>
            <w:sz w:val="24"/>
            <w:szCs w:val="24"/>
            <w:lang w:val="et-EE"/>
          </w:rPr>
          <w:t>http://data.europa.eu/eli/C/2024/6041/oj</w:t>
        </w:r>
      </w:hyperlink>
      <w:r w:rsidRPr="00CF2B3D">
        <w:rPr>
          <w:sz w:val="24"/>
          <w:szCs w:val="24"/>
          <w:lang w:val="et-EE"/>
        </w:rPr>
        <w:t>.</w:t>
      </w:r>
    </w:p>
  </w:footnote>
  <w:footnote w:id="75">
    <w:p w14:paraId="067963D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75" w:history="1">
        <w:r w:rsidRPr="00CF2B3D">
          <w:rPr>
            <w:rStyle w:val="Hyperlink1"/>
            <w:sz w:val="24"/>
            <w:szCs w:val="24"/>
            <w:lang w:val="et-EE"/>
          </w:rPr>
          <w:t>http://data.europa.eu/eli/reg/2018/1046/oj</w:t>
        </w:r>
      </w:hyperlink>
      <w:r w:rsidRPr="00CF2B3D">
        <w:rPr>
          <w:sz w:val="24"/>
          <w:szCs w:val="24"/>
          <w:lang w:val="et-EE"/>
        </w:rPr>
        <w:t>.</w:t>
      </w:r>
    </w:p>
  </w:footnote>
  <w:footnote w:id="76">
    <w:p w14:paraId="79F6E50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76"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77">
    <w:p w14:paraId="0FBCF57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77" w:history="1">
        <w:r w:rsidRPr="00CF2B3D">
          <w:rPr>
            <w:rStyle w:val="Hyperlink1"/>
            <w:sz w:val="24"/>
            <w:szCs w:val="24"/>
            <w:lang w:val="et-EE"/>
          </w:rPr>
          <w:t>http://data.europa.eu/eli/reg/2021/2085/oj</w:t>
        </w:r>
      </w:hyperlink>
      <w:r w:rsidRPr="00CF2B3D">
        <w:rPr>
          <w:sz w:val="24"/>
          <w:szCs w:val="24"/>
          <w:lang w:val="et-EE"/>
        </w:rPr>
        <w:t>.</w:t>
      </w:r>
    </w:p>
  </w:footnote>
  <w:footnote w:id="78">
    <w:p w14:paraId="5F20B70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78" w:history="1">
        <w:r w:rsidRPr="00CF2B3D">
          <w:rPr>
            <w:rStyle w:val="Hyperlink1"/>
            <w:sz w:val="24"/>
            <w:szCs w:val="24"/>
            <w:lang w:val="et-EE"/>
          </w:rPr>
          <w:t>http://data.europa.eu/eli/reg_del/2019/887/oj</w:t>
        </w:r>
      </w:hyperlink>
      <w:r w:rsidRPr="00CF2B3D">
        <w:rPr>
          <w:sz w:val="24"/>
          <w:szCs w:val="24"/>
          <w:lang w:val="et-EE"/>
        </w:rPr>
        <w:t>.</w:t>
      </w:r>
    </w:p>
  </w:footnote>
  <w:footnote w:id="79">
    <w:p w14:paraId="0519A21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79" w:history="1">
        <w:r w:rsidRPr="00CF2B3D">
          <w:rPr>
            <w:rStyle w:val="Hyperlink1"/>
            <w:sz w:val="24"/>
            <w:szCs w:val="24"/>
            <w:lang w:val="et-EE"/>
          </w:rPr>
          <w:t>http://data.europa.eu/eli/C/2024/6841/oj</w:t>
        </w:r>
      </w:hyperlink>
      <w:r w:rsidRPr="00CF2B3D">
        <w:rPr>
          <w:sz w:val="24"/>
          <w:szCs w:val="24"/>
          <w:lang w:val="et-EE"/>
        </w:rPr>
        <w:t>.</w:t>
      </w:r>
    </w:p>
  </w:footnote>
  <w:footnote w:id="80">
    <w:p w14:paraId="436C287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80" w:history="1">
        <w:r w:rsidRPr="00CF2B3D">
          <w:rPr>
            <w:rStyle w:val="Hyperlink1"/>
            <w:sz w:val="24"/>
            <w:szCs w:val="24"/>
            <w:lang w:val="et-EE"/>
          </w:rPr>
          <w:t>http://data.europa.eu/eli/C/2024/6041/oj</w:t>
        </w:r>
      </w:hyperlink>
      <w:r w:rsidRPr="00CF2B3D">
        <w:rPr>
          <w:sz w:val="24"/>
          <w:szCs w:val="24"/>
          <w:lang w:val="et-EE"/>
        </w:rPr>
        <w:t>.</w:t>
      </w:r>
    </w:p>
  </w:footnote>
  <w:footnote w:id="81">
    <w:p w14:paraId="275859F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81" w:history="1">
        <w:r w:rsidRPr="00CF2B3D">
          <w:rPr>
            <w:rStyle w:val="Hyperlink1"/>
            <w:sz w:val="24"/>
            <w:szCs w:val="24"/>
            <w:lang w:val="et-EE"/>
          </w:rPr>
          <w:t>http://data.europa.eu/eli/reg/2018/1046/oj</w:t>
        </w:r>
      </w:hyperlink>
      <w:r w:rsidRPr="00CF2B3D">
        <w:rPr>
          <w:sz w:val="24"/>
          <w:szCs w:val="24"/>
          <w:lang w:val="et-EE"/>
        </w:rPr>
        <w:t>.</w:t>
      </w:r>
    </w:p>
  </w:footnote>
  <w:footnote w:id="82">
    <w:p w14:paraId="037FDCD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82"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83">
    <w:p w14:paraId="5B4870A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83" w:history="1">
        <w:r w:rsidRPr="00CF2B3D">
          <w:rPr>
            <w:rStyle w:val="Hyperlink1"/>
            <w:sz w:val="24"/>
            <w:szCs w:val="24"/>
            <w:lang w:val="et-EE"/>
          </w:rPr>
          <w:t>http://data.europa.eu/eli/reg/2021/2085/oj</w:t>
        </w:r>
      </w:hyperlink>
      <w:r w:rsidRPr="00CF2B3D">
        <w:rPr>
          <w:sz w:val="24"/>
          <w:szCs w:val="24"/>
          <w:lang w:val="et-EE"/>
        </w:rPr>
        <w:t>.</w:t>
      </w:r>
    </w:p>
  </w:footnote>
  <w:footnote w:id="84">
    <w:p w14:paraId="0516D89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84" w:history="1">
        <w:r w:rsidRPr="00CF2B3D">
          <w:rPr>
            <w:rStyle w:val="Hyperlink1"/>
            <w:sz w:val="24"/>
            <w:szCs w:val="24"/>
            <w:lang w:val="et-EE"/>
          </w:rPr>
          <w:t>http://data.europa.eu/eli/reg_del/2019/887/oj</w:t>
        </w:r>
      </w:hyperlink>
      <w:r w:rsidRPr="00CF2B3D">
        <w:rPr>
          <w:sz w:val="24"/>
          <w:szCs w:val="24"/>
          <w:lang w:val="et-EE"/>
        </w:rPr>
        <w:t>.</w:t>
      </w:r>
    </w:p>
  </w:footnote>
  <w:footnote w:id="85">
    <w:p w14:paraId="587FE07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85" w:history="1">
        <w:r w:rsidRPr="00CF2B3D">
          <w:rPr>
            <w:rStyle w:val="Hyperlink1"/>
            <w:sz w:val="24"/>
            <w:szCs w:val="24"/>
            <w:lang w:val="et-EE"/>
          </w:rPr>
          <w:t>http://data.europa.eu/eli/C/2024/6841/oj</w:t>
        </w:r>
      </w:hyperlink>
      <w:r w:rsidRPr="00CF2B3D">
        <w:rPr>
          <w:sz w:val="24"/>
          <w:szCs w:val="24"/>
          <w:lang w:val="et-EE"/>
        </w:rPr>
        <w:t>.</w:t>
      </w:r>
    </w:p>
  </w:footnote>
  <w:footnote w:id="86">
    <w:p w14:paraId="3CD3E7C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86" w:history="1">
        <w:r w:rsidRPr="00CF2B3D">
          <w:rPr>
            <w:rStyle w:val="Hyperlink1"/>
            <w:sz w:val="24"/>
            <w:szCs w:val="24"/>
            <w:lang w:val="et-EE"/>
          </w:rPr>
          <w:t>http://data.europa.eu/eli/C/2024/6041/oj</w:t>
        </w:r>
      </w:hyperlink>
      <w:r w:rsidRPr="00CF2B3D">
        <w:rPr>
          <w:sz w:val="24"/>
          <w:szCs w:val="24"/>
          <w:lang w:val="et-EE"/>
        </w:rPr>
        <w:t>.</w:t>
      </w:r>
    </w:p>
  </w:footnote>
  <w:footnote w:id="87">
    <w:p w14:paraId="286F0134"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87" w:history="1">
        <w:r w:rsidRPr="00CF2B3D">
          <w:rPr>
            <w:rStyle w:val="Hyperlink1"/>
            <w:sz w:val="24"/>
            <w:szCs w:val="24"/>
            <w:lang w:val="et-EE"/>
          </w:rPr>
          <w:t>http://data.europa.eu/eli/reg/2018/1046/oj</w:t>
        </w:r>
      </w:hyperlink>
      <w:r w:rsidRPr="00CF2B3D">
        <w:rPr>
          <w:sz w:val="24"/>
          <w:szCs w:val="24"/>
          <w:lang w:val="et-EE"/>
        </w:rPr>
        <w:t>.</w:t>
      </w:r>
    </w:p>
  </w:footnote>
  <w:footnote w:id="88">
    <w:p w14:paraId="458DE7C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88"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89">
    <w:p w14:paraId="7002A15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89" w:history="1">
        <w:r w:rsidRPr="00CF2B3D">
          <w:rPr>
            <w:rStyle w:val="Hyperlink1"/>
            <w:sz w:val="24"/>
            <w:szCs w:val="24"/>
            <w:lang w:val="et-EE"/>
          </w:rPr>
          <w:t>http://data.europa.eu/eli/reg/2021/2085/oj</w:t>
        </w:r>
      </w:hyperlink>
      <w:r w:rsidRPr="00CF2B3D">
        <w:rPr>
          <w:sz w:val="24"/>
          <w:szCs w:val="24"/>
          <w:lang w:val="et-EE"/>
        </w:rPr>
        <w:t>.</w:t>
      </w:r>
    </w:p>
  </w:footnote>
  <w:footnote w:id="90">
    <w:p w14:paraId="2FF4D98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90" w:history="1">
        <w:r w:rsidRPr="00CF2B3D">
          <w:rPr>
            <w:rStyle w:val="Hyperlink1"/>
            <w:sz w:val="24"/>
            <w:szCs w:val="24"/>
            <w:lang w:val="et-EE"/>
          </w:rPr>
          <w:t>http://data.europa.eu/eli/reg_del/2019/887/oj</w:t>
        </w:r>
      </w:hyperlink>
      <w:r w:rsidRPr="00CF2B3D">
        <w:rPr>
          <w:sz w:val="24"/>
          <w:szCs w:val="24"/>
          <w:lang w:val="et-EE"/>
        </w:rPr>
        <w:t>.</w:t>
      </w:r>
    </w:p>
  </w:footnote>
  <w:footnote w:id="91">
    <w:p w14:paraId="5F49F62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91" w:history="1">
        <w:r w:rsidRPr="00CF2B3D">
          <w:rPr>
            <w:rStyle w:val="Hyperlink1"/>
            <w:sz w:val="24"/>
            <w:szCs w:val="24"/>
            <w:lang w:val="et-EE"/>
          </w:rPr>
          <w:t>http://data.europa.eu/eli/C/2024/6841/oj</w:t>
        </w:r>
      </w:hyperlink>
      <w:r w:rsidRPr="00CF2B3D">
        <w:rPr>
          <w:sz w:val="24"/>
          <w:szCs w:val="24"/>
          <w:lang w:val="et-EE"/>
        </w:rPr>
        <w:t>.</w:t>
      </w:r>
    </w:p>
  </w:footnote>
  <w:footnote w:id="92">
    <w:p w14:paraId="3375BF9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92" w:history="1">
        <w:r w:rsidRPr="00CF2B3D">
          <w:rPr>
            <w:rStyle w:val="Hyperlink1"/>
            <w:sz w:val="24"/>
            <w:szCs w:val="24"/>
            <w:lang w:val="et-EE"/>
          </w:rPr>
          <w:t>http://data.europa.eu/eli/C/2024/6041/oj</w:t>
        </w:r>
      </w:hyperlink>
      <w:r w:rsidRPr="00CF2B3D">
        <w:rPr>
          <w:sz w:val="24"/>
          <w:szCs w:val="24"/>
          <w:lang w:val="et-EE"/>
        </w:rPr>
        <w:t>.</w:t>
      </w:r>
    </w:p>
  </w:footnote>
  <w:footnote w:id="93">
    <w:p w14:paraId="4742DF6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93" w:history="1">
        <w:r w:rsidRPr="00CF2B3D">
          <w:rPr>
            <w:rStyle w:val="Hyperlink1"/>
            <w:sz w:val="24"/>
            <w:szCs w:val="24"/>
            <w:lang w:val="et-EE"/>
          </w:rPr>
          <w:t>http://data.europa.eu/eli/reg/2018/1046/oj</w:t>
        </w:r>
      </w:hyperlink>
      <w:r w:rsidRPr="00CF2B3D">
        <w:rPr>
          <w:sz w:val="24"/>
          <w:szCs w:val="24"/>
          <w:lang w:val="et-EE"/>
        </w:rPr>
        <w:t>.</w:t>
      </w:r>
    </w:p>
  </w:footnote>
  <w:footnote w:id="94">
    <w:p w14:paraId="6B80BE44"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94"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95">
    <w:p w14:paraId="451026B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95" w:history="1">
        <w:r w:rsidRPr="00CF2B3D">
          <w:rPr>
            <w:rStyle w:val="Hyperlink1"/>
            <w:sz w:val="24"/>
            <w:szCs w:val="24"/>
            <w:lang w:val="et-EE"/>
          </w:rPr>
          <w:t>http://data.europa.eu/eli/reg/2021/2085/oj</w:t>
        </w:r>
      </w:hyperlink>
      <w:r w:rsidRPr="00CF2B3D">
        <w:rPr>
          <w:sz w:val="24"/>
          <w:szCs w:val="24"/>
          <w:lang w:val="et-EE"/>
        </w:rPr>
        <w:t>.</w:t>
      </w:r>
    </w:p>
  </w:footnote>
  <w:footnote w:id="96">
    <w:p w14:paraId="17AA4FF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96" w:history="1">
        <w:r w:rsidRPr="00CF2B3D">
          <w:rPr>
            <w:rStyle w:val="Hyperlink1"/>
            <w:sz w:val="24"/>
            <w:szCs w:val="24"/>
            <w:lang w:val="et-EE"/>
          </w:rPr>
          <w:t>http://data.europa.eu/eli/reg_del/2019/887/oj</w:t>
        </w:r>
      </w:hyperlink>
      <w:r w:rsidRPr="00CF2B3D">
        <w:rPr>
          <w:sz w:val="24"/>
          <w:szCs w:val="24"/>
          <w:lang w:val="et-EE"/>
        </w:rPr>
        <w:t>.</w:t>
      </w:r>
    </w:p>
  </w:footnote>
  <w:footnote w:id="97">
    <w:p w14:paraId="7BCA7884"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97" w:history="1">
        <w:r w:rsidRPr="00CF2B3D">
          <w:rPr>
            <w:rStyle w:val="Hyperlink1"/>
            <w:sz w:val="24"/>
            <w:szCs w:val="24"/>
            <w:lang w:val="et-EE"/>
          </w:rPr>
          <w:t>http://data.europa.eu/eli/C/2024/6841/oj</w:t>
        </w:r>
      </w:hyperlink>
      <w:r w:rsidRPr="00CF2B3D">
        <w:rPr>
          <w:sz w:val="24"/>
          <w:szCs w:val="24"/>
          <w:lang w:val="et-EE"/>
        </w:rPr>
        <w:t>.</w:t>
      </w:r>
    </w:p>
  </w:footnote>
  <w:footnote w:id="98">
    <w:p w14:paraId="217E4C3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98" w:history="1">
        <w:r w:rsidRPr="00CF2B3D">
          <w:rPr>
            <w:rStyle w:val="Hyperlink1"/>
            <w:sz w:val="24"/>
            <w:szCs w:val="24"/>
            <w:lang w:val="et-EE"/>
          </w:rPr>
          <w:t>http://data.europa.eu/eli/C/2024/6041/oj</w:t>
        </w:r>
      </w:hyperlink>
      <w:r w:rsidRPr="00CF2B3D">
        <w:rPr>
          <w:sz w:val="24"/>
          <w:szCs w:val="24"/>
          <w:lang w:val="et-EE"/>
        </w:rPr>
        <w:t>.</w:t>
      </w:r>
    </w:p>
  </w:footnote>
  <w:footnote w:id="99">
    <w:p w14:paraId="053F12AF"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99" w:history="1">
        <w:r w:rsidRPr="00CF2B3D">
          <w:rPr>
            <w:rStyle w:val="Hyperlink1"/>
            <w:sz w:val="24"/>
            <w:szCs w:val="24"/>
            <w:lang w:val="et-EE"/>
          </w:rPr>
          <w:t>http://data.europa.eu/eli/reg/2018/1046/oj</w:t>
        </w:r>
      </w:hyperlink>
      <w:r w:rsidRPr="00CF2B3D">
        <w:rPr>
          <w:sz w:val="24"/>
          <w:szCs w:val="24"/>
          <w:lang w:val="et-EE"/>
        </w:rPr>
        <w:t>.</w:t>
      </w:r>
    </w:p>
  </w:footnote>
  <w:footnote w:id="100">
    <w:p w14:paraId="5FBC6D3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00"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01">
    <w:p w14:paraId="5AB7705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01" w:history="1">
        <w:r w:rsidRPr="00CF2B3D">
          <w:rPr>
            <w:rStyle w:val="Hyperlink1"/>
            <w:sz w:val="24"/>
            <w:szCs w:val="24"/>
            <w:lang w:val="et-EE"/>
          </w:rPr>
          <w:t>http://data.europa.eu/eli/reg/2021/2085/oj</w:t>
        </w:r>
      </w:hyperlink>
      <w:r w:rsidRPr="00CF2B3D">
        <w:rPr>
          <w:sz w:val="24"/>
          <w:szCs w:val="24"/>
          <w:lang w:val="et-EE"/>
        </w:rPr>
        <w:t>.</w:t>
      </w:r>
    </w:p>
  </w:footnote>
  <w:footnote w:id="102">
    <w:p w14:paraId="4A5D6F6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fi-FI"/>
        </w:rPr>
        <w:t xml:space="preserve"> </w:t>
      </w:r>
      <w:r w:rsidRPr="00CF2B3D">
        <w:rPr>
          <w:sz w:val="24"/>
          <w:szCs w:val="24"/>
          <w:lang w:val="et-EE"/>
        </w:rPr>
        <w:tab/>
      </w:r>
      <w:r w:rsidRPr="00CF2B3D">
        <w:rPr>
          <w:sz w:val="24"/>
          <w:szCs w:val="24"/>
          <w:lang w:val="et-EE"/>
        </w:rPr>
        <w:t xml:space="preserve">ELT L 229, 18.9.2023, lk 55, ELI: </w:t>
      </w:r>
      <w:hyperlink r:id="rId102" w:history="1">
        <w:r w:rsidRPr="00CF2B3D">
          <w:rPr>
            <w:rStyle w:val="Hyperlink"/>
            <w:sz w:val="24"/>
            <w:szCs w:val="24"/>
            <w:lang w:val="et-EE"/>
          </w:rPr>
          <w:t>http://data.europa.eu/eli/reg/2023/1782/oj</w:t>
        </w:r>
      </w:hyperlink>
      <w:r w:rsidRPr="00CF2B3D">
        <w:rPr>
          <w:sz w:val="24"/>
          <w:szCs w:val="24"/>
          <w:lang w:val="et-EE"/>
        </w:rPr>
        <w:t>.</w:t>
      </w:r>
    </w:p>
  </w:footnote>
  <w:footnote w:id="103">
    <w:p w14:paraId="7D87AC4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03" w:history="1">
        <w:r w:rsidRPr="00CF2B3D">
          <w:rPr>
            <w:rStyle w:val="Hyperlink1"/>
            <w:sz w:val="24"/>
            <w:szCs w:val="24"/>
            <w:lang w:val="et-EE"/>
          </w:rPr>
          <w:t>http://data.europa.eu/eli/reg_del/2019/887/oj</w:t>
        </w:r>
      </w:hyperlink>
      <w:r w:rsidRPr="00CF2B3D">
        <w:rPr>
          <w:sz w:val="24"/>
          <w:szCs w:val="24"/>
          <w:lang w:val="et-EE"/>
        </w:rPr>
        <w:t>.</w:t>
      </w:r>
    </w:p>
  </w:footnote>
  <w:footnote w:id="104">
    <w:p w14:paraId="58E985F9"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04" w:history="1">
        <w:r w:rsidRPr="00CF2B3D">
          <w:rPr>
            <w:rStyle w:val="Hyperlink1"/>
            <w:sz w:val="24"/>
            <w:szCs w:val="24"/>
            <w:lang w:val="et-EE"/>
          </w:rPr>
          <w:t>http://data.europa.eu/eli/C/2024/6841/oj</w:t>
        </w:r>
      </w:hyperlink>
      <w:r w:rsidRPr="00CF2B3D">
        <w:rPr>
          <w:sz w:val="24"/>
          <w:szCs w:val="24"/>
          <w:lang w:val="et-EE"/>
        </w:rPr>
        <w:t>.</w:t>
      </w:r>
    </w:p>
  </w:footnote>
  <w:footnote w:id="105">
    <w:p w14:paraId="11C57B4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05" w:history="1">
        <w:r w:rsidRPr="00CF2B3D">
          <w:rPr>
            <w:rStyle w:val="Hyperlink1"/>
            <w:sz w:val="24"/>
            <w:szCs w:val="24"/>
            <w:lang w:val="et-EE"/>
          </w:rPr>
          <w:t>http://data.europa.eu/eli/C/2024/6041/oj</w:t>
        </w:r>
      </w:hyperlink>
      <w:r w:rsidRPr="00CF2B3D">
        <w:rPr>
          <w:sz w:val="24"/>
          <w:szCs w:val="24"/>
          <w:lang w:val="et-EE"/>
        </w:rPr>
        <w:t>.</w:t>
      </w:r>
    </w:p>
  </w:footnote>
  <w:footnote w:id="106">
    <w:p w14:paraId="6017E44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06" w:history="1">
        <w:r w:rsidRPr="00CF2B3D">
          <w:rPr>
            <w:rStyle w:val="Hyperlink1"/>
            <w:sz w:val="24"/>
            <w:szCs w:val="24"/>
            <w:lang w:val="et-EE"/>
          </w:rPr>
          <w:t>http://data.europa.eu/eli/reg/2018/1046/oj</w:t>
        </w:r>
      </w:hyperlink>
      <w:r w:rsidRPr="00CF2B3D">
        <w:rPr>
          <w:sz w:val="24"/>
          <w:szCs w:val="24"/>
          <w:lang w:val="et-EE"/>
        </w:rPr>
        <w:t>.</w:t>
      </w:r>
    </w:p>
  </w:footnote>
  <w:footnote w:id="107">
    <w:p w14:paraId="0F9D778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07"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08">
    <w:p w14:paraId="2700041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08" w:history="1">
        <w:r w:rsidRPr="00CF2B3D">
          <w:rPr>
            <w:rStyle w:val="Hyperlink1"/>
            <w:sz w:val="24"/>
            <w:szCs w:val="24"/>
            <w:lang w:val="et-EE"/>
          </w:rPr>
          <w:t>http://data.europa.eu/eli/reg/2021/2085/oj</w:t>
        </w:r>
      </w:hyperlink>
      <w:r w:rsidRPr="00CF2B3D">
        <w:rPr>
          <w:sz w:val="24"/>
          <w:szCs w:val="24"/>
          <w:lang w:val="et-EE"/>
        </w:rPr>
        <w:t>.</w:t>
      </w:r>
    </w:p>
  </w:footnote>
  <w:footnote w:id="109">
    <w:p w14:paraId="46A98BBF"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fi-FI"/>
        </w:rPr>
        <w:t xml:space="preserve"> </w:t>
      </w:r>
      <w:r w:rsidRPr="00CF2B3D">
        <w:rPr>
          <w:sz w:val="24"/>
          <w:szCs w:val="24"/>
          <w:lang w:val="et-EE"/>
        </w:rPr>
        <w:tab/>
      </w:r>
      <w:r w:rsidRPr="00CF2B3D">
        <w:rPr>
          <w:sz w:val="24"/>
          <w:szCs w:val="24"/>
          <w:lang w:val="et-EE"/>
        </w:rPr>
        <w:t xml:space="preserve">ELT L 229, 18.9.2023, lk 55, ELI: </w:t>
      </w:r>
      <w:hyperlink r:id="rId109" w:history="1">
        <w:r w:rsidRPr="00CF2B3D">
          <w:rPr>
            <w:rStyle w:val="Hyperlink"/>
            <w:sz w:val="24"/>
            <w:szCs w:val="24"/>
            <w:lang w:val="et-EE"/>
          </w:rPr>
          <w:t>http://data.europa.eu/eli/reg/2023/1782/oj</w:t>
        </w:r>
      </w:hyperlink>
      <w:r w:rsidRPr="00CF2B3D">
        <w:rPr>
          <w:sz w:val="24"/>
          <w:szCs w:val="24"/>
          <w:lang w:val="et-EE"/>
        </w:rPr>
        <w:t>.</w:t>
      </w:r>
    </w:p>
  </w:footnote>
  <w:footnote w:id="110">
    <w:p w14:paraId="7162EA5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10" w:history="1">
        <w:r w:rsidRPr="00CF2B3D">
          <w:rPr>
            <w:rStyle w:val="Hyperlink1"/>
            <w:sz w:val="24"/>
            <w:szCs w:val="24"/>
            <w:lang w:val="et-EE"/>
          </w:rPr>
          <w:t>http://data.europa.eu/eli/reg_del/2019/887/oj</w:t>
        </w:r>
      </w:hyperlink>
      <w:r w:rsidRPr="00CF2B3D">
        <w:rPr>
          <w:sz w:val="24"/>
          <w:szCs w:val="24"/>
          <w:lang w:val="et-EE"/>
        </w:rPr>
        <w:t>.</w:t>
      </w:r>
    </w:p>
  </w:footnote>
  <w:footnote w:id="111">
    <w:p w14:paraId="7AC5D2A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11" w:history="1">
        <w:r w:rsidRPr="00CF2B3D">
          <w:rPr>
            <w:rStyle w:val="Hyperlink1"/>
            <w:sz w:val="24"/>
            <w:szCs w:val="24"/>
            <w:lang w:val="et-EE"/>
          </w:rPr>
          <w:t>http://data.europa.eu/eli/C/2024/6841/oj</w:t>
        </w:r>
      </w:hyperlink>
      <w:r w:rsidRPr="00CF2B3D">
        <w:rPr>
          <w:sz w:val="24"/>
          <w:szCs w:val="24"/>
          <w:lang w:val="et-EE"/>
        </w:rPr>
        <w:t>.</w:t>
      </w:r>
    </w:p>
  </w:footnote>
  <w:footnote w:id="112">
    <w:p w14:paraId="122FBEB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12" w:history="1">
        <w:r w:rsidRPr="00CF2B3D">
          <w:rPr>
            <w:rStyle w:val="Hyperlink1"/>
            <w:sz w:val="24"/>
            <w:szCs w:val="24"/>
            <w:lang w:val="et-EE"/>
          </w:rPr>
          <w:t>http://data.europa.eu/eli/C/2024/6041/oj</w:t>
        </w:r>
      </w:hyperlink>
      <w:r w:rsidRPr="00CF2B3D">
        <w:rPr>
          <w:sz w:val="24"/>
          <w:szCs w:val="24"/>
          <w:lang w:val="et-EE"/>
        </w:rPr>
        <w:t>.</w:t>
      </w:r>
    </w:p>
  </w:footnote>
  <w:footnote w:id="113">
    <w:p w14:paraId="4CB44F2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13" w:history="1">
        <w:r w:rsidRPr="00CF2B3D">
          <w:rPr>
            <w:rStyle w:val="Hyperlink1"/>
            <w:sz w:val="24"/>
            <w:szCs w:val="24"/>
            <w:lang w:val="et-EE"/>
          </w:rPr>
          <w:t>http://data.europa.eu/eli/reg/2018/1046/oj</w:t>
        </w:r>
      </w:hyperlink>
      <w:r w:rsidRPr="00CF2B3D">
        <w:rPr>
          <w:sz w:val="24"/>
          <w:szCs w:val="24"/>
          <w:lang w:val="et-EE"/>
        </w:rPr>
        <w:t>.</w:t>
      </w:r>
    </w:p>
  </w:footnote>
  <w:footnote w:id="114">
    <w:p w14:paraId="3C4DF28C"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14"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15">
    <w:p w14:paraId="155EBB1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15" w:history="1">
        <w:r w:rsidRPr="00CF2B3D">
          <w:rPr>
            <w:rStyle w:val="Hyperlink1"/>
            <w:sz w:val="24"/>
            <w:szCs w:val="24"/>
            <w:lang w:val="et-EE"/>
          </w:rPr>
          <w:t>http://data.europa.eu/eli/reg/2021/2085/oj</w:t>
        </w:r>
      </w:hyperlink>
      <w:r w:rsidRPr="00CF2B3D">
        <w:rPr>
          <w:sz w:val="24"/>
          <w:szCs w:val="24"/>
          <w:lang w:val="et-EE"/>
        </w:rPr>
        <w:t>.</w:t>
      </w:r>
    </w:p>
  </w:footnote>
  <w:footnote w:id="116">
    <w:p w14:paraId="6E3CB0E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16" w:history="1">
        <w:r w:rsidRPr="00CF2B3D">
          <w:rPr>
            <w:rStyle w:val="Hyperlink1"/>
            <w:sz w:val="24"/>
            <w:szCs w:val="24"/>
            <w:lang w:val="et-EE"/>
          </w:rPr>
          <w:t>http://data.europa.eu/eli/reg_del/2019/887/oj</w:t>
        </w:r>
      </w:hyperlink>
      <w:r w:rsidRPr="00CF2B3D">
        <w:rPr>
          <w:sz w:val="24"/>
          <w:szCs w:val="24"/>
          <w:lang w:val="et-EE"/>
        </w:rPr>
        <w:t>.</w:t>
      </w:r>
    </w:p>
  </w:footnote>
  <w:footnote w:id="117">
    <w:p w14:paraId="295B93AB"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17" w:history="1">
        <w:r w:rsidRPr="00CF2B3D">
          <w:rPr>
            <w:rStyle w:val="Hyperlink1"/>
            <w:sz w:val="24"/>
            <w:szCs w:val="24"/>
            <w:lang w:val="et-EE"/>
          </w:rPr>
          <w:t>http://data.europa.eu/eli/C/2024/6841/oj</w:t>
        </w:r>
      </w:hyperlink>
      <w:r w:rsidRPr="00CF2B3D">
        <w:rPr>
          <w:sz w:val="24"/>
          <w:szCs w:val="24"/>
          <w:lang w:val="et-EE"/>
        </w:rPr>
        <w:t>.</w:t>
      </w:r>
    </w:p>
  </w:footnote>
  <w:footnote w:id="118">
    <w:p w14:paraId="393CC37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18" w:history="1">
        <w:r w:rsidRPr="00CF2B3D">
          <w:rPr>
            <w:rStyle w:val="Hyperlink1"/>
            <w:sz w:val="24"/>
            <w:szCs w:val="24"/>
            <w:lang w:val="et-EE"/>
          </w:rPr>
          <w:t>http://data.europa.eu/eli/C/2024/6041/oj</w:t>
        </w:r>
      </w:hyperlink>
      <w:r w:rsidRPr="00CF2B3D">
        <w:rPr>
          <w:sz w:val="24"/>
          <w:szCs w:val="24"/>
          <w:lang w:val="et-EE"/>
        </w:rPr>
        <w:t>.</w:t>
      </w:r>
    </w:p>
  </w:footnote>
  <w:footnote w:id="119">
    <w:p w14:paraId="6B2281F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19" w:history="1">
        <w:r w:rsidRPr="00CF2B3D">
          <w:rPr>
            <w:rStyle w:val="Hyperlink1"/>
            <w:sz w:val="24"/>
            <w:szCs w:val="24"/>
            <w:lang w:val="et-EE"/>
          </w:rPr>
          <w:t>http://data.europa.eu/eli/reg/2018/1046/oj</w:t>
        </w:r>
      </w:hyperlink>
      <w:r w:rsidRPr="00CF2B3D">
        <w:rPr>
          <w:sz w:val="24"/>
          <w:szCs w:val="24"/>
          <w:lang w:val="et-EE"/>
        </w:rPr>
        <w:t>.</w:t>
      </w:r>
    </w:p>
  </w:footnote>
  <w:footnote w:id="120">
    <w:p w14:paraId="25E1D31A"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20"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21">
    <w:p w14:paraId="636C609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21" w:history="1">
        <w:r w:rsidRPr="00CF2B3D">
          <w:rPr>
            <w:rStyle w:val="Hyperlink1"/>
            <w:sz w:val="24"/>
            <w:szCs w:val="24"/>
            <w:lang w:val="et-EE"/>
          </w:rPr>
          <w:t>http://data.europa.eu/eli/reg/2021/2085/oj</w:t>
        </w:r>
      </w:hyperlink>
      <w:r w:rsidRPr="00CF2B3D">
        <w:rPr>
          <w:sz w:val="24"/>
          <w:szCs w:val="24"/>
          <w:lang w:val="et-EE"/>
        </w:rPr>
        <w:t>.</w:t>
      </w:r>
    </w:p>
  </w:footnote>
  <w:footnote w:id="122">
    <w:p w14:paraId="4FC25A05"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22" w:history="1">
        <w:r w:rsidRPr="00CF2B3D">
          <w:rPr>
            <w:rStyle w:val="Hyperlink1"/>
            <w:sz w:val="24"/>
            <w:szCs w:val="24"/>
            <w:lang w:val="et-EE"/>
          </w:rPr>
          <w:t>http://data.europa.eu/eli/reg_del/2019/887/oj</w:t>
        </w:r>
      </w:hyperlink>
      <w:r w:rsidRPr="00CF2B3D">
        <w:rPr>
          <w:sz w:val="24"/>
          <w:szCs w:val="24"/>
          <w:lang w:val="et-EE"/>
        </w:rPr>
        <w:t>.</w:t>
      </w:r>
    </w:p>
  </w:footnote>
  <w:footnote w:id="123">
    <w:p w14:paraId="6E04517F"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23" w:history="1">
        <w:r w:rsidRPr="00CF2B3D">
          <w:rPr>
            <w:rStyle w:val="Hyperlink1"/>
            <w:sz w:val="24"/>
            <w:szCs w:val="24"/>
            <w:lang w:val="et-EE"/>
          </w:rPr>
          <w:t>http://data.europa.eu/eli/C/2024/6841/oj</w:t>
        </w:r>
      </w:hyperlink>
      <w:r w:rsidRPr="00CF2B3D">
        <w:rPr>
          <w:sz w:val="24"/>
          <w:szCs w:val="24"/>
          <w:lang w:val="et-EE"/>
        </w:rPr>
        <w:t>.</w:t>
      </w:r>
    </w:p>
  </w:footnote>
  <w:footnote w:id="124">
    <w:p w14:paraId="36B7739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24" w:history="1">
        <w:r w:rsidRPr="00CF2B3D">
          <w:rPr>
            <w:rStyle w:val="Hyperlink1"/>
            <w:sz w:val="24"/>
            <w:szCs w:val="24"/>
            <w:lang w:val="et-EE"/>
          </w:rPr>
          <w:t>http://data.europa.eu/eli/C/2024/6041/oj</w:t>
        </w:r>
      </w:hyperlink>
      <w:r w:rsidRPr="00CF2B3D">
        <w:rPr>
          <w:sz w:val="24"/>
          <w:szCs w:val="24"/>
          <w:lang w:val="et-EE"/>
        </w:rPr>
        <w:t>.</w:t>
      </w:r>
    </w:p>
  </w:footnote>
  <w:footnote w:id="125">
    <w:p w14:paraId="36DB3F4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25" w:history="1">
        <w:r w:rsidRPr="00CF2B3D">
          <w:rPr>
            <w:rStyle w:val="Hyperlink1"/>
            <w:sz w:val="24"/>
            <w:szCs w:val="24"/>
            <w:lang w:val="et-EE"/>
          </w:rPr>
          <w:t>http://data.europa.eu/eli/reg/2018/1046/oj</w:t>
        </w:r>
      </w:hyperlink>
      <w:r w:rsidRPr="00CF2B3D">
        <w:rPr>
          <w:sz w:val="24"/>
          <w:szCs w:val="24"/>
          <w:lang w:val="et-EE"/>
        </w:rPr>
        <w:t>.</w:t>
      </w:r>
    </w:p>
  </w:footnote>
  <w:footnote w:id="126">
    <w:p w14:paraId="141665B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26"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27">
    <w:p w14:paraId="3A4849A3"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27" w:history="1">
        <w:r w:rsidRPr="00CF2B3D">
          <w:rPr>
            <w:rStyle w:val="Hyperlink1"/>
            <w:sz w:val="24"/>
            <w:szCs w:val="24"/>
            <w:lang w:val="et-EE"/>
          </w:rPr>
          <w:t>http://data.europa.eu/eli/reg/2021/2085/oj</w:t>
        </w:r>
      </w:hyperlink>
      <w:r w:rsidRPr="00CF2B3D">
        <w:rPr>
          <w:sz w:val="24"/>
          <w:szCs w:val="24"/>
          <w:lang w:val="et-EE"/>
        </w:rPr>
        <w:t>.</w:t>
      </w:r>
    </w:p>
  </w:footnote>
  <w:footnote w:id="128">
    <w:p w14:paraId="023DC23E"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28" w:history="1">
        <w:r w:rsidRPr="00CF2B3D">
          <w:rPr>
            <w:rStyle w:val="Hyperlink1"/>
            <w:sz w:val="24"/>
            <w:szCs w:val="24"/>
            <w:lang w:val="et-EE"/>
          </w:rPr>
          <w:t>http://data.europa.eu/eli/reg_del/2019/887/oj</w:t>
        </w:r>
      </w:hyperlink>
      <w:r w:rsidRPr="00CF2B3D">
        <w:rPr>
          <w:sz w:val="24"/>
          <w:szCs w:val="24"/>
          <w:lang w:val="et-EE"/>
        </w:rPr>
        <w:t>.</w:t>
      </w:r>
    </w:p>
  </w:footnote>
  <w:footnote w:id="129">
    <w:p w14:paraId="165177B4"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C/2024/6841, 13.11.2024, ELI: </w:t>
      </w:r>
      <w:hyperlink r:id="rId129" w:history="1">
        <w:r w:rsidRPr="00CF2B3D">
          <w:rPr>
            <w:rStyle w:val="Hyperlink1"/>
            <w:sz w:val="24"/>
            <w:szCs w:val="24"/>
            <w:lang w:val="et-EE"/>
          </w:rPr>
          <w:t>http://data.europa.eu/eli/C/2024/6841/oj</w:t>
        </w:r>
      </w:hyperlink>
      <w:r w:rsidRPr="00CF2B3D">
        <w:rPr>
          <w:sz w:val="24"/>
          <w:szCs w:val="24"/>
          <w:lang w:val="et-EE"/>
        </w:rPr>
        <w:t>.</w:t>
      </w:r>
    </w:p>
  </w:footnote>
  <w:footnote w:id="130">
    <w:p w14:paraId="4E69EA3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C, C/2024/6041, 10.10.2024, ELI: </w:t>
      </w:r>
      <w:hyperlink r:id="rId130" w:history="1">
        <w:r w:rsidRPr="00CF2B3D">
          <w:rPr>
            <w:rStyle w:val="Hyperlink1"/>
            <w:sz w:val="24"/>
            <w:szCs w:val="24"/>
            <w:lang w:val="et-EE"/>
          </w:rPr>
          <w:t>http://data.europa.eu/eli/C/2024/6041/oj</w:t>
        </w:r>
      </w:hyperlink>
      <w:r w:rsidRPr="00CF2B3D">
        <w:rPr>
          <w:sz w:val="24"/>
          <w:szCs w:val="24"/>
          <w:lang w:val="et-EE"/>
        </w:rPr>
        <w:t>.</w:t>
      </w:r>
    </w:p>
  </w:footnote>
  <w:footnote w:id="131">
    <w:p w14:paraId="504A3450"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193, 30.7.2018, lk 1, ELI: </w:t>
      </w:r>
      <w:hyperlink r:id="rId131" w:history="1">
        <w:r w:rsidRPr="00CF2B3D">
          <w:rPr>
            <w:rStyle w:val="Hyperlink1"/>
            <w:sz w:val="24"/>
            <w:szCs w:val="24"/>
            <w:lang w:val="et-EE"/>
          </w:rPr>
          <w:t>http://data.europa.eu/eli/reg/2018/1046/oj</w:t>
        </w:r>
      </w:hyperlink>
      <w:r w:rsidRPr="00CF2B3D">
        <w:rPr>
          <w:sz w:val="24"/>
          <w:szCs w:val="24"/>
          <w:lang w:val="et-EE"/>
        </w:rPr>
        <w:t>.</w:t>
      </w:r>
    </w:p>
  </w:footnote>
  <w:footnote w:id="132">
    <w:p w14:paraId="49C5CB16"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2024/2509, 26.9.2024, ELI: </w:t>
      </w:r>
      <w:hyperlink r:id="rId132" w:tgtFrame="_blank" w:history="1">
        <w:r w:rsidRPr="00CF2B3D">
          <w:rPr>
            <w:rStyle w:val="Hyperlink1"/>
            <w:sz w:val="24"/>
            <w:szCs w:val="24"/>
            <w:shd w:val="clear" w:color="auto" w:fill="FFFFFF"/>
            <w:lang w:val="et-EE"/>
          </w:rPr>
          <w:t>http://data.europa.eu/eli/reg/2024/2509/oj</w:t>
        </w:r>
      </w:hyperlink>
      <w:r w:rsidRPr="00CF2B3D">
        <w:rPr>
          <w:sz w:val="24"/>
          <w:szCs w:val="24"/>
          <w:lang w:val="et-EE"/>
        </w:rPr>
        <w:t>.</w:t>
      </w:r>
    </w:p>
  </w:footnote>
  <w:footnote w:id="133">
    <w:p w14:paraId="440CE5A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427, 30.11.2021, lk 17, ELI: </w:t>
      </w:r>
      <w:hyperlink r:id="rId133" w:history="1">
        <w:r w:rsidRPr="00CF2B3D">
          <w:rPr>
            <w:rStyle w:val="Hyperlink1"/>
            <w:sz w:val="24"/>
            <w:szCs w:val="24"/>
            <w:lang w:val="et-EE"/>
          </w:rPr>
          <w:t>http://data.europa.eu/eli/reg/2021/2085/oj</w:t>
        </w:r>
      </w:hyperlink>
      <w:r w:rsidRPr="00CF2B3D">
        <w:rPr>
          <w:sz w:val="24"/>
          <w:szCs w:val="24"/>
          <w:lang w:val="et-EE"/>
        </w:rPr>
        <w:t>.</w:t>
      </w:r>
    </w:p>
  </w:footnote>
  <w:footnote w:id="134">
    <w:p w14:paraId="3DD32FA1"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 xml:space="preserve"> </w:t>
      </w:r>
      <w:r w:rsidRPr="00CF2B3D">
        <w:rPr>
          <w:sz w:val="24"/>
          <w:szCs w:val="24"/>
          <w:lang w:val="et-EE"/>
        </w:rPr>
        <w:tab/>
      </w:r>
      <w:r w:rsidRPr="00CF2B3D">
        <w:rPr>
          <w:sz w:val="24"/>
          <w:szCs w:val="24"/>
          <w:lang w:val="et-EE"/>
        </w:rPr>
        <w:t xml:space="preserve">ELT L 142, 29.5.2019, lk 16, ELI: </w:t>
      </w:r>
      <w:hyperlink r:id="rId134" w:history="1">
        <w:r w:rsidRPr="00CF2B3D">
          <w:rPr>
            <w:rStyle w:val="Hyperlink1"/>
            <w:sz w:val="24"/>
            <w:szCs w:val="24"/>
            <w:lang w:val="et-EE"/>
          </w:rPr>
          <w:t>http://data.europa.eu/eli/reg_del/2019/887/oj</w:t>
        </w:r>
      </w:hyperlink>
      <w:r w:rsidRPr="00CF2B3D">
        <w:rPr>
          <w:sz w:val="24"/>
          <w:szCs w:val="24"/>
          <w:lang w:val="et-EE"/>
        </w:rPr>
        <w:t>.</w:t>
      </w:r>
    </w:p>
  </w:footnote>
  <w:footnote w:id="135">
    <w:p w14:paraId="69D705E8"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ab/>
      </w:r>
      <w:r w:rsidRPr="00CF2B3D">
        <w:rPr>
          <w:sz w:val="24"/>
          <w:szCs w:val="24"/>
          <w:lang w:val="et-EE"/>
        </w:rPr>
        <w:t xml:space="preserve">Nõukogu 19. novembri 2021. aasta määrus (EL) 2021/2085, millega luuakse ühisettevõtted programmi „Euroopa horisont“ raames ning tunnistatakse kehtetuks määrused (EÜ) nr 219/2007, (EL) nr 557/2014, (EL) nr 558/2014, (EL) nr 559/2014, (EL) nr 560/2014, (EL) nr 561/2014 ja (EL) nr 642/2014 (ELT L 427, 30.11.2021, lk 17, ELI: </w:t>
      </w:r>
      <w:hyperlink r:id="rId135" w:history="1">
        <w:r w:rsidRPr="00CF2B3D">
          <w:rPr>
            <w:rStyle w:val="Hyperlink1"/>
            <w:sz w:val="24"/>
            <w:szCs w:val="24"/>
            <w:lang w:val="et-EE"/>
          </w:rPr>
          <w:t>http://data.europa.eu/eli/reg/2021/2085/oj</w:t>
        </w:r>
      </w:hyperlink>
      <w:r w:rsidRPr="00CF2B3D">
        <w:rPr>
          <w:sz w:val="24"/>
          <w:szCs w:val="24"/>
          <w:lang w:val="et-EE"/>
        </w:rPr>
        <w:t>).</w:t>
      </w:r>
    </w:p>
  </w:footnote>
  <w:footnote w:id="136">
    <w:p w14:paraId="790A8DFD"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ab/>
      </w:r>
      <w:r w:rsidRPr="00CF2B3D">
        <w:rPr>
          <w:sz w:val="24"/>
          <w:szCs w:val="24"/>
          <w:lang w:val="et-EE"/>
        </w:rPr>
        <w:t xml:space="preserve">Nõukogu 25. juuli 2023. aasta määrus (EL) 2023/1782, millega muudetakse määrust (EL) 2021/2085 (millega luuakse ühisettevõtted programmi „Euroopa horisont“ raames) seoses kiipide ühisettevõttega (ELT L 229, 18.9.2023, lk 55, ELI: </w:t>
      </w:r>
      <w:hyperlink r:id="rId136" w:history="1">
        <w:r w:rsidRPr="00CF2B3D">
          <w:rPr>
            <w:rStyle w:val="Hyperlink1"/>
            <w:sz w:val="24"/>
            <w:szCs w:val="24"/>
            <w:lang w:val="et-EE"/>
          </w:rPr>
          <w:t>http://data.europa.eu/eli/reg/2023/1782/oj</w:t>
        </w:r>
      </w:hyperlink>
      <w:r w:rsidRPr="00CF2B3D">
        <w:rPr>
          <w:sz w:val="24"/>
          <w:szCs w:val="24"/>
          <w:lang w:val="et-EE"/>
        </w:rPr>
        <w:t>).</w:t>
      </w:r>
    </w:p>
  </w:footnote>
  <w:footnote w:id="137">
    <w:p w14:paraId="24F614A7"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ab/>
      </w:r>
      <w:r w:rsidRPr="00CF2B3D">
        <w:rPr>
          <w:sz w:val="24"/>
          <w:szCs w:val="24"/>
          <w:lang w:val="et-EE"/>
        </w:rPr>
        <w:t xml:space="preserve">Nõukogu 27. märtsi 2007. aasta otsus 2007/198/Euratom, millega luuakse ITERi ja tuumasünteesienergeetika arendamise Euroopa ühisettevõte ning antakse sellele eelised (ELT L 90, 30.3.2007, lk 58, ELI: </w:t>
      </w:r>
      <w:hyperlink r:id="rId137" w:history="1">
        <w:r w:rsidRPr="00CF2B3D">
          <w:rPr>
            <w:rStyle w:val="Hyperlink1"/>
            <w:sz w:val="24"/>
            <w:szCs w:val="24"/>
            <w:lang w:val="et-EE"/>
          </w:rPr>
          <w:t>http://data.europa.eu/eli/dec/2007/198/oj</w:t>
        </w:r>
      </w:hyperlink>
      <w:r w:rsidRPr="00CF2B3D">
        <w:rPr>
          <w:sz w:val="24"/>
          <w:szCs w:val="24"/>
          <w:lang w:val="et-EE"/>
        </w:rPr>
        <w:t>).</w:t>
      </w:r>
    </w:p>
  </w:footnote>
  <w:footnote w:id="138">
    <w:p w14:paraId="0F831A52" w14:textId="77777777" w:rsidR="006B2FBD" w:rsidRPr="00CF2B3D" w:rsidRDefault="006B2FBD" w:rsidP="006B2FBD">
      <w:pPr>
        <w:pStyle w:val="FootnoteText"/>
        <w:ind w:left="567" w:hanging="567"/>
        <w:rPr>
          <w:sz w:val="24"/>
          <w:szCs w:val="24"/>
          <w:lang w:val="et-EE"/>
        </w:rPr>
      </w:pPr>
      <w:r w:rsidRPr="00CF2B3D">
        <w:rPr>
          <w:rStyle w:val="FootnoteReference"/>
          <w:sz w:val="24"/>
          <w:szCs w:val="24"/>
        </w:rPr>
        <w:footnoteRef/>
      </w:r>
      <w:r w:rsidRPr="00CF2B3D">
        <w:rPr>
          <w:sz w:val="24"/>
          <w:szCs w:val="24"/>
          <w:lang w:val="et-EE"/>
        </w:rPr>
        <w:tab/>
      </w:r>
      <w:r w:rsidRPr="00CF2B3D">
        <w:rPr>
          <w:sz w:val="24"/>
          <w:szCs w:val="24"/>
          <w:lang w:val="et-EE"/>
        </w:rPr>
        <w:t xml:space="preserve">Nõukogu 13. juuli 2021. aasta määrus (EL) 2021/1173, millega asutatakse Euroopa kõrgjõudlusega andmetöötluse ühisettevõte ning tunnistatakse kehtetuks määrus (EL) 2018/1488 (ELT L 256, 19.7.2021, lk 3, ELI: </w:t>
      </w:r>
      <w:hyperlink r:id="rId138" w:history="1">
        <w:r w:rsidRPr="00CF2B3D">
          <w:rPr>
            <w:rStyle w:val="Hyperlink1"/>
            <w:sz w:val="24"/>
            <w:szCs w:val="24"/>
            <w:lang w:val="et-EE"/>
          </w:rPr>
          <w:t>http://data.europa.eu/eli/reg/2021/1173/oj</w:t>
        </w:r>
      </w:hyperlink>
      <w:r w:rsidRPr="00CF2B3D">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E0FA" w14:textId="77777777" w:rsidR="00064002" w:rsidRPr="00CE6C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BEB84" w14:textId="77777777" w:rsidR="00064002" w:rsidRPr="00CE6C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71A4" w14:textId="77777777" w:rsidR="00064002" w:rsidRPr="00CE6C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126197743">
    <w:abstractNumId w:val="9"/>
  </w:num>
  <w:num w:numId="2" w16cid:durableId="114719577">
    <w:abstractNumId w:val="9"/>
  </w:num>
  <w:num w:numId="3" w16cid:durableId="333724608">
    <w:abstractNumId w:val="7"/>
  </w:num>
  <w:num w:numId="4" w16cid:durableId="1644579817">
    <w:abstractNumId w:val="7"/>
  </w:num>
  <w:num w:numId="5" w16cid:durableId="1144539361">
    <w:abstractNumId w:val="6"/>
  </w:num>
  <w:num w:numId="6" w16cid:durableId="1253471161">
    <w:abstractNumId w:val="6"/>
  </w:num>
  <w:num w:numId="7" w16cid:durableId="2001807196">
    <w:abstractNumId w:val="5"/>
  </w:num>
  <w:num w:numId="8" w16cid:durableId="734813913">
    <w:abstractNumId w:val="5"/>
  </w:num>
  <w:num w:numId="9" w16cid:durableId="381486594">
    <w:abstractNumId w:val="4"/>
  </w:num>
  <w:num w:numId="10" w16cid:durableId="1394236077">
    <w:abstractNumId w:val="4"/>
  </w:num>
  <w:num w:numId="11" w16cid:durableId="1091199151">
    <w:abstractNumId w:val="8"/>
  </w:num>
  <w:num w:numId="12" w16cid:durableId="895319232">
    <w:abstractNumId w:val="8"/>
  </w:num>
  <w:num w:numId="13" w16cid:durableId="915018995">
    <w:abstractNumId w:val="3"/>
  </w:num>
  <w:num w:numId="14" w16cid:durableId="843084915">
    <w:abstractNumId w:val="3"/>
  </w:num>
  <w:num w:numId="15" w16cid:durableId="289434969">
    <w:abstractNumId w:val="2"/>
  </w:num>
  <w:num w:numId="16" w16cid:durableId="432238957">
    <w:abstractNumId w:val="2"/>
  </w:num>
  <w:num w:numId="17" w16cid:durableId="65106525">
    <w:abstractNumId w:val="1"/>
  </w:num>
  <w:num w:numId="18" w16cid:durableId="60251704">
    <w:abstractNumId w:val="1"/>
  </w:num>
  <w:num w:numId="19" w16cid:durableId="1462501544">
    <w:abstractNumId w:val="0"/>
  </w:num>
  <w:num w:numId="20" w16cid:durableId="800416742">
    <w:abstractNumId w:val="0"/>
  </w:num>
  <w:num w:numId="21" w16cid:durableId="1650555557">
    <w:abstractNumId w:val="9"/>
  </w:num>
  <w:num w:numId="22" w16cid:durableId="1605070616">
    <w:abstractNumId w:val="7"/>
  </w:num>
  <w:num w:numId="23" w16cid:durableId="1006908915">
    <w:abstractNumId w:val="6"/>
  </w:num>
  <w:num w:numId="24" w16cid:durableId="2115710378">
    <w:abstractNumId w:val="5"/>
  </w:num>
  <w:num w:numId="25" w16cid:durableId="729840771">
    <w:abstractNumId w:val="4"/>
  </w:num>
  <w:num w:numId="26" w16cid:durableId="1972250476">
    <w:abstractNumId w:val="8"/>
  </w:num>
  <w:num w:numId="27" w16cid:durableId="1292663999">
    <w:abstractNumId w:val="3"/>
  </w:num>
  <w:num w:numId="28" w16cid:durableId="700203301">
    <w:abstractNumId w:val="2"/>
  </w:num>
  <w:num w:numId="29" w16cid:durableId="1014502884">
    <w:abstractNumId w:val="1"/>
  </w:num>
  <w:num w:numId="30" w16cid:durableId="1544823386">
    <w:abstractNumId w:val="0"/>
  </w:num>
  <w:num w:numId="31" w16cid:durableId="1947343468">
    <w:abstractNumId w:val="9"/>
  </w:num>
  <w:num w:numId="32" w16cid:durableId="1157770720">
    <w:abstractNumId w:val="7"/>
  </w:num>
  <w:num w:numId="33" w16cid:durableId="1814714516">
    <w:abstractNumId w:val="6"/>
  </w:num>
  <w:num w:numId="34" w16cid:durableId="586424913">
    <w:abstractNumId w:val="5"/>
  </w:num>
  <w:num w:numId="35" w16cid:durableId="1312976561">
    <w:abstractNumId w:val="4"/>
  </w:num>
  <w:num w:numId="36" w16cid:durableId="651255856">
    <w:abstractNumId w:val="8"/>
  </w:num>
  <w:num w:numId="37" w16cid:durableId="1844927883">
    <w:abstractNumId w:val="3"/>
  </w:num>
  <w:num w:numId="38" w16cid:durableId="1476414973">
    <w:abstractNumId w:val="2"/>
  </w:num>
  <w:num w:numId="39" w16cid:durableId="1388459486">
    <w:abstractNumId w:val="1"/>
  </w:num>
  <w:num w:numId="40" w16cid:durableId="1964265763">
    <w:abstractNumId w:val="0"/>
  </w:num>
  <w:num w:numId="41" w16cid:durableId="116878362">
    <w:abstractNumId w:val="10"/>
  </w:num>
  <w:num w:numId="42" w16cid:durableId="1181624612">
    <w:abstractNumId w:val="10"/>
  </w:num>
  <w:num w:numId="43" w16cid:durableId="296567146">
    <w:abstractNumId w:val="10"/>
  </w:num>
  <w:num w:numId="44" w16cid:durableId="1920750228">
    <w:abstractNumId w:val="12"/>
  </w:num>
  <w:num w:numId="45" w16cid:durableId="122385620">
    <w:abstractNumId w:val="13"/>
  </w:num>
  <w:num w:numId="46" w16cid:durableId="1236161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ET"/>
    <w:docVar w:name="dvnumam" w:val="0"/>
    <w:docVar w:name="dvpe" w:val="765.276"/>
    <w:docVar w:name="dvrapporteur" w:val="Raportöör: "/>
    <w:docVar w:name="dvtitre" w:val="Euroopa Parlamendi .... 2025. aasta otsus Euroopa Liidu ühisettevõtete 2023. aasta eelarve täitmisele heakskiidu andmise kohta(2024/2031(DEC))"/>
  </w:docVars>
  <w:rsids>
    <w:rsidRoot w:val="00322C89"/>
    <w:rsid w:val="00002272"/>
    <w:rsid w:val="00064002"/>
    <w:rsid w:val="000677B9"/>
    <w:rsid w:val="000831BA"/>
    <w:rsid w:val="000A42CC"/>
    <w:rsid w:val="000E7DD9"/>
    <w:rsid w:val="0010095E"/>
    <w:rsid w:val="00125B37"/>
    <w:rsid w:val="00187494"/>
    <w:rsid w:val="001F32AE"/>
    <w:rsid w:val="002326EC"/>
    <w:rsid w:val="002767FF"/>
    <w:rsid w:val="002B18FE"/>
    <w:rsid w:val="002B5493"/>
    <w:rsid w:val="00322C89"/>
    <w:rsid w:val="00343214"/>
    <w:rsid w:val="00361C00"/>
    <w:rsid w:val="00395FA1"/>
    <w:rsid w:val="003E15D4"/>
    <w:rsid w:val="00411CCE"/>
    <w:rsid w:val="0041666E"/>
    <w:rsid w:val="00421060"/>
    <w:rsid w:val="00430BF5"/>
    <w:rsid w:val="004355B0"/>
    <w:rsid w:val="00471C19"/>
    <w:rsid w:val="004762E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974"/>
    <w:rsid w:val="006B2FBD"/>
    <w:rsid w:val="006E33CC"/>
    <w:rsid w:val="006E3DF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1575C"/>
    <w:rsid w:val="00930C23"/>
    <w:rsid w:val="0093193B"/>
    <w:rsid w:val="009474E4"/>
    <w:rsid w:val="009509D8"/>
    <w:rsid w:val="00950B64"/>
    <w:rsid w:val="00981893"/>
    <w:rsid w:val="00A1687D"/>
    <w:rsid w:val="00A43E52"/>
    <w:rsid w:val="00A4678D"/>
    <w:rsid w:val="00A778C7"/>
    <w:rsid w:val="00AB441E"/>
    <w:rsid w:val="00AB6293"/>
    <w:rsid w:val="00AE0928"/>
    <w:rsid w:val="00AF3B82"/>
    <w:rsid w:val="00B12E95"/>
    <w:rsid w:val="00B22876"/>
    <w:rsid w:val="00B3759B"/>
    <w:rsid w:val="00B558F0"/>
    <w:rsid w:val="00BD48FE"/>
    <w:rsid w:val="00BD7BD8"/>
    <w:rsid w:val="00BE6ADC"/>
    <w:rsid w:val="00C05BFE"/>
    <w:rsid w:val="00C23CD4"/>
    <w:rsid w:val="00C61C0C"/>
    <w:rsid w:val="00C941CB"/>
    <w:rsid w:val="00CC2357"/>
    <w:rsid w:val="00CE6CE7"/>
    <w:rsid w:val="00CF071A"/>
    <w:rsid w:val="00CF2B3D"/>
    <w:rsid w:val="00D058B8"/>
    <w:rsid w:val="00D56C11"/>
    <w:rsid w:val="00D834A0"/>
    <w:rsid w:val="00D872DF"/>
    <w:rsid w:val="00D91E21"/>
    <w:rsid w:val="00DA7FCD"/>
    <w:rsid w:val="00DC3D06"/>
    <w:rsid w:val="00E365E1"/>
    <w:rsid w:val="00E820A4"/>
    <w:rsid w:val="00EB006A"/>
    <w:rsid w:val="00EB4772"/>
    <w:rsid w:val="00ED169E"/>
    <w:rsid w:val="00ED4235"/>
    <w:rsid w:val="00F04346"/>
    <w:rsid w:val="00F075DC"/>
    <w:rsid w:val="00F149E9"/>
    <w:rsid w:val="00F5134D"/>
    <w:rsid w:val="00F74202"/>
    <w:rsid w:val="00F87713"/>
    <w:rsid w:val="00F8783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615FD"/>
  <w15:chartTrackingRefBased/>
  <w15:docId w15:val="{425409BE-9E77-4F4E-963F-0D5FC2F6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E33CC"/>
    <w:rPr>
      <w:b/>
      <w:kern w:val="28"/>
      <w:sz w:val="28"/>
      <w:lang w:val="fr-FR" w:eastAsia="fr-FR"/>
    </w:rPr>
  </w:style>
  <w:style w:type="character" w:customStyle="1" w:styleId="Heading2Char">
    <w:name w:val="Heading 2 Char"/>
    <w:basedOn w:val="DefaultParagraphFont"/>
    <w:link w:val="Heading2"/>
    <w:uiPriority w:val="9"/>
    <w:semiHidden/>
    <w:rsid w:val="006E33CC"/>
    <w:rPr>
      <w:sz w:val="24"/>
      <w:lang w:val="fr-FR" w:eastAsia="fr-FR"/>
    </w:rPr>
  </w:style>
  <w:style w:type="character" w:customStyle="1" w:styleId="Heading3Char">
    <w:name w:val="Heading 3 Char"/>
    <w:basedOn w:val="DefaultParagraphFont"/>
    <w:link w:val="Heading3"/>
    <w:uiPriority w:val="9"/>
    <w:semiHidden/>
    <w:rsid w:val="006E33CC"/>
    <w:rPr>
      <w:rFonts w:ascii="Arial" w:hAnsi="Arial"/>
      <w:sz w:val="24"/>
      <w:lang w:val="fr-FR" w:eastAsia="fr-FR"/>
    </w:rPr>
  </w:style>
  <w:style w:type="character" w:customStyle="1" w:styleId="Heading4Char">
    <w:name w:val="Heading 4 Char"/>
    <w:basedOn w:val="DefaultParagraphFont"/>
    <w:link w:val="Heading4"/>
    <w:uiPriority w:val="9"/>
    <w:semiHidden/>
    <w:rsid w:val="006E33CC"/>
    <w:rPr>
      <w:sz w:val="24"/>
      <w:lang w:val="en-US" w:eastAsia="fr-FR"/>
    </w:rPr>
  </w:style>
  <w:style w:type="character" w:customStyle="1" w:styleId="Heading5Char">
    <w:name w:val="Heading 5 Char"/>
    <w:basedOn w:val="DefaultParagraphFont"/>
    <w:link w:val="Heading5"/>
    <w:uiPriority w:val="9"/>
    <w:semiHidden/>
    <w:rsid w:val="006E33CC"/>
    <w:rPr>
      <w:sz w:val="24"/>
      <w:lang w:val="en-US" w:eastAsia="fr-FR"/>
    </w:rPr>
  </w:style>
  <w:style w:type="character" w:customStyle="1" w:styleId="Heading6Char">
    <w:name w:val="Heading 6 Char"/>
    <w:basedOn w:val="DefaultParagraphFont"/>
    <w:link w:val="Heading6"/>
    <w:uiPriority w:val="9"/>
    <w:semiHidden/>
    <w:rsid w:val="006E33CC"/>
    <w:rPr>
      <w:i/>
      <w:sz w:val="22"/>
      <w:lang w:val="et-EE"/>
    </w:rPr>
  </w:style>
  <w:style w:type="character" w:customStyle="1" w:styleId="Heading7Char">
    <w:name w:val="Heading 7 Char"/>
    <w:basedOn w:val="DefaultParagraphFont"/>
    <w:link w:val="Heading7"/>
    <w:uiPriority w:val="9"/>
    <w:semiHidden/>
    <w:rsid w:val="006E33CC"/>
    <w:rPr>
      <w:rFonts w:ascii="Arial" w:hAnsi="Arial"/>
      <w:sz w:val="24"/>
      <w:lang w:val="et-EE"/>
    </w:rPr>
  </w:style>
  <w:style w:type="character" w:customStyle="1" w:styleId="Heading8Char">
    <w:name w:val="Heading 8 Char"/>
    <w:basedOn w:val="DefaultParagraphFont"/>
    <w:link w:val="Heading8"/>
    <w:uiPriority w:val="9"/>
    <w:semiHidden/>
    <w:rsid w:val="006E33CC"/>
    <w:rPr>
      <w:rFonts w:ascii="Arial" w:hAnsi="Arial"/>
      <w:i/>
      <w:sz w:val="24"/>
      <w:lang w:val="et-EE"/>
    </w:rPr>
  </w:style>
  <w:style w:type="character" w:customStyle="1" w:styleId="Heading9Char">
    <w:name w:val="Heading 9 Char"/>
    <w:basedOn w:val="DefaultParagraphFont"/>
    <w:link w:val="Heading9"/>
    <w:uiPriority w:val="9"/>
    <w:semiHidden/>
    <w:rsid w:val="006E33CC"/>
    <w:rPr>
      <w:rFonts w:ascii="Arial" w:hAnsi="Arial"/>
      <w:b/>
      <w:i/>
      <w:sz w:val="18"/>
      <w:lang w:val="et-EE"/>
    </w:rPr>
  </w:style>
  <w:style w:type="paragraph" w:styleId="TOCHeading">
    <w:name w:val="TOC Heading"/>
    <w:basedOn w:val="Normal"/>
    <w:next w:val="Normal"/>
    <w:uiPriority w:val="39"/>
    <w:unhideWhenUsed/>
    <w:qFormat/>
    <w:rsid w:val="006E33CC"/>
    <w:pPr>
      <w:widowControl/>
      <w:spacing w:after="240"/>
    </w:pPr>
    <w:rPr>
      <w:lang w:val="en-GB"/>
    </w:rPr>
  </w:style>
  <w:style w:type="paragraph" w:customStyle="1" w:styleId="EPFooter2">
    <w:name w:val="EPFooter2"/>
    <w:basedOn w:val="Normal"/>
    <w:next w:val="Normal"/>
    <w:rsid w:val="006E33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33CC"/>
    <w:pPr>
      <w:spacing w:before="480" w:after="240"/>
    </w:pPr>
  </w:style>
  <w:style w:type="paragraph" w:customStyle="1" w:styleId="TOCPage">
    <w:name w:val="TOC Page"/>
    <w:basedOn w:val="Normal"/>
    <w:next w:val="TOC1"/>
    <w:rsid w:val="006E33CC"/>
    <w:pPr>
      <w:keepNext/>
      <w:spacing w:after="240"/>
      <w:jc w:val="right"/>
    </w:pPr>
    <w:rPr>
      <w:rFonts w:ascii="Arial" w:hAnsi="Arial"/>
      <w:b/>
    </w:rPr>
  </w:style>
  <w:style w:type="paragraph" w:customStyle="1" w:styleId="PageHeading">
    <w:name w:val="PageHeading"/>
    <w:basedOn w:val="Normal"/>
    <w:rsid w:val="006E33CC"/>
    <w:pPr>
      <w:keepNext/>
      <w:spacing w:after="480"/>
      <w:jc w:val="center"/>
    </w:pPr>
    <w:rPr>
      <w:rFonts w:ascii="Arial" w:hAnsi="Arial" w:cs="Arial"/>
      <w:b/>
    </w:rPr>
  </w:style>
  <w:style w:type="paragraph" w:customStyle="1" w:styleId="NormalBold">
    <w:name w:val="NormalBold"/>
    <w:basedOn w:val="Normal"/>
    <w:rsid w:val="006E33CC"/>
    <w:rPr>
      <w:b/>
    </w:rPr>
  </w:style>
  <w:style w:type="paragraph" w:customStyle="1" w:styleId="NormalHanging12a">
    <w:name w:val="NormalHanging12a"/>
    <w:basedOn w:val="Normal"/>
    <w:link w:val="NormalHanging12aChar"/>
    <w:rsid w:val="006E33CC"/>
    <w:pPr>
      <w:spacing w:after="240"/>
      <w:ind w:left="567" w:hanging="567"/>
    </w:pPr>
  </w:style>
  <w:style w:type="paragraph" w:customStyle="1" w:styleId="Subheading">
    <w:name w:val="Subheading"/>
    <w:basedOn w:val="Normal"/>
    <w:rsid w:val="006E33CC"/>
    <w:pPr>
      <w:spacing w:before="480" w:after="240"/>
    </w:pPr>
    <w:rPr>
      <w:b/>
      <w:i/>
    </w:rPr>
  </w:style>
  <w:style w:type="paragraph" w:customStyle="1" w:styleId="CoverNormal24a">
    <w:name w:val="CoverNormal24a"/>
    <w:basedOn w:val="Normal"/>
    <w:rsid w:val="006E33CC"/>
    <w:pPr>
      <w:spacing w:after="480"/>
      <w:ind w:left="1417"/>
    </w:pPr>
  </w:style>
  <w:style w:type="paragraph" w:customStyle="1" w:styleId="CoverNormal">
    <w:name w:val="CoverNormal"/>
    <w:basedOn w:val="Normal"/>
    <w:rsid w:val="006E33CC"/>
    <w:pPr>
      <w:ind w:left="1418"/>
    </w:pPr>
  </w:style>
  <w:style w:type="paragraph" w:customStyle="1" w:styleId="CoverReference">
    <w:name w:val="CoverReference"/>
    <w:basedOn w:val="Normal"/>
    <w:rsid w:val="006E33CC"/>
    <w:pPr>
      <w:spacing w:before="1080"/>
      <w:jc w:val="right"/>
    </w:pPr>
    <w:rPr>
      <w:rFonts w:ascii="Arial" w:hAnsi="Arial" w:cs="Arial"/>
      <w:b/>
    </w:rPr>
  </w:style>
  <w:style w:type="paragraph" w:customStyle="1" w:styleId="CoverDocType24a">
    <w:name w:val="CoverDocType24a"/>
    <w:basedOn w:val="Normal"/>
    <w:rsid w:val="006E33CC"/>
    <w:pPr>
      <w:spacing w:after="480"/>
      <w:ind w:left="1418"/>
    </w:pPr>
    <w:rPr>
      <w:rFonts w:ascii="Arial" w:hAnsi="Arial"/>
      <w:b/>
      <w:sz w:val="48"/>
    </w:rPr>
  </w:style>
  <w:style w:type="paragraph" w:customStyle="1" w:styleId="CoverDate">
    <w:name w:val="CoverDate"/>
    <w:basedOn w:val="Normal"/>
    <w:rsid w:val="006E33CC"/>
    <w:pPr>
      <w:spacing w:before="240" w:after="1200"/>
    </w:pPr>
  </w:style>
  <w:style w:type="paragraph" w:styleId="Header">
    <w:name w:val="header"/>
    <w:basedOn w:val="Normal"/>
    <w:link w:val="HeaderChar"/>
    <w:rsid w:val="006E33CC"/>
    <w:pPr>
      <w:tabs>
        <w:tab w:val="center" w:pos="4513"/>
        <w:tab w:val="right" w:pos="9026"/>
      </w:tabs>
    </w:pPr>
  </w:style>
  <w:style w:type="character" w:customStyle="1" w:styleId="HeaderChar">
    <w:name w:val="Header Char"/>
    <w:basedOn w:val="DefaultParagraphFont"/>
    <w:link w:val="Header"/>
    <w:rsid w:val="006E33CC"/>
    <w:rPr>
      <w:sz w:val="24"/>
      <w:lang w:val="et-EE"/>
    </w:rPr>
  </w:style>
  <w:style w:type="paragraph" w:customStyle="1" w:styleId="EPBody">
    <w:name w:val="EPBody"/>
    <w:basedOn w:val="Normal"/>
    <w:rsid w:val="006E33CC"/>
    <w:pPr>
      <w:jc w:val="center"/>
    </w:pPr>
    <w:rPr>
      <w:rFonts w:ascii="Arial" w:hAnsi="Arial" w:cs="Arial"/>
      <w:i/>
      <w:sz w:val="22"/>
      <w:szCs w:val="22"/>
    </w:rPr>
  </w:style>
  <w:style w:type="paragraph" w:customStyle="1" w:styleId="EPFooter">
    <w:name w:val="EPFooter"/>
    <w:basedOn w:val="Normal"/>
    <w:rsid w:val="006E33C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E33CC"/>
    <w:rPr>
      <w:rFonts w:ascii="Times New Roman" w:hAnsi="Times New Roman"/>
    </w:rPr>
  </w:style>
  <w:style w:type="character" w:customStyle="1" w:styleId="PageHeadingDecChar">
    <w:name w:val="PageHeadingDec Char"/>
    <w:basedOn w:val="DefaultParagraphFont"/>
    <w:link w:val="PageHeadingDec"/>
    <w:rsid w:val="006E33CC"/>
    <w:rPr>
      <w:rFonts w:cs="Arial"/>
      <w:b/>
      <w:sz w:val="24"/>
      <w:lang w:val="et-EE"/>
    </w:rPr>
  </w:style>
  <w:style w:type="paragraph" w:customStyle="1" w:styleId="PageHeadingNotTOC">
    <w:name w:val="PageHeadingNotTOC"/>
    <w:basedOn w:val="Normal"/>
    <w:link w:val="PageHeadingNotTOCChar"/>
    <w:rsid w:val="006E33C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E33CC"/>
    <w:rPr>
      <w:sz w:val="24"/>
      <w:lang w:val="et-EE"/>
    </w:rPr>
  </w:style>
  <w:style w:type="paragraph" w:styleId="TOC8">
    <w:name w:val="toc 8"/>
    <w:basedOn w:val="Normal"/>
    <w:next w:val="Normal"/>
    <w:autoRedefine/>
    <w:uiPriority w:val="39"/>
    <w:rsid w:val="006E33CC"/>
    <w:pPr>
      <w:spacing w:after="240"/>
    </w:pPr>
    <w:rPr>
      <w:b/>
    </w:rPr>
  </w:style>
  <w:style w:type="paragraph" w:styleId="TOC9">
    <w:name w:val="toc 9"/>
    <w:basedOn w:val="Normal"/>
    <w:next w:val="Normal"/>
    <w:autoRedefine/>
    <w:uiPriority w:val="39"/>
    <w:rsid w:val="006E33CC"/>
    <w:pPr>
      <w:spacing w:after="100"/>
      <w:jc w:val="center"/>
    </w:pPr>
  </w:style>
  <w:style w:type="paragraph" w:styleId="TOC7">
    <w:name w:val="toc 7"/>
    <w:basedOn w:val="Normal"/>
    <w:next w:val="Normal"/>
    <w:autoRedefine/>
    <w:uiPriority w:val="39"/>
    <w:rsid w:val="006E33CC"/>
    <w:pPr>
      <w:tabs>
        <w:tab w:val="right" w:leader="dot" w:pos="9060"/>
      </w:tabs>
      <w:spacing w:after="240"/>
      <w:ind w:left="720" w:hanging="720"/>
    </w:pPr>
  </w:style>
  <w:style w:type="character" w:styleId="Hyperlink">
    <w:name w:val="Hyperlink"/>
    <w:basedOn w:val="DefaultParagraphFont"/>
    <w:uiPriority w:val="99"/>
    <w:rsid w:val="006E33CC"/>
    <w:rPr>
      <w:color w:val="0563C1" w:themeColor="hyperlink"/>
      <w:u w:val="single"/>
    </w:rPr>
  </w:style>
  <w:style w:type="character" w:styleId="FollowedHyperlink">
    <w:name w:val="FollowedHyperlink"/>
    <w:basedOn w:val="DefaultParagraphFont"/>
    <w:rsid w:val="006E33CC"/>
    <w:rPr>
      <w:color w:val="954F72" w:themeColor="followedHyperlink"/>
      <w:u w:val="single"/>
    </w:rPr>
  </w:style>
  <w:style w:type="character" w:styleId="CommentReference">
    <w:name w:val="annotation reference"/>
    <w:basedOn w:val="DefaultParagraphFont"/>
    <w:uiPriority w:val="99"/>
    <w:rsid w:val="006E33CC"/>
    <w:rPr>
      <w:sz w:val="16"/>
      <w:szCs w:val="16"/>
    </w:rPr>
  </w:style>
  <w:style w:type="paragraph" w:styleId="CommentText">
    <w:name w:val="annotation text"/>
    <w:basedOn w:val="Normal"/>
    <w:link w:val="CommentTextChar"/>
    <w:uiPriority w:val="99"/>
    <w:rsid w:val="006E33CC"/>
    <w:rPr>
      <w:sz w:val="20"/>
    </w:rPr>
  </w:style>
  <w:style w:type="character" w:customStyle="1" w:styleId="CommentTextChar">
    <w:name w:val="Comment Text Char"/>
    <w:basedOn w:val="DefaultParagraphFont"/>
    <w:link w:val="CommentText"/>
    <w:uiPriority w:val="99"/>
    <w:rsid w:val="006E33CC"/>
    <w:rPr>
      <w:lang w:val="et-EE"/>
    </w:rPr>
  </w:style>
  <w:style w:type="paragraph" w:styleId="CommentSubject">
    <w:name w:val="annotation subject"/>
    <w:basedOn w:val="CommentText"/>
    <w:next w:val="CommentText"/>
    <w:link w:val="CommentSubjectChar"/>
    <w:uiPriority w:val="99"/>
    <w:unhideWhenUsed/>
    <w:rsid w:val="006E33CC"/>
    <w:rPr>
      <w:b/>
      <w:bCs/>
    </w:rPr>
  </w:style>
  <w:style w:type="character" w:customStyle="1" w:styleId="CommentSubjectChar">
    <w:name w:val="Comment Subject Char"/>
    <w:basedOn w:val="CommentTextChar"/>
    <w:link w:val="CommentSubject"/>
    <w:uiPriority w:val="99"/>
    <w:rsid w:val="006E33CC"/>
    <w:rPr>
      <w:b/>
      <w:bCs/>
      <w:lang w:val="et-EE"/>
    </w:rPr>
  </w:style>
  <w:style w:type="paragraph" w:styleId="BalloonText">
    <w:name w:val="Balloon Text"/>
    <w:basedOn w:val="Normal"/>
    <w:link w:val="BalloonTextChar"/>
    <w:unhideWhenUsed/>
    <w:rsid w:val="006E33CC"/>
    <w:rPr>
      <w:rFonts w:ascii="Segoe UI" w:hAnsi="Segoe UI" w:cs="Segoe UI"/>
      <w:sz w:val="18"/>
      <w:szCs w:val="18"/>
    </w:rPr>
  </w:style>
  <w:style w:type="character" w:customStyle="1" w:styleId="BalloonTextChar">
    <w:name w:val="Balloon Text Char"/>
    <w:basedOn w:val="DefaultParagraphFont"/>
    <w:link w:val="BalloonText"/>
    <w:rsid w:val="006E33CC"/>
    <w:rPr>
      <w:rFonts w:ascii="Segoe UI" w:hAnsi="Segoe UI" w:cs="Segoe UI"/>
      <w:sz w:val="18"/>
      <w:szCs w:val="18"/>
      <w:lang w:val="et-EE"/>
    </w:rPr>
  </w:style>
  <w:style w:type="paragraph" w:styleId="Revision">
    <w:name w:val="Revision"/>
    <w:hidden/>
    <w:uiPriority w:val="99"/>
    <w:semiHidden/>
    <w:rsid w:val="006E33CC"/>
    <w:rPr>
      <w:sz w:val="24"/>
      <w:lang w:val="et-EE"/>
    </w:rPr>
  </w:style>
  <w:style w:type="paragraph" w:customStyle="1" w:styleId="Normal24a">
    <w:name w:val="Normal24a"/>
    <w:basedOn w:val="Normal"/>
    <w:rsid w:val="006E33CC"/>
    <w:pPr>
      <w:spacing w:after="480"/>
    </w:pPr>
  </w:style>
  <w:style w:type="paragraph" w:customStyle="1" w:styleId="NormalBoldCenter">
    <w:name w:val="NormalBoldCenter"/>
    <w:basedOn w:val="Normal"/>
    <w:rsid w:val="006E33CC"/>
    <w:pPr>
      <w:jc w:val="center"/>
    </w:pPr>
    <w:rPr>
      <w:b/>
    </w:rPr>
  </w:style>
  <w:style w:type="paragraph" w:customStyle="1" w:styleId="Footprint12b">
    <w:name w:val="Footprint12b"/>
    <w:basedOn w:val="Normal"/>
    <w:rsid w:val="006E33CC"/>
    <w:pPr>
      <w:spacing w:before="240"/>
    </w:pPr>
    <w:rPr>
      <w:szCs w:val="24"/>
    </w:rPr>
  </w:style>
  <w:style w:type="paragraph" w:customStyle="1" w:styleId="NormalSingle">
    <w:name w:val="NormalSingle"/>
    <w:basedOn w:val="Normal"/>
    <w:qFormat/>
    <w:rsid w:val="006E33CC"/>
    <w:rPr>
      <w:szCs w:val="24"/>
    </w:rPr>
  </w:style>
  <w:style w:type="paragraph" w:customStyle="1" w:styleId="Normal12a">
    <w:name w:val="Normal12a"/>
    <w:basedOn w:val="Normal"/>
    <w:rsid w:val="006E33CC"/>
    <w:pPr>
      <w:spacing w:after="240"/>
    </w:pPr>
  </w:style>
  <w:style w:type="paragraph" w:customStyle="1" w:styleId="Visa">
    <w:name w:val="Visa"/>
    <w:basedOn w:val="Normal"/>
    <w:rsid w:val="006E33CC"/>
    <w:pPr>
      <w:tabs>
        <w:tab w:val="left" w:pos="357"/>
      </w:tabs>
      <w:snapToGrid w:val="0"/>
      <w:spacing w:after="240"/>
      <w:ind w:left="357" w:hanging="357"/>
    </w:pPr>
    <w:rPr>
      <w:lang w:eastAsia="en-US"/>
    </w:rPr>
  </w:style>
  <w:style w:type="paragraph" w:customStyle="1" w:styleId="RollCallSymbols14pt">
    <w:name w:val="RollCallSymbols14pt"/>
    <w:basedOn w:val="Normal"/>
    <w:rsid w:val="006E33C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E33CC"/>
    <w:pPr>
      <w:tabs>
        <w:tab w:val="center" w:pos="284"/>
        <w:tab w:val="left" w:pos="426"/>
      </w:tabs>
    </w:pPr>
    <w:rPr>
      <w:snapToGrid w:val="0"/>
      <w:lang w:eastAsia="en-US"/>
    </w:rPr>
  </w:style>
  <w:style w:type="paragraph" w:customStyle="1" w:styleId="RollCallVotes">
    <w:name w:val="RollCallVotes"/>
    <w:basedOn w:val="Normal"/>
    <w:rsid w:val="006E33CC"/>
    <w:pPr>
      <w:spacing w:before="120" w:after="120"/>
      <w:jc w:val="center"/>
    </w:pPr>
    <w:rPr>
      <w:b/>
      <w:bCs/>
      <w:snapToGrid w:val="0"/>
      <w:sz w:val="16"/>
      <w:lang w:eastAsia="en-US"/>
    </w:rPr>
  </w:style>
  <w:style w:type="paragraph" w:customStyle="1" w:styleId="RollCallTable">
    <w:name w:val="RollCallTable"/>
    <w:basedOn w:val="Normal"/>
    <w:rsid w:val="006E33CC"/>
    <w:pPr>
      <w:spacing w:before="120" w:after="120"/>
    </w:pPr>
    <w:rPr>
      <w:snapToGrid w:val="0"/>
      <w:sz w:val="16"/>
      <w:lang w:eastAsia="en-US"/>
    </w:rPr>
  </w:style>
  <w:style w:type="paragraph" w:customStyle="1" w:styleId="Normal6a">
    <w:name w:val="Normal6a"/>
    <w:basedOn w:val="Normal"/>
    <w:rsid w:val="006E33CC"/>
    <w:pPr>
      <w:spacing w:after="120"/>
    </w:pPr>
    <w:rPr>
      <w:szCs w:val="24"/>
      <w:lang w:eastAsia="en-US"/>
    </w:rPr>
  </w:style>
  <w:style w:type="paragraph" w:customStyle="1" w:styleId="RollCallSubtitle">
    <w:name w:val="RollCallSubtitle"/>
    <w:basedOn w:val="Normal"/>
    <w:qFormat/>
    <w:rsid w:val="006E33CC"/>
    <w:pPr>
      <w:snapToGrid w:val="0"/>
      <w:spacing w:after="240"/>
    </w:pPr>
    <w:rPr>
      <w:lang w:eastAsia="en-US"/>
    </w:rPr>
  </w:style>
  <w:style w:type="character" w:customStyle="1" w:styleId="PageHeadingNotTOCChar">
    <w:name w:val="PageHeadingNotTOC Char"/>
    <w:basedOn w:val="DefaultParagraphFont"/>
    <w:link w:val="PageHeadingNotTOC"/>
    <w:rsid w:val="006E33CC"/>
    <w:rPr>
      <w:rFonts w:ascii="Arial" w:hAnsi="Arial" w:cs="Arial"/>
      <w:b/>
      <w:sz w:val="24"/>
      <w:lang w:val="et-EE"/>
    </w:rPr>
  </w:style>
  <w:style w:type="paragraph" w:styleId="Footer">
    <w:name w:val="footer"/>
    <w:basedOn w:val="Normal"/>
    <w:link w:val="FooterChar"/>
    <w:rsid w:val="006E33CC"/>
    <w:pPr>
      <w:tabs>
        <w:tab w:val="center" w:pos="4513"/>
        <w:tab w:val="right" w:pos="9026"/>
      </w:tabs>
    </w:pPr>
  </w:style>
  <w:style w:type="character" w:customStyle="1" w:styleId="FooterChar">
    <w:name w:val="Footer Char"/>
    <w:basedOn w:val="DefaultParagraphFont"/>
    <w:link w:val="Footer"/>
    <w:rsid w:val="006E33CC"/>
    <w:rPr>
      <w:sz w:val="24"/>
      <w:lang w:val="et-EE"/>
    </w:rPr>
  </w:style>
  <w:style w:type="numbering" w:customStyle="1" w:styleId="NoList1">
    <w:name w:val="No List1"/>
    <w:next w:val="NoList"/>
    <w:uiPriority w:val="99"/>
    <w:semiHidden/>
    <w:unhideWhenUsed/>
    <w:rsid w:val="006B2FBD"/>
  </w:style>
  <w:style w:type="paragraph" w:customStyle="1" w:styleId="Title1">
    <w:name w:val="Title1"/>
    <w:basedOn w:val="Normal"/>
    <w:next w:val="Normal"/>
    <w:uiPriority w:val="10"/>
    <w:qFormat/>
    <w:rsid w:val="006B2FBD"/>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B2FBD"/>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6B2FBD"/>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6B2FBD"/>
    <w:rPr>
      <w:rFonts w:ascii="Arial" w:eastAsia="Times New Roman" w:hAnsi="Arial" w:cs="Arial"/>
      <w:sz w:val="24"/>
      <w:szCs w:val="24"/>
    </w:rPr>
  </w:style>
  <w:style w:type="character" w:styleId="Strong">
    <w:name w:val="Strong"/>
    <w:basedOn w:val="DefaultParagraphFont"/>
    <w:uiPriority w:val="22"/>
    <w:qFormat/>
    <w:rsid w:val="006B2FBD"/>
    <w:rPr>
      <w:b/>
      <w:bCs/>
    </w:rPr>
  </w:style>
  <w:style w:type="character" w:customStyle="1" w:styleId="Emphasis1">
    <w:name w:val="Emphasis1"/>
    <w:basedOn w:val="DefaultParagraphFont"/>
    <w:uiPriority w:val="20"/>
    <w:qFormat/>
    <w:rsid w:val="006B2FBD"/>
    <w:rPr>
      <w:rFonts w:ascii="Aptos" w:hAnsi="Aptos"/>
      <w:b/>
      <w:i/>
      <w:iCs/>
    </w:rPr>
  </w:style>
  <w:style w:type="paragraph" w:styleId="NoSpacing">
    <w:name w:val="No Spacing"/>
    <w:basedOn w:val="Normal"/>
    <w:uiPriority w:val="1"/>
    <w:qFormat/>
    <w:rsid w:val="006B2FBD"/>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6B2FBD"/>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6B2FBD"/>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6B2FBD"/>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6B2FBD"/>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6B2FBD"/>
    <w:rPr>
      <w:rFonts w:eastAsia="Aptos"/>
      <w:b/>
      <w:i/>
      <w:kern w:val="2"/>
      <w:sz w:val="24"/>
      <w:szCs w:val="22"/>
      <w:lang w:eastAsia="en-US"/>
      <w14:ligatures w14:val="standardContextual"/>
    </w:rPr>
  </w:style>
  <w:style w:type="character" w:customStyle="1" w:styleId="SubtleEmphasis1">
    <w:name w:val="Subtle Emphasis1"/>
    <w:uiPriority w:val="19"/>
    <w:qFormat/>
    <w:rsid w:val="006B2FBD"/>
    <w:rPr>
      <w:i/>
      <w:color w:val="5A5A5A"/>
    </w:rPr>
  </w:style>
  <w:style w:type="character" w:styleId="IntenseEmphasis">
    <w:name w:val="Intense Emphasis"/>
    <w:basedOn w:val="DefaultParagraphFont"/>
    <w:uiPriority w:val="21"/>
    <w:qFormat/>
    <w:rsid w:val="006B2FBD"/>
    <w:rPr>
      <w:b/>
      <w:i/>
      <w:sz w:val="24"/>
      <w:szCs w:val="24"/>
      <w:u w:val="single"/>
    </w:rPr>
  </w:style>
  <w:style w:type="character" w:styleId="SubtleReference">
    <w:name w:val="Subtle Reference"/>
    <w:basedOn w:val="DefaultParagraphFont"/>
    <w:uiPriority w:val="31"/>
    <w:qFormat/>
    <w:rsid w:val="006B2FBD"/>
    <w:rPr>
      <w:sz w:val="24"/>
      <w:szCs w:val="24"/>
      <w:u w:val="single"/>
    </w:rPr>
  </w:style>
  <w:style w:type="character" w:styleId="IntenseReference">
    <w:name w:val="Intense Reference"/>
    <w:basedOn w:val="DefaultParagraphFont"/>
    <w:uiPriority w:val="32"/>
    <w:qFormat/>
    <w:rsid w:val="006B2FBD"/>
    <w:rPr>
      <w:b/>
      <w:sz w:val="24"/>
      <w:u w:val="single"/>
    </w:rPr>
  </w:style>
  <w:style w:type="character" w:customStyle="1" w:styleId="BookTitle1">
    <w:name w:val="Book Title1"/>
    <w:basedOn w:val="DefaultParagraphFont"/>
    <w:uiPriority w:val="33"/>
    <w:qFormat/>
    <w:rsid w:val="006B2FBD"/>
    <w:rPr>
      <w:rFonts w:ascii="Aptos Display" w:eastAsia="Times New Roman" w:hAnsi="Aptos Display"/>
      <w:b/>
      <w:i/>
      <w:sz w:val="24"/>
      <w:szCs w:val="24"/>
    </w:rPr>
  </w:style>
  <w:style w:type="character" w:customStyle="1" w:styleId="Hyperlink1">
    <w:name w:val="Hyperlink1"/>
    <w:basedOn w:val="DefaultParagraphFont"/>
    <w:uiPriority w:val="99"/>
    <w:rsid w:val="006B2FBD"/>
    <w:rPr>
      <w:color w:val="0563C1"/>
      <w:u w:val="single"/>
    </w:rPr>
  </w:style>
  <w:style w:type="paragraph" w:styleId="Title">
    <w:name w:val="Title"/>
    <w:basedOn w:val="Normal"/>
    <w:next w:val="Normal"/>
    <w:link w:val="TitleChar"/>
    <w:uiPriority w:val="10"/>
    <w:qFormat/>
    <w:rsid w:val="006B2FBD"/>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6B2FBD"/>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6B2FBD"/>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6B2FBD"/>
    <w:rPr>
      <w:rFonts w:asciiTheme="minorHAnsi" w:eastAsiaTheme="minorEastAsia" w:hAnsiTheme="minorHAnsi" w:cstheme="minorBidi"/>
      <w:color w:val="5A5A5A" w:themeColor="text1" w:themeTint="A5"/>
      <w:spacing w:val="15"/>
      <w:sz w:val="22"/>
      <w:szCs w:val="22"/>
      <w:lang w:val="et-EE"/>
    </w:rPr>
  </w:style>
  <w:style w:type="character" w:styleId="Emphasis">
    <w:name w:val="Emphasis"/>
    <w:basedOn w:val="DefaultParagraphFont"/>
    <w:qFormat/>
    <w:rsid w:val="006B2FBD"/>
    <w:rPr>
      <w:i/>
      <w:iCs/>
    </w:rPr>
  </w:style>
  <w:style w:type="character" w:styleId="SubtleEmphasis">
    <w:name w:val="Subtle Emphasis"/>
    <w:basedOn w:val="DefaultParagraphFont"/>
    <w:uiPriority w:val="19"/>
    <w:qFormat/>
    <w:rsid w:val="006B2FBD"/>
    <w:rPr>
      <w:i/>
      <w:iCs/>
      <w:color w:val="404040" w:themeColor="text1" w:themeTint="BF"/>
    </w:rPr>
  </w:style>
  <w:style w:type="character" w:styleId="BookTitle">
    <w:name w:val="Book Title"/>
    <w:basedOn w:val="DefaultParagraphFont"/>
    <w:uiPriority w:val="33"/>
    <w:qFormat/>
    <w:rsid w:val="006B2FBD"/>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23924-B4FB-4877-B50C-D5A06DBEB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63</Pages>
  <Words>14137</Words>
  <Characters>106779</Characters>
  <Application>Microsoft Office Word</Application>
  <DocSecurity>0</DocSecurity>
  <Lines>889</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2025-12-02T15:42:00Z</dcterms:created>
  <dcterms:modified xsi:type="dcterms:W3CDTF">2025-12-02T15:42:00Z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P10_TA(2025)0089_</vt:lpwstr>
  </property>
  <property fmtid="{D5CDD505-2E9C-101B-9397-08002B2CF9AE}" pid="4" name="&lt;Type&gt;">
    <vt:lpwstr>RR</vt:lpwstr>
  </property>
</Properties>
</file>