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5099E" w:rsidRPr="0025099E" w14:paraId="46EA1816" w14:textId="77777777" w:rsidTr="000327AA">
        <w:trPr>
          <w:trHeight w:hRule="exact" w:val="1418"/>
        </w:trPr>
        <w:tc>
          <w:tcPr>
            <w:tcW w:w="6804" w:type="dxa"/>
            <w:shd w:val="clear" w:color="auto" w:fill="auto"/>
            <w:vAlign w:val="center"/>
          </w:tcPr>
          <w:p w14:paraId="4029D9F9" w14:textId="77777777" w:rsidR="0025099E" w:rsidRPr="0025099E" w:rsidRDefault="0025099E" w:rsidP="000327AA">
            <w:pPr>
              <w:pStyle w:val="EPName"/>
            </w:pPr>
            <w:r w:rsidRPr="0025099E">
              <w:t>Európai Parlament</w:t>
            </w:r>
          </w:p>
          <w:p w14:paraId="209BF555" w14:textId="77777777" w:rsidR="0025099E" w:rsidRPr="0025099E" w:rsidRDefault="0025099E" w:rsidP="000327AA">
            <w:pPr>
              <w:pStyle w:val="EPTerm"/>
              <w:rPr>
                <w:rStyle w:val="HideTWBExt"/>
                <w:rFonts w:eastAsiaTheme="majorEastAsia"/>
                <w:vanish w:val="0"/>
              </w:rPr>
            </w:pPr>
            <w:r w:rsidRPr="0025099E">
              <w:t>2024-2029</w:t>
            </w:r>
          </w:p>
        </w:tc>
        <w:tc>
          <w:tcPr>
            <w:tcW w:w="2268" w:type="dxa"/>
            <w:shd w:val="clear" w:color="auto" w:fill="auto"/>
          </w:tcPr>
          <w:p w14:paraId="1A1F897C" w14:textId="77777777" w:rsidR="0025099E" w:rsidRPr="0025099E" w:rsidRDefault="0025099E" w:rsidP="000327AA">
            <w:pPr>
              <w:pStyle w:val="EPLogo"/>
            </w:pPr>
            <w:r w:rsidRPr="0025099E">
              <w:rPr>
                <w:noProof/>
                <w:lang w:eastAsia="hu-HU"/>
              </w:rPr>
              <w:drawing>
                <wp:inline distT="0" distB="0" distL="0" distR="0" wp14:anchorId="587AE61F" wp14:editId="7DDB14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AAED1E" w14:textId="77777777" w:rsidR="0025099E" w:rsidRPr="0025099E" w:rsidRDefault="0025099E" w:rsidP="0025099E">
      <w:pPr>
        <w:pStyle w:val="LineTop"/>
      </w:pPr>
    </w:p>
    <w:p w14:paraId="41576BAB" w14:textId="77777777" w:rsidR="0025099E" w:rsidRPr="0025099E" w:rsidRDefault="0025099E" w:rsidP="0025099E">
      <w:pPr>
        <w:pStyle w:val="EPBodyTA1"/>
      </w:pPr>
      <w:r w:rsidRPr="0025099E">
        <w:t>ELFOGADOTT SZÖVEGEK</w:t>
      </w:r>
    </w:p>
    <w:p w14:paraId="51CA5BCE" w14:textId="77777777" w:rsidR="0025099E" w:rsidRPr="0025099E" w:rsidRDefault="0025099E" w:rsidP="0025099E">
      <w:pPr>
        <w:pStyle w:val="LineBottom"/>
      </w:pPr>
    </w:p>
    <w:p w14:paraId="5B30E220" w14:textId="77777777" w:rsidR="0025099E" w:rsidRPr="0025099E" w:rsidRDefault="0025099E" w:rsidP="0025099E">
      <w:pPr>
        <w:pStyle w:val="ATHeading1"/>
      </w:pPr>
      <w:bookmarkStart w:id="0" w:name="TANumber"/>
      <w:r w:rsidRPr="0025099E">
        <w:t>P10_</w:t>
      </w:r>
      <w:proofErr w:type="gramStart"/>
      <w:r w:rsidRPr="0025099E">
        <w:t>TA(</w:t>
      </w:r>
      <w:proofErr w:type="gramEnd"/>
      <w:r w:rsidRPr="0025099E">
        <w:t>2025)0089</w:t>
      </w:r>
      <w:bookmarkEnd w:id="0"/>
    </w:p>
    <w:p w14:paraId="7D5FBBDD" w14:textId="77777777" w:rsidR="0025099E" w:rsidRPr="0025099E" w:rsidRDefault="0025099E" w:rsidP="0025099E">
      <w:pPr>
        <w:pStyle w:val="ATHeading2"/>
      </w:pPr>
      <w:r w:rsidRPr="0025099E">
        <w:rPr>
          <w:bCs/>
        </w:rPr>
        <w:t>2023. évi mentesítés: Az EU általános költségvetése – Közös vállalkozások</w:t>
      </w:r>
    </w:p>
    <w:p w14:paraId="5CB7101C" w14:textId="77777777" w:rsidR="0025099E" w:rsidRPr="0025099E" w:rsidRDefault="0025099E" w:rsidP="0025099E">
      <w:pPr>
        <w:rPr>
          <w:i/>
          <w:vanish/>
          <w:lang w:val="hu-HU"/>
        </w:rPr>
      </w:pPr>
      <w:r w:rsidRPr="0025099E">
        <w:rPr>
          <w:i/>
        </w:rPr>
        <w:fldChar w:fldCharType="begin"/>
      </w:r>
      <w:r w:rsidRPr="0025099E">
        <w:rPr>
          <w:i/>
          <w:lang w:val="hu-HU"/>
        </w:rPr>
        <w:instrText xml:space="preserve"> TC"(</w:instrText>
      </w:r>
      <w:bookmarkStart w:id="1" w:name="DocNumber"/>
      <w:r w:rsidRPr="0025099E">
        <w:rPr>
          <w:i/>
          <w:lang w:val="hu-HU"/>
        </w:rPr>
        <w:instrText>A10-0056/2025</w:instrText>
      </w:r>
      <w:bookmarkEnd w:id="1"/>
      <w:r w:rsidRPr="0025099E">
        <w:rPr>
          <w:i/>
          <w:lang w:val="hu-HU"/>
        </w:rPr>
        <w:instrText xml:space="preserve"> - Előadó: Michal </w:instrText>
      </w:r>
      <w:proofErr w:type="spellStart"/>
      <w:r w:rsidRPr="0025099E">
        <w:rPr>
          <w:i/>
          <w:lang w:val="hu-HU"/>
        </w:rPr>
        <w:instrText>Wiezik</w:instrText>
      </w:r>
      <w:proofErr w:type="spellEnd"/>
      <w:r w:rsidRPr="0025099E">
        <w:rPr>
          <w:i/>
          <w:lang w:val="hu-HU"/>
        </w:rPr>
        <w:instrText xml:space="preserve">)"\l3 \n&gt; \* MERGEFORMAT </w:instrText>
      </w:r>
      <w:r w:rsidRPr="0025099E">
        <w:rPr>
          <w:i/>
        </w:rPr>
        <w:fldChar w:fldCharType="end"/>
      </w:r>
    </w:p>
    <w:p w14:paraId="75F1E1B4" w14:textId="77777777" w:rsidR="0025099E" w:rsidRPr="0025099E" w:rsidRDefault="0025099E" w:rsidP="0025099E">
      <w:pPr>
        <w:rPr>
          <w:vanish/>
          <w:lang w:val="hu-HU"/>
        </w:rPr>
      </w:pPr>
      <w:bookmarkStart w:id="2" w:name="Commission"/>
      <w:r w:rsidRPr="0025099E">
        <w:rPr>
          <w:vanish/>
          <w:lang w:val="hu-HU"/>
        </w:rPr>
        <w:t>Költségvetési Ellenőrző Bizottság</w:t>
      </w:r>
      <w:bookmarkEnd w:id="2"/>
    </w:p>
    <w:p w14:paraId="5B6CA6EE" w14:textId="77777777" w:rsidR="0025099E" w:rsidRPr="0025099E" w:rsidRDefault="0025099E" w:rsidP="0025099E">
      <w:pPr>
        <w:rPr>
          <w:vanish/>
          <w:lang w:val="hu-HU"/>
        </w:rPr>
      </w:pPr>
      <w:bookmarkStart w:id="3" w:name="PE"/>
      <w:r w:rsidRPr="0025099E">
        <w:rPr>
          <w:vanish/>
          <w:lang w:val="hu-HU"/>
        </w:rPr>
        <w:t>PE765.276</w:t>
      </w:r>
      <w:bookmarkEnd w:id="3"/>
    </w:p>
    <w:p w14:paraId="724CF211" w14:textId="77777777" w:rsidR="0025099E" w:rsidRPr="0025099E" w:rsidRDefault="0025099E" w:rsidP="0025099E">
      <w:pPr>
        <w:pStyle w:val="ATHeading3"/>
      </w:pPr>
      <w:bookmarkStart w:id="4" w:name="Sujet"/>
      <w:r w:rsidRPr="0025099E">
        <w:t xml:space="preserve">1. Az Európai Parlament 2025. május 7-i határozata a Tiszta Légi Közlekedés Közös Vállalkozás 2023. évi pénzügyi évre szóló költségvetésének végrehajtására vonatkozó mentesítésről </w:t>
      </w:r>
      <w:bookmarkStart w:id="5" w:name="References"/>
      <w:bookmarkEnd w:id="4"/>
      <w:r w:rsidRPr="0025099E">
        <w:t>(2024/2031(DEC))</w:t>
      </w:r>
      <w:bookmarkEnd w:id="5"/>
    </w:p>
    <w:p w14:paraId="0CEF6ED0" w14:textId="77777777" w:rsidR="0025099E" w:rsidRPr="0025099E" w:rsidRDefault="0025099E" w:rsidP="0025099E">
      <w:pPr>
        <w:pStyle w:val="EPComma"/>
      </w:pPr>
      <w:bookmarkStart w:id="6" w:name="TextBodyBegin"/>
      <w:bookmarkEnd w:id="6"/>
      <w:r w:rsidRPr="0025099E">
        <w:rPr>
          <w:i/>
        </w:rPr>
        <w:t>Az Európai Parlament</w:t>
      </w:r>
      <w:r w:rsidRPr="0025099E">
        <w:t>,</w:t>
      </w:r>
    </w:p>
    <w:p w14:paraId="54256F71"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Tiszta Légi Közlekedés Közös Vállalkozás 2023. évi pénzügyi évre szóló végleges éves beszámolójára,</w:t>
      </w:r>
    </w:p>
    <w:p w14:paraId="3B3129C1"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1"/>
      </w:r>
      <w:r w:rsidRPr="0025099E">
        <w:rPr>
          <w:rFonts w:eastAsia="Times New Roman"/>
          <w:szCs w:val="20"/>
          <w:lang w:val="hu-HU" w:eastAsia="en-GB"/>
        </w:rPr>
        <w:t>,</w:t>
      </w:r>
    </w:p>
    <w:p w14:paraId="681B9393"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2"/>
      </w:r>
      <w:r w:rsidRPr="0025099E">
        <w:rPr>
          <w:rFonts w:eastAsia="Times New Roman"/>
          <w:szCs w:val="20"/>
          <w:lang w:val="hu-HU" w:eastAsia="en-GB"/>
        </w:rPr>
        <w:t>,</w:t>
      </w:r>
    </w:p>
    <w:p w14:paraId="04F94CAB"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6AFEDC90"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4E60731A"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3"/>
      </w:r>
      <w:r w:rsidRPr="0025099E">
        <w:rPr>
          <w:rFonts w:eastAsia="Times New Roman"/>
          <w:szCs w:val="20"/>
          <w:lang w:val="hu-HU" w:eastAsia="en-GB"/>
        </w:rPr>
        <w:t xml:space="preserve"> és különösen annak 71. cikkére,</w:t>
      </w:r>
    </w:p>
    <w:p w14:paraId="652C90C6"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lastRenderedPageBreak/>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4"/>
      </w:r>
      <w:r w:rsidRPr="0025099E">
        <w:rPr>
          <w:rFonts w:eastAsia="Times New Roman"/>
          <w:szCs w:val="20"/>
          <w:lang w:val="hu-HU" w:eastAsia="en-GB"/>
        </w:rPr>
        <w:t xml:space="preserve"> és különösen annak 71. cikkére, </w:t>
      </w:r>
    </w:p>
    <w:p w14:paraId="79BADE15"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5"/>
      </w:r>
      <w:r w:rsidRPr="0025099E">
        <w:rPr>
          <w:rFonts w:eastAsia="Times New Roman"/>
          <w:szCs w:val="20"/>
          <w:lang w:val="hu-HU" w:eastAsia="en-GB"/>
        </w:rPr>
        <w:t xml:space="preserve"> és különösen annak 26. cikkére,</w:t>
      </w:r>
    </w:p>
    <w:p w14:paraId="10E6C9E3"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6"/>
      </w:r>
      <w:r w:rsidRPr="0025099E">
        <w:rPr>
          <w:rFonts w:eastAsia="Times New Roman"/>
          <w:szCs w:val="20"/>
          <w:lang w:val="hu-HU" w:eastAsia="en-GB"/>
        </w:rPr>
        <w:t>,</w:t>
      </w:r>
    </w:p>
    <w:p w14:paraId="00DBBF7E"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094DF6D4"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0F02E362"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7CD9E6B3"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mentesítést ad a Tiszta Légi Közlekedés Közös Vállalkozás ügyvezető igazgatója számára a közös vállalkozás 2023. évi pénzügyi évre szóló költségvetésének végrehajtására vonatkozóan;</w:t>
      </w:r>
    </w:p>
    <w:p w14:paraId="4E745D25" w14:textId="77777777"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megjegyzéseit a mellékelt állásfoglalásban foglalja össze;</w:t>
      </w:r>
    </w:p>
    <w:p w14:paraId="61263D44" w14:textId="1E9B4F9C" w:rsidR="004F308D" w:rsidRPr="0025099E" w:rsidRDefault="004F308D" w:rsidP="00137B7D">
      <w:pPr>
        <w:spacing w:after="240"/>
        <w:ind w:left="567" w:hanging="567"/>
        <w:jc w:val="left"/>
        <w:rPr>
          <w:rFonts w:eastAsia="Times New Roman"/>
          <w:szCs w:val="20"/>
          <w:lang w:val="hu-HU" w:eastAsia="en-GB"/>
        </w:rPr>
      </w:pPr>
      <w:r w:rsidRPr="0025099E">
        <w:rPr>
          <w:rFonts w:eastAsia="Times New Roman"/>
          <w:szCs w:val="20"/>
          <w:lang w:val="hu-HU" w:eastAsia="en-GB"/>
        </w:rPr>
        <w:t>3.</w:t>
      </w:r>
      <w:r w:rsidRPr="0025099E">
        <w:rPr>
          <w:rFonts w:eastAsia="Times New Roman"/>
          <w:szCs w:val="20"/>
          <w:lang w:val="hu-HU" w:eastAsia="en-GB"/>
        </w:rPr>
        <w:tab/>
        <w:t xml:space="preserve">utasítja elnökét, hogy továbbítsa ezt a határozatot, valamint az annak szerves részét képező állásfoglalást a Tiszta Légi Közlekedés Közös Vállalkozás ügyvezető igazgatójának, a Tanácsnak, a Bizottságnak és a </w:t>
      </w:r>
      <w:r w:rsidR="0025099E">
        <w:rPr>
          <w:rFonts w:eastAsia="Times New Roman"/>
          <w:szCs w:val="20"/>
          <w:lang w:val="hu-HU" w:eastAsia="en-GB"/>
        </w:rPr>
        <w:t xml:space="preserve">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közzétételükről.</w:t>
      </w:r>
    </w:p>
    <w:p w14:paraId="080D6CEB"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05B01FFC" w14:textId="024FEDCA" w:rsidR="00DB6286" w:rsidRPr="0025099E" w:rsidRDefault="00DB6286" w:rsidP="0025099E">
      <w:pPr>
        <w:pStyle w:val="ATHeading3"/>
      </w:pPr>
      <w:r w:rsidRPr="0025099E">
        <w:lastRenderedPageBreak/>
        <w:t>2. Az Európai Parlament 2025. május 7-i határozata a Tiszta Légi Közlekedés Közös Vállalkozás 2023. évi pénzügyi évre vonatkozó elszámolásának lezárásáról (2024/2031(DEC))</w:t>
      </w:r>
    </w:p>
    <w:p w14:paraId="645B271B"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3395BEB3" w14:textId="77777777"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Tiszta Légi Közlekedés Közös Vállalkozás 2023. évi pénzügyi évre szóló végleges éves beszámolójára,</w:t>
      </w:r>
    </w:p>
    <w:p w14:paraId="12C1A4B5" w14:textId="77777777"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7"/>
      </w:r>
      <w:r w:rsidRPr="0025099E">
        <w:rPr>
          <w:rFonts w:eastAsia="Times New Roman"/>
          <w:szCs w:val="20"/>
          <w:lang w:val="hu-HU" w:eastAsia="en-GB"/>
        </w:rPr>
        <w:t>,</w:t>
      </w:r>
    </w:p>
    <w:p w14:paraId="29D878C4" w14:textId="77777777"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8"/>
      </w:r>
      <w:r w:rsidRPr="0025099E">
        <w:rPr>
          <w:rFonts w:eastAsia="Times New Roman"/>
          <w:szCs w:val="20"/>
          <w:lang w:val="hu-HU" w:eastAsia="en-GB"/>
        </w:rPr>
        <w:t>,</w:t>
      </w:r>
    </w:p>
    <w:p w14:paraId="709DB5D7" w14:textId="77777777"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6D55F39C" w14:textId="77777777"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156FA747" w14:textId="77777777"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9"/>
      </w:r>
      <w:r w:rsidRPr="0025099E">
        <w:rPr>
          <w:rFonts w:eastAsia="Times New Roman"/>
          <w:szCs w:val="20"/>
          <w:lang w:val="hu-HU" w:eastAsia="en-GB"/>
        </w:rPr>
        <w:t xml:space="preserve"> és különösen annak 71. cikkére,</w:t>
      </w:r>
    </w:p>
    <w:p w14:paraId="77710F27" w14:textId="77777777"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10"/>
      </w:r>
      <w:r w:rsidRPr="0025099E">
        <w:rPr>
          <w:rFonts w:eastAsia="Times New Roman"/>
          <w:szCs w:val="20"/>
          <w:lang w:val="hu-HU" w:eastAsia="en-GB"/>
        </w:rPr>
        <w:t xml:space="preserve"> és különösen annak 71. cikkére, </w:t>
      </w:r>
    </w:p>
    <w:p w14:paraId="475F4C7E" w14:textId="77777777"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11"/>
      </w:r>
      <w:r w:rsidRPr="0025099E">
        <w:rPr>
          <w:rFonts w:eastAsia="Times New Roman"/>
          <w:szCs w:val="20"/>
          <w:lang w:val="hu-HU" w:eastAsia="en-GB"/>
        </w:rPr>
        <w:t xml:space="preserve"> és különösen annak 26. cikkére,</w:t>
      </w:r>
    </w:p>
    <w:p w14:paraId="2E066B65" w14:textId="77777777"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12"/>
      </w:r>
      <w:r w:rsidRPr="0025099E">
        <w:rPr>
          <w:rFonts w:eastAsia="Times New Roman"/>
          <w:szCs w:val="20"/>
          <w:lang w:val="hu-HU" w:eastAsia="en-GB"/>
        </w:rPr>
        <w:t>,</w:t>
      </w:r>
    </w:p>
    <w:p w14:paraId="4752D191" w14:textId="77777777"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4F3E7347" w14:textId="77777777"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29D94F33" w14:textId="77777777"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10C01A4B" w14:textId="77777777"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jóváhagyja a Tiszta Légi Közlekedés Közös Vállalkozás 2023. évi pénzügyi évre vonatkozó elszámolásának lezárását;</w:t>
      </w:r>
    </w:p>
    <w:p w14:paraId="34BD5CA7" w14:textId="787A5FA8" w:rsidR="004F308D" w:rsidRPr="0025099E" w:rsidRDefault="004F308D" w:rsidP="00CC693C">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 xml:space="preserve">utasítja elnökét, hogy továbbítsa ezt a határozatot a Tiszta Légi Közlekedés Közös Vállalkozás ügyvezető igazgatójának, a Tanácsnak, a Bizottságnak és a </w:t>
      </w:r>
      <w:r w:rsidR="0025099E">
        <w:rPr>
          <w:rFonts w:eastAsia="Times New Roman"/>
          <w:szCs w:val="20"/>
          <w:lang w:val="hu-HU" w:eastAsia="en-GB"/>
        </w:rPr>
        <w:t xml:space="preserve">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közzétételéről.</w:t>
      </w:r>
    </w:p>
    <w:p w14:paraId="39095B4C"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6EE0ABC9" w14:textId="78670621" w:rsidR="00DB6286" w:rsidRPr="0025099E" w:rsidRDefault="00DB6286" w:rsidP="0025099E">
      <w:pPr>
        <w:pStyle w:val="ATHeading3"/>
      </w:pPr>
      <w:r w:rsidRPr="0025099E">
        <w:lastRenderedPageBreak/>
        <w:t xml:space="preserve">3. Az Európai Parlament 2025. május 7-i határozata a Körforgásos és </w:t>
      </w:r>
      <w:proofErr w:type="spellStart"/>
      <w:r w:rsidRPr="0025099E">
        <w:t>Bioalapú</w:t>
      </w:r>
      <w:proofErr w:type="spellEnd"/>
      <w:r w:rsidRPr="0025099E">
        <w:t xml:space="preserve"> Európai Gazdaság Közös Vállalkozás 2023. évi pénzügyi évre szóló költségvetésének végrehajtására vonatkozó mentesítésről (2024/2031(DEC))</w:t>
      </w:r>
    </w:p>
    <w:p w14:paraId="6E277C32"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1720CCBB"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Közös Vállalkozás 2023. évi pénzügyi évre vonatkozó végleges éves beszámolójára,</w:t>
      </w:r>
    </w:p>
    <w:p w14:paraId="605AE9B7"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13"/>
      </w:r>
      <w:r w:rsidRPr="0025099E">
        <w:rPr>
          <w:rFonts w:eastAsia="Times New Roman"/>
          <w:szCs w:val="20"/>
          <w:lang w:val="hu-HU" w:eastAsia="en-GB"/>
        </w:rPr>
        <w:t>,</w:t>
      </w:r>
    </w:p>
    <w:p w14:paraId="1AC4EBC6"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14"/>
      </w:r>
      <w:r w:rsidRPr="0025099E">
        <w:rPr>
          <w:rFonts w:eastAsia="Times New Roman"/>
          <w:szCs w:val="20"/>
          <w:lang w:val="hu-HU" w:eastAsia="en-GB"/>
        </w:rPr>
        <w:t>,</w:t>
      </w:r>
    </w:p>
    <w:p w14:paraId="0F95B9B0"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7E015599"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143DC56C"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15"/>
      </w:r>
      <w:r w:rsidRPr="0025099E">
        <w:rPr>
          <w:rFonts w:eastAsia="Times New Roman"/>
          <w:szCs w:val="20"/>
          <w:lang w:val="hu-HU" w:eastAsia="en-GB"/>
        </w:rPr>
        <w:t xml:space="preserve"> és különösen annak 71. cikkére,</w:t>
      </w:r>
    </w:p>
    <w:p w14:paraId="20CB7702"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16"/>
      </w:r>
      <w:r w:rsidRPr="0025099E">
        <w:rPr>
          <w:rFonts w:eastAsia="Times New Roman"/>
          <w:szCs w:val="20"/>
          <w:lang w:val="hu-HU" w:eastAsia="en-GB"/>
        </w:rPr>
        <w:t xml:space="preserve"> és különösen annak 71. cikkére, </w:t>
      </w:r>
    </w:p>
    <w:p w14:paraId="38A15919"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17"/>
      </w:r>
      <w:r w:rsidRPr="0025099E">
        <w:rPr>
          <w:rFonts w:eastAsia="Times New Roman"/>
          <w:szCs w:val="20"/>
          <w:lang w:val="hu-HU" w:eastAsia="en-GB"/>
        </w:rPr>
        <w:t xml:space="preserve"> és különösen annak 26. cikkére,</w:t>
      </w:r>
    </w:p>
    <w:p w14:paraId="20E3F7F7"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18"/>
      </w:r>
      <w:r w:rsidRPr="0025099E">
        <w:rPr>
          <w:rFonts w:eastAsia="Times New Roman"/>
          <w:szCs w:val="20"/>
          <w:lang w:val="hu-HU" w:eastAsia="en-GB"/>
        </w:rPr>
        <w:t>,</w:t>
      </w:r>
    </w:p>
    <w:p w14:paraId="64AC7713"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47610485"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6FF73C61"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7AD43BD0"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 xml:space="preserve">mentesítést ad 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Közös Vállalkozás ügyvezető igazgatója számára a közös vállalkozás 2023. évi pénzügyi évre szóló költségvetésének végrehajtására vonatkozóan;</w:t>
      </w:r>
    </w:p>
    <w:p w14:paraId="3B078E07" w14:textId="77777777"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megjegyzéseit a mellékelt állásfoglalásban foglalja össze;</w:t>
      </w:r>
    </w:p>
    <w:p w14:paraId="2BE078F0" w14:textId="746F38D1" w:rsidR="004F308D" w:rsidRPr="0025099E" w:rsidRDefault="004F308D" w:rsidP="00F163DD">
      <w:pPr>
        <w:spacing w:after="240"/>
        <w:ind w:left="567" w:hanging="567"/>
        <w:jc w:val="left"/>
        <w:rPr>
          <w:rFonts w:eastAsia="Times New Roman"/>
          <w:szCs w:val="20"/>
          <w:lang w:val="hu-HU" w:eastAsia="en-GB"/>
        </w:rPr>
      </w:pPr>
      <w:r w:rsidRPr="0025099E">
        <w:rPr>
          <w:rFonts w:eastAsia="Times New Roman"/>
          <w:szCs w:val="20"/>
          <w:lang w:val="hu-HU" w:eastAsia="en-GB"/>
        </w:rPr>
        <w:t>3.</w:t>
      </w:r>
      <w:r w:rsidRPr="0025099E">
        <w:rPr>
          <w:rFonts w:eastAsia="Times New Roman"/>
          <w:szCs w:val="20"/>
          <w:lang w:val="hu-HU" w:eastAsia="en-GB"/>
        </w:rPr>
        <w:tab/>
        <w:t xml:space="preserve">utasítja elnökét, hogy továbbítsa ezt a határozatot, valamint az annak szerves részét képező állásfoglalást 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Közös Vállalkozás ügyvezető igazgatójának, a Tanácsnak, a Bizottságnak és a </w:t>
      </w:r>
      <w:r w:rsidR="0025099E">
        <w:rPr>
          <w:rFonts w:eastAsia="Times New Roman"/>
          <w:szCs w:val="20"/>
          <w:lang w:val="hu-HU" w:eastAsia="en-GB"/>
        </w:rPr>
        <w:t xml:space="preserve">Számvevőszéknek, és gondoskodjon az </w:t>
      </w:r>
      <w:r w:rsidRPr="0025099E">
        <w:rPr>
          <w:rFonts w:eastAsia="Times New Roman"/>
          <w:i/>
          <w:iCs/>
          <w:szCs w:val="20"/>
          <w:lang w:val="hu-HU" w:eastAsia="en-GB"/>
        </w:rPr>
        <w:t>Európai Unió Hivatalos Lapjában</w:t>
      </w:r>
      <w:r w:rsidRPr="0025099E">
        <w:rPr>
          <w:rFonts w:eastAsia="Times New Roman"/>
          <w:szCs w:val="20"/>
          <w:lang w:val="hu-HU" w:eastAsia="en-GB"/>
        </w:rPr>
        <w:t xml:space="preserve"> (L sorozat) való közzétételükről.</w:t>
      </w:r>
    </w:p>
    <w:p w14:paraId="5FAE51BE"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19F8CACD" w14:textId="1DC7D40B" w:rsidR="00DB6286" w:rsidRPr="0025099E" w:rsidRDefault="00DB6286" w:rsidP="0025099E">
      <w:pPr>
        <w:pStyle w:val="ATHeading3"/>
      </w:pPr>
      <w:r w:rsidRPr="0025099E">
        <w:lastRenderedPageBreak/>
        <w:t xml:space="preserve">4. Az Európai Parlament 2025. május 7-i határozata a Körforgásos és </w:t>
      </w:r>
      <w:proofErr w:type="spellStart"/>
      <w:r w:rsidRPr="0025099E">
        <w:t>Bioalapú</w:t>
      </w:r>
      <w:proofErr w:type="spellEnd"/>
      <w:r w:rsidRPr="0025099E">
        <w:t xml:space="preserve"> Európai Gazdaság Közös Vállalkozás 2023. évi pénzügyi évre vonatkozó elszámolásának lezárásáról (2024/2031(DEC))</w:t>
      </w:r>
    </w:p>
    <w:p w14:paraId="4B251B4B"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3B8AB0C0" w14:textId="77777777"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Közös Vállalkozás 2023. évi pénzügyi évre vonatkozó végleges éves beszámolójára,</w:t>
      </w:r>
    </w:p>
    <w:p w14:paraId="52AB91D6" w14:textId="77777777"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19"/>
      </w:r>
      <w:r w:rsidRPr="0025099E">
        <w:rPr>
          <w:rFonts w:eastAsia="Times New Roman"/>
          <w:szCs w:val="20"/>
          <w:lang w:val="hu-HU" w:eastAsia="en-GB"/>
        </w:rPr>
        <w:t>,</w:t>
      </w:r>
    </w:p>
    <w:p w14:paraId="1B06A1A6" w14:textId="77777777"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20"/>
      </w:r>
      <w:r w:rsidRPr="0025099E">
        <w:rPr>
          <w:rFonts w:eastAsia="Times New Roman"/>
          <w:szCs w:val="20"/>
          <w:lang w:val="hu-HU" w:eastAsia="en-GB"/>
        </w:rPr>
        <w:t>,</w:t>
      </w:r>
    </w:p>
    <w:p w14:paraId="68742E26" w14:textId="77777777"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4C1B67A2" w14:textId="77777777"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5263870B" w14:textId="77777777"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21"/>
      </w:r>
      <w:r w:rsidRPr="0025099E">
        <w:rPr>
          <w:rFonts w:eastAsia="Times New Roman"/>
          <w:szCs w:val="20"/>
          <w:lang w:val="hu-HU" w:eastAsia="en-GB"/>
        </w:rPr>
        <w:t xml:space="preserve"> és különösen annak 71. cikkére,</w:t>
      </w:r>
    </w:p>
    <w:p w14:paraId="4F409EFD" w14:textId="77777777"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22"/>
      </w:r>
      <w:r w:rsidRPr="0025099E">
        <w:rPr>
          <w:rFonts w:eastAsia="Times New Roman"/>
          <w:szCs w:val="20"/>
          <w:lang w:val="hu-HU" w:eastAsia="en-GB"/>
        </w:rPr>
        <w:t xml:space="preserve"> és különösen annak 71. cikkére, </w:t>
      </w:r>
    </w:p>
    <w:p w14:paraId="7D20429F" w14:textId="77777777"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23"/>
      </w:r>
      <w:r w:rsidRPr="0025099E">
        <w:rPr>
          <w:rFonts w:eastAsia="Times New Roman"/>
          <w:szCs w:val="20"/>
          <w:lang w:val="hu-HU" w:eastAsia="en-GB"/>
        </w:rPr>
        <w:t xml:space="preserve"> és különösen annak 26. cikkére,</w:t>
      </w:r>
    </w:p>
    <w:p w14:paraId="59A8D17C" w14:textId="77777777"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24"/>
      </w:r>
      <w:r w:rsidRPr="0025099E">
        <w:rPr>
          <w:rFonts w:eastAsia="Times New Roman"/>
          <w:szCs w:val="20"/>
          <w:lang w:val="hu-HU" w:eastAsia="en-GB"/>
        </w:rPr>
        <w:t>,</w:t>
      </w:r>
    </w:p>
    <w:p w14:paraId="3C796879" w14:textId="77777777"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18A9CF6A" w14:textId="77777777"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4586C6BC" w14:textId="77777777"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5E830119" w14:textId="77777777"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 xml:space="preserve">jóváhagyja 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Közös Vállalkozás 2023. évi pénzügyi évre vonatkozó elszámolásának lezárását;</w:t>
      </w:r>
    </w:p>
    <w:p w14:paraId="62CDFE03" w14:textId="5B9E415B" w:rsidR="004F308D" w:rsidRPr="0025099E" w:rsidRDefault="004F308D" w:rsidP="00C400C7">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 xml:space="preserve">utasítja elnökét, hogy továbbítsa ezt a határozatot 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Közös Vállalkozás ügyvezető igazgatójának, a Tanácsnak, a Bizottságnak és a </w:t>
      </w:r>
      <w:r w:rsidR="0025099E">
        <w:rPr>
          <w:rFonts w:eastAsia="Times New Roman"/>
          <w:szCs w:val="20"/>
          <w:lang w:val="hu-HU" w:eastAsia="en-GB"/>
        </w:rPr>
        <w:t xml:space="preserve">Számvevőszéknek, és gondoskodjon az </w:t>
      </w:r>
      <w:r w:rsidRPr="0025099E">
        <w:rPr>
          <w:rFonts w:eastAsia="Times New Roman"/>
          <w:i/>
          <w:iCs/>
          <w:szCs w:val="20"/>
          <w:lang w:val="hu-HU" w:eastAsia="en-GB"/>
        </w:rPr>
        <w:t>Európai Unió Hivatalos Lapjában</w:t>
      </w:r>
      <w:r w:rsidRPr="0025099E">
        <w:rPr>
          <w:rFonts w:eastAsia="Times New Roman"/>
          <w:szCs w:val="20"/>
          <w:lang w:val="hu-HU" w:eastAsia="en-GB"/>
        </w:rPr>
        <w:t xml:space="preserve"> (L sorozat) való közzétételéről.</w:t>
      </w:r>
    </w:p>
    <w:p w14:paraId="6591CC54"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5A3D1792" w14:textId="25E38711" w:rsidR="00DB6286" w:rsidRPr="0025099E" w:rsidRDefault="00DB6286" w:rsidP="0025099E">
      <w:pPr>
        <w:pStyle w:val="ATHeading3"/>
      </w:pPr>
      <w:r w:rsidRPr="0025099E">
        <w:lastRenderedPageBreak/>
        <w:t>5. Az Európai Parlament 2025. május 7-i határozata a Tiszta Hidrogén Közös Vállalkozás 2023. évi pénzügyi évre szóló költségvetésének végrehajtására vonatkozó mentesítésről (2024/2031(DEC))</w:t>
      </w:r>
    </w:p>
    <w:p w14:paraId="4B0DB6ED"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6C675E16"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Tiszta Hidrogén Közös Vállalkozás 2023. évi pénzügyi évre szóló végleges éves beszámolójára,</w:t>
      </w:r>
    </w:p>
    <w:p w14:paraId="54916A40"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25"/>
      </w:r>
      <w:r w:rsidRPr="0025099E">
        <w:rPr>
          <w:rFonts w:eastAsia="Times New Roman"/>
          <w:szCs w:val="20"/>
          <w:lang w:val="hu-HU" w:eastAsia="en-GB"/>
        </w:rPr>
        <w:t>,</w:t>
      </w:r>
    </w:p>
    <w:p w14:paraId="69A6079E"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26"/>
      </w:r>
      <w:r w:rsidRPr="0025099E">
        <w:rPr>
          <w:rFonts w:eastAsia="Times New Roman"/>
          <w:szCs w:val="20"/>
          <w:lang w:val="hu-HU" w:eastAsia="en-GB"/>
        </w:rPr>
        <w:t>,</w:t>
      </w:r>
    </w:p>
    <w:p w14:paraId="217F2798"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261EBAFA"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03F7CA9D"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27"/>
      </w:r>
      <w:r w:rsidRPr="0025099E">
        <w:rPr>
          <w:rFonts w:eastAsia="Times New Roman"/>
          <w:szCs w:val="20"/>
          <w:lang w:val="hu-HU" w:eastAsia="en-GB"/>
        </w:rPr>
        <w:t xml:space="preserve"> és különösen annak 71. cikkére,</w:t>
      </w:r>
    </w:p>
    <w:p w14:paraId="54248894"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28"/>
      </w:r>
      <w:r w:rsidRPr="0025099E">
        <w:rPr>
          <w:rFonts w:eastAsia="Times New Roman"/>
          <w:szCs w:val="20"/>
          <w:lang w:val="hu-HU" w:eastAsia="en-GB"/>
        </w:rPr>
        <w:t xml:space="preserve"> és különösen annak 71. cikkére, </w:t>
      </w:r>
    </w:p>
    <w:p w14:paraId="189881AA"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29"/>
      </w:r>
      <w:r w:rsidRPr="0025099E">
        <w:rPr>
          <w:rFonts w:eastAsia="Times New Roman"/>
          <w:szCs w:val="20"/>
          <w:lang w:val="hu-HU" w:eastAsia="en-GB"/>
        </w:rPr>
        <w:t xml:space="preserve"> és különösen annak 26. cikkére,</w:t>
      </w:r>
    </w:p>
    <w:p w14:paraId="2DB31FD0"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30"/>
      </w:r>
      <w:r w:rsidRPr="0025099E">
        <w:rPr>
          <w:rFonts w:eastAsia="Times New Roman"/>
          <w:szCs w:val="20"/>
          <w:lang w:val="hu-HU" w:eastAsia="en-GB"/>
        </w:rPr>
        <w:t>,</w:t>
      </w:r>
    </w:p>
    <w:p w14:paraId="4BD84C39"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43F1027F"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0FF9892C"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731017F3"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mentesítést ad a Tiszta Hidrogén Közös Vállalkozás ügyvezető igazgatója számára a közös vállalkozás 2023. évi pénzügyi évre szóló költségvetésének végrehajtására vonatkozóan;</w:t>
      </w:r>
    </w:p>
    <w:p w14:paraId="4B73C39B"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megjegyzéseit a mellékelt állásfoglalásban foglalja össze;</w:t>
      </w:r>
    </w:p>
    <w:p w14:paraId="3323F4BD" w14:textId="77777777" w:rsidR="004F308D" w:rsidRPr="0025099E" w:rsidRDefault="004F308D" w:rsidP="00194802">
      <w:pPr>
        <w:spacing w:after="240"/>
        <w:ind w:left="567" w:hanging="567"/>
        <w:jc w:val="left"/>
        <w:rPr>
          <w:rFonts w:eastAsia="Times New Roman"/>
          <w:szCs w:val="20"/>
          <w:lang w:val="hu-HU" w:eastAsia="en-GB"/>
        </w:rPr>
      </w:pPr>
      <w:r w:rsidRPr="0025099E">
        <w:rPr>
          <w:rFonts w:eastAsia="Times New Roman"/>
          <w:szCs w:val="20"/>
          <w:lang w:val="hu-HU" w:eastAsia="en-GB"/>
        </w:rPr>
        <w:t>3.</w:t>
      </w:r>
      <w:r w:rsidRPr="0025099E">
        <w:rPr>
          <w:rFonts w:eastAsia="Times New Roman"/>
          <w:szCs w:val="20"/>
          <w:lang w:val="hu-HU" w:eastAsia="en-GB"/>
        </w:rPr>
        <w:tab/>
        <w:t xml:space="preserve">utasítja elnökét, hogy továbbítsa ezt a határozatot, valamint az annak szerves részét képező állásfoglalást a Tiszta Hidrogén Közös Vállalkozás ügyvezető igazgatójának, a Tanácsnak, a Bizottságnak és a 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közzétételükről.</w:t>
      </w:r>
    </w:p>
    <w:p w14:paraId="554EF315"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2F9F5ED2" w14:textId="33BBCE94" w:rsidR="00DB6286" w:rsidRPr="0025099E" w:rsidRDefault="00DB6286" w:rsidP="0025099E">
      <w:pPr>
        <w:pStyle w:val="ATHeading3"/>
      </w:pPr>
      <w:r w:rsidRPr="0025099E">
        <w:lastRenderedPageBreak/>
        <w:t>6. Az Európai Parlament 2025. május 7-i határozata a Tiszta Hidrogén Közös Vállalkozás 2023. évi pénzügyi évre vonatkozó elszámolásának lezárásáról (2024/2031(DEC))</w:t>
      </w:r>
    </w:p>
    <w:p w14:paraId="6FE298AC"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1CA72B60"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Tiszta Hidrogén Közös Vállalkozás 2023. évi pénzügyi évre szóló végleges éves beszámolójára,</w:t>
      </w:r>
    </w:p>
    <w:p w14:paraId="5437D1BF"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31"/>
      </w:r>
      <w:r w:rsidRPr="0025099E">
        <w:rPr>
          <w:rFonts w:eastAsia="Times New Roman"/>
          <w:szCs w:val="20"/>
          <w:lang w:val="hu-HU" w:eastAsia="en-GB"/>
        </w:rPr>
        <w:t>,</w:t>
      </w:r>
    </w:p>
    <w:p w14:paraId="7C767E59"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32"/>
      </w:r>
      <w:r w:rsidRPr="0025099E">
        <w:rPr>
          <w:rFonts w:eastAsia="Times New Roman"/>
          <w:szCs w:val="20"/>
          <w:lang w:val="hu-HU" w:eastAsia="en-GB"/>
        </w:rPr>
        <w:t>,</w:t>
      </w:r>
    </w:p>
    <w:p w14:paraId="68DA2719"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141AD336"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64256C06"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33"/>
      </w:r>
      <w:r w:rsidRPr="0025099E">
        <w:rPr>
          <w:rFonts w:eastAsia="Times New Roman"/>
          <w:szCs w:val="20"/>
          <w:lang w:val="hu-HU" w:eastAsia="en-GB"/>
        </w:rPr>
        <w:t xml:space="preserve"> és különösen annak 71. cikkére,</w:t>
      </w:r>
    </w:p>
    <w:p w14:paraId="0AADFEDF"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34"/>
      </w:r>
      <w:r w:rsidRPr="0025099E">
        <w:rPr>
          <w:rFonts w:eastAsia="Times New Roman"/>
          <w:szCs w:val="20"/>
          <w:lang w:val="hu-HU" w:eastAsia="en-GB"/>
        </w:rPr>
        <w:t xml:space="preserve"> és különösen annak 71. cikkére, </w:t>
      </w:r>
    </w:p>
    <w:p w14:paraId="50175893"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35"/>
      </w:r>
      <w:r w:rsidRPr="0025099E">
        <w:rPr>
          <w:rFonts w:eastAsia="Times New Roman"/>
          <w:szCs w:val="20"/>
          <w:lang w:val="hu-HU" w:eastAsia="en-GB"/>
        </w:rPr>
        <w:t xml:space="preserve"> és különösen annak 26. cikkére,</w:t>
      </w:r>
    </w:p>
    <w:p w14:paraId="2AADD5A5"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36"/>
      </w:r>
      <w:r w:rsidRPr="0025099E">
        <w:rPr>
          <w:rFonts w:eastAsia="Times New Roman"/>
          <w:szCs w:val="20"/>
          <w:lang w:val="hu-HU" w:eastAsia="en-GB"/>
        </w:rPr>
        <w:t>,</w:t>
      </w:r>
    </w:p>
    <w:p w14:paraId="69E9F767"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4FC509CD"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5515E014"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43423A9A"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jóváhagyja a Tiszta Hidrogén Közös Vállalkozás 2023. évi pénzügyi évre vonatkozó elszámolásának lezárását;</w:t>
      </w:r>
    </w:p>
    <w:p w14:paraId="5ECF0FE4" w14:textId="77777777" w:rsidR="004F308D" w:rsidRPr="0025099E" w:rsidRDefault="004F308D" w:rsidP="00D74FA6">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 xml:space="preserve">utasítja elnökét, hogy továbbítsa ezt a határozatot a Tiszta Hidrogén Közös Vállalkozás ügyvezető igazgatójának, a Tanácsnak, a Bizottságnak és a 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közzétételéről.</w:t>
      </w:r>
    </w:p>
    <w:p w14:paraId="6316462E"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4664FD66" w14:textId="6E0415F9" w:rsidR="00DB6286" w:rsidRPr="0025099E" w:rsidRDefault="00DB6286" w:rsidP="0025099E">
      <w:pPr>
        <w:pStyle w:val="ATHeading3"/>
      </w:pPr>
      <w:r w:rsidRPr="0025099E">
        <w:lastRenderedPageBreak/>
        <w:t>7. Az Európai Parlament 2025. május 7-i határozata az Európai Vasút Közös Vállalkozás 2023. évi pénzügyi évre szóló költségvetésének végrehajtására vonatkozó mentesítésről (2024/2031(DEC))</w:t>
      </w:r>
    </w:p>
    <w:p w14:paraId="40C64480"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284468D0"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Vasút Közös Vállalkozás 2023. évi pénzügyi évre vonatkozó végleges éves beszámolójára,</w:t>
      </w:r>
    </w:p>
    <w:p w14:paraId="6375BF8A"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37"/>
      </w:r>
      <w:r w:rsidRPr="0025099E">
        <w:rPr>
          <w:rFonts w:eastAsia="Times New Roman"/>
          <w:szCs w:val="20"/>
          <w:lang w:val="hu-HU" w:eastAsia="en-GB"/>
        </w:rPr>
        <w:t>,</w:t>
      </w:r>
    </w:p>
    <w:p w14:paraId="3741F204"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38"/>
      </w:r>
      <w:r w:rsidRPr="0025099E">
        <w:rPr>
          <w:rFonts w:eastAsia="Times New Roman"/>
          <w:szCs w:val="20"/>
          <w:lang w:val="hu-HU" w:eastAsia="en-GB"/>
        </w:rPr>
        <w:t>,</w:t>
      </w:r>
    </w:p>
    <w:p w14:paraId="77EE57F8"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0DB1C11A"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7749CD98"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39"/>
      </w:r>
      <w:r w:rsidRPr="0025099E">
        <w:rPr>
          <w:rFonts w:eastAsia="Times New Roman"/>
          <w:szCs w:val="20"/>
          <w:lang w:val="hu-HU" w:eastAsia="en-GB"/>
        </w:rPr>
        <w:t xml:space="preserve"> és különösen annak 71. cikkére,</w:t>
      </w:r>
    </w:p>
    <w:p w14:paraId="6561478A"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40"/>
      </w:r>
      <w:r w:rsidRPr="0025099E">
        <w:rPr>
          <w:rFonts w:eastAsia="Times New Roman"/>
          <w:szCs w:val="20"/>
          <w:lang w:val="hu-HU" w:eastAsia="en-GB"/>
        </w:rPr>
        <w:t xml:space="preserve"> és különösen annak 71. cikkére, </w:t>
      </w:r>
    </w:p>
    <w:p w14:paraId="600254C5"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41"/>
      </w:r>
      <w:r w:rsidRPr="0025099E">
        <w:rPr>
          <w:rFonts w:eastAsia="Times New Roman"/>
          <w:szCs w:val="20"/>
          <w:lang w:val="hu-HU" w:eastAsia="en-GB"/>
        </w:rPr>
        <w:t xml:space="preserve"> és különösen annak 26. cikkére,</w:t>
      </w:r>
    </w:p>
    <w:p w14:paraId="547AE906"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42"/>
      </w:r>
      <w:r w:rsidRPr="0025099E">
        <w:rPr>
          <w:rFonts w:eastAsia="Times New Roman"/>
          <w:szCs w:val="20"/>
          <w:lang w:val="hu-HU" w:eastAsia="en-GB"/>
        </w:rPr>
        <w:t>,</w:t>
      </w:r>
    </w:p>
    <w:p w14:paraId="0A4A74C2"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656DE754"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44506BD7"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5C45E747"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mentesítést ad az Európai Vasút Közös Vállalkozás ügyvezető igazgatója számára a közös vállalkozás 2023. évi pénzügyi évre szóló költségvetésének végrehajtására vonatkozóan;</w:t>
      </w:r>
    </w:p>
    <w:p w14:paraId="00C67646"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megjegyzéseit a mellékelt állásfoglalásban foglalja össze;</w:t>
      </w:r>
    </w:p>
    <w:p w14:paraId="58B408FC" w14:textId="77777777" w:rsidR="004F308D" w:rsidRPr="0025099E" w:rsidRDefault="004F308D" w:rsidP="00A93965">
      <w:pPr>
        <w:spacing w:after="240"/>
        <w:ind w:left="567" w:hanging="567"/>
        <w:jc w:val="left"/>
        <w:rPr>
          <w:rFonts w:eastAsia="Times New Roman"/>
          <w:szCs w:val="20"/>
          <w:lang w:val="hu-HU" w:eastAsia="en-GB"/>
        </w:rPr>
      </w:pPr>
      <w:r w:rsidRPr="0025099E">
        <w:rPr>
          <w:rFonts w:eastAsia="Times New Roman"/>
          <w:szCs w:val="20"/>
          <w:lang w:val="hu-HU" w:eastAsia="en-GB"/>
        </w:rPr>
        <w:t>3.</w:t>
      </w:r>
      <w:r w:rsidRPr="0025099E">
        <w:rPr>
          <w:rFonts w:eastAsia="Times New Roman"/>
          <w:szCs w:val="20"/>
          <w:lang w:val="hu-HU" w:eastAsia="en-GB"/>
        </w:rPr>
        <w:tab/>
        <w:t xml:space="preserve">utasítja elnökét, hogy továbbítsa ezt a határozatot, valamint az annak szerves részét képező állásfoglalást az Európai Vasút Közös Vállalkozás ügyvezető igazgatójának, a Tanácsnak, a Bizottságnak és a 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közzétételükről.</w:t>
      </w:r>
    </w:p>
    <w:p w14:paraId="2C659BA3"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44122AE7" w14:textId="4F712D9F" w:rsidR="00DB6286" w:rsidRPr="0025099E" w:rsidRDefault="00DB6286" w:rsidP="0025099E">
      <w:pPr>
        <w:pStyle w:val="ATHeading3"/>
      </w:pPr>
      <w:r w:rsidRPr="0025099E">
        <w:lastRenderedPageBreak/>
        <w:t>8. Az Európai Parlament 2025. május 7-i határozata az Európai Vasút Közös Vállalkozás 2023. évi pénzügyi évre vonatkozó elszámolásának lezárásáról (2024/2031(DEC))</w:t>
      </w:r>
    </w:p>
    <w:p w14:paraId="75937F0F"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4F821AE4"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Vasút Közös Vállalkozás 2023. évi pénzügyi évre vonatkozó végleges éves beszámolójára,</w:t>
      </w:r>
    </w:p>
    <w:p w14:paraId="4D4E8C3F"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43"/>
      </w:r>
      <w:r w:rsidRPr="0025099E">
        <w:rPr>
          <w:rFonts w:eastAsia="Times New Roman"/>
          <w:szCs w:val="20"/>
          <w:lang w:val="hu-HU" w:eastAsia="en-GB"/>
        </w:rPr>
        <w:t>,</w:t>
      </w:r>
    </w:p>
    <w:p w14:paraId="59672A8C"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44"/>
      </w:r>
      <w:r w:rsidRPr="0025099E">
        <w:rPr>
          <w:rFonts w:eastAsia="Times New Roman"/>
          <w:szCs w:val="20"/>
          <w:lang w:val="hu-HU" w:eastAsia="en-GB"/>
        </w:rPr>
        <w:t>,</w:t>
      </w:r>
    </w:p>
    <w:p w14:paraId="65D818A5"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2E365F57"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76F44792"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45"/>
      </w:r>
      <w:r w:rsidRPr="0025099E">
        <w:rPr>
          <w:rFonts w:eastAsia="Times New Roman"/>
          <w:szCs w:val="20"/>
          <w:lang w:val="hu-HU" w:eastAsia="en-GB"/>
        </w:rPr>
        <w:t xml:space="preserve"> és különösen annak 71. cikkére,</w:t>
      </w:r>
    </w:p>
    <w:p w14:paraId="146AAA5F"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(EU, Euratom) 2024/2509 európai parlamenti és tanácsi rendeletre (átdolgozás)</w:t>
      </w:r>
      <w:r w:rsidRPr="0025099E">
        <w:rPr>
          <w:rFonts w:eastAsia="Times New Roman"/>
          <w:szCs w:val="20"/>
          <w:vertAlign w:val="superscript"/>
          <w:lang w:val="hu-HU" w:eastAsia="en-GB"/>
        </w:rPr>
        <w:footnoteReference w:id="46"/>
      </w:r>
      <w:r w:rsidRPr="0025099E">
        <w:rPr>
          <w:rFonts w:eastAsia="Times New Roman"/>
          <w:szCs w:val="20"/>
          <w:lang w:val="hu-HU" w:eastAsia="en-GB"/>
        </w:rPr>
        <w:t xml:space="preserve"> és különösen annak 71. cikkére, </w:t>
      </w:r>
    </w:p>
    <w:p w14:paraId="5B16BB94"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47"/>
      </w:r>
      <w:r w:rsidRPr="0025099E">
        <w:rPr>
          <w:rFonts w:eastAsia="Times New Roman"/>
          <w:szCs w:val="20"/>
          <w:lang w:val="hu-HU" w:eastAsia="en-GB"/>
        </w:rPr>
        <w:t xml:space="preserve"> és különösen annak 26. cikkére,</w:t>
      </w:r>
    </w:p>
    <w:p w14:paraId="1226F808"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48"/>
      </w:r>
      <w:r w:rsidRPr="0025099E">
        <w:rPr>
          <w:rFonts w:eastAsia="Times New Roman"/>
          <w:szCs w:val="20"/>
          <w:lang w:val="hu-HU" w:eastAsia="en-GB"/>
        </w:rPr>
        <w:t>,</w:t>
      </w:r>
    </w:p>
    <w:p w14:paraId="7C060785"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0E5B7780"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6604187A"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462BFC40"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jóváhagyja az Európai Vasút Közös Vállalkozás 2023. évi pénzügyi évre vonatkozó elszámolásának lezárását;</w:t>
      </w:r>
    </w:p>
    <w:p w14:paraId="20790DBA" w14:textId="77777777" w:rsidR="004F308D" w:rsidRPr="0025099E" w:rsidRDefault="004F308D" w:rsidP="003C297B">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 xml:space="preserve">utasítja elnökét, hogy továbbítsa ezt a határozatot az Európai Vasút Közös Vállalkozás ügyvezető igazgatójának, a Tanácsnak, a Bizottságnak és a 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közzétételéről.</w:t>
      </w:r>
    </w:p>
    <w:p w14:paraId="36964C57"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1926F89C" w14:textId="627F1E54" w:rsidR="00DB6286" w:rsidRPr="0025099E" w:rsidRDefault="00DB6286" w:rsidP="0025099E">
      <w:pPr>
        <w:pStyle w:val="ATHeading3"/>
      </w:pPr>
      <w:r w:rsidRPr="0025099E">
        <w:lastRenderedPageBreak/>
        <w:t>9. Az Európai Parlament 2025. május 7-i határozata az Európai Nagy Teljesítményű Számítástechnika Közös Vállalkozás 2023. évi pénzügyi évre szóló költségvetésének végrehajtására vonatkozó mentesítésről (2024/2031(DEC))</w:t>
      </w:r>
    </w:p>
    <w:p w14:paraId="235D8787"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7D88850D"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Nagy Teljesítményű Számítástechnika Közös Vállalkozás 2023. évi pénzügyi évre vonatkozó végleges éves beszámolójára,</w:t>
      </w:r>
    </w:p>
    <w:p w14:paraId="79653E87"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49"/>
      </w:r>
      <w:r w:rsidRPr="0025099E">
        <w:rPr>
          <w:rFonts w:eastAsia="Times New Roman"/>
          <w:szCs w:val="20"/>
          <w:lang w:val="hu-HU" w:eastAsia="en-GB"/>
        </w:rPr>
        <w:t>,</w:t>
      </w:r>
    </w:p>
    <w:p w14:paraId="3C1CB628"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50"/>
      </w:r>
      <w:r w:rsidRPr="0025099E">
        <w:rPr>
          <w:rFonts w:eastAsia="Times New Roman"/>
          <w:szCs w:val="20"/>
          <w:lang w:val="hu-HU" w:eastAsia="en-GB"/>
        </w:rPr>
        <w:t>,</w:t>
      </w:r>
    </w:p>
    <w:p w14:paraId="3484F2C6"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6B627264"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3ACB45B6"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51"/>
      </w:r>
      <w:r w:rsidRPr="0025099E">
        <w:rPr>
          <w:rFonts w:eastAsia="Times New Roman"/>
          <w:szCs w:val="20"/>
          <w:lang w:val="hu-HU" w:eastAsia="en-GB"/>
        </w:rPr>
        <w:t xml:space="preserve"> és különösen annak 71. cikkére,</w:t>
      </w:r>
    </w:p>
    <w:p w14:paraId="233E39CD"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25099E">
        <w:rPr>
          <w:rFonts w:eastAsia="Times New Roman"/>
          <w:szCs w:val="20"/>
          <w:vertAlign w:val="superscript"/>
          <w:lang w:val="hu-HU" w:eastAsia="en-GB"/>
        </w:rPr>
        <w:footnoteReference w:id="52"/>
      </w:r>
      <w:r w:rsidRPr="0025099E">
        <w:rPr>
          <w:rFonts w:eastAsia="Times New Roman"/>
          <w:szCs w:val="20"/>
          <w:lang w:val="hu-HU" w:eastAsia="en-GB"/>
        </w:rPr>
        <w:t xml:space="preserve"> és különösen annak 71. cikkére, </w:t>
      </w:r>
    </w:p>
    <w:p w14:paraId="253C296B"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nagy teljesítményű számítástechnikával foglalkozó közös vállalkozás létrehozásáról és az (EU) 2018/1488 rendelet hatályon kívül helyezéséről szóló, 2021. július 13-i (EU) 2021/1173 tanácsi rendeletre</w:t>
      </w:r>
      <w:r w:rsidRPr="0025099E">
        <w:rPr>
          <w:rFonts w:eastAsia="Times New Roman"/>
          <w:szCs w:val="20"/>
          <w:vertAlign w:val="superscript"/>
          <w:lang w:val="hu-HU" w:eastAsia="en-GB"/>
        </w:rPr>
        <w:footnoteReference w:id="53"/>
      </w:r>
      <w:r w:rsidRPr="0025099E">
        <w:rPr>
          <w:rFonts w:eastAsia="Times New Roman"/>
          <w:szCs w:val="20"/>
          <w:lang w:val="hu-HU" w:eastAsia="en-GB"/>
        </w:rPr>
        <w:t xml:space="preserve"> és különösen annak 19. cikkére,</w:t>
      </w:r>
    </w:p>
    <w:p w14:paraId="100DAD57"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54"/>
      </w:r>
      <w:r w:rsidRPr="0025099E">
        <w:rPr>
          <w:rFonts w:eastAsia="Times New Roman"/>
          <w:szCs w:val="20"/>
          <w:lang w:val="hu-HU" w:eastAsia="en-GB"/>
        </w:rPr>
        <w:t>,</w:t>
      </w:r>
    </w:p>
    <w:p w14:paraId="77BF904F"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lastRenderedPageBreak/>
        <w:t>–</w:t>
      </w:r>
      <w:r w:rsidRPr="0025099E">
        <w:rPr>
          <w:rFonts w:eastAsia="Times New Roman"/>
          <w:szCs w:val="20"/>
          <w:lang w:val="hu-HU" w:eastAsia="en-GB"/>
        </w:rPr>
        <w:tab/>
        <w:t>tekintettel eljárási szabályzata 102. cikkére és V. mellékletére,</w:t>
      </w:r>
    </w:p>
    <w:p w14:paraId="0B101F43"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048C0ADC"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0B895245"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mentesítést ad az Európai Nagy Teljesítményű Számítástechnika Közös Vállalkozás ügyvezető igazgatója számára a közös vállalkozás 2023. évi pénzügyi évre szóló költségvetésének végrehajtására vonatkozóan;</w:t>
      </w:r>
    </w:p>
    <w:p w14:paraId="2E25EB52" w14:textId="7777777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megjegyzéseit a mellékelt állásfoglalásban foglalja össze;</w:t>
      </w:r>
    </w:p>
    <w:p w14:paraId="7FC182D9" w14:textId="27CA6ED7" w:rsidR="004F308D" w:rsidRPr="0025099E" w:rsidRDefault="004F308D" w:rsidP="00220950">
      <w:pPr>
        <w:spacing w:after="240"/>
        <w:ind w:left="567" w:hanging="567"/>
        <w:jc w:val="left"/>
        <w:rPr>
          <w:rFonts w:eastAsia="Times New Roman"/>
          <w:szCs w:val="20"/>
          <w:lang w:val="hu-HU" w:eastAsia="en-GB"/>
        </w:rPr>
      </w:pPr>
      <w:r w:rsidRPr="0025099E">
        <w:rPr>
          <w:rFonts w:eastAsia="Times New Roman"/>
          <w:szCs w:val="20"/>
          <w:lang w:val="hu-HU" w:eastAsia="en-GB"/>
        </w:rPr>
        <w:t>3.</w:t>
      </w:r>
      <w:r w:rsidRPr="0025099E">
        <w:rPr>
          <w:rFonts w:eastAsia="Times New Roman"/>
          <w:szCs w:val="20"/>
          <w:lang w:val="hu-HU" w:eastAsia="en-GB"/>
        </w:rPr>
        <w:tab/>
        <w:t xml:space="preserve">utasítja elnökét, hogy továbbítsa ezt a határozatot, valamint az annak szerves részét képező állásfoglalást az Európai Nagy Teljesítményű Számítástechnika Közös Vállalkozás ügyvezető igazgatójának, a Tanácsnak, a Bizottságnak és a </w:t>
      </w:r>
      <w:r w:rsidR="0025099E">
        <w:rPr>
          <w:rFonts w:eastAsia="Times New Roman"/>
          <w:szCs w:val="20"/>
          <w:lang w:val="hu-HU" w:eastAsia="en-GB"/>
        </w:rPr>
        <w:t xml:space="preserve">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közzétételükről.</w:t>
      </w:r>
    </w:p>
    <w:p w14:paraId="1A78D31B"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07AD6368" w14:textId="4161D1C1" w:rsidR="00DB6286" w:rsidRPr="0025099E" w:rsidRDefault="00DB6286" w:rsidP="0025099E">
      <w:pPr>
        <w:pStyle w:val="ATHeading3"/>
      </w:pPr>
      <w:r w:rsidRPr="0025099E">
        <w:lastRenderedPageBreak/>
        <w:t>10. Az Európai Parlament 2025. május 7-i határozata az Európai Nagy Teljesítményű Számítástechnika Közös Vállalkozás 2023. évi pénzügyi évre vonatkozó elszámolásának lezárásáról (2024/2031(DEC))</w:t>
      </w:r>
    </w:p>
    <w:p w14:paraId="3E7A1BB7"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7CA6EECD"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Nagy Teljesítményű Számítástechnika Közös Vállalkozás 2023. évi pénzügyi évre vonatkozó végleges éves beszámolójára,</w:t>
      </w:r>
    </w:p>
    <w:p w14:paraId="2B2430B3"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55"/>
      </w:r>
      <w:r w:rsidRPr="0025099E">
        <w:rPr>
          <w:rFonts w:eastAsia="Times New Roman"/>
          <w:szCs w:val="20"/>
          <w:lang w:val="hu-HU" w:eastAsia="en-GB"/>
        </w:rPr>
        <w:t>,</w:t>
      </w:r>
    </w:p>
    <w:p w14:paraId="266D112E"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56"/>
      </w:r>
      <w:r w:rsidRPr="0025099E">
        <w:rPr>
          <w:rFonts w:eastAsia="Times New Roman"/>
          <w:szCs w:val="20"/>
          <w:lang w:val="hu-HU" w:eastAsia="en-GB"/>
        </w:rPr>
        <w:t>,</w:t>
      </w:r>
    </w:p>
    <w:p w14:paraId="4138D67F"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3C89963C"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05555C4F"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57"/>
      </w:r>
      <w:r w:rsidRPr="0025099E">
        <w:rPr>
          <w:rFonts w:eastAsia="Times New Roman"/>
          <w:szCs w:val="20"/>
          <w:lang w:val="hu-HU" w:eastAsia="en-GB"/>
        </w:rPr>
        <w:t xml:space="preserve"> és különösen annak 71. cikkére,</w:t>
      </w:r>
    </w:p>
    <w:p w14:paraId="36C2F461"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25099E">
        <w:rPr>
          <w:rFonts w:eastAsia="Times New Roman"/>
          <w:szCs w:val="20"/>
          <w:vertAlign w:val="superscript"/>
          <w:lang w:val="hu-HU" w:eastAsia="en-GB"/>
        </w:rPr>
        <w:footnoteReference w:id="58"/>
      </w:r>
      <w:r w:rsidRPr="0025099E">
        <w:rPr>
          <w:rFonts w:eastAsia="Times New Roman"/>
          <w:szCs w:val="20"/>
          <w:lang w:val="hu-HU" w:eastAsia="en-GB"/>
        </w:rPr>
        <w:t xml:space="preserve"> és különösen annak 71. cikkére, </w:t>
      </w:r>
    </w:p>
    <w:p w14:paraId="7025F11F"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nagy teljesítményű számítástechnikával foglalkozó közös vállalkozás létrehozásáról és az (EU) 2018/1488 rendelet hatályon kívül helyezéséről szóló, 2021. július 13-i (EU) 2021/1173 tanácsi rendeletre</w:t>
      </w:r>
      <w:r w:rsidRPr="0025099E">
        <w:rPr>
          <w:rFonts w:eastAsia="Times New Roman"/>
          <w:szCs w:val="20"/>
          <w:vertAlign w:val="superscript"/>
          <w:lang w:val="hu-HU" w:eastAsia="en-GB"/>
        </w:rPr>
        <w:footnoteReference w:id="59"/>
      </w:r>
      <w:r w:rsidRPr="0025099E">
        <w:rPr>
          <w:rFonts w:eastAsia="Times New Roman"/>
          <w:szCs w:val="20"/>
          <w:lang w:val="hu-HU" w:eastAsia="en-GB"/>
        </w:rPr>
        <w:t xml:space="preserve"> és különösen annak 19. cikkére,</w:t>
      </w:r>
    </w:p>
    <w:p w14:paraId="7AA021D4"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60"/>
      </w:r>
      <w:r w:rsidRPr="0025099E">
        <w:rPr>
          <w:rFonts w:eastAsia="Times New Roman"/>
          <w:szCs w:val="20"/>
          <w:lang w:val="hu-HU" w:eastAsia="en-GB"/>
        </w:rPr>
        <w:t>,</w:t>
      </w:r>
    </w:p>
    <w:p w14:paraId="6C3EADAF"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lastRenderedPageBreak/>
        <w:t>–</w:t>
      </w:r>
      <w:r w:rsidRPr="0025099E">
        <w:rPr>
          <w:rFonts w:eastAsia="Times New Roman"/>
          <w:szCs w:val="20"/>
          <w:lang w:val="hu-HU" w:eastAsia="en-GB"/>
        </w:rPr>
        <w:tab/>
        <w:t>tekintettel eljárási szabályzata 102. cikkére és V. mellékletére,</w:t>
      </w:r>
    </w:p>
    <w:p w14:paraId="3B9A1387"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20EBECC0"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15E638E6"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jóváhagyja az Európai Nagy Teljesítményű Számítástechnika Közös Vállalkozás 2023. évi pénzügyi évre vonatkozó elszámolásának lezárását;</w:t>
      </w:r>
    </w:p>
    <w:p w14:paraId="3C219D68" w14:textId="77777777" w:rsidR="004F308D" w:rsidRPr="0025099E" w:rsidRDefault="004F308D" w:rsidP="00887F03">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 xml:space="preserve">utasítja elnökét, hogy továbbítsa ezt a határozatot az Európai Nagy Teljesítményű Számítástechnika Közös Vállalkozás ügyvezető igazgatójának, a Tanácsnak, a Bizottságnak és a 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közzétételéről.</w:t>
      </w:r>
    </w:p>
    <w:p w14:paraId="6C400706"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4EAD7739" w14:textId="3DD83B37" w:rsidR="00DB6286" w:rsidRPr="0025099E" w:rsidRDefault="00DB6286" w:rsidP="0025099E">
      <w:pPr>
        <w:pStyle w:val="ATHeading3"/>
      </w:pPr>
      <w:r w:rsidRPr="0025099E">
        <w:lastRenderedPageBreak/>
        <w:t>11. Az Európai Parlament 2025. május 7-i határozata a Fúziósenergia-fejlesztési és ITER Európai Közös Vállalkozás 2023. évi pénzügyi évre szóló költségvetésének végrehajtására vonatkozó mentesítésről (2024/2031(DEC))</w:t>
      </w:r>
    </w:p>
    <w:p w14:paraId="7EEB2A74"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4EE7912F"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Fúziósenergia-fejlesztési és ITER Európai Közös Vállalkozás 2023. évi pénzügyi évre vonatkozó végleges éves beszámolójára,</w:t>
      </w:r>
    </w:p>
    <w:p w14:paraId="24B99FB4"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61"/>
      </w:r>
      <w:r w:rsidRPr="0025099E">
        <w:rPr>
          <w:rFonts w:eastAsia="Times New Roman"/>
          <w:szCs w:val="20"/>
          <w:lang w:val="hu-HU" w:eastAsia="en-GB"/>
        </w:rPr>
        <w:t>,</w:t>
      </w:r>
    </w:p>
    <w:p w14:paraId="003077E3"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62"/>
      </w:r>
      <w:r w:rsidRPr="0025099E">
        <w:rPr>
          <w:rFonts w:eastAsia="Times New Roman"/>
          <w:szCs w:val="20"/>
          <w:lang w:val="hu-HU" w:eastAsia="en-GB"/>
        </w:rPr>
        <w:t>,</w:t>
      </w:r>
    </w:p>
    <w:p w14:paraId="5E73FB7B"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22838A7C"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2B646F05"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Atomenergia-közösséget létrehozó szerződés 106a. cikkére,</w:t>
      </w:r>
    </w:p>
    <w:p w14:paraId="4703E098"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63"/>
      </w:r>
      <w:r w:rsidRPr="0025099E">
        <w:rPr>
          <w:rFonts w:eastAsia="Times New Roman"/>
          <w:szCs w:val="20"/>
          <w:lang w:val="hu-HU" w:eastAsia="en-GB"/>
        </w:rPr>
        <w:t xml:space="preserve"> és különösen annak 70. cikkére,</w:t>
      </w:r>
    </w:p>
    <w:p w14:paraId="7ACBEF85"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(EU, Euratom) 2024/2509 európai parlamenti és tanácsi rendeletre</w:t>
      </w:r>
      <w:r w:rsidRPr="0025099E">
        <w:rPr>
          <w:rFonts w:eastAsia="Times New Roman"/>
          <w:szCs w:val="20"/>
          <w:vertAlign w:val="superscript"/>
          <w:lang w:val="hu-HU" w:eastAsia="en-GB"/>
        </w:rPr>
        <w:footnoteReference w:id="64"/>
      </w:r>
      <w:r w:rsidRPr="0025099E">
        <w:rPr>
          <w:rFonts w:eastAsia="Times New Roman"/>
          <w:szCs w:val="20"/>
          <w:lang w:val="hu-HU" w:eastAsia="en-GB"/>
        </w:rPr>
        <w:t xml:space="preserve"> és különösen annak 70. cikkére, </w:t>
      </w:r>
    </w:p>
    <w:p w14:paraId="7CB0CC61"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Fúziósenergia-fejlesztési és ITER Európai Közös Vállalkozás létrehozásáról és részére kedvezmények nyújtásáról szóló, 2007. március 27-i 2007/198/Euratom tanácsi határozatra</w:t>
      </w:r>
      <w:r w:rsidRPr="0025099E">
        <w:rPr>
          <w:rFonts w:eastAsia="Times New Roman"/>
          <w:szCs w:val="20"/>
          <w:vertAlign w:val="superscript"/>
          <w:lang w:val="hu-HU" w:eastAsia="en-GB"/>
        </w:rPr>
        <w:footnoteReference w:id="65"/>
      </w:r>
      <w:r w:rsidRPr="0025099E">
        <w:rPr>
          <w:rFonts w:eastAsia="Times New Roman"/>
          <w:szCs w:val="20"/>
          <w:lang w:val="hu-HU" w:eastAsia="en-GB"/>
        </w:rPr>
        <w:t xml:space="preserve"> és különösen annak 5. cikkére,</w:t>
      </w:r>
    </w:p>
    <w:p w14:paraId="259DAA3D"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w:t>
      </w:r>
      <w:r w:rsidRPr="0025099E">
        <w:rPr>
          <w:rFonts w:eastAsia="Times New Roman"/>
          <w:szCs w:val="20"/>
          <w:lang w:val="hu-HU" w:eastAsia="en-GB"/>
        </w:rPr>
        <w:lastRenderedPageBreak/>
        <w:t>rendelet 70. cikkében említett szervekre vonatkozó pénzügyi keretszabályzatról szóló, 2018. december 18-i (EU) 2019/715 felhatalmazáson alapuló bizottsági rendeletre</w:t>
      </w:r>
      <w:r w:rsidRPr="0025099E">
        <w:rPr>
          <w:rFonts w:eastAsia="Times New Roman"/>
          <w:szCs w:val="20"/>
          <w:vertAlign w:val="superscript"/>
          <w:lang w:val="hu-HU" w:eastAsia="en-GB"/>
        </w:rPr>
        <w:footnoteReference w:id="66"/>
      </w:r>
      <w:r w:rsidRPr="0025099E">
        <w:rPr>
          <w:rFonts w:eastAsia="Times New Roman"/>
          <w:szCs w:val="20"/>
          <w:lang w:val="hu-HU" w:eastAsia="en-GB"/>
        </w:rPr>
        <w:t>,</w:t>
      </w:r>
    </w:p>
    <w:p w14:paraId="2C98A986"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77AC3877"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24FF35AD"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6DBAFED8"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mentesítést ad a Fúziósenergia-fejlesztési és ITER Európai Közös Vállalkozás igazgatója számára a közös vállalkozás 2023. évi pénzügyi évre szóló költségvetésének végrehajtására vonatkozóan;</w:t>
      </w:r>
    </w:p>
    <w:p w14:paraId="39CF8BDF" w14:textId="77777777"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megjegyzéseit a mellékelt állásfoglalásban foglalja össze;</w:t>
      </w:r>
    </w:p>
    <w:p w14:paraId="6A35B6F6" w14:textId="69AAB538" w:rsidR="004F308D" w:rsidRPr="0025099E" w:rsidRDefault="004F308D" w:rsidP="006A3BAD">
      <w:pPr>
        <w:spacing w:after="240"/>
        <w:ind w:left="567" w:hanging="567"/>
        <w:jc w:val="left"/>
        <w:rPr>
          <w:rFonts w:eastAsia="Times New Roman"/>
          <w:szCs w:val="20"/>
          <w:lang w:val="hu-HU" w:eastAsia="en-GB"/>
        </w:rPr>
      </w:pPr>
      <w:r w:rsidRPr="0025099E">
        <w:rPr>
          <w:rFonts w:eastAsia="Times New Roman"/>
          <w:szCs w:val="20"/>
          <w:lang w:val="hu-HU" w:eastAsia="en-GB"/>
        </w:rPr>
        <w:t>3.</w:t>
      </w:r>
      <w:r w:rsidRPr="0025099E">
        <w:rPr>
          <w:rFonts w:eastAsia="Times New Roman"/>
          <w:szCs w:val="20"/>
          <w:lang w:val="hu-HU" w:eastAsia="en-GB"/>
        </w:rPr>
        <w:tab/>
        <w:t xml:space="preserve">utasítja elnökét, hogy továbbítsa ezt a határozatot, valamint az annak szerves részét képező állásfoglalást a Fúziósenergia-fejlesztési és ITER Európai Közös Vállalkozás igazgatójának, a Tanácsnak, a Bizottságnak és a </w:t>
      </w:r>
      <w:r w:rsidR="0025099E">
        <w:rPr>
          <w:rFonts w:eastAsia="Times New Roman"/>
          <w:szCs w:val="20"/>
          <w:lang w:val="hu-HU" w:eastAsia="en-GB"/>
        </w:rPr>
        <w:t xml:space="preserve">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közzétételükről.</w:t>
      </w:r>
    </w:p>
    <w:p w14:paraId="3892297F"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7694AF59" w14:textId="6469DDAC" w:rsidR="00DB6286" w:rsidRPr="0025099E" w:rsidRDefault="00DB6286" w:rsidP="0025099E">
      <w:pPr>
        <w:pStyle w:val="ATHeading3"/>
      </w:pPr>
      <w:r w:rsidRPr="0025099E">
        <w:lastRenderedPageBreak/>
        <w:t>12. Az Európai Parlament 2025. május 7-i határozata a Fúziósenergia-fejlesztési és ITER Európai Közös Vállalkozás 2023. évi pénzügyi évre vonatkozó elszámolása lezárásáról (2024/2031(DEC))</w:t>
      </w:r>
    </w:p>
    <w:p w14:paraId="2D5E0348"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100A15BF"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Fúziósenergia-fejlesztési és ITER Európai Közös Vállalkozás 2023. évi pénzügyi évre vonatkozó végleges éves beszámolójára,</w:t>
      </w:r>
    </w:p>
    <w:p w14:paraId="6DF0F01D"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67"/>
      </w:r>
      <w:r w:rsidRPr="0025099E">
        <w:rPr>
          <w:rFonts w:eastAsia="Times New Roman"/>
          <w:szCs w:val="20"/>
          <w:lang w:val="hu-HU" w:eastAsia="en-GB"/>
        </w:rPr>
        <w:t>,</w:t>
      </w:r>
    </w:p>
    <w:p w14:paraId="4F387D6C"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68"/>
      </w:r>
      <w:r w:rsidRPr="0025099E">
        <w:rPr>
          <w:rFonts w:eastAsia="Times New Roman"/>
          <w:szCs w:val="20"/>
          <w:lang w:val="hu-HU" w:eastAsia="en-GB"/>
        </w:rPr>
        <w:t>,</w:t>
      </w:r>
    </w:p>
    <w:p w14:paraId="45307FDC"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70A5FCC7"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2ADF40AD"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Atomenergia-közösséget létrehozó szerződés 106a. cikkére,</w:t>
      </w:r>
    </w:p>
    <w:p w14:paraId="51C0F35B"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69"/>
      </w:r>
      <w:r w:rsidRPr="0025099E">
        <w:rPr>
          <w:rFonts w:eastAsia="Times New Roman"/>
          <w:szCs w:val="20"/>
          <w:lang w:val="hu-HU" w:eastAsia="en-GB"/>
        </w:rPr>
        <w:t xml:space="preserve"> és különösen annak 70. cikkére,</w:t>
      </w:r>
    </w:p>
    <w:p w14:paraId="7244C0F9"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2024/2509/EU, Euratom európai parlament és tanácsi rendeletre</w:t>
      </w:r>
      <w:r w:rsidRPr="0025099E">
        <w:rPr>
          <w:rFonts w:eastAsia="Times New Roman"/>
          <w:szCs w:val="20"/>
          <w:vertAlign w:val="superscript"/>
          <w:lang w:val="hu-HU" w:eastAsia="en-GB"/>
        </w:rPr>
        <w:footnoteReference w:id="70"/>
      </w:r>
      <w:r w:rsidRPr="0025099E">
        <w:rPr>
          <w:rFonts w:eastAsia="Times New Roman"/>
          <w:szCs w:val="20"/>
          <w:lang w:val="hu-HU" w:eastAsia="en-GB"/>
        </w:rPr>
        <w:t xml:space="preserve"> és különösen annak 70. cikkére, </w:t>
      </w:r>
    </w:p>
    <w:p w14:paraId="52AC0545"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Fúziósenergia-fejlesztési és ITER Európai Közös Vállalkozás létrehozásáról és részére kedvezmények nyújtásáról szóló, 2007. március 27-i 2007/198/Euratom tanácsi határozatra</w:t>
      </w:r>
      <w:r w:rsidRPr="0025099E">
        <w:rPr>
          <w:rFonts w:eastAsia="Times New Roman"/>
          <w:szCs w:val="20"/>
          <w:vertAlign w:val="superscript"/>
          <w:lang w:val="hu-HU" w:eastAsia="en-GB"/>
        </w:rPr>
        <w:footnoteReference w:id="71"/>
      </w:r>
      <w:r w:rsidRPr="0025099E">
        <w:rPr>
          <w:rFonts w:eastAsia="Times New Roman"/>
          <w:szCs w:val="20"/>
          <w:lang w:val="hu-HU" w:eastAsia="en-GB"/>
        </w:rPr>
        <w:t xml:space="preserve"> és különösen annak 5. cikkére,</w:t>
      </w:r>
    </w:p>
    <w:p w14:paraId="2C5308CD"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Unió működéséről szóló szerződés és az Euratom-Szerződés keretében létrehozott és az (EU, Euratom) 2018/1046 európai parlamenti és tanácsi </w:t>
      </w:r>
      <w:r w:rsidRPr="0025099E">
        <w:rPr>
          <w:rFonts w:eastAsia="Times New Roman"/>
          <w:szCs w:val="20"/>
          <w:lang w:val="hu-HU" w:eastAsia="en-GB"/>
        </w:rPr>
        <w:lastRenderedPageBreak/>
        <w:t>rendelet 70. cikkében említett szervekre vonatkozó pénzügyi keretszabályzatról szóló, 2018. december 18-i (EU) 2019/715 felhatalmazáson alapuló bizottsági rendeletre</w:t>
      </w:r>
      <w:r w:rsidRPr="0025099E">
        <w:rPr>
          <w:rFonts w:eastAsia="Times New Roman"/>
          <w:szCs w:val="20"/>
          <w:vertAlign w:val="superscript"/>
          <w:lang w:val="hu-HU" w:eastAsia="en-GB"/>
        </w:rPr>
        <w:footnoteReference w:id="72"/>
      </w:r>
      <w:r w:rsidRPr="0025099E">
        <w:rPr>
          <w:rFonts w:eastAsia="Times New Roman"/>
          <w:szCs w:val="20"/>
          <w:lang w:val="hu-HU" w:eastAsia="en-GB"/>
        </w:rPr>
        <w:t>,</w:t>
      </w:r>
    </w:p>
    <w:p w14:paraId="0885670F"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00CF61FA"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2EEE57CA"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08AA9B0E" w14:textId="77777777"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jóváhagyja a Fúziósenergia-fejlesztési és ITER Európai Közös Vállalkozás 2023-es pénzügyi évre szóló elszámolása lezárását;</w:t>
      </w:r>
    </w:p>
    <w:p w14:paraId="140B2FAF" w14:textId="26BBF0CD" w:rsidR="004F308D" w:rsidRPr="0025099E" w:rsidRDefault="004F308D" w:rsidP="0079594E">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 xml:space="preserve">utasítja elnökét, hogy továbbítsa ezt a határozatot a Fúziósenergia-fejlesztési és ITER Európai Közös Vállalkozás igazgatójának, a Tanácsnak, a Bizottságnak és a </w:t>
      </w:r>
      <w:r w:rsidR="0025099E">
        <w:rPr>
          <w:rFonts w:eastAsia="Times New Roman"/>
          <w:szCs w:val="20"/>
          <w:lang w:val="hu-HU" w:eastAsia="en-GB"/>
        </w:rPr>
        <w:t xml:space="preserve">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közzétételéről.</w:t>
      </w:r>
    </w:p>
    <w:p w14:paraId="7B536116"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48910DE7" w14:textId="41706477" w:rsidR="00DB6286" w:rsidRPr="0025099E" w:rsidRDefault="00DB6286" w:rsidP="0025099E">
      <w:pPr>
        <w:pStyle w:val="ATHeading3"/>
      </w:pPr>
      <w:r w:rsidRPr="0025099E">
        <w:lastRenderedPageBreak/>
        <w:t>13. Az Európai Parlament 2025. május 7-i határozata a Globális Egészségügyi EDCTP3 Közös Vállalkozás 2023. évi pénzügyi évre szóló költségvetésének végrehajtására vonatkozó mentesítésről (2024/2031(DEC))</w:t>
      </w:r>
    </w:p>
    <w:p w14:paraId="53B2B390"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5D007146"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Globális Egészségügyi EDCTP3 Közös Vállalkozás 2023. évi pénzügyi évre vonatkozó végleges éves beszámolójára,</w:t>
      </w:r>
    </w:p>
    <w:p w14:paraId="75067F17"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73"/>
      </w:r>
      <w:r w:rsidRPr="0025099E">
        <w:rPr>
          <w:rFonts w:eastAsia="Times New Roman"/>
          <w:szCs w:val="20"/>
          <w:lang w:val="hu-HU" w:eastAsia="en-GB"/>
        </w:rPr>
        <w:t>,</w:t>
      </w:r>
    </w:p>
    <w:p w14:paraId="15468E71"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74"/>
      </w:r>
      <w:r w:rsidRPr="0025099E">
        <w:rPr>
          <w:rFonts w:eastAsia="Times New Roman"/>
          <w:szCs w:val="20"/>
          <w:lang w:val="hu-HU" w:eastAsia="en-GB"/>
        </w:rPr>
        <w:t>,</w:t>
      </w:r>
    </w:p>
    <w:p w14:paraId="4ED34CE8"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1B3A418A"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24F11C22"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75"/>
      </w:r>
      <w:r w:rsidRPr="0025099E">
        <w:rPr>
          <w:rFonts w:eastAsia="Times New Roman"/>
          <w:szCs w:val="20"/>
          <w:lang w:val="hu-HU" w:eastAsia="en-GB"/>
        </w:rPr>
        <w:t xml:space="preserve"> és különösen annak 71. cikkére,</w:t>
      </w:r>
    </w:p>
    <w:p w14:paraId="50D10563"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76"/>
      </w:r>
      <w:r w:rsidRPr="0025099E">
        <w:rPr>
          <w:rFonts w:eastAsia="Times New Roman"/>
          <w:szCs w:val="20"/>
          <w:lang w:val="hu-HU" w:eastAsia="en-GB"/>
        </w:rPr>
        <w:t xml:space="preserve"> és különösen annak 71. cikkére, </w:t>
      </w:r>
    </w:p>
    <w:p w14:paraId="7DC89A47"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77"/>
      </w:r>
      <w:r w:rsidRPr="0025099E">
        <w:rPr>
          <w:rFonts w:eastAsia="Times New Roman"/>
          <w:szCs w:val="20"/>
          <w:lang w:val="hu-HU" w:eastAsia="en-GB"/>
        </w:rPr>
        <w:t xml:space="preserve"> és különösen annak 26. cikkére,</w:t>
      </w:r>
    </w:p>
    <w:p w14:paraId="13D3848A"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78"/>
      </w:r>
      <w:r w:rsidRPr="0025099E">
        <w:rPr>
          <w:rFonts w:eastAsia="Times New Roman"/>
          <w:szCs w:val="20"/>
          <w:lang w:val="hu-HU" w:eastAsia="en-GB"/>
        </w:rPr>
        <w:t>,</w:t>
      </w:r>
    </w:p>
    <w:p w14:paraId="34906798"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22E2F44F"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77C3361D"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16FFF850"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mentesítést ad a Globális Egészségügyi EDCTP3 Közös Vállalkozás ügyvezető igazgatója számára a közös vállalkozás 2023. évi pénzügyi évre szóló költségvetésének végrehajtására vonatkozóan;</w:t>
      </w:r>
    </w:p>
    <w:p w14:paraId="74E5DF9D"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megjegyzéseit a mellékelt állásfoglalásban foglalja össze;</w:t>
      </w:r>
    </w:p>
    <w:p w14:paraId="31C07FF9" w14:textId="77777777" w:rsidR="004F308D" w:rsidRPr="0025099E" w:rsidRDefault="004F308D" w:rsidP="00956A3D">
      <w:pPr>
        <w:spacing w:after="240"/>
        <w:ind w:left="567" w:hanging="567"/>
        <w:jc w:val="left"/>
        <w:rPr>
          <w:rFonts w:eastAsia="Times New Roman"/>
          <w:szCs w:val="20"/>
          <w:lang w:val="hu-HU" w:eastAsia="en-GB"/>
        </w:rPr>
      </w:pPr>
      <w:r w:rsidRPr="0025099E">
        <w:rPr>
          <w:rFonts w:eastAsia="Times New Roman"/>
          <w:szCs w:val="20"/>
          <w:lang w:val="hu-HU" w:eastAsia="en-GB"/>
        </w:rPr>
        <w:t>3.</w:t>
      </w:r>
      <w:r w:rsidRPr="0025099E">
        <w:rPr>
          <w:rFonts w:eastAsia="Times New Roman"/>
          <w:szCs w:val="20"/>
          <w:lang w:val="hu-HU" w:eastAsia="en-GB"/>
        </w:rPr>
        <w:tab/>
        <w:t xml:space="preserve">utasítja elnökét, hogy továbbítsa ezt a határozatot, valamint az annak szerves részét képező állásfoglalást a Globális Egészségügyi EDCTP3 Közös Vállalkozás ügyvezető igazgatójának, a Tanácsnak, a Bizottságnak és a Számvevőszéknek, és gondoskodjon az </w:t>
      </w:r>
      <w:r w:rsidRPr="0025099E">
        <w:rPr>
          <w:rFonts w:eastAsia="Times New Roman"/>
          <w:i/>
          <w:iCs/>
          <w:szCs w:val="20"/>
          <w:lang w:val="hu-HU" w:eastAsia="en-GB"/>
        </w:rPr>
        <w:t>Európai Unió Hivatalos Lapjában</w:t>
      </w:r>
      <w:r w:rsidRPr="0025099E">
        <w:rPr>
          <w:rFonts w:eastAsia="Times New Roman"/>
          <w:szCs w:val="20"/>
          <w:lang w:val="hu-HU" w:eastAsia="en-GB"/>
        </w:rPr>
        <w:t xml:space="preserve"> (L sorozat) való közzétételükről.</w:t>
      </w:r>
    </w:p>
    <w:p w14:paraId="7EAE6AEC"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6A1EC594" w14:textId="38D4F7F1" w:rsidR="00DB6286" w:rsidRPr="0025099E" w:rsidRDefault="00DB6286" w:rsidP="0025099E">
      <w:pPr>
        <w:pStyle w:val="ATHeading3"/>
      </w:pPr>
      <w:r w:rsidRPr="0025099E">
        <w:lastRenderedPageBreak/>
        <w:t>14. Az Európai Parlament 2025. május 7-i határozata a Globális Egészségügyi EDCTP3 Közös Vállalkozás 2023. évi pénzügyi évre vonatkozó elszámolásának lezárásáról (2024/2031(DEC))</w:t>
      </w:r>
    </w:p>
    <w:p w14:paraId="65650F29"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0F3E7B4E"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Globális Egészségügyi EDCTP3 Közös Vállalkozás 2023. évi pénzügyi évre vonatkozó végleges éves beszámolójára,</w:t>
      </w:r>
    </w:p>
    <w:p w14:paraId="6B0D0E8A"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79"/>
      </w:r>
      <w:r w:rsidRPr="0025099E">
        <w:rPr>
          <w:rFonts w:eastAsia="Times New Roman"/>
          <w:szCs w:val="20"/>
          <w:lang w:val="hu-HU" w:eastAsia="en-GB"/>
        </w:rPr>
        <w:t>,</w:t>
      </w:r>
    </w:p>
    <w:p w14:paraId="6EF3AE9A"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80"/>
      </w:r>
      <w:r w:rsidRPr="0025099E">
        <w:rPr>
          <w:rFonts w:eastAsia="Times New Roman"/>
          <w:szCs w:val="20"/>
          <w:lang w:val="hu-HU" w:eastAsia="en-GB"/>
        </w:rPr>
        <w:t>,</w:t>
      </w:r>
    </w:p>
    <w:p w14:paraId="157E4E7F"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29961E0D"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7F0BB03C"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81"/>
      </w:r>
      <w:r w:rsidRPr="0025099E">
        <w:rPr>
          <w:rFonts w:eastAsia="Times New Roman"/>
          <w:szCs w:val="20"/>
          <w:lang w:val="hu-HU" w:eastAsia="en-GB"/>
        </w:rPr>
        <w:t xml:space="preserve"> és különösen annak 71. cikkére,</w:t>
      </w:r>
    </w:p>
    <w:p w14:paraId="7E74F3FD"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82"/>
      </w:r>
      <w:r w:rsidRPr="0025099E">
        <w:rPr>
          <w:rFonts w:eastAsia="Times New Roman"/>
          <w:szCs w:val="20"/>
          <w:lang w:val="hu-HU" w:eastAsia="en-GB"/>
        </w:rPr>
        <w:t xml:space="preserve"> és különösen annak 71. cikkére, </w:t>
      </w:r>
    </w:p>
    <w:p w14:paraId="67C13D66"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83"/>
      </w:r>
      <w:r w:rsidRPr="0025099E">
        <w:rPr>
          <w:rFonts w:eastAsia="Times New Roman"/>
          <w:szCs w:val="20"/>
          <w:lang w:val="hu-HU" w:eastAsia="en-GB"/>
        </w:rPr>
        <w:t xml:space="preserve"> és különösen annak 26. cikkére,</w:t>
      </w:r>
    </w:p>
    <w:p w14:paraId="7B5D6212"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84"/>
      </w:r>
      <w:r w:rsidRPr="0025099E">
        <w:rPr>
          <w:rFonts w:eastAsia="Times New Roman"/>
          <w:szCs w:val="20"/>
          <w:lang w:val="hu-HU" w:eastAsia="en-GB"/>
        </w:rPr>
        <w:t>,</w:t>
      </w:r>
    </w:p>
    <w:p w14:paraId="48883B95"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2D62A476"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3C4C1AD5"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4EAE40A9"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jóváhagyja a Globális Egészségügyi EDCTP3 Közös Vállalkozás 2023. évi pénzügyi évre vonatkozó elszámolásának lezárását;</w:t>
      </w:r>
    </w:p>
    <w:p w14:paraId="0DF360B9" w14:textId="77777777" w:rsidR="004F308D" w:rsidRPr="0025099E" w:rsidRDefault="004F308D" w:rsidP="00C5581F">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 xml:space="preserve">utasítja elnökét, hogy továbbítsa ezt a határozatot a Globális Egészségügyi EDCTP3 Közös Vállalkozás ügyvezető igazgatójának, a Tanácsnak, a Bizottságnak és a 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közzétételéről.</w:t>
      </w:r>
    </w:p>
    <w:p w14:paraId="1D07E795"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5246B127" w14:textId="44CC3CF7" w:rsidR="00DB6286" w:rsidRPr="0025099E" w:rsidRDefault="00DB6286" w:rsidP="0025099E">
      <w:pPr>
        <w:pStyle w:val="ATHeading3"/>
      </w:pPr>
      <w:r w:rsidRPr="0025099E">
        <w:lastRenderedPageBreak/>
        <w:t>15. Az Európai Parlament 2025. május 7-i határozata az Innovatív Egészségügy Közös Vállalkozás 2023. évi pénzügyi évre szóló költségvetésének végrehajtására vonatkozó mentesítésről (2024/2031(DEC))</w:t>
      </w:r>
    </w:p>
    <w:p w14:paraId="5F234EFD"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43C0C8F3"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Innovatív Egészségügy Közös Vállalkozás 2023. évi pénzügyi évre szóló végleges éves beszámolójára,</w:t>
      </w:r>
    </w:p>
    <w:p w14:paraId="55E9E226"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85"/>
      </w:r>
      <w:r w:rsidRPr="0025099E">
        <w:rPr>
          <w:rFonts w:eastAsia="Times New Roman"/>
          <w:szCs w:val="20"/>
          <w:lang w:val="hu-HU" w:eastAsia="en-GB"/>
        </w:rPr>
        <w:t>,</w:t>
      </w:r>
    </w:p>
    <w:p w14:paraId="0895BDC6"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86"/>
      </w:r>
      <w:r w:rsidRPr="0025099E">
        <w:rPr>
          <w:rFonts w:eastAsia="Times New Roman"/>
          <w:szCs w:val="20"/>
          <w:lang w:val="hu-HU" w:eastAsia="en-GB"/>
        </w:rPr>
        <w:t>,</w:t>
      </w:r>
    </w:p>
    <w:p w14:paraId="739E12F8"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124A9D39"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537E4130"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87"/>
      </w:r>
      <w:r w:rsidRPr="0025099E">
        <w:rPr>
          <w:rFonts w:eastAsia="Times New Roman"/>
          <w:szCs w:val="20"/>
          <w:lang w:val="hu-HU" w:eastAsia="en-GB"/>
        </w:rPr>
        <w:t xml:space="preserve"> és különösen annak 71. cikkére,</w:t>
      </w:r>
    </w:p>
    <w:p w14:paraId="2D97B218"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88"/>
      </w:r>
      <w:r w:rsidRPr="0025099E">
        <w:rPr>
          <w:rFonts w:eastAsia="Times New Roman"/>
          <w:szCs w:val="20"/>
          <w:lang w:val="hu-HU" w:eastAsia="en-GB"/>
        </w:rPr>
        <w:t xml:space="preserve"> és különösen annak 71. cikkére, </w:t>
      </w:r>
    </w:p>
    <w:p w14:paraId="2F980C86"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89"/>
      </w:r>
      <w:r w:rsidRPr="0025099E">
        <w:rPr>
          <w:rFonts w:eastAsia="Times New Roman"/>
          <w:szCs w:val="20"/>
          <w:lang w:val="hu-HU" w:eastAsia="en-GB"/>
        </w:rPr>
        <w:t xml:space="preserve"> és különösen annak 26. cikkére,</w:t>
      </w:r>
    </w:p>
    <w:p w14:paraId="7725474B"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90"/>
      </w:r>
      <w:r w:rsidRPr="0025099E">
        <w:rPr>
          <w:rFonts w:eastAsia="Times New Roman"/>
          <w:szCs w:val="20"/>
          <w:lang w:val="hu-HU" w:eastAsia="en-GB"/>
        </w:rPr>
        <w:t>,</w:t>
      </w:r>
    </w:p>
    <w:p w14:paraId="6C2D078C"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16877714"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65EFFF6C"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4326C52D"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mentesítést ad az Innovatív Egészségügy Közös Vállalkozás ügyvezető igazgatója számára a közös vállalkozás 2023. évi pénzügyi évre szóló költségvetésének végrehajtására vonatkozóan;</w:t>
      </w:r>
    </w:p>
    <w:p w14:paraId="41671B40"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megjegyzéseit a mellékelt állásfoglalásban foglalja össze;</w:t>
      </w:r>
    </w:p>
    <w:p w14:paraId="2B8D402A" w14:textId="77777777" w:rsidR="004F308D" w:rsidRPr="0025099E" w:rsidRDefault="004F308D" w:rsidP="00D611EA">
      <w:pPr>
        <w:spacing w:after="240"/>
        <w:ind w:left="567" w:hanging="567"/>
        <w:jc w:val="left"/>
        <w:rPr>
          <w:rFonts w:eastAsia="Times New Roman"/>
          <w:szCs w:val="20"/>
          <w:lang w:val="hu-HU" w:eastAsia="en-GB"/>
        </w:rPr>
      </w:pPr>
      <w:r w:rsidRPr="0025099E">
        <w:rPr>
          <w:rFonts w:eastAsia="Times New Roman"/>
          <w:szCs w:val="20"/>
          <w:lang w:val="hu-HU" w:eastAsia="en-GB"/>
        </w:rPr>
        <w:t>3.</w:t>
      </w:r>
      <w:r w:rsidRPr="0025099E">
        <w:rPr>
          <w:rFonts w:eastAsia="Times New Roman"/>
          <w:szCs w:val="20"/>
          <w:lang w:val="hu-HU" w:eastAsia="en-GB"/>
        </w:rPr>
        <w:tab/>
        <w:t xml:space="preserve">utasítja elnökét, hogy továbbítsa ezt a határozatot, valamint az annak szerves részét képező állásfoglalást az Innovatív Egészségügy Közös Vállalkozás ügyvezető igazgatójának, a Tanácsnak, a Bizottságnak és a 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közzétételükről.</w:t>
      </w:r>
    </w:p>
    <w:p w14:paraId="5EC03208"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3CE63A93" w14:textId="56BB2D51" w:rsidR="00DB6286" w:rsidRPr="0025099E" w:rsidRDefault="00DB6286" w:rsidP="0025099E">
      <w:pPr>
        <w:pStyle w:val="ATHeading3"/>
      </w:pPr>
      <w:r w:rsidRPr="0025099E">
        <w:lastRenderedPageBreak/>
        <w:t>16. Az Európai Parlament 2025. május 7-i határozata az Innovatív Egészségügy Közös Vállalkozás 2023. évi pénzügyi évre vonatkozó elszámolásának lezárásáról (2024/2031(DEC))</w:t>
      </w:r>
    </w:p>
    <w:p w14:paraId="4F8FA1D0"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49CC2766"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Innovatív Egészségügy Közös Vállalkozás 2023. évi pénzügyi évre szóló végleges éves beszámolójára,</w:t>
      </w:r>
    </w:p>
    <w:p w14:paraId="381052F4"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91"/>
      </w:r>
      <w:r w:rsidRPr="0025099E">
        <w:rPr>
          <w:rFonts w:eastAsia="Times New Roman"/>
          <w:szCs w:val="20"/>
          <w:lang w:val="hu-HU" w:eastAsia="en-GB"/>
        </w:rPr>
        <w:t>,</w:t>
      </w:r>
    </w:p>
    <w:p w14:paraId="654B232B"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92"/>
      </w:r>
      <w:r w:rsidRPr="0025099E">
        <w:rPr>
          <w:rFonts w:eastAsia="Times New Roman"/>
          <w:szCs w:val="20"/>
          <w:lang w:val="hu-HU" w:eastAsia="en-GB"/>
        </w:rPr>
        <w:t>,</w:t>
      </w:r>
    </w:p>
    <w:p w14:paraId="0E91223C"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70DB03B4"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1D29FB2A"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93"/>
      </w:r>
      <w:r w:rsidRPr="0025099E">
        <w:rPr>
          <w:rFonts w:eastAsia="Times New Roman"/>
          <w:szCs w:val="20"/>
          <w:lang w:val="hu-HU" w:eastAsia="en-GB"/>
        </w:rPr>
        <w:t xml:space="preserve"> és különösen annak 71. cikkére,</w:t>
      </w:r>
    </w:p>
    <w:p w14:paraId="6E954DF3"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94"/>
      </w:r>
      <w:r w:rsidRPr="0025099E">
        <w:rPr>
          <w:rFonts w:eastAsia="Times New Roman"/>
          <w:szCs w:val="20"/>
          <w:lang w:val="hu-HU" w:eastAsia="en-GB"/>
        </w:rPr>
        <w:t xml:space="preserve"> és különösen annak 71. cikkére, </w:t>
      </w:r>
    </w:p>
    <w:p w14:paraId="70DC5F5B"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95"/>
      </w:r>
      <w:r w:rsidRPr="0025099E">
        <w:rPr>
          <w:rFonts w:eastAsia="Times New Roman"/>
          <w:szCs w:val="20"/>
          <w:lang w:val="hu-HU" w:eastAsia="en-GB"/>
        </w:rPr>
        <w:t xml:space="preserve"> és különösen annak 26. cikkére,</w:t>
      </w:r>
    </w:p>
    <w:p w14:paraId="51431E78"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96"/>
      </w:r>
      <w:r w:rsidRPr="0025099E">
        <w:rPr>
          <w:rFonts w:eastAsia="Times New Roman"/>
          <w:szCs w:val="20"/>
          <w:lang w:val="hu-HU" w:eastAsia="en-GB"/>
        </w:rPr>
        <w:t>,</w:t>
      </w:r>
    </w:p>
    <w:p w14:paraId="16F4B78A"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4531E9B9"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26E027B7"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0060523A"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jóváhagyja az Innovatív Egészségügy Közös Vállalkozás 2023. évi pénzügyi évre szóló elszámolásának lezárását;</w:t>
      </w:r>
    </w:p>
    <w:p w14:paraId="0A3F3E22" w14:textId="77777777" w:rsidR="004F308D" w:rsidRPr="0025099E" w:rsidRDefault="004F308D" w:rsidP="00693A07">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 xml:space="preserve">utasítja elnökét, hogy továbbítsa ezt a határozatot az Innovatív Egészségügy Közös Vállalkozás ügyvezető igazgatójának, a Tanácsnak, a Bizottságnak és a 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közzétételéről.</w:t>
      </w:r>
    </w:p>
    <w:p w14:paraId="42F173BC"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52B5D986" w14:textId="5F4A5F52" w:rsidR="00DB6286" w:rsidRPr="0025099E" w:rsidRDefault="00DB6286" w:rsidP="0025099E">
      <w:pPr>
        <w:pStyle w:val="ATHeading3"/>
      </w:pPr>
      <w:r w:rsidRPr="0025099E">
        <w:lastRenderedPageBreak/>
        <w:t xml:space="preserve">17. Az Európai Parlament 2025. május 7-i határozata a </w:t>
      </w:r>
      <w:proofErr w:type="spellStart"/>
      <w:r w:rsidRPr="0025099E">
        <w:t>Csipekkel</w:t>
      </w:r>
      <w:proofErr w:type="spellEnd"/>
      <w:r w:rsidRPr="0025099E">
        <w:t xml:space="preserve"> Foglalkozó Közös Vállalkozás (2023. szeptember 21. előtt: Kulcsfontosságú Digitális Technológiák Közös Vállalkozás) 2023. évi pénzügyi évre szóló költségvetésének végrehajtására vonatkozó mentesítésről (2024/2031(DEC))</w:t>
      </w:r>
    </w:p>
    <w:p w14:paraId="09ACDF23"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10E89B3B"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2023. évi pénzügyi évre vonatkozó végleges éves beszámolójára,</w:t>
      </w:r>
    </w:p>
    <w:p w14:paraId="4697D603"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97"/>
      </w:r>
      <w:r w:rsidRPr="0025099E">
        <w:rPr>
          <w:rFonts w:eastAsia="Times New Roman"/>
          <w:szCs w:val="20"/>
          <w:lang w:val="hu-HU" w:eastAsia="en-GB"/>
        </w:rPr>
        <w:t>,</w:t>
      </w:r>
    </w:p>
    <w:p w14:paraId="49FA180B"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98"/>
      </w:r>
      <w:r w:rsidRPr="0025099E">
        <w:rPr>
          <w:rFonts w:eastAsia="Times New Roman"/>
          <w:szCs w:val="20"/>
          <w:lang w:val="hu-HU" w:eastAsia="en-GB"/>
        </w:rPr>
        <w:t>,</w:t>
      </w:r>
    </w:p>
    <w:p w14:paraId="1A792781"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34ED3A9C"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0BEE35BC"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99"/>
      </w:r>
      <w:r w:rsidRPr="0025099E">
        <w:rPr>
          <w:rFonts w:eastAsia="Times New Roman"/>
          <w:szCs w:val="20"/>
          <w:lang w:val="hu-HU" w:eastAsia="en-GB"/>
        </w:rPr>
        <w:t xml:space="preserve"> és különösen annak 71. cikkére,</w:t>
      </w:r>
    </w:p>
    <w:p w14:paraId="4C903694"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2024/2509/EU, Euratom európai parlament és tanácsi rendeletre</w:t>
      </w:r>
      <w:r w:rsidRPr="0025099E">
        <w:rPr>
          <w:rFonts w:eastAsia="Times New Roman"/>
          <w:szCs w:val="20"/>
          <w:vertAlign w:val="superscript"/>
          <w:lang w:val="hu-HU" w:eastAsia="en-GB"/>
        </w:rPr>
        <w:footnoteReference w:id="100"/>
      </w:r>
      <w:r w:rsidRPr="0025099E">
        <w:rPr>
          <w:rFonts w:eastAsia="Times New Roman"/>
          <w:szCs w:val="20"/>
          <w:lang w:val="hu-HU" w:eastAsia="en-GB"/>
        </w:rPr>
        <w:t xml:space="preserve"> és különösen annak 71. cikkére, </w:t>
      </w:r>
    </w:p>
    <w:p w14:paraId="538A97F8"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101"/>
      </w:r>
      <w:r w:rsidRPr="0025099E">
        <w:rPr>
          <w:rFonts w:eastAsia="Times New Roman"/>
          <w:szCs w:val="20"/>
          <w:lang w:val="hu-HU" w:eastAsia="en-GB"/>
        </w:rPr>
        <w:t xml:space="preserve"> és különösen annak 26. cikkére,</w:t>
      </w:r>
    </w:p>
    <w:p w14:paraId="06F4D486"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 közös vállalkozásoknak a Horizont Európa keretében történő létrehozásáról szóló (EU) 2021/2085 rendeletnek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w:t>
      </w:r>
      <w:r w:rsidRPr="0025099E">
        <w:rPr>
          <w:rFonts w:eastAsia="Times New Roman"/>
          <w:szCs w:val="20"/>
          <w:lang w:val="hu-HU" w:eastAsia="en-GB"/>
        </w:rPr>
        <w:lastRenderedPageBreak/>
        <w:t>tekintetében történő módosításáról szóló, 2023. július 25-i (EU) 2023/1782 tanácsi rendeletre</w:t>
      </w:r>
      <w:r w:rsidRPr="0025099E">
        <w:rPr>
          <w:rStyle w:val="FootnoteReference"/>
          <w:rFonts w:eastAsia="Times New Roman"/>
          <w:szCs w:val="20"/>
          <w:lang w:val="hu-HU" w:eastAsia="en-GB"/>
        </w:rPr>
        <w:footnoteReference w:id="102"/>
      </w:r>
      <w:r w:rsidRPr="0025099E">
        <w:rPr>
          <w:rFonts w:eastAsia="Times New Roman"/>
          <w:szCs w:val="20"/>
          <w:lang w:val="hu-HU" w:eastAsia="en-GB"/>
        </w:rPr>
        <w:t>,</w:t>
      </w:r>
    </w:p>
    <w:p w14:paraId="7989BA78"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103"/>
      </w:r>
      <w:r w:rsidRPr="0025099E">
        <w:rPr>
          <w:rFonts w:eastAsia="Times New Roman"/>
          <w:szCs w:val="20"/>
          <w:lang w:val="hu-HU" w:eastAsia="en-GB"/>
        </w:rPr>
        <w:t>,</w:t>
      </w:r>
    </w:p>
    <w:p w14:paraId="33C38ABA"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6FADC23B"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78014844"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643E5C33"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 xml:space="preserve">mentesítést ad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ügyvezető igazgatója számára a közös vállalkozás 2023. évi pénzügyi évre szóló költségvetésének végrehajtására vonatkozóan;</w:t>
      </w:r>
    </w:p>
    <w:p w14:paraId="47640856"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megjegyzéseit a mellékelt állásfoglalásban foglalja össze;</w:t>
      </w:r>
    </w:p>
    <w:p w14:paraId="63A0B617" w14:textId="77777777" w:rsidR="004F308D" w:rsidRPr="0025099E" w:rsidRDefault="004F308D" w:rsidP="00C25606">
      <w:pPr>
        <w:spacing w:after="240"/>
        <w:ind w:left="567" w:hanging="567"/>
        <w:jc w:val="left"/>
        <w:rPr>
          <w:rFonts w:eastAsia="Times New Roman"/>
          <w:szCs w:val="20"/>
          <w:lang w:val="hu-HU" w:eastAsia="en-GB"/>
        </w:rPr>
      </w:pPr>
      <w:r w:rsidRPr="0025099E">
        <w:rPr>
          <w:rFonts w:eastAsia="Times New Roman"/>
          <w:szCs w:val="20"/>
          <w:lang w:val="hu-HU" w:eastAsia="en-GB"/>
        </w:rPr>
        <w:t>3.</w:t>
      </w:r>
      <w:r w:rsidRPr="0025099E">
        <w:rPr>
          <w:rFonts w:eastAsia="Times New Roman"/>
          <w:szCs w:val="20"/>
          <w:lang w:val="hu-HU" w:eastAsia="en-GB"/>
        </w:rPr>
        <w:tab/>
        <w:t xml:space="preserve">utasítja elnökét, hogy továbbítsa ezt a határozatot, valamint az annak szerves részét képező állásfoglalást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ügyvezető igazgatójának, a Tanácsnak, a Bizottságnak és a 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közzétételükről.</w:t>
      </w:r>
    </w:p>
    <w:p w14:paraId="1620B7DA"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0935D441" w14:textId="565209FE" w:rsidR="00DB6286" w:rsidRPr="0025099E" w:rsidRDefault="00DB6286" w:rsidP="0025099E">
      <w:pPr>
        <w:pStyle w:val="ATHeading3"/>
      </w:pPr>
      <w:r w:rsidRPr="0025099E">
        <w:lastRenderedPageBreak/>
        <w:t xml:space="preserve">18. Az Európai Parlament 2025. május 7-i határozata a </w:t>
      </w:r>
      <w:proofErr w:type="spellStart"/>
      <w:r w:rsidRPr="0025099E">
        <w:t>Csipekkel</w:t>
      </w:r>
      <w:proofErr w:type="spellEnd"/>
      <w:r w:rsidRPr="0025099E">
        <w:t xml:space="preserve"> Foglalkozó Közös Vállalkozás (2023. szeptember 21. előtt: Kulcsfontosságú Digitális Technológiák Közös Vállalkozás) 2023. évi pénzügyi évre vonatkozó elszámolása lezárásáról (2024/2031(DEC))</w:t>
      </w:r>
    </w:p>
    <w:p w14:paraId="2DF22C18"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04038512"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2023. évi pénzügyi évre vonatkozó végleges éves beszámolójára,</w:t>
      </w:r>
    </w:p>
    <w:p w14:paraId="1614A868"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104"/>
      </w:r>
      <w:r w:rsidRPr="0025099E">
        <w:rPr>
          <w:rFonts w:eastAsia="Times New Roman"/>
          <w:szCs w:val="20"/>
          <w:lang w:val="hu-HU" w:eastAsia="en-GB"/>
        </w:rPr>
        <w:t>,</w:t>
      </w:r>
    </w:p>
    <w:p w14:paraId="318D5F58"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105"/>
      </w:r>
      <w:r w:rsidRPr="0025099E">
        <w:rPr>
          <w:rFonts w:eastAsia="Times New Roman"/>
          <w:szCs w:val="20"/>
          <w:lang w:val="hu-HU" w:eastAsia="en-GB"/>
        </w:rPr>
        <w:t>,</w:t>
      </w:r>
    </w:p>
    <w:p w14:paraId="178F8A57"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78BAD723"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32DC4803"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106"/>
      </w:r>
      <w:r w:rsidRPr="0025099E">
        <w:rPr>
          <w:rFonts w:eastAsia="Times New Roman"/>
          <w:szCs w:val="20"/>
          <w:lang w:val="hu-HU" w:eastAsia="en-GB"/>
        </w:rPr>
        <w:t xml:space="preserve"> és különösen annak 71. cikkére,</w:t>
      </w:r>
    </w:p>
    <w:p w14:paraId="47C35CF4"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2024/2509/EU, Euratom európai parlament és tanácsi rendeletre</w:t>
      </w:r>
      <w:r w:rsidRPr="0025099E">
        <w:rPr>
          <w:rFonts w:eastAsia="Times New Roman"/>
          <w:szCs w:val="20"/>
          <w:vertAlign w:val="superscript"/>
          <w:lang w:val="hu-HU" w:eastAsia="en-GB"/>
        </w:rPr>
        <w:footnoteReference w:id="107"/>
      </w:r>
      <w:r w:rsidRPr="0025099E">
        <w:rPr>
          <w:rFonts w:eastAsia="Times New Roman"/>
          <w:szCs w:val="20"/>
          <w:lang w:val="hu-HU" w:eastAsia="en-GB"/>
        </w:rPr>
        <w:t xml:space="preserve"> és különösen annak 71. cikkére, </w:t>
      </w:r>
    </w:p>
    <w:p w14:paraId="2CD1C985"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108"/>
      </w:r>
      <w:r w:rsidRPr="0025099E">
        <w:rPr>
          <w:rFonts w:eastAsia="Times New Roman"/>
          <w:szCs w:val="20"/>
          <w:lang w:val="hu-HU" w:eastAsia="en-GB"/>
        </w:rPr>
        <w:t xml:space="preserve"> és különösen annak 26. cikkére,</w:t>
      </w:r>
    </w:p>
    <w:p w14:paraId="072CB4BC"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 közös vállalkozásoknak a Horizont Európa keretében történő létrehozásáról szóló (EU) 2021/2085 rendeletnek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w:t>
      </w:r>
      <w:r w:rsidRPr="0025099E">
        <w:rPr>
          <w:rFonts w:eastAsia="Times New Roman"/>
          <w:szCs w:val="20"/>
          <w:lang w:val="hu-HU" w:eastAsia="en-GB"/>
        </w:rPr>
        <w:lastRenderedPageBreak/>
        <w:t>tekintetében történő módosításáról szóló, 2023. július 25-i (EU) 2023/1782 tanácsi rendeletre</w:t>
      </w:r>
      <w:r w:rsidRPr="0025099E">
        <w:rPr>
          <w:rStyle w:val="FootnoteReference"/>
          <w:rFonts w:eastAsia="Times New Roman"/>
          <w:szCs w:val="20"/>
          <w:lang w:val="hu-HU" w:eastAsia="en-GB"/>
        </w:rPr>
        <w:footnoteReference w:id="109"/>
      </w:r>
      <w:r w:rsidRPr="0025099E">
        <w:rPr>
          <w:rFonts w:eastAsia="Times New Roman"/>
          <w:szCs w:val="20"/>
          <w:lang w:val="hu-HU" w:eastAsia="en-GB"/>
        </w:rPr>
        <w:t>,</w:t>
      </w:r>
    </w:p>
    <w:p w14:paraId="591E335D"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Parlament és a Tanács (EU, Euratom) 2018/1046 rendelete 71. cikkében említett, a köz- és magánszféra közötti partnerségre létrehozott szervek 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110"/>
      </w:r>
      <w:r w:rsidRPr="0025099E">
        <w:rPr>
          <w:rFonts w:eastAsia="Times New Roman"/>
          <w:szCs w:val="20"/>
          <w:lang w:val="hu-HU" w:eastAsia="en-GB"/>
        </w:rPr>
        <w:t>,</w:t>
      </w:r>
    </w:p>
    <w:p w14:paraId="76A550EC"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3F1E5B48"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0AA0A237"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4F7BCF47"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 xml:space="preserve">jóváhagyja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2023. évi pénzügyi évre vonatkozó elszámolásának lezárását;</w:t>
      </w:r>
    </w:p>
    <w:p w14:paraId="5BCBB294" w14:textId="77777777" w:rsidR="004F308D" w:rsidRPr="0025099E" w:rsidRDefault="004F308D" w:rsidP="00E351E1">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 xml:space="preserve">utasítja elnökét, hogy továbbítsa ezt a határozatot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ügyvezető igazgatójának, a Tanácsnak, a Bizottságnak és a 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közzétételéről.</w:t>
      </w:r>
    </w:p>
    <w:p w14:paraId="374F77D8"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62759A68" w14:textId="2B4E30E5" w:rsidR="00DB6286" w:rsidRPr="0025099E" w:rsidRDefault="00DB6286" w:rsidP="0025099E">
      <w:pPr>
        <w:pStyle w:val="ATHeading3"/>
      </w:pPr>
      <w:r w:rsidRPr="0025099E">
        <w:lastRenderedPageBreak/>
        <w:t>19. Az Európai Parlament 2025. május 7-i határozata a 3. „Egységes Európai Égbolt” Légiforgalmi Szolgáltatási Kutatás Közös Vállalkozás 2023. évi pénzügyi évre szóló költségvetésének végrehajtására vonatkozó mentesítésről (2024/2031(DEC))</w:t>
      </w:r>
    </w:p>
    <w:p w14:paraId="2EBA48BB"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1A72E0EC"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3. „Egységes Európai Égbolt” Légiforgalmi Szolgáltatási Kutatás Közös Vállalkozás 2023. évi pénzügyi évre szóló végleges éves beszámolójára,</w:t>
      </w:r>
    </w:p>
    <w:p w14:paraId="442B8D02"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111"/>
      </w:r>
      <w:r w:rsidRPr="0025099E">
        <w:rPr>
          <w:rFonts w:eastAsia="Times New Roman"/>
          <w:szCs w:val="20"/>
          <w:lang w:val="hu-HU" w:eastAsia="en-GB"/>
        </w:rPr>
        <w:t>,</w:t>
      </w:r>
    </w:p>
    <w:p w14:paraId="55CD664F"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112"/>
      </w:r>
      <w:r w:rsidRPr="0025099E">
        <w:rPr>
          <w:rFonts w:eastAsia="Times New Roman"/>
          <w:szCs w:val="20"/>
          <w:lang w:val="hu-HU" w:eastAsia="en-GB"/>
        </w:rPr>
        <w:t>,</w:t>
      </w:r>
    </w:p>
    <w:p w14:paraId="43DAC3B5"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3A92DCE2"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2F3093AF"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113"/>
      </w:r>
      <w:r w:rsidRPr="0025099E">
        <w:rPr>
          <w:rFonts w:eastAsia="Times New Roman"/>
          <w:szCs w:val="20"/>
          <w:lang w:val="hu-HU" w:eastAsia="en-GB"/>
        </w:rPr>
        <w:t xml:space="preserve"> és különösen annak 71. cikkére,</w:t>
      </w:r>
    </w:p>
    <w:p w14:paraId="759E6249"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114"/>
      </w:r>
      <w:r w:rsidRPr="0025099E">
        <w:rPr>
          <w:rFonts w:eastAsia="Times New Roman"/>
          <w:szCs w:val="20"/>
          <w:lang w:val="hu-HU" w:eastAsia="en-GB"/>
        </w:rPr>
        <w:t xml:space="preserve"> és különösen annak 71. cikkére, </w:t>
      </w:r>
    </w:p>
    <w:p w14:paraId="582D6FD2"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115"/>
      </w:r>
      <w:r w:rsidRPr="0025099E">
        <w:rPr>
          <w:rFonts w:eastAsia="Times New Roman"/>
          <w:szCs w:val="20"/>
          <w:lang w:val="hu-HU" w:eastAsia="en-GB"/>
        </w:rPr>
        <w:t xml:space="preserve"> és különösen annak 26. cikkére,</w:t>
      </w:r>
    </w:p>
    <w:p w14:paraId="6227BB4E"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116"/>
      </w:r>
      <w:r w:rsidRPr="0025099E">
        <w:rPr>
          <w:rFonts w:eastAsia="Times New Roman"/>
          <w:szCs w:val="20"/>
          <w:lang w:val="hu-HU" w:eastAsia="en-GB"/>
        </w:rPr>
        <w:t>,</w:t>
      </w:r>
    </w:p>
    <w:p w14:paraId="29498E62"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05E8006D"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3064F944"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2CBB6ADD"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mentesítést ad a 3. „Egységes Európai Égbolt” Légiforgalmi Szolgáltatási Kutatás Közös Vállalkozás ügyvezető igazgatója számára a közös vállalkozás 2023. évi pénzügyi évre szóló költségvetésének végrehajtására vonatkozóan;</w:t>
      </w:r>
    </w:p>
    <w:p w14:paraId="2CFF6CDD" w14:textId="77777777"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megjegyzéseit a mellékelt állásfoglalásban foglalja össze;</w:t>
      </w:r>
    </w:p>
    <w:p w14:paraId="5E002630" w14:textId="2B4FA920" w:rsidR="004F308D" w:rsidRPr="0025099E" w:rsidRDefault="004F308D" w:rsidP="00A250CD">
      <w:pPr>
        <w:spacing w:after="240"/>
        <w:ind w:left="567" w:hanging="567"/>
        <w:jc w:val="left"/>
        <w:rPr>
          <w:rFonts w:eastAsia="Times New Roman"/>
          <w:szCs w:val="20"/>
          <w:lang w:val="hu-HU" w:eastAsia="en-GB"/>
        </w:rPr>
      </w:pPr>
      <w:r w:rsidRPr="0025099E">
        <w:rPr>
          <w:rFonts w:eastAsia="Times New Roman"/>
          <w:szCs w:val="20"/>
          <w:lang w:val="hu-HU" w:eastAsia="en-GB"/>
        </w:rPr>
        <w:t>3.</w:t>
      </w:r>
      <w:r w:rsidRPr="0025099E">
        <w:rPr>
          <w:rFonts w:eastAsia="Times New Roman"/>
          <w:szCs w:val="20"/>
          <w:lang w:val="hu-HU" w:eastAsia="en-GB"/>
        </w:rPr>
        <w:tab/>
        <w:t xml:space="preserve">utasítja elnökét, hogy továbbítsa ezt a határozatot, valamint az annak szerves részét képező állásfoglalást a 3. „Egységes Európai Égbolt” Légiforgalmi Szolgáltatási Kutatás Közös Vállalkozás ügyvezető igazgatójának, a Tanácsnak, a Bizottságnak és a </w:t>
      </w:r>
      <w:r w:rsidR="0025099E">
        <w:rPr>
          <w:rFonts w:eastAsia="Times New Roman"/>
          <w:szCs w:val="20"/>
          <w:lang w:val="hu-HU" w:eastAsia="en-GB"/>
        </w:rPr>
        <w:t xml:space="preserve">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közzétételükről.</w:t>
      </w:r>
    </w:p>
    <w:p w14:paraId="091EA1C5"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7DDB0F30" w14:textId="13DB8744" w:rsidR="00DB6286" w:rsidRPr="0025099E" w:rsidRDefault="00DB6286" w:rsidP="0025099E">
      <w:pPr>
        <w:pStyle w:val="ATHeading3"/>
      </w:pPr>
      <w:r w:rsidRPr="0025099E">
        <w:lastRenderedPageBreak/>
        <w:t>20. Az Európai Parlament 2025. május 7-i határozata a 3. „Egységes Európai Égbolt” Légiforgalmi Szolgáltatási Kutatás Közös Vállalkozás 2023. évi pénzügyi évre vonatkozó elszámolásának lezárásáról (2024/2031(DEC))</w:t>
      </w:r>
    </w:p>
    <w:p w14:paraId="6652AE72"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096566DA" w14:textId="77777777"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3. „Egységes Európai Égbolt” Légiforgalmi Szolgáltatási Kutatás Közös Vállalkozás 2023. évi pénzügyi évre szóló végleges éves beszámolójára,</w:t>
      </w:r>
    </w:p>
    <w:p w14:paraId="12275EAA" w14:textId="77777777"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117"/>
      </w:r>
      <w:r w:rsidRPr="0025099E">
        <w:rPr>
          <w:rFonts w:eastAsia="Times New Roman"/>
          <w:szCs w:val="20"/>
          <w:lang w:val="hu-HU" w:eastAsia="en-GB"/>
        </w:rPr>
        <w:t>,</w:t>
      </w:r>
    </w:p>
    <w:p w14:paraId="0B674C58" w14:textId="77777777"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118"/>
      </w:r>
      <w:r w:rsidRPr="0025099E">
        <w:rPr>
          <w:rFonts w:eastAsia="Times New Roman"/>
          <w:szCs w:val="20"/>
          <w:lang w:val="hu-HU" w:eastAsia="en-GB"/>
        </w:rPr>
        <w:t>,</w:t>
      </w:r>
    </w:p>
    <w:p w14:paraId="14E8825F" w14:textId="77777777"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36DE250B" w14:textId="77777777"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033FE91F" w14:textId="77777777"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119"/>
      </w:r>
      <w:r w:rsidRPr="0025099E">
        <w:rPr>
          <w:rFonts w:eastAsia="Times New Roman"/>
          <w:szCs w:val="20"/>
          <w:lang w:val="hu-HU" w:eastAsia="en-GB"/>
        </w:rPr>
        <w:t xml:space="preserve"> és különösen annak 71. cikkére,</w:t>
      </w:r>
    </w:p>
    <w:p w14:paraId="45DF00BC" w14:textId="77777777"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120"/>
      </w:r>
      <w:r w:rsidRPr="0025099E">
        <w:rPr>
          <w:rFonts w:eastAsia="Times New Roman"/>
          <w:szCs w:val="20"/>
          <w:lang w:val="hu-HU" w:eastAsia="en-GB"/>
        </w:rPr>
        <w:t xml:space="preserve"> és különösen annak 71. cikkére, </w:t>
      </w:r>
    </w:p>
    <w:p w14:paraId="172C082A" w14:textId="77777777"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121"/>
      </w:r>
      <w:r w:rsidRPr="0025099E">
        <w:rPr>
          <w:rFonts w:eastAsia="Times New Roman"/>
          <w:szCs w:val="20"/>
          <w:lang w:val="hu-HU" w:eastAsia="en-GB"/>
        </w:rPr>
        <w:t xml:space="preserve"> és különösen annak 26. cikkére,</w:t>
      </w:r>
    </w:p>
    <w:p w14:paraId="0F41F1E7" w14:textId="77777777"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122"/>
      </w:r>
      <w:r w:rsidRPr="0025099E">
        <w:rPr>
          <w:rFonts w:eastAsia="Times New Roman"/>
          <w:szCs w:val="20"/>
          <w:lang w:val="hu-HU" w:eastAsia="en-GB"/>
        </w:rPr>
        <w:t>,</w:t>
      </w:r>
    </w:p>
    <w:p w14:paraId="6FE9D8B2" w14:textId="77777777"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792B2430" w14:textId="77777777"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07184BA3" w14:textId="77777777"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4A1A6BFB" w14:textId="77777777"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jóváhagyja a 3. „Egységes Európai Égbolt” Légiforgalmi Szolgáltatási Kutatás Közös Vállalkozás 2023. évi pénzügyi évre szóló elszámolásának lezárását;</w:t>
      </w:r>
    </w:p>
    <w:p w14:paraId="72AD45C3" w14:textId="735F968D" w:rsidR="004F308D" w:rsidRPr="0025099E" w:rsidRDefault="004F308D" w:rsidP="009F6CB6">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 xml:space="preserve">utasítja elnökét, hogy továbbítsa ezt a határozatot a 3. „Egységes Európai Égbolt” Légiforgalmi Szolgáltatási Kutatás Közös Vállalkozás ügyvezető igazgatójának, a Tanácsnak, a Bizottságnak és a </w:t>
      </w:r>
      <w:r w:rsidR="0025099E">
        <w:rPr>
          <w:rFonts w:eastAsia="Times New Roman"/>
          <w:szCs w:val="20"/>
          <w:lang w:val="hu-HU" w:eastAsia="en-GB"/>
        </w:rPr>
        <w:t xml:space="preserve">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közzétételéről.</w:t>
      </w:r>
    </w:p>
    <w:p w14:paraId="056AFF86"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557B7C00" w14:textId="736D177E" w:rsidR="00DB6286" w:rsidRPr="0025099E" w:rsidRDefault="00DB6286" w:rsidP="0025099E">
      <w:pPr>
        <w:pStyle w:val="ATHeading3"/>
      </w:pPr>
      <w:r w:rsidRPr="0025099E">
        <w:lastRenderedPageBreak/>
        <w:t>21. Az Európai Parlament 2025. május 7-i határozata az Intelligens Hálózatok és Szolgáltatások Közös Vállalkozás 2023. évi pénzügyi évre szóló költségvetésének végrehajtására vonatkozó mentesítésről (2024/2031(DEC))</w:t>
      </w:r>
    </w:p>
    <w:p w14:paraId="178984C4"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435AE24F"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Intelligens Hálózatok és Szolgáltatások Közös Vállalkozás 2023. évi pénzügyi évre vonatkozó végleges éves beszámolójára,</w:t>
      </w:r>
    </w:p>
    <w:p w14:paraId="10A8C512"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123"/>
      </w:r>
      <w:r w:rsidRPr="0025099E">
        <w:rPr>
          <w:rFonts w:eastAsia="Times New Roman"/>
          <w:szCs w:val="20"/>
          <w:lang w:val="hu-HU" w:eastAsia="en-GB"/>
        </w:rPr>
        <w:t>,</w:t>
      </w:r>
    </w:p>
    <w:p w14:paraId="359D0B3F"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124"/>
      </w:r>
      <w:r w:rsidRPr="0025099E">
        <w:rPr>
          <w:rFonts w:eastAsia="Times New Roman"/>
          <w:szCs w:val="20"/>
          <w:lang w:val="hu-HU" w:eastAsia="en-GB"/>
        </w:rPr>
        <w:t>,</w:t>
      </w:r>
    </w:p>
    <w:p w14:paraId="64C54334"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7EB0217D"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4601C56D"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125"/>
      </w:r>
      <w:r w:rsidRPr="0025099E">
        <w:rPr>
          <w:rFonts w:eastAsia="Times New Roman"/>
          <w:szCs w:val="20"/>
          <w:lang w:val="hu-HU" w:eastAsia="en-GB"/>
        </w:rPr>
        <w:t xml:space="preserve"> és különösen annak 71. cikkére,</w:t>
      </w:r>
    </w:p>
    <w:p w14:paraId="4CFFBABE"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126"/>
      </w:r>
      <w:r w:rsidRPr="0025099E">
        <w:rPr>
          <w:rFonts w:eastAsia="Times New Roman"/>
          <w:szCs w:val="20"/>
          <w:lang w:val="hu-HU" w:eastAsia="en-GB"/>
        </w:rPr>
        <w:t xml:space="preserve"> és különösen annak 71. cikkére, </w:t>
      </w:r>
    </w:p>
    <w:p w14:paraId="09ABE431"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127"/>
      </w:r>
      <w:r w:rsidRPr="0025099E">
        <w:rPr>
          <w:rFonts w:eastAsia="Times New Roman"/>
          <w:szCs w:val="20"/>
          <w:lang w:val="hu-HU" w:eastAsia="en-GB"/>
        </w:rPr>
        <w:t xml:space="preserve"> és különösen annak 26. cikkére,</w:t>
      </w:r>
    </w:p>
    <w:p w14:paraId="225DE520"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128"/>
      </w:r>
      <w:r w:rsidRPr="0025099E">
        <w:rPr>
          <w:rFonts w:eastAsia="Times New Roman"/>
          <w:szCs w:val="20"/>
          <w:lang w:val="hu-HU" w:eastAsia="en-GB"/>
        </w:rPr>
        <w:t>,</w:t>
      </w:r>
    </w:p>
    <w:p w14:paraId="072BAE62"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31CD8A18"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35377FCE"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2D2EC772"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mentesítést ad az Intelligens Hálózatok és Szolgáltatások Közös Vállalkozás ügyvezető igazgatója számára a közös vállalkozás 2023. évi pénzügyi évre szóló költségvetésének végrehajtására vonatkozóan;</w:t>
      </w:r>
    </w:p>
    <w:p w14:paraId="76A6306F"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megjegyzéseit a mellékelt állásfoglalásban foglalja össze;</w:t>
      </w:r>
    </w:p>
    <w:p w14:paraId="609D123A" w14:textId="77777777" w:rsidR="004F308D" w:rsidRPr="0025099E" w:rsidRDefault="004F308D" w:rsidP="007E6353">
      <w:pPr>
        <w:spacing w:after="240"/>
        <w:ind w:left="567" w:hanging="567"/>
        <w:jc w:val="left"/>
        <w:rPr>
          <w:rFonts w:eastAsia="Times New Roman"/>
          <w:szCs w:val="20"/>
          <w:lang w:val="hu-HU" w:eastAsia="en-GB"/>
        </w:rPr>
      </w:pPr>
      <w:r w:rsidRPr="0025099E">
        <w:rPr>
          <w:rFonts w:eastAsia="Times New Roman"/>
          <w:szCs w:val="20"/>
          <w:lang w:val="hu-HU" w:eastAsia="en-GB"/>
        </w:rPr>
        <w:t>3.</w:t>
      </w:r>
      <w:r w:rsidRPr="0025099E">
        <w:rPr>
          <w:rFonts w:eastAsia="Times New Roman"/>
          <w:szCs w:val="20"/>
          <w:lang w:val="hu-HU" w:eastAsia="en-GB"/>
        </w:rPr>
        <w:tab/>
        <w:t xml:space="preserve">utasítja elnökét, hogy továbbítsa ezt a határozatot, valamint az annak szerves részét képező állásfoglalást az Intelligens Hálózatok és Szolgáltatások Közös Vállalkozás ügyvezető igazgatójának, a Tanácsnak, a Bizottságnak és a 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közzétételükről.</w:t>
      </w:r>
    </w:p>
    <w:p w14:paraId="4358106C"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613F6D24" w14:textId="38CDFA14" w:rsidR="00DB6286" w:rsidRPr="0025099E" w:rsidRDefault="00DB6286" w:rsidP="0025099E">
      <w:pPr>
        <w:pStyle w:val="ATHeading3"/>
      </w:pPr>
      <w:r w:rsidRPr="0025099E">
        <w:lastRenderedPageBreak/>
        <w:t>22. Az Európai Parlament 2025. május 7-i határozata az Intelligens Hálózatok és Szolgáltatások Közös Vállalkozás 2023. évi pénzügyi évre vonatkozó elszámolásának lezárásáról (2024/2031(DEC))</w:t>
      </w:r>
    </w:p>
    <w:p w14:paraId="3BDAF1CD"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4D8568C9"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Intelligens Hálózatok és Szolgáltatások Közös Vállalkozás 2023. évi pénzügyi évre vonatkozó végleges éves beszámolójára,</w:t>
      </w:r>
    </w:p>
    <w:p w14:paraId="1211C894"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az uniós közös vállalkozásokról szóló, 2023. évi pénzügyi évre vonatkozó éves jelentésére, a közös vállalkozások válaszaival együtt</w:t>
      </w:r>
      <w:r w:rsidRPr="0025099E">
        <w:rPr>
          <w:rFonts w:eastAsia="Times New Roman"/>
          <w:szCs w:val="20"/>
          <w:vertAlign w:val="superscript"/>
          <w:lang w:val="hu-HU" w:eastAsia="en-GB"/>
        </w:rPr>
        <w:footnoteReference w:id="129"/>
      </w:r>
      <w:r w:rsidRPr="0025099E">
        <w:rPr>
          <w:rFonts w:eastAsia="Times New Roman"/>
          <w:szCs w:val="20"/>
          <w:lang w:val="hu-HU" w:eastAsia="en-GB"/>
        </w:rPr>
        <w:t>,</w:t>
      </w:r>
    </w:p>
    <w:p w14:paraId="4F489C46"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25099E">
        <w:rPr>
          <w:rFonts w:eastAsia="Times New Roman"/>
          <w:szCs w:val="20"/>
          <w:vertAlign w:val="superscript"/>
          <w:lang w:val="hu-HU" w:eastAsia="en-GB"/>
        </w:rPr>
        <w:footnoteReference w:id="130"/>
      </w:r>
      <w:r w:rsidRPr="0025099E">
        <w:rPr>
          <w:rFonts w:eastAsia="Times New Roman"/>
          <w:szCs w:val="20"/>
          <w:lang w:val="hu-HU" w:eastAsia="en-GB"/>
        </w:rPr>
        <w:t>,</w:t>
      </w:r>
    </w:p>
    <w:p w14:paraId="2FA00059"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2023. évi pénzügyi évre szóló költségvetés végrehajtása tekintetében a közös vállalkozás számára adandó mentesítésről szóló, 2025. február 17-i tanácsi ajánlásra (05757/2025 – C10</w:t>
      </w:r>
      <w:r w:rsidRPr="0025099E">
        <w:rPr>
          <w:rFonts w:eastAsia="Times New Roman"/>
          <w:szCs w:val="20"/>
          <w:lang w:val="hu-HU" w:eastAsia="en-GB"/>
        </w:rPr>
        <w:noBreakHyphen/>
        <w:t>0025/2025),</w:t>
      </w:r>
    </w:p>
    <w:p w14:paraId="283A24C9"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Unió működéséről szóló szerződés 319. cikkére,</w:t>
      </w:r>
    </w:p>
    <w:p w14:paraId="59A1ED50"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5099E">
        <w:rPr>
          <w:rFonts w:eastAsia="Times New Roman"/>
          <w:szCs w:val="20"/>
          <w:vertAlign w:val="superscript"/>
          <w:lang w:val="hu-HU" w:eastAsia="en-GB"/>
        </w:rPr>
        <w:footnoteReference w:id="131"/>
      </w:r>
      <w:r w:rsidRPr="0025099E">
        <w:rPr>
          <w:rFonts w:eastAsia="Times New Roman"/>
          <w:szCs w:val="20"/>
          <w:lang w:val="hu-HU" w:eastAsia="en-GB"/>
        </w:rPr>
        <w:t xml:space="preserve"> és különösen annak 71. cikkére,</w:t>
      </w:r>
    </w:p>
    <w:p w14:paraId="3419FC0A"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Unió általános költségvetésére alkalmazandó pénzügyi szabályokról szóló, 2024. szeptember 23-i 2024/2012/EU, Euratom európai parlament és tanácsi rendeletre</w:t>
      </w:r>
      <w:r w:rsidRPr="0025099E">
        <w:rPr>
          <w:rFonts w:eastAsia="Times New Roman"/>
          <w:szCs w:val="20"/>
          <w:vertAlign w:val="superscript"/>
          <w:lang w:val="hu-HU" w:eastAsia="en-GB"/>
        </w:rPr>
        <w:footnoteReference w:id="132"/>
      </w:r>
      <w:r w:rsidRPr="0025099E">
        <w:rPr>
          <w:rFonts w:eastAsia="Times New Roman"/>
          <w:szCs w:val="20"/>
          <w:lang w:val="hu-HU" w:eastAsia="en-GB"/>
        </w:rPr>
        <w:t xml:space="preserve"> és különösen annak 71. cikkére, </w:t>
      </w:r>
    </w:p>
    <w:p w14:paraId="63E6EDA3"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közös vállalkozásoknak a Horizont Európa keretében történő létrehozásáról, valamint a 219/2007/EK, az 557/2014/EU, az 558/2014/EU, az 559/2014/EU, az 560/2014/EU, az 561/2014/EU és a 642/2014/EU rendelet hatályon kívül helyezéséről szóló, 2021. november 19-i (EU) 2021/2085 tanácsi rendeletre</w:t>
      </w:r>
      <w:r w:rsidRPr="0025099E">
        <w:rPr>
          <w:rFonts w:eastAsia="Times New Roman"/>
          <w:szCs w:val="20"/>
          <w:vertAlign w:val="superscript"/>
          <w:lang w:val="hu-HU" w:eastAsia="en-GB"/>
        </w:rPr>
        <w:footnoteReference w:id="133"/>
      </w:r>
      <w:r w:rsidRPr="0025099E">
        <w:rPr>
          <w:rFonts w:eastAsia="Times New Roman"/>
          <w:szCs w:val="20"/>
          <w:lang w:val="hu-HU" w:eastAsia="en-GB"/>
        </w:rPr>
        <w:t xml:space="preserve"> és különösen annak 26. cikkére,</w:t>
      </w:r>
    </w:p>
    <w:p w14:paraId="2D377689"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az Európai Parlament és a Tanács (EU, Euratom) 2018/1046 rendelete 71. cikkében említett, a köz- és magánszféra közötti partnerségre létrehozott szervek </w:t>
      </w:r>
      <w:r w:rsidRPr="0025099E">
        <w:rPr>
          <w:rFonts w:eastAsia="Times New Roman"/>
          <w:szCs w:val="20"/>
          <w:lang w:val="hu-HU" w:eastAsia="en-GB"/>
        </w:rPr>
        <w:lastRenderedPageBreak/>
        <w:t>számára kidolgozott pénzügyiszabályzat-mintáról szóló, 2019. március 13-i (EU) 2019/887 felhatalmazáson alapuló bizottsági rendeletre</w:t>
      </w:r>
      <w:r w:rsidRPr="0025099E">
        <w:rPr>
          <w:rFonts w:eastAsia="Times New Roman"/>
          <w:szCs w:val="20"/>
          <w:vertAlign w:val="superscript"/>
          <w:lang w:val="hu-HU" w:eastAsia="en-GB"/>
        </w:rPr>
        <w:footnoteReference w:id="134"/>
      </w:r>
      <w:r w:rsidRPr="0025099E">
        <w:rPr>
          <w:rFonts w:eastAsia="Times New Roman"/>
          <w:szCs w:val="20"/>
          <w:lang w:val="hu-HU" w:eastAsia="en-GB"/>
        </w:rPr>
        <w:t>,</w:t>
      </w:r>
    </w:p>
    <w:p w14:paraId="43CB23F6"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632F6510"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2C4508B4"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6F6BBED3"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1.</w:t>
      </w:r>
      <w:r w:rsidRPr="0025099E">
        <w:rPr>
          <w:rFonts w:eastAsia="Times New Roman"/>
          <w:szCs w:val="20"/>
          <w:lang w:val="hu-HU" w:eastAsia="en-GB"/>
        </w:rPr>
        <w:tab/>
        <w:t>jóváhagyja az Intelligens Hálózatok és Szolgáltatások Közös Vállalkozás 2023. évi pénzügyi évre vonatkozó elszámolásának lezárását;</w:t>
      </w:r>
    </w:p>
    <w:p w14:paraId="138491E7" w14:textId="77777777" w:rsidR="004F308D" w:rsidRPr="0025099E" w:rsidRDefault="004F308D" w:rsidP="00EA1AEB">
      <w:pPr>
        <w:spacing w:after="240"/>
        <w:ind w:left="567" w:hanging="567"/>
        <w:jc w:val="left"/>
        <w:rPr>
          <w:rFonts w:eastAsia="Times New Roman"/>
          <w:szCs w:val="20"/>
          <w:lang w:val="hu-HU" w:eastAsia="en-GB"/>
        </w:rPr>
      </w:pPr>
      <w:r w:rsidRPr="0025099E">
        <w:rPr>
          <w:rFonts w:eastAsia="Times New Roman"/>
          <w:szCs w:val="20"/>
          <w:lang w:val="hu-HU" w:eastAsia="en-GB"/>
        </w:rPr>
        <w:t>2.</w:t>
      </w:r>
      <w:r w:rsidRPr="0025099E">
        <w:rPr>
          <w:rFonts w:eastAsia="Times New Roman"/>
          <w:szCs w:val="20"/>
          <w:lang w:val="hu-HU" w:eastAsia="en-GB"/>
        </w:rPr>
        <w:tab/>
        <w:t xml:space="preserve">utasítja elnökét, hogy továbbítsa ezt a határozatot az Intelligens Hálózatok és Szolgáltatások Közös Vállalkozás ügyvezető igazgatójának, a Tanácsnak, a Bizottságnak és a Számvevőszéknek, és gondoskodjon az </w:t>
      </w:r>
      <w:r w:rsidRPr="0025099E">
        <w:rPr>
          <w:rFonts w:eastAsia="Times New Roman"/>
          <w:i/>
          <w:szCs w:val="20"/>
          <w:lang w:val="hu-HU" w:eastAsia="en-GB"/>
        </w:rPr>
        <w:t>Európai Unió Hivatalos Lapjában</w:t>
      </w:r>
      <w:r w:rsidRPr="0025099E">
        <w:rPr>
          <w:rFonts w:eastAsia="Times New Roman"/>
          <w:szCs w:val="20"/>
          <w:lang w:val="hu-HU" w:eastAsia="en-GB"/>
        </w:rPr>
        <w:t xml:space="preserve"> (L sorozat) való közzétételéről.</w:t>
      </w:r>
    </w:p>
    <w:p w14:paraId="3A62CA4D" w14:textId="77777777" w:rsidR="004F308D" w:rsidRPr="0025099E" w:rsidRDefault="004F308D">
      <w:pPr>
        <w:rPr>
          <w:lang w:val="hu-HU"/>
        </w:rPr>
        <w:sectPr w:rsidR="004F308D" w:rsidRPr="0025099E">
          <w:footnotePr>
            <w:numRestart w:val="eachSect"/>
          </w:footnotePr>
          <w:pgSz w:w="11906" w:h="16838"/>
          <w:pgMar w:top="1440" w:right="1440" w:bottom="1440" w:left="1440" w:header="708" w:footer="708" w:gutter="0"/>
          <w:cols w:space="708"/>
          <w:docGrid w:linePitch="360"/>
        </w:sectPr>
      </w:pPr>
    </w:p>
    <w:p w14:paraId="495594F6" w14:textId="77777777" w:rsidR="00DB6286" w:rsidRPr="0025099E" w:rsidRDefault="00DB6286" w:rsidP="0025099E">
      <w:pPr>
        <w:pStyle w:val="ATHeading3"/>
      </w:pPr>
      <w:r w:rsidRPr="0025099E">
        <w:lastRenderedPageBreak/>
        <w:t>23. Az Európai Parlament 2025. május 7-i állásfoglalása az Európai Unió közös vállalkozásai 2023. évi pénzügyi évre szóló költségvetésének végrehajtására vonatkozó mentesítésről szóló határozatok szerves részét képező megjegyzésekkel (2024/2031(DEC))</w:t>
      </w:r>
    </w:p>
    <w:p w14:paraId="207A97F9" w14:textId="77777777" w:rsidR="0025099E" w:rsidRPr="0025099E" w:rsidRDefault="0025099E" w:rsidP="0025099E">
      <w:pPr>
        <w:pStyle w:val="EPComma"/>
        <w:widowControl/>
        <w:spacing w:before="360"/>
        <w:ind w:left="567" w:hanging="567"/>
      </w:pPr>
      <w:r w:rsidRPr="0025099E">
        <w:rPr>
          <w:i/>
        </w:rPr>
        <w:t>Az Európai Parlament</w:t>
      </w:r>
      <w:r w:rsidRPr="0025099E">
        <w:t>,</w:t>
      </w:r>
    </w:p>
    <w:p w14:paraId="1FB9D62B"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Tiszta Légi Közlekedés Közös Vállalkozás 2023. évi pénzügyi évre szóló költségvetésének végrehajtására vonatkozó mentesítésről szóló határozatára,</w:t>
      </w:r>
    </w:p>
    <w:p w14:paraId="3759EC2A"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Közös Vállalkozás 2023. évi pénzügyi évre szóló költségvetésének végrehajtására vonatkozó mentesítésről szóló határozatára,</w:t>
      </w:r>
    </w:p>
    <w:p w14:paraId="0FC5D81C"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Tiszta Hidrogén Közös Vállalkozás 2023. évi pénzügyi évre szóló költségvetésének végrehajtására vonatkozó mentesítésről szóló határozatára,</w:t>
      </w:r>
    </w:p>
    <w:p w14:paraId="34005D46"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Vasút Közös Vállalkozás 2023. évi pénzügyi évre szóló költségvetésének végrehajtására vonatkozó mentesítésről szóló határozatára,</w:t>
      </w:r>
    </w:p>
    <w:p w14:paraId="0D071BA0"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Európai Nagy Teljesítményű Számítástechnika Közös Vállalkozás 2023. évi pénzügyi évre szóló költségvetésének végrehajtására vonatkozó mentesítésről szóló határozatára,</w:t>
      </w:r>
    </w:p>
    <w:p w14:paraId="64BB90C1"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Fúziósenergia-fejlesztési és ITER Európai Közös Vállalkozás 2023. évi pénzügyi évre szóló általános költségvetésének végrehajtására vonatkozó mentesítésről szóló határozatára,</w:t>
      </w:r>
    </w:p>
    <w:p w14:paraId="0AAD2ED5"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Globális Egészségügyi EDCTP3 Közös Vállalkozás 2023. évi pénzügyi évre szóló költségvetésének végrehajtására vonatkozó mentesítésről szóló határozatára,</w:t>
      </w:r>
    </w:p>
    <w:p w14:paraId="30EA5861"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Innovatív Egészségügy Közös Vállalkozás 2023. évi pénzügyi évre szóló költségvetésének végrehajtására vonatkozó mentesítésről szóló határozatára,</w:t>
      </w:r>
    </w:p>
    <w:p w14:paraId="294D4127"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 xml:space="preserve">tekintettel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2023. évi pénzügyi évre szóló költségvetésének végrehajtására vonatkozó mentesítésről szóló határozatára,</w:t>
      </w:r>
    </w:p>
    <w:p w14:paraId="13C94CB0"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3. „Egységes Európai Égbolt” Légiforgalmi Szolgáltatási Kutatás Közös Vállalkozás 2023. évi pénzügyi évre szóló költségvetésének végrehajtására vonatkozó mentesítésről szóló határozatára,</w:t>
      </w:r>
    </w:p>
    <w:p w14:paraId="2C8FB569"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az Intelligens Hálózatok és Szolgáltatások Közös Vállalkozás 2023. évi pénzügyi évre szóló költségvetésének végrehajtására vonatkozó mentesítésről szóló határozatára,</w:t>
      </w:r>
    </w:p>
    <w:p w14:paraId="202F3CD6"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eljárási szabályzata 102. cikkére és V. mellékletére,</w:t>
      </w:r>
    </w:p>
    <w:p w14:paraId="4F3DA05A"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Közlekedési és Idegenforgalmi Bizottság véleményére,</w:t>
      </w:r>
    </w:p>
    <w:p w14:paraId="0A3D88E5"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w:t>
      </w:r>
      <w:r w:rsidRPr="0025099E">
        <w:rPr>
          <w:rFonts w:eastAsia="Times New Roman"/>
          <w:szCs w:val="20"/>
          <w:lang w:val="hu-HU" w:eastAsia="en-GB"/>
        </w:rPr>
        <w:tab/>
        <w:t>tekintettel a Költségvetési Ellenőrző Bizottság jelentésére (A10-0056/2025),</w:t>
      </w:r>
    </w:p>
    <w:p w14:paraId="75B977C1"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lastRenderedPageBreak/>
        <w:t>A.</w:t>
      </w:r>
      <w:r w:rsidRPr="0025099E">
        <w:rPr>
          <w:rFonts w:eastAsia="Times New Roman"/>
          <w:szCs w:val="20"/>
          <w:lang w:val="hu-HU" w:eastAsia="en-GB"/>
        </w:rPr>
        <w:tab/>
        <w:t xml:space="preserve">mivel a 3. „Egységes Európai Égbolt” Légiforgalmi Szolgáltatási Kutatás Közös Vállalkozást, a Tiszta Légi Közlekedés Közös Vállalkozást, az Innovatív Egészségügy Közös Vállalkozást, a Tiszta Hidrogén Közös Vállalkozást, 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Közös Vállalkozást, az Európai Vasút Közös Vállalkozást, az Intelligens Hálózatok és Szolgáltatások Közös Vállalkozást és a Globális Egészségügyi EDCTP3 Közös Vállalkozást az (EU) 2021/2085 tanácsi rendelet </w:t>
      </w:r>
      <w:r w:rsidRPr="0025099E">
        <w:rPr>
          <w:rFonts w:eastAsia="Times New Roman"/>
          <w:szCs w:val="20"/>
          <w:vertAlign w:val="superscript"/>
          <w:lang w:val="hu-HU" w:eastAsia="en-GB"/>
        </w:rPr>
        <w:footnoteReference w:id="135"/>
      </w:r>
      <w:r w:rsidRPr="0025099E">
        <w:rPr>
          <w:rFonts w:eastAsia="Times New Roman"/>
          <w:szCs w:val="20"/>
          <w:lang w:val="hu-HU" w:eastAsia="en-GB"/>
        </w:rPr>
        <w:t xml:space="preserve"> hozta létre, az utóbbira mint egységes alap-jogiaktusra hivatkozva;</w:t>
      </w:r>
    </w:p>
    <w:p w14:paraId="67341AA7"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B.</w:t>
      </w:r>
      <w:r w:rsidRPr="0025099E">
        <w:rPr>
          <w:rFonts w:eastAsia="Times New Roman"/>
          <w:szCs w:val="20"/>
          <w:lang w:val="hu-HU" w:eastAsia="en-GB"/>
        </w:rPr>
        <w:tab/>
        <w:t>mivel az (EU) 2021/2085 rendelet létrehozta a Kulcsfontosságú Digitális Technológiák Közös Vállalkozást, mivel a Kulcsfontosságú Digitális Technológiák Közös Vállalkozást 2023 júliusában az (EU) 2023/1782 tanácsi rendelet </w:t>
      </w:r>
      <w:r w:rsidRPr="0025099E">
        <w:rPr>
          <w:rFonts w:eastAsia="Times New Roman"/>
          <w:szCs w:val="20"/>
          <w:vertAlign w:val="superscript"/>
          <w:lang w:val="hu-HU" w:eastAsia="en-GB"/>
        </w:rPr>
        <w:footnoteReference w:id="136"/>
      </w:r>
      <w:r w:rsidRPr="0025099E">
        <w:rPr>
          <w:rFonts w:eastAsia="Times New Roman"/>
          <w:szCs w:val="20"/>
          <w:lang w:val="hu-HU" w:eastAsia="en-GB"/>
        </w:rPr>
        <w:t xml:space="preserve"> alapján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Vállalkozássá alakították át;</w:t>
      </w:r>
    </w:p>
    <w:p w14:paraId="54EF561A"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C.</w:t>
      </w:r>
      <w:r w:rsidRPr="0025099E">
        <w:rPr>
          <w:rFonts w:eastAsia="Times New Roman"/>
          <w:szCs w:val="20"/>
          <w:lang w:val="hu-HU" w:eastAsia="en-GB"/>
        </w:rPr>
        <w:tab/>
        <w:t>mivel a Fúziósenergia-fejlesztési és ITER Európai Közös Vállalkozást a 2007/198/Euratom tanácsi határozat </w:t>
      </w:r>
      <w:r w:rsidRPr="0025099E">
        <w:rPr>
          <w:rFonts w:eastAsia="Times New Roman"/>
          <w:szCs w:val="20"/>
          <w:vertAlign w:val="superscript"/>
          <w:lang w:val="hu-HU" w:eastAsia="en-GB"/>
        </w:rPr>
        <w:footnoteReference w:id="137"/>
      </w:r>
      <w:r w:rsidRPr="0025099E">
        <w:rPr>
          <w:rFonts w:eastAsia="Times New Roman"/>
          <w:szCs w:val="20"/>
          <w:lang w:val="hu-HU" w:eastAsia="en-GB"/>
        </w:rPr>
        <w:t xml:space="preserve"> hozta létre 2007 áprilisában;</w:t>
      </w:r>
    </w:p>
    <w:p w14:paraId="7CC710B0"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D.</w:t>
      </w:r>
      <w:r w:rsidRPr="0025099E">
        <w:rPr>
          <w:rFonts w:eastAsia="Times New Roman"/>
          <w:szCs w:val="20"/>
          <w:lang w:val="hu-HU" w:eastAsia="en-GB"/>
        </w:rPr>
        <w:tab/>
        <w:t>mivel az Európai Nagy Teljesítményű Számítástechnika Közös Vállalkozást az (EU) 2021/1173 tanácsi rendelet </w:t>
      </w:r>
      <w:r w:rsidRPr="0025099E">
        <w:rPr>
          <w:rFonts w:eastAsia="Times New Roman"/>
          <w:szCs w:val="20"/>
          <w:vertAlign w:val="superscript"/>
          <w:lang w:val="hu-HU" w:eastAsia="en-GB"/>
        </w:rPr>
        <w:footnoteReference w:id="138"/>
      </w:r>
      <w:r w:rsidRPr="0025099E">
        <w:rPr>
          <w:rFonts w:eastAsia="Times New Roman"/>
          <w:szCs w:val="20"/>
          <w:lang w:val="hu-HU" w:eastAsia="en-GB"/>
        </w:rPr>
        <w:t xml:space="preserve"> hozta létre;</w:t>
      </w:r>
    </w:p>
    <w:p w14:paraId="7BD829B1"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E.</w:t>
      </w:r>
      <w:r w:rsidRPr="0025099E">
        <w:rPr>
          <w:rFonts w:eastAsia="Times New Roman"/>
          <w:szCs w:val="20"/>
          <w:lang w:val="hu-HU" w:eastAsia="en-GB"/>
        </w:rPr>
        <w:tab/>
        <w:t>mivel a 3. „Egységes Európai Égbolt” Légiforgalmi Szolgáltatási Kutatás Közös Vállalkozás a korszerűsített európai légiforgalmi szolgáltatás (ATM) fejlesztésére, valamint a digitális európai égbolt megvalósításának kutatás és innováció révén történő felgyorsítására irányuló, köz- és magánszféra közötti partnerség;</w:t>
      </w:r>
    </w:p>
    <w:p w14:paraId="2EC471F3"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F.</w:t>
      </w:r>
      <w:r w:rsidRPr="0025099E">
        <w:rPr>
          <w:rFonts w:eastAsia="Times New Roman"/>
          <w:szCs w:val="20"/>
          <w:lang w:val="hu-HU" w:eastAsia="en-GB"/>
        </w:rPr>
        <w:tab/>
        <w:t>mivel a Tiszta Légi Közlekedés Közös Vállalkozás a légi közlekedés fenntartható és klímasemleges jövőre való átállását célzó kutatással és innovációval foglalkozó, köz- és magánszféra közötti partnerség;</w:t>
      </w:r>
    </w:p>
    <w:p w14:paraId="41543A7D"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G.</w:t>
      </w:r>
      <w:r w:rsidRPr="0025099E">
        <w:rPr>
          <w:rFonts w:eastAsia="Times New Roman"/>
          <w:szCs w:val="20"/>
          <w:lang w:val="hu-HU" w:eastAsia="en-GB"/>
        </w:rPr>
        <w:tab/>
        <w:t>mivel az Innovatív Egészségügy Közös Vállalkozás az interdiszciplináris, fenntartható és betegközpontú egészségügyi kutatásra és innovációra összpontosító, köz- és magánszféra közötti partnerség;</w:t>
      </w:r>
    </w:p>
    <w:p w14:paraId="5754A4A0"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lastRenderedPageBreak/>
        <w:t>H.</w:t>
      </w:r>
      <w:r w:rsidRPr="0025099E">
        <w:rPr>
          <w:rFonts w:eastAsia="Times New Roman"/>
          <w:szCs w:val="20"/>
          <w:lang w:val="hu-HU" w:eastAsia="en-GB"/>
        </w:rPr>
        <w:tab/>
        <w:t>mivel a Tiszta Hidrogén Közös Vállalkozás egy üzemanyagcella- és hidrogéntechnológiai kutatással és innovációval foglalkozó, köz- és magánszféra közötti partnerség;</w:t>
      </w:r>
    </w:p>
    <w:p w14:paraId="653C7872"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I.</w:t>
      </w:r>
      <w:r w:rsidRPr="0025099E">
        <w:rPr>
          <w:rFonts w:eastAsia="Times New Roman"/>
          <w:szCs w:val="20"/>
          <w:lang w:val="hu-HU" w:eastAsia="en-GB"/>
        </w:rPr>
        <w:tab/>
        <w:t xml:space="preserve">mivel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azokkal a kulcsfontosságú digitális technológiákkal kapcsolatos kutatásra és innovációra összpontosító, köz- és magánszféra közötti partnerség, amelyek elengedhetetlenek ahhoz, hogy Európa versenyképes vezető szerepet töltsön be a digitális gazdaságban, különösen az elektronikai alkatrészek és rendszerek ágazatában;</w:t>
      </w:r>
    </w:p>
    <w:p w14:paraId="5BE5A3F3"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J.</w:t>
      </w:r>
      <w:r w:rsidRPr="0025099E">
        <w:rPr>
          <w:rFonts w:eastAsia="Times New Roman"/>
          <w:szCs w:val="20"/>
          <w:lang w:val="hu-HU" w:eastAsia="en-GB"/>
        </w:rPr>
        <w:tab/>
        <w:t xml:space="preserve">mivel 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Közös Vállalkozás fenntartható és versenyképes körforgásos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iparágakkal kapcsolatos kutatásra és innovációra összpontosító, köz- és magánszféra közötti partnerség;</w:t>
      </w:r>
    </w:p>
    <w:p w14:paraId="13CF88C2"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K.</w:t>
      </w:r>
      <w:r w:rsidRPr="0025099E">
        <w:rPr>
          <w:rFonts w:eastAsia="Times New Roman"/>
          <w:szCs w:val="20"/>
          <w:lang w:val="hu-HU" w:eastAsia="en-GB"/>
        </w:rPr>
        <w:tab/>
        <w:t>mivel az Európai Vasút Közös Vállalkozás a vasúti ágazatban tevékenykedő, kutatási és innovációs, köz- és magánszféra közötti partnerség;</w:t>
      </w:r>
    </w:p>
    <w:p w14:paraId="1BBE2809"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L.</w:t>
      </w:r>
      <w:r w:rsidRPr="0025099E">
        <w:rPr>
          <w:rFonts w:eastAsia="Times New Roman"/>
          <w:szCs w:val="20"/>
          <w:lang w:val="hu-HU" w:eastAsia="en-GB"/>
        </w:rPr>
        <w:tab/>
        <w:t>mivel az Európai Nagy Teljesítményű Számítástechnika Közös Vállalkozás a nagy teljesítményű számítástechnika európai fejlesztését és alkalmazását szolgáló erőforrás-összevonást lehetővé tevő, köz- és magánszféra közötti partnerség;</w:t>
      </w:r>
    </w:p>
    <w:p w14:paraId="6912A587"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M.</w:t>
      </w:r>
      <w:r w:rsidRPr="0025099E">
        <w:rPr>
          <w:rFonts w:eastAsia="Times New Roman"/>
          <w:szCs w:val="20"/>
          <w:lang w:val="hu-HU" w:eastAsia="en-GB"/>
        </w:rPr>
        <w:tab/>
        <w:t>mivel az Intelligens Hálózatok és Szolgáltatások Közös Vállalkozás egy olyan, köz- és magánszféra közötti partnerség, amely Európa technológiai vezető szerepének megerősítésére és a távközlési ágazattal való stratégiai összehangolására, valamint a digitális megoldások elterjedésének előmozdítására összpontosít;</w:t>
      </w:r>
    </w:p>
    <w:p w14:paraId="0B651818"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N.</w:t>
      </w:r>
      <w:r w:rsidRPr="0025099E">
        <w:rPr>
          <w:rFonts w:eastAsia="Times New Roman"/>
          <w:szCs w:val="20"/>
          <w:lang w:val="hu-HU" w:eastAsia="en-GB"/>
        </w:rPr>
        <w:tab/>
        <w:t xml:space="preserve">mivel a Globális Egészségügyi EDCTP3 közös vállalkozás egy olyan, köz- és magánszféra közötti partnerség, amely a </w:t>
      </w:r>
      <w:proofErr w:type="spellStart"/>
      <w:r w:rsidRPr="0025099E">
        <w:rPr>
          <w:rFonts w:eastAsia="Times New Roman"/>
          <w:szCs w:val="20"/>
          <w:lang w:val="hu-HU" w:eastAsia="en-GB"/>
        </w:rPr>
        <w:t>szubszaharai</w:t>
      </w:r>
      <w:proofErr w:type="spellEnd"/>
      <w:r w:rsidRPr="0025099E">
        <w:rPr>
          <w:rFonts w:eastAsia="Times New Roman"/>
          <w:szCs w:val="20"/>
          <w:lang w:val="hu-HU" w:eastAsia="en-GB"/>
        </w:rPr>
        <w:t xml:space="preserve"> Afrikában a fertőző betegségek társadalmi-gazdasági terheinek az új és továbbfejlesztett egészségügyi technológiai alkalmazások révén történő csökkentésére, valamint a fertőző betegségekre való globális felkészültség és reagálás javítására összpontosít;</w:t>
      </w:r>
    </w:p>
    <w:p w14:paraId="405A0159"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O.</w:t>
      </w:r>
      <w:r w:rsidRPr="0025099E">
        <w:rPr>
          <w:rFonts w:eastAsia="Times New Roman"/>
          <w:szCs w:val="20"/>
          <w:lang w:val="hu-HU" w:eastAsia="en-GB"/>
        </w:rPr>
        <w:tab/>
        <w:t>mivel a Fúziósenergia-fejlesztési és ITER Európai Közös Vállalkozás célja, hogy biztosítsa az Unió hozzájárulását az ITER nemzetközi fúziósenergia-projekthez, végrehajtsa az Euratom és Japán közötti, tágabb megközelítésről szóló megállapodást, és előkészítse egy demonstrációs fúziós reaktor és a kapcsolódó létesítmények építését;</w:t>
      </w:r>
    </w:p>
    <w:p w14:paraId="57F288C0"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b/>
          <w:i/>
          <w:szCs w:val="20"/>
          <w:lang w:val="hu-HU" w:eastAsia="en-GB"/>
        </w:rPr>
        <w:t>Általános megjegyzések</w:t>
      </w:r>
    </w:p>
    <w:p w14:paraId="0E750A4A" w14:textId="77777777" w:rsidR="004F308D" w:rsidRPr="0025099E" w:rsidRDefault="004F308D" w:rsidP="0038504B">
      <w:pPr>
        <w:spacing w:after="240"/>
        <w:ind w:left="567" w:hanging="567"/>
        <w:jc w:val="left"/>
        <w:rPr>
          <w:rFonts w:eastAsia="Times New Roman"/>
          <w:lang w:val="hu-HU"/>
        </w:rPr>
      </w:pPr>
      <w:r w:rsidRPr="0025099E">
        <w:rPr>
          <w:rFonts w:eastAsia="Times New Roman"/>
          <w:lang w:val="hu-HU"/>
        </w:rPr>
        <w:t>1.</w:t>
      </w:r>
      <w:r w:rsidRPr="0025099E">
        <w:rPr>
          <w:rFonts w:eastAsia="Times New Roman"/>
          <w:lang w:val="hu-HU"/>
        </w:rPr>
        <w:tab/>
        <w:t xml:space="preserve">megjegyzi, hogy a közös vállalkozások szerepének a közlekedés, az energia, az egészségügy, a körforgásos </w:t>
      </w:r>
      <w:proofErr w:type="spellStart"/>
      <w:r w:rsidRPr="0025099E">
        <w:rPr>
          <w:rFonts w:eastAsia="Times New Roman"/>
          <w:lang w:val="hu-HU"/>
        </w:rPr>
        <w:t>bioalapú</w:t>
      </w:r>
      <w:proofErr w:type="spellEnd"/>
      <w:r w:rsidRPr="0025099E">
        <w:rPr>
          <w:rFonts w:eastAsia="Times New Roman"/>
          <w:lang w:val="hu-HU"/>
        </w:rPr>
        <w:t xml:space="preserve"> iparágak, a kulcsfontosságú elektronikai alkatrészek, a szuper-számítástechnika és a hálózati rendszerek területén a kutatási és az innovációs tevékenységek támogatásának kell lennie; felhívja a közös vállalkozásokat, hogy mozdítsák elő a tudományos ismeretek piacképes innovációkká való átalakítását, és hozzanak létre mechanizmusokat annak biztosítására, hogy tevékenységük Európa versenyképességének növekedéséhez vezessen világszinten;</w:t>
      </w:r>
    </w:p>
    <w:p w14:paraId="3B1878DF"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2.</w:t>
      </w:r>
      <w:r w:rsidRPr="0025099E">
        <w:rPr>
          <w:rFonts w:eastAsia="Times New Roman"/>
          <w:szCs w:val="20"/>
          <w:lang w:val="hu-HU" w:eastAsia="en-GB"/>
        </w:rPr>
        <w:tab/>
        <w:t>hangsúlyozza, hogy a jelenlegi többéves pénzügyi keretben a Számvevőszék szerint a közös vállalkozások várhatóan összesen 17 milliárd EUR összegű költségvetést kapnak az uniós pénzbeli hozzájárulásból, és 21,1 milliárd EUR összegű hozzájárulást mozgósítanak más tagoktól;</w:t>
      </w:r>
    </w:p>
    <w:p w14:paraId="34E1E17F"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lastRenderedPageBreak/>
        <w:t>3.</w:t>
      </w:r>
      <w:r w:rsidRPr="0025099E">
        <w:rPr>
          <w:rFonts w:eastAsia="Times New Roman"/>
          <w:szCs w:val="20"/>
          <w:lang w:val="hu-HU" w:eastAsia="en-GB"/>
        </w:rPr>
        <w:tab/>
        <w:t xml:space="preserve">megjegyzi, hogy a közös vállalkozások lényege a köz- és magánszféra közötti partnerségeken alapul, amelyek irányítják a beruházásokat, és közös célok finanszírozására mozgósítják a köz- és magánforrásokat; e tekintetben emlékeztet arra, hogy a </w:t>
      </w:r>
      <w:proofErr w:type="spellStart"/>
      <w:r w:rsidRPr="0025099E">
        <w:rPr>
          <w:rFonts w:eastAsia="Times New Roman"/>
          <w:szCs w:val="20"/>
          <w:lang w:val="hu-HU" w:eastAsia="en-GB"/>
        </w:rPr>
        <w:t>magánszektorbeli</w:t>
      </w:r>
      <w:proofErr w:type="spellEnd"/>
      <w:r w:rsidRPr="0025099E">
        <w:rPr>
          <w:rFonts w:eastAsia="Times New Roman"/>
          <w:szCs w:val="20"/>
          <w:lang w:val="hu-HU" w:eastAsia="en-GB"/>
        </w:rPr>
        <w:t xml:space="preserve"> tagok hozzájárulásainak teljesíteniük kell a megállapított célokat annak érdekében, hogy az ilyen partnerségek kölcsönösen előnyösek maradjanak; felhívja azokat a közös vállalkozásokat, amelyek lehetővé teszik a kiegészítő tevékenységekhez való természetbeni hozzájárulást (IKAA), hogy amennyiben lehetséges, kerüljék el, hogy a kitűzött célok elérése érdekében túlzott mértékben támaszkodjanak ezekre a hozzájárulásokra;</w:t>
      </w:r>
    </w:p>
    <w:p w14:paraId="5894A0D9"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4.</w:t>
      </w:r>
      <w:r w:rsidRPr="0025099E">
        <w:rPr>
          <w:rFonts w:eastAsia="Times New Roman"/>
          <w:szCs w:val="20"/>
          <w:lang w:val="hu-HU" w:eastAsia="en-GB"/>
        </w:rPr>
        <w:tab/>
        <w:t>elismeri, hogy a közös vállalkozások jelentős mértékben hozzájárulnak a kutatás, az innováció és a technológiafejlesztés előmozdításához a különböző ágazatokban, többek között a légi közlekedési, a vasúti és a légi forgalmi szolgáltatási ágazatban, ami elengedhetetlen az Unió fenntarthatósággal, digitális átállással és versenyképességgel kapcsolatos stratégiai célkitűzéseinek eléréséhez;</w:t>
      </w:r>
    </w:p>
    <w:p w14:paraId="58EB8B42"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5.</w:t>
      </w:r>
      <w:r w:rsidRPr="0025099E">
        <w:rPr>
          <w:rFonts w:eastAsia="Times New Roman"/>
          <w:szCs w:val="20"/>
          <w:lang w:val="hu-HU" w:eastAsia="en-GB"/>
        </w:rPr>
        <w:tab/>
        <w:t>üdvözli a Számvevőszéknek az Európai Unió közös vállalkozásairól szóló, a 2023. évi pénzügyi évre vonatkozó éves jelentését (a továbbiakban: a számvevőszéki jelentés); hangsúlyozza, hogy a Számvevőszék küldetése alapvető fontosságú az uniós költségvetés hatékony és eredményes végrehajtása és a költségvetés felügyelete szempontjából;</w:t>
      </w:r>
    </w:p>
    <w:p w14:paraId="5F4A486E"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6.</w:t>
      </w:r>
      <w:r w:rsidRPr="0025099E">
        <w:rPr>
          <w:rFonts w:eastAsia="Times New Roman"/>
          <w:szCs w:val="20"/>
          <w:lang w:val="hu-HU" w:eastAsia="en-GB"/>
        </w:rPr>
        <w:tab/>
        <w:t xml:space="preserve">üdvözli, hogy a Számvevőszék éves jelentést nyújtott be a mentesítésért felelős hatóságnak az uniós közös vállalkozásokról, amely minden egyes közös vállalkozásra vonatkozóan külön megbízhatósági nyilatkozatot tartalmaz éves beszámolójuk és az azok alapjául szolgáló tranzakciók tekintetében; osztja azt a nézetet, hogy a Számvevőszékre nézve kötelező </w:t>
      </w:r>
      <w:proofErr w:type="spellStart"/>
      <w:r w:rsidRPr="0025099E">
        <w:rPr>
          <w:rFonts w:eastAsia="Times New Roman"/>
          <w:szCs w:val="20"/>
          <w:lang w:val="hu-HU" w:eastAsia="en-GB"/>
        </w:rPr>
        <w:t>erejű</w:t>
      </w:r>
      <w:proofErr w:type="spellEnd"/>
      <w:r w:rsidRPr="0025099E">
        <w:rPr>
          <w:rFonts w:eastAsia="Times New Roman"/>
          <w:szCs w:val="20"/>
          <w:lang w:val="hu-HU" w:eastAsia="en-GB"/>
        </w:rPr>
        <w:t xml:space="preserve"> jogi rendelkezések mellett intézményi keretük miatt is fontos, hogy a Számvevőszék külön figyelmet szenteljen a közös vállalkozásoknak; felszólít e bevált gyakorlat folytatására; üdvözli a közös vállalkozások és a Számvevőszék közötti jó együttműködést a számvevőszéki jelentés elkészítése során, és üdvözli a közös vállalkozások által adott válaszokban szereplő néhány észrevételre és figyelemfelhívó megjegyzésre adott magyarázatokat;</w:t>
      </w:r>
    </w:p>
    <w:p w14:paraId="3FC97B8D"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7.</w:t>
      </w:r>
      <w:r w:rsidRPr="0025099E">
        <w:rPr>
          <w:rFonts w:eastAsia="Times New Roman"/>
          <w:szCs w:val="20"/>
          <w:lang w:val="hu-HU" w:eastAsia="en-GB"/>
        </w:rPr>
        <w:tab/>
        <w:t>üdvözli, hogy a 2023. évi pénzügyi évben két közös vállalkozás vált pénzügyileg önállóvá, nevezetesen az Intelligens Hálózatok és Szolgáltatások Közös Vállalkozás 2023. október 24-én, a Globális Egészségügyi EDCTP3 Közös Vállalkozás pedig 2023. november 23-án; megjegyzi továbbá, hogy ennek eredményeként a Számvevőszék első alkalommal ellenőrizte ezt a két közös vállalkozást, azon kilenc közös vállalkozáson kívül, amelyeket a Számvevőszék a 2022. évi pénzügyi évre vonatkozóan már ellenőrzött;</w:t>
      </w:r>
    </w:p>
    <w:p w14:paraId="2F95B707"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8.</w:t>
      </w:r>
      <w:r w:rsidRPr="0025099E">
        <w:rPr>
          <w:rFonts w:eastAsia="Times New Roman"/>
          <w:szCs w:val="20"/>
          <w:lang w:val="hu-HU" w:eastAsia="en-GB"/>
        </w:rPr>
        <w:tab/>
        <w:t>hangsúlyozza, hogy tudatában van annak, hogy a 2023. évi pénzügyi év során egyes közös vállalkozásokat jelentős mértékben érintettek olyan fontos események, amelyek valószínűleg megváltoztatták teljesítményüket; pontosabban hangsúlyozza, hogy:</w:t>
      </w:r>
    </w:p>
    <w:p w14:paraId="1D9B431D"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a)</w:t>
      </w:r>
      <w:r w:rsidRPr="0025099E">
        <w:rPr>
          <w:rFonts w:eastAsia="Times New Roman"/>
          <w:szCs w:val="20"/>
          <w:lang w:val="hu-HU" w:eastAsia="en-GB"/>
        </w:rPr>
        <w:tab/>
        <w:t>Oroszország Ukrajna elleni agressziós háborúja jelentős hatást gyakorolt az uniós gazdaságra és az ellátási láncokra, jelentősen érintve egyes közös vállalkozások tevékenységeit;</w:t>
      </w:r>
    </w:p>
    <w:p w14:paraId="686A7285"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lastRenderedPageBreak/>
        <w:t>b)</w:t>
      </w:r>
      <w:r w:rsidRPr="0025099E">
        <w:rPr>
          <w:rFonts w:eastAsia="Times New Roman"/>
          <w:szCs w:val="20"/>
          <w:lang w:val="hu-HU" w:eastAsia="en-GB"/>
        </w:rPr>
        <w:tab/>
        <w:t>a Covid19-világjárvány következményei ma is Európa-szerte érezhetők, és a 2023. évi pénzügyi év során még mindig hatalmas sokkhatást okoztak a gazdasági és adminisztratív tevékenységekben;</w:t>
      </w:r>
    </w:p>
    <w:p w14:paraId="56B840FD" w14:textId="77777777" w:rsidR="004F308D" w:rsidRPr="0025099E" w:rsidRDefault="004F308D" w:rsidP="0038504B">
      <w:pPr>
        <w:spacing w:after="240"/>
        <w:ind w:left="1134" w:hanging="567"/>
        <w:jc w:val="left"/>
        <w:rPr>
          <w:rFonts w:eastAsia="Times New Roman"/>
          <w:szCs w:val="20"/>
          <w:lang w:val="hu-HU" w:eastAsia="en-GB"/>
        </w:rPr>
      </w:pPr>
      <w:r w:rsidRPr="0025099E">
        <w:rPr>
          <w:rFonts w:eastAsia="Times New Roman"/>
          <w:szCs w:val="20"/>
          <w:lang w:val="hu-HU" w:eastAsia="en-GB"/>
        </w:rPr>
        <w:t>c)</w:t>
      </w:r>
      <w:r w:rsidRPr="0025099E">
        <w:rPr>
          <w:rFonts w:eastAsia="Times New Roman"/>
          <w:szCs w:val="20"/>
          <w:lang w:val="hu-HU" w:eastAsia="en-GB"/>
        </w:rPr>
        <w:tab/>
        <w:t>a fent említett két esemény által okozott magas infláció hatással volt a közös vállalkozások készleteire és teljesítési időire;</w:t>
      </w:r>
    </w:p>
    <w:p w14:paraId="75A22098"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9.</w:t>
      </w:r>
      <w:r w:rsidRPr="0025099E">
        <w:rPr>
          <w:rFonts w:eastAsia="Times New Roman"/>
          <w:szCs w:val="20"/>
          <w:lang w:val="hu-HU" w:eastAsia="en-GB"/>
        </w:rPr>
        <w:tab/>
        <w:t>elismeri a közös vállalkozások előnyeit, a köz- és magánszféra közötti együttműködés fontosságát az innováció elősegítésében, a kutatás és fejlesztés előmozdításában, valamint a partnerségek gazdasági hasznát; megjegyzi, hogy a köz- és magánszféra erőforrásainak és szakértelmének összevonásával a közös vállalkozások hatékonyabban tudnak szembenézni a kihívásokkal; hangsúlyozza, hogy fontos az átláthatóság, az elszámoltathatóság és a közpénzek közös vállalkozások által való hatékony felhasználása;</w:t>
      </w:r>
    </w:p>
    <w:p w14:paraId="67C95CA1"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10.</w:t>
      </w:r>
      <w:r w:rsidRPr="0025099E">
        <w:rPr>
          <w:rFonts w:eastAsia="Times New Roman"/>
          <w:szCs w:val="20"/>
          <w:lang w:val="hu-HU" w:eastAsia="en-GB"/>
        </w:rPr>
        <w:tab/>
        <w:t>elismeri az érdekelt felek bevonását és részvételét előmozdító kezdeményezések – például a közös vállalkozások nyílt pályázati felhívásai és közös pályázati felhívásai – értékét, amelyek fontos szerepet játszanak a kollektív szakértelem és erőforrások kiaknázásában; külön felhívja a figyelmet az Európai Vasút Közös Vállalkozás és az „Egységes Európai Égbolt” Légiforgalmi Szolgáltatási Kutatás Közös Vállalkozás által közzétett közös pályázati felhívásra, amely közös vállalkozások első ilyen jellegű közös pályázati felhívása, amelynek célja egy integrált légi és vasúti hálózat kialakítása egy fenntartható multimodális közlekedési rendszer érdekében;</w:t>
      </w:r>
    </w:p>
    <w:p w14:paraId="32F37E9B"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11.</w:t>
      </w:r>
      <w:r w:rsidRPr="0025099E">
        <w:rPr>
          <w:rFonts w:eastAsia="Times New Roman"/>
          <w:szCs w:val="20"/>
          <w:lang w:val="hu-HU" w:eastAsia="en-GB"/>
        </w:rPr>
        <w:tab/>
        <w:t>emlékeztet arra, hogy a közös vállalkozásoknak működésüket a hatékony és eredményes pénzgazdálkodásnak megfelelően kell végezniük, ezáltal hatékonyan hozzájárulva az uniós szakpolitikai célkitűzésekhez, valamint az uniós költségvetés hatékony és eredményes végrehajtásához; mindazonáltal számos összetevő tekintetében aggodalmát fejezi ki a Számvevőszék ezen állásfoglalásban ismertetett megállapításainak fényében;</w:t>
      </w:r>
    </w:p>
    <w:p w14:paraId="424CCC49"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b/>
          <w:i/>
          <w:szCs w:val="20"/>
          <w:lang w:val="hu-HU" w:eastAsia="en-GB"/>
        </w:rPr>
        <w:t>Éves beszámoló</w:t>
      </w:r>
    </w:p>
    <w:p w14:paraId="1745ED68"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12.</w:t>
      </w:r>
      <w:r w:rsidRPr="0025099E">
        <w:rPr>
          <w:rFonts w:eastAsia="Times New Roman"/>
          <w:szCs w:val="20"/>
          <w:lang w:val="hu-HU" w:eastAsia="en-GB"/>
        </w:rPr>
        <w:tab/>
        <w:t>megjegyzi, hogy a számvevőszéki jelentés megállapítja, hogy az ellenőrzött tizenegy közös vállalkozás 2023. évi éves beszámolója minden lényeges szempontból híven és pénzügyi szabályzataiknak, valamint a Bizottság számvitelért felelős tisztviselője által elfogadott számviteli szabályoknak megfelelően tükrözi a 2023. december 31-i pénzügyi helyzetet, a tárgyévi gazdasági és pénzforgalmi események eredményét, valamint a nettó eszközállomány változásait; megjegyzi továbbá, hogy ennek eredményeként a Számvevőszék korlátozás nélküli ellenőrzési véleményt adott ki a közös vállalkozások éves beszámolójának megbízhatóságáról;</w:t>
      </w:r>
    </w:p>
    <w:p w14:paraId="70B15CEF"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13.</w:t>
      </w:r>
      <w:r w:rsidRPr="0025099E">
        <w:rPr>
          <w:rFonts w:eastAsia="Times New Roman"/>
          <w:szCs w:val="20"/>
          <w:lang w:val="hu-HU" w:eastAsia="en-GB"/>
        </w:rPr>
        <w:tab/>
        <w:t>megjegyzi, hogy a számvevőszéki jelentés úgy találta, hogy az éves beszámoló alapját képező ügyletek minden lényeges szempontból jogszerűek és szabályszerűek voltak; megjegyzi továbbá, hogy ennek eredményeként a Számvevőszék korlátozás nélküli ellenőrzési véleményt adott ki a közös vállalkozások beszámolójának alapjául szolgáló bevételek és kifizetések jogszerűségéről és szabályszerűségéről;</w:t>
      </w:r>
    </w:p>
    <w:p w14:paraId="5F4738D4"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14.</w:t>
      </w:r>
      <w:r w:rsidRPr="0025099E">
        <w:rPr>
          <w:rFonts w:eastAsia="Times New Roman"/>
          <w:szCs w:val="20"/>
          <w:lang w:val="hu-HU" w:eastAsia="en-GB"/>
        </w:rPr>
        <w:tab/>
        <w:t xml:space="preserve">tudomásul veszi, hogy a Számvevőszék véleménye szerint az Intelligens Hálózatok és Szolgáltatások Közös Vállalkozás és a Globális Egészségügyi EDCTP3 Közös Vállalkozás nem kapott elegendő iránymutatást az első éves beszámolójukra </w:t>
      </w:r>
      <w:r w:rsidRPr="0025099E">
        <w:rPr>
          <w:rFonts w:eastAsia="Times New Roman"/>
          <w:szCs w:val="20"/>
          <w:lang w:val="hu-HU" w:eastAsia="en-GB"/>
        </w:rPr>
        <w:lastRenderedPageBreak/>
        <w:t>vonatkozóan, különösen ami annak szükségességét illeti, hogy egyértelműen megkülönböztessék a pénzügyi függetlenségük elérését megelőzően a Bizottság által kezelt pénzügyi forrásokat, illetve az azt követően a közös vállalkozások által kezelt pénzügyi forrásokat; megismétli a Számvevőszék ezzel kapcsolatos intézkedési ajánlását, amely azt ajánlja, hogy dolgozzanak ki olyan egyértelmű és átfogó számviteli iránymutatásokat, amelyek meghatározzák az új közös vállalkozások első éves beszámolójának bemutatására vonatkozó szabályokat, valamint hogy ezeknek az iránymutatásoknak utasításokat kell tartalmazniuk arra vonatkozóan, hogy miként kell elkülöníteni a Bizottság által végrehajtott pénzügyi forrásokat a közös vállalkozás által a pénzügyi önállóságának elérését követően végrehajtott pénzügyi forrásoktól; megjegyzi, hogy az éves beszámoló megbízhatóságát érintő kockázatot valamennyi közös vállalkozás esetében alacsonynak ítélték, kivéve az Intelligens Hálózatok és Szolgáltatások Közös Vállalkozást és a Globális Egészségügyi EDCTP3 Közös Vállalkozást, amelyek esetében a megbízhatóságra vonatkozó kockázatot közepesnek ítélték, mivel a költségvetési előirányzatoknak és eszközöknek a Bizottság felelősségi köréből a közös vállalkozás felelősségi körébe történő átcsoportosítása bonyolult volt;</w:t>
      </w:r>
    </w:p>
    <w:p w14:paraId="4A5C0E88"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15.</w:t>
      </w:r>
      <w:r w:rsidRPr="0025099E">
        <w:rPr>
          <w:rFonts w:eastAsia="Times New Roman"/>
          <w:szCs w:val="20"/>
          <w:lang w:val="hu-HU" w:eastAsia="en-GB"/>
        </w:rPr>
        <w:tab/>
        <w:t>tudomásul veszi, hogy a Fúziósenergia-fejlesztési és ITER Európai Közös Vállalkozás éves beszámolója a 2023-ban érvényben lévő ITER-projekt alapkoncepciója alapján készül, de ez utóbbi folyamatban lévő felülvizsgálat tárgyát képezi, amelynek eredménye valószínűleg jelentős változásokat fog eredményezni a Fúziósenergia-fejlesztési és ITER Európai Közös Vállalkozás és annak befejezéskori becsült összköltsége tekintetében; hangsúlyozza, hogy az érintett közös vállalkozásnak minden szükséges intézkedést meg kell tennie annak biztosítása érdekében, hogy a jövőbeli alapforgatókönyv és annak a közös vállalkozáshoz való uniós pénzbeli hozzájárulások szükségességére gyakorolt következményei ne jelentsenek terhet az uniós költségvetés számára; az érintett közös vállalkozásnak a Költségvetési Ellenőrző Bizottságban tartott meghallgatása alapján megjegyzi, hogy a meghallgatás idején és az érintett közös vállalkozás szerint túl korai volt becslést adni e felülvizsgálat pénzügyi hatásáról; aggodalmát fejezi ki továbbá az ITER projektet a közös vállalkozás által nem befolyásolható tényezők következtében érintő késedelmek miatt;</w:t>
      </w:r>
    </w:p>
    <w:p w14:paraId="48A6585D"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16.</w:t>
      </w:r>
      <w:r w:rsidRPr="0025099E">
        <w:rPr>
          <w:rFonts w:eastAsia="Times New Roman"/>
          <w:szCs w:val="20"/>
          <w:lang w:val="hu-HU" w:eastAsia="en-GB"/>
        </w:rPr>
        <w:tab/>
        <w:t>aggodalmát fejezi ki a Fúziósenergia-fejlesztési és ITER Európai Közös Vállalkozás átszervezésének a tevékenységeire gyakorolt lehetséges hatása miatt, különös tekintettel a közös vállalkozást érintő rövid és középtávú instabilitásokra és működési kockázatokra; üdvözli, hogy az érintett közös vállalkozás tisztában van ezekkel a kérdésekkel és magyarázattal szolgál a helyzettel kapcsolatos nézeteiről; üdvözli az érintett közös vállalkozás Költségvetési Ellenőrző Bizottságban tartott meghallgatása során nyújtott kiegészítő információkat, különös tekintettel arra, hogy a meglévő programokra és projektekre való erőteljes támaszkodásnak köszönhetően az eddigiekben sikerült csökkenteni az üzletmenet-folytonosságot érintő kockázatokat; üdvözli az új mátrixszerkezet által biztosított rugalmasságot;</w:t>
      </w:r>
    </w:p>
    <w:p w14:paraId="3098C346"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17.</w:t>
      </w:r>
      <w:r w:rsidRPr="0025099E">
        <w:rPr>
          <w:rFonts w:eastAsia="Times New Roman"/>
          <w:szCs w:val="20"/>
          <w:lang w:val="hu-HU" w:eastAsia="en-GB"/>
        </w:rPr>
        <w:tab/>
        <w:t>tudomásul veszi, hogy a bevételek jogszerűségét és szabályszerűségét érintő kockázatot valamennyi közös vállalkozás esetében alacsonynak ítélték;</w:t>
      </w:r>
    </w:p>
    <w:p w14:paraId="6F8825F3"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b/>
          <w:i/>
          <w:szCs w:val="20"/>
          <w:lang w:val="hu-HU" w:eastAsia="en-GB"/>
        </w:rPr>
        <w:t>Költségvetési és pénzgazdálkodás</w:t>
      </w:r>
    </w:p>
    <w:p w14:paraId="5524CD18"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18.</w:t>
      </w:r>
      <w:r w:rsidRPr="0025099E">
        <w:rPr>
          <w:rFonts w:eastAsia="Times New Roman"/>
          <w:szCs w:val="20"/>
          <w:lang w:val="hu-HU" w:eastAsia="en-GB"/>
        </w:rPr>
        <w:tab/>
        <w:t xml:space="preserve">megjegyzi, hogy a Számvevőszék szerint a Számvevőszék által ellenőrzött tizenegy közös vállalkozás 2023-ban rendelkezésre álló teljes költségvetése 4,25 milliárd EUR kötelezettségvállalási előirányzatot és 3,87 milliárd EUR kifizetési előirányzatot tett ki, </w:t>
      </w:r>
      <w:r w:rsidRPr="0025099E">
        <w:rPr>
          <w:rFonts w:eastAsia="Times New Roman"/>
          <w:szCs w:val="20"/>
          <w:lang w:val="hu-HU" w:eastAsia="en-GB"/>
        </w:rPr>
        <w:lastRenderedPageBreak/>
        <w:t>és úgy véli, hogy a teljes rendelkezésre álló költségvetés magában foglalja a korábbi évek fel nem használt előirányzatait, amelyeket a közös vállalkozások ismét felvettek a folyó év költségvetésébe, valamint címzett bevételeket és a következő évre átvitt összegeket; pontosabban megjegyzi, hogy:</w:t>
      </w:r>
    </w:p>
    <w:p w14:paraId="7FDCE842"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a)</w:t>
      </w:r>
      <w:r w:rsidRPr="0025099E">
        <w:rPr>
          <w:rFonts w:eastAsia="Times New Roman"/>
          <w:szCs w:val="20"/>
          <w:lang w:val="hu-HU" w:eastAsia="en-GB"/>
        </w:rPr>
        <w:tab/>
        <w:t>a 3. „Egységes Európai Égbolt” Légiforgalmi Szolgáltatási Kutatás Közös Vállalkozás 2023-ban rendelkezésre álló teljes költségvetése 111,2 millió EUR kötelezettségvállalási előirányzatot (a 2022. évi 158,8 millió EUR-hoz képest) és 241,5 millió EUR kifizetési előirányzatot (a 2022. évi 146,9 millió EUR-hoz képest) tett ki; tudomásul veszi továbbá, hogy a 3. „Egységes Európai Égbolt” Légiforgalmi Szolgáltatási Kutatás Közös Vállalkozás költségvetési és pénzgazdálkodásáról szóló jelentés szerint a 2023. évi pénzügyi évre vonatkozó teljes költségvetés végrehajtási aránya a kötelezettségvállalási előirányzatok esetében elérte a 92 %-ot, a kifizetési előirányzatok esetében pedig a 81 %-ot, ami azt jelzi, hogy a költségvetés végrehajtásának ütemével kapcsolatban nem merültek fel súlyos problémák; mindazonáltal hangsúlyozza az infrastrukturális és működési kiadásokra szánt kifizetési előirányzatok alacsony végrehajtási arányát, amely 55 % volt; tudomásul veszi a közös vállalkozás által adott magyarázatot, és általánosságban felhívja a közös vállalkozást, hogy költségvetésének minden szakasza tekintetében biztosítsa a végrehajtás egészséges ütemét;</w:t>
      </w:r>
    </w:p>
    <w:p w14:paraId="58C7244F"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b)</w:t>
      </w:r>
      <w:r w:rsidRPr="0025099E">
        <w:rPr>
          <w:rFonts w:eastAsia="Times New Roman"/>
          <w:szCs w:val="20"/>
          <w:lang w:val="hu-HU" w:eastAsia="en-GB"/>
        </w:rPr>
        <w:tab/>
        <w:t>a Tiszta Légi Közlekedés Közös Vállalkozás 2023-ban rendelkezésre álló teljes költségvetése 269 millió EUR kötelezettségvállalási előirányzatot (a 2022. évi 411,2 millió EUR-hoz képest) és 486,4 millió EUR kifizetési előirányzatot (a 2022. évi 415,3 millió EUR-hoz képest) tett ki; tudomásul veszi továbbá, hogy a Tiszta Légi Közlekedés Közös Vállalkozás költségvetési és pénzgazdálkodásáról szóló jelentése szerint a 2023. évi pénzügyi évre vonatkozó teljes költségvetés végrehajtási aránya a kötelezettségvállalási előirányzatok esetében 98,58 %, a kifizetési előirányzatok esetében pedig 51,18 % volt, ami azt jelzi, hogy súlyos problémák merültek fel a költségvetés végrehajtásának ütemével kapcsolatban; megjegyzi különösen, hogy a két operatív kiadási cím végrehajtási aránya a kifizetési előirányzatok esetében 80,50 %, illetve 81,11 %; hangsúlyozza továbbá az infrastrukturális kiadásokra szánt kifizetési előirányzatok alacsony végrehajtási arányát, amely 60,52 % volt; mély sajnálatát fejezi ki amiatt, hogy költségvetésének 5. címében jelentős összeget, 177 millió EUR-t különítettek el fel nem használt kifizetési előirányzatokra, amelynek technikai végrehajtási aránya 0 %; tudomásul veszi a közös vállalkozás által adott magyarázatot, és általánosságban felhívja a közös vállalkozást, hogy költségvetésének minden szakasza tekintetében biztosítsa a végrehajtás egészséges ütemét;</w:t>
      </w:r>
    </w:p>
    <w:p w14:paraId="6AC8E01C"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c)</w:t>
      </w:r>
      <w:r w:rsidRPr="0025099E">
        <w:rPr>
          <w:rFonts w:eastAsia="Times New Roman"/>
          <w:szCs w:val="20"/>
          <w:lang w:val="hu-HU" w:eastAsia="en-GB"/>
        </w:rPr>
        <w:tab/>
        <w:t xml:space="preserve">az Innovatív Egészségügy Közös Vállalkozás 2023-ban rendelkezésre álló teljes költségvetése 223,2 millió EUR kötelezettségvállalási előirányzatot (a 2022. évi 272,4 millió EUR-hoz képest) és 225,9 millió EUR kifizetési előirányzatot (a 2022. évi 174,8 millió EUR-hoz képest) tett ki; tudomásul veszi továbbá, hogy az Innovatív Egészségügy Közös Vállalkozás költségvetési és pénzgazdálkodásáról szóló jelentése szerint a 2023. évi pénzügyi évre vonatkozó teljes költségvetés végrehajtási aránya a kötelezettségvállalási előirányzatok esetében elérte a 92,65 %-ot, a kifizetési előirányzatok esetében pedig a 90,29 %-ot, ami azt jelzi, hogy nem merültek fel súlyos problémák a költségvetés végrehajtásának </w:t>
      </w:r>
      <w:r w:rsidRPr="0025099E">
        <w:rPr>
          <w:rFonts w:eastAsia="Times New Roman"/>
          <w:szCs w:val="20"/>
          <w:lang w:val="hu-HU" w:eastAsia="en-GB"/>
        </w:rPr>
        <w:lastRenderedPageBreak/>
        <w:t>ütemével kapcsolatban; mindazonáltal hangsúlyozza az infrastrukturális kiadásokra szánt kötelezettségvállalási és kifizetési előirányzatok alacsony végrehajtási arányait, amelyek 68,67 %-ot és 67,30 %-ot tettek ki; tudomásul veszi a közös vállalkozás által adott magyarázatot, és általánosságban felhívja a közös vállalkozást, hogy költségvetésének minden szakasza tekintetében biztosítsa a végrehajtás egészséges ütemét;</w:t>
      </w:r>
    </w:p>
    <w:p w14:paraId="374A8437"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d)</w:t>
      </w:r>
      <w:r w:rsidRPr="0025099E">
        <w:rPr>
          <w:rFonts w:eastAsia="Times New Roman"/>
          <w:szCs w:val="20"/>
          <w:lang w:val="hu-HU" w:eastAsia="en-GB"/>
        </w:rPr>
        <w:tab/>
        <w:t>a Tiszta Hidrogén Közös Vállalkozás 2023-ban rendelkezésre álló teljes költségvetése 268,9 millió EUR kötelezettségvállalási előirányzatot (a 2022. évi 314,3 millió EUR-hoz képest) és 327,8 millió EUR kifizetési előirányzatot (a 2022. évi 118,3 millió EUR-hoz képest) tett ki; tudomásul veszi továbbá, hogy a Tiszta Hidrogén Közös Vállalkozás költségvetési és pénzgazdálkodásáról szóló jelentése szerint a 2023. évi pénzügyi évre vonatkozó teljes költségvetés végrehajtási aránya a kötelezettségvállalási előirányzatok esetében elérte a 96,62 %-ot, a kifizetési előirányzatok esetében pedig a 85,43 %-ot, ami azt jelzi, hogy nem merültek fel súlyos problémák a költségvetés végrehajtásának ütemével kapcsolatban; mindazonáltal hangsúlyozza a Horizont 2020 keretében finanszírozott operatív kiadásokra szánt kifizetési előirányzatok alacsony végrehajtási arányát, amely 69,41 % volt; hangsúlyozza továbbá az infrastrukturális kiadásokra szánt kötelezettségvállalási és kifizetési előirányzatok alacsony végrehajtási arányait, amelyek 71,21 %-ot és 60,60 %-ot tettek ki; tudomásul veszi a közös vállalkozás által adott magyarázatot, és általánosságban felhívja a közös vállalkozást, hogy költségvetésének minden szakasza tekintetében biztosítsa a végrehajtás egészséges ütemét;</w:t>
      </w:r>
    </w:p>
    <w:p w14:paraId="40BEF724"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e)</w:t>
      </w:r>
      <w:r w:rsidRPr="0025099E">
        <w:rPr>
          <w:rFonts w:eastAsia="Times New Roman"/>
          <w:szCs w:val="20"/>
          <w:lang w:val="hu-HU" w:eastAsia="en-GB"/>
        </w:rPr>
        <w:tab/>
        <w:t xml:space="preserve">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2023-ban rendelkezésre álló teljes költségvetése 835,7 millió EUR kötelezettségvállalási előirányzatot (a 2022. évi 261,4 millió EUR-hoz képest) és 518,4 millió EUR kifizetési előirányzatot (a 2022. évi 222,2 millió EUR-hoz képest) tett ki; tudomásul veszi továbbá, hogy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költségvetési és pénzgazdálkodásáról szóló jelentése szerint a 2023. évi pénzügyi évre vonatkozó teljes költségvetés végrehajtási aránya a kötelezettségvállalási előirányzatok esetében elérte a 100 %-ot, a kifizetési előirányzatok esetében pedig 37 % volt, ami azt jelzi, hogy súlyos problémák merültek fel a költségvetés végrehajtásának ütemével kapcsolatban; különösen hangsúlyozza az operatív kiadásokra szánt kifizetési előirányzatok rendkívül alacsony végrehajtási arányát, amely 36 % volt; tudomásul veszi a közös vállalkozás által adott magyarázatot, de mély sajnálatát fejezi ki az alacsony végrehajtási arány miatt, és általánosságban felhívja a közös vállalkozást, hogy költségvetésének minden szakasza tekintetében biztosítsa a végrehajtás egészséges ütemét; tudomásul veszi, hogy ezek az elemek –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által 2023-ban élvezett és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által végrehajtandó megnövelt finanszírozással kapcsolatban – arra késztették a Számvevőszéket, hogy a költségvetési gazdálkodást érintő kockázatot közepesnek tekintse e közös vállalkozás esetében;</w:t>
      </w:r>
    </w:p>
    <w:p w14:paraId="791BECA7"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f)</w:t>
      </w:r>
      <w:r w:rsidRPr="0025099E">
        <w:rPr>
          <w:rFonts w:eastAsia="Times New Roman"/>
          <w:szCs w:val="20"/>
          <w:lang w:val="hu-HU" w:eastAsia="en-GB"/>
        </w:rPr>
        <w:tab/>
        <w:t xml:space="preserve">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Közös Vállalkozás 2023-ban rendelkezésre álló teljes költségvetése 227,4 millió EUR kötelezettségvállalási előirányzatot (a 2022. évi 264,2 millió EUR-hoz képest) és 137,4 millió EUR kifizetési előirányzatot (a 2022. évi 80,3 millió EUR-hoz képest) tett ki; tudomásul veszi továbbá, hogy 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w:t>
      </w:r>
      <w:r w:rsidRPr="0025099E">
        <w:rPr>
          <w:rFonts w:eastAsia="Times New Roman"/>
          <w:szCs w:val="20"/>
          <w:lang w:val="hu-HU" w:eastAsia="en-GB"/>
        </w:rPr>
        <w:lastRenderedPageBreak/>
        <w:t>Közös Vállalkozás költségvetési és pénzgazdálkodásáról szóló jelentése szerint a 2023. évi pénzügyi évre vonatkozó teljes költségvetés végrehajtási aránya a kötelezettségvállalási előirányzatok esetében elérte a 97,6 %-ot, a kifizetési előirányzatok esetében pedig a 90,3 %-ot, ami azt jelzi, hogy nem merültek fel súlyos problémák a költségvetés végrehajtásának ütemével kapcsolatban; mindazonáltal hangsúlyozza a kötelezettségvállalási és kifizetési előirányzatok alacsony végrehajtási arányát igazgatási kiadásainak bérekkel kapcsolatos része tekintetében, amely 64 %, illetve 57 % volt, valamint a kifizetési előirányzatok alacsony végrehajtási arányát az igazgatási kiadások egyéb igazgatási kiadásokra szánt része tekintetében, amely 54 % volt; tudomásul veszi a közös vállalkozás által adott magyarázatot, és általánosságban felhívja a közös vállalkozást, hogy költségvetésének minden szakasza tekintetében biztosítsa a végrehajtás egészséges ütemét;</w:t>
      </w:r>
    </w:p>
    <w:p w14:paraId="3F52B4EF"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g)</w:t>
      </w:r>
      <w:r w:rsidRPr="0025099E">
        <w:rPr>
          <w:rFonts w:eastAsia="Times New Roman"/>
          <w:szCs w:val="20"/>
          <w:lang w:val="hu-HU" w:eastAsia="en-GB"/>
        </w:rPr>
        <w:tab/>
        <w:t xml:space="preserve">az Európai Vasút Közös Vállalkozás 2023-ban rendelkezésre álló teljes költségvetése 102,6 millió EUR kötelezettségvállalási előirányzatot (a 2022. évi 171,4 millió EUR-hoz képest) és 120,3 millió EUR kifizetési előirányzatot (a 2022. évi 180,8 millió EUR-hoz képest) tett ki; tudomásul veszi továbbá, hogy az Európai Vasút Közös Vállalkozás költségvetési és pénzgazdálkodásáról szóló jelentése szerint a 2023. évi pénzügyi évre vonatkozó teljes költségvetés végrehajtási aránya a kötelezettségvállalási előirányzatok esetében elérte a 97 %-ot, a kifizetési előirányzatok esetében pedig a 82 %-ot, ami azt jelzi, hogy nem merültek fel súlyos problémák a költségvetés végrehajtásának ütemével kapcsolatban; mindazonáltal hangsúlyozza a Horizont 2020 keretében finanszírozott operatív kiadások részére szánt kifizetési előirányzatok alacsony végrehajtási arányát, amely 67 % volt; tudomásul veszi a közös vállalkozás által adott magyarázatot, és általánosságban felhívja a közös vállalkozást, hogy költségvetésének minden szakasza tekintetében biztosítsa a végrehajtás egészséges ütemét; rámutat, hogy az Európai Vasút Közös Vállalkozás a kedvezményezettek által tapasztalt műszaki problémák miatt 2024-re halasztott végső kifizetéseket; tudomásul veszi, hogy több projekt esetében nem vették igénybe teljes mértékben a költségvetést, ami mintegy 4,1 millió euróval csökkentette az operatív kifizetések iránti igényt; </w:t>
      </w:r>
      <w:r w:rsidRPr="0025099E">
        <w:rPr>
          <w:rFonts w:eastAsia="Times New Roman"/>
          <w:color w:val="000000"/>
          <w:szCs w:val="20"/>
          <w:lang w:val="hu-HU" w:eastAsia="en-GB"/>
        </w:rPr>
        <w:t xml:space="preserve">felhívja az érintett közös vállalkozást, hogy dolgozzon ki tervet arra vonatkozóan, hogy miként lehetne javítani a számviteli beszámolási kötelezettségeket; </w:t>
      </w:r>
      <w:r w:rsidRPr="0025099E">
        <w:rPr>
          <w:rFonts w:eastAsia="Times New Roman"/>
          <w:szCs w:val="20"/>
          <w:lang w:val="hu-HU" w:eastAsia="en-GB"/>
        </w:rPr>
        <w:t>kiemeli a közös vállalkozás támogatásának fontosságát, tekintettel a vasúttal járó előnyökre a környezeti teljesítmény, a földhasználat, az energiafogyasztás és a biztonság terén;</w:t>
      </w:r>
    </w:p>
    <w:p w14:paraId="62F40ED0"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h)</w:t>
      </w:r>
      <w:r w:rsidRPr="0025099E">
        <w:rPr>
          <w:rFonts w:eastAsia="Times New Roman"/>
          <w:szCs w:val="20"/>
          <w:lang w:val="hu-HU" w:eastAsia="en-GB"/>
        </w:rPr>
        <w:tab/>
        <w:t xml:space="preserve">az Európai Nagy Teljesítményű Számítástechnika Közös Vállalkozás 2023-ban rendelkezésre álló teljes költségvetése 1 136 millió EUR kötelezettségvállalási előirányzatot (a 2022. évi 1 374,5 millió EUR-hoz képest) és 1 058 millió EUR kifizetési előirányzatot (a 2022. évi 629,9 millió EUR-hoz képest) tett ki; tudomásul veszi továbbá, hogy az Európai Nagy Teljesítményű Számítástechnika Közös Vállalkozás költségvetési és pénzgazdálkodásáról szóló jelentése szerint a 2023. évi pénzügyi évre vonatkozó teljes költségvetés végrehajtási aránya a kötelezettségvállalási előirányzatok esetében elérte a 83 %-ot, a kifizetési előirányzatok esetében pedig 19 % volt, ami azt jelzi, hogy súlyos problémák merültek fel a költségvetés végrehajtásának ütemével kapcsolatban; különösen hangsúlyozza az operatív kiadásokra szánt kifizetési előirányzatok rendkívül alacsony végrehajtási arányát, amely 19 % volt; tudomásul veszi a közös </w:t>
      </w:r>
      <w:r w:rsidRPr="0025099E">
        <w:rPr>
          <w:rFonts w:eastAsia="Times New Roman"/>
          <w:szCs w:val="20"/>
          <w:lang w:val="hu-HU" w:eastAsia="en-GB"/>
        </w:rPr>
        <w:lastRenderedPageBreak/>
        <w:t>vállalkozás magyarázatát, de mély sajnálatát fejezi ki az ilyen alacsony végrehajtási arány miatt; hangsúlyozza továbbá az adminisztratív kiadásokra szánt kötelezettségvállalási és kifizetési előirányzatok alacsony végrehajtási arányait, amelyek 45 %-ot és 42 %-ot tettek ki; tudomásul veszi a közös vállalkozás által adott magyarázatot, és általánosságban felhívja a közös vállalkozást, hogy költségvetésének minden szakasza tekintetében biztosítsa a végrehajtás egészséges ütemét; tudomásul veszi, hogy ezek az elemek – az Európai Nagy Teljesítményű Számítástechnika Közös Vállalkozás által 2023-ban élvezett és az Európai Nagy Teljesítményű Számítástechnika Közös Vállalkozás által végrehajtandó megnövelt finanszírozással kapcsolatban – arra késztették a Számvevőszéket, hogy a költségvetési gazdálkodást érintő kockázatot közepesnek tekintse e közös vállalkozás esetében; üdvözli az érintett közös vállalkozás Költségvetési Ellenőrző Bizottságban tartott meghallgatása során nyújtott kiegészítő tájékoztatást e lassú végrehajtási arány okairól;</w:t>
      </w:r>
    </w:p>
    <w:p w14:paraId="47E9212C"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i)</w:t>
      </w:r>
      <w:r w:rsidRPr="0025099E">
        <w:rPr>
          <w:rFonts w:eastAsia="Times New Roman"/>
          <w:szCs w:val="20"/>
          <w:lang w:val="hu-HU" w:eastAsia="en-GB"/>
        </w:rPr>
        <w:tab/>
        <w:t>az Intelligens Hálózatok és Szolgáltatások Közös Vállalkozás rendelkezésre álló teljes költségvetése 2023-ban 134,7 millió EUR kötelezettségvállalási előirányzatot és 122,9 millió EUR kifizetési előirányzatot tett ki; tudomásul veszi továbbá, hogy az Intelligens Hálózatok és Szolgáltatások Közös Vállalkozás költségvetési és pénzgazdálkodásáról szóló jelentése szerint a 2023. évi pénzügyi évre vonatkozó teljes költségvetés végrehajtási aránya a kötelezettségvállalási előirányzatok esetében elérte a 99 %-ot, a kifizetési előirányzatok esetében pedig a 89 %-ot; úgy véli, hogy tekintettel arra a rövid időszakra, amely alatt a közös vállalkozás pénzügyileg önálló volt a 2023. évi pénzügyi évben, az Európai Parlament nem tudja megalapozottan kifejezni álláspontját a közös vállalkozás pénzgazdálkodásának minőségéről, miközben ezt jóhiszeműen teszi; mindazonáltal megjegyzi, hogy e helyzet miatt az igazgatási kiadások jogszerűségével és szabályszerűségével kapcsolatos kockázatot a közös vállalkozás esetében közepesnek tekintették;</w:t>
      </w:r>
    </w:p>
    <w:p w14:paraId="55AA6621"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j)</w:t>
      </w:r>
      <w:r w:rsidRPr="0025099E">
        <w:rPr>
          <w:rFonts w:eastAsia="Times New Roman"/>
          <w:szCs w:val="20"/>
          <w:lang w:val="hu-HU" w:eastAsia="en-GB"/>
        </w:rPr>
        <w:tab/>
        <w:t>a Globális Egészségügyi EDCTP3 Közös Vállalkozás 2023-ban rendelkezésre álló teljes költségvetése 136,4 millió EUR kötelezettségvállalási előirányzatot és 2,2 millió EUR kifizetési előirányzatot tett ki; tudomásul veszi továbbá, hogy a Globális Egészségügyi EDCTP3 Közös Vállalkozás költségvetési és pénzgazdálkodásáról szóló jelentése szerint a 2023. évi pénzügyi évre vonatkozó teljes költségvetés végrehajtási aránya a kötelezettségvállalási előirányzatok esetében elérte a 100 %-ot, a kifizetési előirányzatok esetében pedig 47 % volt; úgy véli, hogy tekintettel arra a rövid időszakra, amely alatt a közös vállalkozás pénzügyileg önálló volt a 2023. évi pénzügyi évben, az Európai Parlament nem tudja megalapozottan kifejezni álláspontját a közös vállalkozás pénzgazdálkodásának minőségéről, miközben ezt jóhiszeműen teszi; mindazonáltal megjegyzi, hogy e helyzet miatt az igazgatási kiadások jogszerűségével és szabályszerűségével kapcsolatos kockázatot a közös vállalkozás esetében közepesnek tekintették;</w:t>
      </w:r>
    </w:p>
    <w:p w14:paraId="051CF554"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k)</w:t>
      </w:r>
      <w:r w:rsidRPr="0025099E">
        <w:rPr>
          <w:rFonts w:eastAsia="Times New Roman"/>
          <w:szCs w:val="20"/>
          <w:lang w:val="hu-HU" w:eastAsia="en-GB"/>
        </w:rPr>
        <w:tab/>
        <w:t xml:space="preserve">a Fúziósenergia-fejlesztési és ITER Európai Közös Vállalkozás 2023-ban rendelkezésre álló teljes költségvetése 807 millió EUR kötelezettségvállalási előirányzatot (a 2022. évi 981,2 millió EUR-hoz képest) és 631,5 millió EUR kifizetési előirányzatot (a 2022. évi 844 millió EUR-hoz képest) tett ki; tudomásul veszi továbbá, hogy a Fúziósenergia-fejlesztési és ITER Európai </w:t>
      </w:r>
      <w:r w:rsidRPr="0025099E">
        <w:rPr>
          <w:rFonts w:eastAsia="Times New Roman"/>
          <w:szCs w:val="20"/>
          <w:lang w:val="hu-HU" w:eastAsia="en-GB"/>
        </w:rPr>
        <w:lastRenderedPageBreak/>
        <w:t>Közös Vállalkozás költségvetési és pénzgazdálkodásáról szóló jelentése szerint a 2023. évi pénzügyi évre vonatkozó teljes költségvetés végrehajtási aránya a kötelezettségvállalási előirányzatok esetében 73 % volt, a kifizetési előirányzatok esetében pedig elérte a 95 %-ot, ami azt jelzi, hogy súlyos problémák merültek fel a költségvetés végrehajtásának ütemével kapcsolatban; különösen hangsúlyozza az operatív kiadásokra szánt kötelezettségvállalási előirányzatok alacsony végrehajtási arányát, amely 70 % volt; tudomásul veszi a közös vállalkozás által adott magyarázatot, és tudomásul veszi az ennek eredményeként az Euratom és az ITER fogadó állama által eredetileg tervezett hozzájárulásokhoz történő átcsoportosításokat, és általánosságban felhívja a közös vállalkozást, hogy költségvetésének minden egyes szakasza tekintetében biztosítsa a végrehajtás egészséges ütemét; tudomásul veszi, hogy ezek a késedelmekhez és végrehajtási nehézségekhez kapcsolódó elemek arra késztették a Számvevőszéket, hogy e közös vállalkozás esetében közepesnek tekintse a költségvetési gazdálkodást érintő kockázatot;</w:t>
      </w:r>
    </w:p>
    <w:p w14:paraId="42FC5C3A"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19.</w:t>
      </w:r>
      <w:r w:rsidRPr="0025099E">
        <w:rPr>
          <w:rFonts w:eastAsia="Times New Roman"/>
          <w:szCs w:val="20"/>
          <w:lang w:val="hu-HU" w:eastAsia="en-GB"/>
        </w:rPr>
        <w:tab/>
        <w:t>megismétli a Számvevőszéknek az egyes közös vállalkozások programjainak végrehajtása során fel nem használt előirányzatokkal kapcsolatos aggályait, és felhívja az érintett közös vállalkozásokat, hogy kerüljék el a hasonló helyzetek megismétlődését, mivel a fel nem használt előirányzatok felhalmozódása készpénztöbbletet eredményez, amelyek ezért nem állnak az Unió rendelkezésére más tevékenységek és programok finanszírozására; hangsúlyozza, hogy ez nincs összhangban a hatékony és eredményes pénzgazdálkodás elvével, és összesen 1,5 milliárd EUR készpénztöbbletet eredményezett a 2023. évi pénzügyi évben; megismétli a Számvevőszék erre vonatkozó ajánlását, amely azt ajánlja, hogy az érintett közös vállalkozások dolgozzanak ki megfelelő korrekciós mechanizmusokat készpénztöbbletük észszerű szintre történő csökkentésére, és ezt követően az egyes pénzügyi évekre vonatkozó készpénzigényeiket a Bizottsággal együttműködve hangolják össze becsült kiadási szükségleteikkel; tudatában van az érintett közös vállalkozások pénzügyi szabályai szerinti azon lehetőségeknek, hogy a fel nem használt előirányzatokat fel lehet venni a beérkezésüket követő három pénzügyi évre vonatkozó bevételi és kiadási előirányzatba; mindazonáltal pontosabban az alábbiak aggasztják:</w:t>
      </w:r>
    </w:p>
    <w:p w14:paraId="666AE633"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a)</w:t>
      </w:r>
      <w:r w:rsidRPr="0025099E">
        <w:rPr>
          <w:rFonts w:eastAsia="Times New Roman"/>
          <w:szCs w:val="20"/>
          <w:lang w:val="hu-HU" w:eastAsia="en-GB"/>
        </w:rPr>
        <w:tab/>
        <w:t>a Tiszta Légi Közlekedés Közös Vállalkozás készpénztervezésének hiányosságai, miután 178 millió EUR összegű további uniós pénzügyi hozzájárulást kértek a 2023-ban tervezett kifizetésekhez szükséges készpénzigényen felül, ami 2023 végén 237 millió EUR készpénztöbbletet eredményezett; tudomásul veszi azonban a közös vállalkozás által adott magyarázatot; mindazonáltal megismétli a Tiszta Légi Közlekedés közös vállalkozáshoz intézett felhívását, hogy kerülje el a hasonló helyzetek megismétlődését, és üdvözli a közös vállalkozás által 2024-re bejelentett kiigazításokat;</w:t>
      </w:r>
    </w:p>
    <w:p w14:paraId="2E0E1728"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b)</w:t>
      </w:r>
      <w:r w:rsidRPr="0025099E">
        <w:rPr>
          <w:rFonts w:eastAsia="Times New Roman"/>
          <w:szCs w:val="20"/>
          <w:lang w:val="hu-HU" w:eastAsia="en-GB"/>
        </w:rPr>
        <w:tab/>
        <w:t xml:space="preserve">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készpénztervezésének hiányosságai, miután 196 millió EUR összegű további uniós pénzügyi hozzájárulást kértek a 2023-ban tervezett kifizetésekhez szükséges készpénzigényen felül, ami 2023 végén 438 millió EUR készpénztöbbletet eredményezett; tudomásul veszi azonban a közös vállalkozás által adott magyarázatot; mindazonáltal megismétli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Vállalkozáshoz intézett azon felhívását, hogy kerülje el a hasonló helyzetek megismétlődését, és üdvözli a közös vállalkozás által 2024-re bejelentett kiigazításokat;</w:t>
      </w:r>
    </w:p>
    <w:p w14:paraId="6D9B3132"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lastRenderedPageBreak/>
        <w:t>c)</w:t>
      </w:r>
      <w:r w:rsidRPr="0025099E">
        <w:rPr>
          <w:rFonts w:eastAsia="Times New Roman"/>
          <w:szCs w:val="20"/>
          <w:lang w:val="hu-HU" w:eastAsia="en-GB"/>
        </w:rPr>
        <w:tab/>
        <w:t>az Európai Nagy Teljesítményű Számítástechnika Közös Vállalkozás készpénztervezésének hiányosságai, miután 488,6 millió EUR összegű további uniós pénzügyi hozzájárulást kértek a 2023-ban tervezett kifizetésekhez szükséges készpénzigényen felül, ami 2023 végén 840,7 millió EUR készpénztöbbletet eredményezett; megérti a közös vállalkozás helyzetét, amely e többlethez vezetett, és üdvözli az érintett közös vállalkozásnak a Költségvetési Ellenőrző Bizottságban tartott meghallgatása során nyújtott kiegészítő információkat, különösen a mesterséges intelligenciával kapcsolatos projektek azon elvárásait illetően, hogy lehetőséget biztosítsanak a jelentős készpénzkifizetésre; mindazonáltal megismétli az Európai Nagy Teljesítményű Számítástechnika Közös Vállalkozáshoz intézett azon felhívását, hogy kerülje el a hasonló helyzetek megismétlődését;</w:t>
      </w:r>
    </w:p>
    <w:p w14:paraId="75BB38EE"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szCs w:val="20"/>
          <w:lang w:val="hu-HU" w:eastAsia="en-GB"/>
        </w:rPr>
        <w:t>20.</w:t>
      </w:r>
      <w:r w:rsidRPr="0025099E">
        <w:rPr>
          <w:rFonts w:eastAsia="Times New Roman"/>
          <w:szCs w:val="20"/>
          <w:lang w:val="hu-HU" w:eastAsia="en-GB"/>
        </w:rPr>
        <w:tab/>
        <w:t>hangsúlyozza, hogy valamennyi közös vállalkozásnak meg kell erősítenie a belső pénzügyi ellenőrzéseket és a nyilvános átláthatósági mechanizmusokat, biztosítva a források hatékony és az EU stratégiai célkitűzéseivel összhangban lévő elosztását;</w:t>
      </w:r>
    </w:p>
    <w:p w14:paraId="2A8406B6"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21.</w:t>
      </w:r>
      <w:r w:rsidRPr="0025099E">
        <w:rPr>
          <w:rFonts w:eastAsia="Times New Roman"/>
          <w:szCs w:val="20"/>
          <w:lang w:val="hu-HU" w:eastAsia="en-GB"/>
        </w:rPr>
        <w:tab/>
        <w:t>megismétli a Számvevőszék aggályait a tagok egyes közös vállalkozásokhoz való hozzájárulásával kapcsolatban, különös tekintettel annak lehetőségére, hogy egyes közös vállalkozások nem, vagy csak a kiegészítő tevékenységekhez nyújtott természetbeni hozzájárulásokra való nagyfokú támaszkodás révén tudják elérni hozzájárulási célkitűzéseiket, és felhívja az érintett közös vállalkozásokat, hogy tegyenek meg minden szükséges intézkedést e helyzetek jövőbeli előfordulásának megelőzése érdekében; hangsúlyozza, hogy a hozzájárulási célok elérése az érintett közös vállalkozások felelőssége és kötelezettsége, és hogy a hozzájárulási célok teljesítésének elmulasztása ellentétes a közös vállalkozások alapgondolatával; pontosabban az alábbiak aggasztják:</w:t>
      </w:r>
    </w:p>
    <w:p w14:paraId="26023E86"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a)</w:t>
      </w:r>
      <w:r w:rsidRPr="0025099E">
        <w:rPr>
          <w:rFonts w:eastAsia="Times New Roman"/>
          <w:szCs w:val="20"/>
          <w:lang w:val="hu-HU" w:eastAsia="en-GB"/>
        </w:rPr>
        <w:tab/>
        <w:t xml:space="preserve">a 3. „Egységes Európai Égbolt” Légiforgalmi Szolgáltatási Kutatás Közös Vállalkozás helyzete, amelynek operatív hozzájárulási célja az </w:t>
      </w:r>
      <w:proofErr w:type="spellStart"/>
      <w:r w:rsidRPr="0025099E">
        <w:rPr>
          <w:rFonts w:eastAsia="Times New Roman"/>
          <w:szCs w:val="20"/>
          <w:lang w:val="hu-HU" w:eastAsia="en-GB"/>
        </w:rPr>
        <w:t>Eurocontrol</w:t>
      </w:r>
      <w:proofErr w:type="spellEnd"/>
      <w:r w:rsidRPr="0025099E">
        <w:rPr>
          <w:rFonts w:eastAsia="Times New Roman"/>
          <w:szCs w:val="20"/>
          <w:lang w:val="hu-HU" w:eastAsia="en-GB"/>
        </w:rPr>
        <w:t xml:space="preserve"> tagjaként csak 70 %-os szintet ért el, ami azt eredményezte, hogy a közös vállalkozás nem rendelkezett a Horizont 2020 rá vonatkozó részének teljeskörű végrehajtásához tervezett hozzájárulásokkal; megjegyzi, hogy ez az elem azonban nem vezetett ahhoz, hogy a Számvevőszék e közös vállalkozás esetében közepesnek vagy magasnak tekintse a programok végrehajtásának kockázatát, mivel azt alacsonynak ítélték;</w:t>
      </w:r>
    </w:p>
    <w:p w14:paraId="3F255C51"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b)</w:t>
      </w:r>
      <w:r w:rsidRPr="0025099E">
        <w:rPr>
          <w:rFonts w:eastAsia="Times New Roman"/>
          <w:szCs w:val="20"/>
          <w:lang w:val="hu-HU" w:eastAsia="en-GB"/>
        </w:rPr>
        <w:tab/>
        <w:t xml:space="preserve">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Közös Vállalkozás helyzete, amely jól teljesítette a Horizont 2020 keretében kitűzött hozzájárulási célját, ezt azonban különösen az operatív tevékenységekhez való természetbeni hozzájárulásokra és a kiegészítő tevékenységekhez nyújtott természetbeni hozzájárulásokra vonatkozó célok közötti egyensúly felülvizsgálatával tette, az utóbbit 2 444,5 millió EUR-ra emelték, ami az átfogó cél 90 %-</w:t>
      </w:r>
      <w:proofErr w:type="spellStart"/>
      <w:r w:rsidRPr="0025099E">
        <w:rPr>
          <w:rFonts w:eastAsia="Times New Roman"/>
          <w:szCs w:val="20"/>
          <w:lang w:val="hu-HU" w:eastAsia="en-GB"/>
        </w:rPr>
        <w:t>ának</w:t>
      </w:r>
      <w:proofErr w:type="spellEnd"/>
      <w:r w:rsidRPr="0025099E">
        <w:rPr>
          <w:rFonts w:eastAsia="Times New Roman"/>
          <w:szCs w:val="20"/>
          <w:lang w:val="hu-HU" w:eastAsia="en-GB"/>
        </w:rPr>
        <w:t xml:space="preserve"> felel meg; hangsúlyozza, hogy a kiegészítő tevékenységekhez nyújtott természetbeni hozzájárulásokra való támaszkodás kockázatot jelent a Horizont 2020 program végrehajtására nézve; hangsúlyozza a közös vállalkozás által végzett felülvizsgálat jelentős hatását; tudomásul veszi a közös vállalkozás által adott magyarázatot és azt, hogy a kiegészítő tevékenységek hozzájárulnak a közös vállalkozás általános célkitűzéseihez; mindazonáltal hangsúlyozza, hogy ez azt jelenti, hogy a kitűzött célok elérése érdekében túlzott mértékben támaszkodnak a kiegészítő tevékenységekhez való természetbeni hozzájárulásra, és felhívja a közös vállalkozást, hogy kerülje el egy </w:t>
      </w:r>
      <w:r w:rsidRPr="0025099E">
        <w:rPr>
          <w:rFonts w:eastAsia="Times New Roman"/>
          <w:szCs w:val="20"/>
          <w:lang w:val="hu-HU" w:eastAsia="en-GB"/>
        </w:rPr>
        <w:lastRenderedPageBreak/>
        <w:t>ilyen helyzet megismétlődését; tudomásul veszi, hogy ezek az elemek arra késztették a Számvevőszéket, hogy e közös vállalkozás esetében magasnak ítélje a programvégrehajtás kockázatát;</w:t>
      </w:r>
    </w:p>
    <w:p w14:paraId="17536DC3"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c)</w:t>
      </w:r>
      <w:r w:rsidRPr="0025099E">
        <w:rPr>
          <w:rFonts w:eastAsia="Times New Roman"/>
          <w:szCs w:val="20"/>
          <w:lang w:val="hu-HU" w:eastAsia="en-GB"/>
        </w:rPr>
        <w:tab/>
        <w:t xml:space="preserve">az Európai Nagy Teljesítményű Számítástechnika Közös Vállalkozás helyzete, amelynek számára a Horizont 2020 keretében a </w:t>
      </w:r>
      <w:proofErr w:type="spellStart"/>
      <w:r w:rsidRPr="0025099E">
        <w:rPr>
          <w:rFonts w:eastAsia="Times New Roman"/>
          <w:szCs w:val="20"/>
          <w:lang w:val="hu-HU" w:eastAsia="en-GB"/>
        </w:rPr>
        <w:t>magánszektorbeli</w:t>
      </w:r>
      <w:proofErr w:type="spellEnd"/>
      <w:r w:rsidRPr="0025099E">
        <w:rPr>
          <w:rFonts w:eastAsia="Times New Roman"/>
          <w:szCs w:val="20"/>
          <w:lang w:val="hu-HU" w:eastAsia="en-GB"/>
        </w:rPr>
        <w:t xml:space="preserve"> tagok által nyújtott hozzájárulás a 420 millió EUR-s célhoz képest csak 18,4 millió EUR-t ért el, ami súlyos különbséget jelent; megjegyzi továbbá, hogy a Horizont Európa és a Digitális Európa keretében ismét előfordulhat ilyen helyzet, mivel a </w:t>
      </w:r>
      <w:proofErr w:type="spellStart"/>
      <w:r w:rsidRPr="0025099E">
        <w:rPr>
          <w:rFonts w:eastAsia="Times New Roman"/>
          <w:szCs w:val="20"/>
          <w:lang w:val="hu-HU" w:eastAsia="en-GB"/>
        </w:rPr>
        <w:t>magánszektorbeli</w:t>
      </w:r>
      <w:proofErr w:type="spellEnd"/>
      <w:r w:rsidRPr="0025099E">
        <w:rPr>
          <w:rFonts w:eastAsia="Times New Roman"/>
          <w:szCs w:val="20"/>
          <w:lang w:val="hu-HU" w:eastAsia="en-GB"/>
        </w:rPr>
        <w:t xml:space="preserve"> tagokra vonatkozó hozzájárulási cél jelentősen, 900 millió EUR-ra nőtt, miközben a Horizont 2020 keretében a </w:t>
      </w:r>
      <w:proofErr w:type="spellStart"/>
      <w:r w:rsidRPr="0025099E">
        <w:rPr>
          <w:rFonts w:eastAsia="Times New Roman"/>
          <w:szCs w:val="20"/>
          <w:lang w:val="hu-HU" w:eastAsia="en-GB"/>
        </w:rPr>
        <w:t>magánszektorbeli</w:t>
      </w:r>
      <w:proofErr w:type="spellEnd"/>
      <w:r w:rsidRPr="0025099E">
        <w:rPr>
          <w:rFonts w:eastAsia="Times New Roman"/>
          <w:szCs w:val="20"/>
          <w:lang w:val="hu-HU" w:eastAsia="en-GB"/>
        </w:rPr>
        <w:t xml:space="preserve"> tagok számára nehézségeket okozó finanszírozási rendszerek továbbra is érvényben maradnak; tudomásul veszi, hogy ezek az elemek arra késztették a Számvevőszéket, hogy e közös vállalkozás esetében magasnak ítélje a programvégrehajtás kockázatát; az érintett közös vállalkozásnak a Költségvetési Ellenőrző Bizottságban tartott meghallgatása során nyújtott további információk alapján megérti, hogy ezzel a kérdéssel az irányító testülettel együttműködésben foglalkoznak; mindazonáltal megismétli a Számvevőszék erre vonatkozó ajánlását, amely azt ajánlja, hogy az Európai Nagy Teljesítményű Számítástechnika Közös Vállalkozás támogassa a jelenlegi célnak a Bizottság általi újraértékelését annak biztosítása érdekében, hogy a Horizont Európa és a Digitális Európa keretében el tudja érni a </w:t>
      </w:r>
      <w:proofErr w:type="spellStart"/>
      <w:r w:rsidRPr="0025099E">
        <w:rPr>
          <w:rFonts w:eastAsia="Times New Roman"/>
          <w:szCs w:val="20"/>
          <w:lang w:val="hu-HU" w:eastAsia="en-GB"/>
        </w:rPr>
        <w:t>magánszektorbeli</w:t>
      </w:r>
      <w:proofErr w:type="spellEnd"/>
      <w:r w:rsidRPr="0025099E">
        <w:rPr>
          <w:rFonts w:eastAsia="Times New Roman"/>
          <w:szCs w:val="20"/>
          <w:lang w:val="hu-HU" w:eastAsia="en-GB"/>
        </w:rPr>
        <w:t xml:space="preserve"> tagokra vonatkozó hozzájárulási célját, és ismételten hangsúlyozza, hogy a hozzájárulási célok elérését nem pusztán ambíciónak, hanem kötelezettségnek kell tekinteni;</w:t>
      </w:r>
    </w:p>
    <w:p w14:paraId="76A69F9D"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22.</w:t>
      </w:r>
      <w:r w:rsidRPr="0025099E">
        <w:rPr>
          <w:rFonts w:eastAsia="Times New Roman"/>
          <w:szCs w:val="20"/>
          <w:lang w:val="hu-HU" w:eastAsia="en-GB"/>
        </w:rPr>
        <w:tab/>
        <w:t>hangsúlyozza, hogy a hatékonyság javítása érdekében a közös vállalkozások egységes alap-jogiaktusa előírja a közös vállalkozások számára, hogy szinergiákat érjenek el számos azonosított területen működő háttérirodai tevékenységek létrehozása révén; tudomásul veszi, hogy az érintett közös vállalkozások négy területet azonosítottak prioritásként, nevezetesen a számviteli tevékenységeket, a jogi tevékenységeket, az információs és kommunikációs technológiákat és az emberi erőforrásokat; különösen üdvözli e tekintetben:</w:t>
      </w:r>
    </w:p>
    <w:p w14:paraId="714638B4"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a)</w:t>
      </w:r>
      <w:r w:rsidRPr="0025099E">
        <w:rPr>
          <w:rFonts w:eastAsia="Times New Roman"/>
          <w:szCs w:val="20"/>
          <w:lang w:val="hu-HU" w:eastAsia="en-GB"/>
        </w:rPr>
        <w:tab/>
        <w:t>azt, hogy a számviteli tevékenységekre vonatkozó háttérirodai tevékenységek 2022 decembere óta működnek, és ezért a 2023. évi pénzügyi év egészében működnek, ami megfigyelhető volt az éves beszámoló elkészítése során, valamint azt, hogy az Európai Vasút Közös Vállalkozás vezető szerepet vállalt e háttérirodai tevékenységek működtetésében;</w:t>
      </w:r>
    </w:p>
    <w:p w14:paraId="2DFA362C"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b)</w:t>
      </w:r>
      <w:r w:rsidRPr="0025099E">
        <w:rPr>
          <w:rFonts w:eastAsia="Times New Roman"/>
          <w:szCs w:val="20"/>
          <w:lang w:val="hu-HU" w:eastAsia="en-GB"/>
        </w:rPr>
        <w:tab/>
        <w:t xml:space="preserve">azt, hogy 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Közös Vállalkozás és az Innovatív Egészségügy Közös Vállalkozás vezető szerepet vállalt a közös munkaerő-felvétel irányítására, az emberi erőforrások jogi keretére és az emberi erőforrások digitalizálására vonatkozó háttérirodai tevékenységek működtetésében;</w:t>
      </w:r>
    </w:p>
    <w:p w14:paraId="72FCF54C"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c)</w:t>
      </w:r>
      <w:r w:rsidRPr="0025099E">
        <w:rPr>
          <w:rFonts w:eastAsia="Times New Roman"/>
          <w:szCs w:val="20"/>
          <w:lang w:val="hu-HU" w:eastAsia="en-GB"/>
        </w:rPr>
        <w:tab/>
        <w:t>azt, hogy a Tiszta Hidrogén Közös Vállalkozás és az Innovatív Egészségügy Közös Vállalkozás vezető szerepet vállalt az információs és kommunikációs technológiai szolgáltatások irányítására vonatkozó háttérirodai tevékenységek működtetésében;</w:t>
      </w:r>
    </w:p>
    <w:p w14:paraId="6D5B511A"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lastRenderedPageBreak/>
        <w:t>d)</w:t>
      </w:r>
      <w:r w:rsidRPr="0025099E">
        <w:rPr>
          <w:rFonts w:eastAsia="Times New Roman"/>
          <w:szCs w:val="20"/>
          <w:lang w:val="hu-HU" w:eastAsia="en-GB"/>
        </w:rPr>
        <w:tab/>
        <w:t>azt, hogy a Tiszta Légi Közlekedés Közös Vállalkozás, az Európai Vasút Közös Vállalkozás és az Európai Nagy Teljesítményű Számítástechnika Közös Vállalkozás vezető szerepet vállalt a közigazgatási közbeszerzések kezelésére vonatkozó háttérirodai tevékenységek működtetésében;</w:t>
      </w:r>
    </w:p>
    <w:p w14:paraId="6343533F"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e)</w:t>
      </w:r>
      <w:r w:rsidRPr="0025099E">
        <w:rPr>
          <w:rFonts w:eastAsia="Times New Roman"/>
          <w:szCs w:val="20"/>
          <w:lang w:val="hu-HU" w:eastAsia="en-GB"/>
        </w:rPr>
        <w:tab/>
        <w:t xml:space="preserve">azt, hogy a közös vállalkozások folytatják a White </w:t>
      </w:r>
      <w:proofErr w:type="spellStart"/>
      <w:r w:rsidRPr="0025099E">
        <w:rPr>
          <w:rFonts w:eastAsia="Times New Roman"/>
          <w:szCs w:val="20"/>
          <w:lang w:val="hu-HU" w:eastAsia="en-GB"/>
        </w:rPr>
        <w:t>Atrium</w:t>
      </w:r>
      <w:proofErr w:type="spellEnd"/>
      <w:r w:rsidRPr="0025099E">
        <w:rPr>
          <w:rFonts w:eastAsia="Times New Roman"/>
          <w:szCs w:val="20"/>
          <w:lang w:val="hu-HU" w:eastAsia="en-GB"/>
        </w:rPr>
        <w:t xml:space="preserve"> épületben található közös vállalkozások közös stratégiai IKT-tervének végrehajtását;</w:t>
      </w:r>
    </w:p>
    <w:p w14:paraId="28DD7B05"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23.</w:t>
      </w:r>
      <w:r w:rsidRPr="0025099E">
        <w:rPr>
          <w:rFonts w:eastAsia="Times New Roman"/>
          <w:szCs w:val="20"/>
          <w:lang w:val="hu-HU" w:eastAsia="en-GB"/>
        </w:rPr>
        <w:tab/>
        <w:t>felhívja az egységes alap-jogiaktus szerinti kötelezettség által érintett közös vállalkozásokat, hogy továbbra is tegyenek jelentést háttérirodai tevékenységek létrehozásáról, nyújtsanak egyértelmű tájékoztatást arról, hogy bizonyos területeken mely közös vállalkozások végeznek feladatokat más közös vállalkozások számára, a prioritások listájára a lehető leghamarabb vegyék fel a kommunikációt, a logisztikát, a rendezvényeket és az üléstermek kezelését, valamint a könyvvizsgálati és csalás elleni stratégiák támogatását, továbbá nyújtsanak tájékoztatást azokról a területekről, amelyeket a jövőben fontolóra kell venni a háttérirodai tevékenységek létrehozása szempontjából, amint a prioritásként azonosított területeken megállapodás születik;</w:t>
      </w:r>
    </w:p>
    <w:p w14:paraId="53C52E34"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b/>
          <w:i/>
          <w:szCs w:val="20"/>
          <w:lang w:val="hu-HU" w:eastAsia="en-GB"/>
        </w:rPr>
        <w:t>Közbeszerzés és pályázatok</w:t>
      </w:r>
    </w:p>
    <w:p w14:paraId="4E8A745B"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24.</w:t>
      </w:r>
      <w:r w:rsidRPr="0025099E">
        <w:rPr>
          <w:rFonts w:eastAsia="Times New Roman"/>
          <w:szCs w:val="20"/>
          <w:lang w:val="hu-HU" w:eastAsia="en-GB"/>
        </w:rPr>
        <w:tab/>
        <w:t>megismétli a Számvevőszék közbeszerzési eljárásokkal kapcsolatos aggályait, és felhívja a közös vállalkozásokat annak biztosítására, hogy a vonatkozó jogi rendelkezéseknek való megfelelés és egyes közbeszerzési eljárások szükséges összetettsége ne eredményezzen nagyobb kockázatot az operatív kiadások jogszerűségére és szabályszerűségére nézve; pontosabban az alábbiak aggasztják:</w:t>
      </w:r>
    </w:p>
    <w:p w14:paraId="309E9D61"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a)</w:t>
      </w:r>
      <w:r w:rsidRPr="0025099E">
        <w:rPr>
          <w:rFonts w:eastAsia="Times New Roman"/>
          <w:szCs w:val="20"/>
          <w:lang w:val="hu-HU" w:eastAsia="en-GB"/>
        </w:rPr>
        <w:tab/>
        <w:t xml:space="preserve">az Innovatív Egészségügy Közös Vállalkozás és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helyzete, amelyek esetében a Számvevőszék hiányosságokat állapított meg egy jelentős közbeszerzési eljárás kialakítása és értékelése terén; tudomásul veszi, hogy ez az elem azonban nem vezetett ahhoz, hogy a Számvevőszék e közös vállalkozás operatív ellenőrzési kiadásait érintő kockázatot közepesnek vagy magasnak tekintse; mindazonáltal hangsúlyozza, hogy az ilyen hiányosságok szabálytalan szerződésekhez és kifizetésekhez vezethetnek, ha a jövőbeli közbeszerzési eljárások nem foglalkoznak velük; üdvözli, hogy a közös vállalkozások készek lépéseket tenni e konkrét esetekben és javítani közbeszerzési eljárásaikat;</w:t>
      </w:r>
    </w:p>
    <w:p w14:paraId="50084F4E"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b)</w:t>
      </w:r>
      <w:r w:rsidRPr="0025099E">
        <w:rPr>
          <w:rFonts w:eastAsia="Times New Roman"/>
          <w:szCs w:val="20"/>
          <w:lang w:val="hu-HU" w:eastAsia="en-GB"/>
        </w:rPr>
        <w:tab/>
        <w:t>az, hogy a Számvevőszék az Európai Nagy Teljesítményű Számítástechnika Közös Vállalkozás és a Fúziósenergia-fejlesztési és ITER Európai Közös Vállalkozás működési szerződésekkel kapcsolatos kiadásainak kockázatát közepesnek értékelte a nagy értékű szerződésekre vonatkozó összetett közbeszerzési eljárásaik miatt;</w:t>
      </w:r>
    </w:p>
    <w:p w14:paraId="69D73E99"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25.</w:t>
      </w:r>
      <w:r w:rsidRPr="0025099E">
        <w:rPr>
          <w:rFonts w:eastAsia="Times New Roman"/>
          <w:szCs w:val="20"/>
          <w:lang w:val="hu-HU" w:eastAsia="en-GB"/>
        </w:rPr>
        <w:tab/>
        <w:t xml:space="preserve">hangsúlyozza az Európai Nagy Teljesítményű Számítástechnika Közös Vállalkozás pénzügyi kitettségét egy nehézségekkel küzdő beszállítóval szemben, amely a közös vállalkozás értékelése szerint a potenciálisan alacsony, 0 EUR-s hatástól a 88 millió EUR-s becsült maximális hatásig terjed; a közös vállalkozás éves beszámolója alapján megérti, hogy ezt a helyzetet gondosan megvizsgálják; felhívja a közös vállalkozást, hogy tegyen meg minden szükséges intézkedést a pénzügyi kötelezettségek minimalizálása érdekében; üdvözli az érintett közös vállalkozásnak a Költségvetési Ellenőrző Bizottságban tartott meghallgatása során nyújtott kiegészítő információkat, </w:t>
      </w:r>
      <w:r w:rsidRPr="0025099E">
        <w:rPr>
          <w:rFonts w:eastAsia="Times New Roman"/>
          <w:szCs w:val="20"/>
          <w:lang w:val="hu-HU" w:eastAsia="en-GB"/>
        </w:rPr>
        <w:lastRenderedPageBreak/>
        <w:t>különös tekintettel az érintett közös vállalkozás által e pénzügyi felelősség minimalizálása érdekében kért további garanciákra, valamint e konkrét beszállító kulcsfontosságú szerepére vonatkozó magyarázatra;</w:t>
      </w:r>
    </w:p>
    <w:p w14:paraId="01895691"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26.</w:t>
      </w:r>
      <w:r w:rsidRPr="0025099E">
        <w:rPr>
          <w:rFonts w:eastAsia="Times New Roman"/>
          <w:szCs w:val="20"/>
          <w:lang w:val="hu-HU" w:eastAsia="en-GB"/>
        </w:rPr>
        <w:tab/>
        <w:t>tudomásul veszi, hogy a közös vállalkozások által szolgáltatott, a közös vállalkozásokkal való együttműködésre kiválasztott szakértők nemek közötti egyensúlyára vonatkozó mennyiségi adatok részletessége és hozzáférhetőségi szintje eltérő; felhívja a közös vállalkozásokat, hogy növeljék az átláthatóságot és a jövőbeli éves tevékenységi jelentéseikbe foglaljanak bele egyértelmű mennyiségi adatokat a kiválasztott szakértők körében a nemek közötti egyensúlyra vonatkozóan; felhívja a közös vállalkozásokat a nemek közötti egyenlőség minden szinten való előmozdítására irányuló erőfeszítéseik fokozására és annak biztosítására, hogy a nemek közötti egyensúly továbbra is horizontális prioritás maradjon a közbeszerzéssel, a támogatásokkal és a pályázatokkal kapcsolatos valamennyi tevékenység során, és adjanak magyarázatot arra az esetre, ha a nemek közötti egyensúlyt nem lehet elérni;</w:t>
      </w:r>
    </w:p>
    <w:p w14:paraId="0CCAAA22"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27.</w:t>
      </w:r>
      <w:r w:rsidRPr="0025099E">
        <w:rPr>
          <w:rFonts w:eastAsia="Times New Roman"/>
          <w:szCs w:val="20"/>
          <w:lang w:val="hu-HU" w:eastAsia="en-GB"/>
        </w:rPr>
        <w:tab/>
        <w:t>tudomásul veszi, hogy a közös vállalkozások által szolgáltatott, a közös vállalkozásokkal való együttműködésre kiválasztott szakértők földrajzi eloszlására vonatkozó mennyiségi adatok részletessége és hozzáférhetőségi szintje eltérő; felhívja az összes közös vállalkozást, hogy jövőbeli éves tevékenységi jelentéseikbe foglaljanak bele egyértelmű mennyiségi adatokat a kiválasztott szakértők földrajzi eloszlásáról; felhívja a közös vállalkozásokat annak biztosítására, hogy a földrajzi eloszlás maradjon horizontális prioritás a közbeszerzésekkel, támogatásokkal és pályázatokkal kapcsolatos valamennyi tevékenység során, és adjanak magyarázatot arra az esetre, ha a megfelelő földrajzi eloszlást nem lehet elérni;</w:t>
      </w:r>
    </w:p>
    <w:p w14:paraId="55ED8955"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szCs w:val="20"/>
          <w:lang w:val="hu-HU" w:eastAsia="en-GB"/>
        </w:rPr>
        <w:t>28</w:t>
      </w:r>
      <w:r w:rsidRPr="0025099E">
        <w:rPr>
          <w:rFonts w:eastAsia="Times New Roman"/>
          <w:i/>
          <w:szCs w:val="20"/>
          <w:lang w:val="hu-HU" w:eastAsia="en-GB"/>
        </w:rPr>
        <w:t>.</w:t>
      </w:r>
      <w:r w:rsidRPr="0025099E">
        <w:rPr>
          <w:rFonts w:eastAsia="Times New Roman"/>
          <w:b/>
          <w:i/>
          <w:szCs w:val="20"/>
          <w:lang w:val="hu-HU" w:eastAsia="en-GB"/>
        </w:rPr>
        <w:tab/>
      </w:r>
      <w:r w:rsidRPr="0025099E">
        <w:rPr>
          <w:rFonts w:eastAsia="Times New Roman"/>
          <w:szCs w:val="20"/>
          <w:lang w:val="hu-HU" w:eastAsia="en-GB"/>
        </w:rPr>
        <w:t>felszólít a közös vállalkozások által nyújtott finanszírozás méltányos és igazságos földrajzi elosztására, biztosítva, hogy az alacsonyabb innovációs kapacitással rendelkező régiók és a kkv-k megfelelő támogatásban részesüljenek;</w:t>
      </w:r>
    </w:p>
    <w:p w14:paraId="14BA62F4"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b/>
          <w:i/>
          <w:szCs w:val="20"/>
          <w:lang w:val="hu-HU" w:eastAsia="en-GB"/>
        </w:rPr>
        <w:t>Személyzet és munkaerő-felvétel</w:t>
      </w:r>
    </w:p>
    <w:p w14:paraId="4D72D6FF"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29.</w:t>
      </w:r>
      <w:r w:rsidRPr="0025099E">
        <w:rPr>
          <w:rFonts w:eastAsia="Times New Roman"/>
          <w:szCs w:val="20"/>
          <w:lang w:val="hu-HU" w:eastAsia="en-GB"/>
        </w:rPr>
        <w:tab/>
        <w:t xml:space="preserve">aggodalmát fejezi ki az Európai Nagy Teljesítményű Számítástechnika Közös Vállalkozáson belüli munkaerő-felvétel jelenlegi helyzete miatt, amely a 2023. évi pénzügyi év végéig 39 további betöltendő </w:t>
      </w:r>
      <w:proofErr w:type="spellStart"/>
      <w:r w:rsidRPr="0025099E">
        <w:rPr>
          <w:rFonts w:eastAsia="Times New Roman"/>
          <w:szCs w:val="20"/>
          <w:lang w:val="hu-HU" w:eastAsia="en-GB"/>
        </w:rPr>
        <w:t>álláshelyet</w:t>
      </w:r>
      <w:proofErr w:type="spellEnd"/>
      <w:r w:rsidRPr="0025099E">
        <w:rPr>
          <w:rFonts w:eastAsia="Times New Roman"/>
          <w:szCs w:val="20"/>
          <w:lang w:val="hu-HU" w:eastAsia="en-GB"/>
        </w:rPr>
        <w:t xml:space="preserve"> kapott a jelenlegi többéves pénzügyi keret alapján kapott jelentős források végrehajtása érdekében, de amelynek csak 21 további alkalmazottat sikerült felvennie; aggodalmát fejezi ki továbbá a Számvevőszék értékelése miatt, amely megállapította, hogy a közös vállalkozások felvételi eljárásai nem voltak kellően átláthatók a jelöltek és képesítéseik értékelésére szolgáló egyértelmű és korábban elfogadott pontozási hálózatok hiánya, valamint az alapul szolgáló döntéshozatali folyamatra vonatkozó megfelelő dokumentáció hiánya miatt; sajnálja, hogy a Számvevőszék véleménye szerint ez a helyzet a jelöltekkel szembeni egyenlőtlen bánásmódhoz vezethetett; emlékeztet arra, hogy rendkívül fontos elkerülni a kettős mérce alkalmazását a munkaerő-felvételi folyamat során, és kéri, hogy tegyenek meg minden szükséges intézkedést e tekintetben; megismétli a Számvevőszék erre vonatkozó ajánlását, amely azt ajánlja, hogy az Európai Nagy Teljesítményű Számítástechnika Közös Vállalkozás használja fel hatékonyan megnövelt személyzetét 2024 végéig a munkaerő-felvételi céljának elérésére, és hogy a felvételi eljárások átláthatóságának növelése és a kiválasztási bizottság döntéshozatali eljárásainak alátámasztása érdekében az Európai Nagy Teljesítményű Számítástechnika Közös Vállalkozásnak az előválogatási szakaszban előzetesen egyeztetett pontozási </w:t>
      </w:r>
      <w:r w:rsidRPr="0025099E">
        <w:rPr>
          <w:rFonts w:eastAsia="Times New Roman"/>
          <w:szCs w:val="20"/>
          <w:lang w:val="hu-HU" w:eastAsia="en-GB"/>
        </w:rPr>
        <w:lastRenderedPageBreak/>
        <w:t>táblázatot kell használnia, összhangban más közös vállalkozások és uniós szervek gyakorlatával; üdvözli, hogy a közös vállalkozás készen áll a javításra irányuló ajánlások beépítésére;</w:t>
      </w:r>
    </w:p>
    <w:p w14:paraId="49AEE2DB"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szCs w:val="20"/>
          <w:lang w:val="hu-HU" w:eastAsia="en-GB"/>
        </w:rPr>
        <w:t>30.</w:t>
      </w:r>
      <w:r w:rsidRPr="0025099E">
        <w:rPr>
          <w:rFonts w:eastAsia="Times New Roman"/>
          <w:b/>
          <w:i/>
          <w:szCs w:val="20"/>
          <w:lang w:val="hu-HU" w:eastAsia="en-GB"/>
        </w:rPr>
        <w:tab/>
      </w:r>
      <w:r w:rsidRPr="0025099E">
        <w:rPr>
          <w:rFonts w:eastAsia="Times New Roman"/>
          <w:szCs w:val="20"/>
          <w:lang w:val="hu-HU" w:eastAsia="en-GB"/>
        </w:rPr>
        <w:t>hangsúlyozza, hogy valamennyi közös vállalkozásban következetes és méltányos személyzeti politikára van szükség a személyzet számára megfelelő és befogadó munkafeltételek, karrierfejlődési lehetőségek, valamint a munka és a magánélet közötti egyensúly biztosítása érdekében; olyan intézkedések végrehajtására szólít fel, amelyek megakadályozzák a határozott idejű szerződésektől és a bizonytalan foglalkoztatástól való túlzott függést; hangsúlyozza a mentális egészséget támogató struktúrák, a rugalmas munkafeltételek és a méltányos belső előléptetési lehetőségek fontosságát a személyzet jóllétének javítása érdekében;</w:t>
      </w:r>
    </w:p>
    <w:p w14:paraId="5541CCD1"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szCs w:val="20"/>
          <w:lang w:val="hu-HU" w:eastAsia="en-GB"/>
        </w:rPr>
        <w:t>31.</w:t>
      </w:r>
      <w:r w:rsidRPr="0025099E">
        <w:rPr>
          <w:rFonts w:eastAsia="Times New Roman"/>
          <w:szCs w:val="20"/>
          <w:lang w:val="hu-HU" w:eastAsia="en-GB"/>
        </w:rPr>
        <w:tab/>
        <w:t>felhívja az összes közös vállalkozást, hogy hajtsanak végre konkrét intézkedéseket a nemek közötti egyensúly javítása érdekében a vezetői tisztségekben és a döntéshozó szervekben, beleértve a nemek közötti egyensúlyra vonatkozó célok meghatározását és az előrehaladás rendszeres nyomon követését; hangsúlyozza, hogy foglalkozni kell a nemek közötti bérszakadékkal, és egyenlő esélyeket kell biztosítani a szakmai előmenetelhez;</w:t>
      </w:r>
    </w:p>
    <w:p w14:paraId="585B3EEC"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32.</w:t>
      </w:r>
      <w:r w:rsidRPr="0025099E">
        <w:rPr>
          <w:rFonts w:eastAsia="Times New Roman"/>
          <w:szCs w:val="20"/>
          <w:lang w:val="hu-HU" w:eastAsia="en-GB"/>
        </w:rPr>
        <w:tab/>
        <w:t xml:space="preserve">tudomásul veszi, hogy a Számvevőszék alacsonynak ítélte az igazgatási kiadások jogszerűségét és szabályszerűségét érintő kockázatot valamennyi közös vállalkozás esetében, kivéve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Vállalkozást és az Európai Nagy Teljesítményű Számítástechnika Közös Vállalkozást, amelyek esetében ezt magas munkaerő-felvételi szintjük miatt közepesnek ítélték, valamint az Intelligens Hálózatok és Szolgáltatások Közös Vállalkozás és a Globális Egészségügyi EDCTP3 Közös Vállalkozás esetében, azok közelmúltban megszerzett pénzügyi önállósága miatt;</w:t>
      </w:r>
    </w:p>
    <w:p w14:paraId="3F89CB23"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33.</w:t>
      </w:r>
      <w:r w:rsidRPr="0025099E">
        <w:rPr>
          <w:rFonts w:eastAsia="Times New Roman"/>
          <w:szCs w:val="20"/>
          <w:lang w:val="hu-HU" w:eastAsia="en-GB"/>
        </w:rPr>
        <w:tab/>
        <w:t>aggodalmát fejezi ki a Fúziósenergia-fejlesztési és ITER Európai Közös Vállalkozás helyzete miatt a humánerőforrás-gazdálkodással kapcsolatos, a Számvevőszék által megállapított különböző szempontok tekintetében, különös tekintettel a külső szolgáltatók igénybevételére, nevezetesen az alábbiak miatt:</w:t>
      </w:r>
    </w:p>
    <w:p w14:paraId="2442CAAB" w14:textId="77777777" w:rsidR="004F308D" w:rsidRPr="0025099E" w:rsidRDefault="004F308D" w:rsidP="0038504B">
      <w:pPr>
        <w:spacing w:after="240"/>
        <w:ind w:left="1134" w:hanging="567"/>
        <w:jc w:val="left"/>
        <w:rPr>
          <w:rFonts w:eastAsia="Times New Roman"/>
          <w:lang w:val="hu-HU" w:eastAsia="en-GB"/>
        </w:rPr>
      </w:pPr>
      <w:r w:rsidRPr="0025099E">
        <w:rPr>
          <w:rFonts w:eastAsia="Times New Roman"/>
          <w:szCs w:val="20"/>
          <w:lang w:val="hu-HU" w:eastAsia="en-GB"/>
        </w:rPr>
        <w:t>a)</w:t>
      </w:r>
      <w:r w:rsidRPr="0025099E">
        <w:rPr>
          <w:rFonts w:eastAsia="Times New Roman"/>
          <w:szCs w:val="20"/>
          <w:lang w:val="hu-HU" w:eastAsia="en-GB"/>
        </w:rPr>
        <w:tab/>
        <w:t>a közös vállalkozás jelentős mértékben támaszkodik külső szolgáltatókra, mivel megállapítást nyert, hogy a közös vállalkozás személyzetének közel fele külső szolgáltatókból állt (2023-ban 361 külső szolgáltató és 429 alkalmazott), ami ezt a helyzetet olyan kritikus kérdéssé teszi, amely jelentős hatással lehet a közös vállalkozás azon képességére, hogy fenntartható módon kezelje emberi erőforrásait, miközben biztosítja a tudás és az intézményi tapasztalatok megőrzésére vonatkozó kapacitást, ami hosszú távon pénzügyi nyereségeket is lehetővé tesz;</w:t>
      </w:r>
    </w:p>
    <w:p w14:paraId="3165CA81" w14:textId="77777777" w:rsidR="004F308D" w:rsidRPr="0025099E" w:rsidRDefault="004F308D" w:rsidP="0038504B">
      <w:pPr>
        <w:spacing w:after="240"/>
        <w:ind w:left="1134" w:hanging="567"/>
        <w:jc w:val="left"/>
        <w:rPr>
          <w:rFonts w:eastAsia="Times New Roman"/>
          <w:szCs w:val="20"/>
          <w:lang w:val="hu-HU" w:eastAsia="en-GB"/>
        </w:rPr>
      </w:pPr>
      <w:r w:rsidRPr="0025099E">
        <w:rPr>
          <w:rFonts w:eastAsia="Times New Roman"/>
          <w:szCs w:val="20"/>
          <w:lang w:val="hu-HU" w:eastAsia="en-GB"/>
        </w:rPr>
        <w:t>b)</w:t>
      </w:r>
      <w:r w:rsidRPr="0025099E">
        <w:rPr>
          <w:rFonts w:eastAsia="Times New Roman"/>
          <w:szCs w:val="20"/>
          <w:lang w:val="hu-HU" w:eastAsia="en-GB"/>
        </w:rPr>
        <w:tab/>
        <w:t>az, hogy a közös vállalkozás nem fogadta el a külső szolgáltatók egyedi hivatalos meghatározását, ami az egyértelműség hiányához vezetett az alkalmazottakra vonatkozó igényekre gyakorolt hatásuk értékelésében; megjegyzi továbbá, hogy a közös vállalkozás kockázati nyilvántartása nem tartalmazta a külső szolgáltatókra való hosszú távú nagy fokú támaszkodáshoz kapcsolódó összes potenciális kockázatot, ami megakadályozhatja, hogy a közös vállalkozás belső ellenőrzése megfelelő kockázatcsökkentő intézkedéseket vezessen be e kockázatok kezelésére;</w:t>
      </w:r>
    </w:p>
    <w:p w14:paraId="29167C2C" w14:textId="77777777" w:rsidR="004F308D" w:rsidRPr="0025099E" w:rsidRDefault="004F308D" w:rsidP="0038504B">
      <w:pPr>
        <w:spacing w:after="240"/>
        <w:ind w:left="1134" w:hanging="567"/>
        <w:jc w:val="left"/>
        <w:rPr>
          <w:rFonts w:eastAsia="Times New Roman"/>
          <w:szCs w:val="20"/>
          <w:lang w:val="hu-HU" w:eastAsia="en-GB"/>
        </w:rPr>
      </w:pPr>
      <w:r w:rsidRPr="0025099E">
        <w:rPr>
          <w:rFonts w:eastAsia="Times New Roman"/>
          <w:szCs w:val="20"/>
          <w:lang w:val="hu-HU" w:eastAsia="en-GB"/>
        </w:rPr>
        <w:lastRenderedPageBreak/>
        <w:t>c)</w:t>
      </w:r>
      <w:r w:rsidRPr="0025099E">
        <w:rPr>
          <w:rFonts w:eastAsia="Times New Roman"/>
          <w:szCs w:val="20"/>
          <w:lang w:val="hu-HU" w:eastAsia="en-GB"/>
        </w:rPr>
        <w:tab/>
        <w:t>a Bizottság Belső Ellenőrzési Szolgálata által e tárgyban végzett ellenőrzés megállapításai, amelyek feltárták, hogy a közös vállalkozás nem hozott létre központosított feladatkört a külső szolgáltatók koordinálására és irányítására, és nem dolgozott ki módszertant az összesített humánerőforrás-igényeinek és különösen a külső szolgáltatók iránti igényeinek felmérésére; hangsúlyozza, hogy megállapítást nyert, hogy a közös vállalkozásnak a külső szolgáltatók igénybevételére vonatkozó döntése ezért költségvetési megfontolásokon, nem pedig humánerőforrás-igényeken alapult;</w:t>
      </w:r>
    </w:p>
    <w:p w14:paraId="5EA67E7F" w14:textId="77777777" w:rsidR="004F308D" w:rsidRPr="0025099E" w:rsidRDefault="004F308D" w:rsidP="0038504B">
      <w:pPr>
        <w:spacing w:after="240"/>
        <w:ind w:left="1134" w:hanging="567"/>
        <w:jc w:val="left"/>
        <w:rPr>
          <w:rFonts w:eastAsia="Times New Roman"/>
          <w:szCs w:val="20"/>
          <w:lang w:val="hu-HU" w:eastAsia="en-GB"/>
        </w:rPr>
      </w:pPr>
      <w:r w:rsidRPr="0025099E">
        <w:rPr>
          <w:rFonts w:eastAsia="Times New Roman"/>
          <w:szCs w:val="20"/>
          <w:lang w:val="hu-HU" w:eastAsia="en-GB"/>
        </w:rPr>
        <w:t>d)</w:t>
      </w:r>
      <w:r w:rsidRPr="0025099E">
        <w:rPr>
          <w:rFonts w:eastAsia="Times New Roman"/>
          <w:szCs w:val="20"/>
          <w:lang w:val="hu-HU" w:eastAsia="en-GB"/>
        </w:rPr>
        <w:tab/>
        <w:t>a közös vállalkozás emberi erőforrásaira vonatkozó jelentéstétel átláthatóságának hiánya; különösen ami az állandó és ideiglenes alkalmazottak számadatainak bemutatását illeti, tekintettel arra, hogy a 386 ideiglenes és szerződéses alkalmazott közül 224-nek valójában határozatlan idejű munkaszerződése volt, és ezért gyakorlati szempontból állandó alkalmazottnak lehetett volna tekinteni őket; felhívja a közös vállalkozást, hogy a jövőben hangsúlyozza az ilyen árnyalatnyi eltéréseket az emberi erőforrásokról szóló jelentéseiben;</w:t>
      </w:r>
    </w:p>
    <w:p w14:paraId="344FB829" w14:textId="77777777" w:rsidR="004F308D" w:rsidRPr="0025099E" w:rsidRDefault="004F308D" w:rsidP="0038504B">
      <w:pPr>
        <w:spacing w:after="240"/>
        <w:ind w:left="1134" w:hanging="567"/>
        <w:jc w:val="left"/>
        <w:rPr>
          <w:rFonts w:eastAsia="Times New Roman"/>
          <w:szCs w:val="20"/>
          <w:lang w:val="hu-HU" w:eastAsia="en-GB"/>
        </w:rPr>
      </w:pPr>
      <w:r w:rsidRPr="0025099E">
        <w:rPr>
          <w:rFonts w:eastAsia="Times New Roman"/>
          <w:szCs w:val="20"/>
          <w:lang w:val="hu-HU" w:eastAsia="en-GB"/>
        </w:rPr>
        <w:t>e)</w:t>
      </w:r>
      <w:r w:rsidRPr="0025099E">
        <w:rPr>
          <w:rFonts w:eastAsia="Times New Roman"/>
          <w:szCs w:val="20"/>
          <w:lang w:val="hu-HU" w:eastAsia="en-GB"/>
        </w:rPr>
        <w:tab/>
        <w:t>megismétli a Számvevőszék cselekvésre vonatkozó ajánlását, amely azt ajánlja, hogy a Fúziósenergia-fejlesztési és ITER Európai Közös Vállalkozás hozzon létre központosított koordinációs és irányítási feladatkört a külső szolgáltatók számára, és fogadjon el átfogó módszertant a teljes humánerőforrás-igényének a várható munkaterhelés és a szükséges készségek alapján történő rendszeres értékelésére, valamint hogy az érintett közös vállalkozásnak a külső szolgáltatók hosszú távú magas szintű igénybevételéből eredő legfontosabb kockázatokkal is ki kell egészítenie kockázati nyilvántartását;</w:t>
      </w:r>
    </w:p>
    <w:p w14:paraId="7158D78E" w14:textId="77777777" w:rsidR="004F308D" w:rsidRPr="0025099E" w:rsidRDefault="004F308D" w:rsidP="0038504B">
      <w:pPr>
        <w:spacing w:after="240"/>
        <w:ind w:left="1134" w:hanging="567"/>
        <w:jc w:val="left"/>
        <w:rPr>
          <w:rFonts w:eastAsia="Times New Roman"/>
          <w:szCs w:val="20"/>
          <w:lang w:val="hu-HU" w:eastAsia="en-GB"/>
        </w:rPr>
      </w:pPr>
      <w:r w:rsidRPr="0025099E">
        <w:rPr>
          <w:rFonts w:eastAsia="Times New Roman"/>
          <w:szCs w:val="20"/>
          <w:lang w:val="hu-HU" w:eastAsia="en-GB"/>
        </w:rPr>
        <w:t>f)</w:t>
      </w:r>
      <w:r w:rsidRPr="0025099E">
        <w:rPr>
          <w:rFonts w:eastAsia="Times New Roman"/>
          <w:szCs w:val="20"/>
          <w:lang w:val="hu-HU" w:eastAsia="en-GB"/>
        </w:rPr>
        <w:tab/>
        <w:t>üdvözli a közös vállalkozás által tett kötelezettségvállalásokat, és üdvözli a külső szolgáltatók jelentős igénybevételéhez vezető kihívások magyarázatát; aggodalmát fejezi ki azonban e jelentős függőség és a kapcsolódó kockázatok miatt; felhívja a közös vállalkozást, hogy a jövőben nyújtson részletesebb tájékoztatást a külső szolgáltatók igénybevételéhez vezető döntéshozatali folyamatokról;</w:t>
      </w:r>
    </w:p>
    <w:p w14:paraId="78525A8B"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34.</w:t>
      </w:r>
      <w:r w:rsidRPr="0025099E">
        <w:rPr>
          <w:rFonts w:eastAsia="Times New Roman"/>
          <w:szCs w:val="20"/>
          <w:lang w:val="hu-HU" w:eastAsia="en-GB"/>
        </w:rPr>
        <w:tab/>
        <w:t>tudomásul veszi, hogy a közös vállalkozások által szolgáltatott, a közös vállalkozásokkal való együttműködésre kiválasztott szakértőknek a személyzet körében, valamint irányító szerveiken és struktúráikon belüli, nemek közötti egyensúlyára vonatkozó mennyiségi adatok részletessége és hozzáférhetőségi szintje eltérő éves tevékenységi jelentéseikben; felhívja az összes közös vállalkozást, hogy jövőbeli éves tevékenységi jelentéseikbe illesszenek be egy egyértelmű szakaszt, amely a személyzetük körében, valamint irányító szerveiken és struktúráikon belüli, nemek közötti egyensúlyra vonatkozó mennyiségi adatokkal foglalkozik, beleértve az adatok különböző felelősségi szintek és különböző szerződéstípusok szerinti bontását; felhívja a közös vállalkozásokat annak biztosítására, hogy a nemek közötti egyensúly továbbra is célkitűzés maradjon a felelősség minden szintjén és továbbra is tegyenek erőfeszítéseket ezen egyensúly javítására annak érdekében, hogy biztosítsák a társadalom méltányos képviseletét személyzetükön belül, és mozdítsák elő az egészséges és produktív munkakörnyezetet, és adjanak magyarázatot arra az esetre, ha a nemek közötti egyensúlyt nem lehet elérni;</w:t>
      </w:r>
    </w:p>
    <w:p w14:paraId="0A687F5C"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35.</w:t>
      </w:r>
      <w:r w:rsidRPr="0025099E">
        <w:rPr>
          <w:rFonts w:eastAsia="Times New Roman"/>
          <w:szCs w:val="20"/>
          <w:lang w:val="hu-HU" w:eastAsia="en-GB"/>
        </w:rPr>
        <w:tab/>
        <w:t xml:space="preserve">tudomásul veszi, hogy a közös vállalkozások által szolgáltatott, a közös vállalkozásokkal való együttműködésre kiválasztott szakértőknek a személyzet </w:t>
      </w:r>
      <w:r w:rsidRPr="0025099E">
        <w:rPr>
          <w:rFonts w:eastAsia="Times New Roman"/>
          <w:szCs w:val="20"/>
          <w:lang w:val="hu-HU" w:eastAsia="en-GB"/>
        </w:rPr>
        <w:lastRenderedPageBreak/>
        <w:t>körében, valamint irányító szerveiken és struktúráikon belüli földrajzi eloszlására vonatkozó mennyiségi adatok részletessége és hozzáférhetőségi szintje eltérő éves tevékenységi jelentéseikben; felhívja az összes közös vállalkozást, hogy jövőbeli éves tevékenységi jelentéseikbe illesszenek be egy egyértelmű szakaszt, amely a személyzetük körében, valamint irányító szerveiken és struktúráikon belüli földrajzi eloszlásra vonatkozó mennyiségi adatokkal foglalkozik, beleértve az adatok különböző felelősségi szintek és különböző szerződéstípusok szerinti bontását; felhívja az összes közös vállalkozást annak biztosítására, hogy a megfelelő földrajzi eloszlás továbbra is célkitűzés maradjon minden felelősségi szinten, és adjanak magyarázatot arra az esetre, ha a megfelelő földrajzi eloszlást nem lehet elérni;</w:t>
      </w:r>
    </w:p>
    <w:p w14:paraId="65EA9F72"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36.</w:t>
      </w:r>
      <w:r w:rsidRPr="0025099E">
        <w:rPr>
          <w:rFonts w:eastAsia="Times New Roman"/>
          <w:szCs w:val="20"/>
          <w:lang w:val="hu-HU" w:eastAsia="en-GB"/>
        </w:rPr>
        <w:tab/>
        <w:t>üdvözli az uniós ügynökségek hálózatának (EUAN) és a sokszínűséggel és befogadással foglalkozó munkacsoportjának munkáját, amely az EUAN sokszínűségről és befogadásról szóló chartájának elfogadásához vezetett; felkéri a közös vállalkozásokat, hogy fogadják el ezt a chartát;</w:t>
      </w:r>
    </w:p>
    <w:p w14:paraId="74F3CD00"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szCs w:val="20"/>
          <w:lang w:val="hu-HU" w:eastAsia="en-GB"/>
        </w:rPr>
        <w:t>37.</w:t>
      </w:r>
      <w:r w:rsidRPr="0025099E">
        <w:rPr>
          <w:rFonts w:eastAsia="Times New Roman"/>
          <w:b/>
          <w:i/>
          <w:szCs w:val="20"/>
          <w:lang w:val="hu-HU" w:eastAsia="en-GB"/>
        </w:rPr>
        <w:tab/>
      </w:r>
      <w:r w:rsidRPr="0025099E">
        <w:rPr>
          <w:rFonts w:eastAsia="Times New Roman"/>
          <w:szCs w:val="20"/>
          <w:lang w:val="hu-HU" w:eastAsia="en-GB"/>
        </w:rPr>
        <w:t xml:space="preserve">hangsúlyozza, hogy a közös vállalkozásoknak biztosítaniuk kell, hogy a finanszírozott projektek hozzájáruljanak a társadalmi jóléthez és </w:t>
      </w:r>
      <w:proofErr w:type="spellStart"/>
      <w:r w:rsidRPr="0025099E">
        <w:rPr>
          <w:rFonts w:eastAsia="Times New Roman"/>
          <w:szCs w:val="20"/>
          <w:lang w:val="hu-HU" w:eastAsia="en-GB"/>
        </w:rPr>
        <w:t>inkluzivitáshoz</w:t>
      </w:r>
      <w:proofErr w:type="spellEnd"/>
      <w:r w:rsidRPr="0025099E">
        <w:rPr>
          <w:rFonts w:eastAsia="Times New Roman"/>
          <w:szCs w:val="20"/>
          <w:lang w:val="hu-HU" w:eastAsia="en-GB"/>
        </w:rPr>
        <w:t>, tiszteletben tartsák a munkavállalók jogait és munkakörülményeit, és igazodjanak a fenntartható technológiákra való igazságos átmenet elveihez;</w:t>
      </w:r>
    </w:p>
    <w:p w14:paraId="480C6B1E"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b/>
          <w:i/>
          <w:szCs w:val="20"/>
          <w:lang w:val="hu-HU" w:eastAsia="en-GB"/>
        </w:rPr>
        <w:t>Irányítási és kontrollrendszerek</w:t>
      </w:r>
    </w:p>
    <w:p w14:paraId="1F7629F4"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38.</w:t>
      </w:r>
      <w:r w:rsidRPr="0025099E">
        <w:rPr>
          <w:rFonts w:eastAsia="Times New Roman"/>
          <w:szCs w:val="20"/>
          <w:lang w:val="hu-HU" w:eastAsia="en-GB"/>
        </w:rPr>
        <w:tab/>
        <w:t>üdvözli a Számvevőszék által a kutatási és innovációs projekteket végrehajtó tíz közös vállalkozás által teljesített támogatási kifizetések vizsgálata terén végzett munkát, különös tekintettel a Horizont 2020 keretében a kedvezményezettek szintjén teljesített támogatási kifizetések mintájának kiegészítő ellenőrzésére; aggodalmát fejezi ki e vizsgálat eredményei miatt, amelyek tartós rendszerszintű hibákat mutattak ki, különösen a bejelentett személyzeti és felszerelési költségek tekintetében;</w:t>
      </w:r>
      <w:r w:rsidRPr="0025099E">
        <w:rPr>
          <w:rFonts w:eastAsia="Times New Roman"/>
          <w:b/>
          <w:i/>
          <w:szCs w:val="20"/>
          <w:lang w:val="hu-HU" w:eastAsia="en-GB"/>
        </w:rPr>
        <w:t xml:space="preserve"> </w:t>
      </w:r>
      <w:r w:rsidRPr="0025099E">
        <w:rPr>
          <w:rFonts w:eastAsia="Times New Roman"/>
          <w:szCs w:val="20"/>
          <w:lang w:val="hu-HU" w:eastAsia="en-GB"/>
        </w:rPr>
        <w:t>felszólít a rendszerszintű hibák kijavítására;</w:t>
      </w:r>
    </w:p>
    <w:p w14:paraId="13343722"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39.</w:t>
      </w:r>
      <w:r w:rsidRPr="0025099E">
        <w:rPr>
          <w:rFonts w:eastAsia="Times New Roman"/>
          <w:szCs w:val="20"/>
          <w:lang w:val="hu-HU" w:eastAsia="en-GB"/>
        </w:rPr>
        <w:tab/>
        <w:t xml:space="preserve">hangsúlyozza, hogy a Számvevőszék a Horizont 2020 keretében a Tiszta Légi Közlekedés Közös Vállalkozás, az Innovatív Egészségügy Közös Vállalkozás, a Tiszta Hidrogén Közös Vállalkozás, a Körforgásos és </w:t>
      </w:r>
      <w:proofErr w:type="spellStart"/>
      <w:r w:rsidRPr="0025099E">
        <w:rPr>
          <w:rFonts w:eastAsia="Times New Roman"/>
          <w:szCs w:val="20"/>
          <w:lang w:val="hu-HU" w:eastAsia="en-GB"/>
        </w:rPr>
        <w:t>Bioalapú</w:t>
      </w:r>
      <w:proofErr w:type="spellEnd"/>
      <w:r w:rsidRPr="0025099E">
        <w:rPr>
          <w:rFonts w:eastAsia="Times New Roman"/>
          <w:szCs w:val="20"/>
          <w:lang w:val="hu-HU" w:eastAsia="en-GB"/>
        </w:rPr>
        <w:t xml:space="preserve"> Európai Gazdaság Közös Vállalkozás, valamint az Európai Vasút Közös Vállalkozás esetében megállapított egy számszerűsített és súlyos hibát a kifizetésekre vonatkozóan; üdvözli az e tekintetben a kedvezményezettek szintjén a figyelemfelkeltés érdekében tett kezdeményezéseket; felhívja a közös vállalkozásokat, hogy biztosítsák az operatív kiadások jogszerűségét és szabályszerűségét, és hangsúlyozza, hogy a Számvevőszék közepesnek ítélte a közös vállalkozások időközi és záró támogatási kifizetéseinek kockázatát;</w:t>
      </w:r>
    </w:p>
    <w:p w14:paraId="5533BD63"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szCs w:val="20"/>
          <w:lang w:val="hu-HU" w:eastAsia="en-GB"/>
        </w:rPr>
        <w:t>40.</w:t>
      </w:r>
      <w:r w:rsidRPr="0025099E">
        <w:rPr>
          <w:rFonts w:eastAsia="Times New Roman"/>
          <w:b/>
          <w:i/>
          <w:szCs w:val="20"/>
          <w:lang w:val="hu-HU" w:eastAsia="en-GB"/>
        </w:rPr>
        <w:tab/>
      </w:r>
      <w:r w:rsidRPr="0025099E">
        <w:rPr>
          <w:rFonts w:eastAsia="Times New Roman"/>
          <w:szCs w:val="20"/>
          <w:lang w:val="hu-HU" w:eastAsia="en-GB"/>
        </w:rPr>
        <w:t>felhívja a Bizottságot, hogy vezessen be: i. kötelező pénzügyi képzést a közös vállalkozások által nyújtott finanszírozás kedvezményezettjei számára a visszatérő számviteli hibák megelőzése érdekében; ii. automatizált ellenőrzési eszközöket a személyzeti költségekre vonatkozó számítások pontosságának javítása érdekében; iii. szigorúbb előzetes ellenőrzési eljárásokat az uniós források megfelelő felhasználásának biztosítása érdekében;</w:t>
      </w:r>
    </w:p>
    <w:p w14:paraId="3CF554FC"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41.</w:t>
      </w:r>
      <w:r w:rsidRPr="0025099E">
        <w:rPr>
          <w:rFonts w:eastAsia="Times New Roman"/>
          <w:szCs w:val="20"/>
          <w:lang w:val="hu-HU" w:eastAsia="en-GB"/>
        </w:rPr>
        <w:tab/>
        <w:t xml:space="preserve">üdvözli, hogy a Számvevőszék valamennyi közös vállalkozásra vonatkozó extrapolációja szerint az átlagos hibaarány éppen a 2 %-os lényegességi küszöb alatt van a támogatási kiadások esetében, valamint üdvözli, hogy a Bizottság közös </w:t>
      </w:r>
      <w:r w:rsidRPr="0025099E">
        <w:rPr>
          <w:rFonts w:eastAsia="Times New Roman"/>
          <w:szCs w:val="20"/>
          <w:lang w:val="hu-HU" w:eastAsia="en-GB"/>
        </w:rPr>
        <w:lastRenderedPageBreak/>
        <w:t>ellenőrzési szolgálata által kiszámított fennmaradó hibaarányok szintén a lényegességi küszöb alatt voltak;</w:t>
      </w:r>
    </w:p>
    <w:p w14:paraId="2ACA0F1B"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42.</w:t>
      </w:r>
      <w:r w:rsidRPr="0025099E">
        <w:rPr>
          <w:rFonts w:eastAsia="Times New Roman"/>
          <w:szCs w:val="20"/>
          <w:lang w:val="hu-HU" w:eastAsia="en-GB"/>
        </w:rPr>
        <w:tab/>
        <w:t>tudomásul veszi, hogy a Horizont Európa és a Digitális Európa időközi kifizetéseinek száma túl alacsony volt ahhoz, hogy szerepeljen a Számvevőszék által 2023-ban ellenőrzött mintában;</w:t>
      </w:r>
    </w:p>
    <w:p w14:paraId="24B24432"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43.</w:t>
      </w:r>
      <w:r w:rsidRPr="0025099E">
        <w:rPr>
          <w:rFonts w:eastAsia="Times New Roman"/>
          <w:szCs w:val="20"/>
          <w:lang w:val="hu-HU" w:eastAsia="en-GB"/>
        </w:rPr>
        <w:tab/>
        <w:t>tudomásul veszi, hogy a Horizont Európa keretében több változás történt a közös vállalkozások belső ellenőrzési keretrendszerében, nevezetesen azt a tényt, hogy a Bizottság már nem szándékozik konkrét reprezentatív utólagos ellenőrzéseket végezni a Horizont Európa egyes érdekelt felei, például a közös vállalkozások nevében; megjegyzi továbbá, hogy a Bizottság ugyanezen változtatás alkalmazását tervezi a Digitális Európa keretében nyújtott támogatások kifizetésére is;</w:t>
      </w:r>
    </w:p>
    <w:p w14:paraId="65EEED48"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44.</w:t>
      </w:r>
      <w:r w:rsidRPr="0025099E">
        <w:rPr>
          <w:rFonts w:eastAsia="Times New Roman"/>
          <w:szCs w:val="20"/>
          <w:lang w:val="hu-HU" w:eastAsia="en-GB"/>
        </w:rPr>
        <w:tab/>
        <w:t>aggodalmát fejezi ki a Fúziósenergia-fejlesztési és ITER Európai Közös Vállalkozás kockázatkezelése és belső ellenőrzési funkciói közötti kommunikáció, együttműködés és koordináció hiánya, valamint az integrált kockázatkezelési folyamat ehhez kapcsolódó hiánya miatt, valamint amiatt, hogy a közös vállalkozás nem tudott kielégítő bizonyítékokkal szolgálni arra vonatkozóan, hogy a belső ellenőrzési tevékenységek tervezése során rendszeresen kockázatkezelési információkat használ fel; megismétli a Számvevőszék erre vonatkozó ajánlását, amely azt ajánlja, hogy az érintett közös vállalkozás belső ellenőrzési keretrendszerében alkalmazzon integrált kockázatkezelési eljárást kockázatainak hatékony kezelése érdekében; üdvözli a közös vállalkozás arra irányuló terveit, hogy lépéseket tegyen ebben a kérdésben;</w:t>
      </w:r>
    </w:p>
    <w:p w14:paraId="1A11C910"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45.</w:t>
      </w:r>
      <w:r w:rsidRPr="0025099E">
        <w:rPr>
          <w:rFonts w:eastAsia="Times New Roman"/>
          <w:szCs w:val="20"/>
          <w:lang w:val="hu-HU" w:eastAsia="en-GB"/>
        </w:rPr>
        <w:tab/>
        <w:t>hangsúlyozza egy átfogó és naprakész ügymenet-folytonossági terv és katasztrófa utáni helyreállítási terv végrehajtásának fontosságát a közös vállalkozások számára; e tekintetben sajnálja, hogy a 2023. évi pénzügyi év végén a közös vállalkozások – a Fúziósenergia-fejlesztési és ITER Európai Közös Vállalkozás kivételével – nem rendelkeztek kielégítő szakpolitikával e tekintetben; üdvözli a közös vállalkozás arra irányuló terveit, hogy lépéseket tegyen ebben a kérdésben;</w:t>
      </w:r>
    </w:p>
    <w:p w14:paraId="375B1F7D"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46.</w:t>
      </w:r>
      <w:r w:rsidRPr="0025099E">
        <w:rPr>
          <w:rFonts w:eastAsia="Times New Roman"/>
          <w:szCs w:val="20"/>
          <w:lang w:val="hu-HU" w:eastAsia="en-GB"/>
        </w:rPr>
        <w:tab/>
        <w:t>rámutat arra, hogy az Intelligens Hálózatok és Szolgáltatások Közös Vállalkozás és a Globális Egészségügyi EDCTP3 Közös Vállalkozás még mindig nem hajtotta végre teljes mértékben a Bizottság belső ellenőrzési keretrendszerét, és felhívja e két közös vállalkozást, hogy maradéktalanul hajtsák végre ezt a keretrendszert;</w:t>
      </w:r>
    </w:p>
    <w:p w14:paraId="3DD3CC7C"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b/>
          <w:i/>
          <w:szCs w:val="20"/>
          <w:lang w:val="hu-HU" w:eastAsia="en-GB"/>
        </w:rPr>
        <w:t>Csalás, etika és összeférhetetlenség</w:t>
      </w:r>
    </w:p>
    <w:p w14:paraId="0158953B"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47.</w:t>
      </w:r>
      <w:r w:rsidRPr="0025099E">
        <w:rPr>
          <w:rFonts w:eastAsia="Times New Roman"/>
          <w:szCs w:val="20"/>
          <w:lang w:val="hu-HU" w:eastAsia="en-GB"/>
        </w:rPr>
        <w:tab/>
        <w:t>tudomásul veszi, hogy a Számvevőszék a 2023. évi pénzügyi évre vonatkozó ellenőrzése során egy alkalommal értesítette csalásgyanús esetről az Európai Csalás Elleni Hivatalt (OLAF); tudomásul veszi, hogy az OLAF később elutasította az ügyet, mivel az érintett személyzeti üggyel kapcsolatban nem észleltek csalást; üdvözli a Számvevőszék gondosságát és a csalás elleni struktúrán belüli együttműködést;</w:t>
      </w:r>
    </w:p>
    <w:p w14:paraId="3E61A64A"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48.</w:t>
      </w:r>
      <w:r w:rsidRPr="0025099E">
        <w:rPr>
          <w:rFonts w:eastAsia="Times New Roman"/>
          <w:szCs w:val="20"/>
          <w:lang w:val="hu-HU" w:eastAsia="en-GB"/>
        </w:rPr>
        <w:tab/>
        <w:t>hangsúlyozza a közös vállalkozások érzékeny funkcióira vonatkozó belső ellenőrzési politika végrehajtásának fontosságát;</w:t>
      </w:r>
      <w:r w:rsidRPr="0025099E">
        <w:rPr>
          <w:rFonts w:eastAsia="Times New Roman"/>
          <w:b/>
          <w:i/>
          <w:szCs w:val="20"/>
          <w:lang w:val="hu-HU" w:eastAsia="en-GB"/>
        </w:rPr>
        <w:t xml:space="preserve"> </w:t>
      </w:r>
      <w:r w:rsidRPr="0025099E">
        <w:rPr>
          <w:rFonts w:eastAsia="Times New Roman"/>
          <w:szCs w:val="20"/>
          <w:lang w:val="hu-HU" w:eastAsia="en-GB"/>
        </w:rPr>
        <w:t xml:space="preserve">hangsúlyozza, hogy egy ilyen politika megelőzheti és csökkentheti a nem megfelelő vagy csalárd fellépés kockázatát; sajnálja, hogy a 2023. évi pénzügyi év végén a 3. „Egységes Európai Égbolt” Légiforgalmi Szolgáltatási Kutatás Közös Vállalkozás, a Tiszta Hidrogén Közös Vállalkozás,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az Európai Nagy Teljesítményű </w:t>
      </w:r>
      <w:r w:rsidRPr="0025099E">
        <w:rPr>
          <w:rFonts w:eastAsia="Times New Roman"/>
          <w:szCs w:val="20"/>
          <w:lang w:val="hu-HU" w:eastAsia="en-GB"/>
        </w:rPr>
        <w:lastRenderedPageBreak/>
        <w:t>Számítástechnika Közös Vállalkozás, valamint a Fúziósenergia-fejlesztési és ITER Európai Közös Vállalkozás még nem rendelkezett erre vonatkozó szakpolitikával; hangsúlyozza e helyzet kritikus jellegét, és sürgeti a közös vállalkozásokat, hogy szükségtelen késedelem nélkül tegyenek lépéseket;</w:t>
      </w:r>
    </w:p>
    <w:p w14:paraId="43354504"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49.</w:t>
      </w:r>
      <w:r w:rsidRPr="0025099E">
        <w:rPr>
          <w:rFonts w:eastAsia="Times New Roman"/>
          <w:szCs w:val="20"/>
          <w:lang w:val="hu-HU" w:eastAsia="en-GB"/>
        </w:rPr>
        <w:tab/>
        <w:t xml:space="preserve">tudomásul veszi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 Számvevőszék által említett helyzetét, amely szerint az egyik korábbi vezető munkatársa, aki a közelmúltban elhagyta a közös vállalkozást, új szakmai tevékenységet kezdett az érintett közös vállalkozás előzetes értesítése nélkül; felhívja az érintett közös vállalkozást és az összes többi közös vállalkozást, hogy aktívan kísérjék figyelemmel a korábbi vezető beosztású alkalmazottak, valamint az érzékeny feladatokat ellátó alkalmazottak új szakmai tevékenységeit; üdvözli az érintett közös vállalkozás által ezzel a konkrét esettel kapcsolatban nyújtott kiegészítő információkat;</w:t>
      </w:r>
    </w:p>
    <w:p w14:paraId="6DA5917A"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szCs w:val="20"/>
          <w:lang w:val="hu-HU" w:eastAsia="en-GB"/>
        </w:rPr>
        <w:t>50.</w:t>
      </w:r>
      <w:r w:rsidRPr="0025099E">
        <w:rPr>
          <w:rFonts w:eastAsia="Times New Roman"/>
          <w:b/>
          <w:i/>
          <w:szCs w:val="20"/>
          <w:lang w:val="hu-HU" w:eastAsia="en-GB"/>
        </w:rPr>
        <w:tab/>
      </w:r>
      <w:r w:rsidRPr="0025099E">
        <w:rPr>
          <w:rFonts w:eastAsia="Times New Roman"/>
          <w:szCs w:val="20"/>
          <w:lang w:val="hu-HU" w:eastAsia="en-GB"/>
        </w:rPr>
        <w:t>felhívja az összes közös vállalkozást, hogy fokozzák átláthatósági politikájukat, különösen az esetleges összeférhetetlenségek tekintetében; sürgeti a közös vállalkozásokat, hogy tegyék közzé igazgatótanácsi tagjaik, tudományos bizottságaik tagjai és külső szakértőik érdekeltségi nyilatkozatait, biztosítva, hogy nyilvánosságra hozzák a közös vállalkozás által nyújtott finanszírozásban részesülő szervezetekkel fennálló pénzügyi, szakmai vagy személyes kapcsolatokat; ragaszkodik ahhoz, hogy a közös vállalkozások vezető beosztású alkalmazottai számára vezessenek be kötelező várakozási időszakot, mielőtt munkát vállalhatnának olyan szervezeteknél, amelyek a közös vállalkozás által nyújtott finanszírozásban részesülnek;</w:t>
      </w:r>
    </w:p>
    <w:p w14:paraId="03CAEC29"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51.</w:t>
      </w:r>
      <w:r w:rsidRPr="0025099E">
        <w:rPr>
          <w:rFonts w:eastAsia="Times New Roman"/>
          <w:szCs w:val="20"/>
          <w:lang w:val="hu-HU" w:eastAsia="en-GB"/>
        </w:rPr>
        <w:tab/>
        <w:t>tudomásul veszi a közös vállalkozások által a csalás megelőzésével, felderítésével és korrekciójával kapcsolatos tevékenységeikről jelentett információkat; felhívja az összes közös vállalkozást, hogy erősítsék meg szerepüket és azonosítsák gyenge pontjaikat azáltal, hogy további megbeszéléseket folytatnak a csalás elleni küzdelemről, és számoljanak be ezekről az elemekről, és jövőbeli jelentéseikben egyértelműen mutassák be az e tekintetben bevezetett jogi keretet és politikákat;</w:t>
      </w:r>
    </w:p>
    <w:p w14:paraId="1AD297AB"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b/>
          <w:i/>
          <w:szCs w:val="20"/>
          <w:lang w:val="hu-HU" w:eastAsia="en-GB"/>
        </w:rPr>
        <w:t>Megjegyzések a közös vállalkozások előző mentesítési eljárásának nyomon követéséről</w:t>
      </w:r>
    </w:p>
    <w:p w14:paraId="1C114C7F"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52.</w:t>
      </w:r>
      <w:r w:rsidRPr="0025099E">
        <w:rPr>
          <w:rFonts w:eastAsia="Times New Roman"/>
          <w:szCs w:val="20"/>
          <w:lang w:val="hu-HU" w:eastAsia="en-GB"/>
        </w:rPr>
        <w:tab/>
        <w:t xml:space="preserve">üdvözli, hogy a közös vállalkozások </w:t>
      </w:r>
      <w:proofErr w:type="spellStart"/>
      <w:r w:rsidRPr="0025099E">
        <w:rPr>
          <w:rFonts w:eastAsia="Times New Roman"/>
          <w:szCs w:val="20"/>
          <w:lang w:val="hu-HU" w:eastAsia="en-GB"/>
        </w:rPr>
        <w:t>nyomonkövetési</w:t>
      </w:r>
      <w:proofErr w:type="spellEnd"/>
      <w:r w:rsidRPr="0025099E">
        <w:rPr>
          <w:rFonts w:eastAsia="Times New Roman"/>
          <w:szCs w:val="20"/>
          <w:lang w:val="hu-HU" w:eastAsia="en-GB"/>
        </w:rPr>
        <w:t xml:space="preserve"> jelentést készítettek az Európai Parlament állásfoglalásairól, amelyek a közös vállalkozások 2022. évi pénzügyi évre szóló költségvetésének végrehajtására vonatkozó mentesítésről szóló határozatok szerves részét képező megjegyzéseket tartalmaznak; megjegyzi, hogy ezek a jelentések kielégítő mértékben ismertetik a közös vállalkozások véleményét az Európai Parlament által kiemelt kérdésekről;</w:t>
      </w:r>
    </w:p>
    <w:p w14:paraId="5EB061A7"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53.</w:t>
      </w:r>
      <w:r w:rsidRPr="0025099E">
        <w:rPr>
          <w:rFonts w:eastAsia="Times New Roman"/>
          <w:szCs w:val="20"/>
          <w:lang w:val="hu-HU" w:eastAsia="en-GB"/>
        </w:rPr>
        <w:tab/>
        <w:t xml:space="preserve">üdvözli, hogy a Számvevőszék jelentése tartalmazza a közös vállalkozások által a Számvevőszék korábbi észrevételei és cselekvési ajánlásai nyomán hozott intézkedések nyomon követésének elemzését is; e tekintetben megjegyzi, hogy a 2022 végéig nem megfelelően kezelt 37 észrevételből 16-ot lezártak, és 2023 végén 21 továbbra is lezáratlan volt; megjegyzi továbbá, hogy a 2021. és 2022. évi éves jelentésekben ajánlott 15 intézkedésből kilencet teljes mértékben, kettőt a legtöbb tekintetben, hármat néhány tekintetben végrehajtottak, egyet pedig egyáltalán nem hajtottak végre; tudomása szerint néhány olyan ajánlás, amelyet még végre kell hajtani, főként az emberi erőforrásokkal kapcsolatos kérdésekhez kapcsolódik, amelyeket a közös vállalkozások csak a Bizottság Költségvetési Főigazgatóságával együttműködve és csak </w:t>
      </w:r>
      <w:r w:rsidRPr="0025099E">
        <w:rPr>
          <w:rFonts w:eastAsia="Times New Roman"/>
          <w:szCs w:val="20"/>
          <w:lang w:val="hu-HU" w:eastAsia="en-GB"/>
        </w:rPr>
        <w:lastRenderedPageBreak/>
        <w:t>akkor hajthatnak végre, ha az alkalmazások végrehajtásra készek; tudomása szerint a 2023 vége előtt végrehajtandó ajánlásokat kellő időben végrehajtották;</w:t>
      </w:r>
    </w:p>
    <w:p w14:paraId="2F9F2261"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54.</w:t>
      </w:r>
      <w:r w:rsidRPr="0025099E">
        <w:rPr>
          <w:rFonts w:eastAsia="Times New Roman"/>
          <w:szCs w:val="20"/>
          <w:lang w:val="hu-HU" w:eastAsia="en-GB"/>
        </w:rPr>
        <w:tab/>
        <w:t xml:space="preserve">üdvözli, hogy a Számvevőszék a közös vállalkozásokkal együttműködésben, a megvalósíthatóság biztosítása érdekében meghatározott minden egyes folyamatban lévő intézkedési ajánlásának végrehajtására határidőt állapított meg; felhívja a közös vállalkozásokat, hogy továbbra is </w:t>
      </w:r>
      <w:proofErr w:type="gramStart"/>
      <w:r w:rsidRPr="0025099E">
        <w:rPr>
          <w:rFonts w:eastAsia="Times New Roman"/>
          <w:szCs w:val="20"/>
          <w:lang w:val="hu-HU" w:eastAsia="en-GB"/>
        </w:rPr>
        <w:t>tegyenek jelentést</w:t>
      </w:r>
      <w:proofErr w:type="gramEnd"/>
      <w:r w:rsidRPr="0025099E">
        <w:rPr>
          <w:rFonts w:eastAsia="Times New Roman"/>
          <w:szCs w:val="20"/>
          <w:lang w:val="hu-HU" w:eastAsia="en-GB"/>
        </w:rPr>
        <w:t xml:space="preserve"> a Számvevőszéknek és az Európai Parlamentnek ezekről a kérdésekről;</w:t>
      </w:r>
    </w:p>
    <w:p w14:paraId="06F6AD7F"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szCs w:val="20"/>
          <w:lang w:val="hu-HU" w:eastAsia="en-GB"/>
        </w:rPr>
        <w:t>55.</w:t>
      </w:r>
      <w:r w:rsidRPr="0025099E">
        <w:rPr>
          <w:rFonts w:eastAsia="Times New Roman"/>
          <w:b/>
          <w:i/>
          <w:szCs w:val="20"/>
          <w:lang w:val="hu-HU" w:eastAsia="en-GB"/>
        </w:rPr>
        <w:tab/>
      </w:r>
      <w:r w:rsidRPr="0025099E">
        <w:rPr>
          <w:rFonts w:eastAsia="Times New Roman"/>
          <w:szCs w:val="20"/>
          <w:lang w:val="hu-HU" w:eastAsia="en-GB"/>
        </w:rPr>
        <w:t>aggodalommal veszi tudomásul az ITER projekt végrehajtása során felmerülő költségtúllépésekkel, késedelmekkel és irányítási kérdésekkel kapcsolatos tartós kihívásokat; jobb pénzügyi felügyeletre és fokozott költségvetési átláthatóságra szólít fel, beleértve a költségek alakulásáról, a kiadások hatékonyságáról és a projekt kulcsfontosságú mérföldkövei felé tett előrehaladásról szóló részletesebb nyilvános jelentéstételt; hangsúlyozza, hogy szigorúbb ellenőrzési mechanizmusokra van szükség annak biztosítása érdekében, hogy a projektekhez nyújtott uniós hozzájárulásokat hatékonyan használják fel; sürgeti a közös vállalkozást, hogy erősítse meg a belső irányítást a projektkockázatok rendszeres és független értékelésének biztosítása és a felső vezetésre vonatkozó elszámoltathatósági mechanizmusok kibővítése révén;</w:t>
      </w:r>
    </w:p>
    <w:p w14:paraId="406A94D6"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b/>
          <w:i/>
          <w:szCs w:val="20"/>
          <w:lang w:val="hu-HU" w:eastAsia="en-GB"/>
        </w:rPr>
        <w:t>A közös vállalkozások egyéb prioritásai</w:t>
      </w:r>
    </w:p>
    <w:p w14:paraId="53DCBC51"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56.</w:t>
      </w:r>
      <w:r w:rsidRPr="0025099E">
        <w:rPr>
          <w:rFonts w:eastAsia="Times New Roman"/>
          <w:szCs w:val="20"/>
          <w:lang w:val="hu-HU" w:eastAsia="en-GB"/>
        </w:rPr>
        <w:tab/>
        <w:t>tisztában van a közös vállalkozások adminisztratív és költségvetési korlátaival, és e korlátokra való tekintettel felhívja a közös vállalkozásokat, hogy a tudományos és kutatóintézeteknek, az állami és magánszervezeteknek, valamint az európai és nemzeti hatóságoknak szánt akadálymentes kommunikációs anyagok révén jobban terjesszék a kutatási és innovációs tevékenységekhez való hozzájárulásukat; kéri, hogy ez az akadálymentes kommunikációs anyag mozdítsa elő a közös vállalkozások által a kutatási és innovációs tevékenységek terén kínált közbeszerzési szerződések és támogatások lehetőségeit;</w:t>
      </w:r>
    </w:p>
    <w:p w14:paraId="563162D0"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57.</w:t>
      </w:r>
      <w:r w:rsidRPr="0025099E">
        <w:rPr>
          <w:rFonts w:eastAsia="Times New Roman"/>
          <w:szCs w:val="20"/>
          <w:lang w:val="hu-HU" w:eastAsia="en-GB"/>
        </w:rPr>
        <w:tab/>
        <w:t xml:space="preserve">felhívja a közös vállalkozásokat, hogy a kommunikációs tevékenységekben proaktívan vegyenek részt annak érdekében, hogy eljussanak az uniós polgárok széles köréhez, hogy bemutassák a közös célokhoz való hozzájárulásukat és a </w:t>
      </w:r>
      <w:proofErr w:type="spellStart"/>
      <w:r w:rsidRPr="0025099E">
        <w:rPr>
          <w:rFonts w:eastAsia="Times New Roman"/>
          <w:szCs w:val="20"/>
          <w:lang w:val="hu-HU" w:eastAsia="en-GB"/>
        </w:rPr>
        <w:t>magánszektorbeli</w:t>
      </w:r>
      <w:proofErr w:type="spellEnd"/>
      <w:r w:rsidRPr="0025099E">
        <w:rPr>
          <w:rFonts w:eastAsia="Times New Roman"/>
          <w:szCs w:val="20"/>
          <w:lang w:val="hu-HU" w:eastAsia="en-GB"/>
        </w:rPr>
        <w:t xml:space="preserve"> tagokat is bevonó intézményesített partnerségek szükségességét;</w:t>
      </w:r>
    </w:p>
    <w:p w14:paraId="3FA8BB46"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szCs w:val="20"/>
          <w:lang w:val="hu-HU" w:eastAsia="en-GB"/>
        </w:rPr>
        <w:t>58.</w:t>
      </w:r>
      <w:r w:rsidRPr="0025099E">
        <w:rPr>
          <w:rFonts w:eastAsia="Times New Roman"/>
          <w:b/>
          <w:i/>
          <w:szCs w:val="20"/>
          <w:lang w:val="hu-HU" w:eastAsia="en-GB"/>
        </w:rPr>
        <w:tab/>
      </w:r>
      <w:r w:rsidRPr="0025099E">
        <w:rPr>
          <w:rFonts w:eastAsia="Times New Roman"/>
          <w:szCs w:val="20"/>
          <w:lang w:val="hu-HU" w:eastAsia="en-GB"/>
        </w:rPr>
        <w:t>felhívja a közös vállalkozásokat, hogy alakítsanak ki együttműködést egyetemekkel a fiatal európai diplomások megszólítása érdekében, hogy megerősítsék a jövőbeli munkaerő-felvételi eljárásaikat;</w:t>
      </w:r>
    </w:p>
    <w:p w14:paraId="472553FB"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59.</w:t>
      </w:r>
      <w:r w:rsidRPr="0025099E">
        <w:rPr>
          <w:rFonts w:eastAsia="Times New Roman"/>
          <w:szCs w:val="20"/>
          <w:lang w:val="hu-HU" w:eastAsia="en-GB"/>
        </w:rPr>
        <w:tab/>
        <w:t xml:space="preserve">felhívja a közös vállalkozásokat, hogy továbbra is hatékonyan és kapacitásuk mértékéig számoljanak be a foglalkoztatáshoz és az európai gazdaság versenyképességéhez való hozzájárulásukról, tekintettel arra, hogy a kutatás és innováció területén az Európai Unió valamennyi fontos szereplőjének az Európai Unió </w:t>
      </w:r>
      <w:proofErr w:type="spellStart"/>
      <w:r w:rsidRPr="0025099E">
        <w:rPr>
          <w:rFonts w:eastAsia="Times New Roman"/>
          <w:szCs w:val="20"/>
          <w:lang w:val="hu-HU" w:eastAsia="en-GB"/>
        </w:rPr>
        <w:t>újraiparosítására</w:t>
      </w:r>
      <w:proofErr w:type="spellEnd"/>
      <w:r w:rsidRPr="0025099E">
        <w:rPr>
          <w:rFonts w:eastAsia="Times New Roman"/>
          <w:szCs w:val="20"/>
          <w:lang w:val="hu-HU" w:eastAsia="en-GB"/>
        </w:rPr>
        <w:t xml:space="preserve"> kell összpontosítania;</w:t>
      </w:r>
    </w:p>
    <w:p w14:paraId="7E139F11"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60.</w:t>
      </w:r>
      <w:r w:rsidRPr="0025099E">
        <w:rPr>
          <w:rFonts w:eastAsia="Times New Roman"/>
          <w:szCs w:val="20"/>
          <w:lang w:val="hu-HU" w:eastAsia="en-GB"/>
        </w:rPr>
        <w:tab/>
        <w:t>felhívja a közös vállalkozásokat, hogy továbbra is biztosítsák a magánvállalatok, különösen a kis- és középvállalkozások megfelelő szintű részvételét, amelyek az európai gazdaság legerősebb eszközét képezik;</w:t>
      </w:r>
    </w:p>
    <w:p w14:paraId="51CA5C0A"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lastRenderedPageBreak/>
        <w:t>61.</w:t>
      </w:r>
      <w:r w:rsidRPr="0025099E">
        <w:rPr>
          <w:rFonts w:eastAsia="Times New Roman"/>
          <w:szCs w:val="20"/>
          <w:lang w:val="hu-HU" w:eastAsia="en-GB"/>
        </w:rPr>
        <w:tab/>
        <w:t>felhívja a közös vállalkozásokat, hogy hatékonyan számoljanak be az Európai Unió költségvetésének horizontális prioritásaihoz való hozzájárulásukról;</w:t>
      </w:r>
    </w:p>
    <w:p w14:paraId="5B39D80D"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62.</w:t>
      </w:r>
      <w:r w:rsidRPr="0025099E">
        <w:rPr>
          <w:rFonts w:eastAsia="Times New Roman"/>
          <w:szCs w:val="20"/>
          <w:lang w:val="hu-HU" w:eastAsia="en-GB"/>
        </w:rPr>
        <w:tab/>
        <w:t>felhívja a közös vállalkozásokat, hogy a nemzetközi érdekelt felekkel való kapcsolattartás során továbbra is körültekintően járjanak el tevékenységeik végzése során, különösen az Európai Unió által bevezetett korlátozó intézkedések rendszerének fényében; hangsúlyozza a Fúziósenergia-fejlesztési és ITER Európai Közös Vállalkozás e tekintetben fennálló különleges helyzetét, és üdvözli az érintett közös vállalkozásnak a Költségvetési Ellenőrző Bizottságban tartott meghallgatása során az ITER projekt keretében felmerülő problémák megelőzése érdekében bevezetett intézkedésekről adott magyarázatait;</w:t>
      </w:r>
    </w:p>
    <w:p w14:paraId="5522648E" w14:textId="77777777" w:rsidR="004F308D" w:rsidRPr="0025099E"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63.</w:t>
      </w:r>
      <w:r w:rsidRPr="0025099E">
        <w:rPr>
          <w:rFonts w:eastAsia="Times New Roman"/>
          <w:szCs w:val="20"/>
          <w:lang w:val="hu-HU" w:eastAsia="en-GB"/>
        </w:rPr>
        <w:tab/>
        <w:t xml:space="preserve">felhívja az összes közös vállalkozást annak biztosítására, hogy személyzetük minden releváns területen megfelelően használja ki az Európai Unió más szervezeteivel, például az ügynökségekkel való lehetséges szinergiákat annak érdekében, hogy növeljék műveleteik hatékonyságát és hatását; felhívja az összes közös vállalkozást annak biztosítására, hogy </w:t>
      </w:r>
      <w:proofErr w:type="spellStart"/>
      <w:r w:rsidRPr="0025099E">
        <w:rPr>
          <w:rFonts w:eastAsia="Times New Roman"/>
          <w:szCs w:val="20"/>
          <w:lang w:val="hu-HU" w:eastAsia="en-GB"/>
        </w:rPr>
        <w:t>alkalmazottaik</w:t>
      </w:r>
      <w:proofErr w:type="spellEnd"/>
      <w:r w:rsidRPr="0025099E">
        <w:rPr>
          <w:rFonts w:eastAsia="Times New Roman"/>
          <w:szCs w:val="20"/>
          <w:lang w:val="hu-HU" w:eastAsia="en-GB"/>
        </w:rPr>
        <w:t xml:space="preserve"> megfelelően használják ki az uniós ügynökségek hálózatát (EUAN) alkotó platformot;</w:t>
      </w:r>
    </w:p>
    <w:p w14:paraId="237882C4"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szCs w:val="20"/>
          <w:lang w:val="hu-HU" w:eastAsia="en-GB"/>
        </w:rPr>
        <w:t>64.</w:t>
      </w:r>
      <w:r w:rsidRPr="0025099E">
        <w:rPr>
          <w:rFonts w:eastAsia="Times New Roman"/>
          <w:b/>
          <w:i/>
          <w:szCs w:val="20"/>
          <w:lang w:val="hu-HU" w:eastAsia="en-GB"/>
        </w:rPr>
        <w:tab/>
      </w:r>
      <w:r w:rsidRPr="0025099E">
        <w:rPr>
          <w:rFonts w:eastAsia="Times New Roman"/>
          <w:szCs w:val="20"/>
          <w:lang w:val="hu-HU" w:eastAsia="en-GB"/>
        </w:rPr>
        <w:t xml:space="preserve">hangsúlyozza, hogy az Unió által finanszírozott kutatásban digitális szuverenitásra van szükség; e tekintetben különös hangsúlyt fektet a </w:t>
      </w:r>
      <w:proofErr w:type="spellStart"/>
      <w:r w:rsidRPr="0025099E">
        <w:rPr>
          <w:rFonts w:eastAsia="Times New Roman"/>
          <w:szCs w:val="20"/>
          <w:lang w:val="hu-HU" w:eastAsia="en-GB"/>
        </w:rPr>
        <w:t>Csipekkel</w:t>
      </w:r>
      <w:proofErr w:type="spellEnd"/>
      <w:r w:rsidRPr="0025099E">
        <w:rPr>
          <w:rFonts w:eastAsia="Times New Roman"/>
          <w:szCs w:val="20"/>
          <w:lang w:val="hu-HU" w:eastAsia="en-GB"/>
        </w:rPr>
        <w:t xml:space="preserve"> Foglalkozó Közös Vállalkozásra, az Európai Nagy Teljesítményű Számítástechnika Közös Vállalkozásra és az Intelligens Hálózatok és Szolgáltatások Közös Vállalkozásra, amelyek előnyben részesítik azokat a projekteket, amelyek fokozzák az Unió autonómiáját a félvezetőgyártás, a mesterséges intelligencia és a </w:t>
      </w:r>
      <w:proofErr w:type="spellStart"/>
      <w:r w:rsidRPr="0025099E">
        <w:rPr>
          <w:rFonts w:eastAsia="Times New Roman"/>
          <w:szCs w:val="20"/>
          <w:lang w:val="hu-HU" w:eastAsia="en-GB"/>
        </w:rPr>
        <w:t>kiberbiztonság</w:t>
      </w:r>
      <w:proofErr w:type="spellEnd"/>
      <w:r w:rsidRPr="0025099E">
        <w:rPr>
          <w:rFonts w:eastAsia="Times New Roman"/>
          <w:szCs w:val="20"/>
          <w:lang w:val="hu-HU" w:eastAsia="en-GB"/>
        </w:rPr>
        <w:t xml:space="preserve"> terén; kéri a Bizottságot annak biztosítására, hogy a közös vállalkozások által finanszírozott projektek: i. a kritikus technológiák tekintetében ne támaszkodjanak túlzott mértékben harmadik országbeli beszállítókra; ii. járuljanak hozzá az Unió ipari </w:t>
      </w:r>
      <w:proofErr w:type="spellStart"/>
      <w:r w:rsidRPr="0025099E">
        <w:rPr>
          <w:rFonts w:eastAsia="Times New Roman"/>
          <w:szCs w:val="20"/>
          <w:lang w:val="hu-HU" w:eastAsia="en-GB"/>
        </w:rPr>
        <w:t>rezilienciájához</w:t>
      </w:r>
      <w:proofErr w:type="spellEnd"/>
      <w:r w:rsidRPr="0025099E">
        <w:rPr>
          <w:rFonts w:eastAsia="Times New Roman"/>
          <w:szCs w:val="20"/>
          <w:lang w:val="hu-HU" w:eastAsia="en-GB"/>
        </w:rPr>
        <w:t xml:space="preserve"> és stratégiai függetlenségéhez; iii. mozdítsák elő a belföldi K+F-</w:t>
      </w:r>
      <w:proofErr w:type="spellStart"/>
      <w:r w:rsidRPr="0025099E">
        <w:rPr>
          <w:rFonts w:eastAsia="Times New Roman"/>
          <w:szCs w:val="20"/>
          <w:lang w:val="hu-HU" w:eastAsia="en-GB"/>
        </w:rPr>
        <w:t>et</w:t>
      </w:r>
      <w:proofErr w:type="spellEnd"/>
      <w:r w:rsidRPr="0025099E">
        <w:rPr>
          <w:rFonts w:eastAsia="Times New Roman"/>
          <w:szCs w:val="20"/>
          <w:lang w:val="hu-HU" w:eastAsia="en-GB"/>
        </w:rPr>
        <w:t xml:space="preserve"> a kulcsfontosságú digitális ágazatokban;</w:t>
      </w:r>
    </w:p>
    <w:p w14:paraId="613D513F" w14:textId="77777777" w:rsidR="004F308D" w:rsidRPr="0025099E" w:rsidRDefault="004F308D" w:rsidP="0038504B">
      <w:pPr>
        <w:spacing w:after="240"/>
        <w:ind w:left="567" w:hanging="567"/>
        <w:jc w:val="left"/>
        <w:rPr>
          <w:rFonts w:eastAsia="Times New Roman"/>
          <w:b/>
          <w:i/>
          <w:szCs w:val="20"/>
          <w:lang w:val="hu-HU" w:eastAsia="en-GB"/>
        </w:rPr>
      </w:pPr>
      <w:r w:rsidRPr="0025099E">
        <w:rPr>
          <w:rFonts w:eastAsia="Times New Roman"/>
          <w:b/>
          <w:i/>
          <w:szCs w:val="20"/>
          <w:lang w:val="hu-HU" w:eastAsia="en-GB"/>
        </w:rPr>
        <w:t>A nyomon követésre irányuló felhívás</w:t>
      </w:r>
    </w:p>
    <w:p w14:paraId="0862D8FF" w14:textId="77777777" w:rsidR="004F308D" w:rsidRPr="0025099E" w:rsidRDefault="004F308D" w:rsidP="0038504B">
      <w:pPr>
        <w:spacing w:after="240"/>
        <w:ind w:left="567" w:hanging="567"/>
        <w:jc w:val="left"/>
        <w:rPr>
          <w:rFonts w:eastAsia="Times New Roman"/>
          <w:lang w:val="hu-HU" w:eastAsia="en-GB"/>
        </w:rPr>
      </w:pPr>
      <w:r w:rsidRPr="0025099E">
        <w:rPr>
          <w:rFonts w:eastAsia="Times New Roman"/>
          <w:szCs w:val="20"/>
          <w:lang w:val="hu-HU" w:eastAsia="en-GB"/>
        </w:rPr>
        <w:t>65.</w:t>
      </w:r>
      <w:r w:rsidRPr="0025099E">
        <w:rPr>
          <w:rFonts w:eastAsia="Times New Roman"/>
          <w:szCs w:val="20"/>
          <w:lang w:val="hu-HU" w:eastAsia="en-GB"/>
        </w:rPr>
        <w:tab/>
        <w:t xml:space="preserve">felhívja a 2023. évi pénzügyi évre vonatkozó mentesítés megadása tekintetében vizsgált valamennyi közös vállalkozást, hogy készítsenek egyedi </w:t>
      </w:r>
      <w:proofErr w:type="spellStart"/>
      <w:r w:rsidRPr="0025099E">
        <w:rPr>
          <w:rFonts w:eastAsia="Times New Roman"/>
          <w:szCs w:val="20"/>
          <w:lang w:val="hu-HU" w:eastAsia="en-GB"/>
        </w:rPr>
        <w:t>nyomonkövetési</w:t>
      </w:r>
      <w:proofErr w:type="spellEnd"/>
      <w:r w:rsidRPr="0025099E">
        <w:rPr>
          <w:rFonts w:eastAsia="Times New Roman"/>
          <w:szCs w:val="20"/>
          <w:lang w:val="hu-HU" w:eastAsia="en-GB"/>
        </w:rPr>
        <w:t xml:space="preserve"> jelentést az ezen állásfoglalásban említett konkrét kérdések kezelése érdekében hozott valamennyi intézkedésről, és legkésőbb 2025. szeptember 30-ig nyújtsák be ezt a közös vállalkozás (ügyvezető) igazgatója által aláírt </w:t>
      </w:r>
      <w:proofErr w:type="spellStart"/>
      <w:r w:rsidRPr="0025099E">
        <w:rPr>
          <w:rFonts w:eastAsia="Times New Roman"/>
          <w:szCs w:val="20"/>
          <w:lang w:val="hu-HU" w:eastAsia="en-GB"/>
        </w:rPr>
        <w:t>nyomonkövetési</w:t>
      </w:r>
      <w:proofErr w:type="spellEnd"/>
      <w:r w:rsidRPr="0025099E">
        <w:rPr>
          <w:rFonts w:eastAsia="Times New Roman"/>
          <w:szCs w:val="20"/>
          <w:lang w:val="hu-HU" w:eastAsia="en-GB"/>
        </w:rPr>
        <w:t xml:space="preserve"> jelentést az Európai Parlamentnek;</w:t>
      </w:r>
    </w:p>
    <w:p w14:paraId="532B72D2" w14:textId="77777777" w:rsidR="004F308D" w:rsidRPr="00DB6286" w:rsidRDefault="004F308D" w:rsidP="0038504B">
      <w:pPr>
        <w:spacing w:after="240"/>
        <w:ind w:left="567" w:hanging="567"/>
        <w:jc w:val="left"/>
        <w:rPr>
          <w:rFonts w:eastAsia="Times New Roman"/>
          <w:szCs w:val="20"/>
          <w:lang w:val="hu-HU" w:eastAsia="en-GB"/>
        </w:rPr>
      </w:pPr>
      <w:r w:rsidRPr="0025099E">
        <w:rPr>
          <w:rFonts w:eastAsia="Times New Roman"/>
          <w:szCs w:val="20"/>
          <w:lang w:val="hu-HU" w:eastAsia="en-GB"/>
        </w:rPr>
        <w:t>66.</w:t>
      </w:r>
      <w:r w:rsidRPr="0025099E">
        <w:rPr>
          <w:rFonts w:eastAsia="Times New Roman"/>
          <w:szCs w:val="20"/>
          <w:lang w:val="hu-HU" w:eastAsia="en-GB"/>
        </w:rPr>
        <w:tab/>
        <w:t xml:space="preserve">hangsúlyozza, hogy a </w:t>
      </w:r>
      <w:proofErr w:type="spellStart"/>
      <w:r w:rsidRPr="0025099E">
        <w:rPr>
          <w:rFonts w:eastAsia="Times New Roman"/>
          <w:szCs w:val="20"/>
          <w:lang w:val="hu-HU" w:eastAsia="en-GB"/>
        </w:rPr>
        <w:t>nyomonkövetési</w:t>
      </w:r>
      <w:proofErr w:type="spellEnd"/>
      <w:r w:rsidRPr="0025099E">
        <w:rPr>
          <w:rFonts w:eastAsia="Times New Roman"/>
          <w:szCs w:val="20"/>
          <w:lang w:val="hu-HU" w:eastAsia="en-GB"/>
        </w:rPr>
        <w:t xml:space="preserve"> jelentések tartalmazhatják a közös vállalkozások ezen állásfoglalással és a mentesítésért felelős hatóság számára releváns egyéb kérdésekkel kapcsolatos általános véleményét is; elvárja, hogy a közös vállalkozások átfogó megközelítést alkalmazva készítsék el ezt a jelentést, és vegyék figyelembe az Európai Parlament által a tevékenységeikkel kapcsolatban tárgyalt valamennyi kérdést, és ezt jóhiszeműen és együttműködve tegyék meg.</w:t>
      </w:r>
    </w:p>
    <w:p w14:paraId="740DAB61" w14:textId="77777777" w:rsidR="008765BE" w:rsidRPr="009978B0" w:rsidRDefault="008765BE">
      <w:pPr>
        <w:rPr>
          <w:lang w:val="hu-HU"/>
        </w:rPr>
      </w:pPr>
    </w:p>
    <w:sectPr w:rsidR="008765BE" w:rsidRPr="009978B0">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65B5E" w14:textId="77777777" w:rsidR="004F308D" w:rsidRDefault="004F308D" w:rsidP="004F308D">
      <w:r>
        <w:separator/>
      </w:r>
    </w:p>
  </w:endnote>
  <w:endnote w:type="continuationSeparator" w:id="0">
    <w:p w14:paraId="612EA995" w14:textId="77777777" w:rsidR="004F308D" w:rsidRDefault="004F308D" w:rsidP="004F3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088BC" w14:textId="77777777" w:rsidR="004F308D" w:rsidRDefault="004F308D" w:rsidP="004F308D">
      <w:r>
        <w:separator/>
      </w:r>
    </w:p>
  </w:footnote>
  <w:footnote w:type="continuationSeparator" w:id="0">
    <w:p w14:paraId="5A0BAD20" w14:textId="77777777" w:rsidR="004F308D" w:rsidRDefault="004F308D" w:rsidP="004F308D">
      <w:r>
        <w:continuationSeparator/>
      </w:r>
    </w:p>
  </w:footnote>
  <w:footnote w:id="1">
    <w:p w14:paraId="13338D07"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1" w:history="1">
        <w:r w:rsidRPr="0025099E">
          <w:rPr>
            <w:rStyle w:val="Hyperlink1"/>
            <w:sz w:val="24"/>
            <w:szCs w:val="24"/>
            <w:lang w:val="hu-HU"/>
          </w:rPr>
          <w:t>http://data.europa.eu/eli/C/2024/6841/oj</w:t>
        </w:r>
      </w:hyperlink>
      <w:r w:rsidRPr="0025099E">
        <w:rPr>
          <w:sz w:val="24"/>
          <w:szCs w:val="24"/>
          <w:lang w:val="hu-HU"/>
        </w:rPr>
        <w:t>.</w:t>
      </w:r>
    </w:p>
  </w:footnote>
  <w:footnote w:id="2">
    <w:p w14:paraId="3BB5FBB7"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2" w:history="1">
        <w:r w:rsidRPr="0025099E">
          <w:rPr>
            <w:rStyle w:val="Hyperlink1"/>
            <w:sz w:val="24"/>
            <w:szCs w:val="24"/>
            <w:lang w:val="hu-HU"/>
          </w:rPr>
          <w:t>http://data.europa.eu/eli/C/2024/6041/oj</w:t>
        </w:r>
      </w:hyperlink>
      <w:r w:rsidRPr="0025099E">
        <w:rPr>
          <w:sz w:val="24"/>
          <w:szCs w:val="24"/>
          <w:lang w:val="hu-HU"/>
        </w:rPr>
        <w:t>.</w:t>
      </w:r>
    </w:p>
  </w:footnote>
  <w:footnote w:id="3">
    <w:p w14:paraId="4F8681D5"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3" w:history="1">
        <w:r w:rsidRPr="0025099E">
          <w:rPr>
            <w:rStyle w:val="Hyperlink1"/>
            <w:sz w:val="24"/>
            <w:szCs w:val="24"/>
            <w:lang w:val="hu-HU"/>
          </w:rPr>
          <w:t>http://data.europa.eu/eli/reg/2018/1046/oj</w:t>
        </w:r>
      </w:hyperlink>
      <w:r w:rsidRPr="0025099E">
        <w:rPr>
          <w:sz w:val="24"/>
          <w:szCs w:val="24"/>
          <w:lang w:val="hu-HU"/>
        </w:rPr>
        <w:t>.</w:t>
      </w:r>
    </w:p>
  </w:footnote>
  <w:footnote w:id="4">
    <w:p w14:paraId="762FA6DC"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4"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5">
    <w:p w14:paraId="1D214800"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5" w:history="1">
        <w:r w:rsidRPr="0025099E">
          <w:rPr>
            <w:rStyle w:val="Hyperlink1"/>
            <w:sz w:val="24"/>
            <w:szCs w:val="24"/>
            <w:lang w:val="hu-HU"/>
          </w:rPr>
          <w:t>http://data.europa.eu/eli/reg/2021/2085/oj</w:t>
        </w:r>
      </w:hyperlink>
      <w:r w:rsidRPr="0025099E">
        <w:rPr>
          <w:sz w:val="24"/>
          <w:szCs w:val="24"/>
          <w:lang w:val="hu-HU"/>
        </w:rPr>
        <w:t>.</w:t>
      </w:r>
    </w:p>
  </w:footnote>
  <w:footnote w:id="6">
    <w:p w14:paraId="20D3E811"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6" w:history="1">
        <w:r w:rsidRPr="0025099E">
          <w:rPr>
            <w:rStyle w:val="Hyperlink1"/>
            <w:sz w:val="24"/>
            <w:szCs w:val="24"/>
            <w:lang w:val="hu-HU"/>
          </w:rPr>
          <w:t>http://data.europa.eu/eli/reg_del/2019/887/oj</w:t>
        </w:r>
      </w:hyperlink>
      <w:r w:rsidRPr="0025099E">
        <w:rPr>
          <w:sz w:val="24"/>
          <w:szCs w:val="24"/>
          <w:lang w:val="hu-HU"/>
        </w:rPr>
        <w:t>.</w:t>
      </w:r>
    </w:p>
  </w:footnote>
  <w:footnote w:id="7">
    <w:p w14:paraId="7C7A9343"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7" w:history="1">
        <w:r w:rsidRPr="0025099E">
          <w:rPr>
            <w:rStyle w:val="Hyperlink1"/>
            <w:sz w:val="24"/>
            <w:szCs w:val="24"/>
            <w:lang w:val="hu-HU"/>
          </w:rPr>
          <w:t>http://data.europa.eu/eli/C/2024/6841/oj</w:t>
        </w:r>
      </w:hyperlink>
      <w:r w:rsidRPr="0025099E">
        <w:rPr>
          <w:sz w:val="24"/>
          <w:szCs w:val="24"/>
          <w:lang w:val="hu-HU"/>
        </w:rPr>
        <w:t>.</w:t>
      </w:r>
    </w:p>
  </w:footnote>
  <w:footnote w:id="8">
    <w:p w14:paraId="05706F4C"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8" w:history="1">
        <w:r w:rsidRPr="0025099E">
          <w:rPr>
            <w:rStyle w:val="Hyperlink1"/>
            <w:sz w:val="24"/>
            <w:szCs w:val="24"/>
            <w:lang w:val="hu-HU"/>
          </w:rPr>
          <w:t>http://data.europa.eu/eli/C/2024/6041/oj</w:t>
        </w:r>
      </w:hyperlink>
      <w:r w:rsidRPr="0025099E">
        <w:rPr>
          <w:sz w:val="24"/>
          <w:szCs w:val="24"/>
          <w:lang w:val="hu-HU"/>
        </w:rPr>
        <w:t>.</w:t>
      </w:r>
    </w:p>
  </w:footnote>
  <w:footnote w:id="9">
    <w:p w14:paraId="456A771F"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9" w:history="1">
        <w:r w:rsidRPr="0025099E">
          <w:rPr>
            <w:rStyle w:val="Hyperlink1"/>
            <w:sz w:val="24"/>
            <w:szCs w:val="24"/>
            <w:lang w:val="hu-HU"/>
          </w:rPr>
          <w:t>http://data.europa.eu/eli/reg/2018/1046/oj</w:t>
        </w:r>
      </w:hyperlink>
      <w:r w:rsidRPr="0025099E">
        <w:rPr>
          <w:sz w:val="24"/>
          <w:szCs w:val="24"/>
          <w:lang w:val="hu-HU"/>
        </w:rPr>
        <w:t>.</w:t>
      </w:r>
    </w:p>
  </w:footnote>
  <w:footnote w:id="10">
    <w:p w14:paraId="2068C92A"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10"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11">
    <w:p w14:paraId="6EFA0F1F"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11" w:history="1">
        <w:r w:rsidRPr="0025099E">
          <w:rPr>
            <w:rStyle w:val="Hyperlink1"/>
            <w:sz w:val="24"/>
            <w:szCs w:val="24"/>
            <w:lang w:val="hu-HU"/>
          </w:rPr>
          <w:t>http://data.europa.eu/eli/reg/2021/2085/oj</w:t>
        </w:r>
      </w:hyperlink>
      <w:r w:rsidRPr="0025099E">
        <w:rPr>
          <w:sz w:val="24"/>
          <w:szCs w:val="24"/>
          <w:lang w:val="hu-HU"/>
        </w:rPr>
        <w:t>.</w:t>
      </w:r>
    </w:p>
  </w:footnote>
  <w:footnote w:id="12">
    <w:p w14:paraId="0A230151"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12" w:history="1">
        <w:r w:rsidRPr="0025099E">
          <w:rPr>
            <w:rStyle w:val="Hyperlink1"/>
            <w:sz w:val="24"/>
            <w:szCs w:val="24"/>
            <w:lang w:val="hu-HU"/>
          </w:rPr>
          <w:t>http://data.europa.eu/eli/reg_del/2019/887/oj</w:t>
        </w:r>
      </w:hyperlink>
      <w:r w:rsidRPr="0025099E">
        <w:rPr>
          <w:sz w:val="24"/>
          <w:szCs w:val="24"/>
          <w:lang w:val="hu-HU"/>
        </w:rPr>
        <w:t>.</w:t>
      </w:r>
    </w:p>
  </w:footnote>
  <w:footnote w:id="13">
    <w:p w14:paraId="7BF62703"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13" w:history="1">
        <w:r w:rsidRPr="0025099E">
          <w:rPr>
            <w:rStyle w:val="Hyperlink1"/>
            <w:sz w:val="24"/>
            <w:szCs w:val="24"/>
            <w:lang w:val="hu-HU"/>
          </w:rPr>
          <w:t>http://data.europa.eu/eli/C/2024/6841/oj</w:t>
        </w:r>
      </w:hyperlink>
      <w:r w:rsidRPr="0025099E">
        <w:rPr>
          <w:sz w:val="24"/>
          <w:szCs w:val="24"/>
          <w:lang w:val="hu-HU"/>
        </w:rPr>
        <w:t>.</w:t>
      </w:r>
    </w:p>
  </w:footnote>
  <w:footnote w:id="14">
    <w:p w14:paraId="2D438CD6"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14" w:history="1">
        <w:r w:rsidRPr="0025099E">
          <w:rPr>
            <w:rStyle w:val="Hyperlink1"/>
            <w:sz w:val="24"/>
            <w:szCs w:val="24"/>
            <w:lang w:val="hu-HU"/>
          </w:rPr>
          <w:t>http://data.europa.eu/eli/C/2024/6041/oj</w:t>
        </w:r>
      </w:hyperlink>
      <w:r w:rsidRPr="0025099E">
        <w:rPr>
          <w:sz w:val="24"/>
          <w:szCs w:val="24"/>
          <w:lang w:val="hu-HU"/>
        </w:rPr>
        <w:t>.</w:t>
      </w:r>
    </w:p>
  </w:footnote>
  <w:footnote w:id="15">
    <w:p w14:paraId="137EB334"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15" w:history="1">
        <w:r w:rsidRPr="0025099E">
          <w:rPr>
            <w:rStyle w:val="Hyperlink1"/>
            <w:sz w:val="24"/>
            <w:szCs w:val="24"/>
            <w:lang w:val="hu-HU"/>
          </w:rPr>
          <w:t>http://data.europa.eu/eli/reg/2018/1046/oj</w:t>
        </w:r>
      </w:hyperlink>
      <w:r w:rsidRPr="0025099E">
        <w:rPr>
          <w:sz w:val="24"/>
          <w:szCs w:val="24"/>
          <w:lang w:val="hu-HU"/>
        </w:rPr>
        <w:t>.</w:t>
      </w:r>
    </w:p>
  </w:footnote>
  <w:footnote w:id="16">
    <w:p w14:paraId="7EAD93F9"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16"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17">
    <w:p w14:paraId="6412BF9A"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17" w:history="1">
        <w:r w:rsidRPr="0025099E">
          <w:rPr>
            <w:rStyle w:val="Hyperlink1"/>
            <w:sz w:val="24"/>
            <w:szCs w:val="24"/>
            <w:lang w:val="hu-HU"/>
          </w:rPr>
          <w:t>http://data.europa.eu/eli/reg/2021/2085/oj</w:t>
        </w:r>
      </w:hyperlink>
      <w:r w:rsidRPr="0025099E">
        <w:rPr>
          <w:sz w:val="24"/>
          <w:szCs w:val="24"/>
          <w:lang w:val="hu-HU"/>
        </w:rPr>
        <w:t>.</w:t>
      </w:r>
    </w:p>
  </w:footnote>
  <w:footnote w:id="18">
    <w:p w14:paraId="3E4D526F"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18" w:history="1">
        <w:r w:rsidRPr="0025099E">
          <w:rPr>
            <w:rStyle w:val="Hyperlink1"/>
            <w:sz w:val="24"/>
            <w:szCs w:val="24"/>
            <w:lang w:val="hu-HU"/>
          </w:rPr>
          <w:t>http://data.europa.eu/eli/reg_del/2019/887/oj</w:t>
        </w:r>
      </w:hyperlink>
      <w:r w:rsidRPr="0025099E">
        <w:rPr>
          <w:sz w:val="24"/>
          <w:szCs w:val="24"/>
          <w:lang w:val="hu-HU"/>
        </w:rPr>
        <w:t>.</w:t>
      </w:r>
    </w:p>
  </w:footnote>
  <w:footnote w:id="19">
    <w:p w14:paraId="37603DD9"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19" w:history="1">
        <w:r w:rsidRPr="0025099E">
          <w:rPr>
            <w:rStyle w:val="Hyperlink1"/>
            <w:sz w:val="24"/>
            <w:szCs w:val="24"/>
            <w:lang w:val="hu-HU"/>
          </w:rPr>
          <w:t>http://data.europa.eu/eli/C/2024/6841/oj</w:t>
        </w:r>
      </w:hyperlink>
      <w:r w:rsidRPr="0025099E">
        <w:rPr>
          <w:sz w:val="24"/>
          <w:szCs w:val="24"/>
          <w:lang w:val="hu-HU"/>
        </w:rPr>
        <w:t>.</w:t>
      </w:r>
    </w:p>
  </w:footnote>
  <w:footnote w:id="20">
    <w:p w14:paraId="0231794A"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20" w:history="1">
        <w:r w:rsidRPr="0025099E">
          <w:rPr>
            <w:rStyle w:val="Hyperlink1"/>
            <w:sz w:val="24"/>
            <w:szCs w:val="24"/>
            <w:lang w:val="hu-HU"/>
          </w:rPr>
          <w:t>http://data.europa.eu/eli/C/2024/6041/oj</w:t>
        </w:r>
      </w:hyperlink>
      <w:r w:rsidRPr="0025099E">
        <w:rPr>
          <w:sz w:val="24"/>
          <w:szCs w:val="24"/>
          <w:lang w:val="hu-HU"/>
        </w:rPr>
        <w:t xml:space="preserve">. </w:t>
      </w:r>
    </w:p>
  </w:footnote>
  <w:footnote w:id="21">
    <w:p w14:paraId="3F06BBFD"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21" w:history="1">
        <w:r w:rsidRPr="0025099E">
          <w:rPr>
            <w:rStyle w:val="Hyperlink1"/>
            <w:sz w:val="24"/>
            <w:szCs w:val="24"/>
            <w:lang w:val="hu-HU"/>
          </w:rPr>
          <w:t>http://data.europa.eu/eli/reg/2018/1046/oj</w:t>
        </w:r>
      </w:hyperlink>
      <w:r w:rsidRPr="0025099E">
        <w:rPr>
          <w:sz w:val="24"/>
          <w:szCs w:val="24"/>
          <w:lang w:val="hu-HU"/>
        </w:rPr>
        <w:t>.</w:t>
      </w:r>
    </w:p>
  </w:footnote>
  <w:footnote w:id="22">
    <w:p w14:paraId="0066A3EC"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22"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23">
    <w:p w14:paraId="7CAB3207"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23" w:history="1">
        <w:r w:rsidRPr="0025099E">
          <w:rPr>
            <w:rStyle w:val="Hyperlink1"/>
            <w:sz w:val="24"/>
            <w:szCs w:val="24"/>
            <w:lang w:val="hu-HU"/>
          </w:rPr>
          <w:t>http://data.europa.eu/eli/reg/2021/2085/oj</w:t>
        </w:r>
      </w:hyperlink>
      <w:r w:rsidRPr="0025099E">
        <w:rPr>
          <w:sz w:val="24"/>
          <w:szCs w:val="24"/>
          <w:lang w:val="hu-HU"/>
        </w:rPr>
        <w:t>.</w:t>
      </w:r>
    </w:p>
  </w:footnote>
  <w:footnote w:id="24">
    <w:p w14:paraId="4EAB3792"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24" w:history="1">
        <w:r w:rsidRPr="0025099E">
          <w:rPr>
            <w:rStyle w:val="Hyperlink1"/>
            <w:sz w:val="24"/>
            <w:szCs w:val="24"/>
            <w:lang w:val="hu-HU"/>
          </w:rPr>
          <w:t>http://data.europa.eu/eli/reg_del/2019/887/oj</w:t>
        </w:r>
      </w:hyperlink>
      <w:r w:rsidRPr="0025099E">
        <w:rPr>
          <w:sz w:val="24"/>
          <w:szCs w:val="24"/>
          <w:lang w:val="hu-HU"/>
        </w:rPr>
        <w:t>.</w:t>
      </w:r>
    </w:p>
  </w:footnote>
  <w:footnote w:id="25">
    <w:p w14:paraId="197FBC06"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25" w:history="1">
        <w:r w:rsidRPr="0025099E">
          <w:rPr>
            <w:rStyle w:val="Hyperlink1"/>
            <w:sz w:val="24"/>
            <w:szCs w:val="24"/>
            <w:lang w:val="hu-HU"/>
          </w:rPr>
          <w:t>http://data.europa.eu/eli/C/2024/6841/oj</w:t>
        </w:r>
      </w:hyperlink>
      <w:r w:rsidRPr="0025099E">
        <w:rPr>
          <w:sz w:val="24"/>
          <w:szCs w:val="24"/>
          <w:lang w:val="hu-HU"/>
        </w:rPr>
        <w:t>.</w:t>
      </w:r>
    </w:p>
  </w:footnote>
  <w:footnote w:id="26">
    <w:p w14:paraId="545CFFCE"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26" w:history="1">
        <w:r w:rsidRPr="0025099E">
          <w:rPr>
            <w:rStyle w:val="Hyperlink1"/>
            <w:sz w:val="24"/>
            <w:szCs w:val="24"/>
            <w:lang w:val="hu-HU"/>
          </w:rPr>
          <w:t>http://data.europa.eu/eli/C/2024/6041/oj</w:t>
        </w:r>
      </w:hyperlink>
      <w:r w:rsidRPr="0025099E">
        <w:rPr>
          <w:sz w:val="24"/>
          <w:szCs w:val="24"/>
          <w:lang w:val="hu-HU"/>
        </w:rPr>
        <w:t xml:space="preserve">. </w:t>
      </w:r>
    </w:p>
  </w:footnote>
  <w:footnote w:id="27">
    <w:p w14:paraId="0ECE6292"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27" w:history="1">
        <w:r w:rsidRPr="0025099E">
          <w:rPr>
            <w:rStyle w:val="Hyperlink1"/>
            <w:sz w:val="24"/>
            <w:szCs w:val="24"/>
            <w:lang w:val="hu-HU"/>
          </w:rPr>
          <w:t>http://data.europa.eu/eli/reg/2018/1046/oj</w:t>
        </w:r>
      </w:hyperlink>
      <w:r w:rsidRPr="0025099E">
        <w:rPr>
          <w:sz w:val="24"/>
          <w:szCs w:val="24"/>
          <w:lang w:val="hu-HU"/>
        </w:rPr>
        <w:t>.</w:t>
      </w:r>
    </w:p>
  </w:footnote>
  <w:footnote w:id="28">
    <w:p w14:paraId="1EA841A0"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28"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29">
    <w:p w14:paraId="37EA4EA6"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29" w:history="1">
        <w:r w:rsidRPr="0025099E">
          <w:rPr>
            <w:rStyle w:val="Hyperlink1"/>
            <w:sz w:val="24"/>
            <w:szCs w:val="24"/>
            <w:lang w:val="hu-HU"/>
          </w:rPr>
          <w:t>http://data.europa.eu/eli/reg/2021/2085/oj</w:t>
        </w:r>
      </w:hyperlink>
      <w:r w:rsidRPr="0025099E">
        <w:rPr>
          <w:sz w:val="24"/>
          <w:szCs w:val="24"/>
          <w:lang w:val="hu-HU"/>
        </w:rPr>
        <w:t>.</w:t>
      </w:r>
    </w:p>
  </w:footnote>
  <w:footnote w:id="30">
    <w:p w14:paraId="32D800A2"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30" w:history="1">
        <w:r w:rsidRPr="0025099E">
          <w:rPr>
            <w:rStyle w:val="Hyperlink1"/>
            <w:sz w:val="24"/>
            <w:szCs w:val="24"/>
            <w:lang w:val="hu-HU"/>
          </w:rPr>
          <w:t>http://data.europa.eu/eli/reg_del/2019/887/oj</w:t>
        </w:r>
      </w:hyperlink>
      <w:r w:rsidRPr="0025099E">
        <w:rPr>
          <w:sz w:val="24"/>
          <w:szCs w:val="24"/>
          <w:lang w:val="hu-HU"/>
        </w:rPr>
        <w:t>.</w:t>
      </w:r>
    </w:p>
  </w:footnote>
  <w:footnote w:id="31">
    <w:p w14:paraId="239D27E3"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31" w:history="1">
        <w:r w:rsidRPr="0025099E">
          <w:rPr>
            <w:rStyle w:val="Hyperlink1"/>
            <w:sz w:val="24"/>
            <w:szCs w:val="24"/>
            <w:lang w:val="hu-HU"/>
          </w:rPr>
          <w:t>http://data.europa.eu/eli/C/2024/6841/oj</w:t>
        </w:r>
      </w:hyperlink>
      <w:r w:rsidRPr="0025099E">
        <w:rPr>
          <w:sz w:val="24"/>
          <w:szCs w:val="24"/>
          <w:lang w:val="hu-HU"/>
        </w:rPr>
        <w:t>.</w:t>
      </w:r>
    </w:p>
  </w:footnote>
  <w:footnote w:id="32">
    <w:p w14:paraId="5F0FEB8E"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32" w:history="1">
        <w:r w:rsidRPr="0025099E">
          <w:rPr>
            <w:rStyle w:val="Hyperlink1"/>
            <w:sz w:val="24"/>
            <w:szCs w:val="24"/>
            <w:lang w:val="hu-HU"/>
          </w:rPr>
          <w:t>http://data.europa.eu/eli/C/2024/6041/oj</w:t>
        </w:r>
      </w:hyperlink>
      <w:r w:rsidRPr="0025099E">
        <w:rPr>
          <w:sz w:val="24"/>
          <w:szCs w:val="24"/>
          <w:lang w:val="hu-HU"/>
        </w:rPr>
        <w:t xml:space="preserve">. </w:t>
      </w:r>
    </w:p>
  </w:footnote>
  <w:footnote w:id="33">
    <w:p w14:paraId="00CC9A5B"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33" w:history="1">
        <w:r w:rsidRPr="0025099E">
          <w:rPr>
            <w:rStyle w:val="Hyperlink1"/>
            <w:sz w:val="24"/>
            <w:szCs w:val="24"/>
            <w:lang w:val="hu-HU"/>
          </w:rPr>
          <w:t>http://data.europa.eu/eli/reg/2018/1046/oj</w:t>
        </w:r>
      </w:hyperlink>
      <w:r w:rsidRPr="0025099E">
        <w:rPr>
          <w:sz w:val="24"/>
          <w:szCs w:val="24"/>
          <w:lang w:val="hu-HU"/>
        </w:rPr>
        <w:t>.</w:t>
      </w:r>
    </w:p>
  </w:footnote>
  <w:footnote w:id="34">
    <w:p w14:paraId="444A3A86"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34"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35">
    <w:p w14:paraId="6EB3F9A0"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35" w:history="1">
        <w:r w:rsidRPr="0025099E">
          <w:rPr>
            <w:rStyle w:val="Hyperlink1"/>
            <w:sz w:val="24"/>
            <w:szCs w:val="24"/>
            <w:lang w:val="hu-HU"/>
          </w:rPr>
          <w:t>http://data.europa.eu/eli/reg/2021/2085/oj</w:t>
        </w:r>
      </w:hyperlink>
      <w:r w:rsidRPr="0025099E">
        <w:rPr>
          <w:sz w:val="24"/>
          <w:szCs w:val="24"/>
          <w:lang w:val="hu-HU"/>
        </w:rPr>
        <w:t>.</w:t>
      </w:r>
    </w:p>
  </w:footnote>
  <w:footnote w:id="36">
    <w:p w14:paraId="097C575B"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36" w:history="1">
        <w:r w:rsidRPr="0025099E">
          <w:rPr>
            <w:rStyle w:val="Hyperlink1"/>
            <w:sz w:val="24"/>
            <w:szCs w:val="24"/>
            <w:lang w:val="hu-HU"/>
          </w:rPr>
          <w:t>http://data.europa.eu/eli/reg_del/2019/887/oj</w:t>
        </w:r>
      </w:hyperlink>
      <w:r w:rsidRPr="0025099E">
        <w:rPr>
          <w:sz w:val="24"/>
          <w:szCs w:val="24"/>
          <w:lang w:val="hu-HU"/>
        </w:rPr>
        <w:t>.</w:t>
      </w:r>
    </w:p>
  </w:footnote>
  <w:footnote w:id="37">
    <w:p w14:paraId="022FE4A7"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37" w:history="1">
        <w:r w:rsidRPr="0025099E">
          <w:rPr>
            <w:rStyle w:val="Hyperlink1"/>
            <w:sz w:val="24"/>
            <w:szCs w:val="24"/>
            <w:lang w:val="hu-HU"/>
          </w:rPr>
          <w:t>http://data.europa.eu/eli/C/2024/6841/oj</w:t>
        </w:r>
      </w:hyperlink>
      <w:r w:rsidRPr="0025099E">
        <w:rPr>
          <w:sz w:val="24"/>
          <w:szCs w:val="24"/>
          <w:lang w:val="hu-HU"/>
        </w:rPr>
        <w:t>.</w:t>
      </w:r>
    </w:p>
  </w:footnote>
  <w:footnote w:id="38">
    <w:p w14:paraId="02637CB1"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38" w:history="1">
        <w:r w:rsidRPr="0025099E">
          <w:rPr>
            <w:rStyle w:val="Hyperlink1"/>
            <w:sz w:val="24"/>
            <w:szCs w:val="24"/>
            <w:lang w:val="hu-HU"/>
          </w:rPr>
          <w:t>http://data.europa.eu/eli/C/2024/6041/oj</w:t>
        </w:r>
      </w:hyperlink>
      <w:r w:rsidRPr="0025099E">
        <w:rPr>
          <w:sz w:val="24"/>
          <w:szCs w:val="24"/>
          <w:lang w:val="hu-HU"/>
        </w:rPr>
        <w:t>.</w:t>
      </w:r>
    </w:p>
  </w:footnote>
  <w:footnote w:id="39">
    <w:p w14:paraId="3DB33140"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39" w:history="1">
        <w:r w:rsidRPr="0025099E">
          <w:rPr>
            <w:rStyle w:val="Hyperlink1"/>
            <w:sz w:val="24"/>
            <w:szCs w:val="24"/>
            <w:lang w:val="hu-HU"/>
          </w:rPr>
          <w:t>http://data.europa.eu/eli/reg/2018/1046/oj</w:t>
        </w:r>
      </w:hyperlink>
      <w:r w:rsidRPr="0025099E">
        <w:rPr>
          <w:sz w:val="24"/>
          <w:szCs w:val="24"/>
          <w:lang w:val="hu-HU"/>
        </w:rPr>
        <w:t>.</w:t>
      </w:r>
    </w:p>
  </w:footnote>
  <w:footnote w:id="40">
    <w:p w14:paraId="1E752F67"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40"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41">
    <w:p w14:paraId="10A8355F"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41" w:history="1">
        <w:r w:rsidRPr="0025099E">
          <w:rPr>
            <w:rStyle w:val="Hyperlink1"/>
            <w:sz w:val="24"/>
            <w:szCs w:val="24"/>
            <w:lang w:val="hu-HU"/>
          </w:rPr>
          <w:t>http://data.europa.eu/eli/reg/2021/2085/oj</w:t>
        </w:r>
      </w:hyperlink>
      <w:r w:rsidRPr="0025099E">
        <w:rPr>
          <w:sz w:val="24"/>
          <w:szCs w:val="24"/>
          <w:lang w:val="hu-HU"/>
        </w:rPr>
        <w:t>.</w:t>
      </w:r>
    </w:p>
  </w:footnote>
  <w:footnote w:id="42">
    <w:p w14:paraId="201444C5"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42" w:history="1">
        <w:r w:rsidRPr="0025099E">
          <w:rPr>
            <w:rStyle w:val="Hyperlink1"/>
            <w:sz w:val="24"/>
            <w:szCs w:val="24"/>
            <w:lang w:val="hu-HU"/>
          </w:rPr>
          <w:t>http://data.europa.eu/eli/reg_del/2019/887/oj</w:t>
        </w:r>
      </w:hyperlink>
      <w:r w:rsidRPr="0025099E">
        <w:rPr>
          <w:sz w:val="24"/>
          <w:szCs w:val="24"/>
          <w:lang w:val="hu-HU"/>
        </w:rPr>
        <w:t>.</w:t>
      </w:r>
    </w:p>
  </w:footnote>
  <w:footnote w:id="43">
    <w:p w14:paraId="449F0971"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43" w:history="1">
        <w:r w:rsidRPr="0025099E">
          <w:rPr>
            <w:rStyle w:val="Hyperlink1"/>
            <w:sz w:val="24"/>
            <w:szCs w:val="24"/>
            <w:lang w:val="hu-HU"/>
          </w:rPr>
          <w:t>http://data.europa.eu/eli/C/2024/6841/oj</w:t>
        </w:r>
      </w:hyperlink>
      <w:r w:rsidRPr="0025099E">
        <w:rPr>
          <w:sz w:val="24"/>
          <w:szCs w:val="24"/>
          <w:lang w:val="hu-HU"/>
        </w:rPr>
        <w:t>.</w:t>
      </w:r>
    </w:p>
  </w:footnote>
  <w:footnote w:id="44">
    <w:p w14:paraId="2439FFA8"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44" w:history="1">
        <w:r w:rsidRPr="0025099E">
          <w:rPr>
            <w:rStyle w:val="Hyperlink1"/>
            <w:sz w:val="24"/>
            <w:szCs w:val="24"/>
            <w:lang w:val="hu-HU"/>
          </w:rPr>
          <w:t>http://data.europa.eu/eli/C/2024/6041/oj</w:t>
        </w:r>
      </w:hyperlink>
      <w:r w:rsidRPr="0025099E">
        <w:rPr>
          <w:sz w:val="24"/>
          <w:szCs w:val="24"/>
          <w:lang w:val="hu-HU"/>
        </w:rPr>
        <w:t>.</w:t>
      </w:r>
    </w:p>
  </w:footnote>
  <w:footnote w:id="45">
    <w:p w14:paraId="60118E12"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45" w:history="1">
        <w:r w:rsidRPr="0025099E">
          <w:rPr>
            <w:rStyle w:val="Hyperlink1"/>
            <w:sz w:val="24"/>
            <w:szCs w:val="24"/>
            <w:lang w:val="hu-HU"/>
          </w:rPr>
          <w:t>http://data.europa.eu/eli/reg/2018/1046/oj</w:t>
        </w:r>
      </w:hyperlink>
      <w:r w:rsidRPr="0025099E">
        <w:rPr>
          <w:sz w:val="24"/>
          <w:szCs w:val="24"/>
          <w:lang w:val="hu-HU"/>
        </w:rPr>
        <w:t>.</w:t>
      </w:r>
    </w:p>
  </w:footnote>
  <w:footnote w:id="46">
    <w:p w14:paraId="1C8431AA"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46"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47">
    <w:p w14:paraId="16721A88"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47" w:history="1">
        <w:r w:rsidRPr="0025099E">
          <w:rPr>
            <w:rStyle w:val="Hyperlink1"/>
            <w:sz w:val="24"/>
            <w:szCs w:val="24"/>
            <w:lang w:val="hu-HU"/>
          </w:rPr>
          <w:t>http://data.europa.eu/eli/reg/2021/2085/oj</w:t>
        </w:r>
      </w:hyperlink>
      <w:r w:rsidRPr="0025099E">
        <w:rPr>
          <w:sz w:val="24"/>
          <w:szCs w:val="24"/>
          <w:lang w:val="hu-HU"/>
        </w:rPr>
        <w:t>.</w:t>
      </w:r>
    </w:p>
  </w:footnote>
  <w:footnote w:id="48">
    <w:p w14:paraId="327089BB"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48" w:history="1">
        <w:r w:rsidRPr="0025099E">
          <w:rPr>
            <w:rStyle w:val="Hyperlink1"/>
            <w:sz w:val="24"/>
            <w:szCs w:val="24"/>
            <w:lang w:val="hu-HU"/>
          </w:rPr>
          <w:t>http://data.europa.eu/eli/reg_del/2019/887/oj</w:t>
        </w:r>
      </w:hyperlink>
      <w:r w:rsidRPr="0025099E">
        <w:rPr>
          <w:sz w:val="24"/>
          <w:szCs w:val="24"/>
          <w:lang w:val="hu-HU"/>
        </w:rPr>
        <w:t>.</w:t>
      </w:r>
    </w:p>
  </w:footnote>
  <w:footnote w:id="49">
    <w:p w14:paraId="226098DC"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49" w:history="1">
        <w:r w:rsidRPr="0025099E">
          <w:rPr>
            <w:rStyle w:val="Hyperlink1"/>
            <w:sz w:val="24"/>
            <w:szCs w:val="24"/>
            <w:lang w:val="hu-HU"/>
          </w:rPr>
          <w:t>http://data.europa.eu/eli/C/2024/6841/oj</w:t>
        </w:r>
      </w:hyperlink>
      <w:r w:rsidRPr="0025099E">
        <w:rPr>
          <w:sz w:val="24"/>
          <w:szCs w:val="24"/>
          <w:lang w:val="hu-HU"/>
        </w:rPr>
        <w:t>.</w:t>
      </w:r>
    </w:p>
  </w:footnote>
  <w:footnote w:id="50">
    <w:p w14:paraId="6ED50629"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50" w:history="1">
        <w:r w:rsidRPr="0025099E">
          <w:rPr>
            <w:rStyle w:val="Hyperlink1"/>
            <w:sz w:val="24"/>
            <w:szCs w:val="24"/>
            <w:lang w:val="hu-HU"/>
          </w:rPr>
          <w:t>http://data.europa.eu/eli/C/2024/6041/oj</w:t>
        </w:r>
      </w:hyperlink>
      <w:r w:rsidRPr="0025099E">
        <w:rPr>
          <w:sz w:val="24"/>
          <w:szCs w:val="24"/>
          <w:lang w:val="hu-HU"/>
        </w:rPr>
        <w:t xml:space="preserve">. </w:t>
      </w:r>
    </w:p>
  </w:footnote>
  <w:footnote w:id="51">
    <w:p w14:paraId="7D5A55B7"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51" w:history="1">
        <w:r w:rsidRPr="0025099E">
          <w:rPr>
            <w:rStyle w:val="Hyperlink1"/>
            <w:sz w:val="24"/>
            <w:szCs w:val="24"/>
            <w:lang w:val="hu-HU"/>
          </w:rPr>
          <w:t>http://data.europa.eu/eli/reg/2018/1046/oj</w:t>
        </w:r>
      </w:hyperlink>
      <w:r w:rsidRPr="0025099E">
        <w:rPr>
          <w:sz w:val="24"/>
          <w:szCs w:val="24"/>
          <w:lang w:val="hu-HU"/>
        </w:rPr>
        <w:t>.</w:t>
      </w:r>
    </w:p>
  </w:footnote>
  <w:footnote w:id="52">
    <w:p w14:paraId="0D975361"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52"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53">
    <w:p w14:paraId="01667A7F"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256., 2021.7.19., 3. o., ELI: </w:t>
      </w:r>
      <w:hyperlink r:id="rId53" w:history="1">
        <w:r w:rsidRPr="0025099E">
          <w:rPr>
            <w:rStyle w:val="Hyperlink"/>
            <w:sz w:val="24"/>
            <w:szCs w:val="24"/>
            <w:lang w:val="hu-HU"/>
          </w:rPr>
          <w:t>http://data.europa.eu/eli/reg/2021/1173/oj</w:t>
        </w:r>
      </w:hyperlink>
      <w:r w:rsidRPr="0025099E">
        <w:rPr>
          <w:sz w:val="24"/>
          <w:szCs w:val="24"/>
          <w:lang w:val="hu-HU"/>
        </w:rPr>
        <w:t>.</w:t>
      </w:r>
    </w:p>
  </w:footnote>
  <w:footnote w:id="54">
    <w:p w14:paraId="53760DD6"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54" w:history="1">
        <w:r w:rsidRPr="0025099E">
          <w:rPr>
            <w:rStyle w:val="Hyperlink1"/>
            <w:sz w:val="24"/>
            <w:szCs w:val="24"/>
            <w:lang w:val="hu-HU"/>
          </w:rPr>
          <w:t>http://data.europa.eu/eli/reg_del/2019/887/oj</w:t>
        </w:r>
      </w:hyperlink>
      <w:r w:rsidRPr="0025099E">
        <w:rPr>
          <w:sz w:val="24"/>
          <w:szCs w:val="24"/>
          <w:lang w:val="hu-HU"/>
        </w:rPr>
        <w:t>.</w:t>
      </w:r>
    </w:p>
  </w:footnote>
  <w:footnote w:id="55">
    <w:p w14:paraId="72FDB151"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55" w:history="1">
        <w:r w:rsidRPr="0025099E">
          <w:rPr>
            <w:rStyle w:val="Hyperlink1"/>
            <w:sz w:val="24"/>
            <w:szCs w:val="24"/>
            <w:lang w:val="hu-HU"/>
          </w:rPr>
          <w:t>http://data.europa.eu/eli/C/2024/6841/oj</w:t>
        </w:r>
      </w:hyperlink>
      <w:r w:rsidRPr="0025099E">
        <w:rPr>
          <w:sz w:val="24"/>
          <w:szCs w:val="24"/>
          <w:lang w:val="hu-HU"/>
        </w:rPr>
        <w:t>.</w:t>
      </w:r>
    </w:p>
  </w:footnote>
  <w:footnote w:id="56">
    <w:p w14:paraId="09886F48"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56" w:history="1">
        <w:r w:rsidRPr="0025099E">
          <w:rPr>
            <w:rStyle w:val="Hyperlink1"/>
            <w:sz w:val="24"/>
            <w:szCs w:val="24"/>
            <w:lang w:val="hu-HU"/>
          </w:rPr>
          <w:t>http://data.europa.eu/eli/C/2024/6041/oj</w:t>
        </w:r>
      </w:hyperlink>
      <w:r w:rsidRPr="0025099E">
        <w:rPr>
          <w:sz w:val="24"/>
          <w:szCs w:val="24"/>
          <w:lang w:val="hu-HU"/>
        </w:rPr>
        <w:t xml:space="preserve">. </w:t>
      </w:r>
    </w:p>
  </w:footnote>
  <w:footnote w:id="57">
    <w:p w14:paraId="5221E490"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57" w:history="1">
        <w:r w:rsidRPr="0025099E">
          <w:rPr>
            <w:rStyle w:val="Hyperlink1"/>
            <w:sz w:val="24"/>
            <w:szCs w:val="24"/>
            <w:lang w:val="hu-HU"/>
          </w:rPr>
          <w:t>http://data.europa.eu/eli/reg/2018/1046/oj</w:t>
        </w:r>
      </w:hyperlink>
      <w:r w:rsidRPr="0025099E">
        <w:rPr>
          <w:sz w:val="24"/>
          <w:szCs w:val="24"/>
          <w:lang w:val="hu-HU"/>
        </w:rPr>
        <w:t>.</w:t>
      </w:r>
    </w:p>
  </w:footnote>
  <w:footnote w:id="58">
    <w:p w14:paraId="794A461F"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58"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59">
    <w:p w14:paraId="3170FCFD"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256., 2021.7.19., 3. o., ELI: </w:t>
      </w:r>
      <w:hyperlink r:id="rId59" w:history="1">
        <w:r w:rsidRPr="0025099E">
          <w:rPr>
            <w:rStyle w:val="Hyperlink"/>
            <w:sz w:val="24"/>
            <w:szCs w:val="24"/>
            <w:lang w:val="hu-HU"/>
          </w:rPr>
          <w:t>http://data.europa.eu/eli/reg/2021/1173/oj</w:t>
        </w:r>
      </w:hyperlink>
      <w:r w:rsidRPr="0025099E">
        <w:rPr>
          <w:sz w:val="24"/>
          <w:szCs w:val="24"/>
          <w:lang w:val="hu-HU"/>
        </w:rPr>
        <w:t>.</w:t>
      </w:r>
    </w:p>
  </w:footnote>
  <w:footnote w:id="60">
    <w:p w14:paraId="56A634C6"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60" w:history="1">
        <w:r w:rsidRPr="0025099E">
          <w:rPr>
            <w:rStyle w:val="Hyperlink1"/>
            <w:sz w:val="24"/>
            <w:szCs w:val="24"/>
            <w:lang w:val="hu-HU"/>
          </w:rPr>
          <w:t>http://data.europa.eu/eli/reg_del/2019/887/oj</w:t>
        </w:r>
      </w:hyperlink>
      <w:r w:rsidRPr="0025099E">
        <w:rPr>
          <w:sz w:val="24"/>
          <w:szCs w:val="24"/>
          <w:lang w:val="hu-HU"/>
        </w:rPr>
        <w:t>.</w:t>
      </w:r>
    </w:p>
  </w:footnote>
  <w:footnote w:id="61">
    <w:p w14:paraId="414378FB"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61" w:history="1">
        <w:r w:rsidRPr="0025099E">
          <w:rPr>
            <w:rStyle w:val="Hyperlink1"/>
            <w:sz w:val="24"/>
            <w:szCs w:val="24"/>
            <w:lang w:val="hu-HU"/>
          </w:rPr>
          <w:t>http://data.europa.eu/eli/C/2024/6841/oj</w:t>
        </w:r>
      </w:hyperlink>
      <w:r w:rsidRPr="0025099E">
        <w:rPr>
          <w:sz w:val="24"/>
          <w:szCs w:val="24"/>
          <w:lang w:val="hu-HU"/>
        </w:rPr>
        <w:t>.</w:t>
      </w:r>
    </w:p>
  </w:footnote>
  <w:footnote w:id="62">
    <w:p w14:paraId="548501FC"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62" w:history="1">
        <w:r w:rsidRPr="0025099E">
          <w:rPr>
            <w:rStyle w:val="Hyperlink1"/>
            <w:sz w:val="24"/>
            <w:szCs w:val="24"/>
            <w:lang w:val="hu-HU"/>
          </w:rPr>
          <w:t>http://data.europa.eu/eli/C/2024/6041/oj</w:t>
        </w:r>
      </w:hyperlink>
      <w:r w:rsidRPr="0025099E">
        <w:rPr>
          <w:sz w:val="24"/>
          <w:szCs w:val="24"/>
          <w:lang w:val="hu-HU"/>
        </w:rPr>
        <w:t xml:space="preserve">. </w:t>
      </w:r>
    </w:p>
  </w:footnote>
  <w:footnote w:id="63">
    <w:p w14:paraId="0DAA015C"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63" w:history="1">
        <w:r w:rsidRPr="0025099E">
          <w:rPr>
            <w:rStyle w:val="Hyperlink1"/>
            <w:sz w:val="24"/>
            <w:szCs w:val="24"/>
            <w:lang w:val="hu-HU"/>
          </w:rPr>
          <w:t>http://data.europa.eu/eli/reg/2018/1046/oj</w:t>
        </w:r>
      </w:hyperlink>
      <w:r w:rsidRPr="0025099E">
        <w:rPr>
          <w:sz w:val="24"/>
          <w:szCs w:val="24"/>
          <w:lang w:val="hu-HU"/>
        </w:rPr>
        <w:t>.</w:t>
      </w:r>
    </w:p>
  </w:footnote>
  <w:footnote w:id="64">
    <w:p w14:paraId="4E02CD9C"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64"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65">
    <w:p w14:paraId="5C96B36F"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90., 2007.3.30., 58. o., ELI: </w:t>
      </w:r>
      <w:hyperlink r:id="rId65" w:history="1">
        <w:r w:rsidRPr="0025099E">
          <w:rPr>
            <w:rStyle w:val="Hyperlink1"/>
            <w:sz w:val="24"/>
            <w:szCs w:val="24"/>
            <w:lang w:val="hu-HU"/>
          </w:rPr>
          <w:t>http://data.europa.eu/eli/dec/2007/198/oj</w:t>
        </w:r>
      </w:hyperlink>
      <w:r w:rsidRPr="0025099E">
        <w:rPr>
          <w:sz w:val="24"/>
          <w:szCs w:val="24"/>
          <w:lang w:val="hu-HU"/>
        </w:rPr>
        <w:t>.</w:t>
      </w:r>
    </w:p>
  </w:footnote>
  <w:footnote w:id="66">
    <w:p w14:paraId="1C6E9A65"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122., 2019.5.10., 1. o., ELI: </w:t>
      </w:r>
      <w:hyperlink r:id="rId66" w:history="1">
        <w:r w:rsidRPr="0025099E">
          <w:rPr>
            <w:rStyle w:val="Hyperlink1"/>
            <w:sz w:val="24"/>
            <w:szCs w:val="24"/>
            <w:lang w:val="hu-HU"/>
          </w:rPr>
          <w:t>http://data.europa.eu/eli/reg_del/2019/715/oj</w:t>
        </w:r>
      </w:hyperlink>
      <w:r w:rsidRPr="0025099E">
        <w:rPr>
          <w:sz w:val="24"/>
          <w:szCs w:val="24"/>
          <w:lang w:val="hu-HU"/>
        </w:rPr>
        <w:t>.</w:t>
      </w:r>
    </w:p>
  </w:footnote>
  <w:footnote w:id="67">
    <w:p w14:paraId="5A25CBD6"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67" w:history="1">
        <w:r w:rsidRPr="0025099E">
          <w:rPr>
            <w:rStyle w:val="Hyperlink1"/>
            <w:sz w:val="24"/>
            <w:szCs w:val="24"/>
            <w:lang w:val="hu-HU"/>
          </w:rPr>
          <w:t>http://data.europa.eu/eli/C/2024/6841/oj</w:t>
        </w:r>
      </w:hyperlink>
      <w:r w:rsidRPr="0025099E">
        <w:rPr>
          <w:sz w:val="24"/>
          <w:szCs w:val="24"/>
          <w:lang w:val="hu-HU"/>
        </w:rPr>
        <w:t>.</w:t>
      </w:r>
    </w:p>
  </w:footnote>
  <w:footnote w:id="68">
    <w:p w14:paraId="7709C4F4"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68" w:history="1">
        <w:r w:rsidRPr="0025099E">
          <w:rPr>
            <w:rStyle w:val="Hyperlink1"/>
            <w:sz w:val="24"/>
            <w:szCs w:val="24"/>
            <w:lang w:val="hu-HU"/>
          </w:rPr>
          <w:t>http://data.europa.eu/eli/C/2024/6041/oj</w:t>
        </w:r>
      </w:hyperlink>
      <w:r w:rsidRPr="0025099E">
        <w:rPr>
          <w:sz w:val="24"/>
          <w:szCs w:val="24"/>
          <w:lang w:val="hu-HU"/>
        </w:rPr>
        <w:t>.</w:t>
      </w:r>
    </w:p>
  </w:footnote>
  <w:footnote w:id="69">
    <w:p w14:paraId="4CD5BA47"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69" w:history="1">
        <w:r w:rsidRPr="0025099E">
          <w:rPr>
            <w:rStyle w:val="Hyperlink1"/>
            <w:sz w:val="24"/>
            <w:szCs w:val="24"/>
            <w:lang w:val="hu-HU"/>
          </w:rPr>
          <w:t>http://data.europa.eu/eli/reg/2018/1046/oj</w:t>
        </w:r>
      </w:hyperlink>
      <w:r w:rsidRPr="0025099E">
        <w:rPr>
          <w:sz w:val="24"/>
          <w:szCs w:val="24"/>
          <w:lang w:val="hu-HU"/>
        </w:rPr>
        <w:t>.</w:t>
      </w:r>
    </w:p>
  </w:footnote>
  <w:footnote w:id="70">
    <w:p w14:paraId="3E581687"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 </w:t>
      </w:r>
      <w:hyperlink r:id="rId70"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71">
    <w:p w14:paraId="5464FFA0"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90., 2007.3.30., 58. o., ELI: </w:t>
      </w:r>
      <w:hyperlink r:id="rId71" w:history="1">
        <w:r w:rsidRPr="0025099E">
          <w:rPr>
            <w:rStyle w:val="Hyperlink1"/>
            <w:sz w:val="24"/>
            <w:szCs w:val="24"/>
            <w:lang w:val="hu-HU"/>
          </w:rPr>
          <w:t>http://data.europa.eu/eli/dec/2007/198/oj</w:t>
        </w:r>
      </w:hyperlink>
      <w:r w:rsidRPr="0025099E">
        <w:rPr>
          <w:sz w:val="24"/>
          <w:szCs w:val="24"/>
          <w:lang w:val="hu-HU"/>
        </w:rPr>
        <w:t>.</w:t>
      </w:r>
    </w:p>
  </w:footnote>
  <w:footnote w:id="72">
    <w:p w14:paraId="41AF7B03"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122., 2019.5.10., 1. o., ELI: </w:t>
      </w:r>
      <w:hyperlink r:id="rId72" w:history="1">
        <w:r w:rsidRPr="0025099E">
          <w:rPr>
            <w:rStyle w:val="Hyperlink1"/>
            <w:sz w:val="24"/>
            <w:szCs w:val="24"/>
            <w:lang w:val="hu-HU"/>
          </w:rPr>
          <w:t>http://data.europa.eu/eli/reg_del/2019/715/oj</w:t>
        </w:r>
      </w:hyperlink>
      <w:r w:rsidRPr="0025099E">
        <w:rPr>
          <w:sz w:val="24"/>
          <w:szCs w:val="24"/>
          <w:lang w:val="hu-HU"/>
        </w:rPr>
        <w:t>.</w:t>
      </w:r>
    </w:p>
  </w:footnote>
  <w:footnote w:id="73">
    <w:p w14:paraId="040EEC6C"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73" w:history="1">
        <w:r w:rsidRPr="0025099E">
          <w:rPr>
            <w:rStyle w:val="Hyperlink1"/>
            <w:sz w:val="24"/>
            <w:szCs w:val="24"/>
            <w:lang w:val="hu-HU"/>
          </w:rPr>
          <w:t>http://data.europa.eu/eli/C/2024/6841/oj</w:t>
        </w:r>
      </w:hyperlink>
      <w:r w:rsidRPr="0025099E">
        <w:rPr>
          <w:sz w:val="24"/>
          <w:szCs w:val="24"/>
          <w:lang w:val="hu-HU"/>
        </w:rPr>
        <w:t>.</w:t>
      </w:r>
    </w:p>
  </w:footnote>
  <w:footnote w:id="74">
    <w:p w14:paraId="4B90A5E7"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74" w:history="1">
        <w:r w:rsidRPr="0025099E">
          <w:rPr>
            <w:rStyle w:val="Hyperlink1"/>
            <w:sz w:val="24"/>
            <w:szCs w:val="24"/>
            <w:lang w:val="hu-HU"/>
          </w:rPr>
          <w:t>http://data.europa.eu/eli/C/2024/6041/oj</w:t>
        </w:r>
      </w:hyperlink>
      <w:r w:rsidRPr="0025099E">
        <w:rPr>
          <w:sz w:val="24"/>
          <w:szCs w:val="24"/>
          <w:lang w:val="hu-HU"/>
        </w:rPr>
        <w:t>.</w:t>
      </w:r>
    </w:p>
  </w:footnote>
  <w:footnote w:id="75">
    <w:p w14:paraId="07397161"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75" w:history="1">
        <w:r w:rsidRPr="0025099E">
          <w:rPr>
            <w:rStyle w:val="Hyperlink1"/>
            <w:sz w:val="24"/>
            <w:szCs w:val="24"/>
            <w:lang w:val="hu-HU"/>
          </w:rPr>
          <w:t>http://data.europa.eu/eli/reg/2018/1046/oj</w:t>
        </w:r>
      </w:hyperlink>
      <w:r w:rsidRPr="0025099E">
        <w:rPr>
          <w:sz w:val="24"/>
          <w:szCs w:val="24"/>
          <w:lang w:val="hu-HU"/>
        </w:rPr>
        <w:t>.</w:t>
      </w:r>
    </w:p>
  </w:footnote>
  <w:footnote w:id="76">
    <w:p w14:paraId="41BF3D47"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76"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77">
    <w:p w14:paraId="609E989E"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77" w:history="1">
        <w:r w:rsidRPr="0025099E">
          <w:rPr>
            <w:rStyle w:val="Hyperlink1"/>
            <w:sz w:val="24"/>
            <w:szCs w:val="24"/>
            <w:lang w:val="hu-HU"/>
          </w:rPr>
          <w:t>http://data.europa.eu/eli/reg/2021/2085/oj</w:t>
        </w:r>
      </w:hyperlink>
      <w:r w:rsidRPr="0025099E">
        <w:rPr>
          <w:sz w:val="24"/>
          <w:szCs w:val="24"/>
          <w:lang w:val="hu-HU"/>
        </w:rPr>
        <w:t>.</w:t>
      </w:r>
    </w:p>
  </w:footnote>
  <w:footnote w:id="78">
    <w:p w14:paraId="3F51DEB5"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78" w:history="1">
        <w:r w:rsidRPr="0025099E">
          <w:rPr>
            <w:rStyle w:val="Hyperlink1"/>
            <w:sz w:val="24"/>
            <w:szCs w:val="24"/>
            <w:lang w:val="hu-HU"/>
          </w:rPr>
          <w:t>http://data.europa.eu/eli/reg_del/2019/887/oj</w:t>
        </w:r>
      </w:hyperlink>
      <w:r w:rsidRPr="0025099E">
        <w:rPr>
          <w:sz w:val="24"/>
          <w:szCs w:val="24"/>
          <w:lang w:val="hu-HU"/>
        </w:rPr>
        <w:t>.</w:t>
      </w:r>
    </w:p>
  </w:footnote>
  <w:footnote w:id="79">
    <w:p w14:paraId="42D9A284"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79" w:history="1">
        <w:r w:rsidRPr="0025099E">
          <w:rPr>
            <w:rStyle w:val="Hyperlink1"/>
            <w:sz w:val="24"/>
            <w:szCs w:val="24"/>
            <w:lang w:val="hu-HU"/>
          </w:rPr>
          <w:t>http://data.europa.eu/eli/C/2024/6841/oj</w:t>
        </w:r>
      </w:hyperlink>
      <w:r w:rsidRPr="0025099E">
        <w:rPr>
          <w:sz w:val="24"/>
          <w:szCs w:val="24"/>
          <w:lang w:val="hu-HU"/>
        </w:rPr>
        <w:t>.</w:t>
      </w:r>
    </w:p>
  </w:footnote>
  <w:footnote w:id="80">
    <w:p w14:paraId="323C76D9"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80" w:history="1">
        <w:r w:rsidRPr="0025099E">
          <w:rPr>
            <w:rStyle w:val="Hyperlink1"/>
            <w:sz w:val="24"/>
            <w:szCs w:val="24"/>
            <w:lang w:val="hu-HU"/>
          </w:rPr>
          <w:t>http://data.europa.eu/eli/C/2024/6041/oj</w:t>
        </w:r>
      </w:hyperlink>
      <w:r w:rsidRPr="0025099E">
        <w:rPr>
          <w:sz w:val="24"/>
          <w:szCs w:val="24"/>
          <w:lang w:val="hu-HU"/>
        </w:rPr>
        <w:t>.</w:t>
      </w:r>
    </w:p>
  </w:footnote>
  <w:footnote w:id="81">
    <w:p w14:paraId="54A834F4"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81" w:history="1">
        <w:r w:rsidRPr="0025099E">
          <w:rPr>
            <w:rStyle w:val="Hyperlink1"/>
            <w:sz w:val="24"/>
            <w:szCs w:val="24"/>
            <w:lang w:val="hu-HU"/>
          </w:rPr>
          <w:t>http://data.europa.eu/eli/reg/2018/1046/oj</w:t>
        </w:r>
      </w:hyperlink>
      <w:r w:rsidRPr="0025099E">
        <w:rPr>
          <w:sz w:val="24"/>
          <w:szCs w:val="24"/>
          <w:lang w:val="hu-HU"/>
        </w:rPr>
        <w:t>.</w:t>
      </w:r>
    </w:p>
  </w:footnote>
  <w:footnote w:id="82">
    <w:p w14:paraId="5404517A"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82"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83">
    <w:p w14:paraId="44B6912F"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83" w:history="1">
        <w:r w:rsidRPr="0025099E">
          <w:rPr>
            <w:rStyle w:val="Hyperlink1"/>
            <w:sz w:val="24"/>
            <w:szCs w:val="24"/>
            <w:lang w:val="hu-HU"/>
          </w:rPr>
          <w:t>http://data.europa.eu/eli/reg/2021/2085/oj</w:t>
        </w:r>
      </w:hyperlink>
      <w:r w:rsidRPr="0025099E">
        <w:rPr>
          <w:sz w:val="24"/>
          <w:szCs w:val="24"/>
          <w:lang w:val="hu-HU"/>
        </w:rPr>
        <w:t>.</w:t>
      </w:r>
    </w:p>
  </w:footnote>
  <w:footnote w:id="84">
    <w:p w14:paraId="2AEC8614"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84" w:history="1">
        <w:r w:rsidRPr="0025099E">
          <w:rPr>
            <w:rStyle w:val="Hyperlink1"/>
            <w:sz w:val="24"/>
            <w:szCs w:val="24"/>
            <w:lang w:val="hu-HU"/>
          </w:rPr>
          <w:t>http://data.europa.eu/eli/reg_del/2019/887/oj</w:t>
        </w:r>
      </w:hyperlink>
      <w:r w:rsidRPr="0025099E">
        <w:rPr>
          <w:sz w:val="24"/>
          <w:szCs w:val="24"/>
          <w:lang w:val="hu-HU"/>
        </w:rPr>
        <w:t>.</w:t>
      </w:r>
    </w:p>
  </w:footnote>
  <w:footnote w:id="85">
    <w:p w14:paraId="4EE0641D"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85" w:history="1">
        <w:r w:rsidRPr="0025099E">
          <w:rPr>
            <w:rStyle w:val="Hyperlink1"/>
            <w:sz w:val="24"/>
            <w:szCs w:val="24"/>
            <w:lang w:val="hu-HU"/>
          </w:rPr>
          <w:t>http://data.europa.eu/eli/C/2024/6841/oj</w:t>
        </w:r>
      </w:hyperlink>
      <w:r w:rsidRPr="0025099E">
        <w:rPr>
          <w:sz w:val="24"/>
          <w:szCs w:val="24"/>
          <w:lang w:val="hu-HU"/>
        </w:rPr>
        <w:t>.</w:t>
      </w:r>
    </w:p>
  </w:footnote>
  <w:footnote w:id="86">
    <w:p w14:paraId="116D84E1"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86" w:history="1">
        <w:r w:rsidRPr="0025099E">
          <w:rPr>
            <w:rStyle w:val="Hyperlink1"/>
            <w:sz w:val="24"/>
            <w:szCs w:val="24"/>
            <w:lang w:val="hu-HU"/>
          </w:rPr>
          <w:t>http://data.europa.eu/eli/C/2024/6041/oj</w:t>
        </w:r>
      </w:hyperlink>
      <w:r w:rsidRPr="0025099E">
        <w:rPr>
          <w:sz w:val="24"/>
          <w:szCs w:val="24"/>
          <w:lang w:val="hu-HU"/>
        </w:rPr>
        <w:t>.</w:t>
      </w:r>
    </w:p>
  </w:footnote>
  <w:footnote w:id="87">
    <w:p w14:paraId="318F6522"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87" w:history="1">
        <w:r w:rsidRPr="0025099E">
          <w:rPr>
            <w:rStyle w:val="Hyperlink1"/>
            <w:sz w:val="24"/>
            <w:szCs w:val="24"/>
            <w:lang w:val="hu-HU"/>
          </w:rPr>
          <w:t>http://data.europa.eu/eli/reg/2018/1046/oj</w:t>
        </w:r>
      </w:hyperlink>
      <w:r w:rsidRPr="0025099E">
        <w:rPr>
          <w:sz w:val="24"/>
          <w:szCs w:val="24"/>
          <w:lang w:val="hu-HU"/>
        </w:rPr>
        <w:t>.</w:t>
      </w:r>
    </w:p>
  </w:footnote>
  <w:footnote w:id="88">
    <w:p w14:paraId="6527A86F"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88"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89">
    <w:p w14:paraId="3D75976C"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89" w:history="1">
        <w:r w:rsidRPr="0025099E">
          <w:rPr>
            <w:rStyle w:val="Hyperlink1"/>
            <w:sz w:val="24"/>
            <w:szCs w:val="24"/>
            <w:lang w:val="hu-HU"/>
          </w:rPr>
          <w:t>http://data.europa.eu/eli/reg/2021/2085/oj</w:t>
        </w:r>
      </w:hyperlink>
      <w:r w:rsidRPr="0025099E">
        <w:rPr>
          <w:sz w:val="24"/>
          <w:szCs w:val="24"/>
          <w:lang w:val="hu-HU"/>
        </w:rPr>
        <w:t>.</w:t>
      </w:r>
    </w:p>
  </w:footnote>
  <w:footnote w:id="90">
    <w:p w14:paraId="633ECFB1"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90" w:history="1">
        <w:r w:rsidRPr="0025099E">
          <w:rPr>
            <w:rStyle w:val="Hyperlink1"/>
            <w:sz w:val="24"/>
            <w:szCs w:val="24"/>
            <w:lang w:val="hu-HU"/>
          </w:rPr>
          <w:t>http://data.europa.eu/eli/reg_del/2019/887/oj</w:t>
        </w:r>
      </w:hyperlink>
      <w:r w:rsidRPr="0025099E">
        <w:rPr>
          <w:sz w:val="24"/>
          <w:szCs w:val="24"/>
          <w:lang w:val="hu-HU"/>
        </w:rPr>
        <w:t>.</w:t>
      </w:r>
    </w:p>
  </w:footnote>
  <w:footnote w:id="91">
    <w:p w14:paraId="7BB2A1BF"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91" w:history="1">
        <w:r w:rsidRPr="0025099E">
          <w:rPr>
            <w:rStyle w:val="Hyperlink1"/>
            <w:sz w:val="24"/>
            <w:szCs w:val="24"/>
            <w:lang w:val="hu-HU"/>
          </w:rPr>
          <w:t>http://data.europa.eu/eli/C/2024/6841/oj</w:t>
        </w:r>
      </w:hyperlink>
      <w:r w:rsidRPr="0025099E">
        <w:rPr>
          <w:sz w:val="24"/>
          <w:szCs w:val="24"/>
          <w:lang w:val="hu-HU"/>
        </w:rPr>
        <w:t>.</w:t>
      </w:r>
    </w:p>
  </w:footnote>
  <w:footnote w:id="92">
    <w:p w14:paraId="0EF42489"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92" w:history="1">
        <w:r w:rsidRPr="0025099E">
          <w:rPr>
            <w:rStyle w:val="Hyperlink1"/>
            <w:sz w:val="24"/>
            <w:szCs w:val="24"/>
            <w:lang w:val="hu-HU"/>
          </w:rPr>
          <w:t>http://data.europa.eu/eli/C/2024/6041/oj</w:t>
        </w:r>
      </w:hyperlink>
      <w:r w:rsidRPr="0025099E">
        <w:rPr>
          <w:sz w:val="24"/>
          <w:szCs w:val="24"/>
          <w:lang w:val="hu-HU"/>
        </w:rPr>
        <w:t>.</w:t>
      </w:r>
    </w:p>
  </w:footnote>
  <w:footnote w:id="93">
    <w:p w14:paraId="472A50E5"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93" w:history="1">
        <w:r w:rsidRPr="0025099E">
          <w:rPr>
            <w:rStyle w:val="Hyperlink1"/>
            <w:sz w:val="24"/>
            <w:szCs w:val="24"/>
            <w:lang w:val="hu-HU"/>
          </w:rPr>
          <w:t>http://data.europa.eu/eli/reg/2018/1046/oj</w:t>
        </w:r>
      </w:hyperlink>
      <w:r w:rsidRPr="0025099E">
        <w:rPr>
          <w:sz w:val="24"/>
          <w:szCs w:val="24"/>
          <w:lang w:val="hu-HU"/>
        </w:rPr>
        <w:t>.</w:t>
      </w:r>
    </w:p>
  </w:footnote>
  <w:footnote w:id="94">
    <w:p w14:paraId="3D6E32B7"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94"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95">
    <w:p w14:paraId="479C61EF"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95" w:history="1">
        <w:r w:rsidRPr="0025099E">
          <w:rPr>
            <w:rStyle w:val="Hyperlink1"/>
            <w:sz w:val="24"/>
            <w:szCs w:val="24"/>
            <w:lang w:val="hu-HU"/>
          </w:rPr>
          <w:t>http://data.europa.eu/eli/reg/2021/2085/oj</w:t>
        </w:r>
      </w:hyperlink>
      <w:r w:rsidRPr="0025099E">
        <w:rPr>
          <w:sz w:val="24"/>
          <w:szCs w:val="24"/>
          <w:lang w:val="hu-HU"/>
        </w:rPr>
        <w:t>.</w:t>
      </w:r>
    </w:p>
  </w:footnote>
  <w:footnote w:id="96">
    <w:p w14:paraId="5565E44A"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96" w:history="1">
        <w:r w:rsidRPr="0025099E">
          <w:rPr>
            <w:rStyle w:val="Hyperlink1"/>
            <w:sz w:val="24"/>
            <w:szCs w:val="24"/>
            <w:lang w:val="hu-HU"/>
          </w:rPr>
          <w:t>http://data.europa.eu/eli/reg_del/2019/887/oj</w:t>
        </w:r>
      </w:hyperlink>
      <w:r w:rsidRPr="0025099E">
        <w:rPr>
          <w:sz w:val="24"/>
          <w:szCs w:val="24"/>
          <w:lang w:val="hu-HU"/>
        </w:rPr>
        <w:t>.</w:t>
      </w:r>
    </w:p>
  </w:footnote>
  <w:footnote w:id="97">
    <w:p w14:paraId="40F3DC40"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97" w:history="1">
        <w:r w:rsidRPr="0025099E">
          <w:rPr>
            <w:rStyle w:val="Hyperlink1"/>
            <w:sz w:val="24"/>
            <w:szCs w:val="24"/>
            <w:lang w:val="hu-HU"/>
          </w:rPr>
          <w:t>http://data.europa.eu/eli/C/2024/6841/oj</w:t>
        </w:r>
      </w:hyperlink>
      <w:r w:rsidRPr="0025099E">
        <w:rPr>
          <w:sz w:val="24"/>
          <w:szCs w:val="24"/>
          <w:lang w:val="hu-HU"/>
        </w:rPr>
        <w:t>.</w:t>
      </w:r>
    </w:p>
  </w:footnote>
  <w:footnote w:id="98">
    <w:p w14:paraId="66555645"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98" w:history="1">
        <w:r w:rsidRPr="0025099E">
          <w:rPr>
            <w:rStyle w:val="Hyperlink1"/>
            <w:sz w:val="24"/>
            <w:szCs w:val="24"/>
            <w:lang w:val="hu-HU"/>
          </w:rPr>
          <w:t>http://data.europa.eu/eli/C/2024/6041/oj</w:t>
        </w:r>
      </w:hyperlink>
      <w:r w:rsidRPr="0025099E">
        <w:rPr>
          <w:sz w:val="24"/>
          <w:szCs w:val="24"/>
          <w:lang w:val="hu-HU"/>
        </w:rPr>
        <w:t>.</w:t>
      </w:r>
    </w:p>
  </w:footnote>
  <w:footnote w:id="99">
    <w:p w14:paraId="72DB78CB"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99" w:history="1">
        <w:r w:rsidRPr="0025099E">
          <w:rPr>
            <w:rStyle w:val="Hyperlink1"/>
            <w:sz w:val="24"/>
            <w:szCs w:val="24"/>
            <w:lang w:val="hu-HU"/>
          </w:rPr>
          <w:t>http://data.europa.eu/eli/reg/2018/1046/oj</w:t>
        </w:r>
      </w:hyperlink>
      <w:r w:rsidRPr="0025099E">
        <w:rPr>
          <w:sz w:val="24"/>
          <w:szCs w:val="24"/>
          <w:lang w:val="hu-HU"/>
        </w:rPr>
        <w:t>.</w:t>
      </w:r>
    </w:p>
  </w:footnote>
  <w:footnote w:id="100">
    <w:p w14:paraId="68B5FAE1"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100"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101">
    <w:p w14:paraId="286682C0"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101" w:history="1">
        <w:r w:rsidRPr="0025099E">
          <w:rPr>
            <w:rStyle w:val="Hyperlink1"/>
            <w:sz w:val="24"/>
            <w:szCs w:val="24"/>
            <w:lang w:val="hu-HU"/>
          </w:rPr>
          <w:t>http://data.europa.eu/eli/reg/2021/2085/oj</w:t>
        </w:r>
      </w:hyperlink>
      <w:r w:rsidRPr="0025099E">
        <w:rPr>
          <w:sz w:val="24"/>
          <w:szCs w:val="24"/>
          <w:lang w:val="hu-HU"/>
        </w:rPr>
        <w:t>.</w:t>
      </w:r>
    </w:p>
  </w:footnote>
  <w:footnote w:id="102">
    <w:p w14:paraId="7FB2C0A2"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rPr>
        <w:footnoteRef/>
      </w:r>
      <w:r w:rsidRPr="0025099E">
        <w:rPr>
          <w:sz w:val="24"/>
          <w:szCs w:val="24"/>
          <w:lang w:val="fi-FI"/>
        </w:rPr>
        <w:t xml:space="preserve"> </w:t>
      </w:r>
      <w:r w:rsidRPr="0025099E">
        <w:rPr>
          <w:sz w:val="24"/>
          <w:szCs w:val="24"/>
          <w:lang w:val="hu-HU"/>
        </w:rPr>
        <w:tab/>
        <w:t xml:space="preserve">HL L 229., 2023.9.18., 55. o., ELI: </w:t>
      </w:r>
      <w:hyperlink r:id="rId102" w:history="1">
        <w:r w:rsidRPr="0025099E">
          <w:rPr>
            <w:rStyle w:val="Hyperlink"/>
            <w:sz w:val="24"/>
            <w:szCs w:val="24"/>
            <w:lang w:val="hu-HU"/>
          </w:rPr>
          <w:t>http://data.europa.eu/eli/reg/2023/1782/oj</w:t>
        </w:r>
      </w:hyperlink>
      <w:r w:rsidRPr="0025099E">
        <w:rPr>
          <w:sz w:val="24"/>
          <w:szCs w:val="24"/>
          <w:lang w:val="hu-HU"/>
        </w:rPr>
        <w:t>.</w:t>
      </w:r>
    </w:p>
  </w:footnote>
  <w:footnote w:id="103">
    <w:p w14:paraId="07951299"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103" w:history="1">
        <w:r w:rsidRPr="0025099E">
          <w:rPr>
            <w:rStyle w:val="Hyperlink1"/>
            <w:sz w:val="24"/>
            <w:szCs w:val="24"/>
            <w:lang w:val="hu-HU"/>
          </w:rPr>
          <w:t>http://data.europa.eu/eli/reg_del/2019/887/oj</w:t>
        </w:r>
      </w:hyperlink>
      <w:r w:rsidRPr="0025099E">
        <w:rPr>
          <w:sz w:val="24"/>
          <w:szCs w:val="24"/>
          <w:lang w:val="hu-HU"/>
        </w:rPr>
        <w:t>.</w:t>
      </w:r>
    </w:p>
  </w:footnote>
  <w:footnote w:id="104">
    <w:p w14:paraId="7CF721EA"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104" w:history="1">
        <w:r w:rsidRPr="0025099E">
          <w:rPr>
            <w:rStyle w:val="Hyperlink1"/>
            <w:sz w:val="24"/>
            <w:szCs w:val="24"/>
            <w:lang w:val="hu-HU"/>
          </w:rPr>
          <w:t>http://data.europa.eu/eli/C/2024/6841/oj</w:t>
        </w:r>
      </w:hyperlink>
      <w:r w:rsidRPr="0025099E">
        <w:rPr>
          <w:sz w:val="24"/>
          <w:szCs w:val="24"/>
          <w:lang w:val="hu-HU"/>
        </w:rPr>
        <w:t>.</w:t>
      </w:r>
    </w:p>
  </w:footnote>
  <w:footnote w:id="105">
    <w:p w14:paraId="2FDCFFE6"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105" w:history="1">
        <w:r w:rsidRPr="0025099E">
          <w:rPr>
            <w:rStyle w:val="Hyperlink1"/>
            <w:sz w:val="24"/>
            <w:szCs w:val="24"/>
            <w:lang w:val="hu-HU"/>
          </w:rPr>
          <w:t>http://data.europa.eu/eli/C/2024/6041/oj</w:t>
        </w:r>
      </w:hyperlink>
      <w:r w:rsidRPr="0025099E">
        <w:rPr>
          <w:sz w:val="24"/>
          <w:szCs w:val="24"/>
          <w:lang w:val="hu-HU"/>
        </w:rPr>
        <w:t>.</w:t>
      </w:r>
    </w:p>
  </w:footnote>
  <w:footnote w:id="106">
    <w:p w14:paraId="4C51F7FD"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106" w:history="1">
        <w:r w:rsidRPr="0025099E">
          <w:rPr>
            <w:rStyle w:val="Hyperlink1"/>
            <w:sz w:val="24"/>
            <w:szCs w:val="24"/>
            <w:lang w:val="hu-HU"/>
          </w:rPr>
          <w:t>http://data.europa.eu/eli/reg/2018/1046/oj</w:t>
        </w:r>
      </w:hyperlink>
      <w:r w:rsidRPr="0025099E">
        <w:rPr>
          <w:sz w:val="24"/>
          <w:szCs w:val="24"/>
          <w:lang w:val="hu-HU"/>
        </w:rPr>
        <w:t>.</w:t>
      </w:r>
    </w:p>
  </w:footnote>
  <w:footnote w:id="107">
    <w:p w14:paraId="7FA39227"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107"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108">
    <w:p w14:paraId="412ADBED"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108" w:history="1">
        <w:r w:rsidRPr="0025099E">
          <w:rPr>
            <w:rStyle w:val="Hyperlink1"/>
            <w:sz w:val="24"/>
            <w:szCs w:val="24"/>
            <w:lang w:val="hu-HU"/>
          </w:rPr>
          <w:t>http://data.europa.eu/eli/reg/2021/2085/oj</w:t>
        </w:r>
      </w:hyperlink>
      <w:r w:rsidRPr="0025099E">
        <w:rPr>
          <w:sz w:val="24"/>
          <w:szCs w:val="24"/>
          <w:lang w:val="hu-HU"/>
        </w:rPr>
        <w:t>.</w:t>
      </w:r>
    </w:p>
  </w:footnote>
  <w:footnote w:id="109">
    <w:p w14:paraId="2443F362" w14:textId="6C203996" w:rsidR="004F308D" w:rsidRPr="0025099E" w:rsidRDefault="004F308D" w:rsidP="0025099E">
      <w:pPr>
        <w:pStyle w:val="FootnoteText"/>
        <w:ind w:left="567" w:hanging="567"/>
        <w:jc w:val="left"/>
        <w:rPr>
          <w:sz w:val="24"/>
          <w:szCs w:val="24"/>
          <w:lang w:val="hu-HU"/>
        </w:rPr>
      </w:pPr>
      <w:r w:rsidRPr="0025099E">
        <w:rPr>
          <w:rStyle w:val="FootnoteReference"/>
          <w:sz w:val="24"/>
          <w:szCs w:val="24"/>
        </w:rPr>
        <w:footnoteRef/>
      </w:r>
      <w:r w:rsidRPr="0025099E">
        <w:rPr>
          <w:sz w:val="24"/>
          <w:szCs w:val="24"/>
          <w:lang w:val="hu-HU"/>
        </w:rPr>
        <w:t xml:space="preserve"> </w:t>
      </w:r>
      <w:r w:rsidR="0025099E" w:rsidRPr="0025099E">
        <w:rPr>
          <w:sz w:val="24"/>
          <w:szCs w:val="24"/>
          <w:lang w:val="hu-HU"/>
        </w:rPr>
        <w:tab/>
      </w:r>
      <w:r w:rsidRPr="0025099E">
        <w:rPr>
          <w:sz w:val="24"/>
          <w:szCs w:val="24"/>
          <w:lang w:val="hu-HU"/>
        </w:rPr>
        <w:t xml:space="preserve">HL L 229., 2023.9.18., 55. o., ELI: </w:t>
      </w:r>
      <w:hyperlink r:id="rId109" w:history="1">
        <w:r w:rsidRPr="0025099E">
          <w:rPr>
            <w:rStyle w:val="Hyperlink"/>
            <w:sz w:val="24"/>
            <w:szCs w:val="24"/>
            <w:lang w:val="hu-HU"/>
          </w:rPr>
          <w:t>http://data.europa.eu/eli/reg/2023/1782/oj</w:t>
        </w:r>
      </w:hyperlink>
      <w:r w:rsidRPr="0025099E">
        <w:rPr>
          <w:sz w:val="24"/>
          <w:szCs w:val="24"/>
          <w:lang w:val="hu-HU"/>
        </w:rPr>
        <w:t>.</w:t>
      </w:r>
    </w:p>
  </w:footnote>
  <w:footnote w:id="110">
    <w:p w14:paraId="5DDCB9BC"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110" w:history="1">
        <w:r w:rsidRPr="0025099E">
          <w:rPr>
            <w:rStyle w:val="Hyperlink1"/>
            <w:sz w:val="24"/>
            <w:szCs w:val="24"/>
            <w:lang w:val="hu-HU"/>
          </w:rPr>
          <w:t>http://data.europa.eu/eli/reg_del/2019/887/oj</w:t>
        </w:r>
      </w:hyperlink>
      <w:r w:rsidRPr="0025099E">
        <w:rPr>
          <w:sz w:val="24"/>
          <w:szCs w:val="24"/>
          <w:lang w:val="hu-HU"/>
        </w:rPr>
        <w:t>.</w:t>
      </w:r>
    </w:p>
  </w:footnote>
  <w:footnote w:id="111">
    <w:p w14:paraId="77CE57E8"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111" w:history="1">
        <w:r w:rsidRPr="0025099E">
          <w:rPr>
            <w:rStyle w:val="Hyperlink1"/>
            <w:sz w:val="24"/>
            <w:szCs w:val="24"/>
            <w:lang w:val="hu-HU"/>
          </w:rPr>
          <w:t>http://data.europa.eu/eli/C/2024/6841/oj</w:t>
        </w:r>
      </w:hyperlink>
      <w:r w:rsidRPr="0025099E">
        <w:rPr>
          <w:sz w:val="24"/>
          <w:szCs w:val="24"/>
          <w:lang w:val="hu-HU"/>
        </w:rPr>
        <w:t>.</w:t>
      </w:r>
    </w:p>
  </w:footnote>
  <w:footnote w:id="112">
    <w:p w14:paraId="420F4DBA"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112" w:history="1">
        <w:r w:rsidRPr="0025099E">
          <w:rPr>
            <w:rStyle w:val="Hyperlink1"/>
            <w:sz w:val="24"/>
            <w:szCs w:val="24"/>
            <w:lang w:val="hu-HU"/>
          </w:rPr>
          <w:t>http://data.europa.eu/eli/C/2024/6041/oj</w:t>
        </w:r>
      </w:hyperlink>
      <w:r w:rsidRPr="0025099E">
        <w:rPr>
          <w:sz w:val="24"/>
          <w:szCs w:val="24"/>
          <w:lang w:val="hu-HU"/>
        </w:rPr>
        <w:t>.</w:t>
      </w:r>
    </w:p>
  </w:footnote>
  <w:footnote w:id="113">
    <w:p w14:paraId="6025A884"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113" w:history="1">
        <w:r w:rsidRPr="0025099E">
          <w:rPr>
            <w:rStyle w:val="Hyperlink1"/>
            <w:sz w:val="24"/>
            <w:szCs w:val="24"/>
            <w:lang w:val="hu-HU"/>
          </w:rPr>
          <w:t>http://data.europa.eu/eli/reg/2018/1046/oj</w:t>
        </w:r>
      </w:hyperlink>
      <w:r w:rsidRPr="0025099E">
        <w:rPr>
          <w:sz w:val="24"/>
          <w:szCs w:val="24"/>
          <w:lang w:val="hu-HU"/>
        </w:rPr>
        <w:t>.</w:t>
      </w:r>
    </w:p>
  </w:footnote>
  <w:footnote w:id="114">
    <w:p w14:paraId="1FBEC8E4"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114"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115">
    <w:p w14:paraId="752D8CBF"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115" w:history="1">
        <w:r w:rsidRPr="0025099E">
          <w:rPr>
            <w:rStyle w:val="Hyperlink1"/>
            <w:sz w:val="24"/>
            <w:szCs w:val="24"/>
            <w:lang w:val="hu-HU"/>
          </w:rPr>
          <w:t>http://data.europa.eu/eli/reg/2021/2085/oj</w:t>
        </w:r>
      </w:hyperlink>
      <w:r w:rsidRPr="0025099E">
        <w:rPr>
          <w:sz w:val="24"/>
          <w:szCs w:val="24"/>
          <w:lang w:val="hu-HU"/>
        </w:rPr>
        <w:t>.</w:t>
      </w:r>
    </w:p>
  </w:footnote>
  <w:footnote w:id="116">
    <w:p w14:paraId="6F7D64E2"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116" w:history="1">
        <w:r w:rsidRPr="0025099E">
          <w:rPr>
            <w:rStyle w:val="Hyperlink1"/>
            <w:sz w:val="24"/>
            <w:szCs w:val="24"/>
            <w:lang w:val="hu-HU"/>
          </w:rPr>
          <w:t>http://data.europa.eu/eli/reg_del/2019/887/oj</w:t>
        </w:r>
      </w:hyperlink>
      <w:r w:rsidRPr="0025099E">
        <w:rPr>
          <w:sz w:val="24"/>
          <w:szCs w:val="24"/>
          <w:lang w:val="hu-HU"/>
        </w:rPr>
        <w:t>.</w:t>
      </w:r>
    </w:p>
  </w:footnote>
  <w:footnote w:id="117">
    <w:p w14:paraId="389428B7"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117" w:history="1">
        <w:r w:rsidRPr="0025099E">
          <w:rPr>
            <w:rStyle w:val="Hyperlink1"/>
            <w:sz w:val="24"/>
            <w:szCs w:val="24"/>
            <w:lang w:val="hu-HU"/>
          </w:rPr>
          <w:t>http://data.europa.eu/eli/C/2024/6841/oj</w:t>
        </w:r>
      </w:hyperlink>
      <w:r w:rsidRPr="0025099E">
        <w:rPr>
          <w:sz w:val="24"/>
          <w:szCs w:val="24"/>
          <w:lang w:val="hu-HU"/>
        </w:rPr>
        <w:t>.</w:t>
      </w:r>
    </w:p>
  </w:footnote>
  <w:footnote w:id="118">
    <w:p w14:paraId="26EABCA3"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118" w:history="1">
        <w:r w:rsidRPr="0025099E">
          <w:rPr>
            <w:rStyle w:val="Hyperlink1"/>
            <w:sz w:val="24"/>
            <w:szCs w:val="24"/>
            <w:lang w:val="hu-HU"/>
          </w:rPr>
          <w:t>http://data.europa.eu/eli/C/2024/6041/oj</w:t>
        </w:r>
      </w:hyperlink>
      <w:r w:rsidRPr="0025099E">
        <w:rPr>
          <w:sz w:val="24"/>
          <w:szCs w:val="24"/>
          <w:lang w:val="hu-HU"/>
        </w:rPr>
        <w:t>.</w:t>
      </w:r>
    </w:p>
  </w:footnote>
  <w:footnote w:id="119">
    <w:p w14:paraId="16538FFC"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119" w:history="1">
        <w:r w:rsidRPr="0025099E">
          <w:rPr>
            <w:rStyle w:val="Hyperlink1"/>
            <w:sz w:val="24"/>
            <w:szCs w:val="24"/>
            <w:lang w:val="hu-HU"/>
          </w:rPr>
          <w:t>http://data.europa.eu/eli/reg/2018/1046/oj</w:t>
        </w:r>
      </w:hyperlink>
      <w:r w:rsidRPr="0025099E">
        <w:rPr>
          <w:sz w:val="24"/>
          <w:szCs w:val="24"/>
          <w:lang w:val="hu-HU"/>
        </w:rPr>
        <w:t>.</w:t>
      </w:r>
    </w:p>
  </w:footnote>
  <w:footnote w:id="120">
    <w:p w14:paraId="1EC77710"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120"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121">
    <w:p w14:paraId="652F6359"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121" w:history="1">
        <w:r w:rsidRPr="0025099E">
          <w:rPr>
            <w:rStyle w:val="Hyperlink1"/>
            <w:sz w:val="24"/>
            <w:szCs w:val="24"/>
            <w:lang w:val="hu-HU"/>
          </w:rPr>
          <w:t>http://data.europa.eu/eli/reg/2021/2085/oj</w:t>
        </w:r>
      </w:hyperlink>
      <w:r w:rsidRPr="0025099E">
        <w:rPr>
          <w:sz w:val="24"/>
          <w:szCs w:val="24"/>
          <w:lang w:val="hu-HU"/>
        </w:rPr>
        <w:t>.</w:t>
      </w:r>
    </w:p>
  </w:footnote>
  <w:footnote w:id="122">
    <w:p w14:paraId="6603328F"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122" w:history="1">
        <w:r w:rsidRPr="0025099E">
          <w:rPr>
            <w:rStyle w:val="Hyperlink1"/>
            <w:sz w:val="24"/>
            <w:szCs w:val="24"/>
            <w:lang w:val="hu-HU"/>
          </w:rPr>
          <w:t>http://data.europa.eu/eli/reg_del/2019/887/oj</w:t>
        </w:r>
      </w:hyperlink>
      <w:r w:rsidRPr="0025099E">
        <w:rPr>
          <w:sz w:val="24"/>
          <w:szCs w:val="24"/>
          <w:lang w:val="hu-HU"/>
        </w:rPr>
        <w:t>.</w:t>
      </w:r>
    </w:p>
  </w:footnote>
  <w:footnote w:id="123">
    <w:p w14:paraId="23B78100"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123" w:history="1">
        <w:r w:rsidRPr="0025099E">
          <w:rPr>
            <w:rStyle w:val="Hyperlink1"/>
            <w:sz w:val="24"/>
            <w:szCs w:val="24"/>
            <w:lang w:val="hu-HU"/>
          </w:rPr>
          <w:t>http://data.europa.eu/eli/C/2024/6841/oj</w:t>
        </w:r>
      </w:hyperlink>
      <w:r w:rsidRPr="0025099E">
        <w:rPr>
          <w:sz w:val="24"/>
          <w:szCs w:val="24"/>
          <w:lang w:val="hu-HU"/>
        </w:rPr>
        <w:t>.</w:t>
      </w:r>
    </w:p>
  </w:footnote>
  <w:footnote w:id="124">
    <w:p w14:paraId="51DCA9CD"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124" w:history="1">
        <w:r w:rsidRPr="0025099E">
          <w:rPr>
            <w:rStyle w:val="Hyperlink1"/>
            <w:sz w:val="24"/>
            <w:szCs w:val="24"/>
            <w:lang w:val="hu-HU"/>
          </w:rPr>
          <w:t>http://data.europa.eu/eli/C/2024/6041/oj</w:t>
        </w:r>
      </w:hyperlink>
      <w:r w:rsidRPr="0025099E">
        <w:rPr>
          <w:sz w:val="24"/>
          <w:szCs w:val="24"/>
          <w:lang w:val="hu-HU"/>
        </w:rPr>
        <w:t>.</w:t>
      </w:r>
    </w:p>
  </w:footnote>
  <w:footnote w:id="125">
    <w:p w14:paraId="196AFE48"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125" w:history="1">
        <w:r w:rsidRPr="0025099E">
          <w:rPr>
            <w:rStyle w:val="Hyperlink1"/>
            <w:sz w:val="24"/>
            <w:szCs w:val="24"/>
            <w:lang w:val="hu-HU"/>
          </w:rPr>
          <w:t>http://data.europa.eu/eli/reg/2018/1046/oj</w:t>
        </w:r>
      </w:hyperlink>
      <w:r w:rsidRPr="0025099E">
        <w:rPr>
          <w:sz w:val="24"/>
          <w:szCs w:val="24"/>
          <w:lang w:val="hu-HU"/>
        </w:rPr>
        <w:t>.</w:t>
      </w:r>
    </w:p>
  </w:footnote>
  <w:footnote w:id="126">
    <w:p w14:paraId="38A9DDB5"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126"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127">
    <w:p w14:paraId="67AB4284"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127" w:history="1">
        <w:r w:rsidRPr="0025099E">
          <w:rPr>
            <w:rStyle w:val="Hyperlink1"/>
            <w:sz w:val="24"/>
            <w:szCs w:val="24"/>
            <w:lang w:val="hu-HU"/>
          </w:rPr>
          <w:t>http://data.europa.eu/eli/reg/2021/2085/oj</w:t>
        </w:r>
      </w:hyperlink>
      <w:r w:rsidRPr="0025099E">
        <w:rPr>
          <w:sz w:val="24"/>
          <w:szCs w:val="24"/>
          <w:lang w:val="hu-HU"/>
        </w:rPr>
        <w:t>.</w:t>
      </w:r>
    </w:p>
  </w:footnote>
  <w:footnote w:id="128">
    <w:p w14:paraId="3023B305"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128" w:history="1">
        <w:r w:rsidRPr="0025099E">
          <w:rPr>
            <w:rStyle w:val="Hyperlink1"/>
            <w:sz w:val="24"/>
            <w:szCs w:val="24"/>
            <w:lang w:val="hu-HU"/>
          </w:rPr>
          <w:t>http://data.europa.eu/eli/reg_del/2019/887/oj</w:t>
        </w:r>
      </w:hyperlink>
      <w:r w:rsidRPr="0025099E">
        <w:rPr>
          <w:sz w:val="24"/>
          <w:szCs w:val="24"/>
          <w:lang w:val="hu-HU"/>
        </w:rPr>
        <w:t>.</w:t>
      </w:r>
    </w:p>
  </w:footnote>
  <w:footnote w:id="129">
    <w:p w14:paraId="6497A453"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C/2024/6841, 2024.11.13., ELI: </w:t>
      </w:r>
      <w:hyperlink r:id="rId129" w:history="1">
        <w:r w:rsidRPr="0025099E">
          <w:rPr>
            <w:rStyle w:val="Hyperlink1"/>
            <w:sz w:val="24"/>
            <w:szCs w:val="24"/>
            <w:lang w:val="hu-HU"/>
          </w:rPr>
          <w:t>http://data.europa.eu/eli/C/2024/6841/oj</w:t>
        </w:r>
      </w:hyperlink>
      <w:r w:rsidRPr="0025099E">
        <w:rPr>
          <w:sz w:val="24"/>
          <w:szCs w:val="24"/>
          <w:lang w:val="hu-HU"/>
        </w:rPr>
        <w:t>.</w:t>
      </w:r>
    </w:p>
  </w:footnote>
  <w:footnote w:id="130">
    <w:p w14:paraId="2887F85E"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C, C/2024/6041, 2024.10.10., ELI: </w:t>
      </w:r>
      <w:hyperlink r:id="rId130" w:history="1">
        <w:r w:rsidRPr="0025099E">
          <w:rPr>
            <w:rStyle w:val="Hyperlink1"/>
            <w:sz w:val="24"/>
            <w:szCs w:val="24"/>
            <w:lang w:val="hu-HU"/>
          </w:rPr>
          <w:t>http://data.europa.eu/eli/C/2024/6041/oj</w:t>
        </w:r>
      </w:hyperlink>
      <w:r w:rsidRPr="0025099E">
        <w:rPr>
          <w:sz w:val="24"/>
          <w:szCs w:val="24"/>
          <w:lang w:val="hu-HU"/>
        </w:rPr>
        <w:t>.</w:t>
      </w:r>
    </w:p>
  </w:footnote>
  <w:footnote w:id="131">
    <w:p w14:paraId="034FFD6D"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193., 2018.7.30., 1. o., ELI: </w:t>
      </w:r>
      <w:hyperlink r:id="rId131" w:history="1">
        <w:r w:rsidRPr="0025099E">
          <w:rPr>
            <w:rStyle w:val="Hyperlink1"/>
            <w:sz w:val="24"/>
            <w:szCs w:val="24"/>
            <w:lang w:val="hu-HU"/>
          </w:rPr>
          <w:t>http://data.europa.eu/eli/reg/2018/1046/oj</w:t>
        </w:r>
      </w:hyperlink>
      <w:r w:rsidRPr="0025099E">
        <w:rPr>
          <w:sz w:val="24"/>
          <w:szCs w:val="24"/>
          <w:lang w:val="hu-HU"/>
        </w:rPr>
        <w:t>.</w:t>
      </w:r>
    </w:p>
  </w:footnote>
  <w:footnote w:id="132">
    <w:p w14:paraId="2EB9F8D1"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2024/2509, 2024.9.26., ELI: </w:t>
      </w:r>
      <w:hyperlink r:id="rId132" w:tgtFrame="_blank" w:history="1">
        <w:r w:rsidRPr="0025099E">
          <w:rPr>
            <w:rStyle w:val="Hyperlink1"/>
            <w:sz w:val="24"/>
            <w:szCs w:val="24"/>
            <w:shd w:val="clear" w:color="auto" w:fill="FFFFFF"/>
            <w:lang w:val="hu-HU"/>
          </w:rPr>
          <w:t>http://data.europa.eu/eli/reg/2024/2509/oj</w:t>
        </w:r>
      </w:hyperlink>
      <w:r w:rsidRPr="0025099E">
        <w:rPr>
          <w:sz w:val="24"/>
          <w:szCs w:val="24"/>
          <w:lang w:val="hu-HU"/>
        </w:rPr>
        <w:t>.</w:t>
      </w:r>
    </w:p>
  </w:footnote>
  <w:footnote w:id="133">
    <w:p w14:paraId="2F8B48F0"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427., 2021.11.30., 17. o., ELI: </w:t>
      </w:r>
      <w:hyperlink r:id="rId133" w:history="1">
        <w:r w:rsidRPr="0025099E">
          <w:rPr>
            <w:rStyle w:val="Hyperlink1"/>
            <w:sz w:val="24"/>
            <w:szCs w:val="24"/>
            <w:lang w:val="hu-HU"/>
          </w:rPr>
          <w:t>http://data.europa.eu/eli/reg/2021/2085/oj</w:t>
        </w:r>
      </w:hyperlink>
      <w:r w:rsidRPr="0025099E">
        <w:rPr>
          <w:sz w:val="24"/>
          <w:szCs w:val="24"/>
          <w:lang w:val="hu-HU"/>
        </w:rPr>
        <w:t>.</w:t>
      </w:r>
    </w:p>
  </w:footnote>
  <w:footnote w:id="134">
    <w:p w14:paraId="0D79F5F5"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 xml:space="preserve"> </w:t>
      </w:r>
      <w:r w:rsidRPr="0025099E">
        <w:rPr>
          <w:sz w:val="24"/>
          <w:szCs w:val="24"/>
          <w:lang w:val="hu-HU"/>
        </w:rPr>
        <w:tab/>
        <w:t xml:space="preserve">HL L 142., 2019.5.29., 16. o., ELI: </w:t>
      </w:r>
      <w:hyperlink r:id="rId134" w:history="1">
        <w:r w:rsidRPr="0025099E">
          <w:rPr>
            <w:rStyle w:val="Hyperlink1"/>
            <w:sz w:val="24"/>
            <w:szCs w:val="24"/>
            <w:lang w:val="hu-HU"/>
          </w:rPr>
          <w:t>http://data.europa.eu/eli/reg_del/2019/887/oj</w:t>
        </w:r>
      </w:hyperlink>
      <w:r w:rsidRPr="0025099E">
        <w:rPr>
          <w:sz w:val="24"/>
          <w:szCs w:val="24"/>
          <w:lang w:val="hu-HU"/>
        </w:rPr>
        <w:t>.</w:t>
      </w:r>
    </w:p>
  </w:footnote>
  <w:footnote w:id="135">
    <w:p w14:paraId="1ADD7885"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ab/>
        <w:t xml:space="preserve">A Tanács (EU) 2021/2085 rendelete (2021. november 19.) a közös vállalkozásoknak a Horizont Európa keretében történő létrehozásáról, valamint a 219/2007/EK, az 557/2014/EU, az 558/2014/EU, az 559/2014/EU, az 560/2014/EU, az 561/2014/EU és a 642/2014/EU rendelet hatályon kívül helyezéséről (HL L 427., 2021.11.30., 17. o., ELI: </w:t>
      </w:r>
      <w:hyperlink r:id="rId135" w:history="1">
        <w:r w:rsidRPr="0025099E">
          <w:rPr>
            <w:rStyle w:val="Hyperlink1"/>
            <w:sz w:val="24"/>
            <w:szCs w:val="24"/>
            <w:lang w:val="hu-HU"/>
          </w:rPr>
          <w:t>http://data.europa.eu/eli/reg/2021/2085/oj</w:t>
        </w:r>
      </w:hyperlink>
      <w:r w:rsidRPr="0025099E">
        <w:rPr>
          <w:sz w:val="24"/>
          <w:szCs w:val="24"/>
          <w:lang w:val="hu-HU"/>
        </w:rPr>
        <w:t>).</w:t>
      </w:r>
    </w:p>
  </w:footnote>
  <w:footnote w:id="136">
    <w:p w14:paraId="3D6548DA"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ab/>
        <w:t xml:space="preserve">A Tanács (EU) 2023/1782 rendelete (2023. július 25.) a közös vállalkozásoknak a Horizont Európa keretében történő létrehozásáról szóló (EU) 2021/2085 rendeletnek a </w:t>
      </w:r>
      <w:proofErr w:type="spellStart"/>
      <w:r w:rsidRPr="0025099E">
        <w:rPr>
          <w:sz w:val="24"/>
          <w:szCs w:val="24"/>
          <w:lang w:val="hu-HU"/>
        </w:rPr>
        <w:t>Csipekkel</w:t>
      </w:r>
      <w:proofErr w:type="spellEnd"/>
      <w:r w:rsidRPr="0025099E">
        <w:rPr>
          <w:sz w:val="24"/>
          <w:szCs w:val="24"/>
          <w:lang w:val="hu-HU"/>
        </w:rPr>
        <w:t xml:space="preserve"> Foglalkozó Közös Vállalkozás tekintetében történő módosításáról (HL L 229., 2023.9.18., 55. o., ELI: </w:t>
      </w:r>
      <w:hyperlink r:id="rId136" w:history="1">
        <w:r w:rsidRPr="0025099E">
          <w:rPr>
            <w:rStyle w:val="Hyperlink1"/>
            <w:sz w:val="24"/>
            <w:szCs w:val="24"/>
            <w:lang w:val="hu-HU"/>
          </w:rPr>
          <w:t>http://data.europa.eu/eli/reg/2023/1782/oj</w:t>
        </w:r>
      </w:hyperlink>
      <w:r w:rsidRPr="0025099E">
        <w:rPr>
          <w:sz w:val="24"/>
          <w:szCs w:val="24"/>
          <w:lang w:val="hu-HU"/>
        </w:rPr>
        <w:t>).</w:t>
      </w:r>
    </w:p>
  </w:footnote>
  <w:footnote w:id="137">
    <w:p w14:paraId="71A8B86C"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ab/>
        <w:t xml:space="preserve">A Tanács 2007/198/Euratom határozata (2007. március 27.) a Fúziósenergia-fejlesztési és ITER Európai Közös Vállalkozás létrehozásáról és részére kedvezmények nyújtásáról (HL L 90., 2007.3.30., 58. o., ELI: </w:t>
      </w:r>
      <w:hyperlink r:id="rId137" w:history="1">
        <w:r w:rsidRPr="0025099E">
          <w:rPr>
            <w:rStyle w:val="Hyperlink1"/>
            <w:sz w:val="24"/>
            <w:szCs w:val="24"/>
            <w:lang w:val="hu-HU"/>
          </w:rPr>
          <w:t>http://data.europa.eu/eli/dec/2007/198/oj</w:t>
        </w:r>
      </w:hyperlink>
      <w:r w:rsidRPr="0025099E">
        <w:rPr>
          <w:sz w:val="24"/>
          <w:szCs w:val="24"/>
          <w:lang w:val="hu-HU"/>
        </w:rPr>
        <w:t>).</w:t>
      </w:r>
    </w:p>
  </w:footnote>
  <w:footnote w:id="138">
    <w:p w14:paraId="70B7F048" w14:textId="77777777" w:rsidR="004F308D" w:rsidRPr="0025099E" w:rsidRDefault="004F308D" w:rsidP="0025099E">
      <w:pPr>
        <w:pStyle w:val="FootnoteText"/>
        <w:ind w:left="567" w:hanging="567"/>
        <w:jc w:val="left"/>
        <w:rPr>
          <w:sz w:val="24"/>
          <w:szCs w:val="24"/>
          <w:lang w:val="hu-HU"/>
        </w:rPr>
      </w:pPr>
      <w:r w:rsidRPr="0025099E">
        <w:rPr>
          <w:rStyle w:val="FootnoteReference"/>
          <w:sz w:val="24"/>
          <w:szCs w:val="24"/>
          <w:lang w:val="hu-HU"/>
        </w:rPr>
        <w:footnoteRef/>
      </w:r>
      <w:r w:rsidRPr="0025099E">
        <w:rPr>
          <w:sz w:val="24"/>
          <w:szCs w:val="24"/>
          <w:lang w:val="hu-HU"/>
        </w:rPr>
        <w:tab/>
        <w:t xml:space="preserve">A Tanács (EU) 2021/1173 rendelete (2021. július 13.) az európai nagy teljesítményű számítástechnikával foglalkozó közös vállalkozás létrehozásáról és az (EU) 2018/1488 rendelet hatályon kívül helyezéséről (HL L 256., 2021.7.19., 3. o., ELI: </w:t>
      </w:r>
      <w:hyperlink r:id="rId138" w:history="1">
        <w:r w:rsidRPr="0025099E">
          <w:rPr>
            <w:rStyle w:val="Hyperlink1"/>
            <w:sz w:val="24"/>
            <w:szCs w:val="24"/>
            <w:lang w:val="hu-HU"/>
          </w:rPr>
          <w:t>http://data.europa.eu/eli/reg/2021/1173/oj</w:t>
        </w:r>
      </w:hyperlink>
      <w:r w:rsidRPr="0025099E">
        <w:rPr>
          <w:sz w:val="24"/>
          <w:szCs w:val="24"/>
          <w:lang w:val="hu-H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08D"/>
    <w:rsid w:val="001B17B2"/>
    <w:rsid w:val="0025099E"/>
    <w:rsid w:val="004F308D"/>
    <w:rsid w:val="005762E3"/>
    <w:rsid w:val="00793EC5"/>
    <w:rsid w:val="008765BE"/>
    <w:rsid w:val="009978B0"/>
    <w:rsid w:val="009D32FA"/>
    <w:rsid w:val="00A5201A"/>
    <w:rsid w:val="00A61B0B"/>
    <w:rsid w:val="00DB27B5"/>
    <w:rsid w:val="00DB62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B8669"/>
  <w15:chartTrackingRefBased/>
  <w15:docId w15:val="{20F3F904-EBB0-40B8-85EE-D093F290C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4F308D"/>
    <w:rPr>
      <w:kern w:val="0"/>
      <w:sz w:val="20"/>
      <w:szCs w:val="20"/>
      <w14:ligatures w14:val="none"/>
    </w:rPr>
  </w:style>
  <w:style w:type="character" w:customStyle="1" w:styleId="FootnoteTextChar">
    <w:name w:val="Footnote Text Char"/>
    <w:basedOn w:val="DefaultParagraphFont"/>
    <w:link w:val="FootnoteText"/>
    <w:uiPriority w:val="99"/>
    <w:semiHidden/>
    <w:rsid w:val="004F308D"/>
    <w:rPr>
      <w:rFonts w:ascii="Times New Roman" w:hAnsi="Times New Roman"/>
      <w:kern w:val="0"/>
      <w:sz w:val="20"/>
      <w:szCs w:val="20"/>
      <w14:ligatures w14:val="none"/>
    </w:rPr>
  </w:style>
  <w:style w:type="character" w:styleId="FootnoteReference">
    <w:name w:val="footnote reference"/>
    <w:rsid w:val="004F308D"/>
    <w:rPr>
      <w:b w:val="0"/>
      <w:vertAlign w:val="superscript"/>
    </w:rPr>
  </w:style>
  <w:style w:type="character" w:customStyle="1" w:styleId="Hyperlink1">
    <w:name w:val="Hyperlink1"/>
    <w:basedOn w:val="DefaultParagraphFont"/>
    <w:uiPriority w:val="99"/>
    <w:rsid w:val="004F308D"/>
    <w:rPr>
      <w:color w:val="0563C1"/>
      <w:u w:val="single"/>
    </w:rPr>
  </w:style>
  <w:style w:type="character" w:styleId="Hyperlink">
    <w:name w:val="Hyperlink"/>
    <w:basedOn w:val="DefaultParagraphFont"/>
    <w:uiPriority w:val="99"/>
    <w:unhideWhenUsed/>
    <w:rsid w:val="004F308D"/>
    <w:rPr>
      <w:color w:val="0563C1" w:themeColor="hyperlink"/>
      <w:u w:val="single"/>
    </w:rPr>
  </w:style>
  <w:style w:type="character" w:styleId="CommentReference">
    <w:name w:val="annotation reference"/>
    <w:basedOn w:val="DefaultParagraphFont"/>
    <w:uiPriority w:val="99"/>
    <w:semiHidden/>
    <w:unhideWhenUsed/>
    <w:rsid w:val="00DB6286"/>
    <w:rPr>
      <w:sz w:val="16"/>
      <w:szCs w:val="16"/>
    </w:rPr>
  </w:style>
  <w:style w:type="paragraph" w:styleId="CommentText">
    <w:name w:val="annotation text"/>
    <w:basedOn w:val="Normal"/>
    <w:link w:val="CommentTextChar"/>
    <w:uiPriority w:val="99"/>
    <w:semiHidden/>
    <w:unhideWhenUsed/>
    <w:rsid w:val="00DB6286"/>
    <w:rPr>
      <w:sz w:val="20"/>
      <w:szCs w:val="20"/>
    </w:rPr>
  </w:style>
  <w:style w:type="character" w:customStyle="1" w:styleId="CommentTextChar">
    <w:name w:val="Comment Text Char"/>
    <w:basedOn w:val="DefaultParagraphFont"/>
    <w:link w:val="CommentText"/>
    <w:uiPriority w:val="99"/>
    <w:semiHidden/>
    <w:rsid w:val="00DB628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B6286"/>
    <w:rPr>
      <w:b/>
      <w:bCs/>
    </w:rPr>
  </w:style>
  <w:style w:type="character" w:customStyle="1" w:styleId="CommentSubjectChar">
    <w:name w:val="Comment Subject Char"/>
    <w:basedOn w:val="CommentTextChar"/>
    <w:link w:val="CommentSubject"/>
    <w:uiPriority w:val="99"/>
    <w:semiHidden/>
    <w:rsid w:val="00DB6286"/>
    <w:rPr>
      <w:rFonts w:ascii="Times New Roman" w:hAnsi="Times New Roman"/>
      <w:b/>
      <w:bCs/>
      <w:sz w:val="20"/>
      <w:szCs w:val="20"/>
    </w:rPr>
  </w:style>
  <w:style w:type="character" w:customStyle="1" w:styleId="HideTWBExt">
    <w:name w:val="HideTWBExt"/>
    <w:rsid w:val="0025099E"/>
    <w:rPr>
      <w:rFonts w:ascii="Arial" w:hAnsi="Arial"/>
      <w:noProof/>
      <w:vanish/>
      <w:color w:val="000080"/>
      <w:sz w:val="20"/>
    </w:rPr>
  </w:style>
  <w:style w:type="paragraph" w:customStyle="1" w:styleId="EPBodyTA1">
    <w:name w:val="EPBodyTA1"/>
    <w:basedOn w:val="Normal"/>
    <w:rsid w:val="0025099E"/>
    <w:pPr>
      <w:widowControl w:val="0"/>
      <w:jc w:val="center"/>
    </w:pPr>
    <w:rPr>
      <w:rFonts w:ascii="Arial" w:eastAsia="Times New Roman" w:hAnsi="Arial" w:cs="Arial"/>
      <w:b/>
      <w:kern w:val="0"/>
      <w:sz w:val="22"/>
      <w:szCs w:val="22"/>
      <w:lang w:val="hu-HU" w:eastAsia="en-GB"/>
      <w14:ligatures w14:val="none"/>
    </w:rPr>
  </w:style>
  <w:style w:type="paragraph" w:customStyle="1" w:styleId="LineTop">
    <w:name w:val="LineTop"/>
    <w:basedOn w:val="Normal"/>
    <w:next w:val="Normal"/>
    <w:rsid w:val="0025099E"/>
    <w:pPr>
      <w:widowControl w:val="0"/>
      <w:pBdr>
        <w:top w:val="single" w:sz="4" w:space="1" w:color="auto"/>
      </w:pBdr>
      <w:jc w:val="center"/>
    </w:pPr>
    <w:rPr>
      <w:rFonts w:ascii="Arial" w:eastAsia="Times New Roman" w:hAnsi="Arial" w:cs="Arial"/>
      <w:kern w:val="0"/>
      <w:sz w:val="16"/>
      <w:szCs w:val="16"/>
      <w:lang w:val="hu-HU" w:eastAsia="en-GB"/>
      <w14:ligatures w14:val="none"/>
    </w:rPr>
  </w:style>
  <w:style w:type="paragraph" w:customStyle="1" w:styleId="LineBottom">
    <w:name w:val="LineBottom"/>
    <w:basedOn w:val="Normal"/>
    <w:next w:val="Normal"/>
    <w:rsid w:val="0025099E"/>
    <w:pPr>
      <w:widowControl w:val="0"/>
      <w:pBdr>
        <w:bottom w:val="single" w:sz="4" w:space="1" w:color="auto"/>
      </w:pBdr>
      <w:spacing w:after="240"/>
      <w:jc w:val="center"/>
    </w:pPr>
    <w:rPr>
      <w:rFonts w:ascii="Arial" w:eastAsia="Times New Roman" w:hAnsi="Arial" w:cs="Arial"/>
      <w:kern w:val="0"/>
      <w:sz w:val="16"/>
      <w:szCs w:val="16"/>
      <w:lang w:val="hu-HU" w:eastAsia="en-GB"/>
      <w14:ligatures w14:val="none"/>
    </w:rPr>
  </w:style>
  <w:style w:type="paragraph" w:customStyle="1" w:styleId="ATHeading1">
    <w:name w:val="AT Heading 1"/>
    <w:basedOn w:val="Normal"/>
    <w:next w:val="Normal"/>
    <w:rsid w:val="0025099E"/>
    <w:pPr>
      <w:keepNext/>
      <w:keepLines/>
      <w:spacing w:before="480" w:after="120"/>
      <w:jc w:val="left"/>
      <w:outlineLvl w:val="0"/>
    </w:pPr>
    <w:rPr>
      <w:rFonts w:eastAsia="Times New Roman"/>
      <w:b/>
      <w:kern w:val="0"/>
      <w:sz w:val="28"/>
      <w:szCs w:val="20"/>
      <w:lang w:val="hu-HU" w:eastAsia="fr-FR"/>
      <w14:ligatures w14:val="none"/>
    </w:rPr>
  </w:style>
  <w:style w:type="paragraph" w:customStyle="1" w:styleId="ATHeading2">
    <w:name w:val="AT Heading 2"/>
    <w:basedOn w:val="Normal"/>
    <w:next w:val="Normal"/>
    <w:rsid w:val="0025099E"/>
    <w:pPr>
      <w:spacing w:before="120" w:after="120"/>
      <w:jc w:val="left"/>
      <w:outlineLvl w:val="1"/>
    </w:pPr>
    <w:rPr>
      <w:rFonts w:eastAsia="Times New Roman"/>
      <w:b/>
      <w:kern w:val="0"/>
      <w:sz w:val="28"/>
      <w:szCs w:val="20"/>
      <w:lang w:val="hu-HU" w:eastAsia="fr-FR"/>
      <w14:ligatures w14:val="none"/>
    </w:rPr>
  </w:style>
  <w:style w:type="paragraph" w:customStyle="1" w:styleId="ATHeading3">
    <w:name w:val="AT Heading 3"/>
    <w:basedOn w:val="Normal"/>
    <w:next w:val="Normal"/>
    <w:rsid w:val="0025099E"/>
    <w:pPr>
      <w:keepNext/>
      <w:keepLines/>
      <w:spacing w:before="120" w:after="120"/>
      <w:jc w:val="left"/>
      <w:outlineLvl w:val="2"/>
    </w:pPr>
    <w:rPr>
      <w:rFonts w:eastAsia="Times New Roman"/>
      <w:b/>
      <w:kern w:val="0"/>
      <w:szCs w:val="20"/>
      <w:lang w:val="hu-HU" w:eastAsia="fr-FR"/>
      <w14:ligatures w14:val="none"/>
    </w:rPr>
  </w:style>
  <w:style w:type="paragraph" w:customStyle="1" w:styleId="EPName">
    <w:name w:val="EPName"/>
    <w:basedOn w:val="Normal"/>
    <w:rsid w:val="0025099E"/>
    <w:pPr>
      <w:widowControl w:val="0"/>
      <w:spacing w:before="80" w:after="80"/>
      <w:jc w:val="left"/>
    </w:pPr>
    <w:rPr>
      <w:rFonts w:ascii="Arial Narrow" w:eastAsia="Times New Roman" w:hAnsi="Arial Narrow" w:cs="Arial"/>
      <w:b/>
      <w:kern w:val="0"/>
      <w:sz w:val="32"/>
      <w:szCs w:val="22"/>
      <w:lang w:val="hu-HU" w:eastAsia="en-GB"/>
      <w14:ligatures w14:val="none"/>
    </w:rPr>
  </w:style>
  <w:style w:type="paragraph" w:customStyle="1" w:styleId="EPTerm">
    <w:name w:val="EPTerm"/>
    <w:basedOn w:val="Normal"/>
    <w:next w:val="Normal"/>
    <w:rsid w:val="0025099E"/>
    <w:pPr>
      <w:widowControl w:val="0"/>
      <w:spacing w:after="80"/>
      <w:jc w:val="left"/>
    </w:pPr>
    <w:rPr>
      <w:rFonts w:ascii="Arial" w:eastAsia="Times New Roman" w:hAnsi="Arial" w:cs="Arial"/>
      <w:kern w:val="0"/>
      <w:sz w:val="20"/>
      <w:szCs w:val="22"/>
      <w:lang w:val="hu-HU" w:eastAsia="en-GB"/>
      <w14:ligatures w14:val="none"/>
    </w:rPr>
  </w:style>
  <w:style w:type="paragraph" w:customStyle="1" w:styleId="EPLogo">
    <w:name w:val="EPLogo"/>
    <w:basedOn w:val="Normal"/>
    <w:qFormat/>
    <w:rsid w:val="0025099E"/>
    <w:pPr>
      <w:widowControl w:val="0"/>
      <w:jc w:val="right"/>
    </w:pPr>
    <w:rPr>
      <w:rFonts w:eastAsia="Times New Roman"/>
      <w:kern w:val="0"/>
      <w:szCs w:val="20"/>
      <w:lang w:val="hu-HU" w:eastAsia="en-GB"/>
      <w14:ligatures w14:val="none"/>
    </w:rPr>
  </w:style>
  <w:style w:type="paragraph" w:customStyle="1" w:styleId="EPComma">
    <w:name w:val="EPComma"/>
    <w:basedOn w:val="Normal"/>
    <w:rsid w:val="0025099E"/>
    <w:pPr>
      <w:widowControl w:val="0"/>
      <w:spacing w:before="480" w:after="240"/>
      <w:jc w:val="left"/>
    </w:pPr>
    <w:rPr>
      <w:rFonts w:eastAsia="Times New Roman"/>
      <w:kern w:val="0"/>
      <w:szCs w:val="20"/>
      <w:lang w:val="hu-HU" w:eastAsia="en-GB"/>
      <w14:ligatures w14:val="none"/>
    </w:rPr>
  </w:style>
  <w:style w:type="character" w:styleId="UnresolvedMention">
    <w:name w:val="Unresolved Mention"/>
    <w:basedOn w:val="DefaultParagraphFont"/>
    <w:uiPriority w:val="99"/>
    <w:semiHidden/>
    <w:unhideWhenUsed/>
    <w:rsid w:val="002509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8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38" Type="http://schemas.openxmlformats.org/officeDocument/2006/relationships/hyperlink" Target="http://data.europa.eu/eli/reg/2021/1173/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4/2509/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2023/1782/oj" TargetMode="External"/><Relationship Id="rId123" Type="http://schemas.openxmlformats.org/officeDocument/2006/relationships/hyperlink" Target="http://data.europa.eu/eli/C/2024/6841/oj" TargetMode="External"/><Relationship Id="rId128" Type="http://schemas.openxmlformats.org/officeDocument/2006/relationships/hyperlink" Target="http://data.europa.eu/eli/reg_del/2019/887/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18/1046/oj" TargetMode="External"/><Relationship Id="rId118" Type="http://schemas.openxmlformats.org/officeDocument/2006/relationships/hyperlink" Target="http://data.europa.eu/eli/C/2024/6041/oj" TargetMode="External"/><Relationship Id="rId134" Type="http://schemas.openxmlformats.org/officeDocument/2006/relationships/hyperlink" Target="http://data.europa.eu/eli/reg_del/2019/887/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21/1173/oj" TargetMode="External"/><Relationship Id="rId103" Type="http://schemas.openxmlformats.org/officeDocument/2006/relationships/hyperlink" Target="http://data.europa.eu/eli/reg_del/2019/887/oj" TargetMode="External"/><Relationship Id="rId108" Type="http://schemas.openxmlformats.org/officeDocument/2006/relationships/hyperlink" Target="http://data.europa.eu/eli/reg/2021/2085/oj" TargetMode="External"/><Relationship Id="rId124" Type="http://schemas.openxmlformats.org/officeDocument/2006/relationships/hyperlink" Target="http://data.europa.eu/eli/C/2024/6041/oj" TargetMode="External"/><Relationship Id="rId129" Type="http://schemas.openxmlformats.org/officeDocument/2006/relationships/hyperlink" Target="http://data.europa.eu/eli/C/2024/68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4/2509/oj" TargetMode="External"/><Relationship Id="rId119"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C/2024/6041/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2023/1782/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841/oj" TargetMode="External"/><Relationship Id="rId120" Type="http://schemas.openxmlformats.org/officeDocument/2006/relationships/hyperlink" Target="http://data.europa.eu/eli/reg/2024/2509/oj" TargetMode="External"/><Relationship Id="rId125" Type="http://schemas.openxmlformats.org/officeDocument/2006/relationships/hyperlink" Target="http://data.europa.eu/eli/reg/2018/1046/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reg_del/2019/887/oj" TargetMode="External"/><Relationship Id="rId115" Type="http://schemas.openxmlformats.org/officeDocument/2006/relationships/hyperlink" Target="http://data.europa.eu/eli/reg/2021/2085/oj" TargetMode="External"/><Relationship Id="rId131" Type="http://schemas.openxmlformats.org/officeDocument/2006/relationships/hyperlink" Target="http://data.europa.eu/eli/reg/2018/1046/oj" TargetMode="External"/><Relationship Id="rId136" Type="http://schemas.openxmlformats.org/officeDocument/2006/relationships/hyperlink" Target="http://data.europa.eu/eli/reg/2023/1782/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C/2024/6041/oj" TargetMode="External"/><Relationship Id="rId126" Type="http://schemas.openxmlformats.org/officeDocument/2006/relationships/hyperlink" Target="http://data.europa.eu/eli/reg/2024/2509/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2021/2085/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reg_del/2019/887/oj" TargetMode="External"/><Relationship Id="rId137" Type="http://schemas.openxmlformats.org/officeDocument/2006/relationships/hyperlink" Target="http://data.europa.eu/eli/dec/2007/198/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841/oj" TargetMode="External"/><Relationship Id="rId132" Type="http://schemas.openxmlformats.org/officeDocument/2006/relationships/hyperlink" Target="http://data.europa.eu/eli/reg/2024/2509/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18/1046/oj" TargetMode="External"/><Relationship Id="rId127" Type="http://schemas.openxmlformats.org/officeDocument/2006/relationships/hyperlink" Target="http://data.europa.eu/eli/reg/2021/2085/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reg_del/2019/887/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C/2024/6041/oj" TargetMode="External"/><Relationship Id="rId133" Type="http://schemas.openxmlformats.org/officeDocument/2006/relationships/hyperlink" Target="http://data.europa.eu/eli/reg/2021/20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035db9-81f1-44b9-9204-15328c5aa6d6" xsi:nil="true"/>
    <lcf76f155ced4ddcb4097134ff3c332f xmlns="8e4974d0-974e-4e93-84c5-0723ea5633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DEF4F1CC04494484F2AA3A5DDBB11E" ma:contentTypeVersion="14" ma:contentTypeDescription="Create a new document." ma:contentTypeScope="" ma:versionID="3cf59154db7538e7049ef7b0e11e2453">
  <xsd:schema xmlns:xsd="http://www.w3.org/2001/XMLSchema" xmlns:xs="http://www.w3.org/2001/XMLSchema" xmlns:p="http://schemas.microsoft.com/office/2006/metadata/properties" xmlns:ns2="8e4974d0-974e-4e93-84c5-0723ea5633db" xmlns:ns3="e5035db9-81f1-44b9-9204-15328c5aa6d6" targetNamespace="http://schemas.microsoft.com/office/2006/metadata/properties" ma:root="true" ma:fieldsID="567773ffca39f1598c17ee103a75b754" ns2:_="" ns3:_="">
    <xsd:import namespace="8e4974d0-974e-4e93-84c5-0723ea5633db"/>
    <xsd:import namespace="e5035db9-81f1-44b9-9204-15328c5aa6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4d0-974e-4e93-84c5-0723ea563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8f03ee4-0c36-4230-a835-ae45e77fcb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035db9-81f1-44b9-9204-15328c5aa6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cdd310e-b345-4987-85f5-ff7b5a58912a}" ma:internalName="TaxCatchAll" ma:showField="CatchAllData" ma:web="e5035db9-81f1-44b9-9204-15328c5aa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B19BC-7CA3-4D9F-BFFF-5C04AF87CCDD}">
  <ds:schemaRefs>
    <ds:schemaRef ds:uri="e5035db9-81f1-44b9-9204-15328c5aa6d6"/>
    <ds:schemaRef ds:uri="http://purl.org/dc/elements/1.1/"/>
    <ds:schemaRef ds:uri="http://purl.org/dc/dcmitype/"/>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8e4974d0-974e-4e93-84c5-0723ea5633db"/>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4847D8D-3F65-428C-B339-2A21D7E41F60}">
  <ds:schemaRefs>
    <ds:schemaRef ds:uri="http://schemas.microsoft.com/sharepoint/v3/contenttype/forms"/>
  </ds:schemaRefs>
</ds:datastoreItem>
</file>

<file path=customXml/itemProps3.xml><?xml version="1.0" encoding="utf-8"?>
<ds:datastoreItem xmlns:ds="http://schemas.openxmlformats.org/officeDocument/2006/customXml" ds:itemID="{0D113D47-50A9-44BE-9446-097DCE882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4d0-974e-4e93-84c5-0723ea5633db"/>
    <ds:schemaRef ds:uri="e5035db9-81f1-44b9-9204-15328c5aa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F2EE25-6113-4B33-B87D-048886E94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66</Pages>
  <Words>20931</Words>
  <Characters>119312</Characters>
  <Application>Microsoft Office Word</Application>
  <DocSecurity>0</DocSecurity>
  <Lines>994</Lines>
  <Paragraphs>279</Paragraphs>
  <ScaleCrop>false</ScaleCrop>
  <Company>European Parliament</Company>
  <LinksUpToDate>false</LinksUpToDate>
  <CharactersWithSpaces>139964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LEMCKE Lukas</dc:creator>
  <cp:keywords/>
  <dc:description/>
  <cp:lastModifiedBy>ILLY_D</cp:lastModifiedBy>
  <cp:revision>2</cp:revision>
  <dcterms:created xsi:type="dcterms:W3CDTF">2025-11-24T17:36:00Z</dcterms:created>
  <dcterms:modified xsi:type="dcterms:W3CDTF">2025-11-24T17:36:00Z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0x01010076DEF4F1CC04494484F2AA3A5DDBB11E</vt:lpwstr>
  </property>
</Properties>
</file>