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065" w14:paraId="4B687219" w14:textId="77777777" w:rsidTr="0010095E">
        <w:trPr>
          <w:trHeight w:hRule="exact" w:val="1418"/>
        </w:trPr>
        <w:tc>
          <w:tcPr>
            <w:tcW w:w="6804" w:type="dxa"/>
            <w:shd w:val="clear" w:color="auto" w:fill="auto"/>
            <w:vAlign w:val="center"/>
          </w:tcPr>
          <w:p w14:paraId="6FEAB1FA" w14:textId="77777777" w:rsidR="00751A4A" w:rsidRPr="000D7065" w:rsidRDefault="00D967CB" w:rsidP="0010095E">
            <w:pPr>
              <w:pStyle w:val="EPName"/>
            </w:pPr>
            <w:r w:rsidRPr="000D7065">
              <w:t>Eiropas Parlaments</w:t>
            </w:r>
          </w:p>
          <w:p w14:paraId="19BAA6CE" w14:textId="77777777" w:rsidR="00751A4A" w:rsidRPr="000D7065" w:rsidRDefault="005F1B17" w:rsidP="005F1B17">
            <w:pPr>
              <w:pStyle w:val="EPTerm"/>
              <w:rPr>
                <w:rStyle w:val="HideTWBExt"/>
                <w:noProof w:val="0"/>
                <w:vanish w:val="0"/>
                <w:color w:val="auto"/>
              </w:rPr>
            </w:pPr>
            <w:r w:rsidRPr="000D7065">
              <w:t>2024</w:t>
            </w:r>
            <w:r w:rsidR="00817416" w:rsidRPr="000D7065">
              <w:t>-202</w:t>
            </w:r>
            <w:r w:rsidRPr="000D7065">
              <w:t>9</w:t>
            </w:r>
          </w:p>
        </w:tc>
        <w:tc>
          <w:tcPr>
            <w:tcW w:w="2268" w:type="dxa"/>
            <w:shd w:val="clear" w:color="auto" w:fill="auto"/>
          </w:tcPr>
          <w:p w14:paraId="289DDE5E" w14:textId="77777777" w:rsidR="00751A4A" w:rsidRPr="000D7065" w:rsidRDefault="00187494" w:rsidP="0010095E">
            <w:pPr>
              <w:pStyle w:val="EPLogo"/>
            </w:pPr>
            <w:r w:rsidRPr="000D7065">
              <w:rPr>
                <w:noProof/>
                <w:lang w:val="en-GB"/>
              </w:rPr>
              <w:drawing>
                <wp:inline distT="0" distB="0" distL="0" distR="0" wp14:anchorId="34AC53FE" wp14:editId="521F06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EDFA89" w14:textId="77777777" w:rsidR="00D058B8" w:rsidRPr="000D7065" w:rsidRDefault="00D058B8" w:rsidP="004C5D52">
      <w:pPr>
        <w:pStyle w:val="LineTop"/>
      </w:pPr>
    </w:p>
    <w:p w14:paraId="44B0F7E4" w14:textId="77777777" w:rsidR="00680577" w:rsidRPr="000D7065" w:rsidRDefault="00D967CB" w:rsidP="00680577">
      <w:pPr>
        <w:pStyle w:val="EPBodyTA1"/>
      </w:pPr>
      <w:r w:rsidRPr="000D7065">
        <w:t>PIEŅEMTIE TEKSTI</w:t>
      </w:r>
    </w:p>
    <w:p w14:paraId="5422C06B" w14:textId="77777777" w:rsidR="00D058B8" w:rsidRPr="000D7065" w:rsidRDefault="00D058B8" w:rsidP="00D058B8">
      <w:pPr>
        <w:pStyle w:val="LineBottom"/>
      </w:pPr>
    </w:p>
    <w:p w14:paraId="543C9EF6" w14:textId="77777777" w:rsidR="00D967CB" w:rsidRPr="000D7065" w:rsidRDefault="00D967CB" w:rsidP="00D967CB">
      <w:pPr>
        <w:pStyle w:val="ATHeading1"/>
      </w:pPr>
      <w:bookmarkStart w:id="0" w:name="TANumber"/>
      <w:r w:rsidRPr="000D7065">
        <w:t>P10_TA(2025)00</w:t>
      </w:r>
      <w:r w:rsidR="00BE61D0" w:rsidRPr="000D7065">
        <w:t>89</w:t>
      </w:r>
      <w:bookmarkEnd w:id="0"/>
    </w:p>
    <w:p w14:paraId="34AB3842" w14:textId="14DCDD4C" w:rsidR="00D967CB" w:rsidRPr="000D7065" w:rsidRDefault="00CA6AC9" w:rsidP="00D967CB">
      <w:pPr>
        <w:pStyle w:val="ATHeading2"/>
      </w:pPr>
      <w:bookmarkStart w:id="1" w:name="title"/>
      <w:r w:rsidRPr="000D7065">
        <w:t xml:space="preserve">ES 2023. finanšu gada budžeta izpildes apstiprināšana </w:t>
      </w:r>
      <w:r w:rsidR="00A74B93">
        <w:t>–</w:t>
      </w:r>
      <w:r w:rsidRPr="000D7065">
        <w:t xml:space="preserve"> kopuzņēmumi</w:t>
      </w:r>
      <w:bookmarkEnd w:id="1"/>
    </w:p>
    <w:p w14:paraId="2799FD3E" w14:textId="77777777" w:rsidR="00D967CB" w:rsidRPr="000D7065" w:rsidRDefault="00D967CB" w:rsidP="00D967CB">
      <w:pPr>
        <w:rPr>
          <w:i/>
          <w:vanish/>
        </w:rPr>
      </w:pPr>
      <w:r w:rsidRPr="000D7065">
        <w:rPr>
          <w:i/>
        </w:rPr>
        <w:fldChar w:fldCharType="begin"/>
      </w:r>
      <w:r w:rsidRPr="000D7065">
        <w:rPr>
          <w:i/>
        </w:rPr>
        <w:instrText xml:space="preserve"> TC"(</w:instrText>
      </w:r>
      <w:bookmarkStart w:id="2" w:name="DocNumber"/>
      <w:r w:rsidRPr="000D7065">
        <w:rPr>
          <w:i/>
        </w:rPr>
        <w:instrText>A10-0056/2025</w:instrText>
      </w:r>
      <w:bookmarkEnd w:id="2"/>
      <w:r w:rsidRPr="000D7065">
        <w:rPr>
          <w:i/>
        </w:rPr>
        <w:instrText xml:space="preserve"> - Referents: </w:instrText>
      </w:r>
      <w:proofErr w:type="spellStart"/>
      <w:r w:rsidRPr="000D7065">
        <w:rPr>
          <w:i/>
        </w:rPr>
        <w:instrText>Michal</w:instrText>
      </w:r>
      <w:proofErr w:type="spellEnd"/>
      <w:r w:rsidRPr="000D7065">
        <w:rPr>
          <w:i/>
        </w:rPr>
        <w:instrText xml:space="preserve"> </w:instrText>
      </w:r>
      <w:proofErr w:type="spellStart"/>
      <w:r w:rsidRPr="000D7065">
        <w:rPr>
          <w:i/>
        </w:rPr>
        <w:instrText>Wiezik</w:instrText>
      </w:r>
      <w:proofErr w:type="spellEnd"/>
      <w:r w:rsidRPr="000D7065">
        <w:rPr>
          <w:i/>
        </w:rPr>
        <w:instrText xml:space="preserve">)"\l3 \n&gt; \* MERGEFORMAT </w:instrText>
      </w:r>
      <w:r w:rsidRPr="000D7065">
        <w:rPr>
          <w:i/>
        </w:rPr>
        <w:fldChar w:fldCharType="end"/>
      </w:r>
    </w:p>
    <w:p w14:paraId="5994EF04" w14:textId="77777777" w:rsidR="00D967CB" w:rsidRPr="000D7065" w:rsidRDefault="00D967CB" w:rsidP="00D967CB">
      <w:pPr>
        <w:rPr>
          <w:vanish/>
        </w:rPr>
      </w:pPr>
      <w:bookmarkStart w:id="3" w:name="Commission"/>
      <w:r w:rsidRPr="000D7065">
        <w:rPr>
          <w:vanish/>
        </w:rPr>
        <w:t>Budžeta kontroles komiteja</w:t>
      </w:r>
      <w:bookmarkEnd w:id="3"/>
    </w:p>
    <w:p w14:paraId="41A24ED6" w14:textId="77777777" w:rsidR="00D967CB" w:rsidRPr="000D7065" w:rsidRDefault="00D967CB" w:rsidP="00D967CB">
      <w:pPr>
        <w:rPr>
          <w:vanish/>
        </w:rPr>
      </w:pPr>
      <w:bookmarkStart w:id="4" w:name="PE"/>
      <w:r w:rsidRPr="000D7065">
        <w:rPr>
          <w:vanish/>
        </w:rPr>
        <w:t>PE765.276</w:t>
      </w:r>
      <w:bookmarkEnd w:id="4"/>
    </w:p>
    <w:p w14:paraId="0AB72E2E" w14:textId="77777777" w:rsidR="00D967CB" w:rsidRPr="000D7065" w:rsidRDefault="00D967CB" w:rsidP="00D967CB">
      <w:pPr>
        <w:pStyle w:val="ATHeading3"/>
      </w:pPr>
      <w:bookmarkStart w:id="5" w:name="Sujet"/>
      <w:r w:rsidRPr="000D7065">
        <w:t xml:space="preserve">1. Eiropas Parlamenta 2025. gada </w:t>
      </w:r>
      <w:r w:rsidR="00EB109D" w:rsidRPr="000D7065">
        <w:t>7. maija</w:t>
      </w:r>
      <w:r w:rsidRPr="000D7065">
        <w:t xml:space="preserve"> lēmums par kopuzņēmumu </w:t>
      </w:r>
      <w:r w:rsidR="00EB109D" w:rsidRPr="000D7065">
        <w:t xml:space="preserve">“Tīra aviācija” </w:t>
      </w:r>
      <w:r w:rsidRPr="000D7065">
        <w:t>2023. finanšu gada budžeta izpildes apstiprināšanu</w:t>
      </w:r>
      <w:bookmarkEnd w:id="5"/>
      <w:r w:rsidRPr="000D7065">
        <w:t xml:space="preserve"> </w:t>
      </w:r>
      <w:bookmarkStart w:id="6" w:name="References"/>
      <w:r w:rsidRPr="000D7065">
        <w:t>(2024/2031(DEC))</w:t>
      </w:r>
      <w:bookmarkEnd w:id="6"/>
    </w:p>
    <w:p w14:paraId="3073444C" w14:textId="77777777" w:rsidR="0089782B" w:rsidRPr="000D7065" w:rsidRDefault="0089782B" w:rsidP="0089782B">
      <w:pPr>
        <w:pStyle w:val="EPComma"/>
      </w:pPr>
      <w:bookmarkStart w:id="7" w:name="TextBodyBegin"/>
      <w:bookmarkEnd w:id="7"/>
      <w:r w:rsidRPr="000D7065">
        <w:rPr>
          <w:i/>
        </w:rPr>
        <w:t>Eiropas Parlaments</w:t>
      </w:r>
      <w:r w:rsidRPr="000D7065">
        <w:t>,</w:t>
      </w:r>
    </w:p>
    <w:p w14:paraId="2F3DECC7" w14:textId="77777777" w:rsidR="00A74B93" w:rsidRPr="00A74B93" w:rsidRDefault="0089782B" w:rsidP="00A74B93">
      <w:pPr>
        <w:spacing w:after="240"/>
        <w:ind w:left="567" w:hanging="567"/>
        <w:rPr>
          <w:kern w:val="2"/>
        </w:rPr>
      </w:pPr>
      <w:r w:rsidRPr="000D7065">
        <w:t>–</w:t>
      </w:r>
      <w:r w:rsidRPr="000D7065">
        <w:tab/>
      </w:r>
      <w:r w:rsidR="00A74B93" w:rsidRPr="00A74B93">
        <w:rPr>
          <w:kern w:val="2"/>
        </w:rPr>
        <w:t>ņemot vērā kopuzņēmuma “Tīra aviācija” 2023. finanšu gada galīgos pārskatus,</w:t>
      </w:r>
    </w:p>
    <w:p w14:paraId="75B14E0E"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
      </w:r>
      <w:r w:rsidRPr="00A74B93">
        <w:rPr>
          <w:kern w:val="2"/>
        </w:rPr>
        <w:t>,</w:t>
      </w:r>
    </w:p>
    <w:p w14:paraId="2E0C5F08"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2"/>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2BA677C5"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2C4D8D72"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36380FD4"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3"/>
      </w:r>
      <w:r w:rsidRPr="00A74B93">
        <w:rPr>
          <w:kern w:val="2"/>
        </w:rPr>
        <w:t>, un jo īpaši tās 71. pantu,</w:t>
      </w:r>
    </w:p>
    <w:p w14:paraId="1FC4017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xml:space="preserve">) 2024/2509 par finanšu noteikumiem, ko piemēro Savienības vispārējam </w:t>
      </w:r>
      <w:r w:rsidRPr="00A74B93">
        <w:rPr>
          <w:kern w:val="2"/>
        </w:rPr>
        <w:lastRenderedPageBreak/>
        <w:t>budžetam</w:t>
      </w:r>
      <w:r w:rsidRPr="00A74B93">
        <w:rPr>
          <w:kern w:val="2"/>
          <w:vertAlign w:val="superscript"/>
        </w:rPr>
        <w:footnoteReference w:id="4"/>
      </w:r>
      <w:r w:rsidRPr="00A74B93">
        <w:rPr>
          <w:kern w:val="2"/>
        </w:rPr>
        <w:t xml:space="preserve">, un jo īpaši tās 71. pantu, </w:t>
      </w:r>
    </w:p>
    <w:p w14:paraId="3D784C8E"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5"/>
      </w:r>
      <w:r w:rsidRPr="00A74B93">
        <w:rPr>
          <w:kern w:val="2"/>
        </w:rPr>
        <w:t>, un jo īpaši tās 26. pantu,</w:t>
      </w:r>
    </w:p>
    <w:p w14:paraId="4B1DAAC4"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6"/>
      </w:r>
      <w:r w:rsidRPr="00A74B93">
        <w:rPr>
          <w:kern w:val="2"/>
        </w:rPr>
        <w:t xml:space="preserve"> 71. pantā,</w:t>
      </w:r>
    </w:p>
    <w:p w14:paraId="4C2D1079"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77DDC1AD"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115C143E"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148154E2"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“Tīra aviācija” izpilddirektoram apstiprinājumu par Kopuzņēmuma 2023. finanšu gada budžeta izpildi;</w:t>
      </w:r>
    </w:p>
    <w:p w14:paraId="40A22B15"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285B9B53"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“Tīra aviācija”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5D6278B2"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25BD31B0" w14:textId="77777777" w:rsidR="00A74B93" w:rsidRPr="00A74B93" w:rsidRDefault="00A74B93" w:rsidP="00A74B93">
      <w:pPr>
        <w:pStyle w:val="ATHeading3"/>
      </w:pPr>
      <w:r w:rsidRPr="00A74B93">
        <w:lastRenderedPageBreak/>
        <w:t>2. Eiropas Parlamenta 2025. gada 7. maija lēmums par kopuzņēmumu “Tīra aviācija” 2023. finanšu gada pārskatu apstiprināšanu  (2024/2031(DEC))</w:t>
      </w:r>
    </w:p>
    <w:p w14:paraId="6627EB6D" w14:textId="75CFB52D" w:rsidR="00A74B93" w:rsidRPr="00A74B93" w:rsidRDefault="00A74B93" w:rsidP="00A74B93">
      <w:pPr>
        <w:spacing w:before="480" w:after="240"/>
        <w:rPr>
          <w:kern w:val="2"/>
        </w:rPr>
      </w:pPr>
      <w:r w:rsidRPr="000D7065">
        <w:rPr>
          <w:i/>
        </w:rPr>
        <w:t>Eiropas Parlaments</w:t>
      </w:r>
      <w:r w:rsidRPr="00A74B93">
        <w:rPr>
          <w:kern w:val="2"/>
        </w:rPr>
        <w:t>,</w:t>
      </w:r>
    </w:p>
    <w:p w14:paraId="247FA12C"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“Tīra aviācija” 2023. finanšu gada galīgos pārskatus,</w:t>
      </w:r>
    </w:p>
    <w:p w14:paraId="4F56D007"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7"/>
      </w:r>
      <w:r w:rsidRPr="00A74B93">
        <w:rPr>
          <w:kern w:val="2"/>
        </w:rPr>
        <w:t>,</w:t>
      </w:r>
    </w:p>
    <w:p w14:paraId="50777B7A"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8"/>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12C8D67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3DD8FA62"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480A694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9"/>
      </w:r>
      <w:r w:rsidRPr="00A74B93">
        <w:rPr>
          <w:kern w:val="2"/>
        </w:rPr>
        <w:t>, un jo īpaši tās 71. pantu,</w:t>
      </w:r>
    </w:p>
    <w:p w14:paraId="527697CC"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0"/>
      </w:r>
      <w:r w:rsidRPr="00A74B93">
        <w:rPr>
          <w:kern w:val="2"/>
        </w:rPr>
        <w:t xml:space="preserve">, un jo īpaši tās 71. pantu, </w:t>
      </w:r>
    </w:p>
    <w:p w14:paraId="2AAA4B5F"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1"/>
      </w:r>
      <w:r w:rsidRPr="00A74B93">
        <w:rPr>
          <w:kern w:val="2"/>
        </w:rPr>
        <w:t>, un jo īpaši tās 26. pantu,</w:t>
      </w:r>
    </w:p>
    <w:p w14:paraId="621A425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2"/>
      </w:r>
      <w:r w:rsidRPr="00A74B93">
        <w:rPr>
          <w:kern w:val="2"/>
        </w:rPr>
        <w:t xml:space="preserve"> 71. pantā,</w:t>
      </w:r>
    </w:p>
    <w:p w14:paraId="246F1038"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53CDF24F"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1ED5A2DC"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Budžeta kontroles komitejas ziņojumu (A10</w:t>
      </w:r>
      <w:r w:rsidRPr="00A74B93">
        <w:rPr>
          <w:kern w:val="2"/>
        </w:rPr>
        <w:noBreakHyphen/>
        <w:t>0056/2025),</w:t>
      </w:r>
    </w:p>
    <w:p w14:paraId="04D58374"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“Tīra aviācija” 2023. finanšu gada pārskatus;</w:t>
      </w:r>
    </w:p>
    <w:p w14:paraId="0E20AF18"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“Tīra aviācija”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16E9D6CE"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23E26153" w14:textId="77777777" w:rsidR="00A74B93" w:rsidRPr="00A74B93" w:rsidRDefault="00A74B93" w:rsidP="00A74B93">
      <w:pPr>
        <w:pStyle w:val="ATHeading3"/>
      </w:pPr>
      <w:r w:rsidRPr="00A74B93">
        <w:lastRenderedPageBreak/>
        <w:t>3. Eiropas Parlamenta 2025. gada 7. maija lēmums par kopuzņēmuma “</w:t>
      </w:r>
      <w:proofErr w:type="spellStart"/>
      <w:r w:rsidRPr="00A74B93">
        <w:t>Apritīga</w:t>
      </w:r>
      <w:proofErr w:type="spellEnd"/>
      <w:r w:rsidRPr="00A74B93">
        <w:t xml:space="preserve"> </w:t>
      </w:r>
      <w:proofErr w:type="spellStart"/>
      <w:r w:rsidRPr="00A74B93">
        <w:t>biobāzēta</w:t>
      </w:r>
      <w:proofErr w:type="spellEnd"/>
      <w:r w:rsidRPr="00A74B93">
        <w:t xml:space="preserve"> Eiropa” 2023. finanšu gada budžeta izpildes apstiprināšanu  (2024/2031(DEC))</w:t>
      </w:r>
    </w:p>
    <w:p w14:paraId="3EBC6161" w14:textId="0D2DB236" w:rsidR="00A74B93" w:rsidRPr="00A74B93" w:rsidRDefault="00A74B93" w:rsidP="00A74B93">
      <w:pPr>
        <w:spacing w:before="480" w:after="240"/>
        <w:rPr>
          <w:iCs/>
          <w:kern w:val="2"/>
        </w:rPr>
      </w:pPr>
      <w:r w:rsidRPr="000D7065">
        <w:rPr>
          <w:i/>
        </w:rPr>
        <w:t>Eiropas Parlaments</w:t>
      </w:r>
      <w:r w:rsidRPr="00A74B93">
        <w:rPr>
          <w:iCs/>
          <w:kern w:val="2"/>
        </w:rPr>
        <w:t>,</w:t>
      </w:r>
    </w:p>
    <w:p w14:paraId="5BF090DE"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2023. finanšu gada galīgos pārskatus,</w:t>
      </w:r>
    </w:p>
    <w:p w14:paraId="36F26B31"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3"/>
      </w:r>
      <w:r w:rsidRPr="00A74B93">
        <w:rPr>
          <w:kern w:val="2"/>
        </w:rPr>
        <w:t>,</w:t>
      </w:r>
    </w:p>
    <w:p w14:paraId="0D0708C7"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4"/>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61E862D4"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2B24431F"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292FC984"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5"/>
      </w:r>
      <w:r w:rsidRPr="00A74B93">
        <w:rPr>
          <w:kern w:val="2"/>
        </w:rPr>
        <w:t>, un jo īpaši tās 71. pantu,</w:t>
      </w:r>
    </w:p>
    <w:p w14:paraId="29528AD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6"/>
      </w:r>
      <w:r w:rsidRPr="00A74B93">
        <w:rPr>
          <w:kern w:val="2"/>
        </w:rPr>
        <w:t xml:space="preserve">, un jo īpaši tās 71. pantu, </w:t>
      </w:r>
    </w:p>
    <w:p w14:paraId="5EA55BA8"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7"/>
      </w:r>
      <w:r w:rsidRPr="00A74B93">
        <w:rPr>
          <w:kern w:val="2"/>
        </w:rPr>
        <w:t>, un jo īpaši tās 26. pantu,</w:t>
      </w:r>
    </w:p>
    <w:p w14:paraId="08BA180C"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8"/>
      </w:r>
      <w:r w:rsidRPr="00A74B93">
        <w:rPr>
          <w:kern w:val="2"/>
        </w:rPr>
        <w:t xml:space="preserve"> 71. pantā,</w:t>
      </w:r>
    </w:p>
    <w:p w14:paraId="663939EE"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3C705ACB"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3D57F6D6"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72A54874"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izpilddirektoram apstiprinājumu par Kopuzņēmuma 2023. finanšu gada budžeta izpildi;</w:t>
      </w:r>
    </w:p>
    <w:p w14:paraId="49D98CB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39F91F94" w14:textId="77777777" w:rsidR="00A74B93" w:rsidRPr="00A74B93" w:rsidRDefault="00A74B93" w:rsidP="00A74B93">
      <w:pPr>
        <w:spacing w:after="240"/>
        <w:ind w:left="567" w:hanging="567"/>
        <w:rPr>
          <w:kern w:val="2"/>
        </w:rPr>
      </w:pPr>
      <w:r w:rsidRPr="00A74B93">
        <w:rPr>
          <w:kern w:val="2"/>
        </w:rPr>
        <w:t>3.</w:t>
      </w:r>
      <w:r w:rsidRPr="00A74B93">
        <w:rPr>
          <w:kern w:val="2"/>
        </w:rPr>
        <w:tab/>
        <w:t>uzdod priekšsēdētājai šo lēmumu un rezolūciju, kas ir tā neatņemama daļa, nosūtīt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253D4057"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39DA1FB3" w14:textId="77777777" w:rsidR="00A74B93" w:rsidRPr="00A74B93" w:rsidRDefault="00A74B93" w:rsidP="00A74B93">
      <w:pPr>
        <w:pStyle w:val="ATHeading3"/>
      </w:pPr>
      <w:r w:rsidRPr="00A74B93">
        <w:lastRenderedPageBreak/>
        <w:t>4. Eiropas Parlamenta 2025. gada 7. maija lēmums par kopuzņēmuma “</w:t>
      </w:r>
      <w:proofErr w:type="spellStart"/>
      <w:r w:rsidRPr="00A74B93">
        <w:t>Apritīga</w:t>
      </w:r>
      <w:proofErr w:type="spellEnd"/>
      <w:r w:rsidRPr="00A74B93">
        <w:t xml:space="preserve"> </w:t>
      </w:r>
      <w:proofErr w:type="spellStart"/>
      <w:r w:rsidRPr="00A74B93">
        <w:t>biobāzēta</w:t>
      </w:r>
      <w:proofErr w:type="spellEnd"/>
      <w:r w:rsidRPr="00A74B93">
        <w:t xml:space="preserve"> Eiropa” 2023. finanšu gada pārskatu apstiprināšanu  (2024/2031(DEC))</w:t>
      </w:r>
    </w:p>
    <w:p w14:paraId="7FFEE48C" w14:textId="46279CEF" w:rsidR="00A74B93" w:rsidRPr="00A74B93" w:rsidRDefault="00A74B93" w:rsidP="00A74B93">
      <w:pPr>
        <w:spacing w:before="480" w:after="240"/>
        <w:rPr>
          <w:kern w:val="2"/>
        </w:rPr>
      </w:pPr>
      <w:r w:rsidRPr="000D7065">
        <w:rPr>
          <w:i/>
        </w:rPr>
        <w:t>Eiropas Parlaments</w:t>
      </w:r>
      <w:r w:rsidRPr="00A74B93">
        <w:rPr>
          <w:kern w:val="2"/>
        </w:rPr>
        <w:t>,</w:t>
      </w:r>
    </w:p>
    <w:p w14:paraId="7092DCD9"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2023. finanšu gada galīgos pārskatus,</w:t>
      </w:r>
    </w:p>
    <w:p w14:paraId="4D2F52C3"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9"/>
      </w:r>
      <w:r w:rsidRPr="00A74B93">
        <w:rPr>
          <w:kern w:val="2"/>
        </w:rPr>
        <w:t>,</w:t>
      </w:r>
    </w:p>
    <w:p w14:paraId="2B86EC44"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20"/>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7222B5F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38AC50C0"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45A2A540"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21"/>
      </w:r>
      <w:r w:rsidRPr="00A74B93">
        <w:rPr>
          <w:kern w:val="2"/>
        </w:rPr>
        <w:t>, un jo īpaši tās 71. pantu,</w:t>
      </w:r>
    </w:p>
    <w:p w14:paraId="0BAA576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22"/>
      </w:r>
      <w:r w:rsidRPr="00A74B93">
        <w:rPr>
          <w:kern w:val="2"/>
        </w:rPr>
        <w:t xml:space="preserve">, un jo īpaši tās 71. pantu, </w:t>
      </w:r>
    </w:p>
    <w:p w14:paraId="20E6D086"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23"/>
      </w:r>
      <w:r w:rsidRPr="00A74B93">
        <w:rPr>
          <w:kern w:val="2"/>
        </w:rPr>
        <w:t>, un jo īpaši tās 26. pantu,</w:t>
      </w:r>
    </w:p>
    <w:p w14:paraId="51DA659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24"/>
      </w:r>
      <w:r w:rsidRPr="00A74B93">
        <w:rPr>
          <w:kern w:val="2"/>
        </w:rPr>
        <w:t xml:space="preserve"> 71. pantā,</w:t>
      </w:r>
    </w:p>
    <w:p w14:paraId="4277510E"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766D56B5"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5BA448AD"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4884F67B"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2023. finanšu gada pārskatus;</w:t>
      </w:r>
    </w:p>
    <w:p w14:paraId="2FF09A29" w14:textId="77777777" w:rsidR="00A74B93" w:rsidRPr="00A74B93" w:rsidRDefault="00A74B93" w:rsidP="00A74B93">
      <w:pPr>
        <w:spacing w:after="240"/>
        <w:ind w:left="567" w:hanging="567"/>
        <w:rPr>
          <w:kern w:val="2"/>
        </w:rPr>
      </w:pPr>
      <w:r w:rsidRPr="00A74B93">
        <w:rPr>
          <w:kern w:val="2"/>
        </w:rPr>
        <w:t>2.</w:t>
      </w:r>
      <w:r w:rsidRPr="00A74B93">
        <w:rPr>
          <w:kern w:val="2"/>
        </w:rPr>
        <w:tab/>
        <w:t>uzdod priekšsēdētājai šo lēmumu nosūtīt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3C56E9B1"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6D4FFA1F" w14:textId="77777777" w:rsidR="00A74B93" w:rsidRPr="00A74B93" w:rsidRDefault="00A74B93" w:rsidP="00A74B93">
      <w:pPr>
        <w:pStyle w:val="ATHeading3"/>
      </w:pPr>
      <w:r w:rsidRPr="00A74B93">
        <w:lastRenderedPageBreak/>
        <w:t>5. Eiropas Parlamenta 2025. gada 7. maija lēmums par kopuzņēmuma “Tīrs ūdeņradis” 2023. finanšu gada budžeta izpildes apstiprināšanu  (2024/2031(DEC))</w:t>
      </w:r>
    </w:p>
    <w:p w14:paraId="303B7AC3" w14:textId="577BE10A" w:rsidR="00A74B93" w:rsidRPr="00A74B93" w:rsidRDefault="00A74B93" w:rsidP="00A74B93">
      <w:pPr>
        <w:spacing w:before="480" w:after="240"/>
        <w:rPr>
          <w:kern w:val="2"/>
        </w:rPr>
      </w:pPr>
      <w:r w:rsidRPr="000D7065">
        <w:rPr>
          <w:i/>
        </w:rPr>
        <w:t>Eiropas Parlaments</w:t>
      </w:r>
      <w:r w:rsidRPr="00A74B93">
        <w:rPr>
          <w:kern w:val="2"/>
        </w:rPr>
        <w:t>,</w:t>
      </w:r>
    </w:p>
    <w:p w14:paraId="74E15C49"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“Tīrs ūdeņradis” 2023. finanšu gada galīgos pārskatus,</w:t>
      </w:r>
    </w:p>
    <w:p w14:paraId="049E475F"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25"/>
      </w:r>
      <w:r w:rsidRPr="00A74B93">
        <w:rPr>
          <w:kern w:val="2"/>
        </w:rPr>
        <w:t>,</w:t>
      </w:r>
    </w:p>
    <w:p w14:paraId="4724BBE3"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26"/>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6748CC07"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6EC81D34"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0E154CFA"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27"/>
      </w:r>
      <w:r w:rsidRPr="00A74B93">
        <w:rPr>
          <w:kern w:val="2"/>
        </w:rPr>
        <w:t>, un jo īpaši tās 71. pantu,</w:t>
      </w:r>
    </w:p>
    <w:p w14:paraId="6236DAA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28"/>
      </w:r>
      <w:r w:rsidRPr="00A74B93">
        <w:rPr>
          <w:kern w:val="2"/>
        </w:rPr>
        <w:t xml:space="preserve">, un jo īpaši tās 71. pantu, </w:t>
      </w:r>
    </w:p>
    <w:p w14:paraId="6D70001A"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29"/>
      </w:r>
      <w:r w:rsidRPr="00A74B93">
        <w:rPr>
          <w:kern w:val="2"/>
        </w:rPr>
        <w:t>, un jo īpaši tās 26. pantu,</w:t>
      </w:r>
    </w:p>
    <w:p w14:paraId="7CC0DCC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30"/>
      </w:r>
      <w:r w:rsidRPr="00A74B93">
        <w:rPr>
          <w:kern w:val="2"/>
        </w:rPr>
        <w:t xml:space="preserve"> 71. pantā,</w:t>
      </w:r>
    </w:p>
    <w:p w14:paraId="0DE3B251"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733C7B0E"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7249B9AD"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Budžeta kontroles komitejas ziņojumu (A10</w:t>
      </w:r>
      <w:r w:rsidRPr="00A74B93">
        <w:rPr>
          <w:kern w:val="2"/>
        </w:rPr>
        <w:noBreakHyphen/>
        <w:t>0056/2025),</w:t>
      </w:r>
    </w:p>
    <w:p w14:paraId="116509C7"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“Tīrs ūdeņradis” izpilddirektorei apstiprinājumu par Kopuzņēmuma 2023. finanšu gada budžeta izpildi;</w:t>
      </w:r>
    </w:p>
    <w:p w14:paraId="6C34C85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3FF7BD61"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“Tīrs ūdeņradis” izpilddirektorei, Padomei, Komisijai un Revīzijas palātai un nodrošināt to publicēšanu </w:t>
      </w:r>
      <w:r w:rsidRPr="00A74B93">
        <w:rPr>
          <w:i/>
          <w:kern w:val="2"/>
        </w:rPr>
        <w:t>Eiropas Savienības Oficiālajā Vēstnesī</w:t>
      </w:r>
      <w:r w:rsidRPr="00A74B93">
        <w:rPr>
          <w:kern w:val="2"/>
        </w:rPr>
        <w:t xml:space="preserve"> (L sērijā).</w:t>
      </w:r>
    </w:p>
    <w:p w14:paraId="1E28F633"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2479D2B4" w14:textId="77777777" w:rsidR="00A74B93" w:rsidRPr="00A74B93" w:rsidRDefault="00A74B93" w:rsidP="00A74B93">
      <w:pPr>
        <w:pStyle w:val="ATHeading3"/>
      </w:pPr>
      <w:r w:rsidRPr="00A74B93">
        <w:lastRenderedPageBreak/>
        <w:t>6. Eiropas Parlamenta 2025. gada 7. maija lēmums par kopuzņēmuma “Tīrs ūdeņradis” 2023. finanšu gada pārskatu apstiprināšanu  (2024/2031(DEC))</w:t>
      </w:r>
    </w:p>
    <w:p w14:paraId="70950480" w14:textId="08A33761" w:rsidR="00A74B93" w:rsidRPr="00A74B93" w:rsidRDefault="00A74B93" w:rsidP="00A74B93">
      <w:pPr>
        <w:spacing w:before="480" w:after="240"/>
        <w:rPr>
          <w:kern w:val="2"/>
        </w:rPr>
      </w:pPr>
      <w:r w:rsidRPr="000D7065">
        <w:rPr>
          <w:i/>
        </w:rPr>
        <w:t>Eiropas Parlaments</w:t>
      </w:r>
      <w:r w:rsidRPr="00A74B93">
        <w:rPr>
          <w:kern w:val="2"/>
        </w:rPr>
        <w:t>,</w:t>
      </w:r>
    </w:p>
    <w:p w14:paraId="1FDA9CC9"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“Tīrs ūdeņradis” 2023. finanšu gada galīgos pārskatus,</w:t>
      </w:r>
    </w:p>
    <w:p w14:paraId="20BD8F48"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31"/>
      </w:r>
      <w:r w:rsidRPr="00A74B93">
        <w:rPr>
          <w:kern w:val="2"/>
        </w:rPr>
        <w:t>,</w:t>
      </w:r>
    </w:p>
    <w:p w14:paraId="232E82D7"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32"/>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4A5E4919"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1E271981"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5D0A2009"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33"/>
      </w:r>
      <w:r w:rsidRPr="00A74B93">
        <w:rPr>
          <w:kern w:val="2"/>
        </w:rPr>
        <w:t>, un jo īpaši tās 71. pantu,</w:t>
      </w:r>
    </w:p>
    <w:p w14:paraId="687BDF9F"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34"/>
      </w:r>
      <w:r w:rsidRPr="00A74B93">
        <w:rPr>
          <w:kern w:val="2"/>
        </w:rPr>
        <w:t xml:space="preserve">, un jo īpaši tās 71. pantu, </w:t>
      </w:r>
    </w:p>
    <w:p w14:paraId="733EB53E"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35"/>
      </w:r>
      <w:r w:rsidRPr="00A74B93">
        <w:rPr>
          <w:kern w:val="2"/>
        </w:rPr>
        <w:t>, un jo īpaši tās 26. pantu,</w:t>
      </w:r>
    </w:p>
    <w:p w14:paraId="47BC0D99"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36"/>
      </w:r>
      <w:r w:rsidRPr="00A74B93">
        <w:rPr>
          <w:kern w:val="2"/>
        </w:rPr>
        <w:t xml:space="preserve"> 71. pantā,</w:t>
      </w:r>
    </w:p>
    <w:p w14:paraId="14628D03"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23C86B2E"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5AC49B4D"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Budžeta kontroles komitejas ziņojumu (A10</w:t>
      </w:r>
      <w:r w:rsidRPr="00A74B93">
        <w:rPr>
          <w:kern w:val="2"/>
        </w:rPr>
        <w:noBreakHyphen/>
        <w:t>0056/2025),</w:t>
      </w:r>
    </w:p>
    <w:p w14:paraId="4386BFC6"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“Tīrs ūdeņradis” 2023. finanšu gada pārskatus;</w:t>
      </w:r>
    </w:p>
    <w:p w14:paraId="2377F0DD"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“Tīrs ūdeņradis” izpilddirektorei, Padomei, Komisijai un Revīzijas palātai un nodrošināt tā publicēšanu </w:t>
      </w:r>
      <w:r w:rsidRPr="00A74B93">
        <w:rPr>
          <w:i/>
          <w:kern w:val="2"/>
        </w:rPr>
        <w:t>Eiropas Savienības Oficiālajā Vēstnesī</w:t>
      </w:r>
      <w:r w:rsidRPr="00A74B93">
        <w:rPr>
          <w:kern w:val="2"/>
        </w:rPr>
        <w:t xml:space="preserve"> (L sērijā).</w:t>
      </w:r>
    </w:p>
    <w:p w14:paraId="4B601145"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3F836CBE" w14:textId="77777777" w:rsidR="00A74B93" w:rsidRPr="00A74B93" w:rsidRDefault="00A74B93" w:rsidP="00A74B93">
      <w:pPr>
        <w:pStyle w:val="ATHeading3"/>
      </w:pPr>
      <w:r w:rsidRPr="00A74B93">
        <w:lastRenderedPageBreak/>
        <w:t>7. Eiropas Parlamenta 2025. gada 7. maija lēmums par kopuzņēmuma “Eiropas dzelzceļš” 2023. finanšu gada budžeta izpildes apstiprināšanu  (2024/2031(DEC))</w:t>
      </w:r>
    </w:p>
    <w:p w14:paraId="2FEF8559" w14:textId="1A6DE1ED" w:rsidR="00A74B93" w:rsidRPr="00A74B93" w:rsidRDefault="00A74B93" w:rsidP="00A74B93">
      <w:pPr>
        <w:spacing w:before="480" w:after="240"/>
        <w:rPr>
          <w:kern w:val="2"/>
        </w:rPr>
      </w:pPr>
      <w:r w:rsidRPr="000D7065">
        <w:rPr>
          <w:i/>
        </w:rPr>
        <w:t>Eiropas Parlaments</w:t>
      </w:r>
      <w:r w:rsidRPr="00A74B93">
        <w:rPr>
          <w:kern w:val="2"/>
        </w:rPr>
        <w:t>,</w:t>
      </w:r>
    </w:p>
    <w:p w14:paraId="12DB7662"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“Eiropas dzelzceļš” 2023. finanšu gada galīgos pārskatus,</w:t>
      </w:r>
    </w:p>
    <w:p w14:paraId="08595948"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37"/>
      </w:r>
      <w:r w:rsidRPr="00A74B93">
        <w:rPr>
          <w:kern w:val="2"/>
        </w:rPr>
        <w:t>,</w:t>
      </w:r>
    </w:p>
    <w:p w14:paraId="66C2E42A"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38"/>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5DB80442"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7788527B"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43D1383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39"/>
      </w:r>
      <w:r w:rsidRPr="00A74B93">
        <w:rPr>
          <w:kern w:val="2"/>
        </w:rPr>
        <w:t>, un jo īpaši tās 71. pantu,</w:t>
      </w:r>
    </w:p>
    <w:p w14:paraId="4C664F7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40"/>
      </w:r>
      <w:r w:rsidRPr="00A74B93">
        <w:rPr>
          <w:kern w:val="2"/>
        </w:rPr>
        <w:t xml:space="preserve">, un jo īpaši tās 71. pantu, </w:t>
      </w:r>
    </w:p>
    <w:p w14:paraId="0C02D4D5"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41"/>
      </w:r>
      <w:r w:rsidRPr="00A74B93">
        <w:rPr>
          <w:kern w:val="2"/>
        </w:rPr>
        <w:t>, un jo īpaši tās 26. pantu,</w:t>
      </w:r>
    </w:p>
    <w:p w14:paraId="63ABB1F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42"/>
      </w:r>
      <w:r w:rsidRPr="00A74B93">
        <w:rPr>
          <w:kern w:val="2"/>
        </w:rPr>
        <w:t xml:space="preserve"> 71. pantā,</w:t>
      </w:r>
    </w:p>
    <w:p w14:paraId="4CD8231B"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1AC7A7BD"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787ACAD5"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Budžeta kontroles komitejas ziņojumu (A10</w:t>
      </w:r>
      <w:r w:rsidRPr="00A74B93">
        <w:rPr>
          <w:kern w:val="2"/>
        </w:rPr>
        <w:noBreakHyphen/>
        <w:t>0056/2025),</w:t>
      </w:r>
    </w:p>
    <w:p w14:paraId="19C45108"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“Eiropas dzelzceļš” pagaidu izpilddirektoram apstiprinājumu par Kopuzņēmuma 2023. finanšu gada budžeta izpildi;</w:t>
      </w:r>
    </w:p>
    <w:p w14:paraId="1B6558E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1A115EB5"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“Eiropas dzelzceļš” pagaidu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276AFABB"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4E219B85" w14:textId="77777777" w:rsidR="00A74B93" w:rsidRPr="00A74B93" w:rsidRDefault="00A74B93" w:rsidP="00A74B93">
      <w:pPr>
        <w:pStyle w:val="ATHeading3"/>
      </w:pPr>
      <w:r w:rsidRPr="00A74B93">
        <w:lastRenderedPageBreak/>
        <w:t>8. Eiropas Parlamenta 2025. gada 7. maija lēmums par kopuzņēmuma “Eiropas dzelzceļš” 2023. finanšu gada pārskatu apstiprināšanu  (2024/2031(DEC))</w:t>
      </w:r>
    </w:p>
    <w:p w14:paraId="7A581102" w14:textId="2250F25B" w:rsidR="00A74B93" w:rsidRPr="00A74B93" w:rsidRDefault="00A74B93" w:rsidP="00A74B93">
      <w:pPr>
        <w:spacing w:before="480" w:after="240"/>
        <w:rPr>
          <w:kern w:val="2"/>
        </w:rPr>
      </w:pPr>
      <w:r w:rsidRPr="000D7065">
        <w:rPr>
          <w:i/>
        </w:rPr>
        <w:t>Eiropas Parlaments</w:t>
      </w:r>
      <w:r w:rsidRPr="00A74B93">
        <w:rPr>
          <w:kern w:val="2"/>
        </w:rPr>
        <w:t>,</w:t>
      </w:r>
    </w:p>
    <w:p w14:paraId="1F9175CF"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“Eiropas dzelzceļš” 2023. finanšu gada galīgos pārskatus,</w:t>
      </w:r>
    </w:p>
    <w:p w14:paraId="2A61583F"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43"/>
      </w:r>
      <w:r w:rsidRPr="00A74B93">
        <w:rPr>
          <w:kern w:val="2"/>
        </w:rPr>
        <w:t>,</w:t>
      </w:r>
    </w:p>
    <w:p w14:paraId="73833EC0"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44"/>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0D0B521A"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065956C9"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2C631E5C"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45"/>
      </w:r>
      <w:r w:rsidRPr="00A74B93">
        <w:rPr>
          <w:kern w:val="2"/>
        </w:rPr>
        <w:t>, un jo īpaši tās 71. pantu,</w:t>
      </w:r>
    </w:p>
    <w:p w14:paraId="719071E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 (pārstrādāta redakcija)</w:t>
      </w:r>
      <w:r w:rsidRPr="00A74B93">
        <w:rPr>
          <w:kern w:val="2"/>
          <w:vertAlign w:val="superscript"/>
        </w:rPr>
        <w:footnoteReference w:id="46"/>
      </w:r>
      <w:r w:rsidRPr="00A74B93">
        <w:rPr>
          <w:kern w:val="2"/>
        </w:rPr>
        <w:t xml:space="preserve">, un jo īpaši tās 71. pantu, </w:t>
      </w:r>
    </w:p>
    <w:p w14:paraId="4D6DC95C"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47"/>
      </w:r>
      <w:r w:rsidRPr="00A74B93">
        <w:rPr>
          <w:kern w:val="2"/>
        </w:rPr>
        <w:t>, un jo īpaši tās 26. pantu,</w:t>
      </w:r>
    </w:p>
    <w:p w14:paraId="07D2BBBF"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48"/>
      </w:r>
      <w:r w:rsidRPr="00A74B93">
        <w:rPr>
          <w:kern w:val="2"/>
        </w:rPr>
        <w:t xml:space="preserve"> 71. pantā,</w:t>
      </w:r>
    </w:p>
    <w:p w14:paraId="3A794263"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58F4AC0D"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3D7951A1"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Budžeta kontroles komitejas ziņojumu (A10</w:t>
      </w:r>
      <w:r w:rsidRPr="00A74B93">
        <w:rPr>
          <w:kern w:val="2"/>
        </w:rPr>
        <w:noBreakHyphen/>
        <w:t>0056/2025),</w:t>
      </w:r>
    </w:p>
    <w:p w14:paraId="723D5E55"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“Eiropas dzelzceļš” 2023. finanšu gada pārskatus;</w:t>
      </w:r>
    </w:p>
    <w:p w14:paraId="3758E2B5"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“Eiropas dzelzceļš” pagaidu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67FE0F18"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189607A7" w14:textId="77777777" w:rsidR="00A74B93" w:rsidRPr="00A74B93" w:rsidRDefault="00A74B93" w:rsidP="00A74B93">
      <w:pPr>
        <w:pStyle w:val="ATHeading3"/>
      </w:pPr>
      <w:r w:rsidRPr="00A74B93">
        <w:lastRenderedPageBreak/>
        <w:t xml:space="preserve">9. Eiropas Parlamenta 2025. gada 7. maija lēmums par Eiropas Augstas veiktspējas </w:t>
      </w:r>
      <w:proofErr w:type="spellStart"/>
      <w:r w:rsidRPr="00A74B93">
        <w:t>datošanas</w:t>
      </w:r>
      <w:proofErr w:type="spellEnd"/>
      <w:r w:rsidRPr="00A74B93">
        <w:t xml:space="preserve"> kopuzņēmuma 2023. finanšu gada budžeta izpildes apstiprināšanu (2024/2031(DEC))</w:t>
      </w:r>
    </w:p>
    <w:p w14:paraId="4EB055C7" w14:textId="2703CAA3" w:rsidR="00A74B93" w:rsidRPr="00A74B93" w:rsidRDefault="00A74B93" w:rsidP="00A74B93">
      <w:pPr>
        <w:spacing w:before="480" w:after="240"/>
        <w:rPr>
          <w:kern w:val="2"/>
        </w:rPr>
      </w:pPr>
      <w:r w:rsidRPr="000D7065">
        <w:rPr>
          <w:i/>
        </w:rPr>
        <w:t>Eiropas Parlaments</w:t>
      </w:r>
      <w:r w:rsidRPr="00A74B93">
        <w:rPr>
          <w:kern w:val="2"/>
        </w:rPr>
        <w:t>,</w:t>
      </w:r>
    </w:p>
    <w:p w14:paraId="5DD79167"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Augstas veiktspējas </w:t>
      </w:r>
      <w:proofErr w:type="spellStart"/>
      <w:r w:rsidRPr="00A74B93">
        <w:rPr>
          <w:kern w:val="2"/>
        </w:rPr>
        <w:t>datošanas</w:t>
      </w:r>
      <w:proofErr w:type="spellEnd"/>
      <w:r w:rsidRPr="00A74B93">
        <w:rPr>
          <w:kern w:val="2"/>
        </w:rPr>
        <w:t xml:space="preserve"> kopuzņēmuma 2023. finanšu gada galīgos pārskatus,</w:t>
      </w:r>
    </w:p>
    <w:p w14:paraId="31F1FBA7"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49"/>
      </w:r>
      <w:r w:rsidRPr="00A74B93">
        <w:rPr>
          <w:kern w:val="2"/>
        </w:rPr>
        <w:t>,</w:t>
      </w:r>
    </w:p>
    <w:p w14:paraId="2B500A57"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50"/>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38A968D3"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5627297D"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376F7B2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51"/>
      </w:r>
      <w:r w:rsidRPr="00A74B93">
        <w:rPr>
          <w:kern w:val="2"/>
        </w:rPr>
        <w:t>, un jo īpaši tās 71. pantu,</w:t>
      </w:r>
    </w:p>
    <w:p w14:paraId="4AD4395F"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52"/>
      </w:r>
      <w:r w:rsidRPr="00A74B93">
        <w:rPr>
          <w:kern w:val="2"/>
        </w:rPr>
        <w:t xml:space="preserve">, un jo īpaši tās 71. pantu, </w:t>
      </w:r>
    </w:p>
    <w:p w14:paraId="4AA9BFD0"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Padomes 2021. gada 13. jūlija Regulu (ES) 2021/1173 par Eiropas Augstas veiktspējas </w:t>
      </w:r>
      <w:proofErr w:type="spellStart"/>
      <w:r w:rsidRPr="00A74B93">
        <w:rPr>
          <w:kern w:val="2"/>
        </w:rPr>
        <w:t>datošanas</w:t>
      </w:r>
      <w:proofErr w:type="spellEnd"/>
      <w:r w:rsidRPr="00A74B93">
        <w:rPr>
          <w:kern w:val="2"/>
        </w:rPr>
        <w:t xml:space="preserve"> kopuzņēmuma izveidi un ar ko atceļ Regulu (ES) 2018/1488</w:t>
      </w:r>
      <w:r w:rsidRPr="00A74B93">
        <w:rPr>
          <w:kern w:val="2"/>
          <w:vertAlign w:val="superscript"/>
        </w:rPr>
        <w:footnoteReference w:id="53"/>
      </w:r>
      <w:r w:rsidRPr="00A74B93">
        <w:rPr>
          <w:kern w:val="2"/>
        </w:rPr>
        <w:t>, un jo īpaši tās 19. pantu,</w:t>
      </w:r>
    </w:p>
    <w:p w14:paraId="6D30614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54"/>
      </w:r>
      <w:r w:rsidRPr="00A74B93">
        <w:rPr>
          <w:kern w:val="2"/>
        </w:rPr>
        <w:t xml:space="preserve"> 71. pantā,</w:t>
      </w:r>
    </w:p>
    <w:p w14:paraId="7410F55F"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49A24535"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7145DA4B"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1FD4597F"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sniedz Eiropas Augstas veiktspējas </w:t>
      </w:r>
      <w:proofErr w:type="spellStart"/>
      <w:r w:rsidRPr="00A74B93">
        <w:rPr>
          <w:kern w:val="2"/>
        </w:rPr>
        <w:t>datošanas</w:t>
      </w:r>
      <w:proofErr w:type="spellEnd"/>
      <w:r w:rsidRPr="00A74B93">
        <w:rPr>
          <w:kern w:val="2"/>
        </w:rPr>
        <w:t xml:space="preserve"> kopuzņēmuma izpilddirektoram apstiprinājumu par Kopuzņēmuma 2023. finanšu gada budžeta izpildi;</w:t>
      </w:r>
    </w:p>
    <w:p w14:paraId="307A267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592382F1"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Eiropas Augstas veiktspējas </w:t>
      </w:r>
      <w:proofErr w:type="spellStart"/>
      <w:r w:rsidRPr="00A74B93">
        <w:rPr>
          <w:kern w:val="2"/>
        </w:rPr>
        <w:t>datošanas</w:t>
      </w:r>
      <w:proofErr w:type="spellEnd"/>
      <w:r w:rsidRPr="00A74B93">
        <w:rPr>
          <w:kern w:val="2"/>
        </w:rPr>
        <w:t xml:space="preserve"> kopuzņēmuma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42634938"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75FCB1DF" w14:textId="77777777" w:rsidR="00A74B93" w:rsidRPr="00A74B93" w:rsidRDefault="00A74B93" w:rsidP="00A74B93">
      <w:pPr>
        <w:pStyle w:val="ATHeading3"/>
      </w:pPr>
      <w:r w:rsidRPr="00A74B93">
        <w:lastRenderedPageBreak/>
        <w:t xml:space="preserve">10. Eiropas Parlamenta 2025. gada 7. maija lēmums par Eiropas Augstas veiktspējas </w:t>
      </w:r>
      <w:proofErr w:type="spellStart"/>
      <w:r w:rsidRPr="00A74B93">
        <w:t>datošanas</w:t>
      </w:r>
      <w:proofErr w:type="spellEnd"/>
      <w:r w:rsidRPr="00A74B93">
        <w:t xml:space="preserve"> kopuzņēmuma 2023. finanšu gada pārskatu apstiprināšanu  (2024/2031(DEC))</w:t>
      </w:r>
    </w:p>
    <w:p w14:paraId="7A40B19E" w14:textId="090FC41C" w:rsidR="00A74B93" w:rsidRPr="00A74B93" w:rsidRDefault="00A74B93" w:rsidP="00A74B93">
      <w:pPr>
        <w:spacing w:before="480" w:after="240"/>
        <w:rPr>
          <w:kern w:val="2"/>
        </w:rPr>
      </w:pPr>
      <w:r w:rsidRPr="000D7065">
        <w:rPr>
          <w:i/>
        </w:rPr>
        <w:t>Eiropas Parlaments</w:t>
      </w:r>
      <w:r w:rsidRPr="00A74B93">
        <w:rPr>
          <w:kern w:val="2"/>
        </w:rPr>
        <w:t>,</w:t>
      </w:r>
    </w:p>
    <w:p w14:paraId="1EEAF31C"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Augstas veiktspējas </w:t>
      </w:r>
      <w:proofErr w:type="spellStart"/>
      <w:r w:rsidRPr="00A74B93">
        <w:rPr>
          <w:kern w:val="2"/>
        </w:rPr>
        <w:t>datošanas</w:t>
      </w:r>
      <w:proofErr w:type="spellEnd"/>
      <w:r w:rsidRPr="00A74B93">
        <w:rPr>
          <w:kern w:val="2"/>
        </w:rPr>
        <w:t xml:space="preserve"> kopuzņēmuma 2023. finanšu gada galīgos pārskatus,</w:t>
      </w:r>
    </w:p>
    <w:p w14:paraId="367D44A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55"/>
      </w:r>
      <w:r w:rsidRPr="00A74B93">
        <w:rPr>
          <w:kern w:val="2"/>
        </w:rPr>
        <w:t>,</w:t>
      </w:r>
    </w:p>
    <w:p w14:paraId="7EBE8497"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56"/>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6DF18638"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65B70BCD"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3A4CA23F"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57"/>
      </w:r>
      <w:r w:rsidRPr="00A74B93">
        <w:rPr>
          <w:kern w:val="2"/>
        </w:rPr>
        <w:t>, un jo īpaši tās 71. pantu,</w:t>
      </w:r>
    </w:p>
    <w:p w14:paraId="28F91E82"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58"/>
      </w:r>
      <w:r w:rsidRPr="00A74B93">
        <w:rPr>
          <w:kern w:val="2"/>
        </w:rPr>
        <w:t xml:space="preserve">, un jo īpaši tās 71. pantu, </w:t>
      </w:r>
    </w:p>
    <w:p w14:paraId="78142FF9"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Padomes 2021. gada 13. jūlija Regulu (ES) 2021/1173 par Eiropas Augstas veiktspējas </w:t>
      </w:r>
      <w:proofErr w:type="spellStart"/>
      <w:r w:rsidRPr="00A74B93">
        <w:rPr>
          <w:kern w:val="2"/>
        </w:rPr>
        <w:t>datošanas</w:t>
      </w:r>
      <w:proofErr w:type="spellEnd"/>
      <w:r w:rsidRPr="00A74B93">
        <w:rPr>
          <w:kern w:val="2"/>
        </w:rPr>
        <w:t xml:space="preserve"> kopuzņēmuma izveidi un ar ko atceļ Regulu (ES) 2018/1488</w:t>
      </w:r>
      <w:r w:rsidRPr="00A74B93">
        <w:rPr>
          <w:kern w:val="2"/>
          <w:vertAlign w:val="superscript"/>
        </w:rPr>
        <w:footnoteReference w:id="59"/>
      </w:r>
      <w:r w:rsidRPr="00A74B93">
        <w:rPr>
          <w:kern w:val="2"/>
        </w:rPr>
        <w:t>, un jo īpaši tās 19. pantu,</w:t>
      </w:r>
    </w:p>
    <w:p w14:paraId="39815FF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60"/>
      </w:r>
      <w:r w:rsidRPr="00A74B93">
        <w:rPr>
          <w:kern w:val="2"/>
        </w:rPr>
        <w:t xml:space="preserve"> 71. pantā,</w:t>
      </w:r>
    </w:p>
    <w:p w14:paraId="334C428E"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0FA20CAB"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56CCAFBF"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057F1200"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apstiprina Eiropas Augstas veiktspējas </w:t>
      </w:r>
      <w:proofErr w:type="spellStart"/>
      <w:r w:rsidRPr="00A74B93">
        <w:rPr>
          <w:kern w:val="2"/>
        </w:rPr>
        <w:t>datošanas</w:t>
      </w:r>
      <w:proofErr w:type="spellEnd"/>
      <w:r w:rsidRPr="00A74B93">
        <w:rPr>
          <w:kern w:val="2"/>
        </w:rPr>
        <w:t xml:space="preserve"> kopuzņēmuma 2023. finanšu gada pārskatus;</w:t>
      </w:r>
    </w:p>
    <w:p w14:paraId="76E234C8"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Eiropas Augstas veiktspējas </w:t>
      </w:r>
      <w:proofErr w:type="spellStart"/>
      <w:r w:rsidRPr="00A74B93">
        <w:rPr>
          <w:kern w:val="2"/>
        </w:rPr>
        <w:t>datošanas</w:t>
      </w:r>
      <w:proofErr w:type="spellEnd"/>
      <w:r w:rsidRPr="00A74B93">
        <w:rPr>
          <w:kern w:val="2"/>
        </w:rPr>
        <w:t xml:space="preserve"> kopuzņēmuma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5F0FD1FE"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7CF7E87E" w14:textId="77777777" w:rsidR="00A74B93" w:rsidRPr="00A74B93" w:rsidRDefault="00A74B93" w:rsidP="00A74B93">
      <w:pPr>
        <w:pStyle w:val="ATHeading3"/>
      </w:pPr>
      <w:r w:rsidRPr="00A74B93">
        <w:lastRenderedPageBreak/>
        <w:t>11. Eiropas Parlamenta 2025. gada 7. maija lēmums par ITER un kodolsintēzes enerģētikas attīstības vajadzībām izveidotā Eiropas kopuzņēmuma 2023. finanšu gada budžeta izpildes apstiprināšanu  (2024/2031(DEC))</w:t>
      </w:r>
    </w:p>
    <w:p w14:paraId="4D9F2734" w14:textId="44807478" w:rsidR="00A74B93" w:rsidRPr="00A74B93" w:rsidRDefault="00A74B93" w:rsidP="00A74B93">
      <w:pPr>
        <w:spacing w:before="480" w:after="240"/>
        <w:rPr>
          <w:kern w:val="2"/>
        </w:rPr>
      </w:pPr>
      <w:r w:rsidRPr="000D7065">
        <w:rPr>
          <w:i/>
        </w:rPr>
        <w:t>Eiropas Parlaments</w:t>
      </w:r>
      <w:r w:rsidRPr="00A74B93">
        <w:rPr>
          <w:kern w:val="2"/>
        </w:rPr>
        <w:t>,</w:t>
      </w:r>
    </w:p>
    <w:p w14:paraId="6DAFD26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w:t>
      </w:r>
      <w:r w:rsidRPr="00A74B93">
        <w:rPr>
          <w:i/>
          <w:kern w:val="2"/>
        </w:rPr>
        <w:t>ITER</w:t>
      </w:r>
      <w:r w:rsidRPr="00A74B93">
        <w:rPr>
          <w:kern w:val="2"/>
        </w:rPr>
        <w:t xml:space="preserve"> un kodolsintēzes enerģētikas attīstības vajadzībām izveidotā Eiropas kopuzņēmuma 2023. finanšu gada galīgos pārskatus,</w:t>
      </w:r>
    </w:p>
    <w:p w14:paraId="0D2885F4"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61"/>
      </w:r>
      <w:r w:rsidRPr="00A74B93">
        <w:rPr>
          <w:kern w:val="2"/>
        </w:rPr>
        <w:t>,</w:t>
      </w:r>
    </w:p>
    <w:p w14:paraId="66A799E9"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62"/>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46C8694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117C406F"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66C0A229" w14:textId="77777777" w:rsidR="00A74B93" w:rsidRPr="00A74B93" w:rsidRDefault="00A74B93" w:rsidP="00A74B93">
      <w:pPr>
        <w:spacing w:after="240"/>
        <w:ind w:left="567" w:hanging="567"/>
        <w:rPr>
          <w:kern w:val="2"/>
        </w:rPr>
      </w:pPr>
      <w:r w:rsidRPr="00A74B93">
        <w:rPr>
          <w:kern w:val="2"/>
        </w:rPr>
        <w:t>–</w:t>
      </w:r>
      <w:r w:rsidRPr="00A74B93">
        <w:rPr>
          <w:kern w:val="2"/>
        </w:rPr>
        <w:tab/>
        <w:t>ņemot vērā Eiropas Atomenerģijas kopienas dibināšanas līguma 106.a pantu,</w:t>
      </w:r>
    </w:p>
    <w:p w14:paraId="0719F5CF"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63"/>
      </w:r>
      <w:r w:rsidRPr="00A74B93">
        <w:rPr>
          <w:kern w:val="2"/>
        </w:rPr>
        <w:t>, un jo īpaši tās 70. pantu,</w:t>
      </w:r>
    </w:p>
    <w:p w14:paraId="09F7C3CB"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64"/>
      </w:r>
      <w:r w:rsidRPr="00A74B93">
        <w:rPr>
          <w:kern w:val="2"/>
        </w:rPr>
        <w:t xml:space="preserve">, un jo īpaši tās 70. pantu, </w:t>
      </w:r>
    </w:p>
    <w:p w14:paraId="011F0211"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2007. gada 27. marta Lēmumu 2007/198/</w:t>
      </w:r>
      <w:r w:rsidRPr="00A74B93">
        <w:rPr>
          <w:iCs/>
          <w:kern w:val="2"/>
        </w:rPr>
        <w:t>Euratom</w:t>
      </w:r>
      <w:r w:rsidRPr="00A74B93">
        <w:rPr>
          <w:kern w:val="2"/>
        </w:rPr>
        <w:t xml:space="preserve">, ar ko izveido Eiropas Kopuzņēmumu </w:t>
      </w:r>
      <w:r w:rsidRPr="00A74B93">
        <w:rPr>
          <w:i/>
          <w:kern w:val="2"/>
        </w:rPr>
        <w:t>ITER</w:t>
      </w:r>
      <w:r w:rsidRPr="00A74B93">
        <w:rPr>
          <w:kern w:val="2"/>
        </w:rPr>
        <w:t xml:space="preserve"> un kodolsintēzes enerģētikas attīstības vajadzībām un piešķir tam priekšrocības</w:t>
      </w:r>
      <w:r w:rsidRPr="00A74B93">
        <w:rPr>
          <w:kern w:val="2"/>
          <w:vertAlign w:val="superscript"/>
        </w:rPr>
        <w:footnoteReference w:id="65"/>
      </w:r>
      <w:r w:rsidRPr="00A74B93">
        <w:rPr>
          <w:kern w:val="2"/>
        </w:rPr>
        <w:t>, un jo īpaši tā 5. pantu,</w:t>
      </w:r>
    </w:p>
    <w:p w14:paraId="1D9EE5F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2018. gada 18. decembra Deleģēto regulu (ES) 2019/715 par finanšu </w:t>
      </w:r>
      <w:proofErr w:type="spellStart"/>
      <w:r w:rsidRPr="00A74B93">
        <w:rPr>
          <w:kern w:val="2"/>
        </w:rPr>
        <w:t>pamatregulu</w:t>
      </w:r>
      <w:proofErr w:type="spellEnd"/>
      <w:r w:rsidRPr="00A74B93">
        <w:rPr>
          <w:kern w:val="2"/>
        </w:rPr>
        <w:t xml:space="preserve"> struktūrām, kas izveidotas saskaņā ar LESD un </w:t>
      </w:r>
      <w:r w:rsidRPr="00A74B93">
        <w:rPr>
          <w:i/>
          <w:kern w:val="2"/>
        </w:rPr>
        <w:t>Euratom</w:t>
      </w:r>
      <w:r w:rsidRPr="00A74B93">
        <w:rPr>
          <w:kern w:val="2"/>
        </w:rPr>
        <w:t xml:space="preserve"> līgumu un minētas Eiropas Parlamenta un Padomes Regulas (ES, </w:t>
      </w:r>
      <w:r w:rsidRPr="00A74B93">
        <w:rPr>
          <w:iCs/>
          <w:kern w:val="2"/>
        </w:rPr>
        <w:t>Euratom</w:t>
      </w:r>
      <w:r w:rsidRPr="00A74B93">
        <w:rPr>
          <w:kern w:val="2"/>
        </w:rPr>
        <w:t>) 2018/1046</w:t>
      </w:r>
      <w:r w:rsidRPr="00A74B93">
        <w:rPr>
          <w:kern w:val="2"/>
          <w:vertAlign w:val="superscript"/>
        </w:rPr>
        <w:footnoteReference w:id="66"/>
      </w:r>
      <w:r w:rsidRPr="00A74B93">
        <w:rPr>
          <w:kern w:val="2"/>
        </w:rPr>
        <w:t xml:space="preserve"> 70. pantā,</w:t>
      </w:r>
    </w:p>
    <w:p w14:paraId="73E84F5A"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Reglamenta 102. pantu un V pielikumu,</w:t>
      </w:r>
    </w:p>
    <w:p w14:paraId="32391E41"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544A6AB8"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45ECFD25"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sniedz </w:t>
      </w:r>
      <w:r w:rsidRPr="00A74B93">
        <w:rPr>
          <w:i/>
          <w:kern w:val="2"/>
        </w:rPr>
        <w:t>ITER</w:t>
      </w:r>
      <w:r w:rsidRPr="00A74B93">
        <w:rPr>
          <w:kern w:val="2"/>
        </w:rPr>
        <w:t xml:space="preserve"> un kodolsintēzes enerģētikas attīstības vajadzībām izveidotā Eiropas kopuzņēmuma direktoram apstiprinājumu par Kopuzņēmuma 2023. finanšu gada budžeta izpildi;</w:t>
      </w:r>
    </w:p>
    <w:p w14:paraId="2FB8484A"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4BB9FC2C"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w:t>
      </w:r>
      <w:r w:rsidRPr="00A74B93">
        <w:rPr>
          <w:i/>
          <w:kern w:val="2"/>
        </w:rPr>
        <w:t>ITER</w:t>
      </w:r>
      <w:r w:rsidRPr="00A74B93">
        <w:rPr>
          <w:kern w:val="2"/>
        </w:rPr>
        <w:t xml:space="preserve"> un kodolsintēzes enerģētikas attīstības vajadzībām izveidotā Eiropas kopuzņēmuma 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390C1427"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1F6DF2CA" w14:textId="77777777" w:rsidR="00A74B93" w:rsidRPr="00A74B93" w:rsidRDefault="00A74B93" w:rsidP="00A74B93">
      <w:pPr>
        <w:pStyle w:val="ATHeading3"/>
      </w:pPr>
      <w:r w:rsidRPr="00A74B93">
        <w:lastRenderedPageBreak/>
        <w:t>12. Eiropas Parlamenta 2025. gada 7. maija lēmums par ITER un kodolsintēzes enerģētikas attīstības vajadzībām izveidotā Eiropas kopuzņēmuma 2023. finanšu gada pārskatu apstiprināšanu  (2024/2031(DEC))</w:t>
      </w:r>
    </w:p>
    <w:p w14:paraId="5807E1F5" w14:textId="211C4331" w:rsidR="00A74B93" w:rsidRPr="00A74B93" w:rsidRDefault="00A74B93" w:rsidP="00A74B93">
      <w:pPr>
        <w:spacing w:before="480" w:after="240"/>
        <w:rPr>
          <w:iCs/>
          <w:kern w:val="2"/>
        </w:rPr>
      </w:pPr>
      <w:r w:rsidRPr="000D7065">
        <w:rPr>
          <w:i/>
        </w:rPr>
        <w:t>Eiropas Parlaments</w:t>
      </w:r>
      <w:r w:rsidRPr="00A74B93">
        <w:rPr>
          <w:iCs/>
          <w:kern w:val="2"/>
        </w:rPr>
        <w:t>,</w:t>
      </w:r>
    </w:p>
    <w:p w14:paraId="41746525"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w:t>
      </w:r>
      <w:r w:rsidRPr="00A74B93">
        <w:rPr>
          <w:i/>
          <w:kern w:val="2"/>
        </w:rPr>
        <w:t>ITER</w:t>
      </w:r>
      <w:r w:rsidRPr="00A74B93">
        <w:rPr>
          <w:kern w:val="2"/>
        </w:rPr>
        <w:t xml:space="preserve"> un kodolsintēzes enerģētikas attīstības vajadzībām izveidotā Eiropas kopuzņēmuma 2023. finanšu gada galīgos pārskatus,</w:t>
      </w:r>
    </w:p>
    <w:p w14:paraId="295920EC"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67"/>
      </w:r>
      <w:r w:rsidRPr="00A74B93">
        <w:rPr>
          <w:kern w:val="2"/>
        </w:rPr>
        <w:t>,</w:t>
      </w:r>
    </w:p>
    <w:p w14:paraId="5B50C776"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68"/>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4500EFE1"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4FFF67CC"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143DEDE1" w14:textId="77777777" w:rsidR="00A74B93" w:rsidRPr="00A74B93" w:rsidRDefault="00A74B93" w:rsidP="00A74B93">
      <w:pPr>
        <w:spacing w:after="240"/>
        <w:ind w:left="567" w:hanging="567"/>
        <w:rPr>
          <w:kern w:val="2"/>
        </w:rPr>
      </w:pPr>
      <w:r w:rsidRPr="00A74B93">
        <w:rPr>
          <w:kern w:val="2"/>
        </w:rPr>
        <w:t>–</w:t>
      </w:r>
      <w:r w:rsidRPr="00A74B93">
        <w:rPr>
          <w:kern w:val="2"/>
        </w:rPr>
        <w:tab/>
        <w:t>ņemot vērā Eiropas Atomenerģijas kopienas dibināšanas līguma 106.a pantu,</w:t>
      </w:r>
    </w:p>
    <w:p w14:paraId="26DB926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69"/>
      </w:r>
      <w:r w:rsidRPr="00A74B93">
        <w:rPr>
          <w:kern w:val="2"/>
        </w:rPr>
        <w:t>, un jo īpaši tās 70. pantu,</w:t>
      </w:r>
    </w:p>
    <w:p w14:paraId="508B4B3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70"/>
      </w:r>
      <w:r w:rsidRPr="00A74B93">
        <w:rPr>
          <w:kern w:val="2"/>
        </w:rPr>
        <w:t xml:space="preserve">, un jo īpaši tās 70. pantu, </w:t>
      </w:r>
    </w:p>
    <w:p w14:paraId="0AD12465"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2007. gada 27. marta Lēmumu 2007/198/</w:t>
      </w:r>
      <w:r w:rsidRPr="00A74B93">
        <w:rPr>
          <w:iCs/>
          <w:kern w:val="2"/>
        </w:rPr>
        <w:t>Euratom</w:t>
      </w:r>
      <w:r w:rsidRPr="00A74B93">
        <w:rPr>
          <w:kern w:val="2"/>
        </w:rPr>
        <w:t xml:space="preserve">, ar ko izveido Eiropas Kopuzņēmumu </w:t>
      </w:r>
      <w:r w:rsidRPr="00A74B93">
        <w:rPr>
          <w:i/>
          <w:kern w:val="2"/>
        </w:rPr>
        <w:t>ITER</w:t>
      </w:r>
      <w:r w:rsidRPr="00A74B93">
        <w:rPr>
          <w:kern w:val="2"/>
        </w:rPr>
        <w:t xml:space="preserve"> un kodolsintēzes enerģētikas attīstības vajadzībām un piešķir tam priekšrocības</w:t>
      </w:r>
      <w:r w:rsidRPr="00A74B93">
        <w:rPr>
          <w:kern w:val="2"/>
          <w:vertAlign w:val="superscript"/>
        </w:rPr>
        <w:footnoteReference w:id="71"/>
      </w:r>
      <w:r w:rsidRPr="00A74B93">
        <w:rPr>
          <w:kern w:val="2"/>
        </w:rPr>
        <w:t>, un jo īpaši tā 5. pantu,</w:t>
      </w:r>
    </w:p>
    <w:p w14:paraId="146DFF00"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2018. gada 18. decembra Deleģēto regulu (ES) 2019/715 par finanšu </w:t>
      </w:r>
      <w:proofErr w:type="spellStart"/>
      <w:r w:rsidRPr="00A74B93">
        <w:rPr>
          <w:kern w:val="2"/>
        </w:rPr>
        <w:t>pamatregulu</w:t>
      </w:r>
      <w:proofErr w:type="spellEnd"/>
      <w:r w:rsidRPr="00A74B93">
        <w:rPr>
          <w:kern w:val="2"/>
        </w:rPr>
        <w:t xml:space="preserve"> struktūrām, kas izveidotas saskaņā ar LESD un </w:t>
      </w:r>
      <w:r w:rsidRPr="00A74B93">
        <w:rPr>
          <w:i/>
          <w:kern w:val="2"/>
        </w:rPr>
        <w:t>Euratom</w:t>
      </w:r>
      <w:r w:rsidRPr="00A74B93">
        <w:rPr>
          <w:kern w:val="2"/>
        </w:rPr>
        <w:t xml:space="preserve"> līgumu un minētas Eiropas Parlamenta un Padomes Regulas (ES, </w:t>
      </w:r>
      <w:r w:rsidRPr="00A74B93">
        <w:rPr>
          <w:iCs/>
          <w:kern w:val="2"/>
        </w:rPr>
        <w:t>Euratom</w:t>
      </w:r>
      <w:r w:rsidRPr="00A74B93">
        <w:rPr>
          <w:kern w:val="2"/>
        </w:rPr>
        <w:t>) 2018/1046</w:t>
      </w:r>
      <w:r w:rsidRPr="00A74B93">
        <w:rPr>
          <w:kern w:val="2"/>
          <w:vertAlign w:val="superscript"/>
        </w:rPr>
        <w:footnoteReference w:id="72"/>
      </w:r>
      <w:r w:rsidRPr="00A74B93">
        <w:rPr>
          <w:kern w:val="2"/>
        </w:rPr>
        <w:t xml:space="preserve"> 70. pantā,</w:t>
      </w:r>
    </w:p>
    <w:p w14:paraId="5ADC6157"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Reglamenta 102. pantu un V pielikumu,</w:t>
      </w:r>
    </w:p>
    <w:p w14:paraId="538F253D"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35947ECF"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1CD1A963"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apstiprina </w:t>
      </w:r>
      <w:r w:rsidRPr="00A74B93">
        <w:rPr>
          <w:i/>
          <w:kern w:val="2"/>
        </w:rPr>
        <w:t>ITER</w:t>
      </w:r>
      <w:r w:rsidRPr="00A74B93">
        <w:rPr>
          <w:kern w:val="2"/>
        </w:rPr>
        <w:t xml:space="preserve"> un kodolsintēzes enerģētikas attīstības vajadzībām izveidotā Eiropas kopuzņēmuma 2023. finanšu gada pārskatus;</w:t>
      </w:r>
    </w:p>
    <w:p w14:paraId="325BFACE"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w:t>
      </w:r>
      <w:r w:rsidRPr="00A74B93">
        <w:rPr>
          <w:i/>
          <w:kern w:val="2"/>
        </w:rPr>
        <w:t>ITER</w:t>
      </w:r>
      <w:r w:rsidRPr="00A74B93">
        <w:rPr>
          <w:kern w:val="2"/>
        </w:rPr>
        <w:t xml:space="preserve"> un kodolsintēzes enerģētikas attīstības vajadzībām izveidotā Eiropas kopuzņēmuma 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0DB18163"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6DBD708E" w14:textId="77777777" w:rsidR="00A74B93" w:rsidRPr="00A74B93" w:rsidRDefault="00A74B93" w:rsidP="00A74B93">
      <w:pPr>
        <w:pStyle w:val="ATHeading3"/>
      </w:pPr>
      <w:r w:rsidRPr="00A74B93">
        <w:lastRenderedPageBreak/>
        <w:t>13. Eiropas Parlamenta 2025. gada 7. maija lēmums par kopuzņēmuma “</w:t>
      </w:r>
      <w:proofErr w:type="spellStart"/>
      <w:r w:rsidRPr="00A74B93">
        <w:t>Global</w:t>
      </w:r>
      <w:proofErr w:type="spellEnd"/>
      <w:r w:rsidRPr="00A74B93">
        <w:t xml:space="preserve"> Health EDCTP3” 2023. finanšu gada budžeta izpildes apstiprināšanu (2024/2031(DEC))</w:t>
      </w:r>
    </w:p>
    <w:p w14:paraId="1793DD44" w14:textId="3039542D" w:rsidR="00A74B93" w:rsidRPr="00A74B93" w:rsidRDefault="00A74B93" w:rsidP="00A74B93">
      <w:pPr>
        <w:spacing w:before="480" w:after="240"/>
        <w:rPr>
          <w:kern w:val="2"/>
        </w:rPr>
      </w:pPr>
      <w:r w:rsidRPr="000D7065">
        <w:rPr>
          <w:i/>
        </w:rPr>
        <w:t>Eiropas Parlaments</w:t>
      </w:r>
      <w:r w:rsidRPr="00A74B93">
        <w:rPr>
          <w:kern w:val="2"/>
        </w:rPr>
        <w:t>,</w:t>
      </w:r>
    </w:p>
    <w:p w14:paraId="1E9C3FEA"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w:t>
      </w:r>
      <w:proofErr w:type="spellStart"/>
      <w:r w:rsidRPr="00A74B93">
        <w:rPr>
          <w:kern w:val="2"/>
        </w:rPr>
        <w:t>Global</w:t>
      </w:r>
      <w:proofErr w:type="spellEnd"/>
      <w:r w:rsidRPr="00A74B93">
        <w:rPr>
          <w:kern w:val="2"/>
        </w:rPr>
        <w:t xml:space="preserve"> Health EDCTP3” 2023. finanšu gada galīgos pārskatus,</w:t>
      </w:r>
    </w:p>
    <w:p w14:paraId="6B4CAF0D"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73"/>
      </w:r>
      <w:r w:rsidRPr="00A74B93">
        <w:rPr>
          <w:kern w:val="2"/>
        </w:rPr>
        <w:t>,</w:t>
      </w:r>
    </w:p>
    <w:p w14:paraId="77E464A7"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74"/>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0FF66045"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79D7E572"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6A8A30F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75"/>
      </w:r>
      <w:r w:rsidRPr="00A74B93">
        <w:rPr>
          <w:kern w:val="2"/>
        </w:rPr>
        <w:t>, un jo īpaši tās 71. pantu,</w:t>
      </w:r>
    </w:p>
    <w:p w14:paraId="5285329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76"/>
      </w:r>
      <w:r w:rsidRPr="00A74B93">
        <w:rPr>
          <w:kern w:val="2"/>
        </w:rPr>
        <w:t xml:space="preserve">, un jo īpaši tās 71. pantu, </w:t>
      </w:r>
    </w:p>
    <w:p w14:paraId="5AF2DA44"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77"/>
      </w:r>
      <w:r w:rsidRPr="00A74B93">
        <w:rPr>
          <w:kern w:val="2"/>
        </w:rPr>
        <w:t>, un jo īpaši tās 26. pantu,</w:t>
      </w:r>
    </w:p>
    <w:p w14:paraId="31AC55DE"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78"/>
      </w:r>
      <w:r w:rsidRPr="00A74B93">
        <w:rPr>
          <w:kern w:val="2"/>
        </w:rPr>
        <w:t xml:space="preserve"> 71. pantā,</w:t>
      </w:r>
    </w:p>
    <w:p w14:paraId="3B670675"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7A6F840D"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2329E6DA"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198A040D"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w:t>
      </w:r>
      <w:proofErr w:type="spellStart"/>
      <w:r w:rsidRPr="00A74B93">
        <w:rPr>
          <w:kern w:val="2"/>
        </w:rPr>
        <w:t>Global</w:t>
      </w:r>
      <w:proofErr w:type="spellEnd"/>
      <w:r w:rsidRPr="00A74B93">
        <w:rPr>
          <w:kern w:val="2"/>
        </w:rPr>
        <w:t xml:space="preserve"> Health EDCTP3” izpilddirektoram apstiprinājumu par Kopuzņēmuma 2023. finanšu gada budžeta izpildi;</w:t>
      </w:r>
    </w:p>
    <w:p w14:paraId="5ECA2BC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0CFF69D0" w14:textId="77777777" w:rsidR="00A74B93" w:rsidRPr="00A74B93" w:rsidRDefault="00A74B93" w:rsidP="00A74B93">
      <w:pPr>
        <w:spacing w:after="240"/>
        <w:ind w:left="567" w:hanging="567"/>
        <w:rPr>
          <w:kern w:val="2"/>
        </w:rPr>
      </w:pPr>
      <w:r w:rsidRPr="00A74B93">
        <w:rPr>
          <w:kern w:val="2"/>
        </w:rPr>
        <w:t>3.</w:t>
      </w:r>
      <w:r w:rsidRPr="00A74B93">
        <w:rPr>
          <w:kern w:val="2"/>
        </w:rPr>
        <w:tab/>
        <w:t>uzdod priekšsēdētājai šo lēmumu un rezolūciju, kas ir tā neatņemama daļa, nosūtīt kopuzņēmuma “</w:t>
      </w:r>
      <w:proofErr w:type="spellStart"/>
      <w:r w:rsidRPr="00A74B93">
        <w:rPr>
          <w:kern w:val="2"/>
        </w:rPr>
        <w:t>Global</w:t>
      </w:r>
      <w:proofErr w:type="spellEnd"/>
      <w:r w:rsidRPr="00A74B93">
        <w:rPr>
          <w:kern w:val="2"/>
        </w:rPr>
        <w:t xml:space="preserve"> Health EDCTP3</w:t>
      </w:r>
      <w:r w:rsidRPr="00A74B93">
        <w:rPr>
          <w:i/>
          <w:kern w:val="2"/>
        </w:rPr>
        <w:t>”</w:t>
      </w:r>
      <w:r w:rsidRPr="00A74B93">
        <w:rPr>
          <w:kern w:val="2"/>
        </w:rPr>
        <w:t xml:space="preserve">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3D8AFA39"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17AE3640" w14:textId="77777777" w:rsidR="00A74B93" w:rsidRPr="00A74B93" w:rsidRDefault="00A74B93" w:rsidP="00A74B93">
      <w:pPr>
        <w:pStyle w:val="ATHeading3"/>
      </w:pPr>
      <w:r w:rsidRPr="00A74B93">
        <w:lastRenderedPageBreak/>
        <w:t>14. Eiropas Parlamenta 2025. gada 7. maija lēmums par kopuzņēmuma “</w:t>
      </w:r>
      <w:proofErr w:type="spellStart"/>
      <w:r w:rsidRPr="00A74B93">
        <w:t>Global</w:t>
      </w:r>
      <w:proofErr w:type="spellEnd"/>
      <w:r w:rsidRPr="00A74B93">
        <w:t xml:space="preserve"> Health EDCTP3” 2023. finanšu gada pārskatu apstiprināšanu  (2024/2031(DEC))</w:t>
      </w:r>
    </w:p>
    <w:p w14:paraId="1163EB0D" w14:textId="50556BE6" w:rsidR="00A74B93" w:rsidRPr="00A74B93" w:rsidRDefault="00A74B93" w:rsidP="00A74B93">
      <w:pPr>
        <w:spacing w:before="480" w:after="240"/>
        <w:rPr>
          <w:kern w:val="2"/>
        </w:rPr>
      </w:pPr>
      <w:r w:rsidRPr="000D7065">
        <w:rPr>
          <w:i/>
        </w:rPr>
        <w:t>Eiropas Parlaments</w:t>
      </w:r>
      <w:r w:rsidRPr="00A74B93">
        <w:rPr>
          <w:kern w:val="2"/>
        </w:rPr>
        <w:t>,</w:t>
      </w:r>
    </w:p>
    <w:p w14:paraId="413D153C"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w:t>
      </w:r>
      <w:proofErr w:type="spellStart"/>
      <w:r w:rsidRPr="00A74B93">
        <w:rPr>
          <w:kern w:val="2"/>
        </w:rPr>
        <w:t>Global</w:t>
      </w:r>
      <w:proofErr w:type="spellEnd"/>
      <w:r w:rsidRPr="00A74B93">
        <w:rPr>
          <w:kern w:val="2"/>
        </w:rPr>
        <w:t xml:space="preserve"> Health EDCTP3” 2023. finanšu gada galīgos pārskatus,</w:t>
      </w:r>
    </w:p>
    <w:p w14:paraId="5F646B86"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79"/>
      </w:r>
      <w:r w:rsidRPr="00A74B93">
        <w:rPr>
          <w:kern w:val="2"/>
        </w:rPr>
        <w:t>,</w:t>
      </w:r>
    </w:p>
    <w:p w14:paraId="2A7DCD85"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80"/>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374238FD"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02911B4E"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13D1273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81"/>
      </w:r>
      <w:r w:rsidRPr="00A74B93">
        <w:rPr>
          <w:kern w:val="2"/>
        </w:rPr>
        <w:t>, un jo īpaši tās 71. pantu,</w:t>
      </w:r>
    </w:p>
    <w:p w14:paraId="59D99B4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82"/>
      </w:r>
      <w:r w:rsidRPr="00A74B93">
        <w:rPr>
          <w:kern w:val="2"/>
        </w:rPr>
        <w:t xml:space="preserve">, un jo īpaši tās 71. pantu, </w:t>
      </w:r>
    </w:p>
    <w:p w14:paraId="0C26FC24"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83"/>
      </w:r>
      <w:r w:rsidRPr="00A74B93">
        <w:rPr>
          <w:kern w:val="2"/>
        </w:rPr>
        <w:t>, un jo īpaši tās 26. pantu,</w:t>
      </w:r>
    </w:p>
    <w:p w14:paraId="4EA3A28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84"/>
      </w:r>
      <w:r w:rsidRPr="00A74B93">
        <w:rPr>
          <w:kern w:val="2"/>
        </w:rPr>
        <w:t xml:space="preserve"> 71. pantā,</w:t>
      </w:r>
    </w:p>
    <w:p w14:paraId="769F10BF"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4F526B51"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27EBED0D"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20F1D168"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w:t>
      </w:r>
      <w:proofErr w:type="spellStart"/>
      <w:r w:rsidRPr="00A74B93">
        <w:rPr>
          <w:kern w:val="2"/>
        </w:rPr>
        <w:t>Global</w:t>
      </w:r>
      <w:proofErr w:type="spellEnd"/>
      <w:r w:rsidRPr="00A74B93">
        <w:rPr>
          <w:kern w:val="2"/>
        </w:rPr>
        <w:t xml:space="preserve"> Health EDCTP3” 2023. finanšu gada pārskatus;</w:t>
      </w:r>
    </w:p>
    <w:p w14:paraId="77FB59C5" w14:textId="77777777" w:rsidR="00A74B93" w:rsidRPr="00A74B93" w:rsidRDefault="00A74B93" w:rsidP="00A74B93">
      <w:pPr>
        <w:spacing w:after="240"/>
        <w:ind w:left="567" w:hanging="567"/>
        <w:rPr>
          <w:kern w:val="2"/>
        </w:rPr>
      </w:pPr>
      <w:r w:rsidRPr="00A74B93">
        <w:rPr>
          <w:kern w:val="2"/>
        </w:rPr>
        <w:t>2.</w:t>
      </w:r>
      <w:r w:rsidRPr="00A74B93">
        <w:rPr>
          <w:kern w:val="2"/>
        </w:rPr>
        <w:tab/>
        <w:t>uzdod priekšsēdētājai šo lēmumu nosūtīt kopuzņēmuma “</w:t>
      </w:r>
      <w:proofErr w:type="spellStart"/>
      <w:r w:rsidRPr="00A74B93">
        <w:rPr>
          <w:kern w:val="2"/>
        </w:rPr>
        <w:t>Global</w:t>
      </w:r>
      <w:proofErr w:type="spellEnd"/>
      <w:r w:rsidRPr="00A74B93">
        <w:rPr>
          <w:kern w:val="2"/>
        </w:rPr>
        <w:t xml:space="preserve"> Health EDCTP3”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00AFD65A"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74BEF0DE" w14:textId="77777777" w:rsidR="00A74B93" w:rsidRPr="00A74B93" w:rsidRDefault="00A74B93" w:rsidP="00A74B93">
      <w:pPr>
        <w:pStyle w:val="ATHeading3"/>
      </w:pPr>
      <w:r w:rsidRPr="00A74B93">
        <w:lastRenderedPageBreak/>
        <w:t>15. Eiropas Parlamenta 2025. gada 7. maija lēmums par kopuzņēmuma “Inovatīvas veselības aprūpes iniciatīva” 2023. finanšu gada budžeta izpildes apstiprināšanu  (2024/2031(DEC))</w:t>
      </w:r>
    </w:p>
    <w:p w14:paraId="5C2B5B00" w14:textId="08172A72" w:rsidR="00A74B93" w:rsidRPr="00A74B93" w:rsidRDefault="00A74B93" w:rsidP="00A74B93">
      <w:pPr>
        <w:spacing w:before="480" w:after="240"/>
        <w:rPr>
          <w:iCs/>
          <w:kern w:val="2"/>
        </w:rPr>
      </w:pPr>
      <w:r w:rsidRPr="000D7065">
        <w:rPr>
          <w:i/>
        </w:rPr>
        <w:t>Eiropas Parlaments</w:t>
      </w:r>
      <w:r w:rsidRPr="00A74B93">
        <w:rPr>
          <w:iCs/>
          <w:kern w:val="2"/>
        </w:rPr>
        <w:t>,</w:t>
      </w:r>
    </w:p>
    <w:p w14:paraId="064EF907"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“Inovatīvas veselības aprūpes iniciatīva” 2023. finanšu gada galīgos pārskatus,</w:t>
      </w:r>
    </w:p>
    <w:p w14:paraId="1EB435D8"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85"/>
      </w:r>
      <w:r w:rsidRPr="00A74B93">
        <w:rPr>
          <w:kern w:val="2"/>
        </w:rPr>
        <w:t>,</w:t>
      </w:r>
    </w:p>
    <w:p w14:paraId="02827112"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86"/>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61386B98"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4C849EEE"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16D1F2D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87"/>
      </w:r>
      <w:r w:rsidRPr="00A74B93">
        <w:rPr>
          <w:kern w:val="2"/>
        </w:rPr>
        <w:t>, un jo īpaši tās 71. pantu,</w:t>
      </w:r>
    </w:p>
    <w:p w14:paraId="0F5E0EE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88"/>
      </w:r>
      <w:r w:rsidRPr="00A74B93">
        <w:rPr>
          <w:kern w:val="2"/>
        </w:rPr>
        <w:t xml:space="preserve">, un jo īpaši tās 71. pantu, </w:t>
      </w:r>
    </w:p>
    <w:p w14:paraId="266E83DE"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89"/>
      </w:r>
      <w:r w:rsidRPr="00A74B93">
        <w:rPr>
          <w:kern w:val="2"/>
        </w:rPr>
        <w:t>, un jo īpaši tās 26. pantu,</w:t>
      </w:r>
    </w:p>
    <w:p w14:paraId="78C5AE37"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90"/>
      </w:r>
      <w:r w:rsidRPr="00A74B93">
        <w:rPr>
          <w:kern w:val="2"/>
        </w:rPr>
        <w:t xml:space="preserve"> 71. pantā,</w:t>
      </w:r>
    </w:p>
    <w:p w14:paraId="52B97AA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30A235B3"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59F2EB3E"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573793D8"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“Inovatīvas veselības aprūpes iniciatīva” izpilddirektoram apstiprinājumu par Kopuzņēmuma 2023. finanšu gada budžeta izpildi;</w:t>
      </w:r>
    </w:p>
    <w:p w14:paraId="0A2FBC02"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644C59D6"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“Inovatīvas veselības aprūpes iniciatīva”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601F6106"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2EDA0DCE" w14:textId="77777777" w:rsidR="00A74B93" w:rsidRPr="00A74B93" w:rsidRDefault="00A74B93" w:rsidP="00A74B93">
      <w:pPr>
        <w:pStyle w:val="ATHeading3"/>
      </w:pPr>
      <w:r w:rsidRPr="00A74B93">
        <w:lastRenderedPageBreak/>
        <w:t>16. Eiropas Parlamenta 2025. gada 7. maija lēmums par kopuzņēmuma “Inovatīvas veselības aprūpes iniciatīva” 2023. finanšu gada pārskatu apstiprināšanu  (2024/2031(DEC))</w:t>
      </w:r>
    </w:p>
    <w:p w14:paraId="7E505D84" w14:textId="5DACD1F9" w:rsidR="00A74B93" w:rsidRPr="00A74B93" w:rsidRDefault="00A74B93" w:rsidP="00A74B93">
      <w:pPr>
        <w:spacing w:before="480" w:after="240"/>
        <w:rPr>
          <w:kern w:val="2"/>
        </w:rPr>
      </w:pPr>
      <w:r w:rsidRPr="000D7065">
        <w:rPr>
          <w:i/>
        </w:rPr>
        <w:t>Eiropas Parlaments</w:t>
      </w:r>
      <w:r w:rsidRPr="00A74B93">
        <w:rPr>
          <w:kern w:val="2"/>
        </w:rPr>
        <w:t>,</w:t>
      </w:r>
    </w:p>
    <w:p w14:paraId="6C208E4E"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“Inovatīvas veselības aprūpes iniciatīva” 2023. finanšu gada galīgos pārskatus,</w:t>
      </w:r>
    </w:p>
    <w:p w14:paraId="38004231"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91"/>
      </w:r>
      <w:r w:rsidRPr="00A74B93">
        <w:rPr>
          <w:kern w:val="2"/>
        </w:rPr>
        <w:t>,</w:t>
      </w:r>
    </w:p>
    <w:p w14:paraId="7CF83561"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92"/>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5924B370"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7004AA6C"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7E0AF029"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93"/>
      </w:r>
      <w:r w:rsidRPr="00A74B93">
        <w:rPr>
          <w:kern w:val="2"/>
        </w:rPr>
        <w:t>, un jo īpaši tās 71. pantu,</w:t>
      </w:r>
    </w:p>
    <w:p w14:paraId="04AC49B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94"/>
      </w:r>
      <w:r w:rsidRPr="00A74B93">
        <w:rPr>
          <w:kern w:val="2"/>
        </w:rPr>
        <w:t xml:space="preserve">, un jo īpaši tās 71. pantu, </w:t>
      </w:r>
    </w:p>
    <w:p w14:paraId="6094857C"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95"/>
      </w:r>
      <w:r w:rsidRPr="00A74B93">
        <w:rPr>
          <w:kern w:val="2"/>
        </w:rPr>
        <w:t>, un jo īpaši tās 26. pantu,</w:t>
      </w:r>
    </w:p>
    <w:p w14:paraId="3CD1D2FE"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96"/>
      </w:r>
      <w:r w:rsidRPr="00A74B93">
        <w:rPr>
          <w:kern w:val="2"/>
        </w:rPr>
        <w:t xml:space="preserve"> 71. pantā,</w:t>
      </w:r>
    </w:p>
    <w:p w14:paraId="58983828"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62AF4739"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794C36BC"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7BDCD31D"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“Inovatīvas veselības aprūpes iniciatīva” 2023. finanšu gada pārskatus;</w:t>
      </w:r>
    </w:p>
    <w:p w14:paraId="619BF373"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“Inovatīvas veselības aprūpes iniciatīva”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36D75C9E"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7F08EB11" w14:textId="77777777" w:rsidR="00A74B93" w:rsidRPr="00A74B93" w:rsidRDefault="00A74B93" w:rsidP="00A74B93">
      <w:pPr>
        <w:pStyle w:val="ATHeading3"/>
      </w:pPr>
      <w:r w:rsidRPr="00A74B93">
        <w:lastRenderedPageBreak/>
        <w:t>17. Eiropas Parlamenta 2025. gada 7. maija lēmums par kopuzņēmuma “Mikroshēmas” (pirms 21.9.2023. – kopuzņēmums “Svarīgas digitālās tehnoloģijas”) 2023. finanšu gada budžeta izpildes apstiprināšanu  (2024/2031(DEC))</w:t>
      </w:r>
    </w:p>
    <w:p w14:paraId="142EEAEE" w14:textId="4CACE2B4" w:rsidR="00A74B93" w:rsidRPr="00A74B93" w:rsidRDefault="00A74B93" w:rsidP="00A74B93">
      <w:pPr>
        <w:spacing w:before="480" w:after="240"/>
        <w:rPr>
          <w:kern w:val="2"/>
        </w:rPr>
      </w:pPr>
      <w:r w:rsidRPr="000D7065">
        <w:rPr>
          <w:i/>
        </w:rPr>
        <w:t>Eiropas Parlaments</w:t>
      </w:r>
      <w:r w:rsidRPr="00A74B93">
        <w:rPr>
          <w:kern w:val="2"/>
        </w:rPr>
        <w:t>,</w:t>
      </w:r>
    </w:p>
    <w:p w14:paraId="66F77AC2"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“Mikroshēmas” 2023. finanšu gada galīgos pārskatus,</w:t>
      </w:r>
    </w:p>
    <w:p w14:paraId="3F2D5D9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97"/>
      </w:r>
      <w:r w:rsidRPr="00A74B93">
        <w:rPr>
          <w:kern w:val="2"/>
        </w:rPr>
        <w:t>,</w:t>
      </w:r>
    </w:p>
    <w:p w14:paraId="4A6B252B"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98"/>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0B7DC3E2"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72D05FBC"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3EF596B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99"/>
      </w:r>
      <w:r w:rsidRPr="00A74B93">
        <w:rPr>
          <w:kern w:val="2"/>
        </w:rPr>
        <w:t>, un jo īpaši tās 71. pantu,</w:t>
      </w:r>
    </w:p>
    <w:p w14:paraId="6EA31DFA"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00"/>
      </w:r>
      <w:r w:rsidRPr="00A74B93">
        <w:rPr>
          <w:kern w:val="2"/>
        </w:rPr>
        <w:t xml:space="preserve">, un jo īpaši tās 71. pantu, </w:t>
      </w:r>
    </w:p>
    <w:p w14:paraId="02C1EE92"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01"/>
      </w:r>
      <w:r w:rsidRPr="00A74B93">
        <w:rPr>
          <w:kern w:val="2"/>
        </w:rPr>
        <w:t>, un jo īpaši tās 26. pantu,</w:t>
      </w:r>
    </w:p>
    <w:p w14:paraId="64E9F622"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2023. gada 25. jūlija Regulu (ES) 2023/1782, ar kuru groza Regulu (ES) 2021/2085, ar ko izveido kopuzņēmumus pamatprogrammā “Apvārsnis Eiropa”, attiecībā uz kopuzņēmumu “Mikroshēmas”</w:t>
      </w:r>
      <w:r w:rsidRPr="00A74B93">
        <w:rPr>
          <w:kern w:val="2"/>
          <w:vertAlign w:val="superscript"/>
        </w:rPr>
        <w:footnoteReference w:id="102"/>
      </w:r>
      <w:r w:rsidRPr="00A74B93">
        <w:rPr>
          <w:kern w:val="2"/>
        </w:rPr>
        <w:t>,</w:t>
      </w:r>
    </w:p>
    <w:p w14:paraId="7E945ECD"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w:t>
      </w:r>
      <w:r w:rsidRPr="00A74B93">
        <w:rPr>
          <w:kern w:val="2"/>
        </w:rPr>
        <w:lastRenderedPageBreak/>
        <w:t xml:space="preserve">Eiropas Parlamenta un Padomes Regulas (ES, </w:t>
      </w:r>
      <w:r w:rsidRPr="00A74B93">
        <w:rPr>
          <w:iCs/>
          <w:kern w:val="2"/>
        </w:rPr>
        <w:t>Euratom</w:t>
      </w:r>
      <w:r w:rsidRPr="00A74B93">
        <w:rPr>
          <w:kern w:val="2"/>
        </w:rPr>
        <w:t>) 2018/1046</w:t>
      </w:r>
      <w:r w:rsidRPr="00A74B93">
        <w:rPr>
          <w:kern w:val="2"/>
          <w:vertAlign w:val="superscript"/>
        </w:rPr>
        <w:footnoteReference w:id="103"/>
      </w:r>
      <w:r w:rsidRPr="00A74B93">
        <w:rPr>
          <w:kern w:val="2"/>
        </w:rPr>
        <w:t xml:space="preserve"> 71. pantā,</w:t>
      </w:r>
    </w:p>
    <w:p w14:paraId="1D05D742"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041FD154"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53AE2888"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5B55B8E7"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“Mikroshēmas” izpilddirektoram apstiprinājumu par Kopuzņēmuma 2023. finanšu gada budžeta izpildi;</w:t>
      </w:r>
    </w:p>
    <w:p w14:paraId="02A36B69"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525C476D"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“Mikroshēmas”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392D07DA"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0F930C37" w14:textId="77777777" w:rsidR="00A74B93" w:rsidRPr="00A74B93" w:rsidRDefault="00A74B93" w:rsidP="00A74B93">
      <w:pPr>
        <w:pStyle w:val="ATHeading3"/>
      </w:pPr>
      <w:r w:rsidRPr="00A74B93">
        <w:lastRenderedPageBreak/>
        <w:t>18. Eiropas Parlamenta 2025. gada 7. maija lēmums par kopuzņēmuma “Mikroshēmas” (pirms 21.9.2023. – kopuzņēmums “Svarīgas digitālās tehnoloģijas”) 2023. finanšu gada pārskatu apstiprināšanu  (2024/2031(DEC))</w:t>
      </w:r>
    </w:p>
    <w:p w14:paraId="1748618A" w14:textId="673A2B50" w:rsidR="00A74B93" w:rsidRPr="00A74B93" w:rsidRDefault="00A74B93" w:rsidP="00A74B93">
      <w:pPr>
        <w:spacing w:before="480" w:after="240"/>
        <w:rPr>
          <w:kern w:val="2"/>
        </w:rPr>
      </w:pPr>
      <w:r w:rsidRPr="000D7065">
        <w:rPr>
          <w:i/>
        </w:rPr>
        <w:t>Eiropas Parlaments</w:t>
      </w:r>
      <w:r w:rsidRPr="00A74B93">
        <w:rPr>
          <w:kern w:val="2"/>
        </w:rPr>
        <w:t>,</w:t>
      </w:r>
    </w:p>
    <w:p w14:paraId="4ED2B084"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“Mikroshēmas” 2023. finanšu gada galīgos pārskatus,</w:t>
      </w:r>
    </w:p>
    <w:p w14:paraId="03CA997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04"/>
      </w:r>
      <w:r w:rsidRPr="00A74B93">
        <w:rPr>
          <w:kern w:val="2"/>
        </w:rPr>
        <w:t>,</w:t>
      </w:r>
    </w:p>
    <w:p w14:paraId="0E6D1D3B"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05"/>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0B07151D"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29C1A140"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0453D212"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06"/>
      </w:r>
      <w:r w:rsidRPr="00A74B93">
        <w:rPr>
          <w:kern w:val="2"/>
        </w:rPr>
        <w:t>, un jo īpaši tās 71. pantu,</w:t>
      </w:r>
    </w:p>
    <w:p w14:paraId="1EAEAA6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07"/>
      </w:r>
      <w:r w:rsidRPr="00A74B93">
        <w:rPr>
          <w:kern w:val="2"/>
        </w:rPr>
        <w:t xml:space="preserve">, un jo īpaši tās 71. pantu, </w:t>
      </w:r>
    </w:p>
    <w:p w14:paraId="2DCBC4D3"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08"/>
      </w:r>
      <w:r w:rsidRPr="00A74B93">
        <w:rPr>
          <w:kern w:val="2"/>
        </w:rPr>
        <w:t>, un jo īpaši tās 26. pantu,</w:t>
      </w:r>
    </w:p>
    <w:p w14:paraId="7D4AAE36"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2023. gada 25. jūlija Regulu (ES) 2023/1782, ar kuru groza Regulu (ES) 2021/2085, ar ko izveido kopuzņēmumus pamatprogrammā “Apvārsnis Eiropa”, attiecībā uz kopuzņēmumu “Mikroshēmas”</w:t>
      </w:r>
      <w:r w:rsidRPr="00A74B93">
        <w:rPr>
          <w:kern w:val="2"/>
          <w:vertAlign w:val="superscript"/>
        </w:rPr>
        <w:footnoteReference w:id="109"/>
      </w:r>
      <w:r w:rsidRPr="00A74B93">
        <w:rPr>
          <w:kern w:val="2"/>
        </w:rPr>
        <w:t>,</w:t>
      </w:r>
    </w:p>
    <w:p w14:paraId="350A4C79"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w:t>
      </w:r>
      <w:r w:rsidRPr="00A74B93">
        <w:rPr>
          <w:kern w:val="2"/>
        </w:rPr>
        <w:lastRenderedPageBreak/>
        <w:t xml:space="preserve">Eiropas Parlamenta un Padomes Regulas (ES, </w:t>
      </w:r>
      <w:r w:rsidRPr="00A74B93">
        <w:rPr>
          <w:iCs/>
          <w:kern w:val="2"/>
        </w:rPr>
        <w:t>Euratom</w:t>
      </w:r>
      <w:r w:rsidRPr="00A74B93">
        <w:rPr>
          <w:kern w:val="2"/>
        </w:rPr>
        <w:t>) 2018/1046</w:t>
      </w:r>
      <w:r w:rsidRPr="00A74B93">
        <w:rPr>
          <w:kern w:val="2"/>
          <w:vertAlign w:val="superscript"/>
        </w:rPr>
        <w:footnoteReference w:id="110"/>
      </w:r>
      <w:r w:rsidRPr="00A74B93">
        <w:rPr>
          <w:kern w:val="2"/>
        </w:rPr>
        <w:t xml:space="preserve"> 71. pantā,</w:t>
      </w:r>
    </w:p>
    <w:p w14:paraId="6724855D"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7F1D1E98"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1B2B96F2"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724A80C7"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“Mikroshēmas” 2023. finanšu gada pārskatus;</w:t>
      </w:r>
    </w:p>
    <w:p w14:paraId="2F3B3B58"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“Mikroshēmas”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0E606BEC"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2419051E" w14:textId="77777777" w:rsidR="00A74B93" w:rsidRPr="00A74B93" w:rsidRDefault="00A74B93" w:rsidP="00A74B93">
      <w:pPr>
        <w:pStyle w:val="ATHeading3"/>
      </w:pPr>
      <w:r w:rsidRPr="00A74B93">
        <w:lastRenderedPageBreak/>
        <w:t>19. Eiropas Parlamenta 2025. gada 7. maija lēmums par kopuzņēmuma “Eiropas vienotās gaisa telpas ATM pētniecība 3” 2023. finanšu gada budžeta izpildes apstiprināšanu  (2024/2031(DEC))</w:t>
      </w:r>
    </w:p>
    <w:p w14:paraId="6EE61534" w14:textId="46696471" w:rsidR="00A74B93" w:rsidRPr="00A74B93" w:rsidRDefault="00A74B93" w:rsidP="00A74B93">
      <w:pPr>
        <w:spacing w:before="480" w:after="240"/>
        <w:rPr>
          <w:kern w:val="2"/>
        </w:rPr>
      </w:pPr>
      <w:r w:rsidRPr="000D7065">
        <w:rPr>
          <w:i/>
        </w:rPr>
        <w:t>Eiropas Parlaments</w:t>
      </w:r>
      <w:r w:rsidRPr="00A74B93">
        <w:rPr>
          <w:kern w:val="2"/>
        </w:rPr>
        <w:t>,</w:t>
      </w:r>
    </w:p>
    <w:p w14:paraId="0BC86CC5"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kopuzņēmuma “Eiropas vienotās gaisa telpas </w:t>
      </w:r>
      <w:r w:rsidRPr="00A74B93">
        <w:rPr>
          <w:i/>
          <w:kern w:val="2"/>
        </w:rPr>
        <w:t>ATM</w:t>
      </w:r>
      <w:r w:rsidRPr="00A74B93">
        <w:rPr>
          <w:kern w:val="2"/>
        </w:rPr>
        <w:t xml:space="preserve"> pētniecība 3” 2023. finanšu gada galīgos pārskatus,</w:t>
      </w:r>
    </w:p>
    <w:p w14:paraId="2301853B"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11"/>
      </w:r>
      <w:r w:rsidRPr="00A74B93">
        <w:rPr>
          <w:kern w:val="2"/>
        </w:rPr>
        <w:t>,</w:t>
      </w:r>
    </w:p>
    <w:p w14:paraId="0C60DCBD"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12"/>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7B00E9E4"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6D19C89C"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11320162"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13"/>
      </w:r>
      <w:r w:rsidRPr="00A74B93">
        <w:rPr>
          <w:kern w:val="2"/>
        </w:rPr>
        <w:t>, un jo īpaši tās 71. pantu,</w:t>
      </w:r>
    </w:p>
    <w:p w14:paraId="466BD80E"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14"/>
      </w:r>
      <w:r w:rsidRPr="00A74B93">
        <w:rPr>
          <w:kern w:val="2"/>
        </w:rPr>
        <w:t xml:space="preserve">, un jo īpaši tās 71. pantu, </w:t>
      </w:r>
    </w:p>
    <w:p w14:paraId="324C678E"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15"/>
      </w:r>
      <w:r w:rsidRPr="00A74B93">
        <w:rPr>
          <w:kern w:val="2"/>
        </w:rPr>
        <w:t>, un jo īpaši tās 26. pantu,</w:t>
      </w:r>
    </w:p>
    <w:p w14:paraId="382D7D97"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16"/>
      </w:r>
      <w:r w:rsidRPr="00A74B93">
        <w:rPr>
          <w:kern w:val="2"/>
        </w:rPr>
        <w:t xml:space="preserve"> 71. pantā,</w:t>
      </w:r>
    </w:p>
    <w:p w14:paraId="4437DCE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2E21611B"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51971995"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2CBD3BA0"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sniedz kopuzņēmuma “Eiropas vienotās gaisa telpas </w:t>
      </w:r>
      <w:r w:rsidRPr="00A74B93">
        <w:rPr>
          <w:i/>
          <w:kern w:val="2"/>
        </w:rPr>
        <w:t>ATM</w:t>
      </w:r>
      <w:r w:rsidRPr="00A74B93">
        <w:rPr>
          <w:kern w:val="2"/>
        </w:rPr>
        <w:t xml:space="preserve"> pētniecība 3” izpilddirektoram apstiprinājumu par Kopuzņēmuma 2023. finanšu gada budžeta izpildi;</w:t>
      </w:r>
    </w:p>
    <w:p w14:paraId="72A54270"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48F2B04F"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“Eiropas vienotās gaisa telpas </w:t>
      </w:r>
      <w:r w:rsidRPr="00A74B93">
        <w:rPr>
          <w:i/>
          <w:kern w:val="2"/>
        </w:rPr>
        <w:t>ATM</w:t>
      </w:r>
      <w:r w:rsidRPr="00A74B93">
        <w:rPr>
          <w:kern w:val="2"/>
        </w:rPr>
        <w:t xml:space="preserve"> pētniecība 3” izpilddirektoram, Padomei, Komisijai un Revīzijas palātai un nodrošināt to publicēšanu </w:t>
      </w:r>
      <w:r w:rsidRPr="00A74B93">
        <w:rPr>
          <w:i/>
          <w:kern w:val="2"/>
        </w:rPr>
        <w:t>Eiropas Savienības Oficiālajā Vēstnesī</w:t>
      </w:r>
      <w:r w:rsidRPr="00A74B93">
        <w:rPr>
          <w:kern w:val="2"/>
        </w:rPr>
        <w:t xml:space="preserve"> (L sērijā).</w:t>
      </w:r>
    </w:p>
    <w:p w14:paraId="216296A6"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5E3A30E0" w14:textId="77777777" w:rsidR="00A74B93" w:rsidRPr="00A74B93" w:rsidRDefault="00A74B93" w:rsidP="00A74B93">
      <w:pPr>
        <w:pStyle w:val="ATHeading3"/>
      </w:pPr>
      <w:r w:rsidRPr="00A74B93">
        <w:lastRenderedPageBreak/>
        <w:t>20. Eiropas Parlamenta 2025. gada 7. maija lēmums par kopuzņēmuma “Eiropas vienotās gaisa telpas ATM pētniecība 3” 2023. finanšu gada pārskatu apstiprināšanu  (2024/2031(DEC))</w:t>
      </w:r>
    </w:p>
    <w:p w14:paraId="7971E1A8" w14:textId="32B96234" w:rsidR="00A74B93" w:rsidRPr="00A74B93" w:rsidRDefault="00A74B93" w:rsidP="00A74B93">
      <w:pPr>
        <w:spacing w:before="480" w:after="240"/>
        <w:rPr>
          <w:kern w:val="2"/>
        </w:rPr>
      </w:pPr>
      <w:r w:rsidRPr="000D7065">
        <w:rPr>
          <w:i/>
        </w:rPr>
        <w:t>Eiropas Parlaments</w:t>
      </w:r>
      <w:r w:rsidRPr="00A74B93">
        <w:rPr>
          <w:kern w:val="2"/>
        </w:rPr>
        <w:t>,</w:t>
      </w:r>
    </w:p>
    <w:p w14:paraId="20EAD388"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kopuzņēmuma “Eiropas vienotās gaisa telpas </w:t>
      </w:r>
      <w:r w:rsidRPr="00A74B93">
        <w:rPr>
          <w:i/>
          <w:kern w:val="2"/>
        </w:rPr>
        <w:t>ATM</w:t>
      </w:r>
      <w:r w:rsidRPr="00A74B93">
        <w:rPr>
          <w:kern w:val="2"/>
        </w:rPr>
        <w:t xml:space="preserve"> pētniecība 3” 2023. finanšu gada galīgos pārskatus,</w:t>
      </w:r>
    </w:p>
    <w:p w14:paraId="6BC1D8A7"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17"/>
      </w:r>
      <w:r w:rsidRPr="00A74B93">
        <w:rPr>
          <w:kern w:val="2"/>
        </w:rPr>
        <w:t>,</w:t>
      </w:r>
    </w:p>
    <w:p w14:paraId="06A16D1E"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18"/>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79E3C17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3182849E"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772681D4"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19"/>
      </w:r>
      <w:r w:rsidRPr="00A74B93">
        <w:rPr>
          <w:kern w:val="2"/>
        </w:rPr>
        <w:t>, un jo īpaši tās 71. pantu,</w:t>
      </w:r>
    </w:p>
    <w:p w14:paraId="1B4F9974"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20"/>
      </w:r>
      <w:r w:rsidRPr="00A74B93">
        <w:rPr>
          <w:kern w:val="2"/>
        </w:rPr>
        <w:t xml:space="preserve">, un jo īpaši tās 71. pantu, </w:t>
      </w:r>
    </w:p>
    <w:p w14:paraId="57BEBF4C"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21"/>
      </w:r>
      <w:r w:rsidRPr="00A74B93">
        <w:rPr>
          <w:kern w:val="2"/>
        </w:rPr>
        <w:t>, un jo īpaši tās 26. pantu,</w:t>
      </w:r>
    </w:p>
    <w:p w14:paraId="4BBD9D60"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22"/>
      </w:r>
      <w:r w:rsidRPr="00A74B93">
        <w:rPr>
          <w:kern w:val="2"/>
        </w:rPr>
        <w:t xml:space="preserve"> 71. pantā,</w:t>
      </w:r>
    </w:p>
    <w:p w14:paraId="444B52C0"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18B278A7"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11CB5D89"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41D01375" w14:textId="77777777" w:rsidR="00A74B93" w:rsidRPr="00A74B93" w:rsidRDefault="00A74B93" w:rsidP="00A74B93">
      <w:pPr>
        <w:spacing w:after="240"/>
        <w:ind w:left="567" w:hanging="567"/>
        <w:rPr>
          <w:kern w:val="2"/>
        </w:rPr>
      </w:pPr>
      <w:r w:rsidRPr="00A74B93">
        <w:rPr>
          <w:kern w:val="2"/>
        </w:rPr>
        <w:t>1.</w:t>
      </w:r>
      <w:r w:rsidRPr="00A74B93">
        <w:rPr>
          <w:kern w:val="2"/>
        </w:rPr>
        <w:tab/>
        <w:t xml:space="preserve">apstiprina kopuzņēmuma “Eiropas vienotās gaisa telpas </w:t>
      </w:r>
      <w:r w:rsidRPr="00A74B93">
        <w:rPr>
          <w:i/>
          <w:kern w:val="2"/>
        </w:rPr>
        <w:t>ATM</w:t>
      </w:r>
      <w:r w:rsidRPr="00A74B93">
        <w:rPr>
          <w:kern w:val="2"/>
        </w:rPr>
        <w:t xml:space="preserve"> pētniecība 3” 2023. finanšu gada pārskatus;</w:t>
      </w:r>
    </w:p>
    <w:p w14:paraId="66873C4E"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“Eiropas vienotās gaisa telpas </w:t>
      </w:r>
      <w:r w:rsidRPr="00A74B93">
        <w:rPr>
          <w:i/>
          <w:kern w:val="2"/>
        </w:rPr>
        <w:t>ATM</w:t>
      </w:r>
      <w:r w:rsidRPr="00A74B93">
        <w:rPr>
          <w:kern w:val="2"/>
        </w:rPr>
        <w:t xml:space="preserve"> pētniecība 3” izpilddirektoram, Padomei, Komisijai un Revīzijas palātai un nodrošināt tā publicēšanu </w:t>
      </w:r>
      <w:r w:rsidRPr="00A74B93">
        <w:rPr>
          <w:i/>
          <w:kern w:val="2"/>
        </w:rPr>
        <w:t>Eiropas Savienības Oficiālajā Vēstnesī</w:t>
      </w:r>
      <w:r w:rsidRPr="00A74B93">
        <w:rPr>
          <w:kern w:val="2"/>
        </w:rPr>
        <w:t xml:space="preserve"> (L sērijā).</w:t>
      </w:r>
    </w:p>
    <w:p w14:paraId="6D215D24"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33FF21FE" w14:textId="77777777" w:rsidR="00A74B93" w:rsidRPr="00A74B93" w:rsidRDefault="00A74B93" w:rsidP="00A74B93">
      <w:pPr>
        <w:pStyle w:val="ATHeading3"/>
      </w:pPr>
      <w:r w:rsidRPr="00A74B93">
        <w:lastRenderedPageBreak/>
        <w:t>21. Eiropas Parlamenta 2025. gada 7. maija lēmums par kopuzņēmuma “Viedie tīkli un pakalpojumi” 2023. finanšu gada budžeta izpildes apstiprināšanu  (2024/2031(DEC))</w:t>
      </w:r>
    </w:p>
    <w:p w14:paraId="5DC7E71C" w14:textId="693F9330" w:rsidR="00A74B93" w:rsidRPr="00A74B93" w:rsidRDefault="00A74B93" w:rsidP="00A74B93">
      <w:pPr>
        <w:spacing w:before="480" w:after="240"/>
        <w:rPr>
          <w:kern w:val="2"/>
        </w:rPr>
      </w:pPr>
      <w:r w:rsidRPr="000D7065">
        <w:rPr>
          <w:i/>
        </w:rPr>
        <w:t>Eiropas Parlaments</w:t>
      </w:r>
      <w:r w:rsidRPr="00A74B93">
        <w:rPr>
          <w:kern w:val="2"/>
        </w:rPr>
        <w:t>,</w:t>
      </w:r>
    </w:p>
    <w:p w14:paraId="58FA1535"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“Viedie tīkli un pakalpojumi” 2023. finanšu gada galīgos pārskatus,</w:t>
      </w:r>
    </w:p>
    <w:p w14:paraId="0D0C6BA6"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23"/>
      </w:r>
      <w:r w:rsidRPr="00A74B93">
        <w:rPr>
          <w:kern w:val="2"/>
        </w:rPr>
        <w:t>,</w:t>
      </w:r>
    </w:p>
    <w:p w14:paraId="308A672B"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24"/>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48A4A860"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6FDC36DA"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6E312A13"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25"/>
      </w:r>
      <w:r w:rsidRPr="00A74B93">
        <w:rPr>
          <w:kern w:val="2"/>
        </w:rPr>
        <w:t>, un jo īpaši tās 71. pantu,</w:t>
      </w:r>
    </w:p>
    <w:p w14:paraId="6F2815DB"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26"/>
      </w:r>
      <w:r w:rsidRPr="00A74B93">
        <w:rPr>
          <w:kern w:val="2"/>
        </w:rPr>
        <w:t xml:space="preserve">, un jo īpaši tās 71. pantu, </w:t>
      </w:r>
    </w:p>
    <w:p w14:paraId="6FDB759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27"/>
      </w:r>
      <w:r w:rsidRPr="00A74B93">
        <w:rPr>
          <w:kern w:val="2"/>
        </w:rPr>
        <w:t>, un jo īpaši tās 26. pantu,</w:t>
      </w:r>
    </w:p>
    <w:p w14:paraId="513BAFAC"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28"/>
      </w:r>
      <w:r w:rsidRPr="00A74B93">
        <w:rPr>
          <w:kern w:val="2"/>
        </w:rPr>
        <w:t xml:space="preserve"> 71. pantā,</w:t>
      </w:r>
    </w:p>
    <w:p w14:paraId="79CF36C4"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1D7502E1"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2CFC2704"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60717D8C" w14:textId="77777777" w:rsidR="00A74B93" w:rsidRPr="00A74B93" w:rsidRDefault="00A74B93" w:rsidP="00A74B93">
      <w:pPr>
        <w:spacing w:after="240"/>
        <w:ind w:left="567" w:hanging="567"/>
        <w:rPr>
          <w:kern w:val="2"/>
        </w:rPr>
      </w:pPr>
      <w:r w:rsidRPr="00A74B93">
        <w:rPr>
          <w:kern w:val="2"/>
        </w:rPr>
        <w:t>1.</w:t>
      </w:r>
      <w:r w:rsidRPr="00A74B93">
        <w:rPr>
          <w:kern w:val="2"/>
        </w:rPr>
        <w:tab/>
        <w:t>sniedz kopuzņēmuma “Viedie tīkli un pakalpojumi” izpilddirektorei apstiprinājumu par Kopuzņēmuma 2023. finanšu gada budžeta izpildi;</w:t>
      </w:r>
    </w:p>
    <w:p w14:paraId="7CEA4D6E" w14:textId="77777777" w:rsidR="00A74B93" w:rsidRPr="00A74B93" w:rsidRDefault="00A74B93" w:rsidP="00A74B93">
      <w:pPr>
        <w:spacing w:after="240"/>
        <w:ind w:left="567" w:hanging="567"/>
        <w:rPr>
          <w:kern w:val="2"/>
        </w:rPr>
      </w:pPr>
      <w:r w:rsidRPr="00A74B93">
        <w:rPr>
          <w:kern w:val="2"/>
        </w:rPr>
        <w:t>2.</w:t>
      </w:r>
      <w:r w:rsidRPr="00A74B93">
        <w:rPr>
          <w:kern w:val="2"/>
        </w:rPr>
        <w:tab/>
        <w:t>izklāsta savus konstatējumus turpmāk tekstā iekļautajā rezolūcijā;</w:t>
      </w:r>
    </w:p>
    <w:p w14:paraId="43A9728A"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uzdod priekšsēdētājai šo lēmumu un rezolūciju, kas ir tā neatņemama daļa, nosūtīt kopuzņēmuma “Viedie tīkli un pakalpojumi” izpilddirektorei, Padomei, Komisijai un Revīzijas palātai un nodrošināt to publicēšanu </w:t>
      </w:r>
      <w:r w:rsidRPr="00A74B93">
        <w:rPr>
          <w:i/>
          <w:kern w:val="2"/>
        </w:rPr>
        <w:t>Eiropas Savienības Oficiālajā Vēstnesī</w:t>
      </w:r>
      <w:r w:rsidRPr="00A74B93">
        <w:rPr>
          <w:kern w:val="2"/>
        </w:rPr>
        <w:t xml:space="preserve"> (L sērijā).</w:t>
      </w:r>
    </w:p>
    <w:p w14:paraId="569C0274"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3A1712AE" w14:textId="77777777" w:rsidR="00A74B93" w:rsidRPr="00A74B93" w:rsidRDefault="00A74B93" w:rsidP="00A74B93">
      <w:pPr>
        <w:pStyle w:val="ATHeading3"/>
      </w:pPr>
      <w:r w:rsidRPr="00A74B93">
        <w:lastRenderedPageBreak/>
        <w:t>22. Eiropas Parlamenta 2025. gada 7. maija lēmums par kopuzņēmuma “Viedie tīkli un pakalpojumi” 2023. finanšu gada pārskatu apstiprināšanu  (2024/2031(DEC))</w:t>
      </w:r>
    </w:p>
    <w:p w14:paraId="22345E53" w14:textId="7CC2E453" w:rsidR="00A74B93" w:rsidRPr="00A74B93" w:rsidRDefault="00A74B93" w:rsidP="00A74B93">
      <w:pPr>
        <w:spacing w:before="480" w:after="240"/>
        <w:rPr>
          <w:kern w:val="2"/>
        </w:rPr>
      </w:pPr>
      <w:r w:rsidRPr="000D7065">
        <w:rPr>
          <w:i/>
        </w:rPr>
        <w:t>Eiropas Parlaments</w:t>
      </w:r>
      <w:r w:rsidRPr="00A74B93">
        <w:rPr>
          <w:kern w:val="2"/>
        </w:rPr>
        <w:t>,</w:t>
      </w:r>
    </w:p>
    <w:p w14:paraId="4E136A12" w14:textId="77777777" w:rsidR="00A74B93" w:rsidRPr="00A74B93" w:rsidRDefault="00A74B93" w:rsidP="00A74B93">
      <w:pPr>
        <w:spacing w:after="240"/>
        <w:ind w:left="567" w:hanging="567"/>
        <w:rPr>
          <w:kern w:val="2"/>
        </w:rPr>
      </w:pPr>
      <w:r w:rsidRPr="00A74B93">
        <w:rPr>
          <w:kern w:val="2"/>
        </w:rPr>
        <w:t>–</w:t>
      </w:r>
      <w:r w:rsidRPr="00A74B93">
        <w:rPr>
          <w:kern w:val="2"/>
        </w:rPr>
        <w:tab/>
        <w:t>ņemot vērā kopuzņēmuma “Viedie tīkli un pakalpojumi” 2023. finanšu gada galīgos pārskatus,</w:t>
      </w:r>
    </w:p>
    <w:p w14:paraId="59D91F29"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Revīzijas palātas gada ziņojumu par ES kopuzņēmumiem attiecībā uz 2023. finanšu gadu ar kopuzņēmumu atbildēm</w:t>
      </w:r>
      <w:r w:rsidRPr="00A74B93">
        <w:rPr>
          <w:kern w:val="2"/>
          <w:vertAlign w:val="superscript"/>
        </w:rPr>
        <w:footnoteReference w:id="129"/>
      </w:r>
      <w:r w:rsidRPr="00A74B93">
        <w:rPr>
          <w:kern w:val="2"/>
        </w:rPr>
        <w:t>,</w:t>
      </w:r>
    </w:p>
    <w:p w14:paraId="798D53F0" w14:textId="77777777" w:rsidR="00A74B93" w:rsidRPr="00A74B93" w:rsidRDefault="00A74B93" w:rsidP="00A74B93">
      <w:pPr>
        <w:spacing w:after="240"/>
        <w:ind w:left="567" w:hanging="567"/>
        <w:rPr>
          <w:kern w:val="2"/>
        </w:rPr>
      </w:pPr>
      <w:r w:rsidRPr="00A74B93">
        <w:rPr>
          <w:kern w:val="2"/>
        </w:rPr>
        <w:t>–</w:t>
      </w:r>
      <w:r w:rsidRPr="00A74B93">
        <w:rPr>
          <w:kern w:val="2"/>
        </w:rPr>
        <w:tab/>
        <w:t>ņemot vērā deklarāciju</w:t>
      </w:r>
      <w:r w:rsidRPr="00A74B93">
        <w:rPr>
          <w:kern w:val="2"/>
          <w:vertAlign w:val="superscript"/>
        </w:rPr>
        <w:footnoteReference w:id="130"/>
      </w:r>
      <w:r w:rsidRPr="00A74B93">
        <w:rPr>
          <w:kern w:val="2"/>
        </w:rPr>
        <w:t xml:space="preserve"> par pārskatu ticamību, kā arī par pakārtoto darījumu likumību un pareizību, kuru Revīzijas palāta sniegusi par 2023. finanšu gadu saskaņā ar Līguma par Eiropas Savienības darbību 287. pantu,</w:t>
      </w:r>
    </w:p>
    <w:p w14:paraId="3DDA1B8B"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2025. gada 17. februāra ieteikumu par apstiprinājumu, ko sniedz Kopuzņēmumam par 2023. finanšu gada budžeta izpildi (05757/2025 – C10</w:t>
      </w:r>
      <w:r w:rsidRPr="00A74B93">
        <w:rPr>
          <w:kern w:val="2"/>
        </w:rPr>
        <w:noBreakHyphen/>
        <w:t>0025/2025),</w:t>
      </w:r>
    </w:p>
    <w:p w14:paraId="735F78FD"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Līguma par Eiropas Savienības darbību 319. pantu,</w:t>
      </w:r>
    </w:p>
    <w:p w14:paraId="30B1656B"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2018. gada 18. jūlija Regulu (ES, </w:t>
      </w:r>
      <w:r w:rsidRPr="00A74B93">
        <w:rPr>
          <w:iCs/>
          <w:kern w:val="2"/>
        </w:rPr>
        <w:t>Euratom</w:t>
      </w:r>
      <w:r w:rsidRPr="00A74B93">
        <w:rPr>
          <w:kern w:val="2"/>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74B93">
        <w:rPr>
          <w:iCs/>
          <w:kern w:val="2"/>
        </w:rPr>
        <w:t>Euratom</w:t>
      </w:r>
      <w:r w:rsidRPr="00A74B93">
        <w:rPr>
          <w:kern w:val="2"/>
        </w:rPr>
        <w:t>) Nr. 966/2012</w:t>
      </w:r>
      <w:r w:rsidRPr="00A74B93">
        <w:rPr>
          <w:kern w:val="2"/>
          <w:vertAlign w:val="superscript"/>
        </w:rPr>
        <w:footnoteReference w:id="131"/>
      </w:r>
      <w:r w:rsidRPr="00A74B93">
        <w:rPr>
          <w:kern w:val="2"/>
        </w:rPr>
        <w:t>, un jo īpaši tās 71. pantu,</w:t>
      </w:r>
    </w:p>
    <w:p w14:paraId="208C75BE"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Eiropas Parlamenta un Padomes 2024. gada 23. septembra Regulu (ES, </w:t>
      </w:r>
      <w:r w:rsidRPr="00A74B93">
        <w:rPr>
          <w:iCs/>
          <w:kern w:val="2"/>
        </w:rPr>
        <w:t>Euratom</w:t>
      </w:r>
      <w:r w:rsidRPr="00A74B93">
        <w:rPr>
          <w:kern w:val="2"/>
        </w:rPr>
        <w:t>) 2024/2509 par finanšu noteikumiem, ko piemēro Savienības vispārējam budžetam</w:t>
      </w:r>
      <w:r w:rsidRPr="00A74B93">
        <w:rPr>
          <w:kern w:val="2"/>
          <w:vertAlign w:val="superscript"/>
        </w:rPr>
        <w:footnoteReference w:id="132"/>
      </w:r>
      <w:r w:rsidRPr="00A74B93">
        <w:rPr>
          <w:kern w:val="2"/>
        </w:rPr>
        <w:t xml:space="preserve">, un jo īpaši tās 71. pantu, </w:t>
      </w:r>
    </w:p>
    <w:p w14:paraId="478DB285" w14:textId="77777777" w:rsidR="00A74B93" w:rsidRPr="00A74B93" w:rsidRDefault="00A74B93" w:rsidP="00A74B93">
      <w:pPr>
        <w:spacing w:after="240"/>
        <w:ind w:left="567" w:hanging="567"/>
        <w:rPr>
          <w:kern w:val="2"/>
        </w:rPr>
      </w:pPr>
      <w:r w:rsidRPr="00A74B93">
        <w:rPr>
          <w:kern w:val="2"/>
        </w:rPr>
        <w:t>–</w:t>
      </w:r>
      <w:r w:rsidRPr="00A74B93">
        <w:rPr>
          <w:kern w:val="2"/>
        </w:rPr>
        <w:tab/>
        <w:t>ņemot vērā Padomes 2021. gada 19. novembra Regulu (ES) 2021/2085, ar ko izveido kopuzņēmumus pamatprogrammā “Apvārsnis Eiropa” un atceļ Regulas (EK) Nr. 219/2007, (ES) Nr. 557/2014, (ES) Nr. 558/2014, (ES) Nr. 559/2014, (ES) Nr. 560/2014, (ES) Nr. 561/2014 un (ES) Nr. 642/2014</w:t>
      </w:r>
      <w:r w:rsidRPr="00A74B93">
        <w:rPr>
          <w:kern w:val="2"/>
          <w:vertAlign w:val="superscript"/>
        </w:rPr>
        <w:footnoteReference w:id="133"/>
      </w:r>
      <w:r w:rsidRPr="00A74B93">
        <w:rPr>
          <w:kern w:val="2"/>
        </w:rPr>
        <w:t>, un jo īpaši tās 26. pantu,</w:t>
      </w:r>
    </w:p>
    <w:p w14:paraId="22067082"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Komisijas 2019. gada 13. marta Deleģēto regulu (ES) 2019/887 par finanšu </w:t>
      </w:r>
      <w:proofErr w:type="spellStart"/>
      <w:r w:rsidRPr="00A74B93">
        <w:rPr>
          <w:kern w:val="2"/>
        </w:rPr>
        <w:t>paraugregulējumu</w:t>
      </w:r>
      <w:proofErr w:type="spellEnd"/>
      <w:r w:rsidRPr="00A74B93">
        <w:rPr>
          <w:kern w:val="2"/>
        </w:rPr>
        <w:t xml:space="preserve"> publiskā un privātā sektora partnerības struktūrām, kas minētas Eiropas Parlamenta un Padomes Regulas (ES, </w:t>
      </w:r>
      <w:r w:rsidRPr="00A74B93">
        <w:rPr>
          <w:iCs/>
          <w:kern w:val="2"/>
        </w:rPr>
        <w:t>Euratom</w:t>
      </w:r>
      <w:r w:rsidRPr="00A74B93">
        <w:rPr>
          <w:kern w:val="2"/>
        </w:rPr>
        <w:t>) 2018/1046</w:t>
      </w:r>
      <w:r w:rsidRPr="00A74B93">
        <w:rPr>
          <w:kern w:val="2"/>
          <w:vertAlign w:val="superscript"/>
        </w:rPr>
        <w:footnoteReference w:id="134"/>
      </w:r>
      <w:r w:rsidRPr="00A74B93">
        <w:rPr>
          <w:kern w:val="2"/>
        </w:rPr>
        <w:t xml:space="preserve"> 71. pantā,</w:t>
      </w:r>
    </w:p>
    <w:p w14:paraId="6C16FD0C"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48F69CAF" w14:textId="77777777" w:rsidR="00A74B93" w:rsidRPr="00A74B93" w:rsidRDefault="00A74B93" w:rsidP="00A74B93">
      <w:pPr>
        <w:spacing w:after="240"/>
        <w:ind w:left="567" w:hanging="567"/>
        <w:rPr>
          <w:kern w:val="2"/>
        </w:rPr>
      </w:pPr>
      <w:r w:rsidRPr="00A74B93">
        <w:rPr>
          <w:kern w:val="2"/>
        </w:rPr>
        <w:lastRenderedPageBreak/>
        <w:t>–</w:t>
      </w:r>
      <w:r w:rsidRPr="00A74B93">
        <w:rPr>
          <w:kern w:val="2"/>
        </w:rPr>
        <w:tab/>
        <w:t>ņemot vērā Transporta un tūrisma komitejas atzinumu,</w:t>
      </w:r>
    </w:p>
    <w:p w14:paraId="37E5D1FF"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w:t>
      </w:r>
      <w:r w:rsidRPr="00A74B93">
        <w:rPr>
          <w:kern w:val="2"/>
        </w:rPr>
        <w:noBreakHyphen/>
        <w:t>0056/2025),</w:t>
      </w:r>
    </w:p>
    <w:p w14:paraId="06B5F71C" w14:textId="77777777" w:rsidR="00A74B93" w:rsidRPr="00A74B93" w:rsidRDefault="00A74B93" w:rsidP="00A74B93">
      <w:pPr>
        <w:spacing w:after="240"/>
        <w:ind w:left="567" w:hanging="567"/>
        <w:rPr>
          <w:kern w:val="2"/>
        </w:rPr>
      </w:pPr>
      <w:r w:rsidRPr="00A74B93">
        <w:rPr>
          <w:kern w:val="2"/>
        </w:rPr>
        <w:t>1.</w:t>
      </w:r>
      <w:r w:rsidRPr="00A74B93">
        <w:rPr>
          <w:kern w:val="2"/>
        </w:rPr>
        <w:tab/>
        <w:t>apstiprina kopuzņēmuma “Viedie tīkli un pakalpojumi” 2023. finanšu gada pārskatus;</w:t>
      </w:r>
    </w:p>
    <w:p w14:paraId="0DD5ADFD" w14:textId="77777777" w:rsidR="00A74B93" w:rsidRPr="00A74B93" w:rsidRDefault="00A74B93" w:rsidP="00A74B93">
      <w:pPr>
        <w:spacing w:after="240"/>
        <w:ind w:left="567" w:hanging="567"/>
        <w:rPr>
          <w:kern w:val="2"/>
        </w:rPr>
      </w:pPr>
      <w:r w:rsidRPr="00A74B93">
        <w:rPr>
          <w:kern w:val="2"/>
        </w:rPr>
        <w:t>2.</w:t>
      </w:r>
      <w:r w:rsidRPr="00A74B93">
        <w:rPr>
          <w:kern w:val="2"/>
        </w:rPr>
        <w:tab/>
        <w:t xml:space="preserve">uzdod priekšsēdētājai šo lēmumu nosūtīt kopuzņēmuma “Viedie tīkli un pakalpojumi” izpilddirektorei, Padomei, Komisijai un Revīzijas palātai un nodrošināt tā publicēšanu </w:t>
      </w:r>
      <w:r w:rsidRPr="00A74B93">
        <w:rPr>
          <w:i/>
          <w:kern w:val="2"/>
        </w:rPr>
        <w:t>Eiropas Savienības Oficiālajā Vēstnesī</w:t>
      </w:r>
      <w:r w:rsidRPr="00A74B93">
        <w:rPr>
          <w:kern w:val="2"/>
        </w:rPr>
        <w:t xml:space="preserve"> (L sērijā).</w:t>
      </w:r>
    </w:p>
    <w:p w14:paraId="59807AF5" w14:textId="77777777" w:rsidR="00A74B93" w:rsidRPr="00A74B93" w:rsidRDefault="00A74B93" w:rsidP="00A74B93">
      <w:pPr>
        <w:widowControl/>
        <w:rPr>
          <w:rFonts w:eastAsia="Aptos"/>
          <w:szCs w:val="24"/>
          <w:lang w:eastAsia="en-US"/>
        </w:rPr>
        <w:sectPr w:rsidR="00A74B93" w:rsidRPr="00A74B93" w:rsidSect="00A74B93">
          <w:footnotePr>
            <w:numRestart w:val="eachSect"/>
          </w:footnotePr>
          <w:pgSz w:w="11906" w:h="16838"/>
          <w:pgMar w:top="1440" w:right="1440" w:bottom="1440" w:left="1440" w:header="708" w:footer="708" w:gutter="0"/>
          <w:cols w:space="720"/>
        </w:sectPr>
      </w:pPr>
    </w:p>
    <w:p w14:paraId="30F9DDC0" w14:textId="77777777" w:rsidR="00A74B93" w:rsidRPr="00A74B93" w:rsidRDefault="00A74B93" w:rsidP="00A74B93">
      <w:pPr>
        <w:pStyle w:val="ATHeading3"/>
      </w:pPr>
      <w:r w:rsidRPr="00A74B93">
        <w:lastRenderedPageBreak/>
        <w:t>23. Eiropas Parlamenta 2025. gada 7. maija rezolūcija ar konstatējumiem, kas ir neatņemama daļa no lēmumiem par Eiropas Savienības kopuzņēmumu 2023. finanšu gada budžeta izpildes apstiprināšanu (2024/2031(DEC))</w:t>
      </w:r>
    </w:p>
    <w:p w14:paraId="7CBCD2EE" w14:textId="317CB4D5" w:rsidR="00A74B93" w:rsidRPr="00A74B93" w:rsidRDefault="00A74B93" w:rsidP="00A74B93">
      <w:pPr>
        <w:spacing w:before="480" w:after="240"/>
        <w:rPr>
          <w:iCs/>
          <w:kern w:val="2"/>
        </w:rPr>
      </w:pPr>
      <w:r w:rsidRPr="000D7065">
        <w:rPr>
          <w:i/>
        </w:rPr>
        <w:t>Eiropas Parlaments</w:t>
      </w:r>
      <w:r w:rsidRPr="00A74B93">
        <w:rPr>
          <w:iCs/>
          <w:kern w:val="2"/>
        </w:rPr>
        <w:t>,</w:t>
      </w:r>
    </w:p>
    <w:p w14:paraId="72F4FFE6"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“Tīra aviācija” 2023. finanšu gada budžeta izpildes apstiprināšanu,</w:t>
      </w:r>
    </w:p>
    <w:p w14:paraId="3C0A1C1B"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2023. finanšu gada budžeta izpildes apstiprināšanu,</w:t>
      </w:r>
    </w:p>
    <w:p w14:paraId="6AE513E5"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“Tīrs ūdeņradis” 2023. finanšu gada budžeta izpildes apstiprināšanu,</w:t>
      </w:r>
    </w:p>
    <w:p w14:paraId="71391B18"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“Eiropas dzelzceļš” 2023. finanšu gada budžeta izpildes apstiprināšanu,</w:t>
      </w:r>
    </w:p>
    <w:p w14:paraId="36D15EEE"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lēmumu par Eiropas Augstas veiktspējas </w:t>
      </w:r>
      <w:proofErr w:type="spellStart"/>
      <w:r w:rsidRPr="00A74B93">
        <w:rPr>
          <w:kern w:val="2"/>
        </w:rPr>
        <w:t>datošanas</w:t>
      </w:r>
      <w:proofErr w:type="spellEnd"/>
      <w:r w:rsidRPr="00A74B93">
        <w:rPr>
          <w:kern w:val="2"/>
        </w:rPr>
        <w:t xml:space="preserve"> kopuzņēmuma 2023. finanšu gada budžeta izpildes apstiprināšanu,</w:t>
      </w:r>
    </w:p>
    <w:p w14:paraId="1933AA01"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lēmumu par </w:t>
      </w:r>
      <w:r w:rsidRPr="00A74B93">
        <w:rPr>
          <w:i/>
          <w:kern w:val="2"/>
        </w:rPr>
        <w:t>ITER</w:t>
      </w:r>
      <w:r w:rsidRPr="00A74B93">
        <w:rPr>
          <w:kern w:val="2"/>
        </w:rPr>
        <w:t xml:space="preserve"> un kodolsintēzes enerģētikas attīstības vajadzībām izveidotā Eiropas kopuzņēmuma 2023. finanšu gada budžeta izpildes apstiprināšanu,</w:t>
      </w:r>
    </w:p>
    <w:p w14:paraId="6E0D9E29"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w:t>
      </w:r>
      <w:proofErr w:type="spellStart"/>
      <w:r w:rsidRPr="00A74B93">
        <w:rPr>
          <w:i/>
          <w:iCs/>
          <w:kern w:val="2"/>
        </w:rPr>
        <w:t>Global</w:t>
      </w:r>
      <w:proofErr w:type="spellEnd"/>
      <w:r w:rsidRPr="00A74B93">
        <w:rPr>
          <w:i/>
          <w:iCs/>
          <w:kern w:val="2"/>
        </w:rPr>
        <w:t xml:space="preserve"> Health EDCTP3</w:t>
      </w:r>
      <w:r w:rsidRPr="00A74B93">
        <w:rPr>
          <w:kern w:val="2"/>
        </w:rPr>
        <w:t>” 2023. finanšu gada budžeta izpildes apstiprināšanu,</w:t>
      </w:r>
    </w:p>
    <w:p w14:paraId="1B7974C5"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“Inovatīvas veselības aprūpes iniciatīva” 2023. finanšu gada budžeta izpildes apstiprināšanu,</w:t>
      </w:r>
    </w:p>
    <w:p w14:paraId="1D81765F"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“Mikroshēmas” 2023. finanšu gada budžeta izpildes apstiprināšanu,</w:t>
      </w:r>
    </w:p>
    <w:p w14:paraId="0AA6D4F6" w14:textId="77777777" w:rsidR="00A74B93" w:rsidRPr="00A74B93" w:rsidRDefault="00A74B93" w:rsidP="00A74B93">
      <w:pPr>
        <w:spacing w:after="240"/>
        <w:ind w:left="567" w:hanging="567"/>
        <w:rPr>
          <w:kern w:val="2"/>
        </w:rPr>
      </w:pPr>
      <w:r w:rsidRPr="00A74B93">
        <w:rPr>
          <w:kern w:val="2"/>
        </w:rPr>
        <w:t>–</w:t>
      </w:r>
      <w:r w:rsidRPr="00A74B93">
        <w:rPr>
          <w:kern w:val="2"/>
        </w:rPr>
        <w:tab/>
        <w:t xml:space="preserve">ņemot vērā lēmumu par kopuzņēmuma “Eiropas vienotās gaisa telpas </w:t>
      </w:r>
      <w:r w:rsidRPr="00A74B93">
        <w:rPr>
          <w:i/>
          <w:kern w:val="2"/>
        </w:rPr>
        <w:t>ATM</w:t>
      </w:r>
      <w:r w:rsidRPr="00A74B93">
        <w:rPr>
          <w:kern w:val="2"/>
        </w:rPr>
        <w:t xml:space="preserve"> pētniecība 3” 2023. finanšu gada budžeta izpildes apstiprināšanu,</w:t>
      </w:r>
    </w:p>
    <w:p w14:paraId="3D44888E" w14:textId="77777777" w:rsidR="00A74B93" w:rsidRPr="00A74B93" w:rsidRDefault="00A74B93" w:rsidP="00A74B93">
      <w:pPr>
        <w:spacing w:after="240"/>
        <w:ind w:left="567" w:hanging="567"/>
        <w:rPr>
          <w:kern w:val="2"/>
        </w:rPr>
      </w:pPr>
      <w:r w:rsidRPr="00A74B93">
        <w:rPr>
          <w:kern w:val="2"/>
        </w:rPr>
        <w:t>–</w:t>
      </w:r>
      <w:r w:rsidRPr="00A74B93">
        <w:rPr>
          <w:kern w:val="2"/>
        </w:rPr>
        <w:tab/>
        <w:t>ņemot vērā lēmumu par kopuzņēmuma “Viedie tīkli un pakalpojumi” 2023. finanšu gada budžeta izpildes apstiprināšanu,</w:t>
      </w:r>
    </w:p>
    <w:p w14:paraId="0937895B" w14:textId="77777777" w:rsidR="00A74B93" w:rsidRPr="00A74B93" w:rsidRDefault="00A74B93" w:rsidP="00A74B93">
      <w:pPr>
        <w:spacing w:after="240"/>
        <w:ind w:left="567" w:hanging="567"/>
        <w:rPr>
          <w:kern w:val="2"/>
        </w:rPr>
      </w:pPr>
      <w:r w:rsidRPr="00A74B93">
        <w:rPr>
          <w:kern w:val="2"/>
        </w:rPr>
        <w:t>–</w:t>
      </w:r>
      <w:r w:rsidRPr="00A74B93">
        <w:rPr>
          <w:kern w:val="2"/>
        </w:rPr>
        <w:tab/>
        <w:t>ņemot vērā Reglamenta 102. pantu un V pielikumu,</w:t>
      </w:r>
    </w:p>
    <w:p w14:paraId="329D0C66" w14:textId="77777777" w:rsidR="00A74B93" w:rsidRPr="00A74B93" w:rsidRDefault="00A74B93" w:rsidP="00A74B93">
      <w:pPr>
        <w:spacing w:after="240"/>
        <w:ind w:left="567" w:hanging="567"/>
        <w:rPr>
          <w:kern w:val="2"/>
        </w:rPr>
      </w:pPr>
      <w:r w:rsidRPr="00A74B93">
        <w:rPr>
          <w:kern w:val="2"/>
        </w:rPr>
        <w:t>–</w:t>
      </w:r>
      <w:r w:rsidRPr="00A74B93">
        <w:rPr>
          <w:kern w:val="2"/>
        </w:rPr>
        <w:tab/>
        <w:t>ņemot vērā Transporta un tūrisma komitejas atzinumu,</w:t>
      </w:r>
    </w:p>
    <w:p w14:paraId="4DF18291" w14:textId="77777777" w:rsidR="00A74B93" w:rsidRPr="00A74B93" w:rsidRDefault="00A74B93" w:rsidP="00A74B93">
      <w:pPr>
        <w:spacing w:after="240"/>
        <w:ind w:left="567" w:hanging="567"/>
        <w:rPr>
          <w:kern w:val="2"/>
        </w:rPr>
      </w:pPr>
      <w:r w:rsidRPr="00A74B93">
        <w:rPr>
          <w:kern w:val="2"/>
        </w:rPr>
        <w:t>–</w:t>
      </w:r>
      <w:r w:rsidRPr="00A74B93">
        <w:rPr>
          <w:kern w:val="2"/>
        </w:rPr>
        <w:tab/>
        <w:t>ņemot vērā Budžeta kontroles komitejas ziņojumu (A10-0056/2025),</w:t>
      </w:r>
    </w:p>
    <w:p w14:paraId="452AC287" w14:textId="77777777" w:rsidR="00A74B93" w:rsidRPr="00A74B93" w:rsidRDefault="00A74B93" w:rsidP="00A74B93">
      <w:pPr>
        <w:spacing w:after="240"/>
        <w:ind w:left="567" w:hanging="567"/>
        <w:rPr>
          <w:kern w:val="2"/>
          <w:szCs w:val="24"/>
        </w:rPr>
      </w:pPr>
      <w:r w:rsidRPr="00A74B93">
        <w:rPr>
          <w:kern w:val="2"/>
        </w:rPr>
        <w:t>A.</w:t>
      </w:r>
      <w:r w:rsidRPr="00A74B93">
        <w:rPr>
          <w:kern w:val="2"/>
        </w:rPr>
        <w:tab/>
        <w:t xml:space="preserve">tā kā kopuzņēmums “Eiropas vienotās gaisa telpas </w:t>
      </w:r>
      <w:r w:rsidRPr="00A74B93">
        <w:rPr>
          <w:i/>
          <w:kern w:val="2"/>
        </w:rPr>
        <w:t>ATM</w:t>
      </w:r>
      <w:r w:rsidRPr="00A74B93">
        <w:rPr>
          <w:kern w:val="2"/>
        </w:rPr>
        <w:t xml:space="preserve"> pētniecība 3”, kopuzņēmums “Tīra aviācija”, kopuzņēmums “Inovatīvas veselības aprūpes iniciatīva”, kopuzņēmums “Tīrs ūdeņradis”, kopuzņēmums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kopuzņēmums “Eiropas dzelzceļš”, kopuzņēmums “Viedie tīkli un pakalpojumi” un kopuzņēmums “</w:t>
      </w:r>
      <w:proofErr w:type="spellStart"/>
      <w:r w:rsidRPr="00A74B93">
        <w:rPr>
          <w:i/>
          <w:iCs/>
          <w:kern w:val="2"/>
        </w:rPr>
        <w:t>Global</w:t>
      </w:r>
      <w:proofErr w:type="spellEnd"/>
      <w:r w:rsidRPr="00A74B93">
        <w:rPr>
          <w:i/>
          <w:iCs/>
          <w:kern w:val="2"/>
        </w:rPr>
        <w:t xml:space="preserve"> </w:t>
      </w:r>
      <w:r w:rsidRPr="00A74B93">
        <w:rPr>
          <w:i/>
          <w:iCs/>
          <w:kern w:val="2"/>
        </w:rPr>
        <w:lastRenderedPageBreak/>
        <w:t>Health EDCTP3</w:t>
      </w:r>
      <w:r w:rsidRPr="00A74B93">
        <w:rPr>
          <w:kern w:val="2"/>
        </w:rPr>
        <w:t>” tika izveidoti ar Padomes Regulu (ES) 2021/2085 </w:t>
      </w:r>
      <w:r w:rsidRPr="00A74B93">
        <w:rPr>
          <w:kern w:val="2"/>
          <w:vertAlign w:val="superscript"/>
        </w:rPr>
        <w:footnoteReference w:id="135"/>
      </w:r>
      <w:r w:rsidRPr="00A74B93">
        <w:rPr>
          <w:kern w:val="2"/>
        </w:rPr>
        <w:t xml:space="preserve">, ar ko izveido kopuzņēmumus pamatprogrammā “Apvārsnis Eiropa” un atceļ Regulas (EK) Nr. 219/2007, (ES) Nr. 557/2014, (ES) Nr. 558/2014, (ES) Nr. 559/2014, (ES) Nr. 560/2014, (ES) Nr. 561/2014 un (ES) Nr. 642/2014, no kurām pēdējo minēto dēvē par vienoto </w:t>
      </w:r>
      <w:proofErr w:type="spellStart"/>
      <w:r w:rsidRPr="00A74B93">
        <w:rPr>
          <w:kern w:val="2"/>
        </w:rPr>
        <w:t>pamataktu</w:t>
      </w:r>
      <w:proofErr w:type="spellEnd"/>
      <w:r w:rsidRPr="00A74B93">
        <w:rPr>
          <w:kern w:val="2"/>
        </w:rPr>
        <w:t>;</w:t>
      </w:r>
    </w:p>
    <w:p w14:paraId="14758452" w14:textId="77777777" w:rsidR="00A74B93" w:rsidRPr="00A74B93" w:rsidRDefault="00A74B93" w:rsidP="00A74B93">
      <w:pPr>
        <w:spacing w:after="240"/>
        <w:ind w:left="567" w:hanging="567"/>
        <w:rPr>
          <w:kern w:val="2"/>
          <w:szCs w:val="24"/>
        </w:rPr>
      </w:pPr>
      <w:r w:rsidRPr="00A74B93">
        <w:rPr>
          <w:kern w:val="2"/>
        </w:rPr>
        <w:t>B.</w:t>
      </w:r>
      <w:r w:rsidRPr="00A74B93">
        <w:rPr>
          <w:kern w:val="2"/>
        </w:rPr>
        <w:tab/>
        <w:t>tā kā kopuzņēmums “Svarīgas digitālās tehnoloģijas” tika izveidots ar Regulu (ES) 2021/2085; tā kā kopuzņēmums “Svarīgas digitālās tehnoloģijas” 2023. gada jūlijā tika pārveidots par kopuzņēmumu “Mikroshēmas” saskaņā ar Padomes Regulu (ES) 2023/1782 </w:t>
      </w:r>
      <w:r w:rsidRPr="00A74B93">
        <w:rPr>
          <w:kern w:val="2"/>
          <w:vertAlign w:val="superscript"/>
        </w:rPr>
        <w:footnoteReference w:id="136"/>
      </w:r>
      <w:r w:rsidRPr="00A74B93">
        <w:rPr>
          <w:kern w:val="2"/>
        </w:rPr>
        <w:t>;</w:t>
      </w:r>
    </w:p>
    <w:p w14:paraId="7B61F801" w14:textId="77777777" w:rsidR="00A74B93" w:rsidRPr="00A74B93" w:rsidRDefault="00A74B93" w:rsidP="00A74B93">
      <w:pPr>
        <w:spacing w:after="240"/>
        <w:ind w:left="567" w:hanging="567"/>
        <w:rPr>
          <w:kern w:val="2"/>
          <w:szCs w:val="24"/>
        </w:rPr>
      </w:pPr>
      <w:r w:rsidRPr="00A74B93">
        <w:rPr>
          <w:kern w:val="2"/>
        </w:rPr>
        <w:t>C.</w:t>
      </w:r>
      <w:r w:rsidRPr="00A74B93">
        <w:rPr>
          <w:kern w:val="2"/>
        </w:rPr>
        <w:tab/>
        <w:t xml:space="preserve">tā kā </w:t>
      </w:r>
      <w:r w:rsidRPr="00A74B93">
        <w:rPr>
          <w:i/>
          <w:kern w:val="2"/>
        </w:rPr>
        <w:t>ITER</w:t>
      </w:r>
      <w:r w:rsidRPr="00A74B93">
        <w:rPr>
          <w:kern w:val="2"/>
        </w:rPr>
        <w:t xml:space="preserve"> un kodolsintēzes enerģētikas attīstības vajadzībām izveidotais Eiropas kopuzņēmums tika izveidots 2007. gada aprīlī ar Padomes Lēmumu</w:t>
      </w:r>
      <w:r w:rsidRPr="00A74B93">
        <w:rPr>
          <w:rFonts w:eastAsia="Aptos"/>
          <w:kern w:val="2"/>
          <w:szCs w:val="24"/>
          <w:lang w:eastAsia="en-US"/>
        </w:rPr>
        <w:t xml:space="preserve"> </w:t>
      </w:r>
      <w:r w:rsidRPr="00A74B93">
        <w:rPr>
          <w:kern w:val="2"/>
        </w:rPr>
        <w:t>2007/198/Euratom</w:t>
      </w:r>
      <w:r w:rsidRPr="00A74B93">
        <w:rPr>
          <w:i/>
          <w:kern w:val="2"/>
        </w:rPr>
        <w:t> </w:t>
      </w:r>
      <w:r w:rsidRPr="00A74B93">
        <w:rPr>
          <w:kern w:val="2"/>
          <w:vertAlign w:val="superscript"/>
        </w:rPr>
        <w:footnoteReference w:id="137"/>
      </w:r>
      <w:r w:rsidRPr="00A74B93">
        <w:rPr>
          <w:kern w:val="2"/>
        </w:rPr>
        <w:t>;</w:t>
      </w:r>
    </w:p>
    <w:p w14:paraId="787443BC" w14:textId="77777777" w:rsidR="00A74B93" w:rsidRPr="00A74B93" w:rsidRDefault="00A74B93" w:rsidP="00A74B93">
      <w:pPr>
        <w:spacing w:after="240"/>
        <w:ind w:left="567" w:hanging="567"/>
        <w:rPr>
          <w:kern w:val="2"/>
          <w:szCs w:val="24"/>
        </w:rPr>
      </w:pPr>
      <w:r w:rsidRPr="00A74B93">
        <w:rPr>
          <w:kern w:val="2"/>
        </w:rPr>
        <w:t>D.</w:t>
      </w:r>
      <w:r w:rsidRPr="00A74B93">
        <w:rPr>
          <w:kern w:val="2"/>
        </w:rPr>
        <w:tab/>
        <w:t xml:space="preserve">tā kā Eiropas Augstas veiktspējas </w:t>
      </w:r>
      <w:proofErr w:type="spellStart"/>
      <w:r w:rsidRPr="00A74B93">
        <w:rPr>
          <w:kern w:val="2"/>
        </w:rPr>
        <w:t>datošanas</w:t>
      </w:r>
      <w:proofErr w:type="spellEnd"/>
      <w:r w:rsidRPr="00A74B93">
        <w:rPr>
          <w:kern w:val="2"/>
        </w:rPr>
        <w:t xml:space="preserve"> kopuzņēmums tika izveidots ar Padomes Regulu (ES) 2021/1173 </w:t>
      </w:r>
      <w:r w:rsidRPr="00A74B93">
        <w:rPr>
          <w:kern w:val="2"/>
          <w:vertAlign w:val="superscript"/>
        </w:rPr>
        <w:footnoteReference w:id="138"/>
      </w:r>
      <w:r w:rsidRPr="00A74B93">
        <w:rPr>
          <w:kern w:val="2"/>
        </w:rPr>
        <w:t>;</w:t>
      </w:r>
    </w:p>
    <w:p w14:paraId="1F57696D" w14:textId="77777777" w:rsidR="00A74B93" w:rsidRPr="00A74B93" w:rsidRDefault="00A74B93" w:rsidP="00A74B93">
      <w:pPr>
        <w:spacing w:after="240"/>
        <w:ind w:left="567" w:hanging="567"/>
        <w:rPr>
          <w:kern w:val="2"/>
          <w:szCs w:val="24"/>
        </w:rPr>
      </w:pPr>
      <w:r w:rsidRPr="00A74B93">
        <w:rPr>
          <w:kern w:val="2"/>
        </w:rPr>
        <w:t>E.</w:t>
      </w:r>
      <w:r w:rsidRPr="00A74B93">
        <w:rPr>
          <w:kern w:val="2"/>
        </w:rPr>
        <w:tab/>
        <w:t xml:space="preserve">tā kā kopuzņēmums “Eiropas vienotās gaisa telpas </w:t>
      </w:r>
      <w:r w:rsidRPr="00A74B93">
        <w:rPr>
          <w:i/>
          <w:kern w:val="2"/>
        </w:rPr>
        <w:t>ATM</w:t>
      </w:r>
      <w:r w:rsidRPr="00A74B93">
        <w:rPr>
          <w:kern w:val="2"/>
        </w:rPr>
        <w:t xml:space="preserve"> pētniecība 3” ir publiskā un privātā sektora partnerība ar mērķi izstrādāt modernizētu gaisa satiksmes pārvaldību (</w:t>
      </w:r>
      <w:r w:rsidRPr="00A74B93">
        <w:rPr>
          <w:i/>
          <w:kern w:val="2"/>
        </w:rPr>
        <w:t>ATM</w:t>
      </w:r>
      <w:r w:rsidRPr="00A74B93">
        <w:rPr>
          <w:kern w:val="2"/>
        </w:rPr>
        <w:t>) Eiropā un ar pētniecības un inovācijas palīdzību paātrināt Eiropas digitālās gaisa telpas izveidi;</w:t>
      </w:r>
    </w:p>
    <w:p w14:paraId="77744440" w14:textId="77777777" w:rsidR="00A74B93" w:rsidRPr="00A74B93" w:rsidRDefault="00A74B93" w:rsidP="00A74B93">
      <w:pPr>
        <w:spacing w:after="240"/>
        <w:ind w:left="567" w:hanging="567"/>
        <w:rPr>
          <w:kern w:val="2"/>
          <w:szCs w:val="24"/>
        </w:rPr>
      </w:pPr>
      <w:r w:rsidRPr="00A74B93">
        <w:rPr>
          <w:kern w:val="2"/>
        </w:rPr>
        <w:t>F.</w:t>
      </w:r>
      <w:r w:rsidRPr="00A74B93">
        <w:rPr>
          <w:kern w:val="2"/>
        </w:rPr>
        <w:tab/>
        <w:t xml:space="preserve">tā kā kopuzņēmums “Tīra aviācija” ir publiskā un privātā sektora partnerība, kas vērsta uz pētniecību un inovāciju nolūkā pārveidot aviāciju virzībā uz ilgtspējīgu un </w:t>
      </w:r>
      <w:proofErr w:type="spellStart"/>
      <w:r w:rsidRPr="00A74B93">
        <w:rPr>
          <w:kern w:val="2"/>
        </w:rPr>
        <w:t>klimatneitrālu</w:t>
      </w:r>
      <w:proofErr w:type="spellEnd"/>
      <w:r w:rsidRPr="00A74B93">
        <w:rPr>
          <w:kern w:val="2"/>
        </w:rPr>
        <w:t xml:space="preserve"> nākotni;</w:t>
      </w:r>
    </w:p>
    <w:p w14:paraId="426B3A4B" w14:textId="77777777" w:rsidR="00A74B93" w:rsidRPr="00A74B93" w:rsidRDefault="00A74B93" w:rsidP="00A74B93">
      <w:pPr>
        <w:spacing w:after="240"/>
        <w:ind w:left="567" w:hanging="567"/>
        <w:rPr>
          <w:kern w:val="2"/>
          <w:szCs w:val="24"/>
        </w:rPr>
      </w:pPr>
      <w:r w:rsidRPr="00A74B93">
        <w:rPr>
          <w:kern w:val="2"/>
        </w:rPr>
        <w:t>G.</w:t>
      </w:r>
      <w:r w:rsidRPr="00A74B93">
        <w:rPr>
          <w:kern w:val="2"/>
        </w:rPr>
        <w:tab/>
        <w:t>tā kā kopuzņēmums “Inovatīvas veselības aprūpes iniciatīva” ir publiskā un privātā sektora partnerība, kas vērsta uz starpdisciplināru, ilgtspējīgu un uz pacientiem orientētu pētniecību un inovāciju veselības aprūpes jomā;</w:t>
      </w:r>
    </w:p>
    <w:p w14:paraId="26A83094" w14:textId="77777777" w:rsidR="00A74B93" w:rsidRPr="00A74B93" w:rsidRDefault="00A74B93" w:rsidP="00A74B93">
      <w:pPr>
        <w:spacing w:after="240"/>
        <w:ind w:left="567" w:hanging="567"/>
        <w:rPr>
          <w:kern w:val="2"/>
          <w:szCs w:val="24"/>
        </w:rPr>
      </w:pPr>
      <w:r w:rsidRPr="00A74B93">
        <w:rPr>
          <w:kern w:val="2"/>
        </w:rPr>
        <w:t>H.</w:t>
      </w:r>
      <w:r w:rsidRPr="00A74B93">
        <w:rPr>
          <w:kern w:val="2"/>
        </w:rPr>
        <w:tab/>
        <w:t>tā kā kopuzņēmums “Tīrs ūdeņradis” ir publiskā un privātā sektora partnerība ūdeņraža un kurināmā elementu tehnoloģiju pētniecības un inovācijas jomā;</w:t>
      </w:r>
    </w:p>
    <w:p w14:paraId="1D5C75BC" w14:textId="77777777" w:rsidR="00A74B93" w:rsidRPr="00A74B93" w:rsidRDefault="00A74B93" w:rsidP="00A74B93">
      <w:pPr>
        <w:spacing w:after="240"/>
        <w:ind w:left="567" w:hanging="567"/>
        <w:rPr>
          <w:kern w:val="2"/>
          <w:szCs w:val="24"/>
        </w:rPr>
      </w:pPr>
      <w:r w:rsidRPr="00A74B93">
        <w:rPr>
          <w:kern w:val="2"/>
        </w:rPr>
        <w:t>I.</w:t>
      </w:r>
      <w:r w:rsidRPr="00A74B93">
        <w:rPr>
          <w:kern w:val="2"/>
        </w:rPr>
        <w:tab/>
        <w:t xml:space="preserve">tā kā kopuzņēmums “Mikroshēmas” ir publiskā un privātā sektora partnerība, kas vērsta </w:t>
      </w:r>
      <w:r w:rsidRPr="00A74B93">
        <w:rPr>
          <w:kern w:val="2"/>
        </w:rPr>
        <w:lastRenderedPageBreak/>
        <w:t>uz pētniecību un inovāciju svarīgās digitālajās tehnoloģijās, kuras ir būtiskas Eiropas konkurētspējīgai līderībai digitālajā ekonomikā, jo īpaši elektronisko komponentu un sistēmu nozarē;</w:t>
      </w:r>
    </w:p>
    <w:p w14:paraId="7F1D6A36" w14:textId="77777777" w:rsidR="00A74B93" w:rsidRPr="00A74B93" w:rsidRDefault="00A74B93" w:rsidP="00A74B93">
      <w:pPr>
        <w:spacing w:after="240"/>
        <w:ind w:left="567" w:hanging="567"/>
        <w:rPr>
          <w:kern w:val="2"/>
          <w:szCs w:val="24"/>
        </w:rPr>
      </w:pPr>
      <w:r w:rsidRPr="00A74B93">
        <w:rPr>
          <w:kern w:val="2"/>
        </w:rPr>
        <w:t>J.</w:t>
      </w:r>
      <w:r w:rsidRPr="00A74B93">
        <w:rPr>
          <w:kern w:val="2"/>
        </w:rPr>
        <w:tab/>
        <w:t>tā kā kopuzņēmums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ir publiskā un privātā sektora partnerība, kas vērsta uz pētniecību un inovāciju ilgtspējīgai un konkurētspējīgai </w:t>
      </w:r>
      <w:proofErr w:type="spellStart"/>
      <w:r w:rsidRPr="00A74B93">
        <w:rPr>
          <w:kern w:val="2"/>
        </w:rPr>
        <w:t>apritīgas</w:t>
      </w:r>
      <w:proofErr w:type="spellEnd"/>
      <w:r w:rsidRPr="00A74B93">
        <w:rPr>
          <w:kern w:val="2"/>
        </w:rPr>
        <w:t xml:space="preserve"> </w:t>
      </w:r>
      <w:proofErr w:type="spellStart"/>
      <w:r w:rsidRPr="00A74B93">
        <w:rPr>
          <w:kern w:val="2"/>
        </w:rPr>
        <w:t>biorūpniecības</w:t>
      </w:r>
      <w:proofErr w:type="spellEnd"/>
      <w:r w:rsidRPr="00A74B93">
        <w:rPr>
          <w:kern w:val="2"/>
        </w:rPr>
        <w:t xml:space="preserve"> nozarei;</w:t>
      </w:r>
    </w:p>
    <w:p w14:paraId="26808D4F" w14:textId="77777777" w:rsidR="00A74B93" w:rsidRPr="00A74B93" w:rsidRDefault="00A74B93" w:rsidP="00A74B93">
      <w:pPr>
        <w:spacing w:after="240"/>
        <w:ind w:left="567" w:hanging="567"/>
        <w:rPr>
          <w:kern w:val="2"/>
          <w:szCs w:val="24"/>
        </w:rPr>
      </w:pPr>
      <w:r w:rsidRPr="00A74B93">
        <w:rPr>
          <w:kern w:val="2"/>
        </w:rPr>
        <w:t>K.</w:t>
      </w:r>
      <w:r w:rsidRPr="00A74B93">
        <w:rPr>
          <w:kern w:val="2"/>
        </w:rPr>
        <w:tab/>
        <w:t>tā kā kopuzņēmums “Eiropas dzelzceļš” ir publiskā un privātā sektora partnerība pētniecības un inovācijas jomā dzelzceļa nozarē;</w:t>
      </w:r>
    </w:p>
    <w:p w14:paraId="2CB9D48F" w14:textId="77777777" w:rsidR="00A74B93" w:rsidRPr="00A74B93" w:rsidRDefault="00A74B93" w:rsidP="00A74B93">
      <w:pPr>
        <w:spacing w:after="240"/>
        <w:ind w:left="567" w:hanging="567"/>
        <w:rPr>
          <w:kern w:val="2"/>
          <w:szCs w:val="24"/>
        </w:rPr>
      </w:pPr>
      <w:r w:rsidRPr="00A74B93">
        <w:rPr>
          <w:kern w:val="2"/>
        </w:rPr>
        <w:t>L.</w:t>
      </w:r>
      <w:r w:rsidRPr="00A74B93">
        <w:rPr>
          <w:kern w:val="2"/>
        </w:rPr>
        <w:tab/>
        <w:t xml:space="preserve">tā kā Eiropas Augstas veiktspējas </w:t>
      </w:r>
      <w:proofErr w:type="spellStart"/>
      <w:r w:rsidRPr="00A74B93">
        <w:rPr>
          <w:kern w:val="2"/>
        </w:rPr>
        <w:t>datošanas</w:t>
      </w:r>
      <w:proofErr w:type="spellEnd"/>
      <w:r w:rsidRPr="00A74B93">
        <w:rPr>
          <w:kern w:val="2"/>
        </w:rPr>
        <w:t xml:space="preserve"> kopuzņēmums ir publiskā un privātā sektora partnerība, kas ļauj apvienot resursus augstas veiktspējas </w:t>
      </w:r>
      <w:proofErr w:type="spellStart"/>
      <w:r w:rsidRPr="00A74B93">
        <w:rPr>
          <w:kern w:val="2"/>
        </w:rPr>
        <w:t>datošanas</w:t>
      </w:r>
      <w:proofErr w:type="spellEnd"/>
      <w:r w:rsidRPr="00A74B93">
        <w:rPr>
          <w:kern w:val="2"/>
        </w:rPr>
        <w:t xml:space="preserve"> attīstībai un ieviešanai Eiropā;</w:t>
      </w:r>
    </w:p>
    <w:p w14:paraId="701C4903" w14:textId="77777777" w:rsidR="00A74B93" w:rsidRPr="00A74B93" w:rsidRDefault="00A74B93" w:rsidP="00A74B93">
      <w:pPr>
        <w:spacing w:after="240"/>
        <w:ind w:left="567" w:hanging="567"/>
        <w:rPr>
          <w:kern w:val="2"/>
          <w:szCs w:val="24"/>
        </w:rPr>
      </w:pPr>
      <w:r w:rsidRPr="00A74B93">
        <w:rPr>
          <w:kern w:val="2"/>
        </w:rPr>
        <w:t>M.</w:t>
      </w:r>
      <w:r w:rsidRPr="00A74B93">
        <w:rPr>
          <w:kern w:val="2"/>
        </w:rPr>
        <w:tab/>
        <w:t>tā kā kopuzņēmums “Viedie tīkli un pakalpojumi” ir publiskā un privātā sektora partnerība, kas vērsta uz Eiropas tehnoloģiskās līderības stiprināšanu un stratēģisko saskaņošanu ar telesakaru nozari un digitālo risinājumu ieviešanas veicināšanu;</w:t>
      </w:r>
    </w:p>
    <w:p w14:paraId="0829FAD8" w14:textId="77777777" w:rsidR="00A74B93" w:rsidRPr="00A74B93" w:rsidRDefault="00A74B93" w:rsidP="00A74B93">
      <w:pPr>
        <w:spacing w:after="240"/>
        <w:ind w:left="567" w:hanging="567"/>
        <w:rPr>
          <w:kern w:val="2"/>
          <w:szCs w:val="24"/>
        </w:rPr>
      </w:pPr>
      <w:r w:rsidRPr="00A74B93">
        <w:rPr>
          <w:kern w:val="2"/>
        </w:rPr>
        <w:t>N.</w:t>
      </w:r>
      <w:r w:rsidRPr="00A74B93">
        <w:rPr>
          <w:kern w:val="2"/>
        </w:rPr>
        <w:tab/>
        <w:t>tā kā kopuzņēmums “</w:t>
      </w:r>
      <w:proofErr w:type="spellStart"/>
      <w:r w:rsidRPr="00A74B93">
        <w:rPr>
          <w:i/>
          <w:iCs/>
          <w:kern w:val="2"/>
        </w:rPr>
        <w:t>Global</w:t>
      </w:r>
      <w:proofErr w:type="spellEnd"/>
      <w:r w:rsidRPr="00A74B93">
        <w:rPr>
          <w:i/>
          <w:iCs/>
          <w:kern w:val="2"/>
        </w:rPr>
        <w:t xml:space="preserve"> Health EDCTP3</w:t>
      </w:r>
      <w:r w:rsidRPr="00A74B93">
        <w:rPr>
          <w:kern w:val="2"/>
        </w:rPr>
        <w:t xml:space="preserve">” ir publiskā un privātā sektora partnerība, kas vērsta uz infekcijas slimību radītā sociālekonomiskā sloga samazināšanu </w:t>
      </w:r>
      <w:proofErr w:type="spellStart"/>
      <w:r w:rsidRPr="00A74B93">
        <w:rPr>
          <w:kern w:val="2"/>
        </w:rPr>
        <w:t>Subsahāras</w:t>
      </w:r>
      <w:proofErr w:type="spellEnd"/>
      <w:r w:rsidRPr="00A74B93">
        <w:rPr>
          <w:kern w:val="2"/>
        </w:rPr>
        <w:t xml:space="preserve"> Āfrikā, pateicoties jauniem un uzlabotiem veselības aprūpes tehnoloģiju lietojumiem, kā arī uz to, lai uzlabotu sagatavotību infekcijas slimībām un reaģēšanu uz tām pasaules mērogā;</w:t>
      </w:r>
    </w:p>
    <w:p w14:paraId="4D88E298" w14:textId="77777777" w:rsidR="00A74B93" w:rsidRPr="00A74B93" w:rsidRDefault="00A74B93" w:rsidP="00A74B93">
      <w:pPr>
        <w:spacing w:after="240"/>
        <w:ind w:left="567" w:hanging="567"/>
        <w:rPr>
          <w:kern w:val="2"/>
          <w:szCs w:val="24"/>
        </w:rPr>
      </w:pPr>
      <w:r w:rsidRPr="00A74B93">
        <w:rPr>
          <w:kern w:val="2"/>
        </w:rPr>
        <w:t>O.</w:t>
      </w:r>
      <w:r w:rsidRPr="00A74B93">
        <w:rPr>
          <w:kern w:val="2"/>
        </w:rPr>
        <w:tab/>
        <w:t xml:space="preserve">tā kā </w:t>
      </w:r>
      <w:r w:rsidRPr="00A74B93">
        <w:rPr>
          <w:i/>
          <w:kern w:val="2"/>
        </w:rPr>
        <w:t>ITER</w:t>
      </w:r>
      <w:r w:rsidRPr="00A74B93">
        <w:rPr>
          <w:kern w:val="2"/>
        </w:rPr>
        <w:t xml:space="preserve"> un kodolsintēzes enerģētikas attīstības vajadzībām izveidotā Eiropas kopuzņēmuma mērķis ir nodrošināt Savienības ieguldījumu </w:t>
      </w:r>
      <w:r w:rsidRPr="00A74B93">
        <w:rPr>
          <w:i/>
          <w:kern w:val="2"/>
        </w:rPr>
        <w:t>ITER</w:t>
      </w:r>
      <w:r w:rsidRPr="00A74B93">
        <w:rPr>
          <w:kern w:val="2"/>
        </w:rPr>
        <w:t xml:space="preserve"> starptautiskajā kodolsintēzes enerģijas projektā, īstenot plašākas pieejas nolīgumu starp </w:t>
      </w:r>
      <w:r w:rsidRPr="00A74B93">
        <w:rPr>
          <w:i/>
          <w:kern w:val="2"/>
        </w:rPr>
        <w:t>Euratom</w:t>
      </w:r>
      <w:r w:rsidRPr="00A74B93">
        <w:rPr>
          <w:kern w:val="2"/>
        </w:rPr>
        <w:t xml:space="preserve"> un Japānu un sagatavoties demonstrējumu kodolsintēzes reaktora un saistītu objektu būvniecībai,</w:t>
      </w:r>
    </w:p>
    <w:p w14:paraId="1769CEEB" w14:textId="77777777" w:rsidR="00A74B93" w:rsidRPr="00A74B93" w:rsidRDefault="00A74B93" w:rsidP="00A74B93">
      <w:pPr>
        <w:spacing w:after="240"/>
        <w:ind w:left="567" w:hanging="567"/>
        <w:rPr>
          <w:b/>
          <w:iCs/>
          <w:kern w:val="2"/>
        </w:rPr>
      </w:pPr>
      <w:r w:rsidRPr="00A74B93">
        <w:rPr>
          <w:b/>
          <w:iCs/>
          <w:kern w:val="2"/>
        </w:rPr>
        <w:t>Vispārīgas piezīmes</w:t>
      </w:r>
    </w:p>
    <w:p w14:paraId="5133BDD9" w14:textId="77777777" w:rsidR="00A74B93" w:rsidRPr="00A74B93" w:rsidRDefault="00A74B93" w:rsidP="00A74B93">
      <w:pPr>
        <w:spacing w:after="240"/>
        <w:ind w:left="567" w:hanging="567"/>
        <w:rPr>
          <w:kern w:val="2"/>
          <w:szCs w:val="24"/>
          <w:lang w:eastAsia="en-US"/>
        </w:rPr>
      </w:pPr>
      <w:r w:rsidRPr="00A74B93">
        <w:rPr>
          <w:kern w:val="2"/>
          <w:szCs w:val="24"/>
          <w:lang w:eastAsia="en-US"/>
        </w:rPr>
        <w:t>1.</w:t>
      </w:r>
      <w:r w:rsidRPr="00A74B93">
        <w:rPr>
          <w:kern w:val="2"/>
          <w:szCs w:val="24"/>
          <w:lang w:eastAsia="en-US"/>
        </w:rPr>
        <w:tab/>
        <w:t xml:space="preserve">norāda, ka kopuzņēmumiem būtu jāpilda uzdevums atbalstīt pētniecības un inovācijas darbības tādās jomās kā transports, enerģētika, veselība, </w:t>
      </w:r>
      <w:proofErr w:type="spellStart"/>
      <w:r w:rsidRPr="00A74B93">
        <w:rPr>
          <w:kern w:val="2"/>
          <w:szCs w:val="24"/>
          <w:lang w:eastAsia="en-US"/>
        </w:rPr>
        <w:t>apritīga</w:t>
      </w:r>
      <w:proofErr w:type="spellEnd"/>
      <w:r w:rsidRPr="00A74B93">
        <w:rPr>
          <w:kern w:val="2"/>
          <w:szCs w:val="24"/>
          <w:lang w:eastAsia="en-US"/>
        </w:rPr>
        <w:t xml:space="preserve"> </w:t>
      </w:r>
      <w:proofErr w:type="spellStart"/>
      <w:r w:rsidRPr="00A74B93">
        <w:rPr>
          <w:kern w:val="2"/>
          <w:szCs w:val="24"/>
          <w:lang w:eastAsia="en-US"/>
        </w:rPr>
        <w:t>biobāzēta</w:t>
      </w:r>
      <w:proofErr w:type="spellEnd"/>
      <w:r w:rsidRPr="00A74B93">
        <w:rPr>
          <w:kern w:val="2"/>
          <w:szCs w:val="24"/>
          <w:lang w:eastAsia="en-US"/>
        </w:rPr>
        <w:t xml:space="preserve"> rūpniecība, svarīgi elektroniskie komponenti, </w:t>
      </w:r>
      <w:proofErr w:type="spellStart"/>
      <w:r w:rsidRPr="00A74B93">
        <w:rPr>
          <w:kern w:val="2"/>
          <w:szCs w:val="24"/>
          <w:lang w:eastAsia="en-US"/>
        </w:rPr>
        <w:t>superdatošana</w:t>
      </w:r>
      <w:proofErr w:type="spellEnd"/>
      <w:r w:rsidRPr="00A74B93">
        <w:rPr>
          <w:kern w:val="2"/>
          <w:szCs w:val="24"/>
          <w:lang w:eastAsia="en-US"/>
        </w:rPr>
        <w:t xml:space="preserve"> un tīklu sistēmas; aicina kopuzņēmumus veicināt zinātnes atziņu pārvēršanu realizējamās inovācijās un izveidot mehānismus, kas nodrošinātu, ka kopuzņēmumu darbība palielina Eiropas konkurētspēju pasaulē;</w:t>
      </w:r>
    </w:p>
    <w:p w14:paraId="49071BAD" w14:textId="77777777" w:rsidR="00A74B93" w:rsidRPr="00A74B93" w:rsidRDefault="00A74B93" w:rsidP="00A74B93">
      <w:pPr>
        <w:spacing w:after="240"/>
        <w:ind w:left="567" w:hanging="567"/>
        <w:rPr>
          <w:kern w:val="2"/>
          <w:szCs w:val="24"/>
        </w:rPr>
      </w:pPr>
      <w:r w:rsidRPr="00A74B93">
        <w:rPr>
          <w:kern w:val="2"/>
        </w:rPr>
        <w:t>2.</w:t>
      </w:r>
      <w:r w:rsidRPr="00A74B93">
        <w:rPr>
          <w:kern w:val="2"/>
        </w:rPr>
        <w:tab/>
        <w:t>uzsver – kā norādījusi Revīzijas palāta, saskaņā ar pašreizējo daudzgadu finanšu shēmu kopuzņēmumiem kopā būtu no Savienības jāsaņem naudas iemaksas 17 miljardu EUR apmērā un jāpiesaista citu dalībnieku iemaksas 21,1 miljarda EUR apmērā;</w:t>
      </w:r>
    </w:p>
    <w:p w14:paraId="30BDA0A1" w14:textId="77777777" w:rsidR="00A74B93" w:rsidRPr="00A74B93" w:rsidRDefault="00A74B93" w:rsidP="00A74B93">
      <w:pPr>
        <w:spacing w:after="240"/>
        <w:ind w:left="567" w:hanging="567"/>
        <w:rPr>
          <w:kern w:val="2"/>
        </w:rPr>
      </w:pPr>
      <w:r w:rsidRPr="00A74B93">
        <w:rPr>
          <w:kern w:val="2"/>
        </w:rPr>
        <w:t>3.</w:t>
      </w:r>
      <w:r w:rsidRPr="00A74B93">
        <w:rPr>
          <w:kern w:val="2"/>
        </w:rPr>
        <w:tab/>
        <w:t xml:space="preserve">norāda, ka kopuzņēmumi pēc savas būtības balstās uz publiskā un privātā sektora partnerībām, kas virza investīcijas un piesaista publiskos un privātos līdzekļus kopīgu mērķu finansēšanai; šajā sakarībā atgādina, ka privāto dalībnieku ieguldījumam ir jāatbilst noteiktajiem </w:t>
      </w:r>
      <w:proofErr w:type="spellStart"/>
      <w:r w:rsidRPr="00A74B93">
        <w:rPr>
          <w:kern w:val="2"/>
        </w:rPr>
        <w:t>mērķrādītājiem</w:t>
      </w:r>
      <w:proofErr w:type="spellEnd"/>
      <w:r w:rsidRPr="00A74B93">
        <w:rPr>
          <w:kern w:val="2"/>
        </w:rPr>
        <w:t xml:space="preserve">, lai šādas partnerības arī turpmāk būtu abpusēji izdevīgas; aicina kopuzņēmumus, kas atļauj ieguldījumus natūrā papildu pasākumos, pēc iespējas izvairīties no tā, ka noteikto </w:t>
      </w:r>
      <w:proofErr w:type="spellStart"/>
      <w:r w:rsidRPr="00A74B93">
        <w:rPr>
          <w:kern w:val="2"/>
        </w:rPr>
        <w:t>mērķrādītāju</w:t>
      </w:r>
      <w:proofErr w:type="spellEnd"/>
      <w:r w:rsidRPr="00A74B93">
        <w:rPr>
          <w:kern w:val="2"/>
        </w:rPr>
        <w:t xml:space="preserve"> sasniegšanai tiek pārmērīgi izmantots šāds ieguldījums;</w:t>
      </w:r>
    </w:p>
    <w:p w14:paraId="75C7FFBA" w14:textId="77777777" w:rsidR="00A74B93" w:rsidRPr="00A74B93" w:rsidRDefault="00A74B93" w:rsidP="00A74B93">
      <w:pPr>
        <w:spacing w:after="240"/>
        <w:ind w:left="567" w:hanging="567"/>
        <w:rPr>
          <w:kern w:val="2"/>
        </w:rPr>
      </w:pPr>
      <w:r w:rsidRPr="00A74B93">
        <w:rPr>
          <w:kern w:val="2"/>
        </w:rPr>
        <w:lastRenderedPageBreak/>
        <w:t>4.</w:t>
      </w:r>
      <w:r w:rsidRPr="00A74B93">
        <w:rPr>
          <w:kern w:val="2"/>
        </w:rPr>
        <w:tab/>
        <w:t>atzīst kopuzņēmumu nozīmīgo ieguldījumu pētniecības, inovācijas un tehnoloģiju izstrādes veicināšanā dažādās nozarēs, tostarp aviācijā, dzelzceļā un gaisa satiksmes pārvaldībā, kas ir nepieciešams Savienības stratēģisko mērķu – ilgtspējas, digitālās pārveides un konkurētspējas – sasniegšanai;</w:t>
      </w:r>
    </w:p>
    <w:p w14:paraId="14AA681A" w14:textId="77777777" w:rsidR="00A74B93" w:rsidRPr="00A74B93" w:rsidRDefault="00A74B93" w:rsidP="00A74B93">
      <w:pPr>
        <w:spacing w:after="240"/>
        <w:ind w:left="567" w:hanging="567"/>
        <w:rPr>
          <w:kern w:val="2"/>
          <w:szCs w:val="24"/>
        </w:rPr>
      </w:pPr>
      <w:r w:rsidRPr="00A74B93">
        <w:rPr>
          <w:kern w:val="2"/>
        </w:rPr>
        <w:t>5.</w:t>
      </w:r>
      <w:r w:rsidRPr="00A74B93">
        <w:rPr>
          <w:kern w:val="2"/>
        </w:rPr>
        <w:tab/>
        <w:t>atzinīgi vērtē Revīzijas palātas gada ziņojumu par Eiropas Savienības kopuzņēmumiem attiecībā uz 2023. finanšu gadu (“Revīzijas palātas ziņojums”); uzsver, ka Revīzijas palātas darba uzdevumam ir izšķiroša nozīme Savienības budžeta pareizā izpildē un budžeta uzraudzībā;</w:t>
      </w:r>
    </w:p>
    <w:p w14:paraId="686865B7" w14:textId="77777777" w:rsidR="00A74B93" w:rsidRPr="00A74B93" w:rsidRDefault="00A74B93" w:rsidP="00A74B93">
      <w:pPr>
        <w:spacing w:after="240"/>
        <w:ind w:left="567" w:hanging="567"/>
        <w:rPr>
          <w:kern w:val="2"/>
          <w:szCs w:val="24"/>
        </w:rPr>
      </w:pPr>
      <w:r w:rsidRPr="00A74B93">
        <w:rPr>
          <w:kern w:val="2"/>
        </w:rPr>
        <w:t>6.</w:t>
      </w:r>
      <w:r w:rsidRPr="00A74B93">
        <w:rPr>
          <w:kern w:val="2"/>
        </w:rPr>
        <w:tab/>
        <w:t xml:space="preserve">atzinīgi vērtē to, ka Revīzijas palāta ir iesniegusi budžeta izpildes </w:t>
      </w:r>
      <w:proofErr w:type="spellStart"/>
      <w:r w:rsidRPr="00A74B93">
        <w:rPr>
          <w:kern w:val="2"/>
        </w:rPr>
        <w:t>apstiprinātājiestādei</w:t>
      </w:r>
      <w:proofErr w:type="spellEnd"/>
      <w:r w:rsidRPr="00A74B93">
        <w:rPr>
          <w:kern w:val="2"/>
        </w:rPr>
        <w:t xml:space="preserve"> gada ziņojumu par ES kopuzņēmumiem, kurš ietver īpašu ticamības deklarāciju par katra kopuzņēmuma pārskatu ticamību un pakārtoto darījumu likumību un pareizību; piekrīt viedoklim, ka Revīzijas palātai ir jāpievērš īpaša uzmanība kopuzņēmumiem ne vien tai saistošo tiesību normu dēļ, bet arī ņemot vērā to institucionālo satvaru; aicina šo labo praksi turpināt; atzinīgi vērtē kopuzņēmumu labo sadarbību ar Revīzijas palātu tās ziņojuma sagatavošanas laikā un atzinīgi vērtē kopuzņēmumu atbildēs sniegtos skaidrojumus par dažiem konstatējumiem un apstākļu akcentējumiem;</w:t>
      </w:r>
    </w:p>
    <w:p w14:paraId="08130722" w14:textId="77777777" w:rsidR="00A74B93" w:rsidRPr="00A74B93" w:rsidRDefault="00A74B93" w:rsidP="00A74B93">
      <w:pPr>
        <w:spacing w:after="240"/>
        <w:ind w:left="567" w:hanging="567"/>
        <w:rPr>
          <w:kern w:val="2"/>
          <w:szCs w:val="24"/>
        </w:rPr>
      </w:pPr>
      <w:r w:rsidRPr="00A74B93">
        <w:rPr>
          <w:kern w:val="2"/>
        </w:rPr>
        <w:t>7.</w:t>
      </w:r>
      <w:r w:rsidRPr="00A74B93">
        <w:rPr>
          <w:kern w:val="2"/>
        </w:rPr>
        <w:tab/>
        <w:t>atzinīgi vērtē to, ka divi kopuzņēmumi 2023. finanšu gadā ieguva finansiālu autonomiju, proti, kopuzņēmums “Viedie tīkli un pakalpojumi” 2023. gada 24. oktobrī un kopuzņēmums “</w:t>
      </w:r>
      <w:proofErr w:type="spellStart"/>
      <w:r w:rsidRPr="00A74B93">
        <w:rPr>
          <w:i/>
          <w:iCs/>
          <w:kern w:val="2"/>
        </w:rPr>
        <w:t>Global</w:t>
      </w:r>
      <w:proofErr w:type="spellEnd"/>
      <w:r w:rsidRPr="00A74B93">
        <w:rPr>
          <w:i/>
          <w:iCs/>
          <w:kern w:val="2"/>
        </w:rPr>
        <w:t xml:space="preserve"> Health EDCTP3</w:t>
      </w:r>
      <w:r w:rsidRPr="00A74B93">
        <w:rPr>
          <w:kern w:val="2"/>
        </w:rPr>
        <w:t>” 2023. gada 23. novembrī; turklāt norāda, ka tā rezultātā Revīzijas palāta pirmo reizi revidēja šos divus kopuzņēmumus papildus deviņiem kopuzņēmumiem, kurus Revīzijas palāta jau bija revidējusi attiecībā uz 2022. finanšu gadu;</w:t>
      </w:r>
    </w:p>
    <w:p w14:paraId="5D055B2C" w14:textId="77777777" w:rsidR="00A74B93" w:rsidRPr="00A74B93" w:rsidRDefault="00A74B93" w:rsidP="00A74B93">
      <w:pPr>
        <w:spacing w:after="240"/>
        <w:ind w:left="567" w:hanging="567"/>
        <w:rPr>
          <w:kern w:val="2"/>
          <w:szCs w:val="24"/>
        </w:rPr>
      </w:pPr>
      <w:r w:rsidRPr="00A74B93">
        <w:rPr>
          <w:kern w:val="2"/>
        </w:rPr>
        <w:t>8.</w:t>
      </w:r>
      <w:r w:rsidRPr="00A74B93">
        <w:rPr>
          <w:kern w:val="2"/>
        </w:rPr>
        <w:tab/>
        <w:t>uzsver, ka ir informēts par to, ka dažus kopuzņēmumus 2023. finanšu gadā būtiski ietekmēja svarīgi notikumi, kas varēja mainīt to sniegumu; precīzāk, uzsver, ka:</w:t>
      </w:r>
    </w:p>
    <w:p w14:paraId="31878D30" w14:textId="77777777" w:rsidR="00A74B93" w:rsidRPr="00A74B93" w:rsidRDefault="00A74B93" w:rsidP="00A74B93">
      <w:pPr>
        <w:spacing w:after="240"/>
        <w:ind w:left="1134" w:hanging="567"/>
        <w:rPr>
          <w:kern w:val="2"/>
          <w:szCs w:val="24"/>
        </w:rPr>
      </w:pPr>
      <w:r w:rsidRPr="00A74B93">
        <w:rPr>
          <w:kern w:val="2"/>
        </w:rPr>
        <w:t>a)</w:t>
      </w:r>
      <w:r w:rsidRPr="00A74B93">
        <w:rPr>
          <w:kern w:val="2"/>
        </w:rPr>
        <w:tab/>
        <w:t>Krievijas agresijas karš pret Ukrainu ir būtiski iespaidojis Savienības ekonomiku un piegādes ķēdes, lielā mērā ietekmējot dažu kopuzņēmumu darbības;</w:t>
      </w:r>
    </w:p>
    <w:p w14:paraId="38403AFC" w14:textId="77777777" w:rsidR="00A74B93" w:rsidRPr="00A74B93" w:rsidRDefault="00A74B93" w:rsidP="00A74B93">
      <w:pPr>
        <w:spacing w:after="240"/>
        <w:ind w:left="1134" w:hanging="567"/>
        <w:rPr>
          <w:kern w:val="2"/>
          <w:szCs w:val="24"/>
        </w:rPr>
      </w:pPr>
      <w:r w:rsidRPr="00A74B93">
        <w:rPr>
          <w:kern w:val="2"/>
        </w:rPr>
        <w:t>b)</w:t>
      </w:r>
      <w:r w:rsidRPr="00A74B93">
        <w:rPr>
          <w:kern w:val="2"/>
        </w:rPr>
        <w:tab/>
        <w:t>Covid-19 pandēmijas sekas vēl tagad ir jūtamas visā Eiropā un 2023. finanšu gadā tās joprojām bija milzīgs trieciens saimnieciskajām un administratīvajām darbībām;</w:t>
      </w:r>
    </w:p>
    <w:p w14:paraId="1323B981" w14:textId="77777777" w:rsidR="00A74B93" w:rsidRPr="00A74B93" w:rsidRDefault="00A74B93" w:rsidP="00A74B93">
      <w:pPr>
        <w:spacing w:after="240"/>
        <w:ind w:left="1134" w:hanging="567"/>
        <w:rPr>
          <w:kern w:val="2"/>
        </w:rPr>
      </w:pPr>
      <w:r w:rsidRPr="00A74B93">
        <w:rPr>
          <w:kern w:val="2"/>
        </w:rPr>
        <w:t>c)</w:t>
      </w:r>
      <w:r w:rsidRPr="00A74B93">
        <w:rPr>
          <w:kern w:val="2"/>
        </w:rPr>
        <w:tab/>
        <w:t>kopuzņēmumu piegādes un to izpildes laiku ietekmēja augstais inflācijas līmenis, ko izraisīja abi iepriekš minētie notikumi;</w:t>
      </w:r>
    </w:p>
    <w:p w14:paraId="5C90492D" w14:textId="77777777" w:rsidR="00A74B93" w:rsidRPr="00A74B93" w:rsidRDefault="00A74B93" w:rsidP="00A74B93">
      <w:pPr>
        <w:spacing w:after="240"/>
        <w:ind w:left="567" w:hanging="567"/>
        <w:rPr>
          <w:kern w:val="2"/>
        </w:rPr>
      </w:pPr>
      <w:r w:rsidRPr="00A74B93">
        <w:rPr>
          <w:kern w:val="2"/>
        </w:rPr>
        <w:t>9.</w:t>
      </w:r>
      <w:r w:rsidRPr="00A74B93">
        <w:rPr>
          <w:kern w:val="2"/>
        </w:rPr>
        <w:tab/>
        <w:t xml:space="preserve">atzīst kopuzņēmumu sniegtās priekšrocības un publiskā un privātā sektora sadarbības nozīmi inovācijas veicināšanā un pētniecības un izstrādes sekmēšanā, kā arī partnerību nodrošinātos ekonomiskos ieguvumus; norāda, ka kopuzņēmumi, apvienojot abu sektoru – publiskā un privātā – resursus un speciālās zināšanas, var efektīvāk pārvarēt pārbaudījumus; uzsver to, cik svarīga ir kopuzņēmumu </w:t>
      </w:r>
      <w:proofErr w:type="spellStart"/>
      <w:r w:rsidRPr="00A74B93">
        <w:rPr>
          <w:kern w:val="2"/>
        </w:rPr>
        <w:t>pārredzamība</w:t>
      </w:r>
      <w:proofErr w:type="spellEnd"/>
      <w:r w:rsidRPr="00A74B93">
        <w:rPr>
          <w:kern w:val="2"/>
        </w:rPr>
        <w:t xml:space="preserve">, </w:t>
      </w:r>
      <w:proofErr w:type="spellStart"/>
      <w:r w:rsidRPr="00A74B93">
        <w:rPr>
          <w:kern w:val="2"/>
        </w:rPr>
        <w:t>pārskatatbildība</w:t>
      </w:r>
      <w:proofErr w:type="spellEnd"/>
      <w:r w:rsidRPr="00A74B93">
        <w:rPr>
          <w:kern w:val="2"/>
        </w:rPr>
        <w:t xml:space="preserve"> un tiem piešķirto publisko līdzekļu efektīva izmantošana;</w:t>
      </w:r>
    </w:p>
    <w:p w14:paraId="26542FD9" w14:textId="77777777" w:rsidR="00A74B93" w:rsidRPr="00A74B93" w:rsidRDefault="00A74B93" w:rsidP="00A74B93">
      <w:pPr>
        <w:spacing w:after="240"/>
        <w:ind w:left="567" w:hanging="567"/>
        <w:rPr>
          <w:kern w:val="2"/>
        </w:rPr>
      </w:pPr>
      <w:r w:rsidRPr="00A74B93">
        <w:rPr>
          <w:kern w:val="2"/>
        </w:rPr>
        <w:t>10.</w:t>
      </w:r>
      <w:r w:rsidRPr="00A74B93">
        <w:rPr>
          <w:kern w:val="2"/>
        </w:rPr>
        <w:tab/>
        <w:t xml:space="preserve">atzīst, ka iniciatīvām, kas veicina ieinteresēto personu iesaisti un līdzdalību, piemēram, atklātiem uzaicinājumiem izteikt ieinteresētību un kopuzņēmumu kopīgiem uzaicinājumiem iesniegt priekšlikumus, ir būtiska nozīme kolektīvo zināšanu un resursu izmantošanā; vērš īpašu uzmanību uz kopīgo uzaicinājumu iesniegt priekšlikumus, ko izsludināja kopuzņēmums “Eiropas dzelzceļš” un kopuzņēmums “Eiropas vienotās </w:t>
      </w:r>
      <w:r w:rsidRPr="00A74B93">
        <w:rPr>
          <w:kern w:val="2"/>
        </w:rPr>
        <w:lastRenderedPageBreak/>
        <w:t xml:space="preserve">gaisa telpas </w:t>
      </w:r>
      <w:r w:rsidRPr="00A74B93">
        <w:rPr>
          <w:i/>
          <w:iCs/>
          <w:kern w:val="2"/>
        </w:rPr>
        <w:t>ATM</w:t>
      </w:r>
      <w:r w:rsidRPr="00A74B93">
        <w:rPr>
          <w:kern w:val="2"/>
        </w:rPr>
        <w:t xml:space="preserve"> pētniecība 3”, – tas ir pirmais kopīgais šāda veida kopuzņēmumu uzaicinājums, kura mērķis ir attīstīt integrētu gaisa un dzelzceļa tīklu ilgtspējīgai multimodālai transporta sistēmai;</w:t>
      </w:r>
    </w:p>
    <w:p w14:paraId="06BC4BE9" w14:textId="77777777" w:rsidR="00A74B93" w:rsidRPr="00A74B93" w:rsidRDefault="00A74B93" w:rsidP="00A74B93">
      <w:pPr>
        <w:spacing w:after="240"/>
        <w:ind w:left="567" w:hanging="567"/>
        <w:rPr>
          <w:kern w:val="2"/>
        </w:rPr>
      </w:pPr>
      <w:r w:rsidRPr="00A74B93">
        <w:rPr>
          <w:kern w:val="2"/>
        </w:rPr>
        <w:t>11.</w:t>
      </w:r>
      <w:r w:rsidRPr="00A74B93">
        <w:rPr>
          <w:kern w:val="2"/>
        </w:rPr>
        <w:tab/>
        <w:t>atgādina, ka kopuzņēmumiem savas darbības jāīsteno saskaņā ar pareizu finanšu pārvaldību, tādējādi efektīvi veicinot Savienības politikas mērķu sasniegšanu, kā arī Savienības budžeta pareizu izpildi; tomēr pauž bažas par vairākiem elementiem, ņemot vērā šajā rezolūcijā izklāstītos Revīzijas palātas konstatējumus;</w:t>
      </w:r>
    </w:p>
    <w:p w14:paraId="00B8E657" w14:textId="77777777" w:rsidR="00A74B93" w:rsidRPr="00A74B93" w:rsidRDefault="00A74B93" w:rsidP="00A74B93">
      <w:pPr>
        <w:spacing w:after="240"/>
        <w:ind w:left="567" w:hanging="567"/>
        <w:rPr>
          <w:b/>
          <w:iCs/>
          <w:kern w:val="2"/>
        </w:rPr>
      </w:pPr>
      <w:r w:rsidRPr="00A74B93">
        <w:rPr>
          <w:b/>
          <w:iCs/>
          <w:kern w:val="2"/>
        </w:rPr>
        <w:t>Gada pārskati</w:t>
      </w:r>
    </w:p>
    <w:p w14:paraId="50695007" w14:textId="77777777" w:rsidR="00A74B93" w:rsidRPr="00A74B93" w:rsidRDefault="00A74B93" w:rsidP="00A74B93">
      <w:pPr>
        <w:spacing w:after="240"/>
        <w:ind w:left="567" w:hanging="567"/>
        <w:rPr>
          <w:kern w:val="2"/>
          <w:szCs w:val="24"/>
        </w:rPr>
      </w:pPr>
      <w:r w:rsidRPr="00A74B93">
        <w:rPr>
          <w:kern w:val="2"/>
        </w:rPr>
        <w:t>12.</w:t>
      </w:r>
      <w:r w:rsidRPr="00A74B93">
        <w:rPr>
          <w:kern w:val="2"/>
        </w:rPr>
        <w:tab/>
        <w:t xml:space="preserve">norāda, ka Revīzijas palātas ziņojumā konstatēts, ka revidēto vienpadsmit kopuzņēmumu 2023. gada pārskati visos būtiskajos aspektos patiesi atspoguļo to finanšu stāvokli 2023. gada 31. decembrī, to darbību rezultātus, naudas plūsmas un neto aktīvu pārmaiņas minētajā datumā slēgtajā gadā saskaņā ar to finanšu noteikumiem un Komisijas grāmatveža pieņemtajiem grāmatvedības noteikumiem; turklāt norāda, ka Revīzijas palāta tāpēc sniedza revīzijas atzinumus bez </w:t>
      </w:r>
      <w:proofErr w:type="spellStart"/>
      <w:r w:rsidRPr="00A74B93">
        <w:rPr>
          <w:kern w:val="2"/>
        </w:rPr>
        <w:t>iebildēm</w:t>
      </w:r>
      <w:proofErr w:type="spellEnd"/>
      <w:r w:rsidRPr="00A74B93">
        <w:rPr>
          <w:kern w:val="2"/>
        </w:rPr>
        <w:t xml:space="preserve"> par kopuzņēmumu gada pārskatu ticamību;</w:t>
      </w:r>
    </w:p>
    <w:p w14:paraId="732FEDC3" w14:textId="77777777" w:rsidR="00A74B93" w:rsidRPr="00A74B93" w:rsidRDefault="00A74B93" w:rsidP="00A74B93">
      <w:pPr>
        <w:spacing w:after="240"/>
        <w:ind w:left="567" w:hanging="567"/>
        <w:rPr>
          <w:kern w:val="2"/>
          <w:szCs w:val="24"/>
        </w:rPr>
      </w:pPr>
      <w:r w:rsidRPr="00A74B93">
        <w:rPr>
          <w:kern w:val="2"/>
        </w:rPr>
        <w:t>13.</w:t>
      </w:r>
      <w:r w:rsidRPr="00A74B93">
        <w:rPr>
          <w:kern w:val="2"/>
        </w:rPr>
        <w:tab/>
        <w:t xml:space="preserve">norāda, ka Revīzijas palātas ziņojumā atzīts, ka gada pārskatiem pakārtotie darījumi visos būtiskajos aspektos ir likumīgi un pareizi; turklāt norāda, ka Revīzijas palāta tāpēc sniedza revīzijas atzinumus bez </w:t>
      </w:r>
      <w:proofErr w:type="spellStart"/>
      <w:r w:rsidRPr="00A74B93">
        <w:rPr>
          <w:kern w:val="2"/>
        </w:rPr>
        <w:t>iebildēm</w:t>
      </w:r>
      <w:proofErr w:type="spellEnd"/>
      <w:r w:rsidRPr="00A74B93">
        <w:rPr>
          <w:kern w:val="2"/>
        </w:rPr>
        <w:t xml:space="preserve"> par kopuzņēmumu pārskatiem pakārtoto ieņēmumu un maksājumu likumību un pareizību;</w:t>
      </w:r>
    </w:p>
    <w:p w14:paraId="10C1599D" w14:textId="77777777" w:rsidR="00A74B93" w:rsidRPr="00A74B93" w:rsidRDefault="00A74B93" w:rsidP="00A74B93">
      <w:pPr>
        <w:spacing w:after="240"/>
        <w:ind w:left="567" w:hanging="567"/>
        <w:rPr>
          <w:kern w:val="2"/>
        </w:rPr>
      </w:pPr>
      <w:r w:rsidRPr="00A74B93">
        <w:rPr>
          <w:kern w:val="2"/>
        </w:rPr>
        <w:t>14.</w:t>
      </w:r>
      <w:r w:rsidRPr="00A74B93">
        <w:rPr>
          <w:kern w:val="2"/>
        </w:rPr>
        <w:tab/>
        <w:t>pieņem zināšanai to, ka Revīzijas palāta uzskata – kopuzņēmumam “Viedie tīkli un pakalpojumi” un kopuzņēmumam “</w:t>
      </w:r>
      <w:proofErr w:type="spellStart"/>
      <w:r w:rsidRPr="00A74B93">
        <w:rPr>
          <w:i/>
          <w:iCs/>
          <w:kern w:val="2"/>
        </w:rPr>
        <w:t>Global</w:t>
      </w:r>
      <w:proofErr w:type="spellEnd"/>
      <w:r w:rsidRPr="00A74B93">
        <w:rPr>
          <w:i/>
          <w:iCs/>
          <w:kern w:val="2"/>
        </w:rPr>
        <w:t xml:space="preserve"> Health EDCTP3</w:t>
      </w:r>
      <w:r w:rsidRPr="00A74B93">
        <w:rPr>
          <w:kern w:val="2"/>
        </w:rPr>
        <w:t>” netika sniegtas pietiekamas norādes par gada pārskatiem, kas tiem bija jāsniedz pirmo reizi, jo īpaši attiecībā uz nepieciešamību skaidri nošķirt finanšu resursus, ko pirms finansiālās autonomijas iegūšanas pārvaldīja Komisija un pēc tās iegūšanas – kopuzņēmumi; pievienojas Revīzijas palātas ieteikumam par to, kā rīkoties šajā saistībā, proti, būtu jāizstrādā skaidras un saprotamas vadlīnijas grāmatvedības veikšanai, tajās precizējot noteikumus par jaunu kopuzņēmumu pirmo gada pārskatu iesniegšanu, un šīm vadlīnijām būtu jāietver norādījumi par to, kā nošķirt Komisijas īstenotos finanšu resursus no tiem, ko kopuzņēmums īsteno pēc finansiālas autonomijas iegūšanas; norāda, ka risks, kādam pakļauta gada pārskatu ticamība, tika uzskatīts par zemu attiecībā uz visiem kopuzņēmumiem, izņemot kopuzņēmumu “Viedie tīkli un pakalpojumi” un kopuzņēmumu “</w:t>
      </w:r>
      <w:proofErr w:type="spellStart"/>
      <w:r w:rsidRPr="00A74B93">
        <w:rPr>
          <w:i/>
          <w:iCs/>
          <w:kern w:val="2"/>
        </w:rPr>
        <w:t>Global</w:t>
      </w:r>
      <w:proofErr w:type="spellEnd"/>
      <w:r w:rsidRPr="00A74B93">
        <w:rPr>
          <w:i/>
          <w:iCs/>
          <w:kern w:val="2"/>
        </w:rPr>
        <w:t xml:space="preserve"> Health EDCTP3</w:t>
      </w:r>
      <w:r w:rsidRPr="00A74B93">
        <w:rPr>
          <w:kern w:val="2"/>
        </w:rPr>
        <w:t>”, kuru gadījumā ticamības risks tika vērtēts kā vidējs, ņemot vērā sarežģījumus, ko radīja budžeta apropriāciju un aktīvu pārvietošana no Komisijas atbildības jomas uz kopuzņēmuma atbildību;</w:t>
      </w:r>
    </w:p>
    <w:p w14:paraId="6497949B" w14:textId="77777777" w:rsidR="00A74B93" w:rsidRPr="00A74B93" w:rsidRDefault="00A74B93" w:rsidP="00A74B93">
      <w:pPr>
        <w:spacing w:after="240"/>
        <w:ind w:left="567" w:hanging="567"/>
        <w:rPr>
          <w:kern w:val="2"/>
          <w:szCs w:val="24"/>
        </w:rPr>
      </w:pPr>
      <w:r w:rsidRPr="00A74B93">
        <w:rPr>
          <w:kern w:val="2"/>
        </w:rPr>
        <w:t>15.</w:t>
      </w:r>
      <w:r w:rsidRPr="00A74B93">
        <w:rPr>
          <w:kern w:val="2"/>
        </w:rPr>
        <w:tab/>
        <w:t xml:space="preserve">pieņem zināšanai to, ka </w:t>
      </w:r>
      <w:r w:rsidRPr="00A74B93">
        <w:rPr>
          <w:i/>
          <w:kern w:val="2"/>
        </w:rPr>
        <w:t>ITER</w:t>
      </w:r>
      <w:r w:rsidRPr="00A74B93">
        <w:rPr>
          <w:kern w:val="2"/>
        </w:rPr>
        <w:t xml:space="preserve"> un kodolsintēzes enerģētikas attīstības vajadzībām izveidotā Eiropas kopuzņēmuma gada pārskati ir sagatavoti, balstoties uz 2023. gada </w:t>
      </w:r>
      <w:r w:rsidRPr="00A74B93">
        <w:rPr>
          <w:i/>
          <w:kern w:val="2"/>
        </w:rPr>
        <w:t>ITER</w:t>
      </w:r>
      <w:r w:rsidRPr="00A74B93">
        <w:rPr>
          <w:kern w:val="2"/>
        </w:rPr>
        <w:t xml:space="preserve"> projekta </w:t>
      </w:r>
      <w:proofErr w:type="spellStart"/>
      <w:r w:rsidRPr="00A74B93">
        <w:rPr>
          <w:kern w:val="2"/>
        </w:rPr>
        <w:t>pamatscenāriju</w:t>
      </w:r>
      <w:proofErr w:type="spellEnd"/>
      <w:r w:rsidRPr="00A74B93">
        <w:rPr>
          <w:kern w:val="2"/>
        </w:rPr>
        <w:t xml:space="preserve">, taču tas tiek pārskatīts, tāpēc varētu būt ievērojamas izmaiņas attiecībā uz </w:t>
      </w:r>
      <w:r w:rsidRPr="00A74B93">
        <w:rPr>
          <w:i/>
          <w:kern w:val="2"/>
        </w:rPr>
        <w:t>ITER</w:t>
      </w:r>
      <w:r w:rsidRPr="00A74B93">
        <w:rPr>
          <w:kern w:val="2"/>
        </w:rPr>
        <w:t xml:space="preserve"> un kodolsintēzes enerģētikas attīstības vajadzībām izveidoto Eiropas kopuzņēmumu un tā kopējām izmaksām pabeigšanas brīdī; uzsver, ka attiecīgajam kopuzņēmumam būtu jāveic visas nepieciešamās darbības, lai nodrošinātu, ka turpmākais </w:t>
      </w:r>
      <w:proofErr w:type="spellStart"/>
      <w:r w:rsidRPr="00A74B93">
        <w:rPr>
          <w:kern w:val="2"/>
        </w:rPr>
        <w:t>pamatscenārijs</w:t>
      </w:r>
      <w:proofErr w:type="spellEnd"/>
      <w:r w:rsidRPr="00A74B93">
        <w:rPr>
          <w:kern w:val="2"/>
        </w:rPr>
        <w:t xml:space="preserve"> un tā ietekme uz vajadzību pēc Savienības naudas iemaksām kopuzņēmumā nerada saistības Savienības budžetā; balstoties uz attiecīgā kopuzņēmuma sakarā rīkoto uzklausīšanu Budžeta kontroles komitejā, norāda, ka uzklausīšanas laikā un saskaņā ar attiecīgā kopuzņēmuma sniegto informāciju bija pāragri sniegt aplēsi par šīs pārskatīšanas finansiālo ietekmi; turklāt pauž bažas par </w:t>
      </w:r>
      <w:r w:rsidRPr="00A74B93">
        <w:rPr>
          <w:kern w:val="2"/>
        </w:rPr>
        <w:lastRenderedPageBreak/>
        <w:t>kavēšanos, kas iespaido</w:t>
      </w:r>
      <w:r w:rsidRPr="00A74B93">
        <w:rPr>
          <w:i/>
          <w:kern w:val="2"/>
        </w:rPr>
        <w:t xml:space="preserve"> ITER</w:t>
      </w:r>
      <w:r w:rsidRPr="00A74B93">
        <w:rPr>
          <w:kern w:val="2"/>
        </w:rPr>
        <w:t xml:space="preserve"> projektu un ko izraisa faktori, kurus kopuzņēmums nevar ietekmēt;</w:t>
      </w:r>
    </w:p>
    <w:p w14:paraId="262CDD78" w14:textId="77777777" w:rsidR="00A74B93" w:rsidRPr="00A74B93" w:rsidRDefault="00A74B93" w:rsidP="00A74B93">
      <w:pPr>
        <w:spacing w:after="240"/>
        <w:ind w:left="567" w:hanging="567"/>
        <w:rPr>
          <w:kern w:val="2"/>
          <w:szCs w:val="24"/>
        </w:rPr>
      </w:pPr>
      <w:r w:rsidRPr="00A74B93">
        <w:rPr>
          <w:kern w:val="2"/>
        </w:rPr>
        <w:t>16.</w:t>
      </w:r>
      <w:r w:rsidRPr="00A74B93">
        <w:rPr>
          <w:kern w:val="2"/>
        </w:rPr>
        <w:tab/>
        <w:t>pauž bažas par to, kā</w:t>
      </w:r>
      <w:r w:rsidRPr="00A74B93">
        <w:rPr>
          <w:i/>
          <w:kern w:val="2"/>
        </w:rPr>
        <w:t xml:space="preserve"> ITER</w:t>
      </w:r>
      <w:r w:rsidRPr="00A74B93">
        <w:rPr>
          <w:kern w:val="2"/>
        </w:rPr>
        <w:t xml:space="preserve"> un kodolsintēzes enerģētikas attīstības vajadzībām izveidotā Eiropas kopuzņēmuma reorganizācija varētu ietekmēt tā darbības, jo īpaši īstermiņa un vidēja termiņa nestabilitātes un kopuzņēmuma darbības risku ziņā; atzinīgi vērtē to, ka attiecīgais kopuzņēmums apzinās šos jautājumus un ir paskaidrojis savu viedokli par situāciju; atzinīgi vērtē papildu informāciju, kas sniegta attiecīgā kopuzņēmuma uzklausīšanā Budžeta kontroles komitejā, jo īpaši attiecībā uz to, ka darbības nepārtrauktības apdraudējums līdz šim ir mazināts ar stingru balstīšanos uz esošajām programmām un projektiem; atzinīgi vērtē elastību, ko nodrošina jaunā matricas struktūra;</w:t>
      </w:r>
    </w:p>
    <w:p w14:paraId="2239124C" w14:textId="77777777" w:rsidR="00A74B93" w:rsidRPr="00A74B93" w:rsidRDefault="00A74B93" w:rsidP="00A74B93">
      <w:pPr>
        <w:spacing w:after="240"/>
        <w:ind w:left="567" w:hanging="567"/>
        <w:rPr>
          <w:kern w:val="2"/>
          <w:szCs w:val="24"/>
        </w:rPr>
      </w:pPr>
      <w:r w:rsidRPr="00A74B93">
        <w:rPr>
          <w:kern w:val="2"/>
        </w:rPr>
        <w:t>17.</w:t>
      </w:r>
      <w:r w:rsidRPr="00A74B93">
        <w:rPr>
          <w:kern w:val="2"/>
        </w:rPr>
        <w:tab/>
        <w:t>pieņem zināšanai to, ka ieņēmumu likumības un pareizības risks visiem kopuzņēmumiem tika uzskatīts par zemu;</w:t>
      </w:r>
    </w:p>
    <w:p w14:paraId="027FAEF3" w14:textId="77777777" w:rsidR="00A74B93" w:rsidRPr="00A74B93" w:rsidRDefault="00A74B93" w:rsidP="00A74B93">
      <w:pPr>
        <w:spacing w:after="240"/>
        <w:ind w:left="567" w:hanging="567"/>
        <w:rPr>
          <w:b/>
          <w:iCs/>
          <w:kern w:val="2"/>
        </w:rPr>
      </w:pPr>
      <w:r w:rsidRPr="00A74B93">
        <w:rPr>
          <w:b/>
          <w:iCs/>
          <w:kern w:val="2"/>
        </w:rPr>
        <w:t>Budžeta un finanšu pārvaldība</w:t>
      </w:r>
    </w:p>
    <w:p w14:paraId="776762BC" w14:textId="77777777" w:rsidR="00A74B93" w:rsidRPr="00A74B93" w:rsidRDefault="00A74B93" w:rsidP="00A74B93">
      <w:pPr>
        <w:spacing w:after="240"/>
        <w:ind w:left="567" w:hanging="567"/>
        <w:rPr>
          <w:kern w:val="2"/>
          <w:szCs w:val="24"/>
        </w:rPr>
      </w:pPr>
      <w:r w:rsidRPr="00A74B93">
        <w:rPr>
          <w:kern w:val="2"/>
        </w:rPr>
        <w:t>18.</w:t>
      </w:r>
      <w:r w:rsidRPr="00A74B93">
        <w:rPr>
          <w:kern w:val="2"/>
        </w:rPr>
        <w:tab/>
        <w:t>norāda, ka saskaņā ar Revīzijas palātas datiem tās revidētajiem vienpadsmit kopuzņēmumiem kopējais pieejamais budžets 2023. gadā bija 4,25 miljardi EUR saistību apropriācijās un 3,87 miljardi EUR maksājumu apropriācijās, tai uzskatot, ka kopējais pieejamais budžets ietver iepriekšējos gados neizlietotās apropriācijas, kuras kopuzņēmumi atkārtoti iekļāvuši kārtējā gada budžetā, piešķirtos ieņēmumus un pārdali nākamajam gadam; precīzāk, norāda, ka:</w:t>
      </w:r>
    </w:p>
    <w:p w14:paraId="5443CAEC" w14:textId="77777777" w:rsidR="00A74B93" w:rsidRPr="00A74B93" w:rsidRDefault="00A74B93" w:rsidP="00A74B93">
      <w:pPr>
        <w:spacing w:after="240"/>
        <w:ind w:left="1134" w:hanging="567"/>
        <w:rPr>
          <w:kern w:val="2"/>
          <w:szCs w:val="24"/>
        </w:rPr>
      </w:pPr>
      <w:r w:rsidRPr="00A74B93">
        <w:rPr>
          <w:kern w:val="2"/>
        </w:rPr>
        <w:t>a)</w:t>
      </w:r>
      <w:r w:rsidRPr="00A74B93">
        <w:rPr>
          <w:kern w:val="2"/>
        </w:rPr>
        <w:tab/>
        <w:t xml:space="preserve">kopuzņēmumam “Eiropas vienotās gaisa telpas </w:t>
      </w:r>
      <w:r w:rsidRPr="00A74B93">
        <w:rPr>
          <w:i/>
          <w:kern w:val="2"/>
        </w:rPr>
        <w:t>ATM</w:t>
      </w:r>
      <w:r w:rsidRPr="00A74B93">
        <w:rPr>
          <w:kern w:val="2"/>
        </w:rPr>
        <w:t xml:space="preserve"> pētniecība 3” kopējais pieejamais budžets 2023. gadā sasniedza 111,2 miljonus EUR saistību apropriācijās (salīdzinājumā ar 158,8 miljoniem EUR 2022. gadā) un 241,5 miljonus EUR maksājumu apropriācijās (salīdzinājumā ar 146,9 miljoniem EUR 2022. gadā); turklāt saprot, ka saskaņā ar ziņojumu par kopuzņēmuma “Eiropas vienotās gaisa telpas </w:t>
      </w:r>
      <w:r w:rsidRPr="00A74B93">
        <w:rPr>
          <w:i/>
          <w:kern w:val="2"/>
        </w:rPr>
        <w:t>ATM</w:t>
      </w:r>
      <w:r w:rsidRPr="00A74B93">
        <w:rPr>
          <w:kern w:val="2"/>
        </w:rPr>
        <w:t xml:space="preserve"> pētniecība 3” budžeta un finanšu pārvaldību tā kopējais budžeta izpildes līmenis 2023. finanšu gadā sasniedza 92 % saistību apropriāciju ziņā un 81 % maksājumu apropriāciju ziņā, kas liecina, ka nebija būtisku problēmu saistībā ar budžeta izpildes tempu; tomēr uzsver infrastruktūras un darbības izdevumiem paredzēto maksājumu apropriāciju zemo izpildes līmeni, kas bija 55 %; ņem vērā kopuzņēmuma paskaidrojumu un vispārīgi aicina kopuzņēmumu nodrošināt veselīgu izpildes tempu katrai tā budžeta iedaļai;</w:t>
      </w:r>
    </w:p>
    <w:p w14:paraId="47CC9D9F" w14:textId="77777777" w:rsidR="00A74B93" w:rsidRPr="00A74B93" w:rsidRDefault="00A74B93" w:rsidP="00A74B93">
      <w:pPr>
        <w:spacing w:after="240"/>
        <w:ind w:left="1134" w:hanging="567"/>
        <w:rPr>
          <w:kern w:val="2"/>
          <w:szCs w:val="24"/>
        </w:rPr>
      </w:pPr>
      <w:r w:rsidRPr="00A74B93">
        <w:rPr>
          <w:kern w:val="2"/>
        </w:rPr>
        <w:t>b)</w:t>
      </w:r>
      <w:r w:rsidRPr="00A74B93">
        <w:rPr>
          <w:kern w:val="2"/>
        </w:rPr>
        <w:tab/>
        <w:t xml:space="preserve">kopuzņēmumam “Tīra aviācija” kopējais pieejamais budžets 2023. gadā sasniedza 269 miljonus EUR saistību apropriācijās (salīdzinājumā ar 411,2 miljoniem EUR 2022. gadā) un 486,4 miljonus EUR maksājumu apropriācijās (salīdzinājumā ar 415,3 miljoniem EUR 2022. gadā); turklāt saprot, ka saskaņā ar ziņojumu par kopuzņēmuma “Tīra aviācija” budžeta un finanšu pārvaldību tā kopējais budžeta izpildes līmenis 2023. finanšu gadā sasniedza 98,58 % saistību apropriāciju ziņā un 51,18 % maksājumu apropriāciju ziņā, kas liecina, ka bija nopietnas problēmas saistībā ar budžeta izpildes tempu; jo īpaši atzīmē, ka maksājumu apropriāciju izpildes līmenis tā divās darbības izdevumu sadaļās bija attiecīgi 80,50 % un 81,11 %; turklāt uzsver infrastruktūras izdevumiem paredzēto maksājumu apropriāciju zemo izpildes līmeni, kas bija 60,52 %; pauž dziļu nožēlu par lielo summu – 177 miljoni EUR –, kas piešķirta neizlietotām maksājumu apropriācijām kopuzņēmuma budžeta 5. sadaļā, kuras tehniskās izpildes līmenis ir 0 %; ņem </w:t>
      </w:r>
      <w:r w:rsidRPr="00A74B93">
        <w:rPr>
          <w:kern w:val="2"/>
        </w:rPr>
        <w:lastRenderedPageBreak/>
        <w:t>vērā kopuzņēmuma paskaidrojumu un vispārīgi aicina kopuzņēmumu nodrošināt veselīgu izpildes tempu katrai tā budžeta iedaļai;</w:t>
      </w:r>
    </w:p>
    <w:p w14:paraId="0FC7A718" w14:textId="77777777" w:rsidR="00A74B93" w:rsidRPr="00A74B93" w:rsidRDefault="00A74B93" w:rsidP="00A74B93">
      <w:pPr>
        <w:spacing w:after="240"/>
        <w:ind w:left="1134" w:hanging="567"/>
        <w:rPr>
          <w:kern w:val="2"/>
          <w:szCs w:val="24"/>
        </w:rPr>
      </w:pPr>
      <w:r w:rsidRPr="00A74B93">
        <w:rPr>
          <w:kern w:val="2"/>
        </w:rPr>
        <w:t>c)</w:t>
      </w:r>
      <w:r w:rsidRPr="00A74B93">
        <w:rPr>
          <w:kern w:val="2"/>
        </w:rPr>
        <w:tab/>
        <w:t>kopuzņēmumam “Inovatīvas veselības aprūpes iniciatīva” kopējais pieejamais budžets 2023. gadā sasniedza 223,2 miljonus EUR saistību apropriācijās (salīdzinājumā ar 272,4 miljoniem EUR 2022. gadā) un 225,9 miljonus EUR maksājumu apropriācijās (salīdzinājumā ar 174,8 miljoniem EUR 2022. gadā); turklāt saprot, ka saskaņā ar ziņojumu par kopuzņēmuma “Inovatīvas veselības aprūpes iniciatīva” budžeta un finanšu pārvaldību tā kopējais budžeta izpildes līmenis 2023. finanšu gadā sasniedza 92,65 % saistību apropriāciju ziņā un 90,29 % maksājumu apropriāciju ziņā, kas liecina, ka nebija nopietnu problēmu saistībā ar budžeta izpildes tempu; tomēr uzsver infrastruktūras izdevumiem paredzēto saistību un maksājumu apropriāciju zemo izpildes līmeni, kas bija attiecīgi 68,67 % un 67,30 %; ņem vērā kopuzņēmuma paskaidrojumu un vispārīgi aicina kopuzņēmumu nodrošināt veselīgu izpildes tempu katrai tā budžeta iedaļai;</w:t>
      </w:r>
    </w:p>
    <w:p w14:paraId="7961FE62" w14:textId="77777777" w:rsidR="00A74B93" w:rsidRPr="00A74B93" w:rsidRDefault="00A74B93" w:rsidP="00A74B93">
      <w:pPr>
        <w:spacing w:after="240"/>
        <w:ind w:left="1134" w:hanging="567"/>
        <w:rPr>
          <w:kern w:val="2"/>
          <w:szCs w:val="24"/>
        </w:rPr>
      </w:pPr>
      <w:r w:rsidRPr="00A74B93">
        <w:rPr>
          <w:kern w:val="2"/>
        </w:rPr>
        <w:t>d)</w:t>
      </w:r>
      <w:r w:rsidRPr="00A74B93">
        <w:rPr>
          <w:kern w:val="2"/>
        </w:rPr>
        <w:tab/>
        <w:t>kopuzņēmumam “Tīrs ūdeņradis” kopējais pieejamais budžets 2023. gadā sasniedza 268,9 miljonus EUR saistību apropriācijās (salīdzinājumā ar 314,3 miljoniem EUR 2022. gadā) un 327,8 miljonus EUR maksājumu apropriācijās (salīdzinājumā ar 118,3 miljoniem EUR 2022. gadā); turklāt saprot, ka saskaņā ar ziņojumu par kopuzņēmuma “Tīrs ūdeņradis” budžeta un finanšu pārvaldību tā kopējais budžeta izpildes līmenis 2023. finanšu gadā sasniedza 96,62 % saistību apropriāciju ziņā un 85,43 % maksājumu apropriāciju ziņā, kas liecina, ka nebija nopietnu problēmu saistībā ar budžeta izpildes tempu; tomēr uzsver tā darbības izdevumiem paredzēto maksājumu apropriāciju (ko finansē no pamatprogrammas “Apvārsnis 2020”) zemo izpildes līmeni – 69,41 %; turklāt uzsver infrastruktūras izdevumiem paredzēto saistību un maksājumu apropriāciju zemo izpildes līmeni, kas bija attiecīgi 71,21 % un 60,60 %; ņem vērā kopuzņēmuma paskaidrojumus un vispārīgi aicina kopuzņēmumu nodrošināt veselīgu izpildes tempu katrai tā budžeta iedaļai;</w:t>
      </w:r>
    </w:p>
    <w:p w14:paraId="3F68FE6C" w14:textId="77777777" w:rsidR="00A74B93" w:rsidRPr="00A74B93" w:rsidRDefault="00A74B93" w:rsidP="00A74B93">
      <w:pPr>
        <w:spacing w:after="240"/>
        <w:ind w:left="1134" w:hanging="567"/>
        <w:rPr>
          <w:kern w:val="2"/>
          <w:szCs w:val="24"/>
        </w:rPr>
      </w:pPr>
      <w:r w:rsidRPr="00A74B93">
        <w:rPr>
          <w:kern w:val="2"/>
        </w:rPr>
        <w:t>e)</w:t>
      </w:r>
      <w:r w:rsidRPr="00A74B93">
        <w:rPr>
          <w:kern w:val="2"/>
        </w:rPr>
        <w:tab/>
        <w:t>kopuzņēmumam “Mikroshēmas” kopējais pieejamais budžets 2023. gadā sasniedza 835,7 miljonus EUR saistību apropriācijās (salīdzinājumā ar 261,4 miljoniem EUR 2022. gadā) un 518,4 miljonus EUR maksājumu apropriācijās (salīdzinājumā ar 222,2 miljoniem EUR 2022. gadā); turklāt saprot, ka saskaņā ar ziņojumu par kopuzņēmuma “Mikroshēmas” budžeta un finanšu pārvaldību tā kopējais budžeta izpildes līmenis 2023. finanšu gadā sasniedza 100 % saistību apropriāciju ziņā un 37 % maksājumu apropriāciju ziņā, kas liecina, ka bija nopietnas problēmas saistībā ar budžeta izpildes tempu; jo īpaši uzsver darbības izdevumiem paredzēto maksājumu apropriāciju ārkārtīgi zemo izpildes līmeni, kas bija 36 %; ņem vērā kopuzņēmuma paskaidrojumu, taču pauž dziļu nožēlu par šādu zemu izpildes līmeni un vispārīgi aicina kopuzņēmumu nodrošināt veselīgu izpildes tempu katrai tā budžeta iedaļai; pieņem zināšanai to, ka šie elementi saistībā ar palielināto finansējumu, ko kopuzņēmums “Mikroshēmas” saņēma 2023. gadā un kas kopuzņēmumam “Mikroshēmas” bija jāīsteno, lika Revīzijas palātai uzskatīt, ka attiecībā uz šo kopuzņēmumu pastāv vidējs budžeta pārvaldības risks;</w:t>
      </w:r>
    </w:p>
    <w:p w14:paraId="39F542C9" w14:textId="77777777" w:rsidR="00A74B93" w:rsidRPr="00A74B93" w:rsidRDefault="00A74B93" w:rsidP="00A74B93">
      <w:pPr>
        <w:spacing w:after="240"/>
        <w:ind w:left="1134" w:hanging="567"/>
        <w:rPr>
          <w:kern w:val="2"/>
          <w:szCs w:val="24"/>
        </w:rPr>
      </w:pPr>
      <w:r w:rsidRPr="00A74B93">
        <w:rPr>
          <w:kern w:val="2"/>
        </w:rPr>
        <w:t>f)</w:t>
      </w:r>
      <w:r w:rsidRPr="00A74B93">
        <w:rPr>
          <w:kern w:val="2"/>
        </w:rPr>
        <w:tab/>
        <w:t>kopuzņēmumam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kopējais pieejamais budžets 2023. gadā sasniedza 227,4 miljonus EUR saistību apropriācijās (salīdzinājumā ar </w:t>
      </w:r>
      <w:r w:rsidRPr="00A74B93">
        <w:rPr>
          <w:kern w:val="2"/>
        </w:rPr>
        <w:lastRenderedPageBreak/>
        <w:t>264,2 miljoniem EUR 2022. gadā) un 137,4 miljonus EUR maksājumu apropriācijās (salīdzinājumā ar 80,3 miljoniem EUR 2022. gadā); turklāt saprot, ka saskaņā ar ziņojumu par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budžeta un finanšu pārvaldību tā kopējais budžeta izpildes līmenis 2023. finanšu gadā sasniedza 97,6 % saistību apropriāciju ziņā un 90,3 % maksājumu apropriāciju ziņā, kas liecina, ka nebija nopietnu problēmu saistībā ar budžeta izpildes tempu; tomēr uzsver saistību un maksājumu apropriāciju zemo izpildes līmeni algām paredzēto administratīvo izdevumu daļā – attiecīgi 64 % un 57 %, kā arī maksājumu apropriāciju zemo izpildes līmeni citiem administratīvajiem izdevumiem paredzēto administratīvo izdevumu daļā – 54 %; ņem vērā kopuzņēmuma paskaidrojumu un vispārīgi aicina kopuzņēmumu nodrošināt veselīgu izpildes tempu katrai tā budžeta iedaļai;</w:t>
      </w:r>
    </w:p>
    <w:p w14:paraId="110FF2C9" w14:textId="77777777" w:rsidR="00A74B93" w:rsidRPr="00A74B93" w:rsidRDefault="00A74B93" w:rsidP="00A74B93">
      <w:pPr>
        <w:spacing w:after="240"/>
        <w:ind w:left="1134" w:hanging="567"/>
        <w:rPr>
          <w:kern w:val="2"/>
          <w:szCs w:val="24"/>
        </w:rPr>
      </w:pPr>
      <w:r w:rsidRPr="00A74B93">
        <w:rPr>
          <w:kern w:val="2"/>
        </w:rPr>
        <w:t>g)</w:t>
      </w:r>
      <w:r w:rsidRPr="00A74B93">
        <w:rPr>
          <w:kern w:val="2"/>
        </w:rPr>
        <w:tab/>
        <w:t xml:space="preserve">kopuzņēmumam “Eiropas dzelzceļš” kopējais pieejamais budžets 2023. gadā sasniedza 102,6 miljonus EUR saistību apropriācijās (salīdzinājumā ar 171,4 miljoniem EUR 2022. gadā) un 120,3 miljonus EUR maksājumu apropriācijās (salīdzinājumā ar 180,8 miljoniem EUR 2022. gadā); turklāt saprot, ka saskaņā ar ziņojumu par kopuzņēmuma “Eiropas dzelzceļš” budžeta un finanšu pārvaldību tā kopējais budžeta izpildes līmenis 2023. finanšu gadā sasniedza 97 % saistību apropriāciju ziņā un 82 % maksājumu apropriāciju ziņā, kas liecina, ka nebija nopietnu problēmu saistībā ar budžeta izpildes tempu; tomēr uzsver no pamatprogrammas “Apvārsnis 2020” finansēto darbības izdevumu daļai paredzēto maksājumu apropriāciju zemo izpildes līmeni – 67 %; ņem vērā kopuzņēmuma paskaidrojumu un vispārīgi aicina kopuzņēmumu nodrošināt veselīgu izpildes tempu katrai tā budžeta iedaļai; norāda, ka kopuzņēmums “Eiropas dzelzceļš” saņēmēju tehnisko problēmu dēļ galīgos maksājumus atlika uz 2024. gadu; ņem vērā, ka vairāku projektu budžets nebija pilnībā izpildīts un tādēļ vajadzība pēc pamatdarbības maksājumiem samazinājās par aptuveni 4,1 miljonu EUR; </w:t>
      </w:r>
      <w:r w:rsidRPr="00A74B93">
        <w:rPr>
          <w:color w:val="000000"/>
          <w:kern w:val="2"/>
        </w:rPr>
        <w:t xml:space="preserve">aicina attiecīgo kopuzņēmumu izstrādāt plānu par to, kā panākt uzlabojumus grāmatvedības ziņošanas pienākumu jomā; </w:t>
      </w:r>
      <w:r w:rsidRPr="00A74B93">
        <w:rPr>
          <w:kern w:val="2"/>
        </w:rPr>
        <w:t>uzsver, ka ir svarīgi atbalstīt kopuzņēmumu, ņemot vērā dzelzceļam raksturīgās priekšrocības ekoloģiskā snieguma, zemes izmantošanas, enerģijas patēriņa un drošības ziņā;</w:t>
      </w:r>
    </w:p>
    <w:p w14:paraId="2BE1D3B9" w14:textId="77777777" w:rsidR="00A74B93" w:rsidRPr="00A74B93" w:rsidRDefault="00A74B93" w:rsidP="00A74B93">
      <w:pPr>
        <w:spacing w:after="240"/>
        <w:ind w:left="1134" w:hanging="567"/>
        <w:rPr>
          <w:kern w:val="2"/>
          <w:szCs w:val="24"/>
        </w:rPr>
      </w:pPr>
      <w:r w:rsidRPr="00A74B93">
        <w:rPr>
          <w:kern w:val="2"/>
        </w:rPr>
        <w:t>h)</w:t>
      </w:r>
      <w:r w:rsidRPr="00A74B93">
        <w:rPr>
          <w:kern w:val="2"/>
        </w:rPr>
        <w:tab/>
        <w:t xml:space="preserve">Eiropas Augstas veiktspējas </w:t>
      </w:r>
      <w:proofErr w:type="spellStart"/>
      <w:r w:rsidRPr="00A74B93">
        <w:rPr>
          <w:kern w:val="2"/>
        </w:rPr>
        <w:t>datošanas</w:t>
      </w:r>
      <w:proofErr w:type="spellEnd"/>
      <w:r w:rsidRPr="00A74B93">
        <w:rPr>
          <w:kern w:val="2"/>
        </w:rPr>
        <w:t xml:space="preserve"> kopuzņēmumam kopējais pieejamais budžets 2023. gadā sasniedza 1 136 miljonus EUR saistību apropriācijās (salīdzinājumā ar 1 374,5 miljoniem EUR 2022. gadā) un 1 058 miljonus EUR maksājumu apropriācijās (salīdzinājumā ar 629,9 miljoniem EUR 2022. gadā); turklāt saprot, ka saskaņā ar ziņojumu par Eiropas Augstas veiktspējas </w:t>
      </w:r>
      <w:proofErr w:type="spellStart"/>
      <w:r w:rsidRPr="00A74B93">
        <w:rPr>
          <w:kern w:val="2"/>
        </w:rPr>
        <w:t>datošanas</w:t>
      </w:r>
      <w:proofErr w:type="spellEnd"/>
      <w:r w:rsidRPr="00A74B93">
        <w:rPr>
          <w:kern w:val="2"/>
        </w:rPr>
        <w:t xml:space="preserve"> kopuzņēmuma budžeta un finanšu pārvaldību tā kopējais budžeta izpildes līmenis 2023. finanšu gadā sasniedza 83 % saistību apropriāciju ziņā un 19 % maksājumu apropriāciju ziņā, kas liecina, ka bija nopietnas problēmas saistībā ar budžeta izpildes tempu; jo īpaši uzsver darbības izdevumiem paredzēto maksājumu apropriāciju ārkārtīgi zemo izpildes līmeni, kas bija 19 %; ņem vērā kopuzņēmuma paskaidrojumu, tomēr pauž dziļu nožēlu par tik zemu izpildes līmeni; turklāt uzsver administratīvajiem izdevumiem paredzēto saistību un maksājumu apropriāciju zemo izpildes līmeni, kas bija attiecīgi 45 % un 42 %; ņem vērā kopuzņēmuma paskaidrojumu un vispārīgi aicina kopuzņēmumu nodrošināt veselīgu izpildes tempu katrai tā budžeta iedaļai; pieņem zināšanai to, ka šie elementi saistībā ar palielināto finansējumu, ko Eiropas Augstas veiktspējas </w:t>
      </w:r>
      <w:proofErr w:type="spellStart"/>
      <w:r w:rsidRPr="00A74B93">
        <w:rPr>
          <w:kern w:val="2"/>
        </w:rPr>
        <w:t>datošanas</w:t>
      </w:r>
      <w:proofErr w:type="spellEnd"/>
      <w:r w:rsidRPr="00A74B93">
        <w:rPr>
          <w:kern w:val="2"/>
        </w:rPr>
        <w:t xml:space="preserve"> kopuzņēmums saņēma 2023. gadā un kas Eiropas Augstas veiktspējas </w:t>
      </w:r>
      <w:proofErr w:type="spellStart"/>
      <w:r w:rsidRPr="00A74B93">
        <w:rPr>
          <w:kern w:val="2"/>
        </w:rPr>
        <w:t>datošanas</w:t>
      </w:r>
      <w:proofErr w:type="spellEnd"/>
      <w:r w:rsidRPr="00A74B93">
        <w:rPr>
          <w:kern w:val="2"/>
        </w:rPr>
        <w:t xml:space="preserve"> kopuzņēmumam bija jāīsteno, lika Revīzijas palātai uzskatīt, ka </w:t>
      </w:r>
      <w:r w:rsidRPr="00A74B93">
        <w:rPr>
          <w:kern w:val="2"/>
        </w:rPr>
        <w:lastRenderedPageBreak/>
        <w:t>attiecībā uz šo kopuzņēmumu pastāv vidējs budžeta pārvaldības risks; atzinīgi vērtē papildu informāciju par šā lēnā izpildes tempa iemesliem, kas tika sniegta attiecīgā kopuzņēmuma uzklausīšanā Budžeta kontroles komitejā;</w:t>
      </w:r>
    </w:p>
    <w:p w14:paraId="11843DB8" w14:textId="77777777" w:rsidR="00A74B93" w:rsidRPr="00A74B93" w:rsidRDefault="00A74B93" w:rsidP="00A74B93">
      <w:pPr>
        <w:spacing w:after="240"/>
        <w:ind w:left="1134" w:hanging="567"/>
        <w:rPr>
          <w:kern w:val="2"/>
          <w:szCs w:val="24"/>
        </w:rPr>
      </w:pPr>
      <w:r w:rsidRPr="00A74B93">
        <w:rPr>
          <w:kern w:val="2"/>
        </w:rPr>
        <w:t>i)</w:t>
      </w:r>
      <w:r w:rsidRPr="00A74B93">
        <w:rPr>
          <w:kern w:val="2"/>
        </w:rPr>
        <w:tab/>
        <w:t>kopuzņēmumam “Viedie tīkli un pakalpojumi” kopējais pieejamais budžets 2023. gadā sasniedza 134,7 miljonus EUR saistību apropriācijās un 122,9 miljonus EUR maksājumu apropriācijās; turklāt saprot, ka saskaņā ar ziņojumu par kopuzņēmuma “Viedie tīkli un pakalpojumi” budžeta un finanšu pārvaldību tā kopējais budžeta izpildes līmenis 2023. finanšu gadā sasniedza 99 % saistību apropriāciju ziņā un 89 % maksājumu apropriāciju ziņā; uzskata – ņemot vērā īso laikposmu, kurā kopuzņēmums bija ieguvis finansiālu autonomiju 2023. finanšu gadā, Eiropas Parlamentam nav pietiekama pamatojuma tam, lai paustu viedokli par kopuzņēmuma finanšu pārvaldības kvalitāti, to darot labticīgi; tomēr norāda, ka ar administratīvo izdevumu likumību un pareizību saistītais risks attiecībā uz kopuzņēmumu šīs situācijas dēļ tika vērtēts kā vidējs;</w:t>
      </w:r>
    </w:p>
    <w:p w14:paraId="194089B2" w14:textId="77777777" w:rsidR="00A74B93" w:rsidRPr="00A74B93" w:rsidRDefault="00A74B93" w:rsidP="00A74B93">
      <w:pPr>
        <w:spacing w:after="240"/>
        <w:ind w:left="1134" w:hanging="567"/>
        <w:rPr>
          <w:kern w:val="2"/>
          <w:szCs w:val="24"/>
        </w:rPr>
      </w:pPr>
      <w:r w:rsidRPr="00A74B93">
        <w:rPr>
          <w:kern w:val="2"/>
        </w:rPr>
        <w:t>j)</w:t>
      </w:r>
      <w:r w:rsidRPr="00A74B93">
        <w:rPr>
          <w:kern w:val="2"/>
        </w:rPr>
        <w:tab/>
        <w:t>kopuzņēmumam “</w:t>
      </w:r>
      <w:proofErr w:type="spellStart"/>
      <w:r w:rsidRPr="00A74B93">
        <w:rPr>
          <w:i/>
          <w:iCs/>
          <w:kern w:val="2"/>
        </w:rPr>
        <w:t>Global</w:t>
      </w:r>
      <w:proofErr w:type="spellEnd"/>
      <w:r w:rsidRPr="00A74B93">
        <w:rPr>
          <w:i/>
          <w:iCs/>
          <w:kern w:val="2"/>
        </w:rPr>
        <w:t xml:space="preserve"> Health EDCTP3</w:t>
      </w:r>
      <w:r w:rsidRPr="00A74B93">
        <w:rPr>
          <w:kern w:val="2"/>
        </w:rPr>
        <w:t>” kopējais pieejamais budžets 2023. gadā sasniedza 136,4 miljonus EUR saistību apropriācijās un 2,2 miljonus EUR maksājumu apropriācijās; turklāt saprot, ka saskaņā ar ziņojumu par kopuzņēmuma “</w:t>
      </w:r>
      <w:proofErr w:type="spellStart"/>
      <w:r w:rsidRPr="00A74B93">
        <w:rPr>
          <w:i/>
          <w:iCs/>
          <w:kern w:val="2"/>
        </w:rPr>
        <w:t>Global</w:t>
      </w:r>
      <w:proofErr w:type="spellEnd"/>
      <w:r w:rsidRPr="00A74B93">
        <w:rPr>
          <w:i/>
          <w:iCs/>
          <w:kern w:val="2"/>
        </w:rPr>
        <w:t xml:space="preserve"> Health EDCTP3</w:t>
      </w:r>
      <w:r w:rsidRPr="00A74B93">
        <w:rPr>
          <w:kern w:val="2"/>
        </w:rPr>
        <w:t>” budžeta un finanšu pārvaldību tā kopējais budžeta izpildes līmenis 2023. finanšu gadā sasniedza 100 % saistību apropriāciju ziņā un 47 % maksājumu apropriāciju ziņā; uzskata – ņemot vērā īso laikposmu, kurā kopuzņēmums bija ieguvis finansiālu autonomiju 2023. finanšu gadā, Eiropas Parlamentam nav pietiekama pamatojuma tam, lai paustu viedokli par kopuzņēmuma finanšu pārvaldības kvalitāti, to darot labticīgi; tomēr norāda, ka ar administratīvo izdevumu likumību un pareizību saistītais risks attiecībā uz kopuzņēmumu šīs situācijas dēļ tika vērtēts kā vidējs;</w:t>
      </w:r>
    </w:p>
    <w:p w14:paraId="5BEF40F0" w14:textId="77777777" w:rsidR="00A74B93" w:rsidRPr="00A74B93" w:rsidRDefault="00A74B93" w:rsidP="00A74B93">
      <w:pPr>
        <w:spacing w:after="240"/>
        <w:ind w:left="1134" w:hanging="567"/>
        <w:rPr>
          <w:kern w:val="2"/>
          <w:szCs w:val="24"/>
        </w:rPr>
      </w:pPr>
      <w:r w:rsidRPr="00A74B93">
        <w:rPr>
          <w:kern w:val="2"/>
        </w:rPr>
        <w:t>k)</w:t>
      </w:r>
      <w:r w:rsidRPr="00A74B93">
        <w:rPr>
          <w:kern w:val="2"/>
        </w:rPr>
        <w:tab/>
      </w:r>
      <w:r w:rsidRPr="00A74B93">
        <w:rPr>
          <w:i/>
          <w:kern w:val="2"/>
        </w:rPr>
        <w:t>ITER</w:t>
      </w:r>
      <w:r w:rsidRPr="00A74B93">
        <w:rPr>
          <w:kern w:val="2"/>
        </w:rPr>
        <w:t xml:space="preserve"> un kodolsintēzes enerģētikas attīstības vajadzībām izveidotajam Eiropas kopuzņēmumam kopējais pieejamais budžets 2023. gadā sasniedza 807 miljonus EUR saistību apropriācijās (salīdzinājumā ar 981,2 miljoniem EUR 2022. gadā) un 631,5 miljonus EUR maksājumu apropriācijās (salīdzinājumā ar 844 miljoniem EUR 2022. gadā); turklāt saprot, ka saskaņā ar ziņojumu par </w:t>
      </w:r>
      <w:r w:rsidRPr="00A74B93">
        <w:rPr>
          <w:i/>
          <w:kern w:val="2"/>
        </w:rPr>
        <w:t>ITER</w:t>
      </w:r>
      <w:r w:rsidRPr="00A74B93">
        <w:rPr>
          <w:kern w:val="2"/>
        </w:rPr>
        <w:t xml:space="preserve"> un kodolsintēzes enerģētikas attīstības vajadzībām izveidotā Eiropas kopuzņēmuma budžeta un finanšu pārvaldību tā kopējais budžeta izpildes līmenis 2023. finanšu gadā sasniedza 73 % saistību apropriāciju ziņā un 95 % maksājumu apropriāciju ziņā, kas liecina, ka bija nopietnas problēmas saistībā ar budžeta izpildes tempu; jo īpaši uzsver darbības izdevumiem paredzēto saistību apropriāciju zemo izpildes līmeni, kas bija 70 %; ņem vērā kopuzņēmuma paskaidrojumu un pieņem zināšanai to, ka sākotnēji plānotās </w:t>
      </w:r>
      <w:r w:rsidRPr="00A74B93">
        <w:rPr>
          <w:i/>
          <w:kern w:val="2"/>
        </w:rPr>
        <w:t>Euratom</w:t>
      </w:r>
      <w:r w:rsidRPr="00A74B93">
        <w:rPr>
          <w:kern w:val="2"/>
        </w:rPr>
        <w:t xml:space="preserve"> un</w:t>
      </w:r>
      <w:r w:rsidRPr="00A74B93">
        <w:rPr>
          <w:i/>
          <w:kern w:val="2"/>
        </w:rPr>
        <w:t xml:space="preserve"> ITER</w:t>
      </w:r>
      <w:r w:rsidRPr="00A74B93">
        <w:rPr>
          <w:kern w:val="2"/>
        </w:rPr>
        <w:t xml:space="preserve"> </w:t>
      </w:r>
      <w:proofErr w:type="spellStart"/>
      <w:r w:rsidRPr="00A74B93">
        <w:rPr>
          <w:kern w:val="2"/>
        </w:rPr>
        <w:t>uzņēmējvalsts</w:t>
      </w:r>
      <w:proofErr w:type="spellEnd"/>
      <w:r w:rsidRPr="00A74B93">
        <w:rPr>
          <w:kern w:val="2"/>
        </w:rPr>
        <w:t xml:space="preserve"> iemaksas tika pārvietotas atpakaļ, un vispārīgi aicina kopuzņēmumu nodrošināt veselīgu izpildes tempu katrai tā budžeta iedaļai; pieņem zināšanai to, ka šie ar kavējumiem un īstenošanas grūtībām saistītie elementi lika Revīzijas palātai uzskatīt, ka attiecībā uz šo kopuzņēmumu pastāv vidējs budžeta pārvaldības risks;</w:t>
      </w:r>
    </w:p>
    <w:p w14:paraId="049B17C6" w14:textId="77777777" w:rsidR="00A74B93" w:rsidRPr="00A74B93" w:rsidRDefault="00A74B93" w:rsidP="00A74B93">
      <w:pPr>
        <w:spacing w:after="240"/>
        <w:ind w:left="567" w:hanging="567"/>
        <w:rPr>
          <w:kern w:val="2"/>
          <w:szCs w:val="24"/>
        </w:rPr>
      </w:pPr>
      <w:r w:rsidRPr="00A74B93">
        <w:rPr>
          <w:kern w:val="2"/>
        </w:rPr>
        <w:t>19.</w:t>
      </w:r>
      <w:r w:rsidRPr="00A74B93">
        <w:rPr>
          <w:kern w:val="2"/>
        </w:rPr>
        <w:tab/>
        <w:t xml:space="preserve">pievienojas Revīzijas palātas bažām attiecībā uz neizlietotajām apropriācijām konkrētu kopuzņēmumu programmu īstenošanā un aicina attiecīgos kopuzņēmumus izvairīties no līdzīgu situāciju atkārtošanās, jo neizlietoto apropriāciju uzkrāšanās rada naudas pārpalikumu, kas tāpēc Savienībai nav pieejams citu darbību un programmu finansēšanai; uzsver, ka tas neatbilst pareizas finanšu pārvaldības principam un 2023. finanšu gadā ir radījis naudas pārpalikumu 1,5 miljardu EUR apmērā; piekrīt Revīzijas </w:t>
      </w:r>
      <w:r w:rsidRPr="00A74B93">
        <w:rPr>
          <w:kern w:val="2"/>
        </w:rPr>
        <w:lastRenderedPageBreak/>
        <w:t>palātas ieteikumam par to, kā šajā saistībā rīkoties, proti, attiecīgajiem kopuzņēmumiem koordinācijā ar Komisiju būtu jāizstrādā korekcijas mehānismi, lai līdz saprātīgam līmenim samazinātu savu naudas pārpalikumu un pēc tam savus naudas pieprasījumus katram finanšu gadam saskaņotu ar aplēstajām izdevumu vajadzībām; apzinās, ka saskaņā ar attiecīgo kopuzņēmumu finanšu noteikumiem neizmantotās apropriācijas var iekļaut ieņēmumu un izdevumu aplēsē līdz trim finanšu gadiem pēc to saņemšanas; tomēr pauž bažas, precīzāk, par:</w:t>
      </w:r>
    </w:p>
    <w:p w14:paraId="4CEBBF93" w14:textId="77777777" w:rsidR="00A74B93" w:rsidRPr="00A74B93" w:rsidRDefault="00A74B93" w:rsidP="00A74B93">
      <w:pPr>
        <w:spacing w:after="240"/>
        <w:ind w:left="1134" w:hanging="567"/>
        <w:rPr>
          <w:kern w:val="2"/>
          <w:szCs w:val="24"/>
        </w:rPr>
      </w:pPr>
      <w:r w:rsidRPr="00A74B93">
        <w:rPr>
          <w:kern w:val="2"/>
        </w:rPr>
        <w:t>a)</w:t>
      </w:r>
      <w:r w:rsidRPr="00A74B93">
        <w:rPr>
          <w:kern w:val="2"/>
        </w:rPr>
        <w:tab/>
        <w:t>nepilnībām kopuzņēmuma “Tīra aviācija” naudas līdzekļu plānošanā saistībā ar pieprasījumu pēc papildu Savienības finanšu iemaksām 178 miljonu EUR apmērā, kas pārsniedza skaidras naudas vajadzības 2023. gadā plānotajam maksājumam, tāpēc 2023. gada beigās bija uzkrāts naudas pārpalikums 237 miljonu EUR apmērā; tomēr pieņem zināšanai kopuzņēmuma paskaidrojumu; tomēr atkārtoti aicina kopuzņēmumu “Tīra aviācija” izvairīties no līdzīgu situāciju atkārtošanās un atzinīgi vērtē korekcijas attiecībā uz 2024. gadu, par kurām paziņojis kopuzņēmums;</w:t>
      </w:r>
    </w:p>
    <w:p w14:paraId="0B215088" w14:textId="77777777" w:rsidR="00A74B93" w:rsidRPr="00A74B93" w:rsidRDefault="00A74B93" w:rsidP="00A74B93">
      <w:pPr>
        <w:spacing w:after="240"/>
        <w:ind w:left="1134" w:hanging="567"/>
        <w:rPr>
          <w:kern w:val="2"/>
          <w:szCs w:val="24"/>
        </w:rPr>
      </w:pPr>
      <w:r w:rsidRPr="00A74B93">
        <w:rPr>
          <w:kern w:val="2"/>
        </w:rPr>
        <w:t>b)</w:t>
      </w:r>
      <w:r w:rsidRPr="00A74B93">
        <w:rPr>
          <w:kern w:val="2"/>
        </w:rPr>
        <w:tab/>
        <w:t>nepilnībām kopuzņēmuma “Mikroshēmas” naudas līdzekļu plānošanā saistībā ar pieprasījumu pēc papildu ES finanšu iemaksām 196 miljonu EUR apmērā, kas pārsniedza skaidras naudas vajadzības 2023. gadā plānotajam maksājumam, tāpēc 2023. gada beigās bija uzkrāts naudas pārpalikums 438 miljonu EUR apmērā; tomēr pieņem zināšanai kopuzņēmuma paskaidrojumu; tomēr atkārtoti aicina kopuzņēmumu “Mikroshēmas” izvairīties no līdzīgu situāciju atkārtošanās un atzinīgi vērtē vērienīgo mērķi attiecībā uz 2024. gadu, par ko paziņojis kopuzņēmums;</w:t>
      </w:r>
    </w:p>
    <w:p w14:paraId="181B3AFD" w14:textId="77777777" w:rsidR="00A74B93" w:rsidRPr="00A74B93" w:rsidRDefault="00A74B93" w:rsidP="00A74B93">
      <w:pPr>
        <w:spacing w:after="240"/>
        <w:ind w:left="1134" w:hanging="567"/>
        <w:rPr>
          <w:kern w:val="2"/>
          <w:szCs w:val="24"/>
        </w:rPr>
      </w:pPr>
      <w:r w:rsidRPr="00A74B93">
        <w:rPr>
          <w:kern w:val="2"/>
        </w:rPr>
        <w:t>c)</w:t>
      </w:r>
      <w:r w:rsidRPr="00A74B93">
        <w:rPr>
          <w:kern w:val="2"/>
        </w:rPr>
        <w:tab/>
        <w:t xml:space="preserve">nepilnībām Eiropas Augstas veiktspējas </w:t>
      </w:r>
      <w:proofErr w:type="spellStart"/>
      <w:r w:rsidRPr="00A74B93">
        <w:rPr>
          <w:kern w:val="2"/>
        </w:rPr>
        <w:t>datošanas</w:t>
      </w:r>
      <w:proofErr w:type="spellEnd"/>
      <w:r w:rsidRPr="00A74B93">
        <w:rPr>
          <w:kern w:val="2"/>
        </w:rPr>
        <w:t xml:space="preserve"> kopuzņēmuma naudas līdzekļu plānošanā saistībā ar pieprasījumu pēc papildu Savienības finanšu iemaksām 488,6 miljonu EUR apmērā, kas pārsniedza skaidras naudas vajadzības 2023. gadā plānotajam maksājumam, tāpēc 2023. gada beigās bija uzkrāts naudas pārpalikums 840,7 miljonu EUR apmērā; izprot situāciju, ar kuru </w:t>
      </w:r>
      <w:proofErr w:type="spellStart"/>
      <w:r w:rsidRPr="00A74B93">
        <w:rPr>
          <w:kern w:val="2"/>
        </w:rPr>
        <w:t>saskārās</w:t>
      </w:r>
      <w:proofErr w:type="spellEnd"/>
      <w:r w:rsidRPr="00A74B93">
        <w:rPr>
          <w:kern w:val="2"/>
        </w:rPr>
        <w:t xml:space="preserve"> kopuzņēmums un kuras dēļ radās šis pārpalikums, un atzinīgi vērtē papildu informāciju, kas tika sniegta attiecīgā kopuzņēmuma uzklausīšanā Budžeta kontroles komitejā, jo īpaši attiecībā uz gaidīto nozīmīgu naudas izmaksas iespēju saistībā ar projektiem mākslīgā intelekta jomā; tomēr atkārtoti aicina Eiropas Augstas veiktspējas </w:t>
      </w:r>
      <w:proofErr w:type="spellStart"/>
      <w:r w:rsidRPr="00A74B93">
        <w:rPr>
          <w:kern w:val="2"/>
        </w:rPr>
        <w:t>datošanas</w:t>
      </w:r>
      <w:proofErr w:type="spellEnd"/>
      <w:r w:rsidRPr="00A74B93">
        <w:rPr>
          <w:kern w:val="2"/>
        </w:rPr>
        <w:t xml:space="preserve"> kopuzņēmumu izvairīties no līdzīgu situāciju atkārtošanās;</w:t>
      </w:r>
    </w:p>
    <w:p w14:paraId="67B2BD9F" w14:textId="77777777" w:rsidR="00A74B93" w:rsidRPr="00A74B93" w:rsidRDefault="00A74B93" w:rsidP="00A74B93">
      <w:pPr>
        <w:spacing w:after="240"/>
        <w:ind w:left="567" w:hanging="567"/>
        <w:rPr>
          <w:b/>
          <w:i/>
          <w:kern w:val="2"/>
        </w:rPr>
      </w:pPr>
      <w:r w:rsidRPr="00A74B93">
        <w:rPr>
          <w:kern w:val="2"/>
        </w:rPr>
        <w:t>20.</w:t>
      </w:r>
      <w:r w:rsidRPr="00A74B93">
        <w:rPr>
          <w:kern w:val="2"/>
        </w:rPr>
        <w:tab/>
        <w:t xml:space="preserve">uzsver, ka visiem kopuzņēmumiem ir jāstiprina iekšējā finanšu kontrole un publiskās </w:t>
      </w:r>
      <w:proofErr w:type="spellStart"/>
      <w:r w:rsidRPr="00A74B93">
        <w:rPr>
          <w:kern w:val="2"/>
        </w:rPr>
        <w:t>pārredzamības</w:t>
      </w:r>
      <w:proofErr w:type="spellEnd"/>
      <w:r w:rsidRPr="00A74B93">
        <w:rPr>
          <w:kern w:val="2"/>
        </w:rPr>
        <w:t xml:space="preserve"> mehānismi, lai nodrošinātu, ka līdzekļi tiek sadalīti efektīvi un saskaņā ar ES stratēģiskajiem mērķiem;</w:t>
      </w:r>
    </w:p>
    <w:p w14:paraId="4F216210" w14:textId="77777777" w:rsidR="00A74B93" w:rsidRPr="00A74B93" w:rsidRDefault="00A74B93" w:rsidP="00A74B93">
      <w:pPr>
        <w:spacing w:after="240"/>
        <w:ind w:left="567" w:hanging="567"/>
        <w:rPr>
          <w:kern w:val="2"/>
        </w:rPr>
      </w:pPr>
      <w:r w:rsidRPr="00A74B93">
        <w:rPr>
          <w:kern w:val="2"/>
        </w:rPr>
        <w:t>21.</w:t>
      </w:r>
      <w:r w:rsidRPr="00A74B93">
        <w:rPr>
          <w:kern w:val="2"/>
        </w:rPr>
        <w:tab/>
        <w:t xml:space="preserve">pievienojas Revīzijas palātas bažām attiecībā uz dalībnieku iemaksām konkrētos kopuzņēmumos, jo īpaši saistībā ar iespēju, ka daži kopuzņēmumi nevarēs sasniegt iemaksu </w:t>
      </w:r>
      <w:proofErr w:type="spellStart"/>
      <w:r w:rsidRPr="00A74B93">
        <w:rPr>
          <w:kern w:val="2"/>
        </w:rPr>
        <w:t>mērķrādītājus</w:t>
      </w:r>
      <w:proofErr w:type="spellEnd"/>
      <w:r w:rsidRPr="00A74B93">
        <w:rPr>
          <w:kern w:val="2"/>
        </w:rPr>
        <w:t xml:space="preserve"> vai arī varēs tos sasniegt tikai tad, ja lielā mērā paļausies uz ieguldījumiem natūrā papildu pasākumos, un aicina attiecīgos kopuzņēmumus veikt visas nepieciešamās darbības, lai novērstu šādu situāciju rašanos nākotnē; uzsver, ka attiecīgie kopuzņēmumi ir atbildīgi par iemaksu </w:t>
      </w:r>
      <w:proofErr w:type="spellStart"/>
      <w:r w:rsidRPr="00A74B93">
        <w:rPr>
          <w:kern w:val="2"/>
        </w:rPr>
        <w:t>mērķrādītāju</w:t>
      </w:r>
      <w:proofErr w:type="spellEnd"/>
      <w:r w:rsidRPr="00A74B93">
        <w:rPr>
          <w:kern w:val="2"/>
        </w:rPr>
        <w:t xml:space="preserve"> sasniegšanu, kas ir to pienākums, un ka iemaksu </w:t>
      </w:r>
      <w:proofErr w:type="spellStart"/>
      <w:r w:rsidRPr="00A74B93">
        <w:rPr>
          <w:kern w:val="2"/>
        </w:rPr>
        <w:t>mērķrādītāju</w:t>
      </w:r>
      <w:proofErr w:type="spellEnd"/>
      <w:r w:rsidRPr="00A74B93">
        <w:rPr>
          <w:kern w:val="2"/>
        </w:rPr>
        <w:t xml:space="preserve"> nesasniegšana ir pretrunā kopuzņēmumu pamatidejai; precīzāk, pauž bažas par:</w:t>
      </w:r>
    </w:p>
    <w:p w14:paraId="4EBBEFD4" w14:textId="77777777" w:rsidR="00A74B93" w:rsidRPr="00A74B93" w:rsidRDefault="00A74B93" w:rsidP="00A74B93">
      <w:pPr>
        <w:spacing w:after="240"/>
        <w:ind w:left="1134" w:hanging="567"/>
        <w:rPr>
          <w:kern w:val="2"/>
          <w:szCs w:val="24"/>
        </w:rPr>
      </w:pPr>
      <w:r w:rsidRPr="00A74B93">
        <w:rPr>
          <w:kern w:val="2"/>
        </w:rPr>
        <w:lastRenderedPageBreak/>
        <w:t>a)</w:t>
      </w:r>
      <w:r w:rsidRPr="00A74B93">
        <w:rPr>
          <w:kern w:val="2"/>
        </w:rPr>
        <w:tab/>
        <w:t xml:space="preserve">situāciju, kādā atrodas kopuzņēmums “Eiropas vienotās gaisa telpas </w:t>
      </w:r>
      <w:r w:rsidRPr="00A74B93">
        <w:rPr>
          <w:i/>
          <w:kern w:val="2"/>
        </w:rPr>
        <w:t>ATM</w:t>
      </w:r>
      <w:r w:rsidRPr="00A74B93">
        <w:rPr>
          <w:kern w:val="2"/>
        </w:rPr>
        <w:t xml:space="preserve"> pētniecība 3”, kura dalībnieks </w:t>
      </w:r>
      <w:proofErr w:type="spellStart"/>
      <w:r w:rsidRPr="00A74B93">
        <w:rPr>
          <w:kern w:val="2"/>
        </w:rPr>
        <w:t>Eirokontrole</w:t>
      </w:r>
      <w:proofErr w:type="spellEnd"/>
      <w:r w:rsidRPr="00A74B93">
        <w:rPr>
          <w:kern w:val="2"/>
        </w:rPr>
        <w:t xml:space="preserve"> darbības iemaksu </w:t>
      </w:r>
      <w:proofErr w:type="spellStart"/>
      <w:r w:rsidRPr="00A74B93">
        <w:rPr>
          <w:kern w:val="2"/>
        </w:rPr>
        <w:t>mērķrādītāju</w:t>
      </w:r>
      <w:proofErr w:type="spellEnd"/>
      <w:r w:rsidRPr="00A74B93">
        <w:rPr>
          <w:kern w:val="2"/>
        </w:rPr>
        <w:t xml:space="preserve"> sasniedza tikai 70 % apmērā, tāpēc kopuzņēmuma rīcībā nebija plānoto iemaksu, lai varētu pilnībā īstenot tā pamatprogrammas “Apvārsnis 2020” daļu; pieņem zināšanai to, ka šis apstāklis tomēr nelika Revīzijas palātai uzskatīt, ka attiecībā uz šo kopuzņēmumu būtu vidējs vai augsts ar programmas īstenošanu saistītais risks, jo tas ir vērtēts kā zems;</w:t>
      </w:r>
    </w:p>
    <w:p w14:paraId="1AEC8710" w14:textId="77777777" w:rsidR="00A74B93" w:rsidRPr="00A74B93" w:rsidRDefault="00A74B93" w:rsidP="00A74B93">
      <w:pPr>
        <w:spacing w:after="240"/>
        <w:ind w:left="1134" w:hanging="567"/>
        <w:rPr>
          <w:kern w:val="2"/>
          <w:szCs w:val="24"/>
        </w:rPr>
      </w:pPr>
      <w:r w:rsidRPr="00A74B93">
        <w:rPr>
          <w:kern w:val="2"/>
        </w:rPr>
        <w:t>b)</w:t>
      </w:r>
      <w:r w:rsidRPr="00A74B93">
        <w:rPr>
          <w:kern w:val="2"/>
        </w:rPr>
        <w:tab/>
        <w:t>situāciju, kādā atrodas kopuzņēmums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kas uzrādīja labu sniegumu, sasniedzot savu iemaksu </w:t>
      </w:r>
      <w:proofErr w:type="spellStart"/>
      <w:r w:rsidRPr="00A74B93">
        <w:rPr>
          <w:kern w:val="2"/>
        </w:rPr>
        <w:t>mērķrādītāju</w:t>
      </w:r>
      <w:proofErr w:type="spellEnd"/>
      <w:r w:rsidRPr="00A74B93">
        <w:rPr>
          <w:kern w:val="2"/>
        </w:rPr>
        <w:t xml:space="preserve"> pamatprogrammas “Apvārsnis 2020” satvarā, taču to jo īpaši panāca, pārskatot attiecību starp </w:t>
      </w:r>
      <w:proofErr w:type="spellStart"/>
      <w:r w:rsidRPr="00A74B93">
        <w:rPr>
          <w:kern w:val="2"/>
        </w:rPr>
        <w:t>mērķrādītājiem</w:t>
      </w:r>
      <w:proofErr w:type="spellEnd"/>
      <w:r w:rsidRPr="00A74B93">
        <w:rPr>
          <w:kern w:val="2"/>
        </w:rPr>
        <w:t xml:space="preserve">, kas noteikti ieguldījumiem natūrā pamatdarbībās, un </w:t>
      </w:r>
      <w:proofErr w:type="spellStart"/>
      <w:r w:rsidRPr="00A74B93">
        <w:rPr>
          <w:kern w:val="2"/>
        </w:rPr>
        <w:t>mērķrādītājiem</w:t>
      </w:r>
      <w:proofErr w:type="spellEnd"/>
      <w:r w:rsidRPr="00A74B93">
        <w:rPr>
          <w:kern w:val="2"/>
        </w:rPr>
        <w:t xml:space="preserve">, kas noteikti ieguldījumiem natūrā papildu pasākumos un kas palielināti līdz 2 444,5 miljoniem EUR jeb 90 % no kopējā </w:t>
      </w:r>
      <w:proofErr w:type="spellStart"/>
      <w:r w:rsidRPr="00A74B93">
        <w:rPr>
          <w:kern w:val="2"/>
        </w:rPr>
        <w:t>mērķrādītāja</w:t>
      </w:r>
      <w:proofErr w:type="spellEnd"/>
      <w:r w:rsidRPr="00A74B93">
        <w:rPr>
          <w:kern w:val="2"/>
        </w:rPr>
        <w:t xml:space="preserve">; uzsver, ka šāda paļaušanās uz ieguldījumiem natūrā papildu pasākumos apdraud programmas “Apvārsnis 2020” īstenošanu; uzsver kopuzņēmuma veiktās pārskatīšanas būtisko ietekmi; pieņem zināšanai kopuzņēmuma paskaidrojumu un to, ka papildu pasākumi veicina kopuzņēmuma vispārējo mērķu sasniegšanu; tomēr uzsver, ka tas nozīmē pārmērīgu paļaušanos uz ieguldījumiem natūrā papildu pasākumos, lai sasniegtu noteiktos </w:t>
      </w:r>
      <w:proofErr w:type="spellStart"/>
      <w:r w:rsidRPr="00A74B93">
        <w:rPr>
          <w:kern w:val="2"/>
        </w:rPr>
        <w:t>mērķrādītājus</w:t>
      </w:r>
      <w:proofErr w:type="spellEnd"/>
      <w:r w:rsidRPr="00A74B93">
        <w:rPr>
          <w:kern w:val="2"/>
        </w:rPr>
        <w:t>, un aicina kopuzņēmumu izvairīties no šādas situācijas atkārtošanās; pieņem zināšanai to, ka šie apstākļi lika Revīzijas palātai uzskatīt, ka attiecībā uz šo kopuzņēmumu pastāv augsts ar programmas īstenošanu saistītais risks;</w:t>
      </w:r>
    </w:p>
    <w:p w14:paraId="7F062BA1" w14:textId="77777777" w:rsidR="00A74B93" w:rsidRPr="00A74B93" w:rsidRDefault="00A74B93" w:rsidP="00A74B93">
      <w:pPr>
        <w:spacing w:after="240"/>
        <w:ind w:left="1134" w:hanging="567"/>
        <w:rPr>
          <w:kern w:val="2"/>
          <w:szCs w:val="24"/>
        </w:rPr>
      </w:pPr>
      <w:r w:rsidRPr="00A74B93">
        <w:rPr>
          <w:kern w:val="2"/>
        </w:rPr>
        <w:t>c)</w:t>
      </w:r>
      <w:r w:rsidRPr="00A74B93">
        <w:rPr>
          <w:kern w:val="2"/>
        </w:rPr>
        <w:tab/>
        <w:t xml:space="preserve">situāciju, kādā atrodas Eiropas Augstas veiktspējas </w:t>
      </w:r>
      <w:proofErr w:type="spellStart"/>
      <w:r w:rsidRPr="00A74B93">
        <w:rPr>
          <w:kern w:val="2"/>
        </w:rPr>
        <w:t>datošanas</w:t>
      </w:r>
      <w:proofErr w:type="spellEnd"/>
      <w:r w:rsidRPr="00A74B93">
        <w:rPr>
          <w:kern w:val="2"/>
        </w:rPr>
        <w:t xml:space="preserve"> kopuzņēmums, kura privātā sektora dalībnieku iemaksas saskaņā ar pamatprogrammu “Apvārsnis 2020” atbilstoši paziņotajam sasniedza tikai 18,4 miljonus EUR, bet </w:t>
      </w:r>
      <w:proofErr w:type="spellStart"/>
      <w:r w:rsidRPr="00A74B93">
        <w:rPr>
          <w:kern w:val="2"/>
        </w:rPr>
        <w:t>mērķrādītājs</w:t>
      </w:r>
      <w:proofErr w:type="spellEnd"/>
      <w:r w:rsidRPr="00A74B93">
        <w:rPr>
          <w:kern w:val="2"/>
        </w:rPr>
        <w:t xml:space="preserve"> ir 420 miljoni EUR, un tā ir nozīmīga atšķirība; turklāt norāda, ka šāda situācija varētu atkārtoties pamatprogrammas “Apvārsnis Eiropa” un programmas “Digitālā Eiropa” saistībā, jo ir būtiski palielināts privātā sektora dalībnieku iemaksu </w:t>
      </w:r>
      <w:proofErr w:type="spellStart"/>
      <w:r w:rsidRPr="00A74B93">
        <w:rPr>
          <w:kern w:val="2"/>
        </w:rPr>
        <w:t>mērķrādītājs</w:t>
      </w:r>
      <w:proofErr w:type="spellEnd"/>
      <w:r w:rsidRPr="00A74B93">
        <w:rPr>
          <w:kern w:val="2"/>
        </w:rPr>
        <w:t xml:space="preserve"> – līdz 900 miljoniem EUR, taču finansēšanas nosacījumi, kas radīja grūtības pamatprogrammas “Apvārsnis 2020” privātā sektora dalībniekiem, nav mainījušies; pieņem zināšanai to, ka šie apstākļi lika Revīzijas palātai uzskatīt, ka attiecībā uz šo kopuzņēmumu pastāv augsts ar programmas īstenošanu saistītais risks; pamatojoties uz papildu informāciju, kas sniegta attiecīgā kopuzņēmuma uzklausīšanā Budžeta kontroles komitejā, saprot, ka šis jautājums tiek risināts sadarbībā ar valdi; tomēr pievienojas Revīzijas palātas ieteikumam par to, kā šajā saistībā rīkoties, proti, Eiropas Augstas veiktspējas </w:t>
      </w:r>
      <w:proofErr w:type="spellStart"/>
      <w:r w:rsidRPr="00A74B93">
        <w:rPr>
          <w:kern w:val="2"/>
        </w:rPr>
        <w:t>datošanas</w:t>
      </w:r>
      <w:proofErr w:type="spellEnd"/>
      <w:r w:rsidRPr="00A74B93">
        <w:rPr>
          <w:kern w:val="2"/>
        </w:rPr>
        <w:t xml:space="preserve"> kopuzņēmumam būtu jāatbalsta Komisijas veikta pašreizējā </w:t>
      </w:r>
      <w:proofErr w:type="spellStart"/>
      <w:r w:rsidRPr="00A74B93">
        <w:rPr>
          <w:kern w:val="2"/>
        </w:rPr>
        <w:t>mērķrādītāja</w:t>
      </w:r>
      <w:proofErr w:type="spellEnd"/>
      <w:r w:rsidRPr="00A74B93">
        <w:rPr>
          <w:kern w:val="2"/>
        </w:rPr>
        <w:t xml:space="preserve"> pārvērtēšana, lai nodrošinātu, ka var sasniegt </w:t>
      </w:r>
      <w:proofErr w:type="spellStart"/>
      <w:r w:rsidRPr="00A74B93">
        <w:rPr>
          <w:kern w:val="2"/>
        </w:rPr>
        <w:t>mērķrādītāju</w:t>
      </w:r>
      <w:proofErr w:type="spellEnd"/>
      <w:r w:rsidRPr="00A74B93">
        <w:rPr>
          <w:kern w:val="2"/>
        </w:rPr>
        <w:t xml:space="preserve"> attiecībā uz privātā sektora dalībnieku iemaksām pamatprogrammas “Apvārsnis Eiropa” un programmas “Digitālā Eiropa” satvarā, un vēlreiz uzsver, ka iemaksu </w:t>
      </w:r>
      <w:proofErr w:type="spellStart"/>
      <w:r w:rsidRPr="00A74B93">
        <w:rPr>
          <w:kern w:val="2"/>
        </w:rPr>
        <w:t>mērķrādītāju</w:t>
      </w:r>
      <w:proofErr w:type="spellEnd"/>
      <w:r w:rsidRPr="00A74B93">
        <w:rPr>
          <w:kern w:val="2"/>
        </w:rPr>
        <w:t xml:space="preserve"> sasniegšana būtu jāuzskata par pienākumu, nevis vienkārši par mērķi;</w:t>
      </w:r>
    </w:p>
    <w:p w14:paraId="2AC4AFE2" w14:textId="77777777" w:rsidR="00A74B93" w:rsidRPr="00A74B93" w:rsidRDefault="00A74B93" w:rsidP="00A74B93">
      <w:pPr>
        <w:spacing w:after="240"/>
        <w:ind w:left="567" w:hanging="567"/>
        <w:rPr>
          <w:kern w:val="2"/>
          <w:szCs w:val="24"/>
        </w:rPr>
      </w:pPr>
      <w:r w:rsidRPr="00A74B93">
        <w:rPr>
          <w:kern w:val="2"/>
        </w:rPr>
        <w:t>22.</w:t>
      </w:r>
      <w:r w:rsidRPr="00A74B93">
        <w:rPr>
          <w:kern w:val="2"/>
        </w:rPr>
        <w:tab/>
        <w:t xml:space="preserve">uzsver – lai veicinātu lielāku efektivitāti, kopuzņēmumu vienotajā </w:t>
      </w:r>
      <w:proofErr w:type="spellStart"/>
      <w:r w:rsidRPr="00A74B93">
        <w:rPr>
          <w:kern w:val="2"/>
        </w:rPr>
        <w:t>pamataktā</w:t>
      </w:r>
      <w:proofErr w:type="spellEnd"/>
      <w:r w:rsidRPr="00A74B93">
        <w:rPr>
          <w:kern w:val="2"/>
        </w:rPr>
        <w:t xml:space="preserve"> noteikts, ka kopuzņēmumiem ir pienākums panākt sinerģiju, izveidojot atbalsta biroja mehānismu, ko izmanto virknē noteiktu jomu; saprot, ka attiecīgie kopuzņēmumi ir noteikuši par prioritārām četras jomas, proti, grāmatvedības darbības, juridiskās darbības, informācijas un komunikācijas tehnoloģijas un cilvēkresursi; šajā saistībā īpaši atzinīgi vērtē to, ka:</w:t>
      </w:r>
    </w:p>
    <w:p w14:paraId="569C3642" w14:textId="77777777" w:rsidR="00A74B93" w:rsidRPr="00A74B93" w:rsidRDefault="00A74B93" w:rsidP="00A74B93">
      <w:pPr>
        <w:spacing w:after="240"/>
        <w:ind w:left="1134" w:hanging="567"/>
        <w:rPr>
          <w:kern w:val="2"/>
          <w:szCs w:val="24"/>
        </w:rPr>
      </w:pPr>
      <w:r w:rsidRPr="00A74B93">
        <w:rPr>
          <w:kern w:val="2"/>
        </w:rPr>
        <w:lastRenderedPageBreak/>
        <w:t>a)</w:t>
      </w:r>
      <w:r w:rsidRPr="00A74B93">
        <w:rPr>
          <w:kern w:val="2"/>
        </w:rPr>
        <w:tab/>
        <w:t>grāmatvedības darbībām paredzētais atbalsta biroja mehānisms darbojas kopš 2022. gada decembra un tādējādi tika izmantots visu 2023. finanšu gadu, kas redzams gada pārskatu sagatavošanā, kā arī to, ka kopuzņēmums “Eiropas dzelzceļš” uzņēmās vadību šā atbalsta biroja mehānisma izmantošanā;</w:t>
      </w:r>
    </w:p>
    <w:p w14:paraId="41DA74EB" w14:textId="77777777" w:rsidR="00A74B93" w:rsidRPr="00A74B93" w:rsidRDefault="00A74B93" w:rsidP="00A74B93">
      <w:pPr>
        <w:spacing w:after="240"/>
        <w:ind w:left="1134" w:hanging="567"/>
        <w:rPr>
          <w:kern w:val="2"/>
          <w:szCs w:val="24"/>
        </w:rPr>
      </w:pPr>
      <w:r w:rsidRPr="00A74B93">
        <w:rPr>
          <w:kern w:val="2"/>
        </w:rPr>
        <w:t>b)</w:t>
      </w:r>
      <w:r w:rsidRPr="00A74B93">
        <w:rPr>
          <w:kern w:val="2"/>
        </w:rPr>
        <w:tab/>
        <w:t>kopuzņēmums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un kopuzņēmums “Inovatīvas veselības aprūpes iniciatīva” uzņēmās vadību atbalsta biroja mehānisma īstenošanā kopīgas darbā pieņemšanas pārvaldības, cilvēkresursu tiesiskā regulējuma un cilvēkresursu </w:t>
      </w:r>
      <w:proofErr w:type="spellStart"/>
      <w:r w:rsidRPr="00A74B93">
        <w:rPr>
          <w:kern w:val="2"/>
        </w:rPr>
        <w:t>digitalizācijas</w:t>
      </w:r>
      <w:proofErr w:type="spellEnd"/>
      <w:r w:rsidRPr="00A74B93">
        <w:rPr>
          <w:kern w:val="2"/>
        </w:rPr>
        <w:t xml:space="preserve"> jomā;</w:t>
      </w:r>
    </w:p>
    <w:p w14:paraId="74C42745" w14:textId="77777777" w:rsidR="00A74B93" w:rsidRPr="00A74B93" w:rsidRDefault="00A74B93" w:rsidP="00A74B93">
      <w:pPr>
        <w:spacing w:after="240"/>
        <w:ind w:left="1134" w:hanging="567"/>
        <w:rPr>
          <w:kern w:val="2"/>
          <w:szCs w:val="24"/>
        </w:rPr>
      </w:pPr>
      <w:r w:rsidRPr="00A74B93">
        <w:rPr>
          <w:kern w:val="2"/>
        </w:rPr>
        <w:t>c)</w:t>
      </w:r>
      <w:r w:rsidRPr="00A74B93">
        <w:rPr>
          <w:kern w:val="2"/>
        </w:rPr>
        <w:tab/>
        <w:t xml:space="preserve">kopuzņēmums “Tīrs ūdeņradis” un kopuzņēmums “Inovatīvas veselības aprūpes </w:t>
      </w:r>
      <w:proofErr w:type="spellStart"/>
      <w:r w:rsidRPr="00A74B93">
        <w:rPr>
          <w:kern w:val="2"/>
        </w:rPr>
        <w:t>iniciatīva”uzņēmās</w:t>
      </w:r>
      <w:proofErr w:type="spellEnd"/>
      <w:r w:rsidRPr="00A74B93">
        <w:rPr>
          <w:kern w:val="2"/>
        </w:rPr>
        <w:t xml:space="preserve"> vadību atbalsta biroja mehānisma īstenošanā informācijas un komunikācijas tehnoloģiju pakalpojumu pārvaldības jomā;</w:t>
      </w:r>
    </w:p>
    <w:p w14:paraId="24238258" w14:textId="77777777" w:rsidR="00A74B93" w:rsidRPr="00A74B93" w:rsidRDefault="00A74B93" w:rsidP="00A74B93">
      <w:pPr>
        <w:spacing w:after="240"/>
        <w:ind w:left="1134" w:hanging="567"/>
        <w:rPr>
          <w:kern w:val="2"/>
          <w:szCs w:val="24"/>
        </w:rPr>
      </w:pPr>
      <w:r w:rsidRPr="00A74B93">
        <w:rPr>
          <w:kern w:val="2"/>
        </w:rPr>
        <w:t>d)</w:t>
      </w:r>
      <w:r w:rsidRPr="00A74B93">
        <w:rPr>
          <w:kern w:val="2"/>
        </w:rPr>
        <w:tab/>
        <w:t xml:space="preserve">kopuzņēmums “Tīra aviācija”, kopuzņēmums “Eiropas dzelzceļš” un Eiropas Augstas veiktspējas </w:t>
      </w:r>
      <w:proofErr w:type="spellStart"/>
      <w:r w:rsidRPr="00A74B93">
        <w:rPr>
          <w:kern w:val="2"/>
        </w:rPr>
        <w:t>datošanas</w:t>
      </w:r>
      <w:proofErr w:type="spellEnd"/>
      <w:r w:rsidRPr="00A74B93">
        <w:rPr>
          <w:kern w:val="2"/>
        </w:rPr>
        <w:t xml:space="preserve"> kopuzņēmums uzņēmās vadību atbalsta biroja mehānisma īstenošanā administratīvo iepirkumu pārvaldības jomā;</w:t>
      </w:r>
    </w:p>
    <w:p w14:paraId="014C429D" w14:textId="77777777" w:rsidR="00A74B93" w:rsidRPr="00A74B93" w:rsidRDefault="00A74B93" w:rsidP="00A74B93">
      <w:pPr>
        <w:spacing w:after="240"/>
        <w:ind w:left="1134" w:hanging="567"/>
        <w:rPr>
          <w:kern w:val="2"/>
          <w:szCs w:val="24"/>
        </w:rPr>
      </w:pPr>
      <w:r w:rsidRPr="00A74B93">
        <w:rPr>
          <w:kern w:val="2"/>
        </w:rPr>
        <w:t>e)</w:t>
      </w:r>
      <w:r w:rsidRPr="00A74B93">
        <w:rPr>
          <w:kern w:val="2"/>
        </w:rPr>
        <w:tab/>
        <w:t xml:space="preserve">kopuzņēmumi turpina īstenot </w:t>
      </w:r>
      <w:proofErr w:type="spellStart"/>
      <w:r w:rsidRPr="00A74B93">
        <w:rPr>
          <w:i/>
          <w:kern w:val="2"/>
        </w:rPr>
        <w:t>White</w:t>
      </w:r>
      <w:proofErr w:type="spellEnd"/>
      <w:r w:rsidRPr="00A74B93">
        <w:rPr>
          <w:i/>
          <w:kern w:val="2"/>
        </w:rPr>
        <w:t xml:space="preserve"> </w:t>
      </w:r>
      <w:proofErr w:type="spellStart"/>
      <w:r w:rsidRPr="00A74B93">
        <w:rPr>
          <w:i/>
          <w:kern w:val="2"/>
        </w:rPr>
        <w:t>Atrium</w:t>
      </w:r>
      <w:proofErr w:type="spellEnd"/>
      <w:r w:rsidRPr="00A74B93">
        <w:rPr>
          <w:kern w:val="2"/>
        </w:rPr>
        <w:t xml:space="preserve"> ēkā izvietoto kopuzņēmumu kopīgo stratēģisko IKT plānu;</w:t>
      </w:r>
    </w:p>
    <w:p w14:paraId="65A42FF0" w14:textId="77777777" w:rsidR="00A74B93" w:rsidRPr="00A74B93" w:rsidRDefault="00A74B93" w:rsidP="00A74B93">
      <w:pPr>
        <w:spacing w:after="240"/>
        <w:ind w:left="567" w:hanging="567"/>
        <w:rPr>
          <w:kern w:val="2"/>
          <w:szCs w:val="24"/>
        </w:rPr>
      </w:pPr>
      <w:r w:rsidRPr="00A74B93">
        <w:rPr>
          <w:kern w:val="2"/>
        </w:rPr>
        <w:t>23.</w:t>
      </w:r>
      <w:r w:rsidRPr="00A74B93">
        <w:rPr>
          <w:kern w:val="2"/>
        </w:rPr>
        <w:tab/>
        <w:t xml:space="preserve">aicina kopuzņēmumus, uz kuriem attiecas vienotajā </w:t>
      </w:r>
      <w:proofErr w:type="spellStart"/>
      <w:r w:rsidRPr="00A74B93">
        <w:rPr>
          <w:kern w:val="2"/>
        </w:rPr>
        <w:t>pamataktā</w:t>
      </w:r>
      <w:proofErr w:type="spellEnd"/>
      <w:r w:rsidRPr="00A74B93">
        <w:rPr>
          <w:kern w:val="2"/>
        </w:rPr>
        <w:t xml:space="preserve"> noteiktais pienākums, arī turpmāk ziņot par atbalsta mehānismu izveidi, sniegt skaidru informāciju par to, kuri kopuzņēmumi noteiktās jomās veic uzdevumus citu kopuzņēmumu labā, pēc iespējas drīzāk prioritāšu sarakstā iekļaut komunikāciju, loģistiku, pasākumu un sanāksmju telpu pārvaldību, kā arī atbalstu revīzijas un krāpšanas apkarošanas stratēģiju jomā un sniegt informāciju par jomām, kurās jāapsver atbalsta biroja mehānismu izveidošana nākotnē, kad būs noslēgtas vienošanās par mehānisma izmantošanu jomās, kas noteiktas par prioritārām;</w:t>
      </w:r>
    </w:p>
    <w:p w14:paraId="66CFFF26" w14:textId="77777777" w:rsidR="00A74B93" w:rsidRPr="00A74B93" w:rsidRDefault="00A74B93" w:rsidP="00A74B93">
      <w:pPr>
        <w:spacing w:after="240"/>
        <w:ind w:left="567" w:hanging="567"/>
        <w:rPr>
          <w:b/>
          <w:iCs/>
          <w:kern w:val="2"/>
        </w:rPr>
      </w:pPr>
      <w:r w:rsidRPr="00A74B93">
        <w:rPr>
          <w:b/>
          <w:iCs/>
          <w:kern w:val="2"/>
        </w:rPr>
        <w:t>Iepirkums un konkursi</w:t>
      </w:r>
    </w:p>
    <w:p w14:paraId="547C4EDD" w14:textId="77777777" w:rsidR="00A74B93" w:rsidRPr="00A74B93" w:rsidRDefault="00A74B93" w:rsidP="00A74B93">
      <w:pPr>
        <w:spacing w:after="240"/>
        <w:ind w:left="567" w:hanging="567"/>
        <w:rPr>
          <w:kern w:val="2"/>
          <w:szCs w:val="24"/>
        </w:rPr>
      </w:pPr>
      <w:r w:rsidRPr="00A74B93">
        <w:rPr>
          <w:kern w:val="2"/>
        </w:rPr>
        <w:t>24.</w:t>
      </w:r>
      <w:r w:rsidRPr="00A74B93">
        <w:rPr>
          <w:kern w:val="2"/>
        </w:rPr>
        <w:tab/>
        <w:t>pievienojas Revīzijas palātas bažām saistībā ar iepirkuma procedūrām un aicina kopuzņēmumus nodrošināt, lai attiecīgo tiesību normu ievērošana un noteiktu iepirkuma procedūru nepieciešamā sarežģītība nepalielina risku attiecībā uz pamatdarbības izdevumu likumību un pareizību; precīzāk, pauž bažas par:</w:t>
      </w:r>
    </w:p>
    <w:p w14:paraId="3FEA4A01" w14:textId="77777777" w:rsidR="00A74B93" w:rsidRPr="00A74B93" w:rsidRDefault="00A74B93" w:rsidP="00A74B93">
      <w:pPr>
        <w:spacing w:after="240"/>
        <w:ind w:left="1134" w:hanging="567"/>
        <w:rPr>
          <w:kern w:val="2"/>
          <w:szCs w:val="24"/>
        </w:rPr>
      </w:pPr>
      <w:r w:rsidRPr="00A74B93">
        <w:rPr>
          <w:kern w:val="2"/>
        </w:rPr>
        <w:t>a)</w:t>
      </w:r>
      <w:r w:rsidRPr="00A74B93">
        <w:rPr>
          <w:kern w:val="2"/>
        </w:rPr>
        <w:tab/>
        <w:t>kopuzņēmuma “Inovatīvas veselības aprūpes iniciatīva” un kopuzņēmuma “Mikroshēmas” situāciju – abos kopuzņēmumos Revīzijas palāta konstatēja nepilnības vienas nozīmīgas iepirkuma procedūras izstrādē un novērtēšanā; pieņem zināšanai to, ka šis apstāklis tomēr nelika Revīzijas palātai uzskatīt, ka attiecībā uz šiem kopuzņēmumiem būtu vidējs vai augsts ar pamatdarbības kontroles izdevumiem saistītais risks; tomēr uzsver to, ka šādas nepilnības var novest pie nepareiziem līgumiem un maksājumiem, ja netiks novērstas turpmākajās iepirkuma procedūrās; atzinīgi vērtē kopuzņēmumu gatavību risināt šos konkrētos gadījumus un uzlabot savus iepirkuma procesus;</w:t>
      </w:r>
    </w:p>
    <w:p w14:paraId="1A25DA6A" w14:textId="77777777" w:rsidR="00A74B93" w:rsidRPr="00A74B93" w:rsidRDefault="00A74B93" w:rsidP="00A74B93">
      <w:pPr>
        <w:spacing w:after="240"/>
        <w:ind w:left="1134" w:hanging="567"/>
        <w:rPr>
          <w:kern w:val="2"/>
          <w:szCs w:val="24"/>
        </w:rPr>
      </w:pPr>
      <w:r w:rsidRPr="00A74B93">
        <w:rPr>
          <w:kern w:val="2"/>
        </w:rPr>
        <w:t>b)</w:t>
      </w:r>
      <w:r w:rsidRPr="00A74B93">
        <w:rPr>
          <w:kern w:val="2"/>
        </w:rPr>
        <w:tab/>
        <w:t xml:space="preserve">to, ka Revīzijas palāta risku saistībā ar Eiropas Augstas veiktspējas </w:t>
      </w:r>
      <w:proofErr w:type="spellStart"/>
      <w:r w:rsidRPr="00A74B93">
        <w:rPr>
          <w:kern w:val="2"/>
        </w:rPr>
        <w:t>datošanas</w:t>
      </w:r>
      <w:proofErr w:type="spellEnd"/>
      <w:r w:rsidRPr="00A74B93">
        <w:rPr>
          <w:kern w:val="2"/>
        </w:rPr>
        <w:t xml:space="preserve"> kopuzņēmuma un </w:t>
      </w:r>
      <w:r w:rsidRPr="00A74B93">
        <w:rPr>
          <w:i/>
          <w:kern w:val="2"/>
        </w:rPr>
        <w:t>ITER</w:t>
      </w:r>
      <w:r w:rsidRPr="00A74B93">
        <w:rPr>
          <w:kern w:val="2"/>
        </w:rPr>
        <w:t xml:space="preserve"> un kodolsintēzes enerģētikas attīstības vajadzībām izveidotā Eiropas kopuzņēmuma pamatdarbības līgumu izdevumiem ir novērtējusi kā vidēju, ņemot vērā to sarežģītās iepirkuma procedūras augstas vērtības </w:t>
      </w:r>
      <w:r w:rsidRPr="00A74B93">
        <w:rPr>
          <w:kern w:val="2"/>
        </w:rPr>
        <w:lastRenderedPageBreak/>
        <w:t>līgumiem;</w:t>
      </w:r>
    </w:p>
    <w:p w14:paraId="3938C403" w14:textId="77777777" w:rsidR="00A74B93" w:rsidRPr="00A74B93" w:rsidRDefault="00A74B93" w:rsidP="00A74B93">
      <w:pPr>
        <w:spacing w:after="240"/>
        <w:ind w:left="567" w:hanging="567"/>
        <w:rPr>
          <w:kern w:val="2"/>
          <w:szCs w:val="24"/>
        </w:rPr>
      </w:pPr>
      <w:r w:rsidRPr="00A74B93">
        <w:rPr>
          <w:kern w:val="2"/>
        </w:rPr>
        <w:t>25.</w:t>
      </w:r>
      <w:r w:rsidRPr="00A74B93">
        <w:rPr>
          <w:kern w:val="2"/>
        </w:rPr>
        <w:tab/>
        <w:t xml:space="preserve">uzsver, ka Eiropas Augstas veiktspējas </w:t>
      </w:r>
      <w:proofErr w:type="spellStart"/>
      <w:r w:rsidRPr="00A74B93">
        <w:rPr>
          <w:kern w:val="2"/>
        </w:rPr>
        <w:t>datošanas</w:t>
      </w:r>
      <w:proofErr w:type="spellEnd"/>
      <w:r w:rsidRPr="00A74B93">
        <w:rPr>
          <w:kern w:val="2"/>
        </w:rPr>
        <w:t xml:space="preserve"> kopuzņēmums ir pakļauts finanšu riskam saistībā ar piegādātāju, kurš saskaras ar grūtībām, un saskaņā ar kopuzņēmuma vērtējumu šā riska ietekme varētu sniegties no potenciāli niecīgas 0 EUR apmērā līdz aplēstai maksimālajai 88 miljonu EUR apmērā; pamatojoties uz kopuzņēmuma gada pārskatiem, saprot, ka šī situācija tiek rūpīgi pārbaudīta; aicina kopuzņēmumu darīt visu nepieciešamo, lai līdz minimumam samazinātu finanšu saistības; atzinīgi vērtē papildu informāciju, kas sniegta attiecīgā kopuzņēmuma uzklausīšanā Budžeta kontroles komitejā, jo īpaši attiecībā uz papildu garantijām, ko attiecīgais kopuzņēmums pieprasījis, lai līdz minimumam samazinātu šīs finanšu saistības, kā arī sniegto skaidrojumu par konkrētā piegādātāja būtisko lomu;</w:t>
      </w:r>
    </w:p>
    <w:p w14:paraId="51C48712" w14:textId="77777777" w:rsidR="00A74B93" w:rsidRPr="00A74B93" w:rsidRDefault="00A74B93" w:rsidP="00A74B93">
      <w:pPr>
        <w:spacing w:after="240"/>
        <w:ind w:left="567" w:hanging="567"/>
        <w:rPr>
          <w:kern w:val="2"/>
        </w:rPr>
      </w:pPr>
      <w:r w:rsidRPr="00A74B93">
        <w:rPr>
          <w:kern w:val="2"/>
        </w:rPr>
        <w:t>26.</w:t>
      </w:r>
      <w:r w:rsidRPr="00A74B93">
        <w:rPr>
          <w:kern w:val="2"/>
        </w:rPr>
        <w:tab/>
        <w:t xml:space="preserve">pieņem zināšanai to, ka kopuzņēmumu sniegtie kvantitatīvie dati par dzimumu līdzsvaru darbam ar kopuzņēmumiem atlasīto ekspertu vidū atšķiras detalizācijas pakāpes un pieejamības līmeņa ziņā; aicina visus kopuzņēmumus palielināt </w:t>
      </w:r>
      <w:proofErr w:type="spellStart"/>
      <w:r w:rsidRPr="00A74B93">
        <w:rPr>
          <w:kern w:val="2"/>
        </w:rPr>
        <w:t>pārredzamību</w:t>
      </w:r>
      <w:proofErr w:type="spellEnd"/>
      <w:r w:rsidRPr="00A74B93">
        <w:rPr>
          <w:kern w:val="2"/>
        </w:rPr>
        <w:t xml:space="preserve"> un turpmākajos gada darbības pārskatos iekļaut skaidrus kvantitatīvus datus par dzimumu līdzsvaru atlasīto ekspertu vidū; aicina visus kopuzņēmumus pielikt lielākas pūles, lai veicinātu dzimumu līdztiesību visos līmeņos, un nodrošināt, lai dzimumu līdzsvars joprojām būtu horizontāla prioritāte visās ar iepirkumu, dotācijām un konkursiem saistītajās darbībās, un sniegt paskaidrojumus gadījumos, kad dzimumu līdzsvaru panākt nav iespējams;</w:t>
      </w:r>
    </w:p>
    <w:p w14:paraId="7B7EB186" w14:textId="77777777" w:rsidR="00A74B93" w:rsidRPr="00A74B93" w:rsidRDefault="00A74B93" w:rsidP="00A74B93">
      <w:pPr>
        <w:spacing w:after="240"/>
        <w:ind w:left="567" w:hanging="567"/>
        <w:rPr>
          <w:kern w:val="2"/>
        </w:rPr>
      </w:pPr>
      <w:r w:rsidRPr="00A74B93">
        <w:rPr>
          <w:kern w:val="2"/>
        </w:rPr>
        <w:t>27.</w:t>
      </w:r>
      <w:r w:rsidRPr="00A74B93">
        <w:rPr>
          <w:kern w:val="2"/>
        </w:rPr>
        <w:tab/>
        <w:t>pieņem zināšanai to, ka kopuzņēmumu sniegtie kvantitatīvie dati par darbam ar kopuzņēmumiem atlasīto ekspertu ģeogrāfisko sadalījumu atšķiras detalizācijas pakāpes un pieejamības līmeņa ziņā; aicina visus kopuzņēmumus turpmākajos gada darbības pārskatos iekļaut skaidrus kvantitatīvus datus par atlasīto ekspertu ģeogrāfisko sadalījumu; aicina visus kopuzņēmumus nodrošināt, lai ģeogrāfiskais sadalījums joprojām būtu horizontāla prioritāte visās ar iepirkumu, dotācijām un konkursiem saistītajās darbībās, un sniegt paskaidrojumus gadījumos, kad pienācīgu ģeogrāfisko sadalījumu panākt nav iespējams;</w:t>
      </w:r>
    </w:p>
    <w:p w14:paraId="466D68C6" w14:textId="77777777" w:rsidR="00A74B93" w:rsidRPr="00A74B93" w:rsidRDefault="00A74B93" w:rsidP="00A74B93">
      <w:pPr>
        <w:spacing w:after="240"/>
        <w:ind w:left="567" w:hanging="567"/>
        <w:rPr>
          <w:b/>
          <w:i/>
          <w:kern w:val="2"/>
        </w:rPr>
      </w:pPr>
      <w:r w:rsidRPr="00A74B93">
        <w:rPr>
          <w:kern w:val="2"/>
        </w:rPr>
        <w:t>28</w:t>
      </w:r>
      <w:r w:rsidRPr="00A74B93">
        <w:rPr>
          <w:i/>
          <w:kern w:val="2"/>
        </w:rPr>
        <w:t>.</w:t>
      </w:r>
      <w:r w:rsidRPr="00A74B93">
        <w:rPr>
          <w:b/>
          <w:i/>
          <w:kern w:val="2"/>
        </w:rPr>
        <w:tab/>
      </w:r>
      <w:r w:rsidRPr="00A74B93">
        <w:rPr>
          <w:kern w:val="2"/>
        </w:rPr>
        <w:t>prasa panākt kopuzņēmumu piešķirtā finansējuma taisnīgu un vienlīdzīgu ģeogrāfisko sadalījumu, nodrošinot, ka reģioni ar zemāku inovācijas spēju un MVU saņem pienācīgu atbalstu;</w:t>
      </w:r>
    </w:p>
    <w:p w14:paraId="6E5960F3" w14:textId="77777777" w:rsidR="00A74B93" w:rsidRPr="00A74B93" w:rsidRDefault="00A74B93" w:rsidP="00A74B93">
      <w:pPr>
        <w:spacing w:after="240"/>
        <w:ind w:left="567" w:hanging="567"/>
        <w:rPr>
          <w:b/>
          <w:iCs/>
          <w:kern w:val="2"/>
        </w:rPr>
      </w:pPr>
      <w:r w:rsidRPr="00A74B93">
        <w:rPr>
          <w:b/>
          <w:iCs/>
          <w:kern w:val="2"/>
        </w:rPr>
        <w:t>Personāls un pieņemšana darbā</w:t>
      </w:r>
    </w:p>
    <w:p w14:paraId="75E92F21" w14:textId="77777777" w:rsidR="00A74B93" w:rsidRPr="00A74B93" w:rsidRDefault="00A74B93" w:rsidP="00A74B93">
      <w:pPr>
        <w:spacing w:after="240"/>
        <w:ind w:left="567" w:hanging="567"/>
        <w:rPr>
          <w:kern w:val="2"/>
        </w:rPr>
      </w:pPr>
      <w:r w:rsidRPr="00A74B93">
        <w:rPr>
          <w:kern w:val="2"/>
        </w:rPr>
        <w:t>29.</w:t>
      </w:r>
      <w:r w:rsidRPr="00A74B93">
        <w:rPr>
          <w:kern w:val="2"/>
        </w:rPr>
        <w:tab/>
        <w:t xml:space="preserve">pauž bažas par pašreizējo stāvokli darbā pieņemšanas jomā Eiropas Augstas veiktspējas </w:t>
      </w:r>
      <w:proofErr w:type="spellStart"/>
      <w:r w:rsidRPr="00A74B93">
        <w:rPr>
          <w:kern w:val="2"/>
        </w:rPr>
        <w:t>datošanas</w:t>
      </w:r>
      <w:proofErr w:type="spellEnd"/>
      <w:r w:rsidRPr="00A74B93">
        <w:rPr>
          <w:kern w:val="2"/>
        </w:rPr>
        <w:t xml:space="preserve"> kopuzņēmumā, kuram, lai apgūtu ievērojamo finansējumu, ko tas saņēma saskaņā ar pašreizējo daudzgadu finanšu shēmu, tika piešķirtas 39 papildu amata vietas, kas bija jāaizpilda līdz 2023. finanšu gada beigām, taču darbā tika pieņemts tikai 21 papildu darbinieks; turklāt pauž bažas par Revīzijas palātas novērtējumu, kurā konstatēts, ka kopuzņēmumu darbā pieņemšanas procedūras nav bijušas pietiekami pārredzamas, jo trūka skaidras un iepriekš saskaņotas punktu skalas kandidātu un viņu kvalifikācijas novērtēšanai, kā arī pietiekamas dokumentācijas par pamatā esošo lēmumu pieņemšanas procesu; pauž nožēlu par to, ka saskaņā ar Revīzijas palātas viedokli šīs situācijas dēļ, iespējams, netika ievērota vienlīdzīga attieksme pret kandidātiem; atgādina, ka ir ārkārtīgi svarīgi nepiemērot dubultstandartus darbā pieņemšanas procesā, un prasa šajā saistībā veikt visus nepieciešamos pasākumus; pievienojas Revīzijas palātas ieteikumam par to, kā šajā saistībā rīkoties, proti, Eiropas </w:t>
      </w:r>
      <w:r w:rsidRPr="00A74B93">
        <w:rPr>
          <w:kern w:val="2"/>
        </w:rPr>
        <w:lastRenderedPageBreak/>
        <w:t xml:space="preserve">Augstas veiktspējas </w:t>
      </w:r>
      <w:proofErr w:type="spellStart"/>
      <w:r w:rsidRPr="00A74B93">
        <w:rPr>
          <w:kern w:val="2"/>
        </w:rPr>
        <w:t>datošanas</w:t>
      </w:r>
      <w:proofErr w:type="spellEnd"/>
      <w:r w:rsidRPr="00A74B93">
        <w:rPr>
          <w:kern w:val="2"/>
        </w:rPr>
        <w:t xml:space="preserve"> kopuzņēmumam būtu efektīvi jāizmanto palielinātais darbinieku skaits, lai līdz 2024. gada beigām sasniegtu savu darbā pieņemšanas </w:t>
      </w:r>
      <w:proofErr w:type="spellStart"/>
      <w:r w:rsidRPr="00A74B93">
        <w:rPr>
          <w:kern w:val="2"/>
        </w:rPr>
        <w:t>mērķrādītāju</w:t>
      </w:r>
      <w:proofErr w:type="spellEnd"/>
      <w:r w:rsidRPr="00A74B93">
        <w:rPr>
          <w:kern w:val="2"/>
        </w:rPr>
        <w:t xml:space="preserve">, un, lai uzlabotu darbā pieņemšanas procedūru </w:t>
      </w:r>
      <w:proofErr w:type="spellStart"/>
      <w:r w:rsidRPr="00A74B93">
        <w:rPr>
          <w:kern w:val="2"/>
        </w:rPr>
        <w:t>pārredzamību</w:t>
      </w:r>
      <w:proofErr w:type="spellEnd"/>
      <w:r w:rsidRPr="00A74B93">
        <w:rPr>
          <w:kern w:val="2"/>
        </w:rPr>
        <w:t xml:space="preserve"> un pamatotu atlases komitejas lēmumu pieņemšanas procesus, Eiropas Augstas veiktspējas </w:t>
      </w:r>
      <w:proofErr w:type="spellStart"/>
      <w:r w:rsidRPr="00A74B93">
        <w:rPr>
          <w:kern w:val="2"/>
        </w:rPr>
        <w:t>datošanas</w:t>
      </w:r>
      <w:proofErr w:type="spellEnd"/>
      <w:r w:rsidRPr="00A74B93">
        <w:rPr>
          <w:kern w:val="2"/>
        </w:rPr>
        <w:t xml:space="preserve"> kopuzņēmumam </w:t>
      </w:r>
      <w:proofErr w:type="spellStart"/>
      <w:r w:rsidRPr="00A74B93">
        <w:rPr>
          <w:kern w:val="2"/>
        </w:rPr>
        <w:t>priekšatlases</w:t>
      </w:r>
      <w:proofErr w:type="spellEnd"/>
      <w:r w:rsidRPr="00A74B93">
        <w:rPr>
          <w:kern w:val="2"/>
        </w:rPr>
        <w:t xml:space="preserve"> posmā būtu jāizmanto iepriekš saskaņota punktu skala atbilstoši citu kopuzņēmumu un Savienības struktūru praksei; atzinīgi vērtē kopuzņēmuma gatavību ņemt vērā ieteikumus uzlabojumiem;</w:t>
      </w:r>
    </w:p>
    <w:p w14:paraId="0DC1F1B6" w14:textId="77777777" w:rsidR="00A74B93" w:rsidRPr="00A74B93" w:rsidRDefault="00A74B93" w:rsidP="00A74B93">
      <w:pPr>
        <w:spacing w:after="240"/>
        <w:ind w:left="567" w:hanging="567"/>
        <w:rPr>
          <w:b/>
          <w:i/>
          <w:kern w:val="2"/>
        </w:rPr>
      </w:pPr>
      <w:r w:rsidRPr="00A74B93">
        <w:rPr>
          <w:kern w:val="2"/>
        </w:rPr>
        <w:t>30.</w:t>
      </w:r>
      <w:r w:rsidRPr="00A74B93">
        <w:rPr>
          <w:b/>
          <w:i/>
          <w:kern w:val="2"/>
        </w:rPr>
        <w:tab/>
      </w:r>
      <w:r w:rsidRPr="00A74B93">
        <w:rPr>
          <w:kern w:val="2"/>
        </w:rPr>
        <w:t xml:space="preserve">uzsver, ka visos kopuzņēmumos ir vajadzīga saskaņota un taisnīga personāla politika, lai darbiniekiem nodrošinātu pienācīgus un iekļaujošus darba apstākļus, karjeras attīstības iespējas un darba un privātās dzīves līdzsvaru; aicina īstenot pasākumus, lai novērstu pārmērīgu paļaušanos uz pagaidu līgumiem un nestabilu nodarbinātību; uzsver to, ka darbinieku </w:t>
      </w:r>
      <w:proofErr w:type="spellStart"/>
      <w:r w:rsidRPr="00A74B93">
        <w:rPr>
          <w:kern w:val="2"/>
        </w:rPr>
        <w:t>labbūtības</w:t>
      </w:r>
      <w:proofErr w:type="spellEnd"/>
      <w:r w:rsidRPr="00A74B93">
        <w:rPr>
          <w:kern w:val="2"/>
        </w:rPr>
        <w:t xml:space="preserve"> uzlabošanai svarīgas ir </w:t>
      </w:r>
      <w:proofErr w:type="spellStart"/>
      <w:r w:rsidRPr="00A74B93">
        <w:rPr>
          <w:kern w:val="2"/>
        </w:rPr>
        <w:t>psihoemocionālās</w:t>
      </w:r>
      <w:proofErr w:type="spellEnd"/>
      <w:r w:rsidRPr="00A74B93">
        <w:rPr>
          <w:kern w:val="2"/>
        </w:rPr>
        <w:t xml:space="preserve"> veselības atbalsta struktūras, elastīgs darba režīms un taisnīgas iespējas tikt iekšēji paaugstinātiem amatā;</w:t>
      </w:r>
    </w:p>
    <w:p w14:paraId="64629C2C" w14:textId="77777777" w:rsidR="00A74B93" w:rsidRPr="00A74B93" w:rsidRDefault="00A74B93" w:rsidP="00A74B93">
      <w:pPr>
        <w:spacing w:after="240"/>
        <w:ind w:left="567" w:hanging="567"/>
        <w:rPr>
          <w:b/>
          <w:i/>
          <w:kern w:val="2"/>
        </w:rPr>
      </w:pPr>
      <w:r w:rsidRPr="00A74B93">
        <w:rPr>
          <w:kern w:val="2"/>
        </w:rPr>
        <w:t>31.</w:t>
      </w:r>
      <w:r w:rsidRPr="00A74B93">
        <w:rPr>
          <w:kern w:val="2"/>
        </w:rPr>
        <w:tab/>
        <w:t xml:space="preserve">aicina visus kopuzņēmumus īstenot konkrētus pasākumus, lai uzlabotu dzimumu līdzsvaru vadītāju vidū un lēmumu pieņemšanas struktūrās, cita starpā noteikt dzimumu līdzsvara </w:t>
      </w:r>
      <w:proofErr w:type="spellStart"/>
      <w:r w:rsidRPr="00A74B93">
        <w:rPr>
          <w:kern w:val="2"/>
        </w:rPr>
        <w:t>mērķrādītājus</w:t>
      </w:r>
      <w:proofErr w:type="spellEnd"/>
      <w:r w:rsidRPr="00A74B93">
        <w:rPr>
          <w:kern w:val="2"/>
        </w:rPr>
        <w:t xml:space="preserve"> un regulāri uzraudzīt progresu; uzsver, ka ir jānovērš vīriešu un sieviešu darba samaksas atšķirības un jānodrošina vienlīdzīgas karjeras izaugsmes iespējas;</w:t>
      </w:r>
    </w:p>
    <w:p w14:paraId="360E21A5" w14:textId="77777777" w:rsidR="00A74B93" w:rsidRPr="00A74B93" w:rsidRDefault="00A74B93" w:rsidP="00A74B93">
      <w:pPr>
        <w:spacing w:after="240"/>
        <w:ind w:left="567" w:hanging="567"/>
        <w:rPr>
          <w:kern w:val="2"/>
          <w:szCs w:val="24"/>
        </w:rPr>
      </w:pPr>
      <w:r w:rsidRPr="00A74B93">
        <w:rPr>
          <w:kern w:val="2"/>
        </w:rPr>
        <w:t>32.</w:t>
      </w:r>
      <w:r w:rsidRPr="00A74B93">
        <w:rPr>
          <w:kern w:val="2"/>
        </w:rPr>
        <w:tab/>
        <w:t xml:space="preserve">pieņem zināšanai to, ka Revīzijas palāta uzskatīja, ka ar administratīvo izdevumu likumību un pareizību saistītais risks ir zems visiem kopuzņēmumiem, izņemot kopuzņēmumu “Mikroshēmas” un Eiropas Augstas veiktspējas </w:t>
      </w:r>
      <w:proofErr w:type="spellStart"/>
      <w:r w:rsidRPr="00A74B93">
        <w:rPr>
          <w:kern w:val="2"/>
        </w:rPr>
        <w:t>datošanas</w:t>
      </w:r>
      <w:proofErr w:type="spellEnd"/>
      <w:r w:rsidRPr="00A74B93">
        <w:rPr>
          <w:kern w:val="2"/>
        </w:rPr>
        <w:t xml:space="preserve"> kopuzņēmumu, kuru gadījumā tas vērtēts kā vidējs augstā darbā pieņemšanas rādītāja dēļ, kā arī kopuzņēmumu “Viedie tīkli un pakalpojumi” un kopuzņēmumu “</w:t>
      </w:r>
      <w:proofErr w:type="spellStart"/>
      <w:r w:rsidRPr="00A74B93">
        <w:rPr>
          <w:i/>
          <w:iCs/>
          <w:kern w:val="2"/>
        </w:rPr>
        <w:t>Global</w:t>
      </w:r>
      <w:proofErr w:type="spellEnd"/>
      <w:r w:rsidRPr="00A74B93">
        <w:rPr>
          <w:i/>
          <w:iCs/>
          <w:kern w:val="2"/>
        </w:rPr>
        <w:t xml:space="preserve"> Health EDCTP3</w:t>
      </w:r>
      <w:r w:rsidRPr="00A74B93">
        <w:rPr>
          <w:kern w:val="2"/>
        </w:rPr>
        <w:t>” to nesen iegūtās finansiālās autonomijas dēļ;</w:t>
      </w:r>
    </w:p>
    <w:p w14:paraId="572D92BA" w14:textId="77777777" w:rsidR="00A74B93" w:rsidRPr="00A74B93" w:rsidRDefault="00A74B93" w:rsidP="00A74B93">
      <w:pPr>
        <w:spacing w:after="240"/>
        <w:ind w:left="567" w:hanging="567"/>
        <w:rPr>
          <w:kern w:val="2"/>
          <w:szCs w:val="24"/>
        </w:rPr>
      </w:pPr>
      <w:r w:rsidRPr="00A74B93">
        <w:rPr>
          <w:kern w:val="2"/>
        </w:rPr>
        <w:t>33.</w:t>
      </w:r>
      <w:r w:rsidRPr="00A74B93">
        <w:rPr>
          <w:kern w:val="2"/>
        </w:rPr>
        <w:tab/>
        <w:t xml:space="preserve">pauž bažas par </w:t>
      </w:r>
      <w:r w:rsidRPr="00A74B93">
        <w:rPr>
          <w:i/>
          <w:kern w:val="2"/>
        </w:rPr>
        <w:t>ITER</w:t>
      </w:r>
      <w:r w:rsidRPr="00A74B93">
        <w:rPr>
          <w:kern w:val="2"/>
        </w:rPr>
        <w:t xml:space="preserve"> un kodolsintēzes enerģētikas attīstības vajadzībām izveidotā Eiropas kopuzņēmuma situāciju attiecībā uz dažādiem Revīzijas palātas konstatētiem aspektiem saistībā ar cilvēkresursu pārvaldību, jo īpaši attiecībā uz ārpakalpojumu sniedzēju izmantošanu, proti:</w:t>
      </w:r>
    </w:p>
    <w:p w14:paraId="0A62D6F8" w14:textId="77777777" w:rsidR="00A74B93" w:rsidRPr="00A74B93" w:rsidRDefault="00A74B93" w:rsidP="00A74B93">
      <w:pPr>
        <w:spacing w:after="240"/>
        <w:ind w:left="1134" w:hanging="567"/>
        <w:rPr>
          <w:kern w:val="2"/>
          <w:szCs w:val="24"/>
        </w:rPr>
      </w:pPr>
      <w:r w:rsidRPr="00A74B93">
        <w:rPr>
          <w:kern w:val="2"/>
        </w:rPr>
        <w:t>a)</w:t>
      </w:r>
      <w:r w:rsidRPr="00A74B93">
        <w:rPr>
          <w:kern w:val="2"/>
        </w:rPr>
        <w:tab/>
        <w:t>būtisko apmēru, kādā kopuzņēmums izmanto ārpakalpojumu sniedzējus, jo konstatēts, ka gandrīz puse no kopuzņēmuma darbiniekiem bija ārpakalpojumu sniedzēji (361 ārpakalpojumu sniedzējs un 429 štata darbinieki 2023. gadā), kas nozīmē, ka šī situācija ir kritisks jautājums un var pamatīgi ietekmēt kopuzņēmuma spēju ilgtspējīgi pārvaldīt savus cilvēkresursus, vienlaikus nodrošinot spēju saglabāt zināšanas un institucionālo atmiņu, kura turklāt dod finansiālu ieguvumu iespēju ilgtermiņā;</w:t>
      </w:r>
    </w:p>
    <w:p w14:paraId="0CDDA311" w14:textId="77777777" w:rsidR="00A74B93" w:rsidRPr="00A74B93" w:rsidRDefault="00A74B93" w:rsidP="00A74B93">
      <w:pPr>
        <w:spacing w:after="240"/>
        <w:ind w:left="1134" w:hanging="567"/>
        <w:rPr>
          <w:kern w:val="2"/>
        </w:rPr>
      </w:pPr>
      <w:r w:rsidRPr="00A74B93">
        <w:rPr>
          <w:kern w:val="2"/>
        </w:rPr>
        <w:t>b)</w:t>
      </w:r>
      <w:r w:rsidRPr="00A74B93">
        <w:rPr>
          <w:kern w:val="2"/>
        </w:rPr>
        <w:tab/>
        <w:t>to, ka kopuzņēmums nav pieņēmis vienotu oficiālu ārpakalpojumu sniedzēju definīciju, tāpēc kopuzņēmuma vērtējums par to ietekmi uz nepieciešamo štata darbinieku skaitu nebija skaidrs; turklāt norāda, ka kopuzņēmuma riska reģistrā nebija iekļauti visi iespējamie riski saistībā ar ārpakalpojumu sniedzēju plašu izmantošanu ilgtermiņā, un tas varētu kavēt kopuzņēmuma iekšējo kontroli ieviest pienācīgus riska mazināšanas pasākumus minēto risku novēršanai;</w:t>
      </w:r>
    </w:p>
    <w:p w14:paraId="2DC574C8" w14:textId="77777777" w:rsidR="00A74B93" w:rsidRPr="00A74B93" w:rsidRDefault="00A74B93" w:rsidP="00A74B93">
      <w:pPr>
        <w:spacing w:after="240"/>
        <w:ind w:left="1134" w:hanging="567"/>
        <w:rPr>
          <w:kern w:val="2"/>
        </w:rPr>
      </w:pPr>
      <w:r w:rsidRPr="00A74B93">
        <w:rPr>
          <w:kern w:val="2"/>
        </w:rPr>
        <w:t>c)</w:t>
      </w:r>
      <w:r w:rsidRPr="00A74B93">
        <w:rPr>
          <w:kern w:val="2"/>
        </w:rPr>
        <w:tab/>
        <w:t xml:space="preserve">Komisijas Iekšējās revīzijas dienesta šajā jautājumā veiktās revīzijas konstatējumiem, kuri atklāj, ka kopuzņēmums nav izveidojis centralizētu vienību ārpakalpojumu sniedzēju koordinēšanai un pārvaldībai, kā arī nav izstrādājis </w:t>
      </w:r>
      <w:r w:rsidRPr="00A74B93">
        <w:rPr>
          <w:kern w:val="2"/>
        </w:rPr>
        <w:lastRenderedPageBreak/>
        <w:t>metodiku kopējo cilvēkresursu vajadzību un jo īpaši vajadzību pēc ārpakalpojumu sniedzējiem novērtēšanai; uzsver, ka konstatēts – kopuzņēmuma lēmums par ārpakalpojumu sniedzēju izmantošanu līdz ar to bija balstīts uz budžeta apsvērumiem, nevis cilvēkresursu vajadzībām;</w:t>
      </w:r>
    </w:p>
    <w:p w14:paraId="0B1DD994" w14:textId="77777777" w:rsidR="00A74B93" w:rsidRPr="00A74B93" w:rsidRDefault="00A74B93" w:rsidP="00A74B93">
      <w:pPr>
        <w:spacing w:after="240"/>
        <w:ind w:left="1134" w:hanging="567"/>
        <w:rPr>
          <w:kern w:val="2"/>
        </w:rPr>
      </w:pPr>
      <w:r w:rsidRPr="00A74B93">
        <w:rPr>
          <w:kern w:val="2"/>
        </w:rPr>
        <w:t>d)</w:t>
      </w:r>
      <w:r w:rsidRPr="00A74B93">
        <w:rPr>
          <w:kern w:val="2"/>
        </w:rPr>
        <w:tab/>
      </w:r>
      <w:proofErr w:type="spellStart"/>
      <w:r w:rsidRPr="00A74B93">
        <w:rPr>
          <w:kern w:val="2"/>
        </w:rPr>
        <w:t>pārredzamības</w:t>
      </w:r>
      <w:proofErr w:type="spellEnd"/>
      <w:r w:rsidRPr="00A74B93">
        <w:rPr>
          <w:kern w:val="2"/>
        </w:rPr>
        <w:t xml:space="preserve"> trūkumu kopuzņēmuma ziņošanā par tā cilvēkresursiem; it īpaši attiecībā uz informācijas sniegšanu par pastāvīgo un pagaidu darbinieku skaitu, ņemot vērā to, ka 224 no 386 pagaidu darbiniekiem un līgumdarbiniekiem faktiski bija noslēguši līgumu uz nenoteiktu laiku un tāpēc no praktiskā viedokļa tos varēja uzskatīt par pastāvīgajiem darbiniekiem; aicina kopuzņēmumu turpmākajos ziņojumos par cilvēkresursiem uzsvērt šādas nianses;</w:t>
      </w:r>
    </w:p>
    <w:p w14:paraId="1330A9BB" w14:textId="77777777" w:rsidR="00A74B93" w:rsidRPr="00A74B93" w:rsidRDefault="00A74B93" w:rsidP="00A74B93">
      <w:pPr>
        <w:spacing w:after="240"/>
        <w:ind w:left="1134" w:hanging="567"/>
        <w:rPr>
          <w:kern w:val="2"/>
        </w:rPr>
      </w:pPr>
      <w:r w:rsidRPr="00A74B93">
        <w:rPr>
          <w:kern w:val="2"/>
        </w:rPr>
        <w:t>e)</w:t>
      </w:r>
      <w:r w:rsidRPr="00A74B93">
        <w:rPr>
          <w:kern w:val="2"/>
        </w:rPr>
        <w:tab/>
        <w:t xml:space="preserve">pievienojas Revīzijas palātas ieteikumam rīcībai, proti, ka </w:t>
      </w:r>
      <w:r w:rsidRPr="00A74B93">
        <w:rPr>
          <w:i/>
          <w:kern w:val="2"/>
        </w:rPr>
        <w:t>ITER</w:t>
      </w:r>
      <w:r w:rsidRPr="00A74B93">
        <w:rPr>
          <w:kern w:val="2"/>
        </w:rPr>
        <w:t xml:space="preserve"> un kodolsintēzes enerģētikas attīstības vajadzībām izveidotajam Eiropas kopuzņēmumam būtu jāizveido centralizēta ārpakalpojumu sniedzēju koordinācijas un pārvaldības vienība un jāpieņem visaptveroša metodika, kas ļautu regulāri novērtēt kopējās cilvēkresursu vajadzības, pamatojoties uz paredzamo darba slodzi un nepieciešamajām prasmēm, un ka attiecīgajam kopuzņēmumam būtu arī jāpapildina savs riska reģistrs ar svarīgākajiem riskiem, kas izriet no ārpakalpojumu sniedzēju plašas izmantošanas ilgtermiņā;</w:t>
      </w:r>
    </w:p>
    <w:p w14:paraId="4CEC2FCB" w14:textId="77777777" w:rsidR="00A74B93" w:rsidRPr="00A74B93" w:rsidRDefault="00A74B93" w:rsidP="00A74B93">
      <w:pPr>
        <w:spacing w:after="240"/>
        <w:ind w:left="1134" w:hanging="567"/>
        <w:rPr>
          <w:kern w:val="2"/>
        </w:rPr>
      </w:pPr>
      <w:r w:rsidRPr="00A74B93">
        <w:rPr>
          <w:kern w:val="2"/>
        </w:rPr>
        <w:t>f)</w:t>
      </w:r>
      <w:r w:rsidRPr="00A74B93">
        <w:rPr>
          <w:kern w:val="2"/>
        </w:rPr>
        <w:tab/>
        <w:t>atzinīgi vērtē saistības, ko uzņēmies kopuzņēmums, un atzinīgi vērtē tā paskaidrojumu par grūtībām, kuru dēļ nozīmīgā apmērā tiek izmantoti ārpakalpojumu sniedzēji; tomēr pauž bažas par šo būtisko atkarību un ar to saistītajiem riskiem; aicina kopuzņēmumu turpmāk sniegt sīkāku informāciju par lēmumu pieņemšanas procesiem, kuru rezultātā tiek izmantoti ārpakalpojumu sniedzēji;</w:t>
      </w:r>
    </w:p>
    <w:p w14:paraId="1BF255D1" w14:textId="77777777" w:rsidR="00A74B93" w:rsidRPr="00A74B93" w:rsidRDefault="00A74B93" w:rsidP="00A74B93">
      <w:pPr>
        <w:spacing w:after="240"/>
        <w:ind w:left="567" w:hanging="567"/>
        <w:rPr>
          <w:kern w:val="2"/>
        </w:rPr>
      </w:pPr>
      <w:r w:rsidRPr="00A74B93">
        <w:rPr>
          <w:kern w:val="2"/>
        </w:rPr>
        <w:t>34.</w:t>
      </w:r>
      <w:r w:rsidRPr="00A74B93">
        <w:rPr>
          <w:kern w:val="2"/>
        </w:rPr>
        <w:tab/>
        <w:t>pieņem zināšanai to, ka kopuzņēmumu gada darbības pārskatos sniegtie kvantitatīvie dati par dzimumu līdzsvaru to darbinieku vidū un pārvaldības vienībās un struktūrās atšķiras detalizācijas pakāpes un pieejamības līmeņa ziņā; aicina visus kopuzņēmumus turpmākajos gada darbības pārskatos iekļaut skaidru iedaļu, kas veltīta kvantitatīviem datiem par dzimumu līdzsvaru to darbinieku vidū un pārvaldības vienībās un struktūrās, ietverot datu sadalījumu pēc dažādiem atbildības līmeņiem un dažādiem līgumu veidiem; aicina visus kopuzņēmumus nodrošināt, ka tiek saglabāts mērķis panākt dzimumu līdzsvaru visos atbildības līmeņos, un pastāvīgi censties to uzlabot, lai nodrošinātu taisnīgu sabiedrības pārstāvību savu darbinieku vidū un veicinātu veselīgu un produktīvu darba vidi, un sniegt paskaidrojumus gadījumos, kad dzimumu līdzsvaru nav iespējams panākt;</w:t>
      </w:r>
    </w:p>
    <w:p w14:paraId="3AD2E8F3" w14:textId="77777777" w:rsidR="00A74B93" w:rsidRPr="00A74B93" w:rsidRDefault="00A74B93" w:rsidP="00A74B93">
      <w:pPr>
        <w:spacing w:after="240"/>
        <w:ind w:left="567" w:hanging="567"/>
        <w:rPr>
          <w:kern w:val="2"/>
        </w:rPr>
      </w:pPr>
      <w:r w:rsidRPr="00A74B93">
        <w:rPr>
          <w:kern w:val="2"/>
        </w:rPr>
        <w:t>35.</w:t>
      </w:r>
      <w:r w:rsidRPr="00A74B93">
        <w:rPr>
          <w:kern w:val="2"/>
        </w:rPr>
        <w:tab/>
        <w:t>pieņem zināšanai to, ka kopuzņēmumu gada darbības pārskatos sniegtie kvantitatīvie dati par ģeogrāfisko sadalījumu to darbinieku vidū un pārvaldības vienībās un struktūrās atšķiras detalizācijas pakāpes un pieejamības līmeņa ziņā; aicina visus kopuzņēmumus turpmākajos gada darbības pārskatos iekļaut skaidru iedaļu, kas veltīta kvantitatīviem datiem par ģeogrāfisko sadalījumu to darbinieku vidū un pārvaldības vienībās un struktūrās, ietverot datu sadalījumu pēc dažādiem atbildības līmeņiem un dažādiem līgumu veidiem; aicina visus kopuzņēmumus nodrošināt, ka tiek saglabāts mērķis panākt pienācīgu ģeogrāfisko sadalījumu visos atbildības līmeņos un sniegt paskaidrojumus gadījumos, kad pienācīgu ģeogrāfisko sadalījumu nav iespējams sasniegt;</w:t>
      </w:r>
    </w:p>
    <w:p w14:paraId="483F8AB1" w14:textId="77777777" w:rsidR="00A74B93" w:rsidRPr="00A74B93" w:rsidRDefault="00A74B93" w:rsidP="00A74B93">
      <w:pPr>
        <w:spacing w:after="240"/>
        <w:ind w:left="567" w:hanging="567"/>
        <w:rPr>
          <w:kern w:val="2"/>
        </w:rPr>
      </w:pPr>
      <w:r w:rsidRPr="00A74B93">
        <w:rPr>
          <w:kern w:val="2"/>
        </w:rPr>
        <w:lastRenderedPageBreak/>
        <w:t>36.</w:t>
      </w:r>
      <w:r w:rsidRPr="00A74B93">
        <w:rPr>
          <w:kern w:val="2"/>
        </w:rPr>
        <w:tab/>
        <w:t>atzinīgi vērtē ES aģentūru tīkla (</w:t>
      </w:r>
      <w:r w:rsidRPr="00A74B93">
        <w:rPr>
          <w:i/>
          <w:kern w:val="2"/>
        </w:rPr>
        <w:t>EUAN</w:t>
      </w:r>
      <w:r w:rsidRPr="00A74B93">
        <w:rPr>
          <w:kern w:val="2"/>
        </w:rPr>
        <w:t xml:space="preserve">) un tā darba grupas daudzveidības un </w:t>
      </w:r>
      <w:proofErr w:type="spellStart"/>
      <w:r w:rsidRPr="00A74B93">
        <w:rPr>
          <w:kern w:val="2"/>
        </w:rPr>
        <w:t>iekļautības</w:t>
      </w:r>
      <w:proofErr w:type="spellEnd"/>
      <w:r w:rsidRPr="00A74B93">
        <w:rPr>
          <w:kern w:val="2"/>
        </w:rPr>
        <w:t xml:space="preserve"> jautājumos darbu, kura rezultātā ir pieņemta </w:t>
      </w:r>
      <w:r w:rsidRPr="00A74B93">
        <w:rPr>
          <w:i/>
          <w:kern w:val="2"/>
        </w:rPr>
        <w:t>EUAN</w:t>
      </w:r>
      <w:r w:rsidRPr="00A74B93">
        <w:rPr>
          <w:kern w:val="2"/>
        </w:rPr>
        <w:t xml:space="preserve"> daudzveidības un </w:t>
      </w:r>
      <w:proofErr w:type="spellStart"/>
      <w:r w:rsidRPr="00A74B93">
        <w:rPr>
          <w:kern w:val="2"/>
        </w:rPr>
        <w:t>iekļautības</w:t>
      </w:r>
      <w:proofErr w:type="spellEnd"/>
      <w:r w:rsidRPr="00A74B93">
        <w:rPr>
          <w:kern w:val="2"/>
        </w:rPr>
        <w:t xml:space="preserve"> harta; aicina kopuzņēmumus pieņemt šo hartu;</w:t>
      </w:r>
    </w:p>
    <w:p w14:paraId="48B88F07" w14:textId="77777777" w:rsidR="00A74B93" w:rsidRPr="00A74B93" w:rsidRDefault="00A74B93" w:rsidP="00A74B93">
      <w:pPr>
        <w:spacing w:after="240"/>
        <w:ind w:left="567" w:hanging="567"/>
        <w:rPr>
          <w:b/>
          <w:i/>
          <w:kern w:val="2"/>
        </w:rPr>
      </w:pPr>
      <w:r w:rsidRPr="00A74B93">
        <w:rPr>
          <w:kern w:val="2"/>
        </w:rPr>
        <w:t>37.</w:t>
      </w:r>
      <w:r w:rsidRPr="00A74B93">
        <w:rPr>
          <w:b/>
          <w:i/>
          <w:kern w:val="2"/>
        </w:rPr>
        <w:tab/>
      </w:r>
      <w:r w:rsidRPr="00A74B93">
        <w:rPr>
          <w:kern w:val="2"/>
        </w:rPr>
        <w:t xml:space="preserve">uzsver, ka kopuzņēmumiem ir jānodrošina, lai finansētie projekti veicinātu sociālo labklājību un </w:t>
      </w:r>
      <w:proofErr w:type="spellStart"/>
      <w:r w:rsidRPr="00A74B93">
        <w:rPr>
          <w:kern w:val="2"/>
        </w:rPr>
        <w:t>iekļautību</w:t>
      </w:r>
      <w:proofErr w:type="spellEnd"/>
      <w:r w:rsidRPr="00A74B93">
        <w:rPr>
          <w:kern w:val="2"/>
        </w:rPr>
        <w:t>, lai tajos tiktu ievērotas darba ņēmēju tiesības un darba apstākļi un lai tie atbilstu principiem par to, kā īstenojama taisnīga pārkārtošanās uz ilgtspējīgām tehnoloģijām;</w:t>
      </w:r>
    </w:p>
    <w:p w14:paraId="6B53DA81" w14:textId="77777777" w:rsidR="00A74B93" w:rsidRPr="00A74B93" w:rsidRDefault="00A74B93" w:rsidP="00A74B93">
      <w:pPr>
        <w:spacing w:after="240"/>
        <w:ind w:left="567" w:hanging="567"/>
        <w:rPr>
          <w:b/>
          <w:iCs/>
          <w:kern w:val="2"/>
        </w:rPr>
      </w:pPr>
      <w:r w:rsidRPr="00A74B93">
        <w:rPr>
          <w:b/>
          <w:iCs/>
          <w:kern w:val="2"/>
        </w:rPr>
        <w:t>Pārvaldības un kontroles sistēmas</w:t>
      </w:r>
    </w:p>
    <w:p w14:paraId="0AF27456" w14:textId="77777777" w:rsidR="00A74B93" w:rsidRPr="00A74B93" w:rsidRDefault="00A74B93" w:rsidP="00A74B93">
      <w:pPr>
        <w:spacing w:after="240"/>
        <w:ind w:left="567" w:hanging="567"/>
        <w:rPr>
          <w:kern w:val="2"/>
        </w:rPr>
      </w:pPr>
      <w:r w:rsidRPr="00A74B93">
        <w:rPr>
          <w:kern w:val="2"/>
        </w:rPr>
        <w:t>38.</w:t>
      </w:r>
      <w:r w:rsidRPr="00A74B93">
        <w:rPr>
          <w:kern w:val="2"/>
        </w:rPr>
        <w:tab/>
        <w:t>atzinīgi vērtē Revīzijas palātas darbu pie to desmit kopuzņēmumu veikto dotāciju maksājumu pārbaudes, kuri īsteno pētniecības un inovācijas projektus, jo īpaši attiecībā uz papildu revīziju par pamatprogrammas “Apvārsnis 2020” dotāciju maksājumu izlasi finansējuma saņēmēju līmenī; pauž bažas par šīs pārbaudes rezultātiem, kas liecina par pastāvīgām sistēmiskām kļūdām, jo īpaši saistībā ar deklarētajām personāla un aprīkojuma izmaksām;</w:t>
      </w:r>
      <w:r w:rsidRPr="00A74B93">
        <w:rPr>
          <w:b/>
          <w:i/>
          <w:kern w:val="2"/>
        </w:rPr>
        <w:t xml:space="preserve"> </w:t>
      </w:r>
      <w:r w:rsidRPr="00A74B93">
        <w:rPr>
          <w:kern w:val="2"/>
        </w:rPr>
        <w:t>prasa labot sistēmiskās kļūdas;</w:t>
      </w:r>
    </w:p>
    <w:p w14:paraId="1265C942" w14:textId="77777777" w:rsidR="00A74B93" w:rsidRPr="00A74B93" w:rsidRDefault="00A74B93" w:rsidP="00A74B93">
      <w:pPr>
        <w:spacing w:after="240"/>
        <w:ind w:left="567" w:hanging="567"/>
        <w:rPr>
          <w:kern w:val="2"/>
          <w:szCs w:val="24"/>
        </w:rPr>
      </w:pPr>
      <w:r w:rsidRPr="00A74B93">
        <w:rPr>
          <w:kern w:val="2"/>
        </w:rPr>
        <w:t>39.</w:t>
      </w:r>
      <w:r w:rsidRPr="00A74B93">
        <w:rPr>
          <w:kern w:val="2"/>
        </w:rPr>
        <w:tab/>
        <w:t>uzsver, ka Revīzijas palāta konstatēja vienu skaitļos izsakāmu un nopietnu kļūdu attiecībā uz kopuzņēmuma “Tīra aviācija”, kopuzņēmuma “Inovatīvas veselības aprūpes iniciatīva”, kopuzņēmuma “Tīrs ūdeņradis”, kopuzņēmuma “</w:t>
      </w:r>
      <w:proofErr w:type="spellStart"/>
      <w:r w:rsidRPr="00A74B93">
        <w:rPr>
          <w:kern w:val="2"/>
        </w:rPr>
        <w:t>Apritīga</w:t>
      </w:r>
      <w:proofErr w:type="spellEnd"/>
      <w:r w:rsidRPr="00A74B93">
        <w:rPr>
          <w:kern w:val="2"/>
        </w:rPr>
        <w:t xml:space="preserve"> </w:t>
      </w:r>
      <w:proofErr w:type="spellStart"/>
      <w:r w:rsidRPr="00A74B93">
        <w:rPr>
          <w:kern w:val="2"/>
        </w:rPr>
        <w:t>biobāzēta</w:t>
      </w:r>
      <w:proofErr w:type="spellEnd"/>
      <w:r w:rsidRPr="00A74B93">
        <w:rPr>
          <w:kern w:val="2"/>
        </w:rPr>
        <w:t xml:space="preserve"> Eiropa”, kā arī kopuzņēmuma “Eiropas dzelzceļš” maksājumiem pamatprogrammā “Apvārsnis 2020”; atzinīgi vērtē šajā saistībā īstenotās iniciatīvas ar mērķi uzlabot izpratni saņēmēju līmenī; aicina visus kopuzņēmumus nodrošināt darbības izdevumu likumību un pareizību un uzsver, ka Revīzijas palāta ar kopuzņēmumu starpposma un galīgajiem dotāciju maksājumiem saistīto risku novērtēja kā vidēju;</w:t>
      </w:r>
    </w:p>
    <w:p w14:paraId="65E69D6D" w14:textId="77777777" w:rsidR="00A74B93" w:rsidRPr="00A74B93" w:rsidRDefault="00A74B93" w:rsidP="00A74B93">
      <w:pPr>
        <w:spacing w:after="240"/>
        <w:ind w:left="567" w:hanging="567"/>
        <w:rPr>
          <w:b/>
          <w:i/>
          <w:kern w:val="2"/>
        </w:rPr>
      </w:pPr>
      <w:r w:rsidRPr="00A74B93">
        <w:rPr>
          <w:kern w:val="2"/>
        </w:rPr>
        <w:t>40.</w:t>
      </w:r>
      <w:r w:rsidRPr="00A74B93">
        <w:rPr>
          <w:b/>
          <w:i/>
          <w:kern w:val="2"/>
        </w:rPr>
        <w:tab/>
      </w:r>
      <w:r w:rsidRPr="00A74B93">
        <w:rPr>
          <w:kern w:val="2"/>
        </w:rPr>
        <w:t xml:space="preserve">aicina Komisiju ieviest: i) obligātu finanšu apmācību kopuzņēmumu finansējuma saņēmējiem, lai novērstu atkārtotas grāmatvedības kļūdas; ii) automatizētus verifikācijas rīkus, lai uzlabotu personāla izmaksu aprēķinu precizitāti; iii) stingrākas </w:t>
      </w:r>
      <w:proofErr w:type="spellStart"/>
      <w:r w:rsidRPr="00A74B93">
        <w:rPr>
          <w:i/>
          <w:iCs/>
          <w:kern w:val="2"/>
        </w:rPr>
        <w:t>ex</w:t>
      </w:r>
      <w:proofErr w:type="spellEnd"/>
      <w:r w:rsidRPr="00A74B93">
        <w:rPr>
          <w:i/>
          <w:iCs/>
          <w:kern w:val="2"/>
        </w:rPr>
        <w:t> </w:t>
      </w:r>
      <w:proofErr w:type="spellStart"/>
      <w:r w:rsidRPr="00A74B93">
        <w:rPr>
          <w:i/>
          <w:iCs/>
          <w:kern w:val="2"/>
        </w:rPr>
        <w:t>ante</w:t>
      </w:r>
      <w:proofErr w:type="spellEnd"/>
      <w:r w:rsidRPr="00A74B93">
        <w:rPr>
          <w:kern w:val="2"/>
        </w:rPr>
        <w:t xml:space="preserve"> revīzijas procedūras, lai nodrošinātu Savienības līdzekļu pareizu izmantošanu;</w:t>
      </w:r>
    </w:p>
    <w:p w14:paraId="5B323E21" w14:textId="77777777" w:rsidR="00A74B93" w:rsidRPr="00A74B93" w:rsidRDefault="00A74B93" w:rsidP="00A74B93">
      <w:pPr>
        <w:spacing w:after="240"/>
        <w:ind w:left="567" w:hanging="567"/>
        <w:rPr>
          <w:kern w:val="2"/>
          <w:szCs w:val="24"/>
        </w:rPr>
      </w:pPr>
      <w:r w:rsidRPr="00A74B93">
        <w:rPr>
          <w:kern w:val="2"/>
        </w:rPr>
        <w:t>41.</w:t>
      </w:r>
      <w:r w:rsidRPr="00A74B93">
        <w:rPr>
          <w:kern w:val="2"/>
        </w:rPr>
        <w:tab/>
        <w:t>atzinīgi vērtē to, ka saskaņā ar Revīzijas palātas veikto ekstrapolāciju vidējais kļūdu īpatsvars visiem kopuzņēmumiem dotāciju izdevumos ir nedaudz zem 2 % būtiskuma sliekšņa, kā arī to, ka Komisijas kopējā revīzijas dienesta aprēķinātais atlikušo kļūdu īpatsvars arī nesasniedza būtiskuma slieksni;</w:t>
      </w:r>
    </w:p>
    <w:p w14:paraId="31866888" w14:textId="77777777" w:rsidR="00A74B93" w:rsidRPr="00A74B93" w:rsidRDefault="00A74B93" w:rsidP="00A74B93">
      <w:pPr>
        <w:spacing w:after="240"/>
        <w:ind w:left="567" w:hanging="567"/>
        <w:rPr>
          <w:kern w:val="2"/>
          <w:szCs w:val="24"/>
        </w:rPr>
      </w:pPr>
      <w:r w:rsidRPr="00A74B93">
        <w:rPr>
          <w:kern w:val="2"/>
        </w:rPr>
        <w:t>42.</w:t>
      </w:r>
      <w:r w:rsidRPr="00A74B93">
        <w:rPr>
          <w:kern w:val="2"/>
        </w:rPr>
        <w:tab/>
        <w:t>pieņem zināšanai to, ka pamatprogrammas “Apvārsnis Eiropa” un programmas “Digitālā Eiropa” starpposma maksājumu skaits bija pārāk mazs, lai to iekļautu Revīzijas palātas 2023. gadā revidētajā izlasē;</w:t>
      </w:r>
    </w:p>
    <w:p w14:paraId="0C64FC81" w14:textId="77777777" w:rsidR="00A74B93" w:rsidRPr="00A74B93" w:rsidRDefault="00A74B93" w:rsidP="00A74B93">
      <w:pPr>
        <w:spacing w:after="240"/>
        <w:ind w:left="567" w:hanging="567"/>
        <w:rPr>
          <w:kern w:val="2"/>
          <w:szCs w:val="24"/>
        </w:rPr>
      </w:pPr>
      <w:r w:rsidRPr="00A74B93">
        <w:rPr>
          <w:kern w:val="2"/>
        </w:rPr>
        <w:t>43.</w:t>
      </w:r>
      <w:r w:rsidRPr="00A74B93">
        <w:rPr>
          <w:kern w:val="2"/>
        </w:rPr>
        <w:tab/>
        <w:t xml:space="preserve">pieņem zināšanai to, ka ir izdarītas vairākas izmaiņas kopuzņēmumu iekšējās kontroles sistēmā pamatprogrammas “Apvārsnis Eiropa” ietvaros, jo īpaši to, ka Komisija vairs neplāno veikt īpašas reprezentatīvas </w:t>
      </w:r>
      <w:proofErr w:type="spellStart"/>
      <w:r w:rsidRPr="00A74B93">
        <w:rPr>
          <w:i/>
          <w:kern w:val="2"/>
        </w:rPr>
        <w:t>ex</w:t>
      </w:r>
      <w:proofErr w:type="spellEnd"/>
      <w:r w:rsidRPr="00A74B93">
        <w:rPr>
          <w:i/>
          <w:kern w:val="2"/>
        </w:rPr>
        <w:t> post</w:t>
      </w:r>
      <w:r w:rsidRPr="00A74B93">
        <w:rPr>
          <w:kern w:val="2"/>
        </w:rPr>
        <w:t xml:space="preserve"> revīzijas atsevišķu pamatprogrammas “Apvārsnis Eiropa” ieinteresēto personu, piemēram, kopuzņēmumu, vārdā; turklāt atzīmē, ka Komisija plāno šādu pašu izmaiņu piemērot programmas “Digitālā Eiropa” dotāciju maksājumiem;</w:t>
      </w:r>
    </w:p>
    <w:p w14:paraId="1937A533" w14:textId="77777777" w:rsidR="00A74B93" w:rsidRPr="00A74B93" w:rsidRDefault="00A74B93" w:rsidP="00A74B93">
      <w:pPr>
        <w:spacing w:after="240"/>
        <w:ind w:left="567" w:hanging="567"/>
        <w:rPr>
          <w:kern w:val="2"/>
          <w:szCs w:val="24"/>
        </w:rPr>
      </w:pPr>
      <w:r w:rsidRPr="00A74B93">
        <w:rPr>
          <w:kern w:val="2"/>
        </w:rPr>
        <w:t>44.</w:t>
      </w:r>
      <w:r w:rsidRPr="00A74B93">
        <w:rPr>
          <w:kern w:val="2"/>
        </w:rPr>
        <w:tab/>
        <w:t xml:space="preserve">pauž bažas par komunikācijas, sadarbības un koordinācijas trūkumu </w:t>
      </w:r>
      <w:r w:rsidRPr="00A74B93">
        <w:rPr>
          <w:i/>
          <w:kern w:val="2"/>
        </w:rPr>
        <w:t>ITER</w:t>
      </w:r>
      <w:r w:rsidRPr="00A74B93">
        <w:rPr>
          <w:kern w:val="2"/>
        </w:rPr>
        <w:t xml:space="preserve"> un kodolsintēzes enerģētikas attīstības vajadzībām izveidotā Eiropas kopuzņēmuma riska pārvaldības un iekšējās revīzijas vienību starpā, kā arī ar to saistīto riska pārvaldības </w:t>
      </w:r>
      <w:r w:rsidRPr="00A74B93">
        <w:rPr>
          <w:kern w:val="2"/>
        </w:rPr>
        <w:lastRenderedPageBreak/>
        <w:t>procesa trūkumu un to, ka kopuzņēmums nav varējis sniegt pietiekamus pierādījumus par riska pārvaldības informācijas izmantošanu iekšējās revīzijas darbību plānošanā; pievienojas Revīzijas palātas ieteikumam par to, kā šajā saistībā rīkoties, proti, attiecīgajam kopuzņēmumam jāievieš integrēts riska pārvaldības process savā iekšējās kontroles sistēmā, lai efektīvi pārvaldītu savus riskus; atzinīgi vērtē kopuzņēmuma plānus rīkoties šajā jautājumā;</w:t>
      </w:r>
    </w:p>
    <w:p w14:paraId="06C9622F" w14:textId="77777777" w:rsidR="00A74B93" w:rsidRPr="00A74B93" w:rsidRDefault="00A74B93" w:rsidP="00A74B93">
      <w:pPr>
        <w:spacing w:after="240"/>
        <w:ind w:left="567" w:hanging="567"/>
        <w:rPr>
          <w:kern w:val="2"/>
          <w:szCs w:val="24"/>
        </w:rPr>
      </w:pPr>
      <w:r w:rsidRPr="00A74B93">
        <w:rPr>
          <w:kern w:val="2"/>
        </w:rPr>
        <w:t>45.</w:t>
      </w:r>
      <w:r w:rsidRPr="00A74B93">
        <w:rPr>
          <w:kern w:val="2"/>
        </w:rPr>
        <w:tab/>
        <w:t xml:space="preserve">uzsver, ka ir svarīgi, lai kopuzņēmumi īstenotu visaptverošu un aktualizētu darbības nepārtrauktības plānu un negadījuma seku novēršanas plānu; šajā sakarībā pauž nožēlu par to, ka 2023. finanšu gada beigās kopuzņēmumiem – izņemot </w:t>
      </w:r>
      <w:r w:rsidRPr="00A74B93">
        <w:rPr>
          <w:i/>
          <w:kern w:val="2"/>
        </w:rPr>
        <w:t>ITER</w:t>
      </w:r>
      <w:r w:rsidRPr="00A74B93">
        <w:rPr>
          <w:kern w:val="2"/>
        </w:rPr>
        <w:t xml:space="preserve"> un kodolsintēzes enerģētikas attīstības vajadzībām izveidoto Eiropas kopuzņēmumu – nebija pienācīgas politikas šajā jomā; atzinīgi vērtē kopuzņēmuma plānus rīkoties šajā jautājumā;</w:t>
      </w:r>
    </w:p>
    <w:p w14:paraId="76C85194" w14:textId="77777777" w:rsidR="00A74B93" w:rsidRPr="00A74B93" w:rsidRDefault="00A74B93" w:rsidP="00A74B93">
      <w:pPr>
        <w:spacing w:after="240"/>
        <w:ind w:left="567" w:hanging="567"/>
        <w:rPr>
          <w:kern w:val="2"/>
          <w:szCs w:val="24"/>
        </w:rPr>
      </w:pPr>
      <w:r w:rsidRPr="00A74B93">
        <w:rPr>
          <w:kern w:val="2"/>
        </w:rPr>
        <w:t>46.</w:t>
      </w:r>
      <w:r w:rsidRPr="00A74B93">
        <w:rPr>
          <w:kern w:val="2"/>
        </w:rPr>
        <w:tab/>
        <w:t>norāda, ka kopuzņēmums “Viedie tīkli un pakalpojumi” un kopuzņēmums “</w:t>
      </w:r>
      <w:proofErr w:type="spellStart"/>
      <w:r w:rsidRPr="00A74B93">
        <w:rPr>
          <w:i/>
          <w:iCs/>
          <w:kern w:val="2"/>
        </w:rPr>
        <w:t>Global</w:t>
      </w:r>
      <w:proofErr w:type="spellEnd"/>
      <w:r w:rsidRPr="00A74B93">
        <w:rPr>
          <w:i/>
          <w:iCs/>
          <w:kern w:val="2"/>
        </w:rPr>
        <w:t xml:space="preserve"> Health EDCTP3</w:t>
      </w:r>
      <w:r w:rsidRPr="00A74B93">
        <w:rPr>
          <w:kern w:val="2"/>
        </w:rPr>
        <w:t>” vēl aizvien nav pilnībā ieviesuši Komisijas iekšējās kontroles sistēmu, un aicina šos divus kopuzņēmumus pilnībā īstenot minēto sistēmu;</w:t>
      </w:r>
    </w:p>
    <w:p w14:paraId="7DEE96EB" w14:textId="77777777" w:rsidR="00A74B93" w:rsidRPr="00A74B93" w:rsidRDefault="00A74B93" w:rsidP="00A74B93">
      <w:pPr>
        <w:spacing w:after="240"/>
        <w:ind w:left="567" w:hanging="567"/>
        <w:rPr>
          <w:b/>
          <w:iCs/>
          <w:kern w:val="2"/>
        </w:rPr>
      </w:pPr>
      <w:r w:rsidRPr="00A74B93">
        <w:rPr>
          <w:b/>
          <w:iCs/>
          <w:kern w:val="2"/>
        </w:rPr>
        <w:t>Krāpšana, ētika un interešu konflikti</w:t>
      </w:r>
    </w:p>
    <w:p w14:paraId="4520B4D3" w14:textId="77777777" w:rsidR="00A74B93" w:rsidRPr="00A74B93" w:rsidRDefault="00A74B93" w:rsidP="00A74B93">
      <w:pPr>
        <w:spacing w:after="240"/>
        <w:ind w:left="567" w:hanging="567"/>
        <w:rPr>
          <w:kern w:val="2"/>
          <w:szCs w:val="24"/>
        </w:rPr>
      </w:pPr>
      <w:r w:rsidRPr="00A74B93">
        <w:rPr>
          <w:kern w:val="2"/>
        </w:rPr>
        <w:t>47.</w:t>
      </w:r>
      <w:r w:rsidRPr="00A74B93">
        <w:rPr>
          <w:kern w:val="2"/>
        </w:rPr>
        <w:tab/>
        <w:t>pieņem zināšanai to, ka Revīzijas palāta 2023. finanšu gada revīzijas laikā Eiropas Birojam krāpšanas apkarošanai (</w:t>
      </w:r>
      <w:r w:rsidRPr="00A74B93">
        <w:rPr>
          <w:i/>
          <w:kern w:val="2"/>
        </w:rPr>
        <w:t>OLAF</w:t>
      </w:r>
      <w:r w:rsidRPr="00A74B93">
        <w:rPr>
          <w:kern w:val="2"/>
        </w:rPr>
        <w:t xml:space="preserve">) sniedza vienu paziņojumu par aizdomām par krāpšanu; saprot, ka </w:t>
      </w:r>
      <w:r w:rsidRPr="00A74B93">
        <w:rPr>
          <w:i/>
          <w:kern w:val="2"/>
        </w:rPr>
        <w:t>OLAF</w:t>
      </w:r>
      <w:r w:rsidRPr="00A74B93">
        <w:rPr>
          <w:kern w:val="2"/>
        </w:rPr>
        <w:t xml:space="preserve"> vēlāk šo lietu izbeidza, jo saistībā ar attiecīgo personāla jautājumu nekāda krāpšana netika konstatēta; atzinīgi vērtē Revīzijas palātas rūpību un sadarbību krāpšanas apkarošanas sistēmas ietvaros;</w:t>
      </w:r>
    </w:p>
    <w:p w14:paraId="12C5DB72" w14:textId="77777777" w:rsidR="00A74B93" w:rsidRPr="00A74B93" w:rsidRDefault="00A74B93" w:rsidP="00A74B93">
      <w:pPr>
        <w:spacing w:after="240"/>
        <w:ind w:left="567" w:hanging="567"/>
        <w:rPr>
          <w:kern w:val="2"/>
        </w:rPr>
      </w:pPr>
      <w:r w:rsidRPr="00A74B93">
        <w:rPr>
          <w:kern w:val="2"/>
        </w:rPr>
        <w:t>48.</w:t>
      </w:r>
      <w:r w:rsidRPr="00A74B93">
        <w:rPr>
          <w:kern w:val="2"/>
        </w:rPr>
        <w:tab/>
        <w:t xml:space="preserve">uzsver, ka ir svarīgi īstenot iekšējās kontroles politiku attiecībā uz </w:t>
      </w:r>
      <w:proofErr w:type="spellStart"/>
      <w:r w:rsidRPr="00A74B93">
        <w:rPr>
          <w:kern w:val="2"/>
        </w:rPr>
        <w:t>sensitīvām</w:t>
      </w:r>
      <w:proofErr w:type="spellEnd"/>
      <w:r w:rsidRPr="00A74B93">
        <w:rPr>
          <w:kern w:val="2"/>
        </w:rPr>
        <w:t xml:space="preserve"> kopuzņēmumu funkcijām;</w:t>
      </w:r>
      <w:r w:rsidRPr="00A74B93">
        <w:rPr>
          <w:b/>
          <w:i/>
          <w:kern w:val="2"/>
        </w:rPr>
        <w:t xml:space="preserve"> </w:t>
      </w:r>
      <w:r w:rsidRPr="00A74B93">
        <w:rPr>
          <w:kern w:val="2"/>
        </w:rPr>
        <w:t xml:space="preserve">uzsver, ka šāda politika var novērst un mazināt neatbilstīgas vai krāpnieciskas rīcības risku; pauž nožēlu par to, ka 2023. finanšu gada beigās kopuzņēmumam “Eiropas vienotās gaisa telpas </w:t>
      </w:r>
      <w:r w:rsidRPr="00A74B93">
        <w:rPr>
          <w:i/>
          <w:kern w:val="2"/>
        </w:rPr>
        <w:t>ATM</w:t>
      </w:r>
      <w:r w:rsidRPr="00A74B93">
        <w:rPr>
          <w:kern w:val="2"/>
        </w:rPr>
        <w:t xml:space="preserve"> pētniecība 3”, kopuzņēmumam “Tīrs ūdeņradis”, kopuzņēmumam “Mikroshēmas”, Eiropas Augstas veiktspējas </w:t>
      </w:r>
      <w:proofErr w:type="spellStart"/>
      <w:r w:rsidRPr="00A74B93">
        <w:rPr>
          <w:kern w:val="2"/>
        </w:rPr>
        <w:t>datošanas</w:t>
      </w:r>
      <w:proofErr w:type="spellEnd"/>
      <w:r w:rsidRPr="00A74B93">
        <w:rPr>
          <w:kern w:val="2"/>
        </w:rPr>
        <w:t xml:space="preserve"> kopuzņēmumam, kā arī </w:t>
      </w:r>
      <w:r w:rsidRPr="00A74B93">
        <w:rPr>
          <w:i/>
          <w:kern w:val="2"/>
        </w:rPr>
        <w:t>ITER</w:t>
      </w:r>
      <w:r w:rsidRPr="00A74B93">
        <w:rPr>
          <w:kern w:val="2"/>
        </w:rPr>
        <w:t xml:space="preserve"> un kodolsintēzes enerģētikas attīstības vajadzībām izveidotajam Eiropas kopuzņēmumam šajā ziņā vēl nebija pieņemta politika; uzsver šīs situācijas kritisko raksturu un mudina kopuzņēmumus rīkoties bez liekas kavēšanās;</w:t>
      </w:r>
    </w:p>
    <w:p w14:paraId="4B806141" w14:textId="77777777" w:rsidR="00A74B93" w:rsidRPr="00A74B93" w:rsidRDefault="00A74B93" w:rsidP="00A74B93">
      <w:pPr>
        <w:spacing w:after="240"/>
        <w:ind w:left="567" w:hanging="567"/>
        <w:rPr>
          <w:kern w:val="2"/>
          <w:szCs w:val="24"/>
        </w:rPr>
      </w:pPr>
      <w:r w:rsidRPr="00A74B93">
        <w:rPr>
          <w:kern w:val="2"/>
        </w:rPr>
        <w:t>49.</w:t>
      </w:r>
      <w:r w:rsidRPr="00A74B93">
        <w:rPr>
          <w:kern w:val="2"/>
        </w:rPr>
        <w:tab/>
        <w:t xml:space="preserve">pieņem zināšanai Revīzijas palātas minēto situāciju kopuzņēmumā “Mikroshēmas”, proti, to, ka viens no tā bijušajiem augstākā līmeņa darbiniekiem, kurš bija nesen atstājis kopuzņēmumu, uzsāka jaunu profesionālo darbību, par to iepriekš nepaziņojis attiecīgajam kopuzņēmumam; aicina attiecīgo kopuzņēmumu, kā arī visus pārējos kopuzņēmumus aktīvi uzraudzīt bijušo augstākā līmeņa darbinieku un </w:t>
      </w:r>
      <w:proofErr w:type="spellStart"/>
      <w:r w:rsidRPr="00A74B93">
        <w:rPr>
          <w:kern w:val="2"/>
        </w:rPr>
        <w:t>sensitīvus</w:t>
      </w:r>
      <w:proofErr w:type="spellEnd"/>
      <w:r w:rsidRPr="00A74B93">
        <w:rPr>
          <w:kern w:val="2"/>
        </w:rPr>
        <w:t xml:space="preserve"> pienākumus pildošo darbinieku jauno profesionālo darbību; atzinīgi vērtē attiecīgā kopuzņēmuma sniegto papildu informāciju par šo konkrēto gadījumu;</w:t>
      </w:r>
    </w:p>
    <w:p w14:paraId="171FE756" w14:textId="77777777" w:rsidR="00A74B93" w:rsidRPr="00A74B93" w:rsidRDefault="00A74B93" w:rsidP="00A74B93">
      <w:pPr>
        <w:spacing w:after="240"/>
        <w:ind w:left="567" w:hanging="567"/>
        <w:rPr>
          <w:b/>
          <w:i/>
          <w:kern w:val="2"/>
        </w:rPr>
      </w:pPr>
      <w:r w:rsidRPr="00A74B93">
        <w:rPr>
          <w:kern w:val="2"/>
        </w:rPr>
        <w:t>50.</w:t>
      </w:r>
      <w:r w:rsidRPr="00A74B93">
        <w:rPr>
          <w:b/>
          <w:i/>
          <w:kern w:val="2"/>
        </w:rPr>
        <w:tab/>
      </w:r>
      <w:r w:rsidRPr="00A74B93">
        <w:rPr>
          <w:kern w:val="2"/>
        </w:rPr>
        <w:t xml:space="preserve">aicina visus kopuzņēmumus uzlabot savu </w:t>
      </w:r>
      <w:proofErr w:type="spellStart"/>
      <w:r w:rsidRPr="00A74B93">
        <w:rPr>
          <w:kern w:val="2"/>
        </w:rPr>
        <w:t>pārredzamības</w:t>
      </w:r>
      <w:proofErr w:type="spellEnd"/>
      <w:r w:rsidRPr="00A74B93">
        <w:rPr>
          <w:kern w:val="2"/>
        </w:rPr>
        <w:t xml:space="preserve"> politiku, jo īpaši attiecībā uz iespējamiem interešu konfliktiem; mudina kopuzņēmumus publicēt savu valžu un zinātnisko komiteju locekļu un ārējo ekspertu interešu deklarācijas, nodrošinot, ka tiek atklāta informācija par jebkādu finansiāla, profesionāla vai personiska rakstura saikni ar struktūrām, kas saņem finansējumu no kopuzņēmumiem; uzstāj, ka ir jāievieš obligāts nogaidīšanas periods kopuzņēmumu vadošajiem darbiniekiem, pirms viņi var sākt strādāt organizācijās, kas saņem finansējumu no kopuzņēmumiem;</w:t>
      </w:r>
    </w:p>
    <w:p w14:paraId="3DFA9739" w14:textId="77777777" w:rsidR="00A74B93" w:rsidRPr="00A74B93" w:rsidRDefault="00A74B93" w:rsidP="00A74B93">
      <w:pPr>
        <w:spacing w:after="240"/>
        <w:ind w:left="567" w:hanging="567"/>
        <w:rPr>
          <w:kern w:val="2"/>
        </w:rPr>
      </w:pPr>
      <w:r w:rsidRPr="00A74B93">
        <w:rPr>
          <w:kern w:val="2"/>
        </w:rPr>
        <w:lastRenderedPageBreak/>
        <w:t>51.</w:t>
      </w:r>
      <w:r w:rsidRPr="00A74B93">
        <w:rPr>
          <w:kern w:val="2"/>
        </w:rPr>
        <w:tab/>
        <w:t>pieņem zināšanai kopuzņēmumu sniegto informāciju par to darbībām, kas saistītas ar krāpšanas novēršanu, atklāšanu un labošanu; aicina visus kopuzņēmumus stiprināt savu lomu un apzināt savas nepilnības, turpinot apspriedes par krāpšanas apkarošanu, ziņot par šiem jautājumiem un savos turpmākajos ziņojumos iekļaut skaidru izklāstu par šajā jomā ieviesto tiesisko regulējumu un politikas pasākumiem;</w:t>
      </w:r>
    </w:p>
    <w:p w14:paraId="51883C66" w14:textId="77777777" w:rsidR="00A74B93" w:rsidRPr="00A74B93" w:rsidRDefault="00A74B93" w:rsidP="00A74B93">
      <w:pPr>
        <w:spacing w:after="240"/>
        <w:rPr>
          <w:b/>
          <w:iCs/>
          <w:kern w:val="2"/>
        </w:rPr>
      </w:pPr>
      <w:r w:rsidRPr="00A74B93">
        <w:rPr>
          <w:b/>
          <w:iCs/>
          <w:kern w:val="2"/>
        </w:rPr>
        <w:t>Piezīmes par kopuzņēmumu veiktajiem pasākumiem saistībā ar iepriekšējo budžeta izpildes apstiprināšanu</w:t>
      </w:r>
    </w:p>
    <w:p w14:paraId="7281F4F6" w14:textId="77777777" w:rsidR="00A74B93" w:rsidRPr="00A74B93" w:rsidRDefault="00A74B93" w:rsidP="00A74B93">
      <w:pPr>
        <w:spacing w:after="240"/>
        <w:ind w:left="567" w:hanging="567"/>
        <w:rPr>
          <w:kern w:val="2"/>
          <w:szCs w:val="24"/>
        </w:rPr>
      </w:pPr>
      <w:r w:rsidRPr="00A74B93">
        <w:rPr>
          <w:kern w:val="2"/>
        </w:rPr>
        <w:t>52.</w:t>
      </w:r>
      <w:r w:rsidRPr="00A74B93">
        <w:rPr>
          <w:kern w:val="2"/>
        </w:rPr>
        <w:tab/>
        <w:t>atzinīgi vērtē to, ka kopuzņēmumi ir sagatavojuši ziņojumu par pasākumiem, kuri veikti saistībā ar Eiropas Parlamenta rezolūcijām ar konstatējumiem, kas ir neatņemama daļa no lēmumiem par kopuzņēmumu 2022. finanšu gada budžeta izpildes apstiprināšanu; norāda, ka šie ziņojumi apmierinošā mērā sniedz kopuzņēmumu viedokli par Eiropas Parlamenta uzsvērtajiem jautājumiem;</w:t>
      </w:r>
    </w:p>
    <w:p w14:paraId="7E9F6E62" w14:textId="77777777" w:rsidR="00A74B93" w:rsidRPr="00A74B93" w:rsidRDefault="00A74B93" w:rsidP="00A74B93">
      <w:pPr>
        <w:spacing w:after="240"/>
        <w:ind w:left="567" w:hanging="567"/>
        <w:rPr>
          <w:kern w:val="2"/>
          <w:szCs w:val="24"/>
        </w:rPr>
      </w:pPr>
      <w:r w:rsidRPr="00A74B93">
        <w:rPr>
          <w:kern w:val="2"/>
        </w:rPr>
        <w:t>53.</w:t>
      </w:r>
      <w:r w:rsidRPr="00A74B93">
        <w:rPr>
          <w:kern w:val="2"/>
        </w:rPr>
        <w:tab/>
        <w:t>atzinīgi vērtē to, ka Revīzijas palātas ziņojumā ir iekļauta arī to pasākumu analīze, kurus kopuzņēmumi veikuši saistībā ar Revīzijas palātas iepriekš publicētajiem apsvērumiem un darbību ieteikumiem; šajā sakarībā norāda, ka attiecībā uz 37 apsvērumiem, kas 2022. gada beigās nebija pietiekami ņemti vērā, 2023. gada beigās darbs bija pabeigts pie 16 no tiem un 21 vēl bija jārisina; turklāt norāda, ka no 15 darbībām, kas ieteiktas 2021. un 2022. gada pārskatos, deviņas bija īstenotas pilnībā, divas – lielākajā daļā aspektu, trīs – dažos aspektos un viena vispār nebija īstenota; saprot, ka daži ieteikumi, kas vēl jāīsteno, galvenokārt attiecas uz cilvēkresursu jautājumiem, kurus kopuzņēmumi var īstenot tikai sadarbībā ar Komisijas Budžeta ģenerāldirektorātu un pēc tam, kad lietotnes ir gatavas īstenošanai; saprot, ka ieteikumi, kas bija jāīsteno līdz 2023. gada beigām, ir īstenoti savlaicīgi;</w:t>
      </w:r>
    </w:p>
    <w:p w14:paraId="455AB0E5" w14:textId="77777777" w:rsidR="00A74B93" w:rsidRPr="00A74B93" w:rsidRDefault="00A74B93" w:rsidP="00A74B93">
      <w:pPr>
        <w:spacing w:after="240"/>
        <w:ind w:left="567" w:hanging="567"/>
        <w:rPr>
          <w:kern w:val="2"/>
          <w:szCs w:val="24"/>
        </w:rPr>
      </w:pPr>
      <w:r w:rsidRPr="00A74B93">
        <w:rPr>
          <w:kern w:val="2"/>
        </w:rPr>
        <w:t>54.</w:t>
      </w:r>
      <w:r w:rsidRPr="00A74B93">
        <w:rPr>
          <w:kern w:val="2"/>
        </w:rPr>
        <w:tab/>
        <w:t>atzinīgi vērtē to, ka Revīzijas palāta tagad ir noteikusi termiņu katra vēl neizpildītā darbības ieteikuma īstenošanai un tas darīts sadarbībā ar kopuzņēmumiem, lai nodrošinātu iespēju termiņus ievērot; aicina visus kopuzņēmumus ziņot Revīzijas palātai un Eiropas Parlamentam par šiem jautājumiem;</w:t>
      </w:r>
    </w:p>
    <w:p w14:paraId="43410E71" w14:textId="77777777" w:rsidR="00A74B93" w:rsidRPr="00A74B93" w:rsidRDefault="00A74B93" w:rsidP="00A74B93">
      <w:pPr>
        <w:spacing w:after="240"/>
        <w:ind w:left="567" w:hanging="567"/>
        <w:rPr>
          <w:b/>
          <w:i/>
          <w:kern w:val="2"/>
        </w:rPr>
      </w:pPr>
      <w:r w:rsidRPr="00A74B93">
        <w:rPr>
          <w:kern w:val="2"/>
        </w:rPr>
        <w:t>55.</w:t>
      </w:r>
      <w:r w:rsidRPr="00A74B93">
        <w:rPr>
          <w:b/>
          <w:i/>
          <w:kern w:val="2"/>
        </w:rPr>
        <w:tab/>
      </w:r>
      <w:r w:rsidRPr="00A74B93">
        <w:rPr>
          <w:kern w:val="2"/>
        </w:rPr>
        <w:t xml:space="preserve">ar bažām norāda uz noturīgajām problēmām </w:t>
      </w:r>
      <w:r w:rsidRPr="00A74B93">
        <w:rPr>
          <w:i/>
          <w:iCs/>
          <w:kern w:val="2"/>
        </w:rPr>
        <w:t>ITER</w:t>
      </w:r>
      <w:r w:rsidRPr="00A74B93">
        <w:rPr>
          <w:kern w:val="2"/>
        </w:rPr>
        <w:t xml:space="preserve"> projekta īstenošanā, kas saistītas ar izmaksu pārsniegšanu, kavējumiem un pārvaldības jautājumiem; prasa uzlabot finanšu pārraudzību un palielināt budžeta </w:t>
      </w:r>
      <w:proofErr w:type="spellStart"/>
      <w:r w:rsidRPr="00A74B93">
        <w:rPr>
          <w:kern w:val="2"/>
        </w:rPr>
        <w:t>pārredzamību</w:t>
      </w:r>
      <w:proofErr w:type="spellEnd"/>
      <w:r w:rsidRPr="00A74B93">
        <w:rPr>
          <w:kern w:val="2"/>
        </w:rPr>
        <w:t xml:space="preserve">, cita starpā sniegt detalizētākus publiskus ziņojumus par izmaksu izmaiņām, izdevumu efektivitāti un virzību uz galveno projekta starpposma mērķu sasniegšanu; uzsver, ka ir vajadzīgi stingrāki revīzijas mehānismi, lai nodrošinātu, ka Savienības ieguldījums projektā tiek efektīvi izmantots; mudina kopuzņēmumu stiprināt iekšējo pārvaldību, nodrošinot regulārus un neatkarīgus projekta risku novērtējumus un uzlabojot mehānismus, kas nodrošina augstākās vadības </w:t>
      </w:r>
      <w:proofErr w:type="spellStart"/>
      <w:r w:rsidRPr="00A74B93">
        <w:rPr>
          <w:kern w:val="2"/>
        </w:rPr>
        <w:t>pārskatatbildību</w:t>
      </w:r>
      <w:proofErr w:type="spellEnd"/>
      <w:r w:rsidRPr="00A74B93">
        <w:rPr>
          <w:kern w:val="2"/>
        </w:rPr>
        <w:t>;</w:t>
      </w:r>
    </w:p>
    <w:p w14:paraId="31D3E94E" w14:textId="77777777" w:rsidR="00A74B93" w:rsidRPr="00A74B93" w:rsidRDefault="00A74B93" w:rsidP="00A74B93">
      <w:pPr>
        <w:spacing w:after="240"/>
        <w:ind w:left="567" w:hanging="567"/>
        <w:rPr>
          <w:b/>
          <w:iCs/>
          <w:kern w:val="2"/>
        </w:rPr>
      </w:pPr>
      <w:r w:rsidRPr="00A74B93">
        <w:rPr>
          <w:b/>
          <w:iCs/>
          <w:kern w:val="2"/>
        </w:rPr>
        <w:t>Citas kopuzņēmumu prioritātes</w:t>
      </w:r>
    </w:p>
    <w:p w14:paraId="29AA3086" w14:textId="77777777" w:rsidR="00A74B93" w:rsidRPr="00A74B93" w:rsidRDefault="00A74B93" w:rsidP="00A74B93">
      <w:pPr>
        <w:spacing w:after="240"/>
        <w:ind w:left="567" w:hanging="567"/>
        <w:rPr>
          <w:kern w:val="2"/>
          <w:szCs w:val="24"/>
        </w:rPr>
      </w:pPr>
      <w:r w:rsidRPr="00A74B93">
        <w:rPr>
          <w:kern w:val="2"/>
        </w:rPr>
        <w:t>56.</w:t>
      </w:r>
      <w:r w:rsidRPr="00A74B93">
        <w:rPr>
          <w:kern w:val="2"/>
        </w:rPr>
        <w:tab/>
        <w:t>apzinās kopuzņēmumu administratīvos un budžeta ierobežojumus un šo ierobežojumu sakarā aicina kopuzņēmumus labāk izplatīt savu ieguldījumu pētniecības un inovācijas darbībās, šajā nolūkā sagatavojot akadēmiskajām un pētniecības iestādēm, publiskām un privātām organizācijām un Eiropas un valstu iestādēm paredzētus pieejamus komunikācijas materiālus; prasa, lai šie pieejamie komunikācijas materiāli popularizētu iepirkuma līgumu iespējas un kopuzņēmumu piedāvātās dotācijas pētniecības un inovācijas darbību jomā;</w:t>
      </w:r>
    </w:p>
    <w:p w14:paraId="011460B2" w14:textId="77777777" w:rsidR="00A74B93" w:rsidRPr="00A74B93" w:rsidRDefault="00A74B93" w:rsidP="00A74B93">
      <w:pPr>
        <w:spacing w:after="240"/>
        <w:ind w:left="567" w:hanging="567"/>
        <w:rPr>
          <w:kern w:val="2"/>
          <w:szCs w:val="24"/>
        </w:rPr>
      </w:pPr>
      <w:r w:rsidRPr="00A74B93">
        <w:rPr>
          <w:kern w:val="2"/>
        </w:rPr>
        <w:lastRenderedPageBreak/>
        <w:t>57.</w:t>
      </w:r>
      <w:r w:rsidRPr="00A74B93">
        <w:rPr>
          <w:kern w:val="2"/>
        </w:rPr>
        <w:tab/>
        <w:t xml:space="preserve">aicina kopuzņēmumus </w:t>
      </w:r>
      <w:proofErr w:type="spellStart"/>
      <w:r w:rsidRPr="00A74B93">
        <w:rPr>
          <w:kern w:val="2"/>
        </w:rPr>
        <w:t>proaktīvi</w:t>
      </w:r>
      <w:proofErr w:type="spellEnd"/>
      <w:r w:rsidRPr="00A74B93">
        <w:rPr>
          <w:kern w:val="2"/>
        </w:rPr>
        <w:t xml:space="preserve"> iesaistīties komunikācijas pasākumos, lai plašu ES iedzīvotāju loku pedagoģiski iepazīstinātu ar kopuzņēmumu devumu kopīgu mērķu sasniegšanā un parādītu nepieciešamību pēc </w:t>
      </w:r>
      <w:proofErr w:type="spellStart"/>
      <w:r w:rsidRPr="00A74B93">
        <w:rPr>
          <w:kern w:val="2"/>
        </w:rPr>
        <w:t>institucionalizētām</w:t>
      </w:r>
      <w:proofErr w:type="spellEnd"/>
      <w:r w:rsidRPr="00A74B93">
        <w:rPr>
          <w:kern w:val="2"/>
        </w:rPr>
        <w:t xml:space="preserve"> partnerībām, kurās iesaistīti privātie dalībnieki;</w:t>
      </w:r>
    </w:p>
    <w:p w14:paraId="05CE423E" w14:textId="77777777" w:rsidR="00A74B93" w:rsidRPr="00A74B93" w:rsidRDefault="00A74B93" w:rsidP="00A74B93">
      <w:pPr>
        <w:spacing w:after="240"/>
        <w:ind w:left="567" w:hanging="567"/>
        <w:rPr>
          <w:b/>
          <w:i/>
          <w:kern w:val="2"/>
        </w:rPr>
      </w:pPr>
      <w:r w:rsidRPr="00A74B93">
        <w:rPr>
          <w:kern w:val="2"/>
        </w:rPr>
        <w:t>58.</w:t>
      </w:r>
      <w:r w:rsidRPr="00A74B93">
        <w:rPr>
          <w:b/>
          <w:i/>
          <w:kern w:val="2"/>
        </w:rPr>
        <w:tab/>
      </w:r>
      <w:r w:rsidRPr="00A74B93">
        <w:rPr>
          <w:kern w:val="2"/>
        </w:rPr>
        <w:t>aicina kopuzņēmumus izveidot sadarbību ar universitātēm, lai vērstos pie jaunajiem Eiropas absolventiem nolūkā stiprināt savus turpmākos darbā pieņemšanas procesus;</w:t>
      </w:r>
    </w:p>
    <w:p w14:paraId="54CFF321" w14:textId="77777777" w:rsidR="00A74B93" w:rsidRPr="00A74B93" w:rsidRDefault="00A74B93" w:rsidP="00A74B93">
      <w:pPr>
        <w:spacing w:after="240"/>
        <w:ind w:left="567" w:hanging="567"/>
        <w:rPr>
          <w:kern w:val="2"/>
          <w:szCs w:val="24"/>
        </w:rPr>
      </w:pPr>
      <w:r w:rsidRPr="00A74B93">
        <w:rPr>
          <w:kern w:val="2"/>
        </w:rPr>
        <w:t>59.</w:t>
      </w:r>
      <w:r w:rsidRPr="00A74B93">
        <w:rPr>
          <w:kern w:val="2"/>
        </w:rPr>
        <w:tab/>
        <w:t xml:space="preserve">aicina kopuzņēmumus turpināt efektīvi un savu spēju robežās ziņot par to devumu nodarbinātības un Eiropas ekonomikas konkurētspējas veicināšanā, ņemot vērā, ka ir vajadzīgs, lai visas ES svarīgās ieinteresētās personas pētniecības un inovācijas jomā mērķtiecīgi pievērstos Eiropas Savienības </w:t>
      </w:r>
      <w:proofErr w:type="spellStart"/>
      <w:r w:rsidRPr="00A74B93">
        <w:rPr>
          <w:kern w:val="2"/>
        </w:rPr>
        <w:t>reindustrializācijai</w:t>
      </w:r>
      <w:proofErr w:type="spellEnd"/>
      <w:r w:rsidRPr="00A74B93">
        <w:rPr>
          <w:kern w:val="2"/>
        </w:rPr>
        <w:t>;</w:t>
      </w:r>
    </w:p>
    <w:p w14:paraId="48AF1D93" w14:textId="77777777" w:rsidR="00A74B93" w:rsidRPr="00A74B93" w:rsidRDefault="00A74B93" w:rsidP="00A74B93">
      <w:pPr>
        <w:spacing w:after="240"/>
        <w:ind w:left="567" w:hanging="567"/>
        <w:rPr>
          <w:kern w:val="2"/>
          <w:szCs w:val="24"/>
        </w:rPr>
      </w:pPr>
      <w:r w:rsidRPr="00A74B93">
        <w:rPr>
          <w:kern w:val="2"/>
        </w:rPr>
        <w:t>60.</w:t>
      </w:r>
      <w:r w:rsidRPr="00A74B93">
        <w:rPr>
          <w:kern w:val="2"/>
        </w:rPr>
        <w:tab/>
        <w:t>aicina kopuzņēmumus arī turpmāk nodrošināt privāto uzņēmumu iesaisti pietiekamā līmenī, jo īpaši attiecībā uz maziem un vidējiem uzņēmumiem, kas ir Eiropas ekonomikas spēcīgākā vērtība;</w:t>
      </w:r>
    </w:p>
    <w:p w14:paraId="010E702A" w14:textId="77777777" w:rsidR="00A74B93" w:rsidRPr="00A74B93" w:rsidRDefault="00A74B93" w:rsidP="00A74B93">
      <w:pPr>
        <w:spacing w:after="240"/>
        <w:ind w:left="567" w:hanging="567"/>
        <w:rPr>
          <w:kern w:val="2"/>
          <w:szCs w:val="24"/>
        </w:rPr>
      </w:pPr>
      <w:r w:rsidRPr="00A74B93">
        <w:rPr>
          <w:kern w:val="2"/>
        </w:rPr>
        <w:t>61.</w:t>
      </w:r>
      <w:r w:rsidRPr="00A74B93">
        <w:rPr>
          <w:kern w:val="2"/>
        </w:rPr>
        <w:tab/>
        <w:t>aicina kopuzņēmumus efektīvi ziņot par savu ieguldījumu Eiropas Savienības budžeta horizontālo prioritāšu īstenošanā;</w:t>
      </w:r>
    </w:p>
    <w:p w14:paraId="21F1B3FB" w14:textId="77777777" w:rsidR="00A74B93" w:rsidRPr="00A74B93" w:rsidRDefault="00A74B93" w:rsidP="00A74B93">
      <w:pPr>
        <w:spacing w:after="240"/>
        <w:ind w:left="567" w:hanging="567"/>
        <w:rPr>
          <w:kern w:val="2"/>
          <w:szCs w:val="24"/>
        </w:rPr>
      </w:pPr>
      <w:r w:rsidRPr="00A74B93">
        <w:rPr>
          <w:kern w:val="2"/>
        </w:rPr>
        <w:t>62.</w:t>
      </w:r>
      <w:r w:rsidRPr="00A74B93">
        <w:rPr>
          <w:kern w:val="2"/>
        </w:rPr>
        <w:tab/>
        <w:t xml:space="preserve">aicina visus kopuzņēmumus arī turpmāk ievērot rūpību, veicot darbības, kurās iesaistītas starptautiskas ieinteresētās personas, jo īpaši, ņemot vērā Eiropas Savienības ieviesto ierobežojošo pasākumu režīmu; šajā saistībā uzsver </w:t>
      </w:r>
      <w:r w:rsidRPr="00A74B93">
        <w:rPr>
          <w:i/>
          <w:kern w:val="2"/>
        </w:rPr>
        <w:t>ITER</w:t>
      </w:r>
      <w:r w:rsidRPr="00A74B93">
        <w:rPr>
          <w:kern w:val="2"/>
        </w:rPr>
        <w:t xml:space="preserve"> un kodolsintēzes enerģētikas attīstības vajadzībām izveidotā Eiropas kopuzņēmuma īpašo stāvokli un atzinīgi vērtē paskaidrojumus, ko attiecīgais kopuzņēmums sniedza uzklausīšanā Budžeta kontroles komitejā par īstenotajiem pasākumiem ar mērķi novērst jebkādus sarežģījumus</w:t>
      </w:r>
      <w:r w:rsidRPr="00A74B93">
        <w:rPr>
          <w:i/>
          <w:kern w:val="2"/>
        </w:rPr>
        <w:t xml:space="preserve"> </w:t>
      </w:r>
      <w:r w:rsidRPr="00A74B93">
        <w:rPr>
          <w:kern w:val="2"/>
        </w:rPr>
        <w:t xml:space="preserve">saistībā ar </w:t>
      </w:r>
      <w:r w:rsidRPr="00A74B93">
        <w:rPr>
          <w:i/>
          <w:kern w:val="2"/>
        </w:rPr>
        <w:t>ITER</w:t>
      </w:r>
      <w:r w:rsidRPr="00A74B93">
        <w:rPr>
          <w:kern w:val="2"/>
        </w:rPr>
        <w:t xml:space="preserve"> projektu;</w:t>
      </w:r>
    </w:p>
    <w:p w14:paraId="50926AEB" w14:textId="77777777" w:rsidR="00A74B93" w:rsidRPr="00A74B93" w:rsidRDefault="00A74B93" w:rsidP="00A74B93">
      <w:pPr>
        <w:spacing w:after="240"/>
        <w:ind w:left="567" w:hanging="567"/>
        <w:rPr>
          <w:kern w:val="2"/>
        </w:rPr>
      </w:pPr>
      <w:r w:rsidRPr="00A74B93">
        <w:rPr>
          <w:kern w:val="2"/>
        </w:rPr>
        <w:t>63.</w:t>
      </w:r>
      <w:r w:rsidRPr="00A74B93">
        <w:rPr>
          <w:kern w:val="2"/>
        </w:rPr>
        <w:tab/>
        <w:t>aicina visus kopuzņēmumus nodrošināt, ka to darbinieki visās attiecīgajās jomās pienācīgi izmanto iespējamo sinerģiju ar citām Eiropas Savienības struktūrām, piemēram, aģentūrām, lai palielinātu to darbību efektivitāti un ietekmi; aicina visus kopuzņēmumus nodrošināt, ka to darbinieki pienācīgi izmanto platformu, kas veido ES aģentūru tīklu (</w:t>
      </w:r>
      <w:r w:rsidRPr="00A74B93">
        <w:rPr>
          <w:i/>
          <w:kern w:val="2"/>
        </w:rPr>
        <w:t>EUAN</w:t>
      </w:r>
      <w:r w:rsidRPr="00A74B93">
        <w:rPr>
          <w:kern w:val="2"/>
        </w:rPr>
        <w:t>);</w:t>
      </w:r>
    </w:p>
    <w:p w14:paraId="1C1C8A55" w14:textId="77777777" w:rsidR="00A74B93" w:rsidRPr="00A74B93" w:rsidRDefault="00A74B93" w:rsidP="00A74B93">
      <w:pPr>
        <w:spacing w:after="240"/>
        <w:ind w:left="567" w:hanging="567"/>
        <w:rPr>
          <w:b/>
          <w:i/>
          <w:kern w:val="2"/>
        </w:rPr>
      </w:pPr>
      <w:r w:rsidRPr="00A74B93">
        <w:rPr>
          <w:kern w:val="2"/>
        </w:rPr>
        <w:t>64.</w:t>
      </w:r>
      <w:r w:rsidRPr="00A74B93">
        <w:rPr>
          <w:b/>
          <w:i/>
          <w:kern w:val="2"/>
        </w:rPr>
        <w:tab/>
      </w:r>
      <w:r w:rsidRPr="00A74B93">
        <w:rPr>
          <w:kern w:val="2"/>
        </w:rPr>
        <w:t xml:space="preserve">uzsver digitālās suverenitātes nepieciešamību Savienības finansētajā pētniecībā; šajā sakarā īpaši izceļ kopuzņēmumu “Mikroshēmas”, Eiropas Augstas veiktspējas </w:t>
      </w:r>
      <w:proofErr w:type="spellStart"/>
      <w:r w:rsidRPr="00A74B93">
        <w:rPr>
          <w:kern w:val="2"/>
        </w:rPr>
        <w:t>datošanas</w:t>
      </w:r>
      <w:proofErr w:type="spellEnd"/>
      <w:r w:rsidRPr="00A74B93">
        <w:rPr>
          <w:kern w:val="2"/>
        </w:rPr>
        <w:t xml:space="preserve"> kopuzņēmumu un kopuzņēmumu “Viedie tīkli un pakalpojumi”, kuru prioritāte ir projekti, kas uzlabo Savienības autonomiju pusvadītāju ražošanas, mākslīgā intelekta un </w:t>
      </w:r>
      <w:proofErr w:type="spellStart"/>
      <w:r w:rsidRPr="00A74B93">
        <w:rPr>
          <w:kern w:val="2"/>
        </w:rPr>
        <w:t>kiberdrošības</w:t>
      </w:r>
      <w:proofErr w:type="spellEnd"/>
      <w:r w:rsidRPr="00A74B93">
        <w:rPr>
          <w:kern w:val="2"/>
        </w:rPr>
        <w:t xml:space="preserve"> jomā; aicina Komisiju nodrošināt, lai kopuzņēmumu finansētie projekti: i) nav pārmērīgi atkarīgi no kritiski svarīgo tehnoloģiju piegādātājiem trešās valstīs; ii) veicina Savienības rūpniecības noturību un stratēģisko neatkarību; iii) veicina iekšzemes pētniecību un izstrādi galvenajās digitālajās nozarēs;</w:t>
      </w:r>
    </w:p>
    <w:p w14:paraId="0DF3AFA8" w14:textId="77777777" w:rsidR="00A74B93" w:rsidRPr="00A74B93" w:rsidRDefault="00A74B93" w:rsidP="00A74B93">
      <w:pPr>
        <w:spacing w:after="240"/>
        <w:ind w:left="567" w:hanging="567"/>
        <w:rPr>
          <w:b/>
          <w:iCs/>
          <w:kern w:val="2"/>
        </w:rPr>
      </w:pPr>
      <w:r w:rsidRPr="00A74B93">
        <w:rPr>
          <w:b/>
          <w:iCs/>
          <w:kern w:val="2"/>
        </w:rPr>
        <w:t>Aicinājums veikt turpmākus pasākumus</w:t>
      </w:r>
    </w:p>
    <w:p w14:paraId="58A66C2A" w14:textId="77777777" w:rsidR="00A74B93" w:rsidRPr="00A74B93" w:rsidRDefault="00A74B93" w:rsidP="00A74B93">
      <w:pPr>
        <w:spacing w:after="240"/>
        <w:ind w:left="567" w:hanging="567"/>
        <w:rPr>
          <w:kern w:val="2"/>
          <w:szCs w:val="24"/>
        </w:rPr>
      </w:pPr>
      <w:r w:rsidRPr="00A74B93">
        <w:rPr>
          <w:kern w:val="2"/>
        </w:rPr>
        <w:t>65.</w:t>
      </w:r>
      <w:r w:rsidRPr="00A74B93">
        <w:rPr>
          <w:kern w:val="2"/>
        </w:rPr>
        <w:tab/>
        <w:t>aicina katru kopuzņēmumu, attiecībā uz kuru tiek apsvērta 2023. finanšu gada budžeta izpildes apstiprināšana, sagatavot atsevišķu ziņojumu par visiem turpmākajiem pasākumiem, kas veikti šajā rezolūcijā minēto konkrēto jautājumu risināšanas nolūkā, un šo pēcpārbaudes ziņojumu, ko paraksta kopuzņēmuma (</w:t>
      </w:r>
      <w:proofErr w:type="spellStart"/>
      <w:r w:rsidRPr="00A74B93">
        <w:rPr>
          <w:kern w:val="2"/>
        </w:rPr>
        <w:t>izpild</w:t>
      </w:r>
      <w:proofErr w:type="spellEnd"/>
      <w:r w:rsidRPr="00A74B93">
        <w:rPr>
          <w:kern w:val="2"/>
        </w:rPr>
        <w:t>-)direktors, ne vēlāk kā līdz 2025. gada 30. septembrim iesniegt Eiropas Parlamentam;</w:t>
      </w:r>
    </w:p>
    <w:p w14:paraId="03906094" w14:textId="77777777" w:rsidR="00A74B93" w:rsidRPr="00A74B93" w:rsidRDefault="00A74B93" w:rsidP="00A74B93">
      <w:pPr>
        <w:spacing w:after="240"/>
        <w:ind w:left="567" w:hanging="567"/>
        <w:rPr>
          <w:kern w:val="2"/>
        </w:rPr>
      </w:pPr>
      <w:r w:rsidRPr="00A74B93">
        <w:rPr>
          <w:kern w:val="2"/>
        </w:rPr>
        <w:t>66.</w:t>
      </w:r>
      <w:r w:rsidRPr="00A74B93">
        <w:rPr>
          <w:kern w:val="2"/>
        </w:rPr>
        <w:tab/>
        <w:t xml:space="preserve">uzsver, ka ziņojumos par turpmākiem pasākumiem var iekļaut arī kopuzņēmumu </w:t>
      </w:r>
      <w:r w:rsidRPr="00A74B93">
        <w:rPr>
          <w:kern w:val="2"/>
        </w:rPr>
        <w:lastRenderedPageBreak/>
        <w:t xml:space="preserve">vispārējo viedokli par šo rezolūciju un citiem jautājumiem, kuri attiecas uz budžeta izpildes </w:t>
      </w:r>
      <w:proofErr w:type="spellStart"/>
      <w:r w:rsidRPr="00A74B93">
        <w:rPr>
          <w:kern w:val="2"/>
        </w:rPr>
        <w:t>apstiprinātājiestādi</w:t>
      </w:r>
      <w:proofErr w:type="spellEnd"/>
      <w:r w:rsidRPr="00A74B93">
        <w:rPr>
          <w:kern w:val="2"/>
        </w:rPr>
        <w:t>; sagaida, ka kopuzņēmumi izmantos visaptverošu pieeju šā ziņojuma izstrādē, pievērsīsies visiem Eiropas Parlamenta izvirzītajiem jautājumiem to darbību sakarā un darīs to godprātīgi un sadarbojoties.</w:t>
      </w:r>
    </w:p>
    <w:p w14:paraId="505F77AB" w14:textId="77777777" w:rsidR="00A74B93" w:rsidRPr="00A74B93" w:rsidRDefault="00A74B93" w:rsidP="00A74B93">
      <w:pPr>
        <w:widowControl/>
        <w:jc w:val="both"/>
        <w:rPr>
          <w:rFonts w:eastAsia="Aptos"/>
          <w:kern w:val="2"/>
          <w:szCs w:val="24"/>
          <w:lang w:eastAsia="en-US"/>
        </w:rPr>
      </w:pPr>
    </w:p>
    <w:p w14:paraId="379A4741" w14:textId="797EBF86" w:rsidR="00E365E1" w:rsidRPr="000D7065" w:rsidRDefault="00E365E1" w:rsidP="00A74B93">
      <w:pPr>
        <w:pStyle w:val="NormalHanging12a"/>
      </w:pPr>
    </w:p>
    <w:sectPr w:rsidR="00E365E1" w:rsidRPr="000D7065" w:rsidSect="006456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4AEC5" w14:textId="77777777" w:rsidR="00EB109D" w:rsidRPr="006456BC" w:rsidRDefault="00EB109D">
      <w:r w:rsidRPr="006456BC">
        <w:separator/>
      </w:r>
    </w:p>
  </w:endnote>
  <w:endnote w:type="continuationSeparator" w:id="0">
    <w:p w14:paraId="217897DD" w14:textId="77777777" w:rsidR="00EB109D" w:rsidRPr="006456BC" w:rsidRDefault="00EB109D">
      <w:r w:rsidRPr="00645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C6562" w14:textId="77777777" w:rsidR="00EB109D" w:rsidRPr="006456BC" w:rsidRDefault="00EB10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7256" w14:textId="77777777" w:rsidR="00EB109D" w:rsidRPr="006456BC" w:rsidRDefault="00EB10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B448" w14:textId="77777777" w:rsidR="00EB109D" w:rsidRPr="006456BC" w:rsidRDefault="00EB10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50BC" w14:textId="77777777" w:rsidR="00EB109D" w:rsidRPr="006456BC" w:rsidRDefault="00EB109D">
      <w:r w:rsidRPr="006456BC">
        <w:separator/>
      </w:r>
    </w:p>
  </w:footnote>
  <w:footnote w:type="continuationSeparator" w:id="0">
    <w:p w14:paraId="02FFD975" w14:textId="77777777" w:rsidR="00EB109D" w:rsidRPr="006456BC" w:rsidRDefault="00EB109D">
      <w:r w:rsidRPr="006456BC">
        <w:continuationSeparator/>
      </w:r>
    </w:p>
  </w:footnote>
  <w:footnote w:id="1">
    <w:p w14:paraId="72B0C72B"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t xml:space="preserve">OV C, C/2024/6841, 13.11.2024., ELI: </w:t>
      </w:r>
      <w:hyperlink r:id="rId1" w:history="1">
        <w:r>
          <w:rPr>
            <w:rStyle w:val="Hyperlink1"/>
            <w:sz w:val="24"/>
            <w:lang w:val="lv-LV"/>
          </w:rPr>
          <w:t>http://data.europa.eu/eli/C/2024/6841/oj</w:t>
        </w:r>
      </w:hyperlink>
      <w:r>
        <w:rPr>
          <w:sz w:val="24"/>
          <w:lang w:val="lv-LV"/>
        </w:rPr>
        <w:t>.</w:t>
      </w:r>
    </w:p>
  </w:footnote>
  <w:footnote w:id="2">
    <w:p w14:paraId="02D5B60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2" w:history="1">
        <w:r>
          <w:rPr>
            <w:rStyle w:val="Hyperlink1"/>
            <w:sz w:val="24"/>
            <w:lang w:val="lv-LV"/>
          </w:rPr>
          <w:t>http://data.europa.eu/eli/C/2024/6041/oj</w:t>
        </w:r>
      </w:hyperlink>
      <w:r>
        <w:rPr>
          <w:sz w:val="24"/>
          <w:lang w:val="lv-LV"/>
        </w:rPr>
        <w:t>.</w:t>
      </w:r>
    </w:p>
  </w:footnote>
  <w:footnote w:id="3">
    <w:p w14:paraId="5BB4281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3" w:history="1">
        <w:r>
          <w:rPr>
            <w:rStyle w:val="Hyperlink1"/>
            <w:sz w:val="24"/>
            <w:lang w:val="lv-LV"/>
          </w:rPr>
          <w:t>http://data.europa.eu/eli/reg/2018/1046/oj</w:t>
        </w:r>
      </w:hyperlink>
      <w:r>
        <w:rPr>
          <w:sz w:val="24"/>
          <w:lang w:val="lv-LV"/>
        </w:rPr>
        <w:t>.</w:t>
      </w:r>
    </w:p>
  </w:footnote>
  <w:footnote w:id="4">
    <w:p w14:paraId="2972F17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4" w:tgtFrame="_blank" w:history="1">
        <w:r>
          <w:rPr>
            <w:rStyle w:val="Hyperlink1"/>
            <w:sz w:val="24"/>
            <w:shd w:val="clear" w:color="auto" w:fill="FFFFFF"/>
            <w:lang w:val="lv-LV"/>
          </w:rPr>
          <w:t>http://data.europa.eu/eli/reg/2024/2509/oj</w:t>
        </w:r>
      </w:hyperlink>
      <w:r>
        <w:rPr>
          <w:sz w:val="24"/>
          <w:lang w:val="lv-LV"/>
        </w:rPr>
        <w:t>.</w:t>
      </w:r>
    </w:p>
  </w:footnote>
  <w:footnote w:id="5">
    <w:p w14:paraId="39A7584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5" w:history="1">
        <w:r>
          <w:rPr>
            <w:rStyle w:val="Hyperlink1"/>
            <w:sz w:val="24"/>
            <w:lang w:val="lv-LV"/>
          </w:rPr>
          <w:t>http://data.europa.eu/eli/reg/2021/2085/oj</w:t>
        </w:r>
      </w:hyperlink>
      <w:r>
        <w:rPr>
          <w:sz w:val="24"/>
          <w:lang w:val="lv-LV"/>
        </w:rPr>
        <w:t>.</w:t>
      </w:r>
    </w:p>
  </w:footnote>
  <w:footnote w:id="6">
    <w:p w14:paraId="63F245A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6" w:history="1">
        <w:r>
          <w:rPr>
            <w:rStyle w:val="Hyperlink1"/>
            <w:sz w:val="24"/>
            <w:lang w:val="lv-LV"/>
          </w:rPr>
          <w:t>http://data.europa.eu/eli/reg_del/2019/887/oj</w:t>
        </w:r>
      </w:hyperlink>
      <w:r>
        <w:rPr>
          <w:sz w:val="24"/>
          <w:lang w:val="lv-LV"/>
        </w:rPr>
        <w:t>.</w:t>
      </w:r>
    </w:p>
  </w:footnote>
  <w:footnote w:id="7">
    <w:p w14:paraId="6067EC4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7" w:history="1">
        <w:r>
          <w:rPr>
            <w:rStyle w:val="Hyperlink1"/>
            <w:sz w:val="24"/>
            <w:lang w:val="lv-LV"/>
          </w:rPr>
          <w:t>http://data.europa.eu/eli/C/2024/6841/oj</w:t>
        </w:r>
      </w:hyperlink>
      <w:r>
        <w:rPr>
          <w:sz w:val="24"/>
          <w:lang w:val="lv-LV"/>
        </w:rPr>
        <w:t>.</w:t>
      </w:r>
    </w:p>
  </w:footnote>
  <w:footnote w:id="8">
    <w:p w14:paraId="0DE0C90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8" w:history="1">
        <w:r>
          <w:rPr>
            <w:rStyle w:val="Hyperlink1"/>
            <w:sz w:val="24"/>
            <w:lang w:val="lv-LV"/>
          </w:rPr>
          <w:t>http://data.europa.eu/eli/C/2024/6041/oj</w:t>
        </w:r>
      </w:hyperlink>
      <w:r>
        <w:rPr>
          <w:sz w:val="24"/>
          <w:lang w:val="lv-LV"/>
        </w:rPr>
        <w:t>.</w:t>
      </w:r>
    </w:p>
  </w:footnote>
  <w:footnote w:id="9">
    <w:p w14:paraId="038D95F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9" w:history="1">
        <w:r>
          <w:rPr>
            <w:rStyle w:val="Hyperlink1"/>
            <w:sz w:val="24"/>
            <w:lang w:val="lv-LV"/>
          </w:rPr>
          <w:t>http://data.europa.eu/eli/reg/2018/1046/oj</w:t>
        </w:r>
      </w:hyperlink>
      <w:r>
        <w:rPr>
          <w:sz w:val="24"/>
          <w:lang w:val="lv-LV"/>
        </w:rPr>
        <w:t>.</w:t>
      </w:r>
    </w:p>
  </w:footnote>
  <w:footnote w:id="10">
    <w:p w14:paraId="69C019C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0" w:tgtFrame="_blank" w:history="1">
        <w:r>
          <w:rPr>
            <w:rStyle w:val="Hyperlink1"/>
            <w:sz w:val="24"/>
            <w:shd w:val="clear" w:color="auto" w:fill="FFFFFF"/>
            <w:lang w:val="lv-LV"/>
          </w:rPr>
          <w:t>http://data.europa.eu/eli/reg/2024/2509/oj</w:t>
        </w:r>
      </w:hyperlink>
      <w:r>
        <w:rPr>
          <w:sz w:val="24"/>
          <w:lang w:val="lv-LV"/>
        </w:rPr>
        <w:t>.</w:t>
      </w:r>
    </w:p>
  </w:footnote>
  <w:footnote w:id="11">
    <w:p w14:paraId="09AA8FD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1" w:history="1">
        <w:r>
          <w:rPr>
            <w:rStyle w:val="Hyperlink1"/>
            <w:sz w:val="24"/>
            <w:lang w:val="lv-LV"/>
          </w:rPr>
          <w:t>http://data.europa.eu/eli/reg/2021/2085/oj</w:t>
        </w:r>
      </w:hyperlink>
      <w:r>
        <w:rPr>
          <w:sz w:val="24"/>
          <w:lang w:val="lv-LV"/>
        </w:rPr>
        <w:t>.</w:t>
      </w:r>
    </w:p>
  </w:footnote>
  <w:footnote w:id="12">
    <w:p w14:paraId="6F5DC23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2" w:history="1">
        <w:r>
          <w:rPr>
            <w:rStyle w:val="Hyperlink1"/>
            <w:sz w:val="24"/>
            <w:lang w:val="lv-LV"/>
          </w:rPr>
          <w:t>http://data.europa.eu/eli/reg_del/2019/887/oj</w:t>
        </w:r>
      </w:hyperlink>
      <w:r>
        <w:rPr>
          <w:sz w:val="24"/>
          <w:lang w:val="lv-LV"/>
        </w:rPr>
        <w:t>.</w:t>
      </w:r>
    </w:p>
  </w:footnote>
  <w:footnote w:id="13">
    <w:p w14:paraId="7AF082E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3" w:history="1">
        <w:r>
          <w:rPr>
            <w:rStyle w:val="Hyperlink1"/>
            <w:sz w:val="24"/>
            <w:lang w:val="lv-LV"/>
          </w:rPr>
          <w:t>http://data.europa.eu/eli/C/2024/6841/oj</w:t>
        </w:r>
      </w:hyperlink>
      <w:r>
        <w:rPr>
          <w:sz w:val="24"/>
          <w:lang w:val="lv-LV"/>
        </w:rPr>
        <w:t>.</w:t>
      </w:r>
    </w:p>
  </w:footnote>
  <w:footnote w:id="14">
    <w:p w14:paraId="77DAF0B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4" w:history="1">
        <w:r>
          <w:rPr>
            <w:rStyle w:val="Hyperlink1"/>
            <w:sz w:val="24"/>
            <w:lang w:val="lv-LV"/>
          </w:rPr>
          <w:t>http://data.europa.eu/eli/C/2024/6041/oj</w:t>
        </w:r>
      </w:hyperlink>
      <w:r>
        <w:rPr>
          <w:sz w:val="24"/>
          <w:lang w:val="lv-LV"/>
        </w:rPr>
        <w:t>.</w:t>
      </w:r>
    </w:p>
  </w:footnote>
  <w:footnote w:id="15">
    <w:p w14:paraId="2550C49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5" w:history="1">
        <w:r>
          <w:rPr>
            <w:rStyle w:val="Hyperlink1"/>
            <w:sz w:val="24"/>
            <w:lang w:val="lv-LV"/>
          </w:rPr>
          <w:t>http://data.europa.eu/eli/reg/2018/1046/oj</w:t>
        </w:r>
      </w:hyperlink>
      <w:r>
        <w:rPr>
          <w:sz w:val="24"/>
          <w:lang w:val="lv-LV"/>
        </w:rPr>
        <w:t>.</w:t>
      </w:r>
    </w:p>
  </w:footnote>
  <w:footnote w:id="16">
    <w:p w14:paraId="2692AC4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6" w:tgtFrame="_blank" w:history="1">
        <w:r>
          <w:rPr>
            <w:rStyle w:val="Hyperlink1"/>
            <w:sz w:val="24"/>
            <w:shd w:val="clear" w:color="auto" w:fill="FFFFFF"/>
            <w:lang w:val="lv-LV"/>
          </w:rPr>
          <w:t>http://data.europa.eu/eli/reg/2024/2509/oj</w:t>
        </w:r>
      </w:hyperlink>
      <w:r>
        <w:rPr>
          <w:sz w:val="24"/>
          <w:lang w:val="lv-LV"/>
        </w:rPr>
        <w:t>.</w:t>
      </w:r>
    </w:p>
  </w:footnote>
  <w:footnote w:id="17">
    <w:p w14:paraId="63E8B87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7" w:history="1">
        <w:r>
          <w:rPr>
            <w:rStyle w:val="Hyperlink1"/>
            <w:sz w:val="24"/>
            <w:lang w:val="lv-LV"/>
          </w:rPr>
          <w:t>http://data.europa.eu/eli/reg/2021/2085/oj</w:t>
        </w:r>
      </w:hyperlink>
      <w:r>
        <w:rPr>
          <w:sz w:val="24"/>
          <w:lang w:val="lv-LV"/>
        </w:rPr>
        <w:t>.</w:t>
      </w:r>
    </w:p>
  </w:footnote>
  <w:footnote w:id="18">
    <w:p w14:paraId="71F9E42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8" w:history="1">
        <w:r>
          <w:rPr>
            <w:rStyle w:val="Hyperlink1"/>
            <w:sz w:val="24"/>
            <w:lang w:val="lv-LV"/>
          </w:rPr>
          <w:t>http://data.europa.eu/eli/reg_del/2019/887/oj</w:t>
        </w:r>
      </w:hyperlink>
      <w:r>
        <w:rPr>
          <w:sz w:val="24"/>
          <w:lang w:val="lv-LV"/>
        </w:rPr>
        <w:t>.</w:t>
      </w:r>
    </w:p>
  </w:footnote>
  <w:footnote w:id="19">
    <w:p w14:paraId="1AB1AE9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9" w:history="1">
        <w:r>
          <w:rPr>
            <w:rStyle w:val="Hyperlink1"/>
            <w:sz w:val="24"/>
            <w:lang w:val="lv-LV"/>
          </w:rPr>
          <w:t>http://data.europa.eu/eli/C/2024/6841/oj</w:t>
        </w:r>
      </w:hyperlink>
      <w:r>
        <w:rPr>
          <w:sz w:val="24"/>
          <w:lang w:val="lv-LV"/>
        </w:rPr>
        <w:t>.</w:t>
      </w:r>
    </w:p>
  </w:footnote>
  <w:footnote w:id="20">
    <w:p w14:paraId="2D83A03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20" w:history="1">
        <w:r>
          <w:rPr>
            <w:rStyle w:val="Hyperlink1"/>
            <w:sz w:val="24"/>
            <w:lang w:val="lv-LV"/>
          </w:rPr>
          <w:t>http://data.europa.eu/eli/C/2024/6041/oj</w:t>
        </w:r>
      </w:hyperlink>
      <w:r>
        <w:rPr>
          <w:sz w:val="24"/>
          <w:lang w:val="lv-LV"/>
        </w:rPr>
        <w:t xml:space="preserve">. </w:t>
      </w:r>
    </w:p>
  </w:footnote>
  <w:footnote w:id="21">
    <w:p w14:paraId="2DA60AC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21" w:history="1">
        <w:r>
          <w:rPr>
            <w:rStyle w:val="Hyperlink1"/>
            <w:sz w:val="24"/>
            <w:lang w:val="lv-LV"/>
          </w:rPr>
          <w:t>http://data.europa.eu/eli/reg/2018/1046/oj</w:t>
        </w:r>
      </w:hyperlink>
      <w:r>
        <w:rPr>
          <w:sz w:val="24"/>
          <w:lang w:val="lv-LV"/>
        </w:rPr>
        <w:t>.</w:t>
      </w:r>
    </w:p>
  </w:footnote>
  <w:footnote w:id="22">
    <w:p w14:paraId="55F8B2A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22" w:tgtFrame="_blank" w:history="1">
        <w:r>
          <w:rPr>
            <w:rStyle w:val="Hyperlink1"/>
            <w:sz w:val="24"/>
            <w:shd w:val="clear" w:color="auto" w:fill="FFFFFF"/>
            <w:lang w:val="lv-LV"/>
          </w:rPr>
          <w:t>http://data.europa.eu/eli/reg/2024/2509/oj</w:t>
        </w:r>
      </w:hyperlink>
      <w:r>
        <w:rPr>
          <w:sz w:val="24"/>
          <w:lang w:val="lv-LV"/>
        </w:rPr>
        <w:t>.</w:t>
      </w:r>
    </w:p>
  </w:footnote>
  <w:footnote w:id="23">
    <w:p w14:paraId="40EBD27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23" w:history="1">
        <w:r>
          <w:rPr>
            <w:rStyle w:val="Hyperlink1"/>
            <w:sz w:val="24"/>
            <w:lang w:val="lv-LV"/>
          </w:rPr>
          <w:t>http://data.europa.eu/eli/reg/2021/2085/oj</w:t>
        </w:r>
      </w:hyperlink>
      <w:r>
        <w:rPr>
          <w:sz w:val="24"/>
          <w:lang w:val="lv-LV"/>
        </w:rPr>
        <w:t>.</w:t>
      </w:r>
    </w:p>
  </w:footnote>
  <w:footnote w:id="24">
    <w:p w14:paraId="31F618D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24" w:history="1">
        <w:r>
          <w:rPr>
            <w:rStyle w:val="Hyperlink1"/>
            <w:sz w:val="24"/>
            <w:lang w:val="lv-LV"/>
          </w:rPr>
          <w:t>http://data.europa.eu/eli/reg_del/2019/887/oj</w:t>
        </w:r>
      </w:hyperlink>
      <w:r>
        <w:rPr>
          <w:sz w:val="24"/>
          <w:lang w:val="lv-LV"/>
        </w:rPr>
        <w:t>.</w:t>
      </w:r>
    </w:p>
  </w:footnote>
  <w:footnote w:id="25">
    <w:p w14:paraId="4923C260"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25" w:history="1">
        <w:r>
          <w:rPr>
            <w:rStyle w:val="Hyperlink1"/>
            <w:sz w:val="24"/>
            <w:lang w:val="lv-LV"/>
          </w:rPr>
          <w:t>http://data.europa.eu/eli/C/2024/6841/oj</w:t>
        </w:r>
      </w:hyperlink>
      <w:r>
        <w:rPr>
          <w:sz w:val="24"/>
          <w:lang w:val="lv-LV"/>
        </w:rPr>
        <w:t>.</w:t>
      </w:r>
    </w:p>
  </w:footnote>
  <w:footnote w:id="26">
    <w:p w14:paraId="7BE4C7A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26" w:history="1">
        <w:r>
          <w:rPr>
            <w:rStyle w:val="Hyperlink1"/>
            <w:sz w:val="24"/>
            <w:lang w:val="lv-LV"/>
          </w:rPr>
          <w:t>http://data.europa.eu/eli/C/2024/6041/oj</w:t>
        </w:r>
      </w:hyperlink>
      <w:r>
        <w:rPr>
          <w:sz w:val="24"/>
          <w:lang w:val="lv-LV"/>
        </w:rPr>
        <w:t xml:space="preserve">. </w:t>
      </w:r>
    </w:p>
  </w:footnote>
  <w:footnote w:id="27">
    <w:p w14:paraId="12CBFEEE"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27" w:history="1">
        <w:r>
          <w:rPr>
            <w:rStyle w:val="Hyperlink1"/>
            <w:sz w:val="24"/>
            <w:lang w:val="lv-LV"/>
          </w:rPr>
          <w:t>http://data.europa.eu/eli/reg/2018/1046/oj</w:t>
        </w:r>
      </w:hyperlink>
      <w:r>
        <w:rPr>
          <w:sz w:val="24"/>
          <w:lang w:val="lv-LV"/>
        </w:rPr>
        <w:t>.</w:t>
      </w:r>
    </w:p>
  </w:footnote>
  <w:footnote w:id="28">
    <w:p w14:paraId="36FF98D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28" w:tgtFrame="_blank" w:history="1">
        <w:r>
          <w:rPr>
            <w:rStyle w:val="Hyperlink1"/>
            <w:sz w:val="24"/>
            <w:shd w:val="clear" w:color="auto" w:fill="FFFFFF"/>
            <w:lang w:val="lv-LV"/>
          </w:rPr>
          <w:t>http://data.europa.eu/eli/reg/2024/2509/oj</w:t>
        </w:r>
      </w:hyperlink>
      <w:r>
        <w:rPr>
          <w:sz w:val="24"/>
          <w:lang w:val="lv-LV"/>
        </w:rPr>
        <w:t>.</w:t>
      </w:r>
    </w:p>
  </w:footnote>
  <w:footnote w:id="29">
    <w:p w14:paraId="0697930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29" w:history="1">
        <w:r>
          <w:rPr>
            <w:rStyle w:val="Hyperlink1"/>
            <w:sz w:val="24"/>
            <w:lang w:val="lv-LV"/>
          </w:rPr>
          <w:t>http://data.europa.eu/eli/reg/2021/2085/oj</w:t>
        </w:r>
      </w:hyperlink>
      <w:r>
        <w:rPr>
          <w:sz w:val="24"/>
          <w:lang w:val="lv-LV"/>
        </w:rPr>
        <w:t>.</w:t>
      </w:r>
    </w:p>
  </w:footnote>
  <w:footnote w:id="30">
    <w:p w14:paraId="7FEF3C7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30" w:history="1">
        <w:r>
          <w:rPr>
            <w:rStyle w:val="Hyperlink1"/>
            <w:sz w:val="24"/>
            <w:lang w:val="lv-LV"/>
          </w:rPr>
          <w:t>http://data.europa.eu/eli/reg_del/2019/887/oj</w:t>
        </w:r>
      </w:hyperlink>
      <w:r>
        <w:rPr>
          <w:sz w:val="24"/>
          <w:lang w:val="lv-LV"/>
        </w:rPr>
        <w:t>.</w:t>
      </w:r>
    </w:p>
  </w:footnote>
  <w:footnote w:id="31">
    <w:p w14:paraId="17F0914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31" w:history="1">
        <w:r>
          <w:rPr>
            <w:rStyle w:val="Hyperlink1"/>
            <w:sz w:val="24"/>
            <w:lang w:val="lv-LV"/>
          </w:rPr>
          <w:t>http://data.europa.eu/eli/C/2024/6841/oj</w:t>
        </w:r>
      </w:hyperlink>
      <w:r>
        <w:rPr>
          <w:sz w:val="24"/>
          <w:lang w:val="lv-LV"/>
        </w:rPr>
        <w:t>.</w:t>
      </w:r>
    </w:p>
  </w:footnote>
  <w:footnote w:id="32">
    <w:p w14:paraId="0302330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32" w:history="1">
        <w:r>
          <w:rPr>
            <w:rStyle w:val="Hyperlink1"/>
            <w:sz w:val="24"/>
            <w:lang w:val="lv-LV"/>
          </w:rPr>
          <w:t>http://data.europa.eu/eli/C/2024/6041/oj</w:t>
        </w:r>
      </w:hyperlink>
      <w:r>
        <w:rPr>
          <w:sz w:val="24"/>
          <w:lang w:val="lv-LV"/>
        </w:rPr>
        <w:t xml:space="preserve">. </w:t>
      </w:r>
    </w:p>
  </w:footnote>
  <w:footnote w:id="33">
    <w:p w14:paraId="066C4C0B"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33" w:history="1">
        <w:r>
          <w:rPr>
            <w:rStyle w:val="Hyperlink1"/>
            <w:sz w:val="24"/>
            <w:lang w:val="lv-LV"/>
          </w:rPr>
          <w:t>http://data.europa.eu/eli/reg/2018/1046/oj</w:t>
        </w:r>
      </w:hyperlink>
      <w:r>
        <w:rPr>
          <w:sz w:val="24"/>
          <w:lang w:val="lv-LV"/>
        </w:rPr>
        <w:t>.</w:t>
      </w:r>
    </w:p>
  </w:footnote>
  <w:footnote w:id="34">
    <w:p w14:paraId="03ADF3D4"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34" w:tgtFrame="_blank" w:history="1">
        <w:r>
          <w:rPr>
            <w:rStyle w:val="Hyperlink1"/>
            <w:sz w:val="24"/>
            <w:shd w:val="clear" w:color="auto" w:fill="FFFFFF"/>
            <w:lang w:val="lv-LV"/>
          </w:rPr>
          <w:t>http://data.europa.eu/eli/reg/2024/2509/oj</w:t>
        </w:r>
      </w:hyperlink>
      <w:r>
        <w:rPr>
          <w:sz w:val="24"/>
          <w:lang w:val="lv-LV"/>
        </w:rPr>
        <w:t>.</w:t>
      </w:r>
    </w:p>
  </w:footnote>
  <w:footnote w:id="35">
    <w:p w14:paraId="436FCE7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35" w:history="1">
        <w:r>
          <w:rPr>
            <w:rStyle w:val="Hyperlink1"/>
            <w:sz w:val="24"/>
            <w:lang w:val="lv-LV"/>
          </w:rPr>
          <w:t>http://data.europa.eu/eli/reg/2021/2085/oj</w:t>
        </w:r>
      </w:hyperlink>
      <w:r>
        <w:rPr>
          <w:sz w:val="24"/>
          <w:lang w:val="lv-LV"/>
        </w:rPr>
        <w:t>.</w:t>
      </w:r>
    </w:p>
  </w:footnote>
  <w:footnote w:id="36">
    <w:p w14:paraId="3350A09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36" w:history="1">
        <w:r>
          <w:rPr>
            <w:rStyle w:val="Hyperlink1"/>
            <w:sz w:val="24"/>
            <w:lang w:val="lv-LV"/>
          </w:rPr>
          <w:t>http://data.europa.eu/eli/reg_del/2019/887/oj</w:t>
        </w:r>
      </w:hyperlink>
      <w:r>
        <w:rPr>
          <w:sz w:val="24"/>
          <w:lang w:val="lv-LV"/>
        </w:rPr>
        <w:t>.</w:t>
      </w:r>
    </w:p>
  </w:footnote>
  <w:footnote w:id="37">
    <w:p w14:paraId="372DD9B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37" w:history="1">
        <w:r>
          <w:rPr>
            <w:rStyle w:val="Hyperlink1"/>
            <w:sz w:val="24"/>
            <w:lang w:val="lv-LV"/>
          </w:rPr>
          <w:t>http://data.europa.eu/eli/C/2024/6841/oj</w:t>
        </w:r>
      </w:hyperlink>
      <w:r>
        <w:rPr>
          <w:sz w:val="24"/>
          <w:lang w:val="lv-LV"/>
        </w:rPr>
        <w:t>.</w:t>
      </w:r>
    </w:p>
  </w:footnote>
  <w:footnote w:id="38">
    <w:p w14:paraId="7505E39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38" w:history="1">
        <w:r>
          <w:rPr>
            <w:rStyle w:val="Hyperlink1"/>
            <w:sz w:val="24"/>
            <w:lang w:val="lv-LV"/>
          </w:rPr>
          <w:t>http://data.europa.eu/eli/C/2024/6041/oj</w:t>
        </w:r>
      </w:hyperlink>
      <w:r>
        <w:rPr>
          <w:sz w:val="24"/>
          <w:lang w:val="lv-LV"/>
        </w:rPr>
        <w:t>.</w:t>
      </w:r>
    </w:p>
  </w:footnote>
  <w:footnote w:id="39">
    <w:p w14:paraId="7DF84AA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39" w:history="1">
        <w:r>
          <w:rPr>
            <w:rStyle w:val="Hyperlink1"/>
            <w:sz w:val="24"/>
            <w:lang w:val="lv-LV"/>
          </w:rPr>
          <w:t>http://data.europa.eu/eli/reg/2018/1046/oj</w:t>
        </w:r>
      </w:hyperlink>
      <w:r>
        <w:rPr>
          <w:sz w:val="24"/>
          <w:lang w:val="lv-LV"/>
        </w:rPr>
        <w:t>.</w:t>
      </w:r>
    </w:p>
  </w:footnote>
  <w:footnote w:id="40">
    <w:p w14:paraId="3955CBC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40" w:tgtFrame="_blank" w:history="1">
        <w:r>
          <w:rPr>
            <w:rStyle w:val="Hyperlink1"/>
            <w:sz w:val="24"/>
            <w:shd w:val="clear" w:color="auto" w:fill="FFFFFF"/>
            <w:lang w:val="lv-LV"/>
          </w:rPr>
          <w:t>http://data.europa.eu/eli/reg/2024/2509/oj</w:t>
        </w:r>
      </w:hyperlink>
      <w:r>
        <w:rPr>
          <w:sz w:val="24"/>
          <w:lang w:val="lv-LV"/>
        </w:rPr>
        <w:t>.</w:t>
      </w:r>
    </w:p>
  </w:footnote>
  <w:footnote w:id="41">
    <w:p w14:paraId="2B767D2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41" w:history="1">
        <w:r>
          <w:rPr>
            <w:rStyle w:val="Hyperlink1"/>
            <w:sz w:val="24"/>
            <w:lang w:val="lv-LV"/>
          </w:rPr>
          <w:t>http://data.europa.eu/eli/reg/2021/2085/oj</w:t>
        </w:r>
      </w:hyperlink>
      <w:r>
        <w:rPr>
          <w:sz w:val="24"/>
          <w:lang w:val="lv-LV"/>
        </w:rPr>
        <w:t>.</w:t>
      </w:r>
    </w:p>
  </w:footnote>
  <w:footnote w:id="42">
    <w:p w14:paraId="7BAC63C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42" w:history="1">
        <w:r>
          <w:rPr>
            <w:rStyle w:val="Hyperlink1"/>
            <w:sz w:val="24"/>
            <w:lang w:val="lv-LV"/>
          </w:rPr>
          <w:t>http://data.europa.eu/eli/reg_del/2019/887/oj</w:t>
        </w:r>
      </w:hyperlink>
      <w:r>
        <w:rPr>
          <w:sz w:val="24"/>
          <w:lang w:val="lv-LV"/>
        </w:rPr>
        <w:t>.</w:t>
      </w:r>
    </w:p>
  </w:footnote>
  <w:footnote w:id="43">
    <w:p w14:paraId="1F7C0FD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43" w:history="1">
        <w:r>
          <w:rPr>
            <w:rStyle w:val="Hyperlink1"/>
            <w:sz w:val="24"/>
            <w:lang w:val="lv-LV"/>
          </w:rPr>
          <w:t>http://data.europa.eu/eli/C/2024/6841/oj</w:t>
        </w:r>
      </w:hyperlink>
      <w:r>
        <w:rPr>
          <w:sz w:val="24"/>
          <w:lang w:val="lv-LV"/>
        </w:rPr>
        <w:t>.</w:t>
      </w:r>
    </w:p>
  </w:footnote>
  <w:footnote w:id="44">
    <w:p w14:paraId="7577DF5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44" w:history="1">
        <w:r>
          <w:rPr>
            <w:rStyle w:val="Hyperlink1"/>
            <w:sz w:val="24"/>
            <w:lang w:val="lv-LV"/>
          </w:rPr>
          <w:t>http://data.europa.eu/eli/C/2024/6041/oj</w:t>
        </w:r>
      </w:hyperlink>
      <w:r>
        <w:rPr>
          <w:sz w:val="24"/>
          <w:lang w:val="lv-LV"/>
        </w:rPr>
        <w:t>.</w:t>
      </w:r>
    </w:p>
  </w:footnote>
  <w:footnote w:id="45">
    <w:p w14:paraId="12C0676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45" w:history="1">
        <w:r>
          <w:rPr>
            <w:rStyle w:val="Hyperlink1"/>
            <w:sz w:val="24"/>
            <w:lang w:val="lv-LV"/>
          </w:rPr>
          <w:t>http://data.europa.eu/eli/reg/2018/1046/oj</w:t>
        </w:r>
      </w:hyperlink>
      <w:r>
        <w:rPr>
          <w:sz w:val="24"/>
          <w:lang w:val="lv-LV"/>
        </w:rPr>
        <w:t>.</w:t>
      </w:r>
    </w:p>
  </w:footnote>
  <w:footnote w:id="46">
    <w:p w14:paraId="7A4B768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46" w:tgtFrame="_blank" w:history="1">
        <w:r>
          <w:rPr>
            <w:rStyle w:val="Hyperlink1"/>
            <w:sz w:val="24"/>
            <w:shd w:val="clear" w:color="auto" w:fill="FFFFFF"/>
            <w:lang w:val="lv-LV"/>
          </w:rPr>
          <w:t>http://data.europa.eu/eli/reg/2024/2509/oj</w:t>
        </w:r>
      </w:hyperlink>
      <w:r>
        <w:rPr>
          <w:sz w:val="24"/>
          <w:lang w:val="lv-LV"/>
        </w:rPr>
        <w:t>.</w:t>
      </w:r>
    </w:p>
  </w:footnote>
  <w:footnote w:id="47">
    <w:p w14:paraId="3C0E843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47" w:history="1">
        <w:r>
          <w:rPr>
            <w:rStyle w:val="Hyperlink1"/>
            <w:sz w:val="24"/>
            <w:lang w:val="lv-LV"/>
          </w:rPr>
          <w:t>http://data.europa.eu/eli/reg/2021/2085/oj</w:t>
        </w:r>
      </w:hyperlink>
      <w:r>
        <w:rPr>
          <w:sz w:val="24"/>
          <w:lang w:val="lv-LV"/>
        </w:rPr>
        <w:t>.</w:t>
      </w:r>
    </w:p>
  </w:footnote>
  <w:footnote w:id="48">
    <w:p w14:paraId="13F2F8F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48" w:history="1">
        <w:r>
          <w:rPr>
            <w:rStyle w:val="Hyperlink1"/>
            <w:sz w:val="24"/>
            <w:lang w:val="lv-LV"/>
          </w:rPr>
          <w:t>http://data.europa.eu/eli/reg_del/2019/887/oj</w:t>
        </w:r>
      </w:hyperlink>
      <w:r>
        <w:rPr>
          <w:sz w:val="24"/>
          <w:lang w:val="lv-LV"/>
        </w:rPr>
        <w:t>.</w:t>
      </w:r>
    </w:p>
  </w:footnote>
  <w:footnote w:id="49">
    <w:p w14:paraId="6B44E98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49" w:history="1">
        <w:r>
          <w:rPr>
            <w:rStyle w:val="Hyperlink1"/>
            <w:sz w:val="24"/>
            <w:lang w:val="lv-LV"/>
          </w:rPr>
          <w:t>http://data.europa.eu/eli/C/2024/6841/oj</w:t>
        </w:r>
      </w:hyperlink>
      <w:r>
        <w:rPr>
          <w:sz w:val="24"/>
          <w:lang w:val="lv-LV"/>
        </w:rPr>
        <w:t>.</w:t>
      </w:r>
    </w:p>
  </w:footnote>
  <w:footnote w:id="50">
    <w:p w14:paraId="4DC0A24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50" w:history="1">
        <w:r>
          <w:rPr>
            <w:rStyle w:val="Hyperlink1"/>
            <w:sz w:val="24"/>
            <w:lang w:val="lv-LV"/>
          </w:rPr>
          <w:t>http://data.europa.eu/eli/C/2024/6041/oj</w:t>
        </w:r>
      </w:hyperlink>
      <w:r>
        <w:rPr>
          <w:sz w:val="24"/>
          <w:lang w:val="lv-LV"/>
        </w:rPr>
        <w:t xml:space="preserve">. </w:t>
      </w:r>
    </w:p>
  </w:footnote>
  <w:footnote w:id="51">
    <w:p w14:paraId="721F93A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51" w:history="1">
        <w:r>
          <w:rPr>
            <w:rStyle w:val="Hyperlink1"/>
            <w:sz w:val="24"/>
            <w:lang w:val="lv-LV"/>
          </w:rPr>
          <w:t>http://data.europa.eu/eli/reg/2018/1046/oj</w:t>
        </w:r>
      </w:hyperlink>
      <w:r>
        <w:rPr>
          <w:sz w:val="24"/>
          <w:lang w:val="lv-LV"/>
        </w:rPr>
        <w:t>.</w:t>
      </w:r>
    </w:p>
  </w:footnote>
  <w:footnote w:id="52">
    <w:p w14:paraId="4071520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52" w:tgtFrame="_blank" w:history="1">
        <w:r>
          <w:rPr>
            <w:rStyle w:val="Hyperlink1"/>
            <w:sz w:val="24"/>
            <w:shd w:val="clear" w:color="auto" w:fill="FFFFFF"/>
            <w:lang w:val="lv-LV"/>
          </w:rPr>
          <w:t>http://data.europa.eu/eli/reg/2024/2509/oj</w:t>
        </w:r>
      </w:hyperlink>
      <w:r>
        <w:rPr>
          <w:sz w:val="24"/>
          <w:lang w:val="lv-LV"/>
        </w:rPr>
        <w:t>.</w:t>
      </w:r>
    </w:p>
  </w:footnote>
  <w:footnote w:id="53">
    <w:p w14:paraId="5664ABE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256, 19.7.2021., 3. lpp., ELI: </w:t>
      </w:r>
      <w:hyperlink r:id="rId53" w:history="1">
        <w:r>
          <w:rPr>
            <w:rStyle w:val="Hyperlink"/>
            <w:sz w:val="24"/>
            <w:lang w:val="lv-LV"/>
          </w:rPr>
          <w:t>https://data.europa.eu/eli/reg/2021/1173/oj</w:t>
        </w:r>
      </w:hyperlink>
      <w:r>
        <w:rPr>
          <w:sz w:val="24"/>
          <w:lang w:val="lv-LV"/>
        </w:rPr>
        <w:t>.</w:t>
      </w:r>
    </w:p>
  </w:footnote>
  <w:footnote w:id="54">
    <w:p w14:paraId="6F22F90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54" w:history="1">
        <w:r>
          <w:rPr>
            <w:rStyle w:val="Hyperlink1"/>
            <w:sz w:val="24"/>
            <w:lang w:val="lv-LV"/>
          </w:rPr>
          <w:t>http://data.europa.eu/eli/reg_del/2019/887/oj</w:t>
        </w:r>
      </w:hyperlink>
      <w:r>
        <w:rPr>
          <w:sz w:val="24"/>
          <w:lang w:val="lv-LV"/>
        </w:rPr>
        <w:t>.</w:t>
      </w:r>
    </w:p>
  </w:footnote>
  <w:footnote w:id="55">
    <w:p w14:paraId="2BB8926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55" w:history="1">
        <w:r>
          <w:rPr>
            <w:rStyle w:val="Hyperlink1"/>
            <w:sz w:val="24"/>
            <w:lang w:val="lv-LV"/>
          </w:rPr>
          <w:t>http://data.europa.eu/eli/C/2024/6841/oj</w:t>
        </w:r>
      </w:hyperlink>
      <w:r>
        <w:rPr>
          <w:sz w:val="24"/>
          <w:lang w:val="lv-LV"/>
        </w:rPr>
        <w:t>.</w:t>
      </w:r>
    </w:p>
  </w:footnote>
  <w:footnote w:id="56">
    <w:p w14:paraId="62D4716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56" w:history="1">
        <w:r>
          <w:rPr>
            <w:rStyle w:val="Hyperlink1"/>
            <w:sz w:val="24"/>
            <w:lang w:val="lv-LV"/>
          </w:rPr>
          <w:t>http://data.europa.eu/eli/C/2024/6041/oj</w:t>
        </w:r>
      </w:hyperlink>
      <w:r>
        <w:rPr>
          <w:sz w:val="24"/>
          <w:lang w:val="lv-LV"/>
        </w:rPr>
        <w:t xml:space="preserve">. </w:t>
      </w:r>
    </w:p>
  </w:footnote>
  <w:footnote w:id="57">
    <w:p w14:paraId="0B10227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57" w:history="1">
        <w:r>
          <w:rPr>
            <w:rStyle w:val="Hyperlink1"/>
            <w:sz w:val="24"/>
            <w:lang w:val="lv-LV"/>
          </w:rPr>
          <w:t>http://data.europa.eu/eli/reg/2018/1046/oj</w:t>
        </w:r>
      </w:hyperlink>
      <w:r>
        <w:rPr>
          <w:sz w:val="24"/>
          <w:lang w:val="lv-LV"/>
        </w:rPr>
        <w:t>.</w:t>
      </w:r>
    </w:p>
  </w:footnote>
  <w:footnote w:id="58">
    <w:p w14:paraId="0505F33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58" w:tgtFrame="_blank" w:history="1">
        <w:r>
          <w:rPr>
            <w:rStyle w:val="Hyperlink1"/>
            <w:sz w:val="24"/>
            <w:shd w:val="clear" w:color="auto" w:fill="FFFFFF"/>
            <w:lang w:val="lv-LV"/>
          </w:rPr>
          <w:t>http://data.europa.eu/eli/reg/2024/2509/oj</w:t>
        </w:r>
      </w:hyperlink>
      <w:r>
        <w:rPr>
          <w:sz w:val="24"/>
          <w:lang w:val="lv-LV"/>
        </w:rPr>
        <w:t>.</w:t>
      </w:r>
    </w:p>
  </w:footnote>
  <w:footnote w:id="59">
    <w:p w14:paraId="505128C0"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256, 19.7.2021., 3. lpp., ELI: </w:t>
      </w:r>
      <w:hyperlink r:id="rId59" w:history="1">
        <w:r>
          <w:rPr>
            <w:rStyle w:val="Hyperlink"/>
            <w:sz w:val="24"/>
            <w:lang w:val="lv-LV"/>
          </w:rPr>
          <w:t>https://data.europa.eu/eli/reg/2021/1173/oj</w:t>
        </w:r>
      </w:hyperlink>
      <w:r>
        <w:rPr>
          <w:sz w:val="24"/>
          <w:lang w:val="lv-LV"/>
        </w:rPr>
        <w:t>.</w:t>
      </w:r>
    </w:p>
  </w:footnote>
  <w:footnote w:id="60">
    <w:p w14:paraId="5495336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60" w:history="1">
        <w:r>
          <w:rPr>
            <w:rStyle w:val="Hyperlink1"/>
            <w:sz w:val="24"/>
            <w:lang w:val="lv-LV"/>
          </w:rPr>
          <w:t>http://data.europa.eu/eli/reg_del/2019/887/oj</w:t>
        </w:r>
      </w:hyperlink>
      <w:r>
        <w:rPr>
          <w:sz w:val="24"/>
          <w:lang w:val="lv-LV"/>
        </w:rPr>
        <w:t>.</w:t>
      </w:r>
    </w:p>
  </w:footnote>
  <w:footnote w:id="61">
    <w:p w14:paraId="7AE2C91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61" w:history="1">
        <w:r>
          <w:rPr>
            <w:rStyle w:val="Hyperlink1"/>
            <w:sz w:val="24"/>
            <w:lang w:val="lv-LV"/>
          </w:rPr>
          <w:t>http://data.europa.eu/eli/C/2024/6841/oj</w:t>
        </w:r>
      </w:hyperlink>
      <w:r>
        <w:rPr>
          <w:sz w:val="24"/>
          <w:lang w:val="lv-LV"/>
        </w:rPr>
        <w:t>.</w:t>
      </w:r>
    </w:p>
  </w:footnote>
  <w:footnote w:id="62">
    <w:p w14:paraId="6949782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62" w:history="1">
        <w:r>
          <w:rPr>
            <w:rStyle w:val="Hyperlink1"/>
            <w:sz w:val="24"/>
            <w:lang w:val="lv-LV"/>
          </w:rPr>
          <w:t>http://data.europa.eu/eli/C/2024/6041/oj</w:t>
        </w:r>
      </w:hyperlink>
      <w:r>
        <w:rPr>
          <w:sz w:val="24"/>
          <w:lang w:val="lv-LV"/>
        </w:rPr>
        <w:t xml:space="preserve">. </w:t>
      </w:r>
    </w:p>
  </w:footnote>
  <w:footnote w:id="63">
    <w:p w14:paraId="429379A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63" w:history="1">
        <w:r>
          <w:rPr>
            <w:rStyle w:val="Hyperlink1"/>
            <w:sz w:val="24"/>
            <w:lang w:val="lv-LV"/>
          </w:rPr>
          <w:t>http://data.europa.eu/eli/reg/2018/1046/oj</w:t>
        </w:r>
      </w:hyperlink>
      <w:r>
        <w:rPr>
          <w:sz w:val="24"/>
          <w:lang w:val="lv-LV"/>
        </w:rPr>
        <w:t>.</w:t>
      </w:r>
    </w:p>
  </w:footnote>
  <w:footnote w:id="64">
    <w:p w14:paraId="2EAF2E2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64" w:tgtFrame="_blank" w:history="1">
        <w:r>
          <w:rPr>
            <w:rStyle w:val="Hyperlink1"/>
            <w:sz w:val="24"/>
            <w:shd w:val="clear" w:color="auto" w:fill="FFFFFF"/>
            <w:lang w:val="lv-LV"/>
          </w:rPr>
          <w:t>http://data.europa.eu/eli/reg/2024/2509/oj</w:t>
        </w:r>
      </w:hyperlink>
      <w:r>
        <w:rPr>
          <w:sz w:val="24"/>
          <w:lang w:val="lv-LV"/>
        </w:rPr>
        <w:t>.</w:t>
      </w:r>
    </w:p>
  </w:footnote>
  <w:footnote w:id="65">
    <w:p w14:paraId="118A34E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90, 30.3.2007., 58. lpp., ELI: </w:t>
      </w:r>
      <w:hyperlink r:id="rId65" w:history="1">
        <w:r>
          <w:rPr>
            <w:rStyle w:val="Hyperlink1"/>
            <w:sz w:val="24"/>
            <w:lang w:val="lv-LV"/>
          </w:rPr>
          <w:t>http://data.europa.eu/eli/dec/2007/198/oj</w:t>
        </w:r>
      </w:hyperlink>
      <w:r>
        <w:rPr>
          <w:sz w:val="24"/>
          <w:lang w:val="lv-LV"/>
        </w:rPr>
        <w:t>.</w:t>
      </w:r>
    </w:p>
  </w:footnote>
  <w:footnote w:id="66">
    <w:p w14:paraId="7E1C7E9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122, 10.5.2019., 1. lpp., ELI: </w:t>
      </w:r>
      <w:hyperlink r:id="rId66" w:history="1">
        <w:r>
          <w:rPr>
            <w:rStyle w:val="Hyperlink1"/>
            <w:sz w:val="24"/>
            <w:lang w:val="lv-LV"/>
          </w:rPr>
          <w:t>http://data.europa.eu/eli/reg_del/2019/715/oj</w:t>
        </w:r>
      </w:hyperlink>
      <w:r>
        <w:rPr>
          <w:sz w:val="24"/>
          <w:lang w:val="lv-LV"/>
        </w:rPr>
        <w:t>.</w:t>
      </w:r>
    </w:p>
  </w:footnote>
  <w:footnote w:id="67">
    <w:p w14:paraId="26319704"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67" w:history="1">
        <w:r>
          <w:rPr>
            <w:rStyle w:val="Hyperlink1"/>
            <w:sz w:val="24"/>
            <w:lang w:val="lv-LV"/>
          </w:rPr>
          <w:t>http://data.europa.eu/eli/C/2024/6841/oj</w:t>
        </w:r>
      </w:hyperlink>
      <w:r>
        <w:rPr>
          <w:sz w:val="24"/>
          <w:lang w:val="lv-LV"/>
        </w:rPr>
        <w:t>.</w:t>
      </w:r>
    </w:p>
  </w:footnote>
  <w:footnote w:id="68">
    <w:p w14:paraId="577B296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68" w:history="1">
        <w:r>
          <w:rPr>
            <w:rStyle w:val="Hyperlink1"/>
            <w:sz w:val="24"/>
            <w:lang w:val="lv-LV"/>
          </w:rPr>
          <w:t>http://data.europa.eu/eli/C/2024/6041/oj</w:t>
        </w:r>
      </w:hyperlink>
      <w:r>
        <w:rPr>
          <w:sz w:val="24"/>
          <w:lang w:val="lv-LV"/>
        </w:rPr>
        <w:t>.</w:t>
      </w:r>
    </w:p>
  </w:footnote>
  <w:footnote w:id="69">
    <w:p w14:paraId="2AF1248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69" w:history="1">
        <w:r>
          <w:rPr>
            <w:rStyle w:val="Hyperlink1"/>
            <w:sz w:val="24"/>
            <w:lang w:val="lv-LV"/>
          </w:rPr>
          <w:t>http://data.europa.eu/eli/reg/2018/1046/oj</w:t>
        </w:r>
      </w:hyperlink>
      <w:r>
        <w:rPr>
          <w:sz w:val="24"/>
          <w:lang w:val="lv-LV"/>
        </w:rPr>
        <w:t>.</w:t>
      </w:r>
    </w:p>
  </w:footnote>
  <w:footnote w:id="70">
    <w:p w14:paraId="0013E28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70" w:history="1">
        <w:r>
          <w:rPr>
            <w:rStyle w:val="Hyperlink"/>
            <w:sz w:val="24"/>
            <w:shd w:val="clear" w:color="auto" w:fill="FFFFFF"/>
            <w:lang w:val="lv-LV"/>
          </w:rPr>
          <w:t>http://data.europa.eu/eli/reg/2024/2509/oj</w:t>
        </w:r>
      </w:hyperlink>
      <w:r>
        <w:rPr>
          <w:sz w:val="24"/>
          <w:lang w:val="lv-LV"/>
        </w:rPr>
        <w:t>.</w:t>
      </w:r>
    </w:p>
  </w:footnote>
  <w:footnote w:id="71">
    <w:p w14:paraId="15E7374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90, 30.3.2007., 58. lpp., ELI: </w:t>
      </w:r>
      <w:hyperlink r:id="rId71" w:history="1">
        <w:r>
          <w:rPr>
            <w:rStyle w:val="Hyperlink1"/>
            <w:sz w:val="24"/>
            <w:lang w:val="lv-LV"/>
          </w:rPr>
          <w:t>http://data.europa.eu/eli/dec/2007/198/oj</w:t>
        </w:r>
      </w:hyperlink>
      <w:r>
        <w:rPr>
          <w:sz w:val="24"/>
          <w:lang w:val="lv-LV"/>
        </w:rPr>
        <w:t>.</w:t>
      </w:r>
    </w:p>
  </w:footnote>
  <w:footnote w:id="72">
    <w:p w14:paraId="62417D6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122, 10.5.2019., 1. lpp., ELI: </w:t>
      </w:r>
      <w:hyperlink r:id="rId72" w:history="1">
        <w:r>
          <w:rPr>
            <w:rStyle w:val="Hyperlink1"/>
            <w:sz w:val="24"/>
            <w:lang w:val="lv-LV"/>
          </w:rPr>
          <w:t>http://data.europa.eu/eli/reg_del/2019/715/oj</w:t>
        </w:r>
      </w:hyperlink>
      <w:r>
        <w:rPr>
          <w:sz w:val="24"/>
          <w:lang w:val="lv-LV"/>
        </w:rPr>
        <w:t>.</w:t>
      </w:r>
    </w:p>
  </w:footnote>
  <w:footnote w:id="73">
    <w:p w14:paraId="0573FC2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73" w:history="1">
        <w:r>
          <w:rPr>
            <w:rStyle w:val="Hyperlink1"/>
            <w:sz w:val="24"/>
            <w:lang w:val="lv-LV"/>
          </w:rPr>
          <w:t>http://data.europa.eu/eli/C/2024/6841/oj</w:t>
        </w:r>
      </w:hyperlink>
      <w:r>
        <w:rPr>
          <w:sz w:val="24"/>
          <w:lang w:val="lv-LV"/>
        </w:rPr>
        <w:t>.</w:t>
      </w:r>
    </w:p>
  </w:footnote>
  <w:footnote w:id="74">
    <w:p w14:paraId="4D9C31F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74" w:history="1">
        <w:r>
          <w:rPr>
            <w:rStyle w:val="Hyperlink1"/>
            <w:sz w:val="24"/>
            <w:lang w:val="lv-LV"/>
          </w:rPr>
          <w:t>http://data.europa.eu/eli/C/2024/6041/oj</w:t>
        </w:r>
      </w:hyperlink>
      <w:r>
        <w:rPr>
          <w:sz w:val="24"/>
          <w:lang w:val="lv-LV"/>
        </w:rPr>
        <w:t>.</w:t>
      </w:r>
    </w:p>
  </w:footnote>
  <w:footnote w:id="75">
    <w:p w14:paraId="7C3692FE"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75" w:history="1">
        <w:r>
          <w:rPr>
            <w:rStyle w:val="Hyperlink1"/>
            <w:sz w:val="24"/>
            <w:lang w:val="lv-LV"/>
          </w:rPr>
          <w:t>http://data.europa.eu/eli/reg/2018/1046/oj</w:t>
        </w:r>
      </w:hyperlink>
      <w:r>
        <w:rPr>
          <w:sz w:val="24"/>
          <w:lang w:val="lv-LV"/>
        </w:rPr>
        <w:t>.</w:t>
      </w:r>
    </w:p>
  </w:footnote>
  <w:footnote w:id="76">
    <w:p w14:paraId="54B2238B"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76" w:tgtFrame="_blank" w:history="1">
        <w:r>
          <w:rPr>
            <w:rStyle w:val="Hyperlink1"/>
            <w:sz w:val="24"/>
            <w:shd w:val="clear" w:color="auto" w:fill="FFFFFF"/>
            <w:lang w:val="lv-LV"/>
          </w:rPr>
          <w:t>http://data.europa.eu/eli/reg/2024/2509/oj</w:t>
        </w:r>
      </w:hyperlink>
      <w:r>
        <w:rPr>
          <w:sz w:val="24"/>
          <w:lang w:val="lv-LV"/>
        </w:rPr>
        <w:t>.</w:t>
      </w:r>
    </w:p>
  </w:footnote>
  <w:footnote w:id="77">
    <w:p w14:paraId="510A5C5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77" w:history="1">
        <w:r>
          <w:rPr>
            <w:rStyle w:val="Hyperlink1"/>
            <w:sz w:val="24"/>
            <w:lang w:val="lv-LV"/>
          </w:rPr>
          <w:t>http://data.europa.eu/eli/reg/2021/2085/oj</w:t>
        </w:r>
      </w:hyperlink>
      <w:r>
        <w:rPr>
          <w:sz w:val="24"/>
          <w:lang w:val="lv-LV"/>
        </w:rPr>
        <w:t>.</w:t>
      </w:r>
    </w:p>
  </w:footnote>
  <w:footnote w:id="78">
    <w:p w14:paraId="15857570"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78" w:history="1">
        <w:r>
          <w:rPr>
            <w:rStyle w:val="Hyperlink1"/>
            <w:sz w:val="24"/>
            <w:lang w:val="lv-LV"/>
          </w:rPr>
          <w:t>http://data.europa.eu/eli/reg_del/2019/887/oj</w:t>
        </w:r>
      </w:hyperlink>
      <w:r>
        <w:rPr>
          <w:sz w:val="24"/>
          <w:lang w:val="lv-LV"/>
        </w:rPr>
        <w:t>.</w:t>
      </w:r>
    </w:p>
  </w:footnote>
  <w:footnote w:id="79">
    <w:p w14:paraId="3BF6F88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79" w:history="1">
        <w:r>
          <w:rPr>
            <w:rStyle w:val="Hyperlink1"/>
            <w:sz w:val="24"/>
            <w:lang w:val="lv-LV"/>
          </w:rPr>
          <w:t>http://data.europa.eu/eli/C/2024/6841/oj</w:t>
        </w:r>
      </w:hyperlink>
      <w:r>
        <w:rPr>
          <w:sz w:val="24"/>
          <w:lang w:val="lv-LV"/>
        </w:rPr>
        <w:t>.</w:t>
      </w:r>
    </w:p>
  </w:footnote>
  <w:footnote w:id="80">
    <w:p w14:paraId="0CA8CDF4"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80" w:history="1">
        <w:r>
          <w:rPr>
            <w:rStyle w:val="Hyperlink1"/>
            <w:sz w:val="24"/>
            <w:lang w:val="lv-LV"/>
          </w:rPr>
          <w:t>http://data.europa.eu/eli/C/2024/6041/oj</w:t>
        </w:r>
      </w:hyperlink>
      <w:r>
        <w:rPr>
          <w:sz w:val="24"/>
          <w:lang w:val="lv-LV"/>
        </w:rPr>
        <w:t>.</w:t>
      </w:r>
    </w:p>
  </w:footnote>
  <w:footnote w:id="81">
    <w:p w14:paraId="42F1AFA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81" w:history="1">
        <w:r>
          <w:rPr>
            <w:rStyle w:val="Hyperlink1"/>
            <w:sz w:val="24"/>
            <w:lang w:val="lv-LV"/>
          </w:rPr>
          <w:t>http://data.europa.eu/eli/reg/2018/1046/oj</w:t>
        </w:r>
      </w:hyperlink>
      <w:r>
        <w:rPr>
          <w:sz w:val="24"/>
          <w:lang w:val="lv-LV"/>
        </w:rPr>
        <w:t>.</w:t>
      </w:r>
    </w:p>
  </w:footnote>
  <w:footnote w:id="82">
    <w:p w14:paraId="4CEB90D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82" w:tgtFrame="_blank" w:history="1">
        <w:r>
          <w:rPr>
            <w:rStyle w:val="Hyperlink1"/>
            <w:sz w:val="24"/>
            <w:shd w:val="clear" w:color="auto" w:fill="FFFFFF"/>
            <w:lang w:val="lv-LV"/>
          </w:rPr>
          <w:t>http://data.europa.eu/eli/reg/2024/2509/oj</w:t>
        </w:r>
      </w:hyperlink>
      <w:r>
        <w:rPr>
          <w:sz w:val="24"/>
          <w:lang w:val="lv-LV"/>
        </w:rPr>
        <w:t>.</w:t>
      </w:r>
    </w:p>
  </w:footnote>
  <w:footnote w:id="83">
    <w:p w14:paraId="0420BB1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83" w:history="1">
        <w:r>
          <w:rPr>
            <w:rStyle w:val="Hyperlink1"/>
            <w:sz w:val="24"/>
            <w:lang w:val="lv-LV"/>
          </w:rPr>
          <w:t>http://data.europa.eu/eli/reg/2021/2085/oj</w:t>
        </w:r>
      </w:hyperlink>
      <w:r>
        <w:rPr>
          <w:sz w:val="24"/>
          <w:lang w:val="lv-LV"/>
        </w:rPr>
        <w:t>.</w:t>
      </w:r>
    </w:p>
  </w:footnote>
  <w:footnote w:id="84">
    <w:p w14:paraId="76B6F8A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84" w:history="1">
        <w:r>
          <w:rPr>
            <w:rStyle w:val="Hyperlink1"/>
            <w:sz w:val="24"/>
            <w:lang w:val="lv-LV"/>
          </w:rPr>
          <w:t>http://data.europa.eu/eli/reg_del/2019/887/oj</w:t>
        </w:r>
      </w:hyperlink>
      <w:r>
        <w:rPr>
          <w:sz w:val="24"/>
          <w:lang w:val="lv-LV"/>
        </w:rPr>
        <w:t>.</w:t>
      </w:r>
    </w:p>
  </w:footnote>
  <w:footnote w:id="85">
    <w:p w14:paraId="646F57C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85" w:history="1">
        <w:r>
          <w:rPr>
            <w:rStyle w:val="Hyperlink1"/>
            <w:sz w:val="24"/>
            <w:lang w:val="lv-LV"/>
          </w:rPr>
          <w:t>http://data.europa.eu/eli/C/2024/6841/oj</w:t>
        </w:r>
      </w:hyperlink>
      <w:r>
        <w:rPr>
          <w:sz w:val="24"/>
          <w:lang w:val="lv-LV"/>
        </w:rPr>
        <w:t>.</w:t>
      </w:r>
    </w:p>
  </w:footnote>
  <w:footnote w:id="86">
    <w:p w14:paraId="1E8706B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86" w:history="1">
        <w:r>
          <w:rPr>
            <w:rStyle w:val="Hyperlink1"/>
            <w:sz w:val="24"/>
            <w:lang w:val="lv-LV"/>
          </w:rPr>
          <w:t>http://data.europa.eu/eli/C/2024/6041/oj</w:t>
        </w:r>
      </w:hyperlink>
      <w:r>
        <w:rPr>
          <w:sz w:val="24"/>
          <w:lang w:val="lv-LV"/>
        </w:rPr>
        <w:t>.</w:t>
      </w:r>
    </w:p>
  </w:footnote>
  <w:footnote w:id="87">
    <w:p w14:paraId="3D18A43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87" w:history="1">
        <w:r>
          <w:rPr>
            <w:rStyle w:val="Hyperlink1"/>
            <w:sz w:val="24"/>
            <w:lang w:val="lv-LV"/>
          </w:rPr>
          <w:t>http://data.europa.eu/eli/reg/2018/1046/oj</w:t>
        </w:r>
      </w:hyperlink>
      <w:r>
        <w:rPr>
          <w:sz w:val="24"/>
          <w:lang w:val="lv-LV"/>
        </w:rPr>
        <w:t>.</w:t>
      </w:r>
    </w:p>
  </w:footnote>
  <w:footnote w:id="88">
    <w:p w14:paraId="7561C69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88" w:tgtFrame="_blank" w:history="1">
        <w:r>
          <w:rPr>
            <w:rStyle w:val="Hyperlink1"/>
            <w:sz w:val="24"/>
            <w:shd w:val="clear" w:color="auto" w:fill="FFFFFF"/>
            <w:lang w:val="lv-LV"/>
          </w:rPr>
          <w:t>http://data.europa.eu/eli/reg/2024/2509/oj</w:t>
        </w:r>
      </w:hyperlink>
      <w:r>
        <w:rPr>
          <w:sz w:val="24"/>
          <w:lang w:val="lv-LV"/>
        </w:rPr>
        <w:t>.</w:t>
      </w:r>
    </w:p>
  </w:footnote>
  <w:footnote w:id="89">
    <w:p w14:paraId="430CC0E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89" w:history="1">
        <w:r>
          <w:rPr>
            <w:rStyle w:val="Hyperlink1"/>
            <w:sz w:val="24"/>
            <w:lang w:val="lv-LV"/>
          </w:rPr>
          <w:t>http://data.europa.eu/eli/reg/2021/2085/oj</w:t>
        </w:r>
      </w:hyperlink>
      <w:r>
        <w:rPr>
          <w:sz w:val="24"/>
          <w:lang w:val="lv-LV"/>
        </w:rPr>
        <w:t>.</w:t>
      </w:r>
    </w:p>
  </w:footnote>
  <w:footnote w:id="90">
    <w:p w14:paraId="5B508E1E"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90" w:history="1">
        <w:r>
          <w:rPr>
            <w:rStyle w:val="Hyperlink1"/>
            <w:sz w:val="24"/>
            <w:lang w:val="lv-LV"/>
          </w:rPr>
          <w:t>http://data.europa.eu/eli/reg_del/2019/887/oj</w:t>
        </w:r>
      </w:hyperlink>
      <w:r>
        <w:rPr>
          <w:sz w:val="24"/>
          <w:lang w:val="lv-LV"/>
        </w:rPr>
        <w:t>.</w:t>
      </w:r>
    </w:p>
  </w:footnote>
  <w:footnote w:id="91">
    <w:p w14:paraId="3C6903F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91" w:history="1">
        <w:r>
          <w:rPr>
            <w:rStyle w:val="Hyperlink1"/>
            <w:sz w:val="24"/>
            <w:lang w:val="lv-LV"/>
          </w:rPr>
          <w:t>http://data.europa.eu/eli/C/2024/6841/oj</w:t>
        </w:r>
      </w:hyperlink>
      <w:r>
        <w:rPr>
          <w:sz w:val="24"/>
          <w:lang w:val="lv-LV"/>
        </w:rPr>
        <w:t>.</w:t>
      </w:r>
    </w:p>
  </w:footnote>
  <w:footnote w:id="92">
    <w:p w14:paraId="23C915B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92" w:history="1">
        <w:r>
          <w:rPr>
            <w:rStyle w:val="Hyperlink1"/>
            <w:sz w:val="24"/>
            <w:lang w:val="lv-LV"/>
          </w:rPr>
          <w:t>http://data.europa.eu/eli/C/2024/6041/oj</w:t>
        </w:r>
      </w:hyperlink>
      <w:r>
        <w:rPr>
          <w:sz w:val="24"/>
          <w:lang w:val="lv-LV"/>
        </w:rPr>
        <w:t>.</w:t>
      </w:r>
    </w:p>
  </w:footnote>
  <w:footnote w:id="93">
    <w:p w14:paraId="7453975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93" w:history="1">
        <w:r>
          <w:rPr>
            <w:rStyle w:val="Hyperlink1"/>
            <w:sz w:val="24"/>
            <w:lang w:val="lv-LV"/>
          </w:rPr>
          <w:t>http://data.europa.eu/eli/reg/2018/1046/oj</w:t>
        </w:r>
      </w:hyperlink>
      <w:r>
        <w:rPr>
          <w:sz w:val="24"/>
          <w:lang w:val="lv-LV"/>
        </w:rPr>
        <w:t>.</w:t>
      </w:r>
    </w:p>
  </w:footnote>
  <w:footnote w:id="94">
    <w:p w14:paraId="45E136AD"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94" w:tgtFrame="_blank" w:history="1">
        <w:r>
          <w:rPr>
            <w:rStyle w:val="Hyperlink1"/>
            <w:sz w:val="24"/>
            <w:shd w:val="clear" w:color="auto" w:fill="FFFFFF"/>
            <w:lang w:val="lv-LV"/>
          </w:rPr>
          <w:t>http://data.europa.eu/eli/reg/2024/2509/oj</w:t>
        </w:r>
      </w:hyperlink>
      <w:r>
        <w:rPr>
          <w:sz w:val="24"/>
          <w:lang w:val="lv-LV"/>
        </w:rPr>
        <w:t>.</w:t>
      </w:r>
    </w:p>
  </w:footnote>
  <w:footnote w:id="95">
    <w:p w14:paraId="6BFB577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95" w:history="1">
        <w:r>
          <w:rPr>
            <w:rStyle w:val="Hyperlink1"/>
            <w:sz w:val="24"/>
            <w:lang w:val="lv-LV"/>
          </w:rPr>
          <w:t>http://data.europa.eu/eli/reg/2021/2085/oj</w:t>
        </w:r>
      </w:hyperlink>
      <w:r>
        <w:rPr>
          <w:sz w:val="24"/>
          <w:lang w:val="lv-LV"/>
        </w:rPr>
        <w:t>.</w:t>
      </w:r>
    </w:p>
  </w:footnote>
  <w:footnote w:id="96">
    <w:p w14:paraId="24589C5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96" w:history="1">
        <w:r>
          <w:rPr>
            <w:rStyle w:val="Hyperlink1"/>
            <w:sz w:val="24"/>
            <w:lang w:val="lv-LV"/>
          </w:rPr>
          <w:t>http://data.europa.eu/eli/reg_del/2019/887/oj</w:t>
        </w:r>
      </w:hyperlink>
      <w:r>
        <w:rPr>
          <w:sz w:val="24"/>
          <w:lang w:val="lv-LV"/>
        </w:rPr>
        <w:t>.</w:t>
      </w:r>
    </w:p>
  </w:footnote>
  <w:footnote w:id="97">
    <w:p w14:paraId="7673BE74"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97" w:history="1">
        <w:r>
          <w:rPr>
            <w:rStyle w:val="Hyperlink1"/>
            <w:sz w:val="24"/>
            <w:lang w:val="lv-LV"/>
          </w:rPr>
          <w:t>http://data.europa.eu/eli/C/2024/6841/oj</w:t>
        </w:r>
      </w:hyperlink>
      <w:r>
        <w:rPr>
          <w:sz w:val="24"/>
          <w:lang w:val="lv-LV"/>
        </w:rPr>
        <w:t>.</w:t>
      </w:r>
    </w:p>
  </w:footnote>
  <w:footnote w:id="98">
    <w:p w14:paraId="515E4F17"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98" w:history="1">
        <w:r>
          <w:rPr>
            <w:rStyle w:val="Hyperlink1"/>
            <w:sz w:val="24"/>
            <w:lang w:val="lv-LV"/>
          </w:rPr>
          <w:t>http://data.europa.eu/eli/C/2024/6041/oj</w:t>
        </w:r>
      </w:hyperlink>
      <w:r>
        <w:rPr>
          <w:sz w:val="24"/>
          <w:lang w:val="lv-LV"/>
        </w:rPr>
        <w:t>.</w:t>
      </w:r>
    </w:p>
  </w:footnote>
  <w:footnote w:id="99">
    <w:p w14:paraId="2A0D1560"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99" w:history="1">
        <w:r>
          <w:rPr>
            <w:rStyle w:val="Hyperlink1"/>
            <w:sz w:val="24"/>
            <w:lang w:val="lv-LV"/>
          </w:rPr>
          <w:t>http://data.europa.eu/eli/reg/2018/1046/oj</w:t>
        </w:r>
      </w:hyperlink>
      <w:r>
        <w:rPr>
          <w:sz w:val="24"/>
          <w:lang w:val="lv-LV"/>
        </w:rPr>
        <w:t>.</w:t>
      </w:r>
    </w:p>
  </w:footnote>
  <w:footnote w:id="100">
    <w:p w14:paraId="52F9CC8E"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00" w:tgtFrame="_blank" w:history="1">
        <w:r>
          <w:rPr>
            <w:rStyle w:val="Hyperlink1"/>
            <w:sz w:val="24"/>
            <w:shd w:val="clear" w:color="auto" w:fill="FFFFFF"/>
            <w:lang w:val="lv-LV"/>
          </w:rPr>
          <w:t>http://data.europa.eu/eli/reg/2024/2509/oj</w:t>
        </w:r>
      </w:hyperlink>
      <w:r>
        <w:rPr>
          <w:sz w:val="24"/>
          <w:lang w:val="lv-LV"/>
        </w:rPr>
        <w:t>.</w:t>
      </w:r>
    </w:p>
  </w:footnote>
  <w:footnote w:id="101">
    <w:p w14:paraId="542944C4"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01" w:history="1">
        <w:r>
          <w:rPr>
            <w:rStyle w:val="Hyperlink1"/>
            <w:sz w:val="24"/>
            <w:lang w:val="lv-LV"/>
          </w:rPr>
          <w:t>http://data.europa.eu/eli/reg/2021/2085/oj</w:t>
        </w:r>
      </w:hyperlink>
      <w:r>
        <w:rPr>
          <w:sz w:val="24"/>
          <w:lang w:val="lv-LV"/>
        </w:rPr>
        <w:t>.</w:t>
      </w:r>
    </w:p>
  </w:footnote>
  <w:footnote w:id="102">
    <w:p w14:paraId="4E400398" w14:textId="77777777" w:rsidR="00A74B93" w:rsidRPr="00A74B93" w:rsidRDefault="00A74B93" w:rsidP="00A74B93">
      <w:pPr>
        <w:pStyle w:val="FootnoteText"/>
        <w:ind w:left="567" w:hanging="567"/>
        <w:rPr>
          <w:sz w:val="24"/>
          <w:lang w:val="fi-FI"/>
        </w:rPr>
      </w:pPr>
      <w:r>
        <w:rPr>
          <w:rStyle w:val="FootnoteReference"/>
          <w:sz w:val="24"/>
        </w:rPr>
        <w:footnoteRef/>
      </w:r>
      <w:r w:rsidRPr="00A74B93">
        <w:rPr>
          <w:sz w:val="24"/>
          <w:lang w:val="fi-FI"/>
        </w:rPr>
        <w:t xml:space="preserve"> </w:t>
      </w:r>
      <w:r w:rsidRPr="00A74B93">
        <w:rPr>
          <w:sz w:val="24"/>
          <w:lang w:val="fi-FI"/>
        </w:rPr>
        <w:tab/>
        <w:t>OV L 229, 18.9.2023., 55. </w:t>
      </w:r>
      <w:proofErr w:type="spellStart"/>
      <w:r w:rsidRPr="00A74B93">
        <w:rPr>
          <w:sz w:val="24"/>
          <w:lang w:val="fi-FI"/>
        </w:rPr>
        <w:t>lpp</w:t>
      </w:r>
      <w:proofErr w:type="spellEnd"/>
      <w:r w:rsidRPr="00A74B93">
        <w:rPr>
          <w:sz w:val="24"/>
          <w:lang w:val="fi-FI"/>
        </w:rPr>
        <w:t xml:space="preserve">., ELI: </w:t>
      </w:r>
      <w:hyperlink r:id="rId102" w:history="1">
        <w:r w:rsidRPr="00A74B93">
          <w:rPr>
            <w:rStyle w:val="Hyperlink"/>
            <w:sz w:val="24"/>
            <w:lang w:val="fi-FI"/>
          </w:rPr>
          <w:t>http://data.europa.eu/eli/reg/2023/1782/oj</w:t>
        </w:r>
      </w:hyperlink>
      <w:r w:rsidRPr="00A74B93">
        <w:rPr>
          <w:sz w:val="24"/>
          <w:lang w:val="fi-FI"/>
        </w:rPr>
        <w:t xml:space="preserve">. </w:t>
      </w:r>
    </w:p>
  </w:footnote>
  <w:footnote w:id="103">
    <w:p w14:paraId="08D6C9BF"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03" w:history="1">
        <w:r>
          <w:rPr>
            <w:rStyle w:val="Hyperlink1"/>
            <w:sz w:val="24"/>
            <w:lang w:val="lv-LV"/>
          </w:rPr>
          <w:t>http://data.europa.eu/eli/reg_del/2019/887/oj</w:t>
        </w:r>
      </w:hyperlink>
      <w:r>
        <w:rPr>
          <w:sz w:val="24"/>
          <w:lang w:val="lv-LV"/>
        </w:rPr>
        <w:t>.</w:t>
      </w:r>
    </w:p>
  </w:footnote>
  <w:footnote w:id="104">
    <w:p w14:paraId="33064A9A"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04" w:history="1">
        <w:r>
          <w:rPr>
            <w:rStyle w:val="Hyperlink1"/>
            <w:sz w:val="24"/>
            <w:lang w:val="lv-LV"/>
          </w:rPr>
          <w:t>http://data.europa.eu/eli/C/2024/6841/oj</w:t>
        </w:r>
      </w:hyperlink>
      <w:r>
        <w:rPr>
          <w:sz w:val="24"/>
          <w:lang w:val="lv-LV"/>
        </w:rPr>
        <w:t>.</w:t>
      </w:r>
    </w:p>
  </w:footnote>
  <w:footnote w:id="105">
    <w:p w14:paraId="1368C1DA"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05" w:history="1">
        <w:r>
          <w:rPr>
            <w:rStyle w:val="Hyperlink1"/>
            <w:sz w:val="24"/>
            <w:lang w:val="lv-LV"/>
          </w:rPr>
          <w:t>http://data.europa.eu/eli/C/2024/6041/oj</w:t>
        </w:r>
      </w:hyperlink>
      <w:r>
        <w:rPr>
          <w:sz w:val="24"/>
          <w:lang w:val="lv-LV"/>
        </w:rPr>
        <w:t>.</w:t>
      </w:r>
    </w:p>
  </w:footnote>
  <w:footnote w:id="106">
    <w:p w14:paraId="34E17BBF"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06" w:history="1">
        <w:r>
          <w:rPr>
            <w:rStyle w:val="Hyperlink1"/>
            <w:sz w:val="24"/>
            <w:lang w:val="lv-LV"/>
          </w:rPr>
          <w:t>http://data.europa.eu/eli/reg/2018/1046/oj</w:t>
        </w:r>
      </w:hyperlink>
      <w:r>
        <w:rPr>
          <w:sz w:val="24"/>
          <w:lang w:val="lv-LV"/>
        </w:rPr>
        <w:t>.</w:t>
      </w:r>
    </w:p>
  </w:footnote>
  <w:footnote w:id="107">
    <w:p w14:paraId="49552707"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07" w:tgtFrame="_blank" w:history="1">
        <w:r>
          <w:rPr>
            <w:rStyle w:val="Hyperlink1"/>
            <w:sz w:val="24"/>
            <w:shd w:val="clear" w:color="auto" w:fill="FFFFFF"/>
            <w:lang w:val="lv-LV"/>
          </w:rPr>
          <w:t>http://data.europa.eu/eli/reg/2024/2509/oj</w:t>
        </w:r>
      </w:hyperlink>
      <w:r>
        <w:rPr>
          <w:sz w:val="24"/>
          <w:lang w:val="lv-LV"/>
        </w:rPr>
        <w:t>.</w:t>
      </w:r>
    </w:p>
  </w:footnote>
  <w:footnote w:id="108">
    <w:p w14:paraId="62C70CCF"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08" w:history="1">
        <w:r>
          <w:rPr>
            <w:rStyle w:val="Hyperlink1"/>
            <w:sz w:val="24"/>
            <w:lang w:val="lv-LV"/>
          </w:rPr>
          <w:t>http://data.europa.eu/eli/reg/2021/2085/oj</w:t>
        </w:r>
      </w:hyperlink>
      <w:r>
        <w:rPr>
          <w:sz w:val="24"/>
          <w:lang w:val="lv-LV"/>
        </w:rPr>
        <w:t>.</w:t>
      </w:r>
    </w:p>
  </w:footnote>
  <w:footnote w:id="109">
    <w:p w14:paraId="0943562A" w14:textId="77777777" w:rsidR="00A74B93" w:rsidRDefault="00A74B93" w:rsidP="00A74B93">
      <w:pPr>
        <w:pStyle w:val="FootnoteText"/>
        <w:ind w:left="567" w:hanging="567"/>
        <w:rPr>
          <w:sz w:val="24"/>
          <w:lang w:val="lv-LV"/>
        </w:rPr>
      </w:pPr>
      <w:r>
        <w:rPr>
          <w:rStyle w:val="FootnoteReference"/>
          <w:sz w:val="24"/>
        </w:rPr>
        <w:footnoteRef/>
      </w:r>
      <w:r>
        <w:rPr>
          <w:sz w:val="24"/>
          <w:lang w:val="lv-LV"/>
        </w:rPr>
        <w:t xml:space="preserve"> </w:t>
      </w:r>
      <w:r>
        <w:rPr>
          <w:sz w:val="24"/>
          <w:lang w:val="lv-LV"/>
        </w:rPr>
        <w:tab/>
      </w:r>
      <w:r>
        <w:rPr>
          <w:sz w:val="24"/>
          <w:lang w:val="lv-LV"/>
        </w:rPr>
        <w:t xml:space="preserve">OV L 229, 18.9.2023., 55. lpp., ELI: </w:t>
      </w:r>
      <w:hyperlink r:id="rId109" w:history="1">
        <w:r>
          <w:rPr>
            <w:rStyle w:val="Hyperlink"/>
            <w:sz w:val="24"/>
            <w:lang w:val="lv-LV"/>
          </w:rPr>
          <w:t>http://data.europa.eu/eli/reg/2023/1782/oj</w:t>
        </w:r>
      </w:hyperlink>
      <w:r>
        <w:rPr>
          <w:sz w:val="24"/>
          <w:lang w:val="lv-LV"/>
        </w:rPr>
        <w:t xml:space="preserve">. </w:t>
      </w:r>
    </w:p>
  </w:footnote>
  <w:footnote w:id="110">
    <w:p w14:paraId="774D517C" w14:textId="77777777" w:rsidR="00A74B93" w:rsidRDefault="00A74B93" w:rsidP="00A74B93">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10" w:history="1">
        <w:r>
          <w:rPr>
            <w:rStyle w:val="Hyperlink1"/>
            <w:sz w:val="24"/>
            <w:lang w:val="lv-LV"/>
          </w:rPr>
          <w:t>http://data.europa.eu/eli/reg_del/2019/887/oj</w:t>
        </w:r>
      </w:hyperlink>
      <w:r>
        <w:rPr>
          <w:sz w:val="24"/>
          <w:lang w:val="lv-LV"/>
        </w:rPr>
        <w:t>.</w:t>
      </w:r>
    </w:p>
  </w:footnote>
  <w:footnote w:id="111">
    <w:p w14:paraId="6C3C062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11" w:history="1">
        <w:r>
          <w:rPr>
            <w:rStyle w:val="Hyperlink1"/>
            <w:sz w:val="24"/>
            <w:lang w:val="lv-LV"/>
          </w:rPr>
          <w:t>http://data.europa.eu/eli/C/2024/6841/oj</w:t>
        </w:r>
      </w:hyperlink>
      <w:r>
        <w:rPr>
          <w:sz w:val="24"/>
          <w:lang w:val="lv-LV"/>
        </w:rPr>
        <w:t>.</w:t>
      </w:r>
    </w:p>
  </w:footnote>
  <w:footnote w:id="112">
    <w:p w14:paraId="55C49C4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12" w:history="1">
        <w:r>
          <w:rPr>
            <w:rStyle w:val="Hyperlink1"/>
            <w:sz w:val="24"/>
            <w:lang w:val="lv-LV"/>
          </w:rPr>
          <w:t>http://data.europa.eu/eli/C/2024/6041/oj</w:t>
        </w:r>
      </w:hyperlink>
      <w:r>
        <w:rPr>
          <w:sz w:val="24"/>
          <w:lang w:val="lv-LV"/>
        </w:rPr>
        <w:t>.</w:t>
      </w:r>
    </w:p>
  </w:footnote>
  <w:footnote w:id="113">
    <w:p w14:paraId="72ABF36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13" w:history="1">
        <w:r>
          <w:rPr>
            <w:rStyle w:val="Hyperlink1"/>
            <w:sz w:val="24"/>
            <w:lang w:val="lv-LV"/>
          </w:rPr>
          <w:t>http://data.europa.eu/eli/reg/2018/1046/oj</w:t>
        </w:r>
      </w:hyperlink>
      <w:r>
        <w:rPr>
          <w:sz w:val="24"/>
          <w:lang w:val="lv-LV"/>
        </w:rPr>
        <w:t>.</w:t>
      </w:r>
    </w:p>
  </w:footnote>
  <w:footnote w:id="114">
    <w:p w14:paraId="49A4DB2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14" w:tgtFrame="_blank" w:history="1">
        <w:r>
          <w:rPr>
            <w:rStyle w:val="Hyperlink1"/>
            <w:sz w:val="24"/>
            <w:shd w:val="clear" w:color="auto" w:fill="FFFFFF"/>
            <w:lang w:val="lv-LV"/>
          </w:rPr>
          <w:t>http://data.europa.eu/eli/reg/2024/2509/oj</w:t>
        </w:r>
      </w:hyperlink>
      <w:r>
        <w:rPr>
          <w:sz w:val="24"/>
          <w:lang w:val="lv-LV"/>
        </w:rPr>
        <w:t>.</w:t>
      </w:r>
    </w:p>
  </w:footnote>
  <w:footnote w:id="115">
    <w:p w14:paraId="54785E6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15" w:history="1">
        <w:r>
          <w:rPr>
            <w:rStyle w:val="Hyperlink1"/>
            <w:sz w:val="24"/>
            <w:lang w:val="lv-LV"/>
          </w:rPr>
          <w:t>http://data.europa.eu/eli/reg/2021/2085/oj</w:t>
        </w:r>
      </w:hyperlink>
      <w:r>
        <w:rPr>
          <w:sz w:val="24"/>
          <w:lang w:val="lv-LV"/>
        </w:rPr>
        <w:t>.</w:t>
      </w:r>
    </w:p>
  </w:footnote>
  <w:footnote w:id="116">
    <w:p w14:paraId="28C988B4"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16" w:history="1">
        <w:r>
          <w:rPr>
            <w:rStyle w:val="Hyperlink1"/>
            <w:sz w:val="24"/>
            <w:lang w:val="lv-LV"/>
          </w:rPr>
          <w:t>http://data.europa.eu/eli/reg_del/2019/887/oj</w:t>
        </w:r>
      </w:hyperlink>
      <w:r>
        <w:rPr>
          <w:sz w:val="24"/>
          <w:lang w:val="lv-LV"/>
        </w:rPr>
        <w:t>.</w:t>
      </w:r>
    </w:p>
  </w:footnote>
  <w:footnote w:id="117">
    <w:p w14:paraId="568E3695"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17" w:history="1">
        <w:r>
          <w:rPr>
            <w:rStyle w:val="Hyperlink1"/>
            <w:sz w:val="24"/>
            <w:lang w:val="lv-LV"/>
          </w:rPr>
          <w:t>http://data.europa.eu/eli/C/2024/6841/oj</w:t>
        </w:r>
      </w:hyperlink>
      <w:r>
        <w:rPr>
          <w:sz w:val="24"/>
          <w:lang w:val="lv-LV"/>
        </w:rPr>
        <w:t>.</w:t>
      </w:r>
    </w:p>
  </w:footnote>
  <w:footnote w:id="118">
    <w:p w14:paraId="28D0E020"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18" w:history="1">
        <w:r>
          <w:rPr>
            <w:rStyle w:val="Hyperlink1"/>
            <w:sz w:val="24"/>
            <w:lang w:val="lv-LV"/>
          </w:rPr>
          <w:t>http://data.europa.eu/eli/C/2024/6041/oj</w:t>
        </w:r>
      </w:hyperlink>
      <w:r>
        <w:rPr>
          <w:sz w:val="24"/>
          <w:lang w:val="lv-LV"/>
        </w:rPr>
        <w:t>.</w:t>
      </w:r>
    </w:p>
  </w:footnote>
  <w:footnote w:id="119">
    <w:p w14:paraId="7032F7F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19" w:history="1">
        <w:r>
          <w:rPr>
            <w:rStyle w:val="Hyperlink1"/>
            <w:sz w:val="24"/>
            <w:lang w:val="lv-LV"/>
          </w:rPr>
          <w:t>http://data.europa.eu/eli/reg/2018/1046/oj</w:t>
        </w:r>
      </w:hyperlink>
      <w:r>
        <w:rPr>
          <w:sz w:val="24"/>
          <w:lang w:val="lv-LV"/>
        </w:rPr>
        <w:t>.</w:t>
      </w:r>
    </w:p>
  </w:footnote>
  <w:footnote w:id="120">
    <w:p w14:paraId="6E600F2E"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20" w:tgtFrame="_blank" w:history="1">
        <w:r>
          <w:rPr>
            <w:rStyle w:val="Hyperlink1"/>
            <w:sz w:val="24"/>
            <w:shd w:val="clear" w:color="auto" w:fill="FFFFFF"/>
            <w:lang w:val="lv-LV"/>
          </w:rPr>
          <w:t>http://data.europa.eu/eli/reg/2024/2509/oj</w:t>
        </w:r>
      </w:hyperlink>
      <w:r>
        <w:rPr>
          <w:sz w:val="24"/>
          <w:lang w:val="lv-LV"/>
        </w:rPr>
        <w:t>.</w:t>
      </w:r>
    </w:p>
  </w:footnote>
  <w:footnote w:id="121">
    <w:p w14:paraId="76333E23"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21" w:history="1">
        <w:r>
          <w:rPr>
            <w:rStyle w:val="Hyperlink1"/>
            <w:sz w:val="24"/>
            <w:lang w:val="lv-LV"/>
          </w:rPr>
          <w:t>http://data.europa.eu/eli/reg/2021/2085/oj</w:t>
        </w:r>
      </w:hyperlink>
      <w:r>
        <w:rPr>
          <w:sz w:val="24"/>
          <w:lang w:val="lv-LV"/>
        </w:rPr>
        <w:t>.</w:t>
      </w:r>
    </w:p>
  </w:footnote>
  <w:footnote w:id="122">
    <w:p w14:paraId="26E3AA3F"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22" w:history="1">
        <w:r>
          <w:rPr>
            <w:rStyle w:val="Hyperlink1"/>
            <w:sz w:val="24"/>
            <w:lang w:val="lv-LV"/>
          </w:rPr>
          <w:t>http://data.europa.eu/eli/reg_del/2019/887/oj</w:t>
        </w:r>
      </w:hyperlink>
      <w:r>
        <w:rPr>
          <w:sz w:val="24"/>
          <w:lang w:val="lv-LV"/>
        </w:rPr>
        <w:t>.</w:t>
      </w:r>
    </w:p>
  </w:footnote>
  <w:footnote w:id="123">
    <w:p w14:paraId="0706EB29"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23" w:history="1">
        <w:r>
          <w:rPr>
            <w:rStyle w:val="Hyperlink1"/>
            <w:sz w:val="24"/>
            <w:lang w:val="lv-LV"/>
          </w:rPr>
          <w:t>http://data.europa.eu/eli/C/2024/6841/oj</w:t>
        </w:r>
      </w:hyperlink>
      <w:r>
        <w:rPr>
          <w:sz w:val="24"/>
          <w:lang w:val="lv-LV"/>
        </w:rPr>
        <w:t>.</w:t>
      </w:r>
    </w:p>
  </w:footnote>
  <w:footnote w:id="124">
    <w:p w14:paraId="2F78472E"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24" w:history="1">
        <w:r>
          <w:rPr>
            <w:rStyle w:val="Hyperlink1"/>
            <w:sz w:val="24"/>
            <w:lang w:val="lv-LV"/>
          </w:rPr>
          <w:t>http://data.europa.eu/eli/C/2024/6041/oj</w:t>
        </w:r>
      </w:hyperlink>
      <w:r>
        <w:rPr>
          <w:sz w:val="24"/>
          <w:lang w:val="lv-LV"/>
        </w:rPr>
        <w:t>.</w:t>
      </w:r>
    </w:p>
  </w:footnote>
  <w:footnote w:id="125">
    <w:p w14:paraId="344F8DE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25" w:history="1">
        <w:r>
          <w:rPr>
            <w:rStyle w:val="Hyperlink1"/>
            <w:sz w:val="24"/>
            <w:lang w:val="lv-LV"/>
          </w:rPr>
          <w:t>http://data.europa.eu/eli/reg/2018/1046/oj</w:t>
        </w:r>
      </w:hyperlink>
      <w:r>
        <w:rPr>
          <w:sz w:val="24"/>
          <w:lang w:val="lv-LV"/>
        </w:rPr>
        <w:t>.</w:t>
      </w:r>
    </w:p>
  </w:footnote>
  <w:footnote w:id="126">
    <w:p w14:paraId="6B037064"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26" w:tgtFrame="_blank" w:history="1">
        <w:r>
          <w:rPr>
            <w:rStyle w:val="Hyperlink1"/>
            <w:sz w:val="24"/>
            <w:shd w:val="clear" w:color="auto" w:fill="FFFFFF"/>
            <w:lang w:val="lv-LV"/>
          </w:rPr>
          <w:t>http://data.europa.eu/eli/reg/2024/2509/oj</w:t>
        </w:r>
      </w:hyperlink>
      <w:r>
        <w:rPr>
          <w:sz w:val="24"/>
          <w:lang w:val="lv-LV"/>
        </w:rPr>
        <w:t>.</w:t>
      </w:r>
    </w:p>
  </w:footnote>
  <w:footnote w:id="127">
    <w:p w14:paraId="7DFBA33C"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27" w:history="1">
        <w:r>
          <w:rPr>
            <w:rStyle w:val="Hyperlink1"/>
            <w:sz w:val="24"/>
            <w:lang w:val="lv-LV"/>
          </w:rPr>
          <w:t>http://data.europa.eu/eli/reg/2021/2085/oj</w:t>
        </w:r>
      </w:hyperlink>
      <w:r>
        <w:rPr>
          <w:sz w:val="24"/>
          <w:lang w:val="lv-LV"/>
        </w:rPr>
        <w:t>.</w:t>
      </w:r>
    </w:p>
  </w:footnote>
  <w:footnote w:id="128">
    <w:p w14:paraId="39B23F3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28" w:history="1">
        <w:r>
          <w:rPr>
            <w:rStyle w:val="Hyperlink1"/>
            <w:sz w:val="24"/>
            <w:lang w:val="lv-LV"/>
          </w:rPr>
          <w:t>http://data.europa.eu/eli/reg_del/2019/887/oj</w:t>
        </w:r>
      </w:hyperlink>
      <w:r>
        <w:rPr>
          <w:sz w:val="24"/>
          <w:lang w:val="lv-LV"/>
        </w:rPr>
        <w:t>.</w:t>
      </w:r>
    </w:p>
  </w:footnote>
  <w:footnote w:id="129">
    <w:p w14:paraId="062F012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C/2024/6841, 13.11.2024., ELI: </w:t>
      </w:r>
      <w:hyperlink r:id="rId129" w:history="1">
        <w:r>
          <w:rPr>
            <w:rStyle w:val="Hyperlink1"/>
            <w:sz w:val="24"/>
            <w:lang w:val="lv-LV"/>
          </w:rPr>
          <w:t>http://data.europa.eu/eli/C/2024/6841/oj</w:t>
        </w:r>
      </w:hyperlink>
      <w:r>
        <w:rPr>
          <w:sz w:val="24"/>
          <w:lang w:val="lv-LV"/>
        </w:rPr>
        <w:t>.</w:t>
      </w:r>
    </w:p>
  </w:footnote>
  <w:footnote w:id="130">
    <w:p w14:paraId="544C4AE0"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130" w:history="1">
        <w:r>
          <w:rPr>
            <w:rStyle w:val="Hyperlink1"/>
            <w:sz w:val="24"/>
            <w:lang w:val="lv-LV"/>
          </w:rPr>
          <w:t>http://data.europa.eu/eli/C/2024/6041/oj</w:t>
        </w:r>
      </w:hyperlink>
      <w:r>
        <w:rPr>
          <w:sz w:val="24"/>
          <w:lang w:val="lv-LV"/>
        </w:rPr>
        <w:t>.</w:t>
      </w:r>
    </w:p>
  </w:footnote>
  <w:footnote w:id="131">
    <w:p w14:paraId="0DE14A12"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131" w:history="1">
        <w:r>
          <w:rPr>
            <w:rStyle w:val="Hyperlink1"/>
            <w:sz w:val="24"/>
            <w:lang w:val="lv-LV"/>
          </w:rPr>
          <w:t>http://data.europa.eu/eli/reg/2018/1046/oj</w:t>
        </w:r>
      </w:hyperlink>
      <w:r>
        <w:rPr>
          <w:sz w:val="24"/>
          <w:lang w:val="lv-LV"/>
        </w:rPr>
        <w:t>.</w:t>
      </w:r>
    </w:p>
  </w:footnote>
  <w:footnote w:id="132">
    <w:p w14:paraId="16E34E1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132" w:tgtFrame="_blank" w:history="1">
        <w:r>
          <w:rPr>
            <w:rStyle w:val="Hyperlink1"/>
            <w:sz w:val="24"/>
            <w:shd w:val="clear" w:color="auto" w:fill="FFFFFF"/>
            <w:lang w:val="lv-LV"/>
          </w:rPr>
          <w:t>http://data.europa.eu/eli/reg/2024/2509/oj</w:t>
        </w:r>
      </w:hyperlink>
      <w:r>
        <w:rPr>
          <w:sz w:val="24"/>
          <w:lang w:val="lv-LV"/>
        </w:rPr>
        <w:t>.</w:t>
      </w:r>
    </w:p>
  </w:footnote>
  <w:footnote w:id="133">
    <w:p w14:paraId="293768A7"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427, 30.11.2021., 17. lpp., ELI: </w:t>
      </w:r>
      <w:hyperlink r:id="rId133" w:history="1">
        <w:r>
          <w:rPr>
            <w:rStyle w:val="Hyperlink1"/>
            <w:sz w:val="24"/>
            <w:lang w:val="lv-LV"/>
          </w:rPr>
          <w:t>http://data.europa.eu/eli/reg/2021/2085/oj</w:t>
        </w:r>
      </w:hyperlink>
      <w:r>
        <w:rPr>
          <w:sz w:val="24"/>
          <w:lang w:val="lv-LV"/>
        </w:rPr>
        <w:t>.</w:t>
      </w:r>
    </w:p>
  </w:footnote>
  <w:footnote w:id="134">
    <w:p w14:paraId="4DB68D28"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142, 29.5.2019., 16. lpp., ELI: </w:t>
      </w:r>
      <w:hyperlink r:id="rId134" w:history="1">
        <w:r>
          <w:rPr>
            <w:rStyle w:val="Hyperlink1"/>
            <w:sz w:val="24"/>
            <w:lang w:val="lv-LV"/>
          </w:rPr>
          <w:t>http://data.europa.eu/eli/reg_del/2019/887/oj</w:t>
        </w:r>
      </w:hyperlink>
      <w:r>
        <w:rPr>
          <w:sz w:val="24"/>
          <w:lang w:val="lv-LV"/>
        </w:rPr>
        <w:t>.</w:t>
      </w:r>
    </w:p>
  </w:footnote>
  <w:footnote w:id="135">
    <w:p w14:paraId="6F52241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 xml:space="preserve">Padomes Regula (ES) 2021/2085 (2021. gada 19. novembris), ar ko izveido kopuzņēmumus pamatprogrammā “Apvārsnis Eiropa” un atceļ Regulas (EK) Nr. 219/2007, (ES) Nr. 557/2014, (ES) Nr. 558/2014, (ES) Nr. 559/2014, (ES) Nr. 560/2014, (ES) Nr. 561/2014 un (ES) Nr. 642/2014 (OV L 427, 30.11.2021., 17. lpp., ELI: </w:t>
      </w:r>
      <w:hyperlink r:id="rId135" w:history="1">
        <w:r>
          <w:rPr>
            <w:rStyle w:val="Hyperlink1"/>
            <w:sz w:val="24"/>
            <w:lang w:val="lv-LV"/>
          </w:rPr>
          <w:t>http://data.europa.eu/eli/reg/2021/2085/oj</w:t>
        </w:r>
      </w:hyperlink>
      <w:r>
        <w:rPr>
          <w:sz w:val="24"/>
          <w:lang w:val="lv-LV"/>
        </w:rPr>
        <w:t>).</w:t>
      </w:r>
    </w:p>
  </w:footnote>
  <w:footnote w:id="136">
    <w:p w14:paraId="3D3FDADA"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 xml:space="preserve">Padomes Regula (ES) 2023/1782 (2023. gada 25. jūlijs), ar kuru groza Regulu (ES) 2021/2085, ar ko izveido kopuzņēmumus pamatprogrammā “Apvārsnis Eiropa”, attiecībā uz kopuzņēmumu “Mikroshēmas” (OV L 229, 18.9.2023., 55. lpp., ELI: </w:t>
      </w:r>
      <w:hyperlink r:id="rId136" w:history="1">
        <w:r>
          <w:rPr>
            <w:rStyle w:val="Hyperlink1"/>
            <w:sz w:val="24"/>
            <w:lang w:val="lv-LV"/>
          </w:rPr>
          <w:t>http://data.europa.eu/eli/reg/2023/1782/oj</w:t>
        </w:r>
      </w:hyperlink>
      <w:r>
        <w:rPr>
          <w:sz w:val="24"/>
          <w:lang w:val="lv-LV"/>
        </w:rPr>
        <w:t>).</w:t>
      </w:r>
    </w:p>
  </w:footnote>
  <w:footnote w:id="137">
    <w:p w14:paraId="55BBBC21"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 xml:space="preserve">Padomes Lēmums 2007/198/Euratom (2007. gada 27. marts), ar ko izveido Eiropas Kopuzņēmumu </w:t>
      </w:r>
      <w:r>
        <w:rPr>
          <w:i/>
          <w:iCs/>
          <w:sz w:val="24"/>
          <w:lang w:val="lv-LV"/>
        </w:rPr>
        <w:t>ITER</w:t>
      </w:r>
      <w:r>
        <w:rPr>
          <w:sz w:val="24"/>
          <w:lang w:val="lv-LV"/>
        </w:rPr>
        <w:t xml:space="preserve"> un kodolsintēzes enerģētikas attīstības vajadzībām un piešķir tam priekšrocības (OV L 90, 30.3.2007., 58. lpp., ELI: </w:t>
      </w:r>
      <w:hyperlink r:id="rId137" w:history="1">
        <w:r>
          <w:rPr>
            <w:rStyle w:val="Hyperlink1"/>
            <w:sz w:val="24"/>
            <w:lang w:val="lv-LV"/>
          </w:rPr>
          <w:t>http://data.europa.eu/eli/dec/2007/198/oj</w:t>
        </w:r>
      </w:hyperlink>
      <w:r>
        <w:rPr>
          <w:sz w:val="24"/>
          <w:lang w:val="lv-LV"/>
        </w:rPr>
        <w:t>).</w:t>
      </w:r>
    </w:p>
  </w:footnote>
  <w:footnote w:id="138">
    <w:p w14:paraId="1E2D1D26" w14:textId="77777777" w:rsidR="00A74B93" w:rsidRDefault="00A74B93" w:rsidP="00A74B93">
      <w:pPr>
        <w:pStyle w:val="FootnoteText"/>
        <w:ind w:left="567" w:hanging="567"/>
        <w:rPr>
          <w:sz w:val="24"/>
          <w:szCs w:val="24"/>
          <w:lang w:val="lv-LV"/>
        </w:rPr>
      </w:pPr>
      <w:r>
        <w:rPr>
          <w:rStyle w:val="FootnoteReference"/>
          <w:sz w:val="24"/>
          <w:lang w:val="lv-LV"/>
        </w:rPr>
        <w:footnoteRef/>
      </w:r>
      <w:r>
        <w:rPr>
          <w:sz w:val="24"/>
          <w:lang w:val="lv-LV"/>
        </w:rPr>
        <w:tab/>
      </w:r>
      <w:r>
        <w:rPr>
          <w:sz w:val="24"/>
          <w:lang w:val="lv-LV"/>
        </w:rPr>
        <w:t xml:space="preserve">Padomes Regula (ES) 2021/1173 (2021. gada 13. jūlijs) par Eiropas Augstas veiktspējas </w:t>
      </w:r>
      <w:proofErr w:type="spellStart"/>
      <w:r>
        <w:rPr>
          <w:sz w:val="24"/>
          <w:lang w:val="lv-LV"/>
        </w:rPr>
        <w:t>datošanas</w:t>
      </w:r>
      <w:proofErr w:type="spellEnd"/>
      <w:r>
        <w:rPr>
          <w:sz w:val="24"/>
          <w:lang w:val="lv-LV"/>
        </w:rPr>
        <w:t xml:space="preserve"> kopuzņēmuma izveidi un ar ko atceļ Regulu (ES) 2018/1488 (OV L 256, 19.7.2021., 3. lpp., ELI: </w:t>
      </w:r>
      <w:hyperlink r:id="rId138" w:history="1">
        <w:r>
          <w:rPr>
            <w:rStyle w:val="Hyperlink1"/>
            <w:sz w:val="24"/>
            <w:lang w:val="lv-LV"/>
          </w:rPr>
          <w:t>http://data.europa.eu/eli/reg/2021/1173/oj</w:t>
        </w:r>
      </w:hyperlink>
      <w:r>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EE4E" w14:textId="77777777" w:rsidR="00EB109D" w:rsidRPr="006456BC" w:rsidRDefault="00EB10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7C6B" w14:textId="77777777" w:rsidR="00EB109D" w:rsidRPr="006456BC" w:rsidRDefault="00EB10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0986A" w14:textId="77777777" w:rsidR="00EB109D" w:rsidRPr="006456BC" w:rsidRDefault="00EB10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010330767">
    <w:abstractNumId w:val="9"/>
  </w:num>
  <w:num w:numId="2" w16cid:durableId="152914119">
    <w:abstractNumId w:val="9"/>
  </w:num>
  <w:num w:numId="3" w16cid:durableId="15423007">
    <w:abstractNumId w:val="7"/>
  </w:num>
  <w:num w:numId="4" w16cid:durableId="2101247787">
    <w:abstractNumId w:val="7"/>
  </w:num>
  <w:num w:numId="5" w16cid:durableId="2095470741">
    <w:abstractNumId w:val="6"/>
  </w:num>
  <w:num w:numId="6" w16cid:durableId="798845241">
    <w:abstractNumId w:val="6"/>
  </w:num>
  <w:num w:numId="7" w16cid:durableId="899095118">
    <w:abstractNumId w:val="5"/>
  </w:num>
  <w:num w:numId="8" w16cid:durableId="291912593">
    <w:abstractNumId w:val="5"/>
  </w:num>
  <w:num w:numId="9" w16cid:durableId="1106388550">
    <w:abstractNumId w:val="4"/>
  </w:num>
  <w:num w:numId="10" w16cid:durableId="943611615">
    <w:abstractNumId w:val="4"/>
  </w:num>
  <w:num w:numId="11" w16cid:durableId="247731549">
    <w:abstractNumId w:val="8"/>
  </w:num>
  <w:num w:numId="12" w16cid:durableId="1198658161">
    <w:abstractNumId w:val="8"/>
  </w:num>
  <w:num w:numId="13" w16cid:durableId="1717391098">
    <w:abstractNumId w:val="3"/>
  </w:num>
  <w:num w:numId="14" w16cid:durableId="814955462">
    <w:abstractNumId w:val="3"/>
  </w:num>
  <w:num w:numId="15" w16cid:durableId="1330910826">
    <w:abstractNumId w:val="2"/>
  </w:num>
  <w:num w:numId="16" w16cid:durableId="987366514">
    <w:abstractNumId w:val="2"/>
  </w:num>
  <w:num w:numId="17" w16cid:durableId="396168987">
    <w:abstractNumId w:val="1"/>
  </w:num>
  <w:num w:numId="18" w16cid:durableId="228537703">
    <w:abstractNumId w:val="1"/>
  </w:num>
  <w:num w:numId="19" w16cid:durableId="372459887">
    <w:abstractNumId w:val="0"/>
  </w:num>
  <w:num w:numId="20" w16cid:durableId="583537647">
    <w:abstractNumId w:val="0"/>
  </w:num>
  <w:num w:numId="21" w16cid:durableId="1575159346">
    <w:abstractNumId w:val="9"/>
  </w:num>
  <w:num w:numId="22" w16cid:durableId="1486628681">
    <w:abstractNumId w:val="7"/>
  </w:num>
  <w:num w:numId="23" w16cid:durableId="231933308">
    <w:abstractNumId w:val="6"/>
  </w:num>
  <w:num w:numId="24" w16cid:durableId="458188849">
    <w:abstractNumId w:val="5"/>
  </w:num>
  <w:num w:numId="25" w16cid:durableId="1346984361">
    <w:abstractNumId w:val="4"/>
  </w:num>
  <w:num w:numId="26" w16cid:durableId="1004161012">
    <w:abstractNumId w:val="8"/>
  </w:num>
  <w:num w:numId="27" w16cid:durableId="138226782">
    <w:abstractNumId w:val="3"/>
  </w:num>
  <w:num w:numId="28" w16cid:durableId="1973056090">
    <w:abstractNumId w:val="2"/>
  </w:num>
  <w:num w:numId="29" w16cid:durableId="1316639409">
    <w:abstractNumId w:val="1"/>
  </w:num>
  <w:num w:numId="30" w16cid:durableId="384111523">
    <w:abstractNumId w:val="0"/>
  </w:num>
  <w:num w:numId="31" w16cid:durableId="175047481">
    <w:abstractNumId w:val="9"/>
  </w:num>
  <w:num w:numId="32" w16cid:durableId="1911040057">
    <w:abstractNumId w:val="7"/>
  </w:num>
  <w:num w:numId="33" w16cid:durableId="1283999896">
    <w:abstractNumId w:val="6"/>
  </w:num>
  <w:num w:numId="34" w16cid:durableId="554514595">
    <w:abstractNumId w:val="5"/>
  </w:num>
  <w:num w:numId="35" w16cid:durableId="784350044">
    <w:abstractNumId w:val="4"/>
  </w:num>
  <w:num w:numId="36" w16cid:durableId="1677920544">
    <w:abstractNumId w:val="8"/>
  </w:num>
  <w:num w:numId="37" w16cid:durableId="17706180">
    <w:abstractNumId w:val="3"/>
  </w:num>
  <w:num w:numId="38" w16cid:durableId="1900288343">
    <w:abstractNumId w:val="2"/>
  </w:num>
  <w:num w:numId="39" w16cid:durableId="1402606099">
    <w:abstractNumId w:val="1"/>
  </w:num>
  <w:num w:numId="40" w16cid:durableId="267009010">
    <w:abstractNumId w:val="0"/>
  </w:num>
  <w:num w:numId="41" w16cid:durableId="136648946">
    <w:abstractNumId w:val="10"/>
  </w:num>
  <w:num w:numId="42" w16cid:durableId="1439057289">
    <w:abstractNumId w:val="10"/>
  </w:num>
  <w:num w:numId="43" w16cid:durableId="1780023698">
    <w:abstractNumId w:val="10"/>
  </w:num>
  <w:num w:numId="44" w16cid:durableId="863638460">
    <w:abstractNumId w:val="12"/>
  </w:num>
  <w:num w:numId="45" w16cid:durableId="1199927011">
    <w:abstractNumId w:val="13"/>
  </w:num>
  <w:num w:numId="46" w16cid:durableId="596252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LV"/>
    <w:docVar w:name="dvnumam" w:val="0"/>
    <w:docVar w:name="dvpe" w:val="765.276"/>
    <w:docVar w:name="dvrapporteur" w:val="Referents: "/>
    <w:docVar w:name="dvstar" w:val="..."/>
    <w:docVar w:name="dvtitre" w:val="1. Eiropas Parlamenta 2025. gada XX. XXX lēmums par Eiropas Savienības kopuzņēmumu 2023. finanšu gada budžeta izpildes apstiprināšanu(2024/2031(DEC))"/>
  </w:docVars>
  <w:rsids>
    <w:rsidRoot w:val="00D967CB"/>
    <w:rsid w:val="00002272"/>
    <w:rsid w:val="00064002"/>
    <w:rsid w:val="000677B9"/>
    <w:rsid w:val="000831BA"/>
    <w:rsid w:val="000A42CC"/>
    <w:rsid w:val="000D7065"/>
    <w:rsid w:val="000E7DD9"/>
    <w:rsid w:val="0010095E"/>
    <w:rsid w:val="00125B37"/>
    <w:rsid w:val="00187494"/>
    <w:rsid w:val="001F32AE"/>
    <w:rsid w:val="002767FF"/>
    <w:rsid w:val="002B18FE"/>
    <w:rsid w:val="002B5493"/>
    <w:rsid w:val="002E27F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6B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82B"/>
    <w:rsid w:val="008C2AC6"/>
    <w:rsid w:val="008C7A35"/>
    <w:rsid w:val="00930C23"/>
    <w:rsid w:val="0093193B"/>
    <w:rsid w:val="009509D8"/>
    <w:rsid w:val="00950B64"/>
    <w:rsid w:val="00981893"/>
    <w:rsid w:val="00A1687D"/>
    <w:rsid w:val="00A43E52"/>
    <w:rsid w:val="00A4678D"/>
    <w:rsid w:val="00A74B93"/>
    <w:rsid w:val="00A778C7"/>
    <w:rsid w:val="00AB441E"/>
    <w:rsid w:val="00AB6293"/>
    <w:rsid w:val="00AE0928"/>
    <w:rsid w:val="00AF3B82"/>
    <w:rsid w:val="00B12E95"/>
    <w:rsid w:val="00B22876"/>
    <w:rsid w:val="00B558F0"/>
    <w:rsid w:val="00BD48FE"/>
    <w:rsid w:val="00BD7BD8"/>
    <w:rsid w:val="00BE61D0"/>
    <w:rsid w:val="00BE6ADC"/>
    <w:rsid w:val="00C05BFE"/>
    <w:rsid w:val="00C23CD4"/>
    <w:rsid w:val="00C61C0C"/>
    <w:rsid w:val="00C941CB"/>
    <w:rsid w:val="00CA6AC9"/>
    <w:rsid w:val="00CC2357"/>
    <w:rsid w:val="00CF071A"/>
    <w:rsid w:val="00D058B8"/>
    <w:rsid w:val="00D56C11"/>
    <w:rsid w:val="00D834A0"/>
    <w:rsid w:val="00D872DF"/>
    <w:rsid w:val="00D91E21"/>
    <w:rsid w:val="00D95F3B"/>
    <w:rsid w:val="00D967CB"/>
    <w:rsid w:val="00DA7FCD"/>
    <w:rsid w:val="00E365E1"/>
    <w:rsid w:val="00E820A4"/>
    <w:rsid w:val="00EB006A"/>
    <w:rsid w:val="00EB109D"/>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F9294"/>
  <w15:chartTrackingRefBased/>
  <w15:docId w15:val="{10850922-F9CB-4CF9-9353-23BF0CDC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9782B"/>
    <w:rPr>
      <w:b/>
      <w:kern w:val="28"/>
      <w:sz w:val="28"/>
      <w:lang w:val="fr-FR" w:eastAsia="fr-FR"/>
    </w:rPr>
  </w:style>
  <w:style w:type="character" w:customStyle="1" w:styleId="Heading2Char">
    <w:name w:val="Heading 2 Char"/>
    <w:basedOn w:val="DefaultParagraphFont"/>
    <w:link w:val="Heading2"/>
    <w:uiPriority w:val="9"/>
    <w:semiHidden/>
    <w:rsid w:val="0089782B"/>
    <w:rPr>
      <w:sz w:val="24"/>
      <w:lang w:val="fr-FR" w:eastAsia="fr-FR"/>
    </w:rPr>
  </w:style>
  <w:style w:type="character" w:customStyle="1" w:styleId="Heading3Char">
    <w:name w:val="Heading 3 Char"/>
    <w:basedOn w:val="DefaultParagraphFont"/>
    <w:link w:val="Heading3"/>
    <w:uiPriority w:val="9"/>
    <w:semiHidden/>
    <w:rsid w:val="0089782B"/>
    <w:rPr>
      <w:rFonts w:ascii="Arial" w:hAnsi="Arial"/>
      <w:sz w:val="24"/>
      <w:lang w:val="fr-FR" w:eastAsia="fr-FR"/>
    </w:rPr>
  </w:style>
  <w:style w:type="character" w:customStyle="1" w:styleId="Heading4Char">
    <w:name w:val="Heading 4 Char"/>
    <w:basedOn w:val="DefaultParagraphFont"/>
    <w:link w:val="Heading4"/>
    <w:uiPriority w:val="9"/>
    <w:semiHidden/>
    <w:rsid w:val="0089782B"/>
    <w:rPr>
      <w:sz w:val="24"/>
      <w:lang w:val="en-US" w:eastAsia="fr-FR"/>
    </w:rPr>
  </w:style>
  <w:style w:type="character" w:customStyle="1" w:styleId="Heading5Char">
    <w:name w:val="Heading 5 Char"/>
    <w:basedOn w:val="DefaultParagraphFont"/>
    <w:link w:val="Heading5"/>
    <w:uiPriority w:val="9"/>
    <w:semiHidden/>
    <w:rsid w:val="0089782B"/>
    <w:rPr>
      <w:sz w:val="24"/>
      <w:lang w:val="en-US" w:eastAsia="fr-FR"/>
    </w:rPr>
  </w:style>
  <w:style w:type="character" w:customStyle="1" w:styleId="Heading6Char">
    <w:name w:val="Heading 6 Char"/>
    <w:basedOn w:val="DefaultParagraphFont"/>
    <w:link w:val="Heading6"/>
    <w:uiPriority w:val="9"/>
    <w:semiHidden/>
    <w:rsid w:val="0089782B"/>
    <w:rPr>
      <w:i/>
      <w:sz w:val="22"/>
      <w:lang w:val="lv-LV"/>
    </w:rPr>
  </w:style>
  <w:style w:type="character" w:customStyle="1" w:styleId="Heading7Char">
    <w:name w:val="Heading 7 Char"/>
    <w:basedOn w:val="DefaultParagraphFont"/>
    <w:link w:val="Heading7"/>
    <w:uiPriority w:val="9"/>
    <w:semiHidden/>
    <w:rsid w:val="0089782B"/>
    <w:rPr>
      <w:rFonts w:ascii="Arial" w:hAnsi="Arial"/>
      <w:sz w:val="24"/>
      <w:lang w:val="lv-LV"/>
    </w:rPr>
  </w:style>
  <w:style w:type="character" w:customStyle="1" w:styleId="Heading8Char">
    <w:name w:val="Heading 8 Char"/>
    <w:basedOn w:val="DefaultParagraphFont"/>
    <w:link w:val="Heading8"/>
    <w:uiPriority w:val="9"/>
    <w:semiHidden/>
    <w:rsid w:val="0089782B"/>
    <w:rPr>
      <w:rFonts w:ascii="Arial" w:hAnsi="Arial"/>
      <w:i/>
      <w:sz w:val="24"/>
      <w:lang w:val="lv-LV"/>
    </w:rPr>
  </w:style>
  <w:style w:type="character" w:customStyle="1" w:styleId="Heading9Char">
    <w:name w:val="Heading 9 Char"/>
    <w:basedOn w:val="DefaultParagraphFont"/>
    <w:link w:val="Heading9"/>
    <w:uiPriority w:val="9"/>
    <w:semiHidden/>
    <w:rsid w:val="0089782B"/>
    <w:rPr>
      <w:rFonts w:ascii="Arial" w:hAnsi="Arial"/>
      <w:b/>
      <w:i/>
      <w:sz w:val="18"/>
      <w:lang w:val="lv-LV"/>
    </w:rPr>
  </w:style>
  <w:style w:type="paragraph" w:styleId="TOCHeading">
    <w:name w:val="TOC Heading"/>
    <w:basedOn w:val="Normal"/>
    <w:next w:val="Normal"/>
    <w:uiPriority w:val="39"/>
    <w:unhideWhenUsed/>
    <w:qFormat/>
    <w:rsid w:val="0089782B"/>
    <w:pPr>
      <w:widowControl/>
      <w:spacing w:after="240"/>
    </w:pPr>
    <w:rPr>
      <w:lang w:val="en-GB"/>
    </w:rPr>
  </w:style>
  <w:style w:type="paragraph" w:customStyle="1" w:styleId="EPFooter2">
    <w:name w:val="EPFooter2"/>
    <w:basedOn w:val="Normal"/>
    <w:next w:val="Normal"/>
    <w:rsid w:val="008978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782B"/>
    <w:pPr>
      <w:spacing w:before="480" w:after="240"/>
    </w:pPr>
  </w:style>
  <w:style w:type="paragraph" w:customStyle="1" w:styleId="TOCPage">
    <w:name w:val="TOC Page"/>
    <w:basedOn w:val="Normal"/>
    <w:next w:val="TOC1"/>
    <w:rsid w:val="0089782B"/>
    <w:pPr>
      <w:keepNext/>
      <w:spacing w:after="240"/>
      <w:jc w:val="right"/>
    </w:pPr>
    <w:rPr>
      <w:rFonts w:ascii="Arial" w:hAnsi="Arial"/>
      <w:b/>
    </w:rPr>
  </w:style>
  <w:style w:type="paragraph" w:customStyle="1" w:styleId="PageHeading">
    <w:name w:val="PageHeading"/>
    <w:basedOn w:val="Normal"/>
    <w:rsid w:val="0089782B"/>
    <w:pPr>
      <w:keepNext/>
      <w:spacing w:after="480"/>
      <w:jc w:val="center"/>
    </w:pPr>
    <w:rPr>
      <w:rFonts w:ascii="Arial" w:hAnsi="Arial" w:cs="Arial"/>
      <w:b/>
    </w:rPr>
  </w:style>
  <w:style w:type="paragraph" w:customStyle="1" w:styleId="NormalBold">
    <w:name w:val="NormalBold"/>
    <w:basedOn w:val="Normal"/>
    <w:rsid w:val="0089782B"/>
    <w:rPr>
      <w:b/>
    </w:rPr>
  </w:style>
  <w:style w:type="paragraph" w:customStyle="1" w:styleId="NormalHanging12a">
    <w:name w:val="NormalHanging12a"/>
    <w:basedOn w:val="Normal"/>
    <w:link w:val="NormalHanging12aChar"/>
    <w:rsid w:val="0089782B"/>
    <w:pPr>
      <w:spacing w:after="240"/>
      <w:ind w:left="567" w:hanging="567"/>
    </w:pPr>
  </w:style>
  <w:style w:type="paragraph" w:customStyle="1" w:styleId="Subheading">
    <w:name w:val="Subheading"/>
    <w:basedOn w:val="Normal"/>
    <w:rsid w:val="0089782B"/>
    <w:pPr>
      <w:spacing w:before="480" w:after="240"/>
    </w:pPr>
    <w:rPr>
      <w:b/>
      <w:i/>
    </w:rPr>
  </w:style>
  <w:style w:type="paragraph" w:customStyle="1" w:styleId="CoverNormal24a">
    <w:name w:val="CoverNormal24a"/>
    <w:basedOn w:val="Normal"/>
    <w:rsid w:val="0089782B"/>
    <w:pPr>
      <w:spacing w:after="480"/>
      <w:ind w:left="1417"/>
    </w:pPr>
  </w:style>
  <w:style w:type="paragraph" w:customStyle="1" w:styleId="CoverNormal">
    <w:name w:val="CoverNormal"/>
    <w:basedOn w:val="Normal"/>
    <w:rsid w:val="0089782B"/>
    <w:pPr>
      <w:ind w:left="1418"/>
    </w:pPr>
  </w:style>
  <w:style w:type="paragraph" w:customStyle="1" w:styleId="CoverReference">
    <w:name w:val="CoverReference"/>
    <w:basedOn w:val="Normal"/>
    <w:rsid w:val="0089782B"/>
    <w:pPr>
      <w:spacing w:before="1080"/>
      <w:jc w:val="right"/>
    </w:pPr>
    <w:rPr>
      <w:rFonts w:ascii="Arial" w:hAnsi="Arial" w:cs="Arial"/>
      <w:b/>
    </w:rPr>
  </w:style>
  <w:style w:type="paragraph" w:customStyle="1" w:styleId="CoverDocType24a">
    <w:name w:val="CoverDocType24a"/>
    <w:basedOn w:val="Normal"/>
    <w:rsid w:val="0089782B"/>
    <w:pPr>
      <w:spacing w:after="480"/>
      <w:ind w:left="1418"/>
    </w:pPr>
    <w:rPr>
      <w:rFonts w:ascii="Arial" w:hAnsi="Arial"/>
      <w:b/>
      <w:sz w:val="48"/>
    </w:rPr>
  </w:style>
  <w:style w:type="paragraph" w:customStyle="1" w:styleId="CoverDate">
    <w:name w:val="CoverDate"/>
    <w:basedOn w:val="Normal"/>
    <w:rsid w:val="0089782B"/>
    <w:pPr>
      <w:spacing w:before="240" w:after="1200"/>
    </w:pPr>
  </w:style>
  <w:style w:type="paragraph" w:styleId="Header">
    <w:name w:val="header"/>
    <w:basedOn w:val="Normal"/>
    <w:link w:val="HeaderChar"/>
    <w:rsid w:val="0089782B"/>
    <w:pPr>
      <w:tabs>
        <w:tab w:val="center" w:pos="4513"/>
        <w:tab w:val="right" w:pos="9026"/>
      </w:tabs>
    </w:pPr>
  </w:style>
  <w:style w:type="character" w:customStyle="1" w:styleId="HeaderChar">
    <w:name w:val="Header Char"/>
    <w:basedOn w:val="DefaultParagraphFont"/>
    <w:link w:val="Header"/>
    <w:rsid w:val="0089782B"/>
    <w:rPr>
      <w:sz w:val="24"/>
      <w:lang w:val="lv-LV"/>
    </w:rPr>
  </w:style>
  <w:style w:type="paragraph" w:customStyle="1" w:styleId="EPBody">
    <w:name w:val="EPBody"/>
    <w:basedOn w:val="Normal"/>
    <w:rsid w:val="0089782B"/>
    <w:pPr>
      <w:jc w:val="center"/>
    </w:pPr>
    <w:rPr>
      <w:rFonts w:ascii="Arial" w:hAnsi="Arial" w:cs="Arial"/>
      <w:i/>
      <w:sz w:val="22"/>
      <w:szCs w:val="22"/>
    </w:rPr>
  </w:style>
  <w:style w:type="paragraph" w:customStyle="1" w:styleId="EPFooter">
    <w:name w:val="EPFooter"/>
    <w:basedOn w:val="Normal"/>
    <w:rsid w:val="0089782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89782B"/>
    <w:rPr>
      <w:rFonts w:ascii="Times New Roman" w:hAnsi="Times New Roman"/>
    </w:rPr>
  </w:style>
  <w:style w:type="character" w:customStyle="1" w:styleId="PageHeadingDecChar">
    <w:name w:val="PageHeadingDec Char"/>
    <w:basedOn w:val="DefaultParagraphFont"/>
    <w:link w:val="PageHeadingDec"/>
    <w:rsid w:val="0089782B"/>
    <w:rPr>
      <w:rFonts w:cs="Arial"/>
      <w:b/>
      <w:sz w:val="24"/>
      <w:lang w:val="lv-LV"/>
    </w:rPr>
  </w:style>
  <w:style w:type="paragraph" w:customStyle="1" w:styleId="PageHeadingNotTOC">
    <w:name w:val="PageHeadingNotTOC"/>
    <w:basedOn w:val="Normal"/>
    <w:link w:val="PageHeadingNotTOCChar"/>
    <w:rsid w:val="0089782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89782B"/>
    <w:rPr>
      <w:sz w:val="24"/>
      <w:lang w:val="lv-LV"/>
    </w:rPr>
  </w:style>
  <w:style w:type="paragraph" w:styleId="TOC8">
    <w:name w:val="toc 8"/>
    <w:basedOn w:val="Normal"/>
    <w:next w:val="Normal"/>
    <w:autoRedefine/>
    <w:uiPriority w:val="39"/>
    <w:rsid w:val="0089782B"/>
    <w:pPr>
      <w:spacing w:after="240"/>
    </w:pPr>
    <w:rPr>
      <w:b/>
    </w:rPr>
  </w:style>
  <w:style w:type="paragraph" w:styleId="TOC9">
    <w:name w:val="toc 9"/>
    <w:basedOn w:val="Normal"/>
    <w:next w:val="Normal"/>
    <w:autoRedefine/>
    <w:uiPriority w:val="39"/>
    <w:rsid w:val="0089782B"/>
    <w:pPr>
      <w:spacing w:after="100"/>
      <w:jc w:val="center"/>
    </w:pPr>
  </w:style>
  <w:style w:type="paragraph" w:styleId="TOC7">
    <w:name w:val="toc 7"/>
    <w:basedOn w:val="Normal"/>
    <w:next w:val="Normal"/>
    <w:autoRedefine/>
    <w:uiPriority w:val="39"/>
    <w:rsid w:val="0089782B"/>
    <w:pPr>
      <w:tabs>
        <w:tab w:val="right" w:leader="dot" w:pos="9060"/>
      </w:tabs>
      <w:spacing w:after="240"/>
      <w:ind w:left="426" w:hanging="426"/>
    </w:pPr>
  </w:style>
  <w:style w:type="character" w:styleId="Hyperlink">
    <w:name w:val="Hyperlink"/>
    <w:basedOn w:val="DefaultParagraphFont"/>
    <w:uiPriority w:val="99"/>
    <w:rsid w:val="0089782B"/>
    <w:rPr>
      <w:color w:val="0563C1" w:themeColor="hyperlink"/>
      <w:u w:val="single"/>
    </w:rPr>
  </w:style>
  <w:style w:type="character" w:styleId="FollowedHyperlink">
    <w:name w:val="FollowedHyperlink"/>
    <w:basedOn w:val="DefaultParagraphFont"/>
    <w:uiPriority w:val="99"/>
    <w:rsid w:val="0089782B"/>
    <w:rPr>
      <w:color w:val="954F72" w:themeColor="followedHyperlink"/>
      <w:u w:val="single"/>
    </w:rPr>
  </w:style>
  <w:style w:type="paragraph" w:customStyle="1" w:styleId="RollCallSubtitle">
    <w:name w:val="RollCallSubtitle"/>
    <w:basedOn w:val="Normal"/>
    <w:qFormat/>
    <w:rsid w:val="0089782B"/>
    <w:pPr>
      <w:snapToGrid w:val="0"/>
      <w:spacing w:after="240"/>
    </w:pPr>
    <w:rPr>
      <w:lang w:eastAsia="en-US"/>
    </w:rPr>
  </w:style>
  <w:style w:type="character" w:customStyle="1" w:styleId="PageHeadingNotTOCChar">
    <w:name w:val="PageHeadingNotTOC Char"/>
    <w:basedOn w:val="DefaultParagraphFont"/>
    <w:link w:val="PageHeadingNotTOC"/>
    <w:rsid w:val="0089782B"/>
    <w:rPr>
      <w:rFonts w:ascii="Arial" w:hAnsi="Arial" w:cs="Arial"/>
      <w:b/>
      <w:sz w:val="24"/>
      <w:lang w:val="lv-LV"/>
    </w:rPr>
  </w:style>
  <w:style w:type="character" w:styleId="CommentReference">
    <w:name w:val="annotation reference"/>
    <w:basedOn w:val="DefaultParagraphFont"/>
    <w:uiPriority w:val="99"/>
    <w:rsid w:val="0089782B"/>
    <w:rPr>
      <w:sz w:val="16"/>
      <w:szCs w:val="16"/>
    </w:rPr>
  </w:style>
  <w:style w:type="paragraph" w:styleId="CommentText">
    <w:name w:val="annotation text"/>
    <w:basedOn w:val="Normal"/>
    <w:link w:val="CommentTextChar"/>
    <w:uiPriority w:val="99"/>
    <w:rsid w:val="0089782B"/>
    <w:rPr>
      <w:sz w:val="20"/>
    </w:rPr>
  </w:style>
  <w:style w:type="character" w:customStyle="1" w:styleId="CommentTextChar">
    <w:name w:val="Comment Text Char"/>
    <w:basedOn w:val="DefaultParagraphFont"/>
    <w:link w:val="CommentText"/>
    <w:uiPriority w:val="99"/>
    <w:rsid w:val="0089782B"/>
    <w:rPr>
      <w:lang w:val="lv-LV"/>
    </w:rPr>
  </w:style>
  <w:style w:type="paragraph" w:styleId="CommentSubject">
    <w:name w:val="annotation subject"/>
    <w:basedOn w:val="CommentText"/>
    <w:next w:val="CommentText"/>
    <w:link w:val="CommentSubjectChar"/>
    <w:uiPriority w:val="99"/>
    <w:unhideWhenUsed/>
    <w:rsid w:val="0089782B"/>
    <w:rPr>
      <w:b/>
      <w:bCs/>
    </w:rPr>
  </w:style>
  <w:style w:type="character" w:customStyle="1" w:styleId="CommentSubjectChar">
    <w:name w:val="Comment Subject Char"/>
    <w:basedOn w:val="CommentTextChar"/>
    <w:link w:val="CommentSubject"/>
    <w:uiPriority w:val="99"/>
    <w:rsid w:val="0089782B"/>
    <w:rPr>
      <w:b/>
      <w:bCs/>
      <w:lang w:val="lv-LV"/>
    </w:rPr>
  </w:style>
  <w:style w:type="paragraph" w:styleId="BalloonText">
    <w:name w:val="Balloon Text"/>
    <w:basedOn w:val="Normal"/>
    <w:link w:val="BalloonTextChar"/>
    <w:unhideWhenUsed/>
    <w:rsid w:val="0089782B"/>
    <w:rPr>
      <w:rFonts w:ascii="Segoe UI" w:hAnsi="Segoe UI" w:cs="Segoe UI"/>
      <w:sz w:val="18"/>
      <w:szCs w:val="18"/>
    </w:rPr>
  </w:style>
  <w:style w:type="character" w:customStyle="1" w:styleId="BalloonTextChar">
    <w:name w:val="Balloon Text Char"/>
    <w:basedOn w:val="DefaultParagraphFont"/>
    <w:link w:val="BalloonText"/>
    <w:rsid w:val="0089782B"/>
    <w:rPr>
      <w:rFonts w:ascii="Segoe UI" w:hAnsi="Segoe UI" w:cs="Segoe UI"/>
      <w:sz w:val="18"/>
      <w:szCs w:val="18"/>
      <w:lang w:val="lv-LV"/>
    </w:rPr>
  </w:style>
  <w:style w:type="paragraph" w:styleId="Revision">
    <w:name w:val="Revision"/>
    <w:hidden/>
    <w:uiPriority w:val="99"/>
    <w:semiHidden/>
    <w:rsid w:val="0089782B"/>
    <w:rPr>
      <w:sz w:val="24"/>
      <w:lang w:val="lv-LV"/>
    </w:rPr>
  </w:style>
  <w:style w:type="paragraph" w:customStyle="1" w:styleId="Normal24a">
    <w:name w:val="Normal24a"/>
    <w:basedOn w:val="Normal"/>
    <w:rsid w:val="0089782B"/>
    <w:pPr>
      <w:spacing w:after="480"/>
    </w:pPr>
  </w:style>
  <w:style w:type="paragraph" w:customStyle="1" w:styleId="NormalBoldCenter">
    <w:name w:val="NormalBoldCenter"/>
    <w:basedOn w:val="Normal"/>
    <w:rsid w:val="0089782B"/>
    <w:pPr>
      <w:jc w:val="center"/>
    </w:pPr>
    <w:rPr>
      <w:b/>
    </w:rPr>
  </w:style>
  <w:style w:type="paragraph" w:customStyle="1" w:styleId="Footprint12b">
    <w:name w:val="Footprint12b"/>
    <w:basedOn w:val="Normal"/>
    <w:rsid w:val="0089782B"/>
    <w:pPr>
      <w:spacing w:before="240"/>
    </w:pPr>
    <w:rPr>
      <w:szCs w:val="24"/>
    </w:rPr>
  </w:style>
  <w:style w:type="paragraph" w:customStyle="1" w:styleId="NormalSingle">
    <w:name w:val="NormalSingle"/>
    <w:basedOn w:val="Normal"/>
    <w:qFormat/>
    <w:rsid w:val="0089782B"/>
    <w:rPr>
      <w:szCs w:val="24"/>
    </w:rPr>
  </w:style>
  <w:style w:type="paragraph" w:customStyle="1" w:styleId="Normal6a">
    <w:name w:val="Normal6a"/>
    <w:basedOn w:val="Normal"/>
    <w:rsid w:val="0089782B"/>
    <w:pPr>
      <w:spacing w:after="120"/>
    </w:pPr>
    <w:rPr>
      <w:szCs w:val="24"/>
      <w:lang w:eastAsia="en-US"/>
    </w:rPr>
  </w:style>
  <w:style w:type="paragraph" w:customStyle="1" w:styleId="Normal12a">
    <w:name w:val="Normal12a"/>
    <w:basedOn w:val="Normal"/>
    <w:rsid w:val="0089782B"/>
    <w:pPr>
      <w:spacing w:after="240"/>
    </w:pPr>
  </w:style>
  <w:style w:type="paragraph" w:customStyle="1" w:styleId="Visa">
    <w:name w:val="Visa"/>
    <w:basedOn w:val="Normal"/>
    <w:rsid w:val="0089782B"/>
    <w:pPr>
      <w:tabs>
        <w:tab w:val="left" w:pos="357"/>
      </w:tabs>
      <w:snapToGrid w:val="0"/>
      <w:spacing w:after="240"/>
      <w:ind w:left="357" w:hanging="357"/>
    </w:pPr>
    <w:rPr>
      <w:lang w:eastAsia="en-US"/>
    </w:rPr>
  </w:style>
  <w:style w:type="paragraph" w:customStyle="1" w:styleId="RollCallSymbols14pt">
    <w:name w:val="RollCallSymbols14pt"/>
    <w:basedOn w:val="Normal"/>
    <w:rsid w:val="008978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9782B"/>
    <w:pPr>
      <w:tabs>
        <w:tab w:val="center" w:pos="284"/>
        <w:tab w:val="left" w:pos="426"/>
      </w:tabs>
    </w:pPr>
    <w:rPr>
      <w:snapToGrid w:val="0"/>
      <w:lang w:eastAsia="en-US"/>
    </w:rPr>
  </w:style>
  <w:style w:type="paragraph" w:customStyle="1" w:styleId="RollCallVotes">
    <w:name w:val="RollCallVotes"/>
    <w:basedOn w:val="Normal"/>
    <w:rsid w:val="0089782B"/>
    <w:pPr>
      <w:spacing w:before="120" w:after="120"/>
      <w:jc w:val="center"/>
    </w:pPr>
    <w:rPr>
      <w:b/>
      <w:bCs/>
      <w:snapToGrid w:val="0"/>
      <w:sz w:val="16"/>
      <w:lang w:eastAsia="en-US"/>
    </w:rPr>
  </w:style>
  <w:style w:type="paragraph" w:customStyle="1" w:styleId="RollCallTable">
    <w:name w:val="RollCallTable"/>
    <w:basedOn w:val="Normal"/>
    <w:rsid w:val="0089782B"/>
    <w:pPr>
      <w:spacing w:before="120" w:after="120"/>
    </w:pPr>
    <w:rPr>
      <w:snapToGrid w:val="0"/>
      <w:sz w:val="16"/>
      <w:lang w:eastAsia="en-US"/>
    </w:rPr>
  </w:style>
  <w:style w:type="paragraph" w:styleId="Footer">
    <w:name w:val="footer"/>
    <w:basedOn w:val="Normal"/>
    <w:link w:val="FooterChar"/>
    <w:rsid w:val="0089782B"/>
    <w:pPr>
      <w:tabs>
        <w:tab w:val="center" w:pos="4513"/>
        <w:tab w:val="right" w:pos="9026"/>
      </w:tabs>
    </w:pPr>
  </w:style>
  <w:style w:type="character" w:customStyle="1" w:styleId="FooterChar">
    <w:name w:val="Footer Char"/>
    <w:basedOn w:val="DefaultParagraphFont"/>
    <w:link w:val="Footer"/>
    <w:rsid w:val="0089782B"/>
    <w:rPr>
      <w:sz w:val="24"/>
      <w:lang w:val="lv-LV"/>
    </w:rPr>
  </w:style>
  <w:style w:type="numbering" w:customStyle="1" w:styleId="NoList1">
    <w:name w:val="No List1"/>
    <w:next w:val="NoList"/>
    <w:uiPriority w:val="99"/>
    <w:semiHidden/>
    <w:unhideWhenUsed/>
    <w:rsid w:val="00A74B93"/>
  </w:style>
  <w:style w:type="character" w:styleId="Emphasis">
    <w:name w:val="Emphasis"/>
    <w:basedOn w:val="DefaultParagraphFont"/>
    <w:uiPriority w:val="20"/>
    <w:qFormat/>
    <w:rsid w:val="00A74B93"/>
    <w:rPr>
      <w:rFonts w:ascii="Aptos" w:hAnsi="Aptos" w:hint="default"/>
      <w:b/>
      <w:bCs w:val="0"/>
      <w:i/>
      <w:iCs/>
    </w:rPr>
  </w:style>
  <w:style w:type="paragraph" w:customStyle="1" w:styleId="msonormal0">
    <w:name w:val="msonormal"/>
    <w:basedOn w:val="Normal"/>
    <w:rsid w:val="00A74B93"/>
    <w:pPr>
      <w:widowControl/>
      <w:spacing w:before="100" w:beforeAutospacing="1" w:after="100" w:afterAutospacing="1"/>
    </w:pPr>
    <w:rPr>
      <w:szCs w:val="24"/>
      <w:lang w:val="en-GB"/>
    </w:rPr>
  </w:style>
  <w:style w:type="paragraph" w:styleId="Title">
    <w:name w:val="Title"/>
    <w:basedOn w:val="Normal"/>
    <w:next w:val="Normal"/>
    <w:link w:val="TitleChar"/>
    <w:uiPriority w:val="10"/>
    <w:qFormat/>
    <w:rsid w:val="00A74B93"/>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A74B93"/>
    <w:rPr>
      <w:rFonts w:ascii="Arial" w:hAnsi="Arial" w:cs="Arial"/>
      <w:b/>
      <w:bCs/>
      <w:kern w:val="28"/>
      <w:sz w:val="32"/>
      <w:szCs w:val="32"/>
      <w:lang w:eastAsia="en-US"/>
    </w:rPr>
  </w:style>
  <w:style w:type="paragraph" w:styleId="Subtitle">
    <w:name w:val="Subtitle"/>
    <w:basedOn w:val="Normal"/>
    <w:next w:val="Normal"/>
    <w:link w:val="SubtitleChar"/>
    <w:uiPriority w:val="11"/>
    <w:qFormat/>
    <w:rsid w:val="00A74B93"/>
    <w:pPr>
      <w:widowControl/>
      <w:spacing w:after="60"/>
      <w:jc w:val="center"/>
      <w:outlineLvl w:val="1"/>
    </w:pPr>
    <w:rPr>
      <w:rFonts w:ascii="Arial" w:hAnsi="Arial" w:cs="Arial"/>
      <w:kern w:val="2"/>
      <w:szCs w:val="24"/>
      <w:lang w:val="en-GB" w:eastAsia="en-US"/>
    </w:rPr>
  </w:style>
  <w:style w:type="character" w:customStyle="1" w:styleId="SubtitleChar">
    <w:name w:val="Subtitle Char"/>
    <w:basedOn w:val="DefaultParagraphFont"/>
    <w:link w:val="Subtitle"/>
    <w:uiPriority w:val="11"/>
    <w:rsid w:val="00A74B93"/>
    <w:rPr>
      <w:rFonts w:ascii="Arial" w:hAnsi="Arial" w:cs="Arial"/>
      <w:kern w:val="2"/>
      <w:sz w:val="24"/>
      <w:szCs w:val="24"/>
      <w:lang w:eastAsia="en-US"/>
    </w:rPr>
  </w:style>
  <w:style w:type="paragraph" w:styleId="NoSpacing">
    <w:name w:val="No Spacing"/>
    <w:basedOn w:val="Normal"/>
    <w:uiPriority w:val="1"/>
    <w:qFormat/>
    <w:rsid w:val="00A74B93"/>
    <w:pPr>
      <w:widowControl/>
      <w:jc w:val="both"/>
    </w:pPr>
    <w:rPr>
      <w:rFonts w:eastAsia="Aptos"/>
      <w:kern w:val="2"/>
      <w:szCs w:val="32"/>
      <w:lang w:val="en-GB" w:eastAsia="en-US"/>
    </w:rPr>
  </w:style>
  <w:style w:type="paragraph" w:styleId="ListParagraph">
    <w:name w:val="List Paragraph"/>
    <w:basedOn w:val="Normal"/>
    <w:uiPriority w:val="34"/>
    <w:qFormat/>
    <w:rsid w:val="00A74B93"/>
    <w:pPr>
      <w:widowControl/>
      <w:ind w:left="720"/>
      <w:contextualSpacing/>
      <w:jc w:val="both"/>
    </w:pPr>
    <w:rPr>
      <w:rFonts w:eastAsia="Aptos"/>
      <w:kern w:val="2"/>
      <w:szCs w:val="24"/>
      <w:lang w:val="en-GB" w:eastAsia="en-US"/>
    </w:rPr>
  </w:style>
  <w:style w:type="paragraph" w:styleId="Quote">
    <w:name w:val="Quote"/>
    <w:basedOn w:val="Normal"/>
    <w:next w:val="Normal"/>
    <w:link w:val="QuoteChar"/>
    <w:uiPriority w:val="29"/>
    <w:qFormat/>
    <w:rsid w:val="00A74B93"/>
    <w:pPr>
      <w:widowControl/>
      <w:jc w:val="both"/>
    </w:pPr>
    <w:rPr>
      <w:rFonts w:eastAsia="Aptos"/>
      <w:i/>
      <w:kern w:val="2"/>
      <w:szCs w:val="24"/>
      <w:lang w:val="en-GB" w:eastAsia="en-US"/>
    </w:rPr>
  </w:style>
  <w:style w:type="character" w:customStyle="1" w:styleId="QuoteChar">
    <w:name w:val="Quote Char"/>
    <w:basedOn w:val="DefaultParagraphFont"/>
    <w:link w:val="Quote"/>
    <w:uiPriority w:val="29"/>
    <w:rsid w:val="00A74B93"/>
    <w:rPr>
      <w:rFonts w:eastAsia="Aptos"/>
      <w:i/>
      <w:kern w:val="2"/>
      <w:sz w:val="24"/>
      <w:szCs w:val="24"/>
      <w:lang w:eastAsia="en-US"/>
    </w:rPr>
  </w:style>
  <w:style w:type="paragraph" w:styleId="IntenseQuote">
    <w:name w:val="Intense Quote"/>
    <w:basedOn w:val="Normal"/>
    <w:next w:val="Normal"/>
    <w:link w:val="IntenseQuoteChar"/>
    <w:uiPriority w:val="30"/>
    <w:qFormat/>
    <w:rsid w:val="00A74B93"/>
    <w:pPr>
      <w:widowControl/>
      <w:ind w:left="720" w:right="720"/>
      <w:jc w:val="both"/>
    </w:pPr>
    <w:rPr>
      <w:rFonts w:eastAsia="Aptos"/>
      <w:b/>
      <w:i/>
      <w:kern w:val="2"/>
      <w:szCs w:val="22"/>
      <w:lang w:val="en-GB" w:eastAsia="en-US"/>
    </w:rPr>
  </w:style>
  <w:style w:type="character" w:customStyle="1" w:styleId="IntenseQuoteChar">
    <w:name w:val="Intense Quote Char"/>
    <w:basedOn w:val="DefaultParagraphFont"/>
    <w:link w:val="IntenseQuote"/>
    <w:uiPriority w:val="30"/>
    <w:rsid w:val="00A74B93"/>
    <w:rPr>
      <w:rFonts w:eastAsia="Aptos"/>
      <w:b/>
      <w:i/>
      <w:kern w:val="2"/>
      <w:sz w:val="24"/>
      <w:szCs w:val="22"/>
      <w:lang w:eastAsia="en-US"/>
    </w:rPr>
  </w:style>
  <w:style w:type="character" w:styleId="SubtleEmphasis">
    <w:name w:val="Subtle Emphasis"/>
    <w:uiPriority w:val="19"/>
    <w:qFormat/>
    <w:rsid w:val="00A74B93"/>
    <w:rPr>
      <w:i/>
      <w:iCs w:val="0"/>
      <w:color w:val="5A5A5A" w:themeColor="text1" w:themeTint="A5"/>
    </w:rPr>
  </w:style>
  <w:style w:type="character" w:styleId="IntenseEmphasis">
    <w:name w:val="Intense Emphasis"/>
    <w:basedOn w:val="DefaultParagraphFont"/>
    <w:uiPriority w:val="21"/>
    <w:qFormat/>
    <w:rsid w:val="00A74B93"/>
    <w:rPr>
      <w:b/>
      <w:bCs w:val="0"/>
      <w:i/>
      <w:iCs w:val="0"/>
      <w:sz w:val="24"/>
      <w:szCs w:val="24"/>
      <w:u w:val="single"/>
    </w:rPr>
  </w:style>
  <w:style w:type="character" w:styleId="SubtleReference">
    <w:name w:val="Subtle Reference"/>
    <w:basedOn w:val="DefaultParagraphFont"/>
    <w:uiPriority w:val="31"/>
    <w:qFormat/>
    <w:rsid w:val="00A74B93"/>
    <w:rPr>
      <w:sz w:val="24"/>
      <w:szCs w:val="24"/>
      <w:u w:val="single"/>
    </w:rPr>
  </w:style>
  <w:style w:type="character" w:styleId="IntenseReference">
    <w:name w:val="Intense Reference"/>
    <w:basedOn w:val="DefaultParagraphFont"/>
    <w:uiPriority w:val="32"/>
    <w:qFormat/>
    <w:rsid w:val="00A74B93"/>
    <w:rPr>
      <w:b/>
      <w:bCs w:val="0"/>
      <w:sz w:val="24"/>
      <w:u w:val="single"/>
    </w:rPr>
  </w:style>
  <w:style w:type="character" w:styleId="BookTitle">
    <w:name w:val="Book Title"/>
    <w:basedOn w:val="DefaultParagraphFont"/>
    <w:uiPriority w:val="33"/>
    <w:qFormat/>
    <w:rsid w:val="00A74B93"/>
    <w:rPr>
      <w:rFonts w:ascii="Aptos Display" w:eastAsia="Times New Roman" w:hAnsi="Aptos Display" w:hint="default"/>
      <w:b/>
      <w:bCs w:val="0"/>
      <w:i/>
      <w:iCs w:val="0"/>
      <w:sz w:val="24"/>
      <w:szCs w:val="24"/>
    </w:rPr>
  </w:style>
  <w:style w:type="character" w:customStyle="1" w:styleId="Hyperlink1">
    <w:name w:val="Hyperlink1"/>
    <w:basedOn w:val="DefaultParagraphFont"/>
    <w:uiPriority w:val="99"/>
    <w:rsid w:val="00A74B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889491">
      <w:bodyDiv w:val="1"/>
      <w:marLeft w:val="0"/>
      <w:marRight w:val="0"/>
      <w:marTop w:val="0"/>
      <w:marBottom w:val="0"/>
      <w:divBdr>
        <w:top w:val="none" w:sz="0" w:space="0" w:color="auto"/>
        <w:left w:val="none" w:sz="0" w:space="0" w:color="auto"/>
        <w:bottom w:val="none" w:sz="0" w:space="0" w:color="auto"/>
        <w:right w:val="none" w:sz="0" w:space="0" w:color="auto"/>
      </w:divBdr>
    </w:div>
    <w:div w:id="1876383652">
      <w:bodyDiv w:val="1"/>
      <w:marLeft w:val="0"/>
      <w:marRight w:val="0"/>
      <w:marTop w:val="0"/>
      <w:marBottom w:val="0"/>
      <w:divBdr>
        <w:top w:val="none" w:sz="0" w:space="0" w:color="auto"/>
        <w:left w:val="none" w:sz="0" w:space="0" w:color="auto"/>
        <w:bottom w:val="none" w:sz="0" w:space="0" w:color="auto"/>
        <w:right w:val="none" w:sz="0" w:space="0" w:color="auto"/>
      </w:divBdr>
    </w:div>
    <w:div w:id="199078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8A567-BE81-4F70-AC61-6AF5A249D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64</Pages>
  <Words>15607</Words>
  <Characters>102479</Characters>
  <Application>Microsoft Office Word</Application>
  <DocSecurity>0</DocSecurity>
  <Lines>853</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2025-12-02T14:22:00Z</dcterms:created>
  <dcterms:modified xsi:type="dcterms:W3CDTF">2025-12-02T14:22:00Z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P10_TA(2025)0089_</vt:lpwstr>
  </property>
  <property fmtid="{D5CDD505-2E9C-101B-9397-08002B2CF9AE}" pid="4" name="&lt;Type&gt;">
    <vt:lpwstr>RR</vt:lpwstr>
  </property>
</Properties>
</file>