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6A20" w14:paraId="77209BD0" w14:textId="77777777" w:rsidTr="0010095E">
        <w:trPr>
          <w:trHeight w:hRule="exact" w:val="1418"/>
        </w:trPr>
        <w:tc>
          <w:tcPr>
            <w:tcW w:w="6804" w:type="dxa"/>
            <w:shd w:val="clear" w:color="auto" w:fill="auto"/>
            <w:vAlign w:val="center"/>
          </w:tcPr>
          <w:p w14:paraId="46053267" w14:textId="77777777" w:rsidR="00751A4A" w:rsidRPr="00246A20" w:rsidRDefault="00A8297E" w:rsidP="0010095E">
            <w:pPr>
              <w:pStyle w:val="EPName"/>
            </w:pPr>
            <w:r w:rsidRPr="00246A20">
              <w:t>Parlamentul European</w:t>
            </w:r>
          </w:p>
          <w:p w14:paraId="506B6F0F" w14:textId="77777777" w:rsidR="00751A4A" w:rsidRPr="00246A20" w:rsidRDefault="005F1B17" w:rsidP="005F1B17">
            <w:pPr>
              <w:pStyle w:val="EPTerm"/>
              <w:rPr>
                <w:rStyle w:val="HideTWBExt"/>
                <w:noProof w:val="0"/>
                <w:vanish w:val="0"/>
                <w:color w:val="auto"/>
              </w:rPr>
            </w:pPr>
            <w:r w:rsidRPr="00246A20">
              <w:t>2024</w:t>
            </w:r>
            <w:r w:rsidR="00817416" w:rsidRPr="00246A20">
              <w:t>-202</w:t>
            </w:r>
            <w:r w:rsidRPr="00246A20">
              <w:t>9</w:t>
            </w:r>
          </w:p>
        </w:tc>
        <w:tc>
          <w:tcPr>
            <w:tcW w:w="2268" w:type="dxa"/>
            <w:shd w:val="clear" w:color="auto" w:fill="auto"/>
          </w:tcPr>
          <w:p w14:paraId="449083E4" w14:textId="77777777" w:rsidR="00751A4A" w:rsidRPr="00246A20" w:rsidRDefault="00187494" w:rsidP="0010095E">
            <w:pPr>
              <w:pStyle w:val="EPLogo"/>
            </w:pPr>
            <w:r w:rsidRPr="00246A20">
              <w:rPr>
                <w:noProof/>
                <w:lang w:val="en-GB"/>
              </w:rPr>
              <w:drawing>
                <wp:inline distT="0" distB="0" distL="0" distR="0" wp14:anchorId="5ECD9F1F" wp14:editId="115E41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068089" w14:textId="77777777" w:rsidR="00D058B8" w:rsidRPr="00246A20" w:rsidRDefault="00D058B8" w:rsidP="004C5D52">
      <w:pPr>
        <w:pStyle w:val="LineTop"/>
      </w:pPr>
    </w:p>
    <w:p w14:paraId="497DD8EB" w14:textId="77777777" w:rsidR="00680577" w:rsidRPr="00246A20" w:rsidRDefault="00A8297E" w:rsidP="00680577">
      <w:pPr>
        <w:pStyle w:val="EPBodyTA1"/>
      </w:pPr>
      <w:r w:rsidRPr="00246A20">
        <w:t>TEXTE ADOPTATE</w:t>
      </w:r>
    </w:p>
    <w:p w14:paraId="7BF77E58" w14:textId="77777777" w:rsidR="00D058B8" w:rsidRPr="00246A20" w:rsidRDefault="00D058B8" w:rsidP="00D058B8">
      <w:pPr>
        <w:pStyle w:val="LineBottom"/>
      </w:pPr>
    </w:p>
    <w:p w14:paraId="60B6E10A" w14:textId="25BDF56F" w:rsidR="00A8297E" w:rsidRPr="00246A20" w:rsidRDefault="00A8297E" w:rsidP="00A8297E">
      <w:pPr>
        <w:pStyle w:val="ATHeading1"/>
      </w:pPr>
      <w:bookmarkStart w:id="0" w:name="TANumber"/>
      <w:r w:rsidRPr="00246A20">
        <w:t>P10_TA(2025)</w:t>
      </w:r>
      <w:bookmarkEnd w:id="0"/>
      <w:r w:rsidR="008823BC" w:rsidRPr="00246A20">
        <w:t>0089</w:t>
      </w:r>
    </w:p>
    <w:p w14:paraId="62E42C33" w14:textId="3E467BB5" w:rsidR="00A8297E" w:rsidRPr="00246A20" w:rsidRDefault="00A8297E" w:rsidP="00A8297E">
      <w:pPr>
        <w:pStyle w:val="ATHeading2"/>
      </w:pPr>
      <w:bookmarkStart w:id="1" w:name="title"/>
      <w:r w:rsidRPr="00246A20">
        <w:t>Descărcarea de gestiune 2023: Întreprinderile comune</w:t>
      </w:r>
      <w:bookmarkEnd w:id="1"/>
    </w:p>
    <w:p w14:paraId="66808C1F" w14:textId="77777777" w:rsidR="00A8297E" w:rsidRPr="00246A20" w:rsidRDefault="00A8297E" w:rsidP="00A8297E">
      <w:pPr>
        <w:rPr>
          <w:i/>
          <w:vanish/>
        </w:rPr>
      </w:pPr>
      <w:r w:rsidRPr="00246A20">
        <w:rPr>
          <w:i/>
        </w:rPr>
        <w:fldChar w:fldCharType="begin"/>
      </w:r>
      <w:r w:rsidRPr="00246A20">
        <w:rPr>
          <w:i/>
        </w:rPr>
        <w:instrText xml:space="preserve"> TC"(</w:instrText>
      </w:r>
      <w:bookmarkStart w:id="2" w:name="DocNumber"/>
      <w:r w:rsidRPr="00246A20">
        <w:rPr>
          <w:i/>
        </w:rPr>
        <w:instrText>A10-0056/2025</w:instrText>
      </w:r>
      <w:bookmarkEnd w:id="2"/>
      <w:r w:rsidRPr="00246A20">
        <w:rPr>
          <w:i/>
        </w:rPr>
        <w:instrText xml:space="preserve"> - Raportor: Michal </w:instrText>
      </w:r>
      <w:proofErr w:type="spellStart"/>
      <w:r w:rsidRPr="00246A20">
        <w:rPr>
          <w:i/>
        </w:rPr>
        <w:instrText>Wiezik</w:instrText>
      </w:r>
      <w:proofErr w:type="spellEnd"/>
      <w:r w:rsidRPr="00246A20">
        <w:rPr>
          <w:i/>
        </w:rPr>
        <w:instrText xml:space="preserve">)"\l3 \n&gt; \* MERGEFORMAT </w:instrText>
      </w:r>
      <w:r w:rsidRPr="00246A20">
        <w:rPr>
          <w:i/>
        </w:rPr>
        <w:fldChar w:fldCharType="end"/>
      </w:r>
    </w:p>
    <w:p w14:paraId="6C8C7B2B" w14:textId="77777777" w:rsidR="00A8297E" w:rsidRPr="00246A20" w:rsidRDefault="00A8297E" w:rsidP="00A8297E">
      <w:pPr>
        <w:rPr>
          <w:vanish/>
        </w:rPr>
      </w:pPr>
      <w:bookmarkStart w:id="3" w:name="Commission"/>
      <w:r w:rsidRPr="00246A20">
        <w:rPr>
          <w:vanish/>
        </w:rPr>
        <w:t>Comisia pentru control bugetar</w:t>
      </w:r>
      <w:bookmarkEnd w:id="3"/>
    </w:p>
    <w:p w14:paraId="645E0EC4" w14:textId="77777777" w:rsidR="00A8297E" w:rsidRPr="00246A20" w:rsidRDefault="00A8297E" w:rsidP="00A8297E">
      <w:pPr>
        <w:rPr>
          <w:vanish/>
        </w:rPr>
      </w:pPr>
      <w:bookmarkStart w:id="4" w:name="PE"/>
      <w:r w:rsidRPr="00246A20">
        <w:rPr>
          <w:vanish/>
        </w:rPr>
        <w:t>PE765.276</w:t>
      </w:r>
      <w:bookmarkEnd w:id="4"/>
    </w:p>
    <w:p w14:paraId="6C33CB9F" w14:textId="77777777" w:rsidR="00344BA4" w:rsidRPr="00344BA4" w:rsidRDefault="00344BA4" w:rsidP="00344BA4">
      <w:pPr>
        <w:pStyle w:val="ATHeading3"/>
      </w:pPr>
      <w:r w:rsidRPr="00344BA4">
        <w:t>1. Decizia Parlamentului European din 7 mai 2025 privind descărcarea de gestiune pentru execuția bugetului întreprinderii comune pentru o aviație curată aferent exercițiului financiar 2023 (2024/2031(DEC))</w:t>
      </w:r>
    </w:p>
    <w:p w14:paraId="1A1786AE" w14:textId="5A77CF39" w:rsidR="00344BA4" w:rsidRPr="00344BA4" w:rsidRDefault="00344BA4" w:rsidP="00C779F6">
      <w:pPr>
        <w:spacing w:before="480" w:after="240"/>
        <w:rPr>
          <w:iCs/>
          <w:kern w:val="2"/>
          <w14:ligatures w14:val="standardContextual"/>
        </w:rPr>
      </w:pPr>
      <w:r w:rsidRPr="00344BA4">
        <w:rPr>
          <w:i/>
          <w:iCs/>
          <w:kern w:val="2"/>
          <w14:ligatures w14:val="standardContextual"/>
        </w:rPr>
        <w:t>Parlamentul European,</w:t>
      </w:r>
    </w:p>
    <w:p w14:paraId="139674B1" w14:textId="2E22A6B2"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conturile anuale finale ale întreprinderii comune pentru o aviație curată pentru exercițiul financiar 2023,</w:t>
      </w:r>
    </w:p>
    <w:p w14:paraId="0E07559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anual al Curții de Conturi privind întreprinderile comune ale UE pentru exercițiul financiar 2023, însoțit de răspunsurile întreprinderilor comune</w:t>
      </w:r>
      <w:r w:rsidRPr="00344BA4">
        <w:rPr>
          <w:kern w:val="2"/>
          <w:vertAlign w:val="superscript"/>
          <w14:ligatures w14:val="standardContextual"/>
        </w:rPr>
        <w:footnoteReference w:id="1"/>
      </w:r>
      <w:r w:rsidRPr="00344BA4">
        <w:rPr>
          <w:kern w:val="2"/>
          <w14:ligatures w14:val="standardContextual"/>
        </w:rPr>
        <w:t>,</w:t>
      </w:r>
    </w:p>
    <w:p w14:paraId="4A6C1B1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declarația de asigurare</w:t>
      </w:r>
      <w:r w:rsidRPr="00344BA4">
        <w:rPr>
          <w:kern w:val="2"/>
          <w:vertAlign w:val="superscript"/>
          <w14:ligatures w14:val="standardContextual"/>
        </w:rPr>
        <w:footnoteReference w:id="2"/>
      </w:r>
      <w:r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057030A"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151C6263"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articolul 319 din Tratatul privind funcționarea Uniunii Europene,</w:t>
      </w:r>
    </w:p>
    <w:p w14:paraId="7CF73BF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344BA4">
        <w:rPr>
          <w:kern w:val="2"/>
          <w:vertAlign w:val="superscript"/>
          <w14:ligatures w14:val="standardContextual"/>
        </w:rPr>
        <w:footnoteReference w:id="3"/>
      </w:r>
      <w:r w:rsidRPr="00344BA4">
        <w:rPr>
          <w:kern w:val="2"/>
          <w14:ligatures w14:val="standardContextual"/>
        </w:rPr>
        <w:t>, în special articolul 71,</w:t>
      </w:r>
    </w:p>
    <w:p w14:paraId="33C36D6F"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 xml:space="preserve">având în vedere Regulamentul (UE, Euratom) 2024/2509 al Parlamentului European și al Consiliului din 23 septembrie 2024 privind normele financiare aplicabile bugetului </w:t>
      </w:r>
      <w:r w:rsidRPr="00344BA4">
        <w:rPr>
          <w:kern w:val="2"/>
          <w14:ligatures w14:val="standardContextual"/>
        </w:rPr>
        <w:lastRenderedPageBreak/>
        <w:t>general al Uniunii</w:t>
      </w:r>
      <w:r w:rsidRPr="00344BA4">
        <w:rPr>
          <w:kern w:val="2"/>
          <w:vertAlign w:val="superscript"/>
          <w14:ligatures w14:val="standardContextual"/>
        </w:rPr>
        <w:footnoteReference w:id="4"/>
      </w:r>
      <w:r w:rsidRPr="00344BA4">
        <w:rPr>
          <w:kern w:val="2"/>
          <w14:ligatures w14:val="standardContextual"/>
        </w:rPr>
        <w:t>, în special articolul 71,</w:t>
      </w:r>
    </w:p>
    <w:p w14:paraId="6B4A0FEA"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344BA4">
        <w:rPr>
          <w:kern w:val="2"/>
          <w:vertAlign w:val="superscript"/>
          <w14:ligatures w14:val="standardContextual"/>
        </w:rPr>
        <w:footnoteReference w:id="5"/>
      </w:r>
      <w:r w:rsidRPr="00344BA4">
        <w:rPr>
          <w:kern w:val="2"/>
          <w14:ligatures w14:val="standardContextual"/>
        </w:rPr>
        <w:t>, în special articolul 26,</w:t>
      </w:r>
    </w:p>
    <w:p w14:paraId="135186FC"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344BA4">
        <w:rPr>
          <w:kern w:val="2"/>
          <w:vertAlign w:val="superscript"/>
          <w14:ligatures w14:val="standardContextual"/>
        </w:rPr>
        <w:footnoteReference w:id="6"/>
      </w:r>
      <w:r w:rsidRPr="00344BA4">
        <w:rPr>
          <w:kern w:val="2"/>
          <w14:ligatures w14:val="standardContextual"/>
        </w:rPr>
        <w:t>,</w:t>
      </w:r>
    </w:p>
    <w:p w14:paraId="39B43881"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articolul 102 și anexa V la Regulamentul său de procedură,</w:t>
      </w:r>
    </w:p>
    <w:p w14:paraId="51E8873A"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avizul Comisiei pentru transport și turism,</w:t>
      </w:r>
    </w:p>
    <w:p w14:paraId="60989828"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Comisiei pentru control bugetar (A10-0056/2025),</w:t>
      </w:r>
    </w:p>
    <w:p w14:paraId="5912196F"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acordă directorului executiv al întreprinderii comune pentru o aviație curată descărcarea de gestiune pentru execuția bugetului întreprinderii comune aferent exercițiului financiar 2023;</w:t>
      </w:r>
    </w:p>
    <w:p w14:paraId="2666AE89"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își prezintă observațiile în cadrul rezoluției de mai jos;</w:t>
      </w:r>
    </w:p>
    <w:p w14:paraId="4C42973C" w14:textId="35B09D56" w:rsidR="00344BA4" w:rsidRPr="00344BA4" w:rsidRDefault="00344BA4" w:rsidP="00C779F6">
      <w:pPr>
        <w:spacing w:after="240"/>
        <w:ind w:left="567" w:hanging="567"/>
        <w:rPr>
          <w:kern w:val="2"/>
          <w14:ligatures w14:val="standardContextual"/>
        </w:rPr>
      </w:pPr>
      <w:r w:rsidRPr="00344BA4">
        <w:rPr>
          <w:kern w:val="2"/>
          <w14:ligatures w14:val="standardContextual"/>
        </w:rPr>
        <w:t>3.</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împreună cu rezoluția Parlamentului, ca parte integrantă a acesteia, directorului executiv al întreprinderii comune pentru o aviație curată, Consiliului, Comisiei și Curții de Conturi și de a asigura publicarea acestora în </w:t>
      </w:r>
      <w:r w:rsidRPr="00344BA4">
        <w:rPr>
          <w:i/>
          <w:kern w:val="2"/>
          <w14:ligatures w14:val="standardContextual"/>
        </w:rPr>
        <w:t>Jurnalul Oficial al Uniunii Europene</w:t>
      </w:r>
      <w:r w:rsidRPr="00344BA4">
        <w:rPr>
          <w:kern w:val="2"/>
          <w14:ligatures w14:val="standardContextual"/>
        </w:rPr>
        <w:t xml:space="preserve"> (seria L).</w:t>
      </w:r>
    </w:p>
    <w:p w14:paraId="77EFAD61" w14:textId="77777777" w:rsidR="00344BA4" w:rsidRDefault="00344BA4" w:rsidP="00C779F6">
      <w:pPr>
        <w:widowControl/>
        <w:rPr>
          <w:rFonts w:eastAsia="Aptos"/>
          <w:kern w:val="2"/>
          <w:szCs w:val="24"/>
          <w:lang w:val="en-GB" w:eastAsia="en-US"/>
          <w14:ligatures w14:val="standardContextual"/>
        </w:rPr>
      </w:pPr>
    </w:p>
    <w:p w14:paraId="31B0ADFE" w14:textId="77777777" w:rsidR="008D5D7D" w:rsidRPr="00344BA4" w:rsidRDefault="008D5D7D" w:rsidP="00C779F6">
      <w:pPr>
        <w:widowControl/>
        <w:rPr>
          <w:rFonts w:eastAsia="Aptos"/>
          <w:kern w:val="2"/>
          <w:szCs w:val="24"/>
          <w:lang w:val="en-GB" w:eastAsia="en-US"/>
          <w14:ligatures w14:val="standardContextual"/>
        </w:rPr>
        <w:sectPr w:rsidR="008D5D7D" w:rsidRPr="00344BA4" w:rsidSect="00B27B3E">
          <w:footnotePr>
            <w:numRestart w:val="eachSect"/>
          </w:footnotePr>
          <w:pgSz w:w="11906" w:h="16838"/>
          <w:pgMar w:top="1134" w:right="1418" w:bottom="1418" w:left="1418" w:header="709" w:footer="709" w:gutter="0"/>
          <w:cols w:space="708"/>
          <w:docGrid w:linePitch="360"/>
        </w:sectPr>
      </w:pPr>
    </w:p>
    <w:p w14:paraId="620FB0E7" w14:textId="77777777" w:rsidR="00344BA4" w:rsidRPr="00344BA4" w:rsidRDefault="00344BA4" w:rsidP="00C779F6">
      <w:pPr>
        <w:pStyle w:val="ATHeading3"/>
      </w:pPr>
      <w:r w:rsidRPr="00344BA4">
        <w:lastRenderedPageBreak/>
        <w:t>2. Decizia Parlamentului European din 7 mai 2025 privind închiderea conturilor întreprinderii comune pentru o aviație curată pentru exercițiul financiar 2023 (2024/2031(DEC))</w:t>
      </w:r>
    </w:p>
    <w:p w14:paraId="0F0280A3" w14:textId="67EA4D00" w:rsidR="00344BA4" w:rsidRPr="00344BA4" w:rsidRDefault="00344BA4" w:rsidP="00C779F6">
      <w:pPr>
        <w:spacing w:before="480" w:after="240"/>
        <w:rPr>
          <w:iCs/>
          <w:kern w:val="2"/>
          <w14:ligatures w14:val="standardContextual"/>
        </w:rPr>
      </w:pPr>
      <w:r w:rsidRPr="00344BA4">
        <w:rPr>
          <w:i/>
          <w:iCs/>
          <w:kern w:val="2"/>
          <w14:ligatures w14:val="standardContextual"/>
        </w:rPr>
        <w:t>Parlamentul European,</w:t>
      </w:r>
    </w:p>
    <w:p w14:paraId="6E0DA43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conturile anuale finale ale întreprinderii comune pentru o aviație curată pentru exercițiul financiar 2023,</w:t>
      </w:r>
    </w:p>
    <w:p w14:paraId="1C6191E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anual al Curții de Conturi privind întreprinderile comune ale UE pentru exercițiul financiar 2023, însoțit de răspunsurile întreprinderilor comune</w:t>
      </w:r>
      <w:r w:rsidRPr="00344BA4">
        <w:rPr>
          <w:kern w:val="2"/>
          <w:vertAlign w:val="superscript"/>
          <w14:ligatures w14:val="standardContextual"/>
        </w:rPr>
        <w:footnoteReference w:id="7"/>
      </w:r>
      <w:r w:rsidRPr="00344BA4">
        <w:rPr>
          <w:kern w:val="2"/>
          <w14:ligatures w14:val="standardContextual"/>
        </w:rPr>
        <w:t>,</w:t>
      </w:r>
    </w:p>
    <w:p w14:paraId="6626D5C8"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declarația de asigurare</w:t>
      </w:r>
      <w:r w:rsidRPr="00344BA4">
        <w:rPr>
          <w:kern w:val="2"/>
          <w:vertAlign w:val="superscript"/>
          <w14:ligatures w14:val="standardContextual"/>
        </w:rPr>
        <w:footnoteReference w:id="8"/>
      </w:r>
      <w:r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7AE44074"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2189AA7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articolul 319 din Tratatul privind funcționarea Uniunii Europene,</w:t>
      </w:r>
    </w:p>
    <w:p w14:paraId="395C4DC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344BA4">
        <w:rPr>
          <w:kern w:val="2"/>
          <w:vertAlign w:val="superscript"/>
          <w14:ligatures w14:val="standardContextual"/>
        </w:rPr>
        <w:footnoteReference w:id="9"/>
      </w:r>
      <w:r w:rsidRPr="00344BA4">
        <w:rPr>
          <w:kern w:val="2"/>
          <w14:ligatures w14:val="standardContextual"/>
        </w:rPr>
        <w:t>, în special articolul 71,</w:t>
      </w:r>
    </w:p>
    <w:p w14:paraId="251F8808"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2024/2509 al Parlamentului European și al Consiliului din 23 septembrie 2024 privind normele financiare aplicabile bugetului general al Uniunii</w:t>
      </w:r>
      <w:r w:rsidRPr="00344BA4">
        <w:rPr>
          <w:kern w:val="2"/>
          <w:vertAlign w:val="superscript"/>
          <w14:ligatures w14:val="standardContextual"/>
        </w:rPr>
        <w:footnoteReference w:id="10"/>
      </w:r>
      <w:r w:rsidRPr="00344BA4">
        <w:rPr>
          <w:kern w:val="2"/>
          <w14:ligatures w14:val="standardContextual"/>
        </w:rPr>
        <w:t>, în special articolul 71,</w:t>
      </w:r>
    </w:p>
    <w:p w14:paraId="45B2671C"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344BA4">
        <w:rPr>
          <w:kern w:val="2"/>
          <w:vertAlign w:val="superscript"/>
          <w14:ligatures w14:val="standardContextual"/>
        </w:rPr>
        <w:footnoteReference w:id="11"/>
      </w:r>
      <w:r w:rsidRPr="00344BA4">
        <w:rPr>
          <w:kern w:val="2"/>
          <w14:ligatures w14:val="standardContextual"/>
        </w:rPr>
        <w:t>, în special articolul 26,</w:t>
      </w:r>
    </w:p>
    <w:p w14:paraId="682A6C98"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344BA4">
        <w:rPr>
          <w:kern w:val="2"/>
          <w:vertAlign w:val="superscript"/>
          <w14:ligatures w14:val="standardContextual"/>
        </w:rPr>
        <w:footnoteReference w:id="12"/>
      </w:r>
      <w:r w:rsidRPr="00344BA4">
        <w:rPr>
          <w:kern w:val="2"/>
          <w14:ligatures w14:val="standardContextual"/>
        </w:rPr>
        <w:t>,</w:t>
      </w:r>
    </w:p>
    <w:p w14:paraId="3E94F1B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lastRenderedPageBreak/>
        <w:t>–</w:t>
      </w:r>
      <w:r w:rsidRPr="00344BA4">
        <w:rPr>
          <w:kern w:val="2"/>
          <w14:ligatures w14:val="standardContextual"/>
        </w:rPr>
        <w:tab/>
        <w:t>având în vedere articolul 102 și anexa V la Regulamentul său de procedură,</w:t>
      </w:r>
    </w:p>
    <w:p w14:paraId="730AB66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avizul Comisiei pentru transport și turism,</w:t>
      </w:r>
    </w:p>
    <w:p w14:paraId="7D055A79"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Comisiei pentru control bugetar (A10-0056/2025),</w:t>
      </w:r>
    </w:p>
    <w:p w14:paraId="516CBCEE"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aprobă închiderea conturilor întreprinderii comune pentru o aviație curată pentru exercițiul financiar 2023;</w:t>
      </w:r>
    </w:p>
    <w:p w14:paraId="5398E2BB" w14:textId="74FD5A6F"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directorului executiv al întreprinderii comune pentru o aviație curată, Consiliului, Comisiei și Curții de Conturi și de a asigura publicarea acesteia în </w:t>
      </w:r>
      <w:r w:rsidRPr="00344BA4">
        <w:rPr>
          <w:i/>
          <w:kern w:val="2"/>
          <w14:ligatures w14:val="standardContextual"/>
        </w:rPr>
        <w:t>Jurnalul Oficial al Uniunii Europene</w:t>
      </w:r>
      <w:r w:rsidRPr="00344BA4">
        <w:rPr>
          <w:kern w:val="2"/>
          <w14:ligatures w14:val="standardContextual"/>
        </w:rPr>
        <w:t xml:space="preserve"> (seria L).</w:t>
      </w:r>
    </w:p>
    <w:p w14:paraId="2B3F0BD5"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2CB5B36F" w14:textId="77777777" w:rsidR="00344BA4" w:rsidRPr="00344BA4" w:rsidRDefault="00344BA4" w:rsidP="00C779F6">
      <w:pPr>
        <w:pStyle w:val="ATHeading3"/>
      </w:pPr>
      <w:r w:rsidRPr="00344BA4">
        <w:lastRenderedPageBreak/>
        <w:t>3. Decizia Parlamentului European din 7 mai 2025 privind descărcarea de gestiune pentru execuția bugetului întreprinderii comune pentru bioeconomia circulară în Europa aferent exercițiului financiar 2023 (2024/2031(DEC))</w:t>
      </w:r>
    </w:p>
    <w:p w14:paraId="51B186FC" w14:textId="5DE2BC7F" w:rsidR="00344BA4" w:rsidRPr="00344BA4" w:rsidRDefault="00344BA4" w:rsidP="00C779F6">
      <w:pPr>
        <w:spacing w:before="480" w:after="240"/>
        <w:rPr>
          <w:iCs/>
          <w:kern w:val="2"/>
          <w14:ligatures w14:val="standardContextual"/>
        </w:rPr>
      </w:pPr>
      <w:r w:rsidRPr="00344BA4">
        <w:rPr>
          <w:i/>
          <w:iCs/>
          <w:kern w:val="2"/>
          <w14:ligatures w14:val="standardContextual"/>
        </w:rPr>
        <w:t>Parlamentul European,</w:t>
      </w:r>
    </w:p>
    <w:p w14:paraId="22944D5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conturile anuale finale ale întreprinderii comune pentru bioeconomia circulară în Europa pentru exercițiul financiar 2023,</w:t>
      </w:r>
    </w:p>
    <w:p w14:paraId="2E67A347"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anual al Curții de Conturi privind întreprinderile comune ale UE pentru exercițiul financiar 2023, însoțit de răspunsurile întreprinderilor comune</w:t>
      </w:r>
      <w:r w:rsidRPr="00344BA4">
        <w:rPr>
          <w:kern w:val="2"/>
          <w:vertAlign w:val="superscript"/>
          <w14:ligatures w14:val="standardContextual"/>
        </w:rPr>
        <w:footnoteReference w:id="13"/>
      </w:r>
      <w:r w:rsidRPr="00344BA4">
        <w:rPr>
          <w:kern w:val="2"/>
          <w14:ligatures w14:val="standardContextual"/>
        </w:rPr>
        <w:t>,</w:t>
      </w:r>
    </w:p>
    <w:p w14:paraId="58EF95C3"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declarația de asigurare</w:t>
      </w:r>
      <w:r w:rsidRPr="00344BA4">
        <w:rPr>
          <w:kern w:val="2"/>
          <w:vertAlign w:val="superscript"/>
          <w14:ligatures w14:val="standardContextual"/>
        </w:rPr>
        <w:footnoteReference w:id="14"/>
      </w:r>
      <w:r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7A5131C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17F08F1E"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articolul 319 din Tratatul privind funcționarea Uniunii Europene,</w:t>
      </w:r>
    </w:p>
    <w:p w14:paraId="02AF3F4E"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344BA4">
        <w:rPr>
          <w:kern w:val="2"/>
          <w:vertAlign w:val="superscript"/>
          <w14:ligatures w14:val="standardContextual"/>
        </w:rPr>
        <w:footnoteReference w:id="15"/>
      </w:r>
      <w:r w:rsidRPr="00344BA4">
        <w:rPr>
          <w:kern w:val="2"/>
          <w14:ligatures w14:val="standardContextual"/>
        </w:rPr>
        <w:t>, în special articolul 71,</w:t>
      </w:r>
    </w:p>
    <w:p w14:paraId="181C38CE"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2024/2509 al Parlamentului European și al Consiliului din 23 septembrie 2024 privind normele financiare aplicabile bugetului general al Uniunii</w:t>
      </w:r>
      <w:r w:rsidRPr="00344BA4">
        <w:rPr>
          <w:kern w:val="2"/>
          <w:vertAlign w:val="superscript"/>
          <w14:ligatures w14:val="standardContextual"/>
        </w:rPr>
        <w:footnoteReference w:id="16"/>
      </w:r>
      <w:r w:rsidRPr="00344BA4">
        <w:rPr>
          <w:kern w:val="2"/>
          <w14:ligatures w14:val="standardContextual"/>
        </w:rPr>
        <w:t>, în special articolul 71,</w:t>
      </w:r>
    </w:p>
    <w:p w14:paraId="0DBBE36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344BA4">
        <w:rPr>
          <w:kern w:val="2"/>
          <w:vertAlign w:val="superscript"/>
          <w14:ligatures w14:val="standardContextual"/>
        </w:rPr>
        <w:footnoteReference w:id="17"/>
      </w:r>
      <w:r w:rsidRPr="00344BA4">
        <w:rPr>
          <w:kern w:val="2"/>
          <w14:ligatures w14:val="standardContextual"/>
        </w:rPr>
        <w:t>, în special articolul 26,</w:t>
      </w:r>
    </w:p>
    <w:p w14:paraId="7C1073A2"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344BA4">
        <w:rPr>
          <w:kern w:val="2"/>
          <w:vertAlign w:val="superscript"/>
          <w14:ligatures w14:val="standardContextual"/>
        </w:rPr>
        <w:footnoteReference w:id="18"/>
      </w:r>
      <w:r w:rsidRPr="00344BA4">
        <w:rPr>
          <w:kern w:val="2"/>
          <w14:ligatures w14:val="standardContextual"/>
        </w:rPr>
        <w:t>,</w:t>
      </w:r>
    </w:p>
    <w:p w14:paraId="1E31000B"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lastRenderedPageBreak/>
        <w:t>–</w:t>
      </w:r>
      <w:r w:rsidRPr="00344BA4">
        <w:rPr>
          <w:kern w:val="2"/>
          <w14:ligatures w14:val="standardContextual"/>
        </w:rPr>
        <w:tab/>
        <w:t>având în vedere articolul 102 și anexa V la Regulamentul său de procedură,</w:t>
      </w:r>
    </w:p>
    <w:p w14:paraId="58DB78F1"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avizul Comisiei pentru transport și turism,</w:t>
      </w:r>
    </w:p>
    <w:p w14:paraId="76BB924F"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Comisiei pentru control bugetar (A10-0056/2025),</w:t>
      </w:r>
    </w:p>
    <w:p w14:paraId="14E8DBF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acordă directorului executiv al întreprinderii comune pentru bioeconomia circulară în Europa descărcarea de gestiune pentru execuția bugetului întreprinderii comune aferent exercițiului financiar 2023;</w:t>
      </w:r>
    </w:p>
    <w:p w14:paraId="444B1833"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își prezintă observațiile în cadrul rezoluției de mai jos;</w:t>
      </w:r>
    </w:p>
    <w:p w14:paraId="0FEC4056" w14:textId="671AD31E" w:rsidR="00344BA4" w:rsidRPr="00344BA4" w:rsidRDefault="00344BA4" w:rsidP="00C779F6">
      <w:pPr>
        <w:spacing w:after="240"/>
        <w:ind w:left="567" w:hanging="567"/>
        <w:rPr>
          <w:kern w:val="2"/>
          <w14:ligatures w14:val="standardContextual"/>
        </w:rPr>
      </w:pPr>
      <w:r w:rsidRPr="00344BA4">
        <w:rPr>
          <w:kern w:val="2"/>
          <w14:ligatures w14:val="standardContextual"/>
        </w:rPr>
        <w:t>3.</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împreună cu rezoluția Parlamentului, ca parte integrantă a acesteia, directorului executiv al întreprinderii comune pentru bioeconomia circulară în Europa, Consiliului, Comisiei și Curții de Conturi și de a asigura publicarea acestora în </w:t>
      </w:r>
      <w:r w:rsidRPr="00344BA4">
        <w:rPr>
          <w:i/>
          <w:kern w:val="2"/>
          <w14:ligatures w14:val="standardContextual"/>
        </w:rPr>
        <w:t>Jurnalul Oficial al Uniunii Europene</w:t>
      </w:r>
      <w:r w:rsidRPr="00344BA4">
        <w:rPr>
          <w:kern w:val="2"/>
          <w14:ligatures w14:val="standardContextual"/>
        </w:rPr>
        <w:t xml:space="preserve"> (seria L).</w:t>
      </w:r>
    </w:p>
    <w:p w14:paraId="756CD49E"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6B25A622" w14:textId="77777777" w:rsidR="00344BA4" w:rsidRPr="00344BA4" w:rsidRDefault="00344BA4" w:rsidP="00C779F6">
      <w:pPr>
        <w:pStyle w:val="ATHeading3"/>
      </w:pPr>
      <w:r w:rsidRPr="00344BA4">
        <w:lastRenderedPageBreak/>
        <w:t>4. Decizia Parlamentului European din 7 mai 2025 privind închiderea conturilor întreprinderii comune pentru bioeconomia circulară în Europa pentru exercițiul financiar 2023 (2024/2031(DEC))</w:t>
      </w:r>
    </w:p>
    <w:p w14:paraId="1E63668E" w14:textId="14BEB64D" w:rsidR="00344BA4" w:rsidRPr="00344BA4" w:rsidRDefault="00344BA4" w:rsidP="00C779F6">
      <w:pPr>
        <w:spacing w:before="480" w:after="240"/>
        <w:rPr>
          <w:iCs/>
          <w:kern w:val="2"/>
          <w14:ligatures w14:val="standardContextual"/>
        </w:rPr>
      </w:pPr>
      <w:r w:rsidRPr="00344BA4">
        <w:rPr>
          <w:i/>
          <w:iCs/>
          <w:kern w:val="2"/>
          <w14:ligatures w14:val="standardContextual"/>
        </w:rPr>
        <w:t>Parlamentul European,</w:t>
      </w:r>
    </w:p>
    <w:p w14:paraId="66622755"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conturile anuale finale ale întreprinderii comune pentru bioeconomia circulară în Europa pentru exercițiul financiar 2023,</w:t>
      </w:r>
    </w:p>
    <w:p w14:paraId="5E8BC83C"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anual al Curții de Conturi privind întreprinderile comune ale UE pentru exercițiul financiar 2023, însoțit de răspunsurile întreprinderilor comune</w:t>
      </w:r>
      <w:r w:rsidRPr="00344BA4">
        <w:rPr>
          <w:kern w:val="2"/>
          <w:vertAlign w:val="superscript"/>
          <w14:ligatures w14:val="standardContextual"/>
        </w:rPr>
        <w:footnoteReference w:id="19"/>
      </w:r>
      <w:r w:rsidRPr="00344BA4">
        <w:rPr>
          <w:kern w:val="2"/>
          <w14:ligatures w14:val="standardContextual"/>
        </w:rPr>
        <w:t>,</w:t>
      </w:r>
    </w:p>
    <w:p w14:paraId="338D9644"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declarația de asigurare</w:t>
      </w:r>
      <w:r w:rsidRPr="00344BA4">
        <w:rPr>
          <w:kern w:val="2"/>
          <w:vertAlign w:val="superscript"/>
          <w14:ligatures w14:val="standardContextual"/>
        </w:rPr>
        <w:footnoteReference w:id="20"/>
      </w:r>
      <w:r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59CA7AD4"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47D705D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articolul 319 din Tratatul privind funcționarea Uniunii Europene,</w:t>
      </w:r>
    </w:p>
    <w:p w14:paraId="1F07AF0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344BA4">
        <w:rPr>
          <w:kern w:val="2"/>
          <w:vertAlign w:val="superscript"/>
          <w14:ligatures w14:val="standardContextual"/>
        </w:rPr>
        <w:footnoteReference w:id="21"/>
      </w:r>
      <w:r w:rsidRPr="00344BA4">
        <w:rPr>
          <w:kern w:val="2"/>
          <w14:ligatures w14:val="standardContextual"/>
        </w:rPr>
        <w:t>, în special articolul 71,</w:t>
      </w:r>
    </w:p>
    <w:p w14:paraId="04D2293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2024/2509 al Parlamentului European și al Consiliului din 23 septembrie 2024 privind normele financiare aplicabile bugetului general al Uniunii</w:t>
      </w:r>
      <w:r w:rsidRPr="00344BA4">
        <w:rPr>
          <w:kern w:val="2"/>
          <w:vertAlign w:val="superscript"/>
          <w14:ligatures w14:val="standardContextual"/>
        </w:rPr>
        <w:footnoteReference w:id="22"/>
      </w:r>
      <w:r w:rsidRPr="00344BA4">
        <w:rPr>
          <w:kern w:val="2"/>
          <w14:ligatures w14:val="standardContextual"/>
        </w:rPr>
        <w:t>, în special articolul 71,</w:t>
      </w:r>
    </w:p>
    <w:p w14:paraId="0D83C0A8"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344BA4">
        <w:rPr>
          <w:kern w:val="2"/>
          <w:vertAlign w:val="superscript"/>
          <w14:ligatures w14:val="standardContextual"/>
        </w:rPr>
        <w:footnoteReference w:id="23"/>
      </w:r>
      <w:r w:rsidRPr="00344BA4">
        <w:rPr>
          <w:kern w:val="2"/>
          <w14:ligatures w14:val="standardContextual"/>
        </w:rPr>
        <w:t>, în special articolul 26,</w:t>
      </w:r>
    </w:p>
    <w:p w14:paraId="12829DD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344BA4">
        <w:rPr>
          <w:kern w:val="2"/>
          <w:vertAlign w:val="superscript"/>
          <w14:ligatures w14:val="standardContextual"/>
        </w:rPr>
        <w:footnoteReference w:id="24"/>
      </w:r>
      <w:r w:rsidRPr="00344BA4">
        <w:rPr>
          <w:kern w:val="2"/>
          <w14:ligatures w14:val="standardContextual"/>
        </w:rPr>
        <w:t>,</w:t>
      </w:r>
    </w:p>
    <w:p w14:paraId="37ECF18E"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lastRenderedPageBreak/>
        <w:t>–</w:t>
      </w:r>
      <w:r w:rsidRPr="00344BA4">
        <w:rPr>
          <w:kern w:val="2"/>
          <w14:ligatures w14:val="standardContextual"/>
        </w:rPr>
        <w:tab/>
        <w:t>având în vedere articolul 102 și anexa V la Regulamentul său de procedură,</w:t>
      </w:r>
    </w:p>
    <w:p w14:paraId="17FBA8E2"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avizul Comisiei pentru transport și turism,</w:t>
      </w:r>
    </w:p>
    <w:p w14:paraId="2C8AA6D7"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Comisiei pentru control bugetar (A10-0056/2025),</w:t>
      </w:r>
    </w:p>
    <w:p w14:paraId="5E2F5D8C"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aprobă închiderea conturilor întreprinderii comune pentru bioeconomia circulară în Europa pentru exercițiul financiar 2023;</w:t>
      </w:r>
    </w:p>
    <w:p w14:paraId="5A249CB9" w14:textId="32F5207B"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directorului executiv al întreprinderii comune pentru bioeconomia circulară în Europa, Consiliului, Comisiei și Curții de Conturi și de a asigura publicarea acesteia în </w:t>
      </w:r>
      <w:r w:rsidRPr="00344BA4">
        <w:rPr>
          <w:i/>
          <w:kern w:val="2"/>
          <w14:ligatures w14:val="standardContextual"/>
        </w:rPr>
        <w:t>Jurnalul Oficial al Uniunii Europene</w:t>
      </w:r>
      <w:r w:rsidRPr="00344BA4">
        <w:rPr>
          <w:kern w:val="2"/>
          <w14:ligatures w14:val="standardContextual"/>
        </w:rPr>
        <w:t xml:space="preserve"> (seria L).</w:t>
      </w:r>
    </w:p>
    <w:p w14:paraId="499D4F61"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32FB24D7" w14:textId="77777777" w:rsidR="00344BA4" w:rsidRPr="00344BA4" w:rsidRDefault="00344BA4" w:rsidP="00C779F6">
      <w:pPr>
        <w:pStyle w:val="ATHeading3"/>
      </w:pPr>
      <w:r w:rsidRPr="00344BA4">
        <w:lastRenderedPageBreak/>
        <w:t>5. Decizia Parlamentului European din 7 mai 2025 privind descărcarea de gestiune pentru execuția bugetului întreprinderii comune pentru un hidrogen curat aferent exercițiului financiar 2023 (2024/2031(DEC))</w:t>
      </w:r>
    </w:p>
    <w:p w14:paraId="67C11575" w14:textId="6AD498F7" w:rsidR="00344BA4" w:rsidRPr="00344BA4" w:rsidRDefault="00344BA4" w:rsidP="00C779F6">
      <w:pPr>
        <w:spacing w:before="480" w:after="240"/>
        <w:rPr>
          <w:kern w:val="2"/>
          <w14:ligatures w14:val="standardContextual"/>
        </w:rPr>
      </w:pPr>
      <w:r w:rsidRPr="00344BA4">
        <w:rPr>
          <w:i/>
          <w:iCs/>
          <w:kern w:val="2"/>
          <w14:ligatures w14:val="standardContextual"/>
        </w:rPr>
        <w:t>Parlamentul European,</w:t>
      </w:r>
    </w:p>
    <w:p w14:paraId="75612309" w14:textId="579840DF"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pentru un hidrogen curat pentru exercițiul financiar 2023,</w:t>
      </w:r>
    </w:p>
    <w:p w14:paraId="2A8A01F0" w14:textId="463D781C"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 </w:t>
      </w:r>
      <w:r w:rsidR="00344BA4" w:rsidRPr="00344BA4">
        <w:rPr>
          <w:rFonts w:eastAsia="Aptos"/>
          <w:kern w:val="2"/>
          <w:szCs w:val="24"/>
          <w:vertAlign w:val="superscript"/>
          <w14:ligatures w14:val="standardContextual"/>
        </w:rPr>
        <w:footnoteReference w:id="25"/>
      </w:r>
      <w:r w:rsidR="00344BA4" w:rsidRPr="00344BA4">
        <w:rPr>
          <w:kern w:val="2"/>
          <w14:ligatures w14:val="standardContextual"/>
        </w:rPr>
        <w:t>,</w:t>
      </w:r>
    </w:p>
    <w:p w14:paraId="0B791CCC" w14:textId="07E79882"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 </w:t>
      </w:r>
      <w:r w:rsidR="00344BA4" w:rsidRPr="00344BA4">
        <w:rPr>
          <w:rFonts w:eastAsia="Aptos"/>
          <w:kern w:val="2"/>
          <w:szCs w:val="24"/>
          <w:vertAlign w:val="superscript"/>
          <w14:ligatures w14:val="standardContextual"/>
        </w:rPr>
        <w:footnoteReference w:id="26"/>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05271F6" w14:textId="536D6810"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35EAB885" w14:textId="144D8599"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08B58B1B" w14:textId="2992E880"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344BA4" w:rsidRPr="00344BA4">
        <w:rPr>
          <w:rFonts w:eastAsia="Aptos"/>
          <w:kern w:val="2"/>
          <w:szCs w:val="24"/>
          <w:vertAlign w:val="superscript"/>
          <w14:ligatures w14:val="standardContextual"/>
        </w:rPr>
        <w:footnoteReference w:id="27"/>
      </w:r>
      <w:r w:rsidR="00344BA4" w:rsidRPr="00344BA4">
        <w:rPr>
          <w:kern w:val="2"/>
          <w14:ligatures w14:val="standardContextual"/>
        </w:rPr>
        <w:t>, în special articolul 71,</w:t>
      </w:r>
    </w:p>
    <w:p w14:paraId="37A6348B" w14:textId="65CF8AD5"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 </w:t>
      </w:r>
      <w:r w:rsidR="00344BA4" w:rsidRPr="00344BA4">
        <w:rPr>
          <w:rFonts w:eastAsia="Aptos"/>
          <w:kern w:val="2"/>
          <w:szCs w:val="24"/>
          <w:vertAlign w:val="superscript"/>
          <w14:ligatures w14:val="standardContextual"/>
        </w:rPr>
        <w:footnoteReference w:id="28"/>
      </w:r>
      <w:r w:rsidR="00344BA4" w:rsidRPr="00344BA4">
        <w:rPr>
          <w:kern w:val="2"/>
          <w14:ligatures w14:val="standardContextual"/>
        </w:rPr>
        <w:t>, în special articolul 71,</w:t>
      </w:r>
    </w:p>
    <w:p w14:paraId="7E3A9900" w14:textId="3F9153D3"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 </w:t>
      </w:r>
      <w:r w:rsidR="00344BA4" w:rsidRPr="00344BA4">
        <w:rPr>
          <w:rFonts w:eastAsia="Aptos"/>
          <w:kern w:val="2"/>
          <w:szCs w:val="24"/>
          <w:vertAlign w:val="superscript"/>
          <w14:ligatures w14:val="standardContextual"/>
        </w:rPr>
        <w:footnoteReference w:id="29"/>
      </w:r>
      <w:r w:rsidR="00344BA4" w:rsidRPr="00344BA4">
        <w:rPr>
          <w:kern w:val="2"/>
          <w14:ligatures w14:val="standardContextual"/>
        </w:rPr>
        <w:t>, în special articolul 26,</w:t>
      </w:r>
    </w:p>
    <w:p w14:paraId="290C9368" w14:textId="34A67461"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 </w:t>
      </w:r>
      <w:r w:rsidR="00344BA4" w:rsidRPr="00344BA4">
        <w:rPr>
          <w:rFonts w:eastAsia="Aptos"/>
          <w:kern w:val="2"/>
          <w:szCs w:val="24"/>
          <w:vertAlign w:val="superscript"/>
          <w14:ligatures w14:val="standardContextual"/>
        </w:rPr>
        <w:footnoteReference w:id="30"/>
      </w:r>
      <w:r w:rsidR="00344BA4" w:rsidRPr="00344BA4">
        <w:rPr>
          <w:kern w:val="2"/>
          <w14:ligatures w14:val="standardContextual"/>
        </w:rPr>
        <w:t>,</w:t>
      </w:r>
    </w:p>
    <w:p w14:paraId="627FC0BD" w14:textId="46D6CC4E" w:rsidR="00344BA4" w:rsidRPr="00344BA4" w:rsidRDefault="00846E79" w:rsidP="00C779F6">
      <w:pPr>
        <w:spacing w:after="240"/>
        <w:ind w:left="720" w:hanging="720"/>
        <w:rPr>
          <w:kern w:val="2"/>
          <w14:ligatures w14:val="standardContextual"/>
        </w:rPr>
      </w:pPr>
      <w:r>
        <w:rPr>
          <w:kern w:val="2"/>
          <w14:ligatures w14:val="standardContextual"/>
        </w:rPr>
        <w:lastRenderedPageBreak/>
        <w:t>–</w:t>
      </w:r>
      <w:r w:rsidR="00344BA4" w:rsidRPr="00344BA4">
        <w:rPr>
          <w:kern w:val="2"/>
          <w14:ligatures w14:val="standardContextual"/>
        </w:rPr>
        <w:tab/>
        <w:t>având în vedere articolul 102 și anexa V la Regulamentul său de procedură,</w:t>
      </w:r>
    </w:p>
    <w:p w14:paraId="5A120932" w14:textId="7FAD5327"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avizul Comisiei pentru transport și turism,</w:t>
      </w:r>
    </w:p>
    <w:p w14:paraId="00F7AAA5" w14:textId="5F2CF396"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385A298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acordă directoarei executive a întreprinderii comune pentru un hidrogen curat descărcarea de gestiune pentru execuția bugetului întreprinderii comune aferent exercițiului financiar 2023;</w:t>
      </w:r>
    </w:p>
    <w:p w14:paraId="75F6D7C2"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își prezintă observațiile în cadrul rezoluției de mai jos;</w:t>
      </w:r>
    </w:p>
    <w:p w14:paraId="19C024FD" w14:textId="71367D09" w:rsidR="00344BA4" w:rsidRPr="00344BA4" w:rsidRDefault="00344BA4" w:rsidP="00C779F6">
      <w:pPr>
        <w:spacing w:after="240"/>
        <w:ind w:left="567" w:hanging="567"/>
        <w:rPr>
          <w:kern w:val="2"/>
          <w14:ligatures w14:val="standardContextual"/>
        </w:rPr>
      </w:pPr>
      <w:r w:rsidRPr="00344BA4">
        <w:rPr>
          <w:kern w:val="2"/>
          <w14:ligatures w14:val="standardContextual"/>
        </w:rPr>
        <w:t>3.</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împreună cu rezoluția Parlamentului, ca parte integrantă a acesteia, directoarei executive a întreprinderii comune pentru un hidrogen curat, Consiliului, Comisiei și Curții de Conturi și de a asigura publicarea acestora în </w:t>
      </w:r>
      <w:r w:rsidRPr="00344BA4">
        <w:rPr>
          <w:i/>
          <w:kern w:val="2"/>
          <w14:ligatures w14:val="standardContextual"/>
        </w:rPr>
        <w:t>Jurnalul Oficial al Uniunii Europene</w:t>
      </w:r>
      <w:r w:rsidRPr="00344BA4">
        <w:rPr>
          <w:kern w:val="2"/>
          <w14:ligatures w14:val="standardContextual"/>
        </w:rPr>
        <w:t xml:space="preserve"> (seria L).</w:t>
      </w:r>
    </w:p>
    <w:p w14:paraId="7B57CCF5"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725EC50B" w14:textId="77777777" w:rsidR="00344BA4" w:rsidRPr="00344BA4" w:rsidRDefault="00344BA4" w:rsidP="00C779F6">
      <w:pPr>
        <w:pStyle w:val="ATHeading3"/>
      </w:pPr>
      <w:r w:rsidRPr="00344BA4">
        <w:lastRenderedPageBreak/>
        <w:t>6. Decizia Parlamentului European din 7 mai 2025 privind închiderea conturilor întreprinderii comune pentru un hidrogen curat pentru exercițiul financiar 2023 (2024/2031(DEC))</w:t>
      </w:r>
    </w:p>
    <w:p w14:paraId="38BA2285" w14:textId="35C3D4DC" w:rsidR="00344BA4" w:rsidRPr="00344BA4" w:rsidRDefault="00344BA4" w:rsidP="00C779F6">
      <w:pPr>
        <w:spacing w:before="480" w:after="240"/>
        <w:rPr>
          <w:iCs/>
          <w:kern w:val="2"/>
          <w14:ligatures w14:val="standardContextual"/>
        </w:rPr>
      </w:pPr>
      <w:r w:rsidRPr="00344BA4">
        <w:rPr>
          <w:i/>
          <w:iCs/>
          <w:kern w:val="2"/>
          <w14:ligatures w14:val="standardContextual"/>
        </w:rPr>
        <w:t>Parlamentul European,</w:t>
      </w:r>
    </w:p>
    <w:p w14:paraId="57CB14F8"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conturile anuale finale ale întreprinderii comune pentru un hidrogen curat pentru exercițiul financiar 2023,</w:t>
      </w:r>
    </w:p>
    <w:p w14:paraId="24F040F7"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anual al Curții de Conturi privind întreprinderile comune ale UE pentru exercițiul financiar 2023, însoțit de răspunsurile întreprinderilor comune</w:t>
      </w:r>
      <w:r w:rsidRPr="00344BA4">
        <w:rPr>
          <w:kern w:val="2"/>
          <w:vertAlign w:val="superscript"/>
          <w14:ligatures w14:val="standardContextual"/>
        </w:rPr>
        <w:footnoteReference w:id="31"/>
      </w:r>
      <w:r w:rsidRPr="00344BA4">
        <w:rPr>
          <w:kern w:val="2"/>
          <w14:ligatures w14:val="standardContextual"/>
        </w:rPr>
        <w:t>,</w:t>
      </w:r>
    </w:p>
    <w:p w14:paraId="2FF9198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declarația de asigurare</w:t>
      </w:r>
      <w:r w:rsidRPr="00344BA4">
        <w:rPr>
          <w:kern w:val="2"/>
          <w:vertAlign w:val="superscript"/>
          <w14:ligatures w14:val="standardContextual"/>
        </w:rPr>
        <w:footnoteReference w:id="32"/>
      </w:r>
      <w:r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25502B3"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1255386A"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articolul 319 din Tratatul privind funcționarea Uniunii Europene,</w:t>
      </w:r>
    </w:p>
    <w:p w14:paraId="6A61F481"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344BA4">
        <w:rPr>
          <w:kern w:val="2"/>
          <w:vertAlign w:val="superscript"/>
          <w14:ligatures w14:val="standardContextual"/>
        </w:rPr>
        <w:footnoteReference w:id="33"/>
      </w:r>
      <w:r w:rsidRPr="00344BA4">
        <w:rPr>
          <w:kern w:val="2"/>
          <w14:ligatures w14:val="standardContextual"/>
        </w:rPr>
        <w:t>, în special articolul 71,</w:t>
      </w:r>
    </w:p>
    <w:p w14:paraId="4AEDD9F8"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2024/2509 al Parlamentului European și al Consiliului din 23 septembrie 2024 privind normele financiare aplicabile bugetului general al Uniunii</w:t>
      </w:r>
      <w:r w:rsidRPr="00344BA4">
        <w:rPr>
          <w:kern w:val="2"/>
          <w:vertAlign w:val="superscript"/>
          <w14:ligatures w14:val="standardContextual"/>
        </w:rPr>
        <w:footnoteReference w:id="34"/>
      </w:r>
      <w:r w:rsidRPr="00344BA4">
        <w:rPr>
          <w:kern w:val="2"/>
          <w14:ligatures w14:val="standardContextual"/>
        </w:rPr>
        <w:t>, în special articolul 71,</w:t>
      </w:r>
    </w:p>
    <w:p w14:paraId="21CFE885"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344BA4">
        <w:rPr>
          <w:kern w:val="2"/>
          <w:vertAlign w:val="superscript"/>
          <w14:ligatures w14:val="standardContextual"/>
        </w:rPr>
        <w:footnoteReference w:id="35"/>
      </w:r>
      <w:r w:rsidRPr="00344BA4">
        <w:rPr>
          <w:kern w:val="2"/>
          <w14:ligatures w14:val="standardContextual"/>
        </w:rPr>
        <w:t>, în special articolul 26,</w:t>
      </w:r>
    </w:p>
    <w:p w14:paraId="4017FF99"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344BA4">
        <w:rPr>
          <w:kern w:val="2"/>
          <w:vertAlign w:val="superscript"/>
          <w14:ligatures w14:val="standardContextual"/>
        </w:rPr>
        <w:footnoteReference w:id="36"/>
      </w:r>
      <w:r w:rsidRPr="00344BA4">
        <w:rPr>
          <w:kern w:val="2"/>
          <w14:ligatures w14:val="standardContextual"/>
        </w:rPr>
        <w:t>,</w:t>
      </w:r>
    </w:p>
    <w:p w14:paraId="73B55CC8"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lastRenderedPageBreak/>
        <w:t>–</w:t>
      </w:r>
      <w:r w:rsidRPr="00344BA4">
        <w:rPr>
          <w:kern w:val="2"/>
          <w14:ligatures w14:val="standardContextual"/>
        </w:rPr>
        <w:tab/>
        <w:t>având în vedere articolul 102 și anexa V la Regulamentul său de procedură,</w:t>
      </w:r>
    </w:p>
    <w:p w14:paraId="0FB55A72"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avizul Comisiei pentru transport și turism,</w:t>
      </w:r>
    </w:p>
    <w:p w14:paraId="3B5B8F92"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Comisiei pentru control bugetar (A10-0056/2025),</w:t>
      </w:r>
    </w:p>
    <w:p w14:paraId="429FAACE"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aprobă închiderea conturilor întreprinderii comune pentru un hidrogen curat pentru exercițiul financiar 2023;</w:t>
      </w:r>
    </w:p>
    <w:p w14:paraId="026887B7" w14:textId="7046688E"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directoarei executive a întreprinderii comune pentru un hidrogen curat, Consiliului, Comisiei și Curții de Conturi și de a asigura publicarea acesteia în </w:t>
      </w:r>
      <w:r w:rsidRPr="00344BA4">
        <w:rPr>
          <w:i/>
          <w:kern w:val="2"/>
          <w14:ligatures w14:val="standardContextual"/>
        </w:rPr>
        <w:t>Jurnalul Oficial al Uniunii Europene</w:t>
      </w:r>
      <w:r w:rsidRPr="00344BA4">
        <w:rPr>
          <w:kern w:val="2"/>
          <w14:ligatures w14:val="standardContextual"/>
        </w:rPr>
        <w:t xml:space="preserve"> (seria L).</w:t>
      </w:r>
    </w:p>
    <w:p w14:paraId="7F2B3A03"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385D90AF" w14:textId="77777777" w:rsidR="00344BA4" w:rsidRPr="00344BA4" w:rsidRDefault="00344BA4" w:rsidP="00C779F6">
      <w:pPr>
        <w:pStyle w:val="ATHeading3"/>
      </w:pPr>
      <w:r w:rsidRPr="00344BA4">
        <w:lastRenderedPageBreak/>
        <w:t>7. Decizia Parlamentului European din 7 mai 2025 privind descărcarea de gestiune pentru execuția bugetului întreprinderii comune pentru căile ferate ale Europei aferent exercițiului financiar 2023 (2024/2031(DEC))</w:t>
      </w:r>
    </w:p>
    <w:p w14:paraId="78846343" w14:textId="3E70A7A2" w:rsidR="00344BA4" w:rsidRPr="00344BA4" w:rsidRDefault="00344BA4" w:rsidP="00C779F6">
      <w:pPr>
        <w:spacing w:before="480" w:after="240"/>
        <w:rPr>
          <w:iCs/>
          <w:kern w:val="2"/>
          <w14:ligatures w14:val="standardContextual"/>
        </w:rPr>
      </w:pPr>
      <w:r w:rsidRPr="00344BA4">
        <w:rPr>
          <w:i/>
          <w:iCs/>
          <w:kern w:val="2"/>
          <w14:ligatures w14:val="standardContextual"/>
        </w:rPr>
        <w:t>Parlamentul European,</w:t>
      </w:r>
    </w:p>
    <w:p w14:paraId="09E0EB71"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conturile anuale finale ale întreprinderii comune pentru căile ferate ale Europei pentru exercițiul financiar 2023,</w:t>
      </w:r>
    </w:p>
    <w:p w14:paraId="14B50952"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anual al Curții de Conturi privind întreprinderile comune ale UE pentru exercițiul financiar 2023, însoțit de răspunsurile întreprinderilor comune</w:t>
      </w:r>
      <w:r w:rsidRPr="00344BA4">
        <w:rPr>
          <w:kern w:val="2"/>
          <w:vertAlign w:val="superscript"/>
          <w14:ligatures w14:val="standardContextual"/>
        </w:rPr>
        <w:footnoteReference w:id="37"/>
      </w:r>
      <w:r w:rsidRPr="00344BA4">
        <w:rPr>
          <w:kern w:val="2"/>
          <w14:ligatures w14:val="standardContextual"/>
        </w:rPr>
        <w:t>,</w:t>
      </w:r>
    </w:p>
    <w:p w14:paraId="00335C45"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declarația de asigurare</w:t>
      </w:r>
      <w:r w:rsidRPr="00344BA4">
        <w:rPr>
          <w:kern w:val="2"/>
          <w:vertAlign w:val="superscript"/>
          <w14:ligatures w14:val="standardContextual"/>
        </w:rPr>
        <w:footnoteReference w:id="38"/>
      </w:r>
      <w:r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D676F8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142D5054"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articolul 319 din Tratatul privind funcționarea Uniunii Europene,</w:t>
      </w:r>
    </w:p>
    <w:p w14:paraId="296F6BA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344BA4">
        <w:rPr>
          <w:kern w:val="2"/>
          <w:vertAlign w:val="superscript"/>
          <w14:ligatures w14:val="standardContextual"/>
        </w:rPr>
        <w:footnoteReference w:id="39"/>
      </w:r>
      <w:r w:rsidRPr="00344BA4">
        <w:rPr>
          <w:kern w:val="2"/>
          <w14:ligatures w14:val="standardContextual"/>
        </w:rPr>
        <w:t>, în special articolul 71,</w:t>
      </w:r>
    </w:p>
    <w:p w14:paraId="3282986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2024/2509 al Parlamentului European și al Consiliului din 23 septembrie 2024 privind normele financiare aplicabile bugetului general al Uniunii</w:t>
      </w:r>
      <w:r w:rsidRPr="00344BA4">
        <w:rPr>
          <w:kern w:val="2"/>
          <w:vertAlign w:val="superscript"/>
          <w14:ligatures w14:val="standardContextual"/>
        </w:rPr>
        <w:footnoteReference w:id="40"/>
      </w:r>
      <w:r w:rsidRPr="00344BA4">
        <w:rPr>
          <w:kern w:val="2"/>
          <w14:ligatures w14:val="standardContextual"/>
        </w:rPr>
        <w:t>, în special articolul 71,</w:t>
      </w:r>
    </w:p>
    <w:p w14:paraId="571E598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344BA4">
        <w:rPr>
          <w:kern w:val="2"/>
          <w:vertAlign w:val="superscript"/>
          <w14:ligatures w14:val="standardContextual"/>
        </w:rPr>
        <w:footnoteReference w:id="41"/>
      </w:r>
      <w:r w:rsidRPr="00344BA4">
        <w:rPr>
          <w:kern w:val="2"/>
          <w14:ligatures w14:val="standardContextual"/>
        </w:rPr>
        <w:t>, în special articolul 26,</w:t>
      </w:r>
    </w:p>
    <w:p w14:paraId="425C5D6A"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344BA4">
        <w:rPr>
          <w:kern w:val="2"/>
          <w:vertAlign w:val="superscript"/>
          <w14:ligatures w14:val="standardContextual"/>
        </w:rPr>
        <w:footnoteReference w:id="42"/>
      </w:r>
      <w:r w:rsidRPr="00344BA4">
        <w:rPr>
          <w:kern w:val="2"/>
          <w14:ligatures w14:val="standardContextual"/>
        </w:rPr>
        <w:t>,</w:t>
      </w:r>
    </w:p>
    <w:p w14:paraId="6C788425"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lastRenderedPageBreak/>
        <w:t>–</w:t>
      </w:r>
      <w:r w:rsidRPr="00344BA4">
        <w:rPr>
          <w:kern w:val="2"/>
          <w14:ligatures w14:val="standardContextual"/>
        </w:rPr>
        <w:tab/>
        <w:t>având în vedere articolul 102 și anexa V la Regulamentul său de procedură,</w:t>
      </w:r>
    </w:p>
    <w:p w14:paraId="66727B12"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avizul Comisiei pentru transport și turism,</w:t>
      </w:r>
    </w:p>
    <w:p w14:paraId="50E856A7"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Comisiei pentru control bugetar (A10-0056/2025),</w:t>
      </w:r>
    </w:p>
    <w:p w14:paraId="7C511AD5"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acordă directorului executiv al întreprinderii comune pentru căile ferate ale Europei descărcarea de gestiune pentru execuția bugetului întreprinderii comune aferent exercițiului financiar 2023;</w:t>
      </w:r>
    </w:p>
    <w:p w14:paraId="4E7F593C"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își prezintă observațiile în cadrul rezoluției de mai jos;</w:t>
      </w:r>
    </w:p>
    <w:p w14:paraId="068F3661" w14:textId="45BFFAFF" w:rsidR="00344BA4" w:rsidRPr="00344BA4" w:rsidRDefault="00344BA4" w:rsidP="00C779F6">
      <w:pPr>
        <w:spacing w:after="240"/>
        <w:ind w:left="567" w:hanging="567"/>
        <w:rPr>
          <w:kern w:val="2"/>
          <w14:ligatures w14:val="standardContextual"/>
        </w:rPr>
      </w:pPr>
      <w:r w:rsidRPr="00344BA4">
        <w:rPr>
          <w:kern w:val="2"/>
          <w14:ligatures w14:val="standardContextual"/>
        </w:rPr>
        <w:t>3.</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împreună cu rezoluția Parlamentului, ca parte integrantă a acesteia, directorului executiv al întreprinderii comune pentru căile ferate ale Europei, Consiliului, Comisiei și Curții de Conturi și de a asigura publicarea acestora în </w:t>
      </w:r>
      <w:r w:rsidRPr="00344BA4">
        <w:rPr>
          <w:i/>
          <w:kern w:val="2"/>
          <w14:ligatures w14:val="standardContextual"/>
        </w:rPr>
        <w:t>Jurnalul Oficial al Uniunii Europene</w:t>
      </w:r>
      <w:r w:rsidRPr="00344BA4">
        <w:rPr>
          <w:kern w:val="2"/>
          <w14:ligatures w14:val="standardContextual"/>
        </w:rPr>
        <w:t xml:space="preserve"> (seria L).</w:t>
      </w:r>
    </w:p>
    <w:p w14:paraId="3F25EA13"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2C91B5A4" w14:textId="77777777" w:rsidR="00344BA4" w:rsidRPr="00344BA4" w:rsidRDefault="00344BA4" w:rsidP="00C779F6">
      <w:pPr>
        <w:pStyle w:val="ATHeading3"/>
      </w:pPr>
      <w:r w:rsidRPr="00344BA4">
        <w:lastRenderedPageBreak/>
        <w:t>8. Decizia Parlamentului European din 7 mai 2025 privind închiderea conturilor întreprinderii comune pentru căile ferate ale Europei pentru exercițiul financiar 2023 (2024/2031(DEC))</w:t>
      </w:r>
    </w:p>
    <w:p w14:paraId="6CF22D24" w14:textId="43C9267E" w:rsidR="00344BA4" w:rsidRPr="00344BA4" w:rsidRDefault="00344BA4" w:rsidP="00C779F6">
      <w:pPr>
        <w:spacing w:before="480" w:after="240"/>
        <w:rPr>
          <w:iCs/>
          <w:kern w:val="2"/>
          <w14:ligatures w14:val="standardContextual"/>
        </w:rPr>
      </w:pPr>
      <w:r w:rsidRPr="00344BA4">
        <w:rPr>
          <w:i/>
          <w:iCs/>
          <w:kern w:val="2"/>
          <w14:ligatures w14:val="standardContextual"/>
        </w:rPr>
        <w:t>Parlamentul European,</w:t>
      </w:r>
    </w:p>
    <w:p w14:paraId="21BAB2BE"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conturile anuale finale ale întreprinderii comune pentru căile ferate ale Europei pentru exercițiul financiar 2023,</w:t>
      </w:r>
    </w:p>
    <w:p w14:paraId="1267F5D3"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anual al Curții de Conturi privind întreprinderile comune ale UE pentru exercițiul financiar 2023, însoțit de răspunsurile întreprinderilor comune</w:t>
      </w:r>
      <w:r w:rsidRPr="00344BA4">
        <w:rPr>
          <w:kern w:val="2"/>
          <w:vertAlign w:val="superscript"/>
          <w14:ligatures w14:val="standardContextual"/>
        </w:rPr>
        <w:footnoteReference w:id="43"/>
      </w:r>
      <w:r w:rsidRPr="00344BA4">
        <w:rPr>
          <w:kern w:val="2"/>
          <w14:ligatures w14:val="standardContextual"/>
        </w:rPr>
        <w:t>,</w:t>
      </w:r>
    </w:p>
    <w:p w14:paraId="394E481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declarația de asigurare</w:t>
      </w:r>
      <w:r w:rsidRPr="00344BA4">
        <w:rPr>
          <w:kern w:val="2"/>
          <w:vertAlign w:val="superscript"/>
          <w14:ligatures w14:val="standardContextual"/>
        </w:rPr>
        <w:footnoteReference w:id="44"/>
      </w:r>
      <w:r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0B315DA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7FE360DA"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articolul 319 din Tratatul privind funcționarea Uniunii Europene,</w:t>
      </w:r>
    </w:p>
    <w:p w14:paraId="5107957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344BA4">
        <w:rPr>
          <w:kern w:val="2"/>
          <w:vertAlign w:val="superscript"/>
          <w14:ligatures w14:val="standardContextual"/>
        </w:rPr>
        <w:footnoteReference w:id="45"/>
      </w:r>
      <w:r w:rsidRPr="00344BA4">
        <w:rPr>
          <w:kern w:val="2"/>
          <w14:ligatures w14:val="standardContextual"/>
        </w:rPr>
        <w:t>, în special articolul 71,</w:t>
      </w:r>
    </w:p>
    <w:p w14:paraId="2AFCC879"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2024/2509 al Parlamentului European și al Consiliului din 23 septembrie 2024 privind normele financiare aplicabile bugetului general al Uniunii (reformare)</w:t>
      </w:r>
      <w:r w:rsidRPr="00344BA4">
        <w:rPr>
          <w:kern w:val="2"/>
          <w:vertAlign w:val="superscript"/>
          <w14:ligatures w14:val="standardContextual"/>
        </w:rPr>
        <w:footnoteReference w:id="46"/>
      </w:r>
      <w:r w:rsidRPr="00344BA4">
        <w:rPr>
          <w:kern w:val="2"/>
          <w14:ligatures w14:val="standardContextual"/>
        </w:rPr>
        <w:t>, în special articolul 71,</w:t>
      </w:r>
    </w:p>
    <w:p w14:paraId="3EA39B2E"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344BA4">
        <w:rPr>
          <w:kern w:val="2"/>
          <w:vertAlign w:val="superscript"/>
          <w14:ligatures w14:val="standardContextual"/>
        </w:rPr>
        <w:footnoteReference w:id="47"/>
      </w:r>
      <w:r w:rsidRPr="00344BA4">
        <w:rPr>
          <w:kern w:val="2"/>
          <w14:ligatures w14:val="standardContextual"/>
        </w:rPr>
        <w:t>, în special articolul 26,</w:t>
      </w:r>
    </w:p>
    <w:p w14:paraId="258509A8"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344BA4">
        <w:rPr>
          <w:kern w:val="2"/>
          <w:vertAlign w:val="superscript"/>
          <w14:ligatures w14:val="standardContextual"/>
        </w:rPr>
        <w:footnoteReference w:id="48"/>
      </w:r>
      <w:r w:rsidRPr="00344BA4">
        <w:rPr>
          <w:kern w:val="2"/>
          <w14:ligatures w14:val="standardContextual"/>
        </w:rPr>
        <w:t>,</w:t>
      </w:r>
    </w:p>
    <w:p w14:paraId="7BD0329E"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lastRenderedPageBreak/>
        <w:t>–</w:t>
      </w:r>
      <w:r w:rsidRPr="00344BA4">
        <w:rPr>
          <w:kern w:val="2"/>
          <w14:ligatures w14:val="standardContextual"/>
        </w:rPr>
        <w:tab/>
        <w:t>având în vedere articolul 102 și anexa V la Regulamentul său de procedură,</w:t>
      </w:r>
    </w:p>
    <w:p w14:paraId="7D32C743"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avizul Comisiei pentru transport și turism,</w:t>
      </w:r>
    </w:p>
    <w:p w14:paraId="20135CE3"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Comisiei pentru control bugetar (A10-0056/2025),</w:t>
      </w:r>
    </w:p>
    <w:p w14:paraId="21DF3A92"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aprobă închiderea conturilor întreprinderii comune pentru căile ferate ale Europei pentru exercițiul financiar 2023;</w:t>
      </w:r>
    </w:p>
    <w:p w14:paraId="0BD6BF2B" w14:textId="16B24FFC"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directorului executiv al întreprinderii comune pentru căile ferate ale Europei, Consiliului, Comisiei și Curții de Conturi și de a asigura publicarea acesteia în </w:t>
      </w:r>
      <w:r w:rsidRPr="00344BA4">
        <w:rPr>
          <w:i/>
          <w:kern w:val="2"/>
          <w14:ligatures w14:val="standardContextual"/>
        </w:rPr>
        <w:t>Jurnalul Oficial al Uniunii Europene</w:t>
      </w:r>
      <w:r w:rsidRPr="00344BA4">
        <w:rPr>
          <w:kern w:val="2"/>
          <w14:ligatures w14:val="standardContextual"/>
        </w:rPr>
        <w:t xml:space="preserve"> (seria L).</w:t>
      </w:r>
    </w:p>
    <w:p w14:paraId="48709D14"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2346D48B" w14:textId="77777777" w:rsidR="00344BA4" w:rsidRPr="00344BA4" w:rsidRDefault="00344BA4" w:rsidP="00C779F6">
      <w:pPr>
        <w:pStyle w:val="ATHeading3"/>
      </w:pPr>
      <w:r w:rsidRPr="00344BA4">
        <w:lastRenderedPageBreak/>
        <w:t>9. Decizia Parlamentului European din 7 mai 2025 privind descărcarea de gestiune pentru execuția bugetului întreprinderii comune pentru calculul european de înaltă performanță aferent exercițiului financiar 2023 (2024/2031(DEC))</w:t>
      </w:r>
    </w:p>
    <w:p w14:paraId="6F54AEE3" w14:textId="3EB7FCBB" w:rsidR="00344BA4" w:rsidRPr="00344BA4" w:rsidRDefault="00344BA4" w:rsidP="00C779F6">
      <w:pPr>
        <w:spacing w:before="480" w:after="240"/>
        <w:rPr>
          <w:kern w:val="2"/>
          <w14:ligatures w14:val="standardContextual"/>
        </w:rPr>
      </w:pPr>
      <w:r w:rsidRPr="00344BA4">
        <w:rPr>
          <w:i/>
          <w:iCs/>
          <w:kern w:val="2"/>
          <w14:ligatures w14:val="standardContextual"/>
        </w:rPr>
        <w:t>Parlamentul European,</w:t>
      </w:r>
    </w:p>
    <w:p w14:paraId="1EC624DE" w14:textId="6CB136B2"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pentru calculul european de înaltă performanță pentru exercițiul financiar 2023,</w:t>
      </w:r>
    </w:p>
    <w:p w14:paraId="3281096E" w14:textId="4E134728"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 </w:t>
      </w:r>
      <w:r w:rsidR="00344BA4" w:rsidRPr="00344BA4">
        <w:rPr>
          <w:rFonts w:eastAsia="Aptos"/>
          <w:kern w:val="2"/>
          <w:szCs w:val="24"/>
          <w:vertAlign w:val="superscript"/>
          <w14:ligatures w14:val="standardContextual"/>
        </w:rPr>
        <w:footnoteReference w:id="49"/>
      </w:r>
      <w:r w:rsidR="00344BA4" w:rsidRPr="00344BA4">
        <w:rPr>
          <w:kern w:val="2"/>
          <w14:ligatures w14:val="standardContextual"/>
        </w:rPr>
        <w:t>,</w:t>
      </w:r>
    </w:p>
    <w:p w14:paraId="1B537DF5" w14:textId="3F51DC85"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 </w:t>
      </w:r>
      <w:r w:rsidR="00344BA4" w:rsidRPr="00344BA4">
        <w:rPr>
          <w:rFonts w:eastAsia="Aptos"/>
          <w:kern w:val="2"/>
          <w:szCs w:val="24"/>
          <w:vertAlign w:val="superscript"/>
          <w14:ligatures w14:val="standardContextual"/>
        </w:rPr>
        <w:footnoteReference w:id="50"/>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6D13CDEF" w14:textId="1D29A20B"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2BD030ED" w14:textId="139B7AB0"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6CF1CB89" w14:textId="7BE3270B"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344BA4" w:rsidRPr="00344BA4">
        <w:rPr>
          <w:rFonts w:eastAsia="Aptos"/>
          <w:kern w:val="2"/>
          <w:szCs w:val="24"/>
          <w:vertAlign w:val="superscript"/>
          <w14:ligatures w14:val="standardContextual"/>
        </w:rPr>
        <w:footnoteReference w:id="51"/>
      </w:r>
      <w:r w:rsidR="00344BA4" w:rsidRPr="00344BA4">
        <w:rPr>
          <w:kern w:val="2"/>
          <w14:ligatures w14:val="standardContextual"/>
        </w:rPr>
        <w:t>, în special articolul 71,</w:t>
      </w:r>
    </w:p>
    <w:p w14:paraId="131A4600" w14:textId="2DF30611"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 </w:t>
      </w:r>
      <w:r w:rsidR="00344BA4" w:rsidRPr="00344BA4">
        <w:rPr>
          <w:rFonts w:eastAsia="Aptos"/>
          <w:kern w:val="2"/>
          <w:szCs w:val="24"/>
          <w:vertAlign w:val="superscript"/>
          <w14:ligatures w14:val="standardContextual"/>
        </w:rPr>
        <w:footnoteReference w:id="52"/>
      </w:r>
      <w:r w:rsidR="00344BA4" w:rsidRPr="00344BA4">
        <w:rPr>
          <w:kern w:val="2"/>
          <w14:ligatures w14:val="standardContextual"/>
        </w:rPr>
        <w:t>, în special articolul 71,</w:t>
      </w:r>
    </w:p>
    <w:p w14:paraId="71FC31F5" w14:textId="2FC5691F"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2021/1173 al Consiliului din 13 iulie 2021 privind instituirea întreprinderii comune pentru calculul european de înaltă performanță și de abrogare a Regulamentului (UE) 2018/1488 </w:t>
      </w:r>
      <w:r w:rsidR="00344BA4" w:rsidRPr="00344BA4">
        <w:rPr>
          <w:rFonts w:eastAsia="Aptos"/>
          <w:kern w:val="2"/>
          <w:szCs w:val="24"/>
          <w:vertAlign w:val="superscript"/>
          <w14:ligatures w14:val="standardContextual"/>
        </w:rPr>
        <w:footnoteReference w:id="53"/>
      </w:r>
      <w:r w:rsidR="00344BA4" w:rsidRPr="00344BA4">
        <w:rPr>
          <w:kern w:val="2"/>
          <w14:ligatures w14:val="standardContextual"/>
        </w:rPr>
        <w:t>, în special articolul 19,</w:t>
      </w:r>
    </w:p>
    <w:p w14:paraId="73157A8A" w14:textId="1E6046ED"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 </w:t>
      </w:r>
      <w:r w:rsidR="00344BA4" w:rsidRPr="00344BA4">
        <w:rPr>
          <w:rFonts w:eastAsia="Aptos"/>
          <w:kern w:val="2"/>
          <w:szCs w:val="24"/>
          <w:vertAlign w:val="superscript"/>
          <w14:ligatures w14:val="standardContextual"/>
        </w:rPr>
        <w:footnoteReference w:id="54"/>
      </w:r>
      <w:r w:rsidR="00344BA4" w:rsidRPr="00344BA4">
        <w:rPr>
          <w:kern w:val="2"/>
          <w14:ligatures w14:val="standardContextual"/>
        </w:rPr>
        <w:t>,</w:t>
      </w:r>
    </w:p>
    <w:p w14:paraId="1A0AE7C3" w14:textId="4B916483"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102 și anexa V la Regulamentul său de procedură,</w:t>
      </w:r>
    </w:p>
    <w:p w14:paraId="2F69DF69" w14:textId="1249A810" w:rsidR="00344BA4" w:rsidRPr="00344BA4" w:rsidRDefault="00846E79" w:rsidP="00C779F6">
      <w:pPr>
        <w:spacing w:after="240"/>
        <w:ind w:left="720" w:hanging="720"/>
        <w:rPr>
          <w:kern w:val="2"/>
          <w14:ligatures w14:val="standardContextual"/>
        </w:rPr>
      </w:pPr>
      <w:r>
        <w:rPr>
          <w:kern w:val="2"/>
          <w14:ligatures w14:val="standardContextual"/>
        </w:rPr>
        <w:lastRenderedPageBreak/>
        <w:t>–</w:t>
      </w:r>
      <w:r w:rsidR="00344BA4" w:rsidRPr="00344BA4">
        <w:rPr>
          <w:kern w:val="2"/>
          <w14:ligatures w14:val="standardContextual"/>
        </w:rPr>
        <w:tab/>
        <w:t>având în vedere avizul Comisiei pentru transport și turism,</w:t>
      </w:r>
    </w:p>
    <w:p w14:paraId="0BAC8222" w14:textId="4579BF46"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740914A9"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acordă directorului executiv al întreprinderii comune pentru calculul european de înaltă performanță descărcarea de gestiune pentru execuția bugetului întreprinderii comune aferent exercițiului financiar 2023;</w:t>
      </w:r>
    </w:p>
    <w:p w14:paraId="1B6A8E15"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își prezintă observațiile în cadrul rezoluției de mai jos;</w:t>
      </w:r>
    </w:p>
    <w:p w14:paraId="61D98AAD" w14:textId="652B8E23" w:rsidR="00344BA4" w:rsidRPr="00344BA4" w:rsidRDefault="00344BA4" w:rsidP="00C779F6">
      <w:pPr>
        <w:spacing w:after="240"/>
        <w:ind w:left="567" w:hanging="567"/>
        <w:rPr>
          <w:kern w:val="2"/>
          <w14:ligatures w14:val="standardContextual"/>
        </w:rPr>
      </w:pPr>
      <w:r w:rsidRPr="00344BA4">
        <w:rPr>
          <w:kern w:val="2"/>
          <w14:ligatures w14:val="standardContextual"/>
        </w:rPr>
        <w:t>3.</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împreună cu rezoluția Parlamentului, ca parte integrantă a acesteia, directorului executiv al întreprinderii comune pentru calculul european de înaltă performanță, Consiliului, Comisiei și Curții de Conturi și de a asigura publicarea acestora în </w:t>
      </w:r>
      <w:r w:rsidRPr="00344BA4">
        <w:rPr>
          <w:i/>
          <w:kern w:val="2"/>
          <w14:ligatures w14:val="standardContextual"/>
        </w:rPr>
        <w:t>Jurnalul Oficial al Uniunii Europene</w:t>
      </w:r>
      <w:r w:rsidRPr="00344BA4">
        <w:rPr>
          <w:kern w:val="2"/>
          <w14:ligatures w14:val="standardContextual"/>
        </w:rPr>
        <w:t xml:space="preserve"> (seria L).</w:t>
      </w:r>
    </w:p>
    <w:p w14:paraId="71AA00E3"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21F0EFD7" w14:textId="77777777" w:rsidR="00344BA4" w:rsidRPr="00344BA4" w:rsidRDefault="00344BA4" w:rsidP="00C779F6">
      <w:pPr>
        <w:pStyle w:val="ATHeading3"/>
      </w:pPr>
      <w:r w:rsidRPr="00344BA4">
        <w:lastRenderedPageBreak/>
        <w:t>10. Decizia Parlamentului European din 7 mai 2025 privind închiderea conturilor întreprinderii comune pentru calculul european de înaltă performanță pentru exercițiul financiar 2023 (2024/2031(DEC))</w:t>
      </w:r>
    </w:p>
    <w:p w14:paraId="332DC9D2" w14:textId="0CA2FA23" w:rsidR="00344BA4" w:rsidRPr="00344BA4" w:rsidRDefault="00344BA4" w:rsidP="00C779F6">
      <w:pPr>
        <w:spacing w:before="480" w:after="240"/>
        <w:rPr>
          <w:iCs/>
          <w:kern w:val="2"/>
          <w14:ligatures w14:val="standardContextual"/>
        </w:rPr>
      </w:pPr>
      <w:r w:rsidRPr="00344BA4">
        <w:rPr>
          <w:i/>
          <w:kern w:val="2"/>
          <w14:ligatures w14:val="standardContextual"/>
        </w:rPr>
        <w:t>Parlamentul European,</w:t>
      </w:r>
    </w:p>
    <w:p w14:paraId="7EA45866" w14:textId="5A2F6E10"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pentru calculul european de înaltă performanță pentru exercițiul financiar 2023,</w:t>
      </w:r>
    </w:p>
    <w:p w14:paraId="01E03C77" w14:textId="1B237AD2"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w:t>
      </w:r>
      <w:r w:rsidR="00344BA4" w:rsidRPr="00344BA4">
        <w:rPr>
          <w:rFonts w:eastAsia="Aptos"/>
          <w:kern w:val="2"/>
          <w:szCs w:val="24"/>
          <w:vertAlign w:val="superscript"/>
          <w14:ligatures w14:val="standardContextual"/>
        </w:rPr>
        <w:footnoteReference w:id="55"/>
      </w:r>
      <w:r w:rsidR="00344BA4" w:rsidRPr="00344BA4">
        <w:rPr>
          <w:kern w:val="2"/>
          <w14:ligatures w14:val="standardContextual"/>
        </w:rPr>
        <w:t>,</w:t>
      </w:r>
    </w:p>
    <w:p w14:paraId="127C5B01" w14:textId="122DAFB8"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w:t>
      </w:r>
      <w:r w:rsidR="00344BA4" w:rsidRPr="00344BA4">
        <w:rPr>
          <w:rFonts w:eastAsia="Aptos"/>
          <w:kern w:val="2"/>
          <w:szCs w:val="24"/>
          <w:vertAlign w:val="superscript"/>
          <w14:ligatures w14:val="standardContextual"/>
        </w:rPr>
        <w:footnoteReference w:id="56"/>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7BBEA91" w14:textId="0401F289"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0F2285CF" w14:textId="067246B4"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3A741477" w14:textId="02DFCFD3"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00344BA4" w:rsidRPr="00344BA4">
        <w:rPr>
          <w:rFonts w:eastAsia="Aptos"/>
          <w:kern w:val="2"/>
          <w:szCs w:val="24"/>
          <w:vertAlign w:val="superscript"/>
          <w14:ligatures w14:val="standardContextual"/>
        </w:rPr>
        <w:footnoteReference w:id="57"/>
      </w:r>
      <w:r w:rsidR="00344BA4" w:rsidRPr="00344BA4">
        <w:rPr>
          <w:kern w:val="2"/>
          <w14:ligatures w14:val="standardContextual"/>
        </w:rPr>
        <w:t>, în special articolul 71,</w:t>
      </w:r>
    </w:p>
    <w:p w14:paraId="1241F0E6" w14:textId="7E26062D"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w:t>
      </w:r>
      <w:r w:rsidR="00344BA4" w:rsidRPr="00344BA4">
        <w:rPr>
          <w:rFonts w:eastAsia="Aptos"/>
          <w:kern w:val="2"/>
          <w:szCs w:val="24"/>
          <w:vertAlign w:val="superscript"/>
          <w14:ligatures w14:val="standardContextual"/>
        </w:rPr>
        <w:footnoteReference w:id="58"/>
      </w:r>
      <w:r w:rsidR="00344BA4" w:rsidRPr="00344BA4">
        <w:rPr>
          <w:kern w:val="2"/>
          <w14:ligatures w14:val="standardContextual"/>
        </w:rPr>
        <w:t>, în special articolul 71,</w:t>
      </w:r>
    </w:p>
    <w:p w14:paraId="06C36EF7" w14:textId="753E2C40"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Regulamentul (UE) 2021/1173 al Consiliului din 13 iulie 2021 privind instituirea întreprinderii comune pentru calculul european de înaltă performanță și de abrogare a Regulamentului (UE) 2018/1488</w:t>
      </w:r>
      <w:r w:rsidR="00344BA4" w:rsidRPr="00344BA4">
        <w:rPr>
          <w:rFonts w:eastAsia="Aptos"/>
          <w:kern w:val="2"/>
          <w:szCs w:val="24"/>
          <w:vertAlign w:val="superscript"/>
          <w14:ligatures w14:val="standardContextual"/>
        </w:rPr>
        <w:footnoteReference w:id="59"/>
      </w:r>
      <w:r w:rsidR="00344BA4" w:rsidRPr="00344BA4">
        <w:rPr>
          <w:kern w:val="2"/>
          <w14:ligatures w14:val="standardContextual"/>
        </w:rPr>
        <w:t>, în special articolul 19,</w:t>
      </w:r>
    </w:p>
    <w:p w14:paraId="1284B12E" w14:textId="116EE47B"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00344BA4" w:rsidRPr="00344BA4">
        <w:rPr>
          <w:rFonts w:eastAsia="Aptos"/>
          <w:kern w:val="2"/>
          <w:szCs w:val="24"/>
          <w:vertAlign w:val="superscript"/>
          <w14:ligatures w14:val="standardContextual"/>
        </w:rPr>
        <w:footnoteReference w:id="60"/>
      </w:r>
      <w:r w:rsidR="00344BA4" w:rsidRPr="00344BA4">
        <w:rPr>
          <w:kern w:val="2"/>
          <w14:ligatures w14:val="standardContextual"/>
        </w:rPr>
        <w:t>,</w:t>
      </w:r>
    </w:p>
    <w:p w14:paraId="078DF513" w14:textId="3DE1DF6E"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articolul 102 și anexa V la Regulamentul său de procedură,</w:t>
      </w:r>
    </w:p>
    <w:p w14:paraId="6BFF98B1" w14:textId="087DC15F" w:rsidR="00344BA4" w:rsidRPr="00344BA4" w:rsidRDefault="00846E79" w:rsidP="00C779F6">
      <w:pPr>
        <w:spacing w:after="240"/>
        <w:ind w:left="567" w:hanging="567"/>
        <w:rPr>
          <w:kern w:val="2"/>
          <w14:ligatures w14:val="standardContextual"/>
        </w:rPr>
      </w:pPr>
      <w:r>
        <w:rPr>
          <w:kern w:val="2"/>
          <w14:ligatures w14:val="standardContextual"/>
        </w:rPr>
        <w:lastRenderedPageBreak/>
        <w:t>–</w:t>
      </w:r>
      <w:r w:rsidR="00344BA4" w:rsidRPr="00344BA4">
        <w:rPr>
          <w:kern w:val="2"/>
          <w14:ligatures w14:val="standardContextual"/>
        </w:rPr>
        <w:tab/>
        <w:t>având în vedere avizul Comisiei pentru transport și turism,</w:t>
      </w:r>
    </w:p>
    <w:p w14:paraId="4791A062" w14:textId="76A900D1"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38C2A09A"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aprobă închiderea conturilor întreprinderii comune pentru calculul european de înaltă performanță pentru exercițiul financiar 2023;</w:t>
      </w:r>
    </w:p>
    <w:p w14:paraId="1D97F4FC" w14:textId="2D35A241"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directorului executiv al întreprinderii comune pentru calculul european de înaltă performanță, Consiliului, Comisiei și Curții de Conturi și de a asigura publicarea acesteia în </w:t>
      </w:r>
      <w:r w:rsidRPr="00344BA4">
        <w:rPr>
          <w:i/>
          <w:kern w:val="2"/>
          <w14:ligatures w14:val="standardContextual"/>
        </w:rPr>
        <w:t>Jurnalul Oficial al Uniunii Europene</w:t>
      </w:r>
      <w:r w:rsidRPr="00344BA4">
        <w:rPr>
          <w:kern w:val="2"/>
          <w14:ligatures w14:val="standardContextual"/>
        </w:rPr>
        <w:t xml:space="preserve"> (seria L).</w:t>
      </w:r>
    </w:p>
    <w:p w14:paraId="699E347F"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7550DAE1" w14:textId="77777777" w:rsidR="00344BA4" w:rsidRPr="00344BA4" w:rsidRDefault="00344BA4" w:rsidP="00C779F6">
      <w:pPr>
        <w:pStyle w:val="ATHeading3"/>
      </w:pPr>
      <w:r w:rsidRPr="00344BA4">
        <w:lastRenderedPageBreak/>
        <w:t>11. Decizia Parlamentului European din 7 mai 2025 privind descărcarea de gestiune pentru execuția bugetului întreprinderii comune europene pentru ITER și pentru dezvoltarea energiei de fuziune aferent exercițiului financiar 2023 (2024/2031(DEC))</w:t>
      </w:r>
    </w:p>
    <w:p w14:paraId="39E9D569" w14:textId="5EDCB96F" w:rsidR="00344BA4" w:rsidRPr="00344BA4" w:rsidRDefault="00344BA4" w:rsidP="00C779F6">
      <w:pPr>
        <w:spacing w:before="480" w:after="240"/>
        <w:rPr>
          <w:iCs/>
          <w:kern w:val="2"/>
          <w14:ligatures w14:val="standardContextual"/>
        </w:rPr>
      </w:pPr>
      <w:r w:rsidRPr="00344BA4">
        <w:rPr>
          <w:i/>
          <w:iCs/>
          <w:kern w:val="2"/>
          <w14:ligatures w14:val="standardContextual"/>
        </w:rPr>
        <w:t>Parlamentul European,</w:t>
      </w:r>
    </w:p>
    <w:p w14:paraId="5AACF7BB" w14:textId="7E81484D"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europene pentru ITER și pentru dezvoltarea energiei de fuziune pentru exercițiul financiar 2023,</w:t>
      </w:r>
    </w:p>
    <w:p w14:paraId="38A8B1ED" w14:textId="132C30A8"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 </w:t>
      </w:r>
      <w:r w:rsidR="00344BA4" w:rsidRPr="00344BA4">
        <w:rPr>
          <w:rFonts w:eastAsia="Aptos"/>
          <w:kern w:val="2"/>
          <w:szCs w:val="24"/>
          <w:vertAlign w:val="superscript"/>
          <w14:ligatures w14:val="standardContextual"/>
        </w:rPr>
        <w:footnoteReference w:id="61"/>
      </w:r>
      <w:r w:rsidR="00344BA4" w:rsidRPr="00344BA4">
        <w:rPr>
          <w:kern w:val="2"/>
          <w14:ligatures w14:val="standardContextual"/>
        </w:rPr>
        <w:t>,</w:t>
      </w:r>
    </w:p>
    <w:p w14:paraId="3ABEA7A4" w14:textId="130B0AFF"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 </w:t>
      </w:r>
      <w:r w:rsidR="00344BA4" w:rsidRPr="00344BA4">
        <w:rPr>
          <w:rFonts w:eastAsia="Aptos"/>
          <w:kern w:val="2"/>
          <w:szCs w:val="24"/>
          <w:vertAlign w:val="superscript"/>
          <w14:ligatures w14:val="standardContextual"/>
        </w:rPr>
        <w:footnoteReference w:id="62"/>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F32108D" w14:textId="1F5B380A"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7EB1C01E" w14:textId="4D6E788E"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0424495F" w14:textId="68F14573"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106a din Tratatul de instituire a Comunității Europene a Energiei Atomice,</w:t>
      </w:r>
    </w:p>
    <w:p w14:paraId="7F1F6865" w14:textId="7019C454"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344BA4" w:rsidRPr="00344BA4">
        <w:rPr>
          <w:rFonts w:eastAsia="Aptos"/>
          <w:kern w:val="2"/>
          <w:szCs w:val="24"/>
          <w:vertAlign w:val="superscript"/>
          <w14:ligatures w14:val="standardContextual"/>
        </w:rPr>
        <w:footnoteReference w:id="63"/>
      </w:r>
      <w:r w:rsidR="00344BA4" w:rsidRPr="00344BA4">
        <w:rPr>
          <w:kern w:val="2"/>
          <w14:ligatures w14:val="standardContextual"/>
        </w:rPr>
        <w:t>, în special articolul 70,</w:t>
      </w:r>
    </w:p>
    <w:p w14:paraId="72F4F54E" w14:textId="06841C90"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 </w:t>
      </w:r>
      <w:r w:rsidR="00344BA4" w:rsidRPr="00344BA4">
        <w:rPr>
          <w:rFonts w:eastAsia="Aptos"/>
          <w:kern w:val="2"/>
          <w:szCs w:val="24"/>
          <w:vertAlign w:val="superscript"/>
          <w14:ligatures w14:val="standardContextual"/>
        </w:rPr>
        <w:footnoteReference w:id="64"/>
      </w:r>
      <w:r w:rsidR="00344BA4" w:rsidRPr="00344BA4">
        <w:rPr>
          <w:kern w:val="2"/>
          <w14:ligatures w14:val="standardContextual"/>
        </w:rPr>
        <w:t>, în special articolul 70,</w:t>
      </w:r>
    </w:p>
    <w:p w14:paraId="3A73B30A" w14:textId="15EE10CF"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Decizia 2007/198/Euratom a Consiliului din 27 martie 2007 de înființare a întreprinderii comune europene pentru ITER și pentru dezvoltarea energiei de fuziune, cu oferirea unor avantaje conexe </w:t>
      </w:r>
      <w:r w:rsidR="00344BA4" w:rsidRPr="00344BA4">
        <w:rPr>
          <w:rFonts w:eastAsia="Aptos"/>
          <w:kern w:val="2"/>
          <w:szCs w:val="24"/>
          <w:vertAlign w:val="superscript"/>
          <w14:ligatures w14:val="standardContextual"/>
        </w:rPr>
        <w:footnoteReference w:id="65"/>
      </w:r>
      <w:r w:rsidR="00344BA4" w:rsidRPr="00344BA4">
        <w:rPr>
          <w:kern w:val="2"/>
          <w14:ligatures w14:val="standardContextual"/>
        </w:rPr>
        <w:t>, în special articolul 5,</w:t>
      </w:r>
    </w:p>
    <w:p w14:paraId="03A84A4C" w14:textId="6451E124"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 xml:space="preserve">având în vedere Regulamentul delegat (UE) 2019/715 al Comisiei din 18 decembrie 2018 privind regulamentul financiar cadru pentru organele instituite în temeiul TFUE și al Tratatului Euratom și menționate la articolul 70 din Regulamentul (UE, Euratom) </w:t>
      </w:r>
      <w:r w:rsidR="00344BA4" w:rsidRPr="00344BA4">
        <w:rPr>
          <w:kern w:val="2"/>
          <w14:ligatures w14:val="standardContextual"/>
        </w:rPr>
        <w:lastRenderedPageBreak/>
        <w:t>2018/1046 al Parlamentului European și al Consiliului </w:t>
      </w:r>
      <w:r w:rsidR="00344BA4" w:rsidRPr="00344BA4">
        <w:rPr>
          <w:rFonts w:eastAsia="Aptos"/>
          <w:kern w:val="2"/>
          <w:szCs w:val="24"/>
          <w:vertAlign w:val="superscript"/>
          <w14:ligatures w14:val="standardContextual"/>
        </w:rPr>
        <w:footnoteReference w:id="66"/>
      </w:r>
      <w:r w:rsidR="00344BA4" w:rsidRPr="00344BA4">
        <w:rPr>
          <w:kern w:val="2"/>
          <w14:ligatures w14:val="standardContextual"/>
        </w:rPr>
        <w:t>,</w:t>
      </w:r>
    </w:p>
    <w:p w14:paraId="6A36F9E8" w14:textId="41D79994"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102 și anexa V la Regulamentul său de procedură,</w:t>
      </w:r>
    </w:p>
    <w:p w14:paraId="5A1E313D" w14:textId="2FBC1121"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avizul Comisiei pentru transport și turism,</w:t>
      </w:r>
    </w:p>
    <w:p w14:paraId="5353E9F2" w14:textId="12EDFD61"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5542BB42"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acordă directorului întreprinderii comune europene pentru ITER și pentru dezvoltarea energiei de fuziune descărcarea de gestiune pentru execuția bugetului întreprinderii comune aferent exercițiului financiar 2023;</w:t>
      </w:r>
    </w:p>
    <w:p w14:paraId="7C16C4B7"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își prezintă observațiile în cadrul rezoluției de mai jos;</w:t>
      </w:r>
    </w:p>
    <w:p w14:paraId="10859659" w14:textId="402E9AF0" w:rsidR="00344BA4" w:rsidRPr="00344BA4" w:rsidRDefault="00344BA4" w:rsidP="00C779F6">
      <w:pPr>
        <w:spacing w:after="240"/>
        <w:ind w:left="567" w:hanging="567"/>
        <w:rPr>
          <w:kern w:val="2"/>
          <w14:ligatures w14:val="standardContextual"/>
        </w:rPr>
      </w:pPr>
      <w:r w:rsidRPr="00344BA4">
        <w:rPr>
          <w:kern w:val="2"/>
          <w14:ligatures w14:val="standardContextual"/>
        </w:rPr>
        <w:t>3.</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împreună cu rezoluția Parlamentului, ca parte integrantă a acesteia, directorului întreprinderii comune pentru ITER și pentru dezvoltarea energiei de fuziune, Consiliului, Comisiei și Curții de Conturi și de a asigura publicarea acestora în </w:t>
      </w:r>
      <w:r w:rsidRPr="00344BA4">
        <w:rPr>
          <w:i/>
          <w:kern w:val="2"/>
          <w14:ligatures w14:val="standardContextual"/>
        </w:rPr>
        <w:t>Jurnalul Oficial al Uniunii Europene</w:t>
      </w:r>
      <w:r w:rsidRPr="00344BA4">
        <w:rPr>
          <w:kern w:val="2"/>
          <w14:ligatures w14:val="standardContextual"/>
        </w:rPr>
        <w:t xml:space="preserve"> (seria L).</w:t>
      </w:r>
    </w:p>
    <w:p w14:paraId="6FE57D2A"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51FFB43C" w14:textId="77777777" w:rsidR="00344BA4" w:rsidRPr="00344BA4" w:rsidRDefault="00344BA4" w:rsidP="00C779F6">
      <w:pPr>
        <w:pStyle w:val="ATHeading3"/>
      </w:pPr>
      <w:r w:rsidRPr="00344BA4">
        <w:lastRenderedPageBreak/>
        <w:t>12. Decizia Parlamentului European din 7 mai 2025 privind închiderea conturilor întreprinderii comune europene pentru ITER și pentru dezvoltarea energiei de fuziune pentru exercițiul financiar 2023 (2024/2031(DEC))</w:t>
      </w:r>
    </w:p>
    <w:p w14:paraId="59B244ED" w14:textId="4D977878" w:rsidR="00344BA4" w:rsidRPr="00344BA4" w:rsidRDefault="00344BA4" w:rsidP="00C779F6">
      <w:pPr>
        <w:spacing w:before="480" w:after="240"/>
        <w:rPr>
          <w:iCs/>
          <w:kern w:val="2"/>
          <w14:ligatures w14:val="standardContextual"/>
        </w:rPr>
      </w:pPr>
      <w:r w:rsidRPr="00344BA4">
        <w:rPr>
          <w:i/>
          <w:iCs/>
          <w:kern w:val="2"/>
          <w14:ligatures w14:val="standardContextual"/>
        </w:rPr>
        <w:t>Parlamentul European,</w:t>
      </w:r>
    </w:p>
    <w:p w14:paraId="270B1DDA" w14:textId="51439E8B"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europene pentru ITER și pentru dezvoltarea energiei de fuziune pentru exercițiul financiar 2023,</w:t>
      </w:r>
    </w:p>
    <w:p w14:paraId="7085014B" w14:textId="1096A80C"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 </w:t>
      </w:r>
      <w:r w:rsidR="00344BA4" w:rsidRPr="00344BA4">
        <w:rPr>
          <w:rFonts w:eastAsia="Aptos"/>
          <w:kern w:val="2"/>
          <w:szCs w:val="24"/>
          <w:vertAlign w:val="superscript"/>
          <w14:ligatures w14:val="standardContextual"/>
        </w:rPr>
        <w:footnoteReference w:id="67"/>
      </w:r>
      <w:r w:rsidR="00344BA4" w:rsidRPr="00344BA4">
        <w:rPr>
          <w:kern w:val="2"/>
          <w14:ligatures w14:val="standardContextual"/>
        </w:rPr>
        <w:t>,</w:t>
      </w:r>
    </w:p>
    <w:p w14:paraId="398F96ED" w14:textId="31D0298F"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 </w:t>
      </w:r>
      <w:r w:rsidR="00344BA4" w:rsidRPr="00344BA4">
        <w:rPr>
          <w:rFonts w:eastAsia="Aptos"/>
          <w:kern w:val="2"/>
          <w:szCs w:val="24"/>
          <w:vertAlign w:val="superscript"/>
          <w14:ligatures w14:val="standardContextual"/>
        </w:rPr>
        <w:footnoteReference w:id="68"/>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549DE587" w14:textId="6B463C70"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487B474E" w14:textId="3578AABC"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3C6B5E51" w14:textId="7833974E"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106a din Tratatul de instituire a Comunității Europene a Energiei Atomice,</w:t>
      </w:r>
    </w:p>
    <w:p w14:paraId="7E0E213D" w14:textId="3987294D"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344BA4" w:rsidRPr="00344BA4">
        <w:rPr>
          <w:rFonts w:eastAsia="Aptos"/>
          <w:kern w:val="2"/>
          <w:szCs w:val="24"/>
          <w:vertAlign w:val="superscript"/>
          <w14:ligatures w14:val="standardContextual"/>
        </w:rPr>
        <w:footnoteReference w:id="69"/>
      </w:r>
      <w:r w:rsidR="00344BA4" w:rsidRPr="00344BA4">
        <w:rPr>
          <w:kern w:val="2"/>
          <w14:ligatures w14:val="standardContextual"/>
        </w:rPr>
        <w:t>, în special articolul 70,</w:t>
      </w:r>
    </w:p>
    <w:p w14:paraId="7F1E1CDD" w14:textId="19B44C8D"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 </w:t>
      </w:r>
      <w:r w:rsidR="00344BA4" w:rsidRPr="00344BA4">
        <w:rPr>
          <w:rFonts w:eastAsia="Aptos"/>
          <w:kern w:val="2"/>
          <w:szCs w:val="24"/>
          <w:vertAlign w:val="superscript"/>
          <w14:ligatures w14:val="standardContextual"/>
        </w:rPr>
        <w:footnoteReference w:id="70"/>
      </w:r>
      <w:r w:rsidR="00344BA4" w:rsidRPr="00344BA4">
        <w:rPr>
          <w:kern w:val="2"/>
          <w14:ligatures w14:val="standardContextual"/>
        </w:rPr>
        <w:t>, în special articolul 70,</w:t>
      </w:r>
    </w:p>
    <w:p w14:paraId="4146464B" w14:textId="7E49EA05"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Decizia 2007/198/Euratom a Consiliului din 27 martie 2007 de înființare a întreprinderii comune europene pentru ITER și pentru dezvoltarea energiei de fuziune, cu oferirea unor avantaje conexe </w:t>
      </w:r>
      <w:r w:rsidR="00344BA4" w:rsidRPr="00344BA4">
        <w:rPr>
          <w:rFonts w:eastAsia="Aptos"/>
          <w:kern w:val="2"/>
          <w:szCs w:val="24"/>
          <w:vertAlign w:val="superscript"/>
          <w14:ligatures w14:val="standardContextual"/>
        </w:rPr>
        <w:footnoteReference w:id="71"/>
      </w:r>
      <w:r w:rsidR="00344BA4" w:rsidRPr="00344BA4">
        <w:rPr>
          <w:kern w:val="2"/>
          <w14:ligatures w14:val="standardContextual"/>
        </w:rPr>
        <w:t>, în special articolul 5,</w:t>
      </w:r>
    </w:p>
    <w:p w14:paraId="40037666" w14:textId="46B0AA16"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 xml:space="preserve">având în vedere Regulamentul delegat (UE) 2019/715 al Comisiei din 18 decembrie 2018 privind regulamentul financiar cadru pentru organele instituite în temeiul TFUE și al Tratatului Euratom și menționate la articolul 70 din Regulamentul (UE, Euratom) </w:t>
      </w:r>
      <w:r w:rsidR="00344BA4" w:rsidRPr="00344BA4">
        <w:rPr>
          <w:kern w:val="2"/>
          <w14:ligatures w14:val="standardContextual"/>
        </w:rPr>
        <w:lastRenderedPageBreak/>
        <w:t>2018/1046 al Parlamentului European și al Consiliului </w:t>
      </w:r>
      <w:r w:rsidR="00344BA4" w:rsidRPr="00344BA4">
        <w:rPr>
          <w:rFonts w:eastAsia="Aptos"/>
          <w:kern w:val="2"/>
          <w:szCs w:val="24"/>
          <w:vertAlign w:val="superscript"/>
          <w14:ligatures w14:val="standardContextual"/>
        </w:rPr>
        <w:footnoteReference w:id="72"/>
      </w:r>
      <w:r w:rsidR="00344BA4" w:rsidRPr="00344BA4">
        <w:rPr>
          <w:kern w:val="2"/>
          <w14:ligatures w14:val="standardContextual"/>
        </w:rPr>
        <w:t>,</w:t>
      </w:r>
    </w:p>
    <w:p w14:paraId="5FE20803" w14:textId="1702479C"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102 și anexa V la Regulamentul său de procedură,</w:t>
      </w:r>
    </w:p>
    <w:p w14:paraId="7D5A3693" w14:textId="0B7FD04B"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avizul Comisiei pentru transport și turism,</w:t>
      </w:r>
    </w:p>
    <w:p w14:paraId="08EC9D4B" w14:textId="13373876"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785AEB55"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aprobă închiderea conturilor întreprinderii comune pentru ITER și pentru dezvoltarea energiei de fuziune pentru exercițiul financiar 2023;</w:t>
      </w:r>
    </w:p>
    <w:p w14:paraId="530318B5" w14:textId="6B4CC9E8"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directorului întreprinderii comune europene pentru ITER și pentru dezvoltarea energiei de fuziune, Consiliului, Comisiei și Curții de Conturi și de a asigura publicarea acesteia în </w:t>
      </w:r>
      <w:r w:rsidRPr="00344BA4">
        <w:rPr>
          <w:i/>
          <w:kern w:val="2"/>
          <w14:ligatures w14:val="standardContextual"/>
        </w:rPr>
        <w:t>Jurnalul Oficial al Uniunii Europene</w:t>
      </w:r>
      <w:r w:rsidRPr="00344BA4">
        <w:rPr>
          <w:kern w:val="2"/>
          <w14:ligatures w14:val="standardContextual"/>
        </w:rPr>
        <w:t xml:space="preserve"> (seria L).</w:t>
      </w:r>
    </w:p>
    <w:p w14:paraId="38D7C945"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49513D06" w14:textId="77777777" w:rsidR="00344BA4" w:rsidRPr="00344BA4" w:rsidRDefault="00344BA4" w:rsidP="00C779F6">
      <w:pPr>
        <w:pStyle w:val="ATHeading3"/>
      </w:pPr>
      <w:r w:rsidRPr="00344BA4">
        <w:lastRenderedPageBreak/>
        <w:t>13. Decizia Parlamentului European din 7 mai 2025 privind descărcarea de gestiune pentru execuția bugetului întreprinderii comune EDCTP3 „Sănătatea la nivel mondial” aferent exercițiului financiar 2023 (2024/2031(DEC))</w:t>
      </w:r>
    </w:p>
    <w:p w14:paraId="4C9EEAAB" w14:textId="533FCCCB" w:rsidR="00344BA4" w:rsidRPr="00344BA4" w:rsidRDefault="00344BA4" w:rsidP="00C779F6">
      <w:pPr>
        <w:spacing w:before="480" w:after="240"/>
        <w:rPr>
          <w:kern w:val="2"/>
          <w14:ligatures w14:val="standardContextual"/>
        </w:rPr>
      </w:pPr>
      <w:r w:rsidRPr="00344BA4">
        <w:rPr>
          <w:i/>
          <w:iCs/>
          <w:kern w:val="2"/>
          <w14:ligatures w14:val="standardContextual"/>
        </w:rPr>
        <w:t>Parlamentul European,</w:t>
      </w:r>
    </w:p>
    <w:p w14:paraId="079D73A6" w14:textId="1BEC61ED"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EDCTP3 „Sănătatea la nivel mondial” pentru exercițiul financiar 2023,</w:t>
      </w:r>
    </w:p>
    <w:p w14:paraId="3E6A4C65" w14:textId="74958B18"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 </w:t>
      </w:r>
      <w:r w:rsidR="00344BA4" w:rsidRPr="00344BA4">
        <w:rPr>
          <w:rFonts w:eastAsia="Aptos"/>
          <w:kern w:val="2"/>
          <w:szCs w:val="24"/>
          <w:vertAlign w:val="superscript"/>
          <w14:ligatures w14:val="standardContextual"/>
        </w:rPr>
        <w:footnoteReference w:id="73"/>
      </w:r>
      <w:r w:rsidR="00344BA4" w:rsidRPr="00344BA4">
        <w:rPr>
          <w:kern w:val="2"/>
          <w14:ligatures w14:val="standardContextual"/>
        </w:rPr>
        <w:t>,</w:t>
      </w:r>
    </w:p>
    <w:p w14:paraId="0F019529" w14:textId="0D23E6A9"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 </w:t>
      </w:r>
      <w:r w:rsidR="00344BA4" w:rsidRPr="00344BA4">
        <w:rPr>
          <w:rFonts w:eastAsia="Aptos"/>
          <w:kern w:val="2"/>
          <w:szCs w:val="24"/>
          <w:vertAlign w:val="superscript"/>
          <w14:ligatures w14:val="standardContextual"/>
        </w:rPr>
        <w:footnoteReference w:id="74"/>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AC410E6" w14:textId="08252918"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5EC91A93" w14:textId="468EFEC7"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640D5D21" w14:textId="46988E89"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344BA4" w:rsidRPr="00344BA4">
        <w:rPr>
          <w:rFonts w:eastAsia="Aptos"/>
          <w:kern w:val="2"/>
          <w:szCs w:val="24"/>
          <w:vertAlign w:val="superscript"/>
          <w14:ligatures w14:val="standardContextual"/>
        </w:rPr>
        <w:footnoteReference w:id="75"/>
      </w:r>
      <w:r w:rsidR="00344BA4" w:rsidRPr="00344BA4">
        <w:rPr>
          <w:kern w:val="2"/>
          <w14:ligatures w14:val="standardContextual"/>
        </w:rPr>
        <w:t>, în special articolul 71,</w:t>
      </w:r>
    </w:p>
    <w:p w14:paraId="6FBAB21F" w14:textId="6B592C91"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 </w:t>
      </w:r>
      <w:r w:rsidR="00344BA4" w:rsidRPr="00344BA4">
        <w:rPr>
          <w:rFonts w:eastAsia="Aptos"/>
          <w:kern w:val="2"/>
          <w:szCs w:val="24"/>
          <w:vertAlign w:val="superscript"/>
          <w14:ligatures w14:val="standardContextual"/>
        </w:rPr>
        <w:footnoteReference w:id="76"/>
      </w:r>
      <w:r w:rsidR="00344BA4" w:rsidRPr="00344BA4">
        <w:rPr>
          <w:kern w:val="2"/>
          <w14:ligatures w14:val="standardContextual"/>
        </w:rPr>
        <w:t>, în special articolul 71,</w:t>
      </w:r>
    </w:p>
    <w:p w14:paraId="6850481E" w14:textId="0D21D2F1"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 </w:t>
      </w:r>
      <w:r w:rsidR="00344BA4" w:rsidRPr="00344BA4">
        <w:rPr>
          <w:rFonts w:eastAsia="Aptos"/>
          <w:kern w:val="2"/>
          <w:szCs w:val="24"/>
          <w:vertAlign w:val="superscript"/>
          <w14:ligatures w14:val="standardContextual"/>
        </w:rPr>
        <w:footnoteReference w:id="77"/>
      </w:r>
      <w:r w:rsidR="00344BA4" w:rsidRPr="00344BA4">
        <w:rPr>
          <w:kern w:val="2"/>
          <w14:ligatures w14:val="standardContextual"/>
        </w:rPr>
        <w:t>, în special articolul 26,</w:t>
      </w:r>
    </w:p>
    <w:p w14:paraId="6AEBA6A6" w14:textId="31EBBBC2"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 </w:t>
      </w:r>
      <w:r w:rsidR="00344BA4" w:rsidRPr="00344BA4">
        <w:rPr>
          <w:rFonts w:eastAsia="Aptos"/>
          <w:kern w:val="2"/>
          <w:szCs w:val="24"/>
          <w:vertAlign w:val="superscript"/>
          <w14:ligatures w14:val="standardContextual"/>
        </w:rPr>
        <w:footnoteReference w:id="78"/>
      </w:r>
      <w:r w:rsidR="00344BA4" w:rsidRPr="00344BA4">
        <w:rPr>
          <w:kern w:val="2"/>
          <w14:ligatures w14:val="standardContextual"/>
        </w:rPr>
        <w:t>,</w:t>
      </w:r>
    </w:p>
    <w:p w14:paraId="6D6522E4" w14:textId="6F8C861C" w:rsidR="00344BA4" w:rsidRPr="00344BA4" w:rsidRDefault="00846E79" w:rsidP="00C779F6">
      <w:pPr>
        <w:spacing w:after="240"/>
        <w:ind w:left="720" w:hanging="720"/>
        <w:rPr>
          <w:kern w:val="2"/>
          <w14:ligatures w14:val="standardContextual"/>
        </w:rPr>
      </w:pPr>
      <w:r>
        <w:rPr>
          <w:kern w:val="2"/>
          <w14:ligatures w14:val="standardContextual"/>
        </w:rPr>
        <w:lastRenderedPageBreak/>
        <w:t>–</w:t>
      </w:r>
      <w:r w:rsidR="00344BA4" w:rsidRPr="00344BA4">
        <w:rPr>
          <w:kern w:val="2"/>
          <w14:ligatures w14:val="standardContextual"/>
        </w:rPr>
        <w:tab/>
        <w:t>având în vedere articolul 102 și anexa V la Regulamentul său de procedură,</w:t>
      </w:r>
    </w:p>
    <w:p w14:paraId="5BF876F1" w14:textId="47AB6701"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avizul Comisiei pentru transport și turism,</w:t>
      </w:r>
    </w:p>
    <w:p w14:paraId="65F7EDF7" w14:textId="073B7241"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73710494"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acordă directorului executiv al întreprinderii comune EDCTP3 „Sănătatea la nivel mondial” descărcarea de gestiune pentru execuția bugetului întreprinderii comune aferent exercițiului financiar 2023;</w:t>
      </w:r>
    </w:p>
    <w:p w14:paraId="51C99887"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își prezintă observațiile în cadrul rezoluției de mai jos;</w:t>
      </w:r>
    </w:p>
    <w:p w14:paraId="3DED4923" w14:textId="7483625E" w:rsidR="00344BA4" w:rsidRPr="00344BA4" w:rsidRDefault="00344BA4" w:rsidP="00C779F6">
      <w:pPr>
        <w:spacing w:after="240"/>
        <w:ind w:left="567" w:hanging="567"/>
        <w:rPr>
          <w:kern w:val="2"/>
          <w14:ligatures w14:val="standardContextual"/>
        </w:rPr>
      </w:pPr>
      <w:r w:rsidRPr="00344BA4">
        <w:rPr>
          <w:kern w:val="2"/>
          <w14:ligatures w14:val="standardContextual"/>
        </w:rPr>
        <w:t>3.</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împreună cu rezoluția Parlamentului, ca parte integrantă a acesteia, directorului executiv al întreprinderii comune EDCTP3 „Sănătatea la nivel mondial”, Consiliului, Comisiei și Curții de Conturi și de a asigura publicarea acestora în </w:t>
      </w:r>
      <w:r w:rsidRPr="00344BA4">
        <w:rPr>
          <w:i/>
          <w:kern w:val="2"/>
          <w14:ligatures w14:val="standardContextual"/>
        </w:rPr>
        <w:t>Jurnalul Oficial al Uniunii Europene</w:t>
      </w:r>
      <w:r w:rsidRPr="00344BA4">
        <w:rPr>
          <w:kern w:val="2"/>
          <w14:ligatures w14:val="standardContextual"/>
        </w:rPr>
        <w:t xml:space="preserve"> (seria L).</w:t>
      </w:r>
    </w:p>
    <w:p w14:paraId="531B923D"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63C615C9" w14:textId="77777777" w:rsidR="00344BA4" w:rsidRPr="00344BA4" w:rsidRDefault="00344BA4" w:rsidP="00C779F6">
      <w:pPr>
        <w:pStyle w:val="ATHeading3"/>
      </w:pPr>
      <w:r w:rsidRPr="00344BA4">
        <w:lastRenderedPageBreak/>
        <w:t>14. Decizia Parlamentului European din 7 mai 2025 privind închiderea conturilor întreprinderii comune EDCTP3 „Sănătatea la nivel mondial” pentru exercițiul financiar 2023 (2024/2031(DEC))</w:t>
      </w:r>
    </w:p>
    <w:p w14:paraId="413EA1E0" w14:textId="122E1943" w:rsidR="00344BA4" w:rsidRPr="00344BA4" w:rsidRDefault="00344BA4" w:rsidP="00C779F6">
      <w:pPr>
        <w:spacing w:before="480" w:after="240"/>
        <w:rPr>
          <w:kern w:val="2"/>
          <w14:ligatures w14:val="standardContextual"/>
        </w:rPr>
      </w:pPr>
      <w:r w:rsidRPr="00344BA4">
        <w:rPr>
          <w:i/>
          <w:iCs/>
          <w:kern w:val="2"/>
          <w14:ligatures w14:val="standardContextual"/>
        </w:rPr>
        <w:t>Parlamentul European,</w:t>
      </w:r>
    </w:p>
    <w:p w14:paraId="1AD4F0C2" w14:textId="67498236"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EDCTP3 „Sănătatea la nivel mondial” pentru exercițiul financiar 2023,</w:t>
      </w:r>
    </w:p>
    <w:p w14:paraId="762508E8" w14:textId="6F133568"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 </w:t>
      </w:r>
      <w:r w:rsidR="00344BA4" w:rsidRPr="00344BA4">
        <w:rPr>
          <w:rFonts w:eastAsia="Aptos"/>
          <w:kern w:val="2"/>
          <w:szCs w:val="24"/>
          <w:vertAlign w:val="superscript"/>
          <w14:ligatures w14:val="standardContextual"/>
        </w:rPr>
        <w:footnoteReference w:id="79"/>
      </w:r>
      <w:r w:rsidR="00344BA4" w:rsidRPr="00344BA4">
        <w:rPr>
          <w:kern w:val="2"/>
          <w14:ligatures w14:val="standardContextual"/>
        </w:rPr>
        <w:t>,</w:t>
      </w:r>
    </w:p>
    <w:p w14:paraId="05D3A299" w14:textId="202DA736"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 </w:t>
      </w:r>
      <w:r w:rsidR="00344BA4" w:rsidRPr="00344BA4">
        <w:rPr>
          <w:rFonts w:eastAsia="Aptos"/>
          <w:kern w:val="2"/>
          <w:szCs w:val="24"/>
          <w:vertAlign w:val="superscript"/>
          <w14:ligatures w14:val="standardContextual"/>
        </w:rPr>
        <w:footnoteReference w:id="80"/>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231173DE" w14:textId="1CFC7930"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6F96CC89" w14:textId="584CA414"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07318927" w14:textId="10044E14"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344BA4" w:rsidRPr="00344BA4">
        <w:rPr>
          <w:rFonts w:eastAsia="Aptos"/>
          <w:kern w:val="2"/>
          <w:szCs w:val="24"/>
          <w:vertAlign w:val="superscript"/>
          <w14:ligatures w14:val="standardContextual"/>
        </w:rPr>
        <w:footnoteReference w:id="81"/>
      </w:r>
      <w:r w:rsidR="00344BA4" w:rsidRPr="00344BA4">
        <w:rPr>
          <w:kern w:val="2"/>
          <w14:ligatures w14:val="standardContextual"/>
        </w:rPr>
        <w:t>, în special articolul 71,</w:t>
      </w:r>
    </w:p>
    <w:p w14:paraId="12674781" w14:textId="3748D24F"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 </w:t>
      </w:r>
      <w:r w:rsidR="00344BA4" w:rsidRPr="00344BA4">
        <w:rPr>
          <w:rFonts w:eastAsia="Aptos"/>
          <w:kern w:val="2"/>
          <w:szCs w:val="24"/>
          <w:vertAlign w:val="superscript"/>
          <w14:ligatures w14:val="standardContextual"/>
        </w:rPr>
        <w:footnoteReference w:id="82"/>
      </w:r>
      <w:r w:rsidR="00344BA4" w:rsidRPr="00344BA4">
        <w:rPr>
          <w:kern w:val="2"/>
          <w14:ligatures w14:val="standardContextual"/>
        </w:rPr>
        <w:t>, în special articolul 71,</w:t>
      </w:r>
    </w:p>
    <w:p w14:paraId="1F2EEB65" w14:textId="7484C7EB"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 </w:t>
      </w:r>
      <w:r w:rsidR="00344BA4" w:rsidRPr="00344BA4">
        <w:rPr>
          <w:rFonts w:eastAsia="Aptos"/>
          <w:kern w:val="2"/>
          <w:szCs w:val="24"/>
          <w:vertAlign w:val="superscript"/>
          <w14:ligatures w14:val="standardContextual"/>
        </w:rPr>
        <w:footnoteReference w:id="83"/>
      </w:r>
      <w:r w:rsidR="00344BA4" w:rsidRPr="00344BA4">
        <w:rPr>
          <w:kern w:val="2"/>
          <w14:ligatures w14:val="standardContextual"/>
        </w:rPr>
        <w:t>, în special articolul 26,</w:t>
      </w:r>
    </w:p>
    <w:p w14:paraId="660938C3" w14:textId="1C4D3D92"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 </w:t>
      </w:r>
      <w:r w:rsidR="00344BA4" w:rsidRPr="00344BA4">
        <w:rPr>
          <w:rFonts w:eastAsia="Aptos"/>
          <w:kern w:val="2"/>
          <w:szCs w:val="24"/>
          <w:vertAlign w:val="superscript"/>
          <w14:ligatures w14:val="standardContextual"/>
        </w:rPr>
        <w:footnoteReference w:id="84"/>
      </w:r>
      <w:r w:rsidR="00344BA4" w:rsidRPr="00344BA4">
        <w:rPr>
          <w:kern w:val="2"/>
          <w14:ligatures w14:val="standardContextual"/>
        </w:rPr>
        <w:t>,</w:t>
      </w:r>
    </w:p>
    <w:p w14:paraId="0AD37E17" w14:textId="5CA947DA" w:rsidR="00344BA4" w:rsidRPr="00344BA4" w:rsidRDefault="00846E79" w:rsidP="00C779F6">
      <w:pPr>
        <w:spacing w:after="240"/>
        <w:ind w:left="720" w:hanging="720"/>
        <w:rPr>
          <w:kern w:val="2"/>
          <w14:ligatures w14:val="standardContextual"/>
        </w:rPr>
      </w:pPr>
      <w:r>
        <w:rPr>
          <w:kern w:val="2"/>
          <w14:ligatures w14:val="standardContextual"/>
        </w:rPr>
        <w:lastRenderedPageBreak/>
        <w:t>–</w:t>
      </w:r>
      <w:r w:rsidR="00344BA4" w:rsidRPr="00344BA4">
        <w:rPr>
          <w:kern w:val="2"/>
          <w14:ligatures w14:val="standardContextual"/>
        </w:rPr>
        <w:tab/>
        <w:t>având în vedere articolul 102 și anexa V la Regulamentul său de procedură,</w:t>
      </w:r>
    </w:p>
    <w:p w14:paraId="6E98E563" w14:textId="73FBE926"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avizul Comisiei pentru transport și turism,</w:t>
      </w:r>
    </w:p>
    <w:p w14:paraId="7AA4E72B" w14:textId="17F371FE"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23456584"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aprobă închiderea conturilor întreprinderii comune EDCTP3 „Sănătatea la nivel mondial” pentru exercițiul financiar 2023;</w:t>
      </w:r>
    </w:p>
    <w:p w14:paraId="38544D66" w14:textId="0EDD1F4B"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directorului executiv al întreprinderii comune EDCTP3 „Sănătatea la nivel </w:t>
      </w:r>
      <w:proofErr w:type="spellStart"/>
      <w:r w:rsidRPr="00344BA4">
        <w:rPr>
          <w:kern w:val="2"/>
          <w14:ligatures w14:val="standardContextual"/>
        </w:rPr>
        <w:t>mondialˮ</w:t>
      </w:r>
      <w:proofErr w:type="spellEnd"/>
      <w:r w:rsidRPr="00344BA4">
        <w:rPr>
          <w:kern w:val="2"/>
          <w14:ligatures w14:val="standardContextual"/>
        </w:rPr>
        <w:t xml:space="preserve">, Consiliului, Comisiei și Curții de Conturi și de a asigura publicarea acesteia în </w:t>
      </w:r>
      <w:r w:rsidRPr="00344BA4">
        <w:rPr>
          <w:i/>
          <w:kern w:val="2"/>
          <w14:ligatures w14:val="standardContextual"/>
        </w:rPr>
        <w:t>Jurnalul Oficial al Uniunii Europene</w:t>
      </w:r>
      <w:r w:rsidRPr="00344BA4">
        <w:rPr>
          <w:kern w:val="2"/>
          <w14:ligatures w14:val="standardContextual"/>
        </w:rPr>
        <w:t xml:space="preserve"> (seria L).</w:t>
      </w:r>
    </w:p>
    <w:p w14:paraId="152A10BB"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09D0A523" w14:textId="77777777" w:rsidR="00344BA4" w:rsidRPr="00344BA4" w:rsidRDefault="00344BA4" w:rsidP="00C779F6">
      <w:pPr>
        <w:pStyle w:val="ATHeading3"/>
      </w:pPr>
      <w:r w:rsidRPr="00344BA4">
        <w:lastRenderedPageBreak/>
        <w:t>15. Decizia Parlamentului European din 7 mai 2025 privind descărcarea de gestiune pentru execuția bugetului întreprinderii comune „Inițiativa pentru inovare în domeniul sănătății” aferent exercițiului financiar 2023 (2024/2031(DEC))</w:t>
      </w:r>
    </w:p>
    <w:p w14:paraId="245BE2F8" w14:textId="46D8DC78" w:rsidR="00344BA4" w:rsidRPr="00344BA4" w:rsidRDefault="00344BA4" w:rsidP="00C779F6">
      <w:pPr>
        <w:spacing w:before="480" w:after="240"/>
        <w:rPr>
          <w:kern w:val="2"/>
          <w14:ligatures w14:val="standardContextual"/>
        </w:rPr>
      </w:pPr>
      <w:r w:rsidRPr="00344BA4">
        <w:rPr>
          <w:i/>
          <w:iCs/>
          <w:kern w:val="2"/>
          <w14:ligatures w14:val="standardContextual"/>
        </w:rPr>
        <w:t>Parlamentul European,</w:t>
      </w:r>
    </w:p>
    <w:p w14:paraId="741F00DC" w14:textId="60E01C19"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„Inițiativa pentru inovare în domeniul sănătății” pentru exercițiul financiar 2023,</w:t>
      </w:r>
    </w:p>
    <w:p w14:paraId="6470DDAC" w14:textId="4F6F2326"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 </w:t>
      </w:r>
      <w:r w:rsidR="00344BA4" w:rsidRPr="00344BA4">
        <w:rPr>
          <w:rFonts w:eastAsia="Aptos"/>
          <w:kern w:val="2"/>
          <w:szCs w:val="24"/>
          <w:vertAlign w:val="superscript"/>
          <w14:ligatures w14:val="standardContextual"/>
        </w:rPr>
        <w:footnoteReference w:id="85"/>
      </w:r>
      <w:r w:rsidR="00344BA4" w:rsidRPr="00344BA4">
        <w:rPr>
          <w:kern w:val="2"/>
          <w14:ligatures w14:val="standardContextual"/>
        </w:rPr>
        <w:t>,</w:t>
      </w:r>
    </w:p>
    <w:p w14:paraId="58F50319" w14:textId="3850149E"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 </w:t>
      </w:r>
      <w:r w:rsidR="00344BA4" w:rsidRPr="00344BA4">
        <w:rPr>
          <w:rFonts w:eastAsia="Aptos"/>
          <w:kern w:val="2"/>
          <w:szCs w:val="24"/>
          <w:vertAlign w:val="superscript"/>
          <w14:ligatures w14:val="standardContextual"/>
        </w:rPr>
        <w:footnoteReference w:id="86"/>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A84BA56" w14:textId="21E3D90C"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60ED506E" w14:textId="50CCE2C2"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0B3367FA" w14:textId="04C55B15"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344BA4" w:rsidRPr="00344BA4">
        <w:rPr>
          <w:rFonts w:eastAsia="Aptos"/>
          <w:kern w:val="2"/>
          <w:szCs w:val="24"/>
          <w:vertAlign w:val="superscript"/>
          <w14:ligatures w14:val="standardContextual"/>
        </w:rPr>
        <w:footnoteReference w:id="87"/>
      </w:r>
      <w:r w:rsidR="00344BA4" w:rsidRPr="00344BA4">
        <w:rPr>
          <w:kern w:val="2"/>
          <w14:ligatures w14:val="standardContextual"/>
        </w:rPr>
        <w:t>, în special articolul 71,</w:t>
      </w:r>
    </w:p>
    <w:p w14:paraId="4E289765" w14:textId="240F0FC1"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 </w:t>
      </w:r>
      <w:r w:rsidR="00344BA4" w:rsidRPr="00344BA4">
        <w:rPr>
          <w:rFonts w:eastAsia="Aptos"/>
          <w:kern w:val="2"/>
          <w:szCs w:val="24"/>
          <w:vertAlign w:val="superscript"/>
          <w14:ligatures w14:val="standardContextual"/>
        </w:rPr>
        <w:footnoteReference w:id="88"/>
      </w:r>
      <w:r w:rsidR="00344BA4" w:rsidRPr="00344BA4">
        <w:rPr>
          <w:kern w:val="2"/>
          <w14:ligatures w14:val="standardContextual"/>
        </w:rPr>
        <w:t>, în special articolul 71,</w:t>
      </w:r>
    </w:p>
    <w:p w14:paraId="0644D2AA" w14:textId="4B2B7E31"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 </w:t>
      </w:r>
      <w:r w:rsidR="00344BA4" w:rsidRPr="00344BA4">
        <w:rPr>
          <w:rFonts w:eastAsia="Aptos"/>
          <w:kern w:val="2"/>
          <w:szCs w:val="24"/>
          <w:vertAlign w:val="superscript"/>
          <w14:ligatures w14:val="standardContextual"/>
        </w:rPr>
        <w:footnoteReference w:id="89"/>
      </w:r>
      <w:r w:rsidR="00344BA4" w:rsidRPr="00344BA4">
        <w:rPr>
          <w:kern w:val="2"/>
          <w14:ligatures w14:val="standardContextual"/>
        </w:rPr>
        <w:t>, în special articolul 26,</w:t>
      </w:r>
    </w:p>
    <w:p w14:paraId="1952767D" w14:textId="15239249"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 </w:t>
      </w:r>
      <w:r w:rsidR="00344BA4" w:rsidRPr="00344BA4">
        <w:rPr>
          <w:rFonts w:eastAsia="Aptos"/>
          <w:kern w:val="2"/>
          <w:szCs w:val="24"/>
          <w:vertAlign w:val="superscript"/>
          <w14:ligatures w14:val="standardContextual"/>
        </w:rPr>
        <w:footnoteReference w:id="90"/>
      </w:r>
      <w:r w:rsidR="00344BA4" w:rsidRPr="00344BA4">
        <w:rPr>
          <w:kern w:val="2"/>
          <w14:ligatures w14:val="standardContextual"/>
        </w:rPr>
        <w:t>,</w:t>
      </w:r>
    </w:p>
    <w:p w14:paraId="0B984BC4" w14:textId="40EC07B4" w:rsidR="00344BA4" w:rsidRPr="00344BA4" w:rsidRDefault="00846E79" w:rsidP="00C779F6">
      <w:pPr>
        <w:spacing w:after="240"/>
        <w:ind w:left="720" w:hanging="720"/>
        <w:rPr>
          <w:kern w:val="2"/>
          <w14:ligatures w14:val="standardContextual"/>
        </w:rPr>
      </w:pPr>
      <w:r>
        <w:rPr>
          <w:kern w:val="2"/>
          <w14:ligatures w14:val="standardContextual"/>
        </w:rPr>
        <w:lastRenderedPageBreak/>
        <w:t>–</w:t>
      </w:r>
      <w:r w:rsidR="00344BA4" w:rsidRPr="00344BA4">
        <w:rPr>
          <w:kern w:val="2"/>
          <w14:ligatures w14:val="standardContextual"/>
        </w:rPr>
        <w:tab/>
        <w:t>având în vedere articolul 102 și anexa V la Regulamentul său de procedură,</w:t>
      </w:r>
    </w:p>
    <w:p w14:paraId="6C9F5413" w14:textId="53BDE1BA"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avizul Comisiei pentru transport și turism,</w:t>
      </w:r>
    </w:p>
    <w:p w14:paraId="37694DBF" w14:textId="55310D8E"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5DD86124"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acordă directorului executiv al întreprinderii comune „Inițiativa pentru inovare în domeniul sănătății” descărcarea de gestiune pentru execuția bugetului întreprinderii comune aferent exercițiului financiar 2023;</w:t>
      </w:r>
    </w:p>
    <w:p w14:paraId="51138A3A"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își prezintă observațiile în cadrul rezoluției de mai jos;</w:t>
      </w:r>
    </w:p>
    <w:p w14:paraId="75AABF57" w14:textId="0F9BB39F" w:rsidR="00344BA4" w:rsidRPr="00344BA4" w:rsidRDefault="00344BA4" w:rsidP="00C779F6">
      <w:pPr>
        <w:spacing w:after="240"/>
        <w:ind w:left="567" w:hanging="567"/>
        <w:rPr>
          <w:kern w:val="2"/>
          <w14:ligatures w14:val="standardContextual"/>
        </w:rPr>
      </w:pPr>
      <w:r w:rsidRPr="00344BA4">
        <w:rPr>
          <w:kern w:val="2"/>
          <w14:ligatures w14:val="standardContextual"/>
        </w:rPr>
        <w:t>3.</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împreună cu rezoluția Parlamentului, ca parte integrantă a acesteia, directorului executiv al întreprinderii comune „Inițiativa pentru inovare în domeniul sănătății”, Consiliului, Comisiei și Curții de Conturi și de a asigura publicarea acestora în </w:t>
      </w:r>
      <w:r w:rsidRPr="00344BA4">
        <w:rPr>
          <w:i/>
          <w:kern w:val="2"/>
          <w14:ligatures w14:val="standardContextual"/>
        </w:rPr>
        <w:t>Jurnalul Oficial al Uniunii Europene</w:t>
      </w:r>
      <w:r w:rsidRPr="00344BA4">
        <w:rPr>
          <w:kern w:val="2"/>
          <w14:ligatures w14:val="standardContextual"/>
        </w:rPr>
        <w:t xml:space="preserve"> (seria L).</w:t>
      </w:r>
    </w:p>
    <w:p w14:paraId="327B5881"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40FF15EB" w14:textId="77777777" w:rsidR="00344BA4" w:rsidRPr="00344BA4" w:rsidRDefault="00344BA4" w:rsidP="00C779F6">
      <w:pPr>
        <w:pStyle w:val="ATHeading3"/>
      </w:pPr>
      <w:r w:rsidRPr="00344BA4">
        <w:lastRenderedPageBreak/>
        <w:t>16. Decizia Parlamentului European din 7 mai 2025 privind închiderea conturilor întreprinderii comune „Inițiativa pentru inovare în domeniul sănătății” pentru exercițiul financiar 2023 (2024/2031(DEC))</w:t>
      </w:r>
    </w:p>
    <w:p w14:paraId="14F8B609" w14:textId="69969A5D" w:rsidR="00344BA4" w:rsidRPr="00344BA4" w:rsidRDefault="00344BA4" w:rsidP="00C779F6">
      <w:pPr>
        <w:spacing w:before="480" w:after="240"/>
        <w:rPr>
          <w:iCs/>
          <w:kern w:val="2"/>
          <w14:ligatures w14:val="standardContextual"/>
        </w:rPr>
      </w:pPr>
      <w:r w:rsidRPr="00344BA4">
        <w:rPr>
          <w:i/>
          <w:iCs/>
          <w:kern w:val="2"/>
          <w14:ligatures w14:val="standardContextual"/>
        </w:rPr>
        <w:t>Parlamentul European,</w:t>
      </w:r>
    </w:p>
    <w:p w14:paraId="246C2CB2"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conturile anuale finale ale întreprinderii comune „Inițiativa pentru inovare în domeniul sănătății” pentru exercițiul financiar 2023,</w:t>
      </w:r>
    </w:p>
    <w:p w14:paraId="64FB6FB2"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anual al Curții de Conturi privind întreprinderile comune ale UE pentru exercițiul financiar 2023, însoțit de răspunsurile întreprinderilor comune</w:t>
      </w:r>
      <w:r w:rsidRPr="00344BA4">
        <w:rPr>
          <w:kern w:val="2"/>
          <w:vertAlign w:val="superscript"/>
          <w14:ligatures w14:val="standardContextual"/>
        </w:rPr>
        <w:footnoteReference w:id="91"/>
      </w:r>
      <w:r w:rsidRPr="00344BA4">
        <w:rPr>
          <w:kern w:val="2"/>
          <w14:ligatures w14:val="standardContextual"/>
        </w:rPr>
        <w:t>,</w:t>
      </w:r>
    </w:p>
    <w:p w14:paraId="1CF8E10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declarația de asigurare</w:t>
      </w:r>
      <w:r w:rsidRPr="00344BA4">
        <w:rPr>
          <w:kern w:val="2"/>
          <w:vertAlign w:val="superscript"/>
          <w14:ligatures w14:val="standardContextual"/>
        </w:rPr>
        <w:footnoteReference w:id="92"/>
      </w:r>
      <w:r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12DC6E9B"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2D8BED3A"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articolul 319 din Tratatul privind funcționarea Uniunii Europene,</w:t>
      </w:r>
    </w:p>
    <w:p w14:paraId="6C189765"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344BA4">
        <w:rPr>
          <w:kern w:val="2"/>
          <w:vertAlign w:val="superscript"/>
          <w14:ligatures w14:val="standardContextual"/>
        </w:rPr>
        <w:footnoteReference w:id="93"/>
      </w:r>
      <w:r w:rsidRPr="00344BA4">
        <w:rPr>
          <w:kern w:val="2"/>
          <w14:ligatures w14:val="standardContextual"/>
        </w:rPr>
        <w:t>, în special articolul 71,</w:t>
      </w:r>
    </w:p>
    <w:p w14:paraId="0674E8EB"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2024/2509 al Parlamentului European și al Consiliului din 23 septembrie 2024 privind normele financiare aplicabile bugetului general al Uniunii</w:t>
      </w:r>
      <w:r w:rsidRPr="00344BA4">
        <w:rPr>
          <w:kern w:val="2"/>
          <w:vertAlign w:val="superscript"/>
          <w14:ligatures w14:val="standardContextual"/>
        </w:rPr>
        <w:footnoteReference w:id="94"/>
      </w:r>
      <w:r w:rsidRPr="00344BA4">
        <w:rPr>
          <w:kern w:val="2"/>
          <w14:ligatures w14:val="standardContextual"/>
        </w:rPr>
        <w:t>, în special articolul 71,</w:t>
      </w:r>
    </w:p>
    <w:p w14:paraId="4E18302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344BA4">
        <w:rPr>
          <w:kern w:val="2"/>
          <w:vertAlign w:val="superscript"/>
          <w14:ligatures w14:val="standardContextual"/>
        </w:rPr>
        <w:footnoteReference w:id="95"/>
      </w:r>
      <w:r w:rsidRPr="00344BA4">
        <w:rPr>
          <w:kern w:val="2"/>
          <w14:ligatures w14:val="standardContextual"/>
        </w:rPr>
        <w:t>, în special articolul 26,</w:t>
      </w:r>
    </w:p>
    <w:p w14:paraId="10FC052A"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344BA4">
        <w:rPr>
          <w:kern w:val="2"/>
          <w:vertAlign w:val="superscript"/>
          <w14:ligatures w14:val="standardContextual"/>
        </w:rPr>
        <w:footnoteReference w:id="96"/>
      </w:r>
      <w:r w:rsidRPr="00344BA4">
        <w:rPr>
          <w:kern w:val="2"/>
          <w14:ligatures w14:val="standardContextual"/>
        </w:rPr>
        <w:t>,</w:t>
      </w:r>
    </w:p>
    <w:p w14:paraId="2F5ECA31"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lastRenderedPageBreak/>
        <w:t>–</w:t>
      </w:r>
      <w:r w:rsidRPr="00344BA4">
        <w:rPr>
          <w:kern w:val="2"/>
          <w14:ligatures w14:val="standardContextual"/>
        </w:rPr>
        <w:tab/>
        <w:t>având în vedere articolul 102 și anexa V la Regulamentul său de procedură,</w:t>
      </w:r>
    </w:p>
    <w:p w14:paraId="627F7A89"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avizul Comisiei pentru transport și turism,</w:t>
      </w:r>
    </w:p>
    <w:p w14:paraId="4F8CD793"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Comisiei pentru control bugetar (A10-0056/2025),</w:t>
      </w:r>
    </w:p>
    <w:p w14:paraId="6936FB44"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aprobă închiderea conturilor întreprinderii comune „Inițiativa pentru inovare în domeniul sănătății” pentru exercițiul financiar 2023;</w:t>
      </w:r>
    </w:p>
    <w:p w14:paraId="7D5249E0" w14:textId="23F115AA"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directorului executiv al întreprinderii comune „Inițiativa pentru inovare în domeniul sănătății”, Consiliului, Comisiei și Curții de Conturi și de a asigura publicarea acesteia în </w:t>
      </w:r>
      <w:r w:rsidRPr="00344BA4">
        <w:rPr>
          <w:i/>
          <w:kern w:val="2"/>
          <w14:ligatures w14:val="standardContextual"/>
        </w:rPr>
        <w:t>Jurnalul Oficial al Uniunii Europene</w:t>
      </w:r>
      <w:r w:rsidRPr="00344BA4">
        <w:rPr>
          <w:kern w:val="2"/>
          <w14:ligatures w14:val="standardContextual"/>
        </w:rPr>
        <w:t xml:space="preserve"> (seria L).</w:t>
      </w:r>
    </w:p>
    <w:p w14:paraId="58E8FEF9"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7D8A862C" w14:textId="77777777" w:rsidR="00344BA4" w:rsidRPr="00344BA4" w:rsidRDefault="00344BA4" w:rsidP="00C779F6">
      <w:pPr>
        <w:pStyle w:val="ATHeading3"/>
      </w:pPr>
      <w:r w:rsidRPr="00344BA4">
        <w:lastRenderedPageBreak/>
        <w:t>17. Decizia Parlamentului European din 7 mai 2025 privind descărcarea de gestiune pentru execuția bugetului întreprinderii comune pentru cipuri (înainte de 21.9.2023: întreprinderea comună „Tehnologii digitale esențiale”) aferent exercițiului financiar 2023 (2024/2031(DEC))</w:t>
      </w:r>
    </w:p>
    <w:p w14:paraId="464A3F85" w14:textId="6BBD8E40" w:rsidR="00344BA4" w:rsidRPr="00344BA4" w:rsidRDefault="00344BA4" w:rsidP="00C779F6">
      <w:pPr>
        <w:spacing w:before="480" w:after="240"/>
        <w:rPr>
          <w:kern w:val="2"/>
          <w14:ligatures w14:val="standardContextual"/>
        </w:rPr>
      </w:pPr>
      <w:r w:rsidRPr="00344BA4">
        <w:rPr>
          <w:i/>
          <w:iCs/>
          <w:kern w:val="2"/>
          <w14:ligatures w14:val="standardContextual"/>
        </w:rPr>
        <w:t>Parlamentul European,</w:t>
      </w:r>
    </w:p>
    <w:p w14:paraId="29739CC5" w14:textId="53AAE319"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pentru cipuri pentru exercițiul financiar 2023,</w:t>
      </w:r>
    </w:p>
    <w:p w14:paraId="53520808" w14:textId="1F6AD852"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 </w:t>
      </w:r>
      <w:r w:rsidR="00344BA4" w:rsidRPr="00344BA4">
        <w:rPr>
          <w:rFonts w:eastAsia="Aptos"/>
          <w:kern w:val="2"/>
          <w:szCs w:val="24"/>
          <w:vertAlign w:val="superscript"/>
          <w14:ligatures w14:val="standardContextual"/>
        </w:rPr>
        <w:footnoteReference w:id="97"/>
      </w:r>
      <w:r w:rsidR="00344BA4" w:rsidRPr="00344BA4">
        <w:rPr>
          <w:kern w:val="2"/>
          <w14:ligatures w14:val="standardContextual"/>
        </w:rPr>
        <w:t>,</w:t>
      </w:r>
    </w:p>
    <w:p w14:paraId="0D0B0C47" w14:textId="60955B06"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 </w:t>
      </w:r>
      <w:r w:rsidR="00344BA4" w:rsidRPr="00344BA4">
        <w:rPr>
          <w:rFonts w:eastAsia="Aptos"/>
          <w:kern w:val="2"/>
          <w:szCs w:val="24"/>
          <w:vertAlign w:val="superscript"/>
          <w14:ligatures w14:val="standardContextual"/>
        </w:rPr>
        <w:footnoteReference w:id="98"/>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7BE2AC72" w14:textId="7AB76530"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41FE9B82" w14:textId="0B44FFD9"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5FA09B13" w14:textId="38F7F1E2"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344BA4" w:rsidRPr="00344BA4">
        <w:rPr>
          <w:rFonts w:eastAsia="Aptos"/>
          <w:kern w:val="2"/>
          <w:szCs w:val="24"/>
          <w:vertAlign w:val="superscript"/>
          <w14:ligatures w14:val="standardContextual"/>
        </w:rPr>
        <w:footnoteReference w:id="99"/>
      </w:r>
      <w:r w:rsidR="00344BA4" w:rsidRPr="00344BA4">
        <w:rPr>
          <w:kern w:val="2"/>
          <w14:ligatures w14:val="standardContextual"/>
        </w:rPr>
        <w:t>, în special articolul 71,</w:t>
      </w:r>
    </w:p>
    <w:p w14:paraId="2F6A015E" w14:textId="00FDE273"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 </w:t>
      </w:r>
      <w:r w:rsidR="00344BA4" w:rsidRPr="00344BA4">
        <w:rPr>
          <w:rFonts w:eastAsia="Aptos"/>
          <w:kern w:val="2"/>
          <w:szCs w:val="24"/>
          <w:vertAlign w:val="superscript"/>
          <w14:ligatures w14:val="standardContextual"/>
        </w:rPr>
        <w:footnoteReference w:id="100"/>
      </w:r>
      <w:r w:rsidR="00344BA4" w:rsidRPr="00344BA4">
        <w:rPr>
          <w:kern w:val="2"/>
          <w14:ligatures w14:val="standardContextual"/>
        </w:rPr>
        <w:t>, în special articolul 71,</w:t>
      </w:r>
    </w:p>
    <w:p w14:paraId="10C34858" w14:textId="3D9ABD87"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 </w:t>
      </w:r>
      <w:r w:rsidR="00344BA4" w:rsidRPr="00344BA4">
        <w:rPr>
          <w:rFonts w:eastAsia="Aptos"/>
          <w:kern w:val="2"/>
          <w:szCs w:val="24"/>
          <w:vertAlign w:val="superscript"/>
          <w14:ligatures w14:val="standardContextual"/>
        </w:rPr>
        <w:footnoteReference w:id="101"/>
      </w:r>
      <w:r w:rsidR="00344BA4" w:rsidRPr="00344BA4">
        <w:rPr>
          <w:kern w:val="2"/>
          <w14:ligatures w14:val="standardContextual"/>
        </w:rPr>
        <w:t>, în special articolul 26,</w:t>
      </w:r>
    </w:p>
    <w:p w14:paraId="2EBB1F9A" w14:textId="7AA491BD"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 xml:space="preserve">având în vedere Regulamentul (UE) 2023/1782 al Consiliului din 25 iulie 2023 de modificare a Regulamentului (UE) 2021/2085 de instituire a întreprinderilor comune din cadrul programului Orizont Europa în ceea ce privește întreprinderea comună </w:t>
      </w:r>
      <w:r w:rsidR="00344BA4" w:rsidRPr="00344BA4">
        <w:rPr>
          <w:kern w:val="2"/>
          <w14:ligatures w14:val="standardContextual"/>
        </w:rPr>
        <w:lastRenderedPageBreak/>
        <w:t>pentru cipuri </w:t>
      </w:r>
      <w:r w:rsidR="00344BA4" w:rsidRPr="00344BA4">
        <w:rPr>
          <w:kern w:val="2"/>
          <w:vertAlign w:val="superscript"/>
          <w14:ligatures w14:val="standardContextual"/>
        </w:rPr>
        <w:footnoteReference w:id="102"/>
      </w:r>
      <w:r w:rsidR="00344BA4" w:rsidRPr="00344BA4">
        <w:rPr>
          <w:kern w:val="2"/>
          <w14:ligatures w14:val="standardContextual"/>
        </w:rPr>
        <w:t>,</w:t>
      </w:r>
    </w:p>
    <w:p w14:paraId="5BB8234C" w14:textId="15128DDD"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 </w:t>
      </w:r>
      <w:r w:rsidR="00344BA4" w:rsidRPr="00344BA4">
        <w:rPr>
          <w:rFonts w:eastAsia="Aptos"/>
          <w:kern w:val="2"/>
          <w:szCs w:val="24"/>
          <w:vertAlign w:val="superscript"/>
          <w14:ligatures w14:val="standardContextual"/>
        </w:rPr>
        <w:footnoteReference w:id="103"/>
      </w:r>
      <w:r w:rsidR="00344BA4" w:rsidRPr="00344BA4">
        <w:rPr>
          <w:kern w:val="2"/>
          <w14:ligatures w14:val="standardContextual"/>
        </w:rPr>
        <w:t>,</w:t>
      </w:r>
    </w:p>
    <w:p w14:paraId="422EF7F8" w14:textId="37C3D4EB"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102 și anexa V la Regulamentul său de procedură,</w:t>
      </w:r>
    </w:p>
    <w:p w14:paraId="1EEBCB60" w14:textId="262B6C3B"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avizul Comisiei pentru transport și turism,</w:t>
      </w:r>
    </w:p>
    <w:p w14:paraId="56E5D307" w14:textId="42C8027C"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49DD936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acordă directorului executiv al întreprinderii comune pentru cipuri descărcarea de gestiune pentru execuția bugetului întreprinderii comune aferent exercițiului financiar 2023;</w:t>
      </w:r>
    </w:p>
    <w:p w14:paraId="546BAFE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își prezintă observațiile în cadrul rezoluției de mai jos;</w:t>
      </w:r>
    </w:p>
    <w:p w14:paraId="42490013" w14:textId="034CDB63" w:rsidR="00344BA4" w:rsidRPr="00344BA4" w:rsidRDefault="00344BA4" w:rsidP="00C779F6">
      <w:pPr>
        <w:spacing w:after="240"/>
        <w:ind w:left="567" w:hanging="567"/>
        <w:rPr>
          <w:kern w:val="2"/>
          <w14:ligatures w14:val="standardContextual"/>
        </w:rPr>
      </w:pPr>
      <w:r w:rsidRPr="00344BA4">
        <w:rPr>
          <w:kern w:val="2"/>
          <w14:ligatures w14:val="standardContextual"/>
        </w:rPr>
        <w:t>3.</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împreună cu rezoluția Parlamentului, ca parte integrantă a acesteia, directorului executiv al întreprinderii comune pentru cipuri, Consiliului, Comisiei și Curții de Conturi și de a asigura publicarea acestora în </w:t>
      </w:r>
      <w:r w:rsidRPr="00344BA4">
        <w:rPr>
          <w:i/>
          <w:kern w:val="2"/>
          <w14:ligatures w14:val="standardContextual"/>
        </w:rPr>
        <w:t>Jurnalul Oficial al Uniunii Europene</w:t>
      </w:r>
      <w:r w:rsidRPr="00344BA4">
        <w:rPr>
          <w:kern w:val="2"/>
          <w14:ligatures w14:val="standardContextual"/>
        </w:rPr>
        <w:t xml:space="preserve"> (seria L).</w:t>
      </w:r>
    </w:p>
    <w:p w14:paraId="05949EBD"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319A773A" w14:textId="77777777" w:rsidR="00344BA4" w:rsidRPr="00344BA4" w:rsidRDefault="00344BA4" w:rsidP="00C779F6">
      <w:pPr>
        <w:pStyle w:val="ATHeading3"/>
      </w:pPr>
      <w:r w:rsidRPr="00344BA4">
        <w:lastRenderedPageBreak/>
        <w:t>18. Decizia Parlamentului European din 7 mai 2025 privind închiderea conturilor întreprinderii comune pentru cipuri (înainte de 21.9.2023: întreprinderea comună „Tehnologii digitale esențiale”) pentru exercițiul financiar 2023 (2024/2031(DEC))</w:t>
      </w:r>
    </w:p>
    <w:p w14:paraId="0DDCB940" w14:textId="45EC498B" w:rsidR="00344BA4" w:rsidRPr="00344BA4" w:rsidRDefault="00344BA4" w:rsidP="00C779F6">
      <w:pPr>
        <w:spacing w:before="480" w:after="240"/>
        <w:rPr>
          <w:iCs/>
          <w:kern w:val="2"/>
          <w14:ligatures w14:val="standardContextual"/>
        </w:rPr>
      </w:pPr>
      <w:r w:rsidRPr="00344BA4">
        <w:rPr>
          <w:i/>
          <w:iCs/>
          <w:kern w:val="2"/>
          <w14:ligatures w14:val="standardContextual"/>
        </w:rPr>
        <w:t>Parlamentul European,</w:t>
      </w:r>
    </w:p>
    <w:p w14:paraId="67BB832C" w14:textId="35E76458"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pentru cipuri pentru exercițiul financiar 2023,</w:t>
      </w:r>
    </w:p>
    <w:p w14:paraId="1FA40E4C" w14:textId="154D564E"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 </w:t>
      </w:r>
      <w:r w:rsidR="00344BA4" w:rsidRPr="00344BA4">
        <w:rPr>
          <w:rFonts w:eastAsia="Aptos"/>
          <w:kern w:val="2"/>
          <w:szCs w:val="24"/>
          <w:vertAlign w:val="superscript"/>
          <w14:ligatures w14:val="standardContextual"/>
        </w:rPr>
        <w:footnoteReference w:id="104"/>
      </w:r>
      <w:r w:rsidR="00344BA4" w:rsidRPr="00344BA4">
        <w:rPr>
          <w:kern w:val="2"/>
          <w14:ligatures w14:val="standardContextual"/>
        </w:rPr>
        <w:t>,</w:t>
      </w:r>
    </w:p>
    <w:p w14:paraId="73C52EE1" w14:textId="0E29F7A7"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 </w:t>
      </w:r>
      <w:r w:rsidR="00344BA4" w:rsidRPr="00344BA4">
        <w:rPr>
          <w:rFonts w:eastAsia="Aptos"/>
          <w:kern w:val="2"/>
          <w:szCs w:val="24"/>
          <w:vertAlign w:val="superscript"/>
          <w14:ligatures w14:val="standardContextual"/>
        </w:rPr>
        <w:footnoteReference w:id="105"/>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6EA4738F" w14:textId="73C528B7"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35F21EAD" w14:textId="4407BCC5"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248F91B7" w14:textId="29736FB2"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344BA4" w:rsidRPr="00344BA4">
        <w:rPr>
          <w:rFonts w:eastAsia="Aptos"/>
          <w:kern w:val="2"/>
          <w:szCs w:val="24"/>
          <w:vertAlign w:val="superscript"/>
          <w14:ligatures w14:val="standardContextual"/>
        </w:rPr>
        <w:footnoteReference w:id="106"/>
      </w:r>
      <w:r w:rsidR="00344BA4" w:rsidRPr="00344BA4">
        <w:rPr>
          <w:kern w:val="2"/>
          <w14:ligatures w14:val="standardContextual"/>
        </w:rPr>
        <w:t>, în special articolul 71,</w:t>
      </w:r>
    </w:p>
    <w:p w14:paraId="32D5DC2B" w14:textId="66B3B80F"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 </w:t>
      </w:r>
      <w:r w:rsidR="00344BA4" w:rsidRPr="00344BA4">
        <w:rPr>
          <w:rFonts w:eastAsia="Aptos"/>
          <w:kern w:val="2"/>
          <w:szCs w:val="24"/>
          <w:vertAlign w:val="superscript"/>
          <w14:ligatures w14:val="standardContextual"/>
        </w:rPr>
        <w:footnoteReference w:id="107"/>
      </w:r>
      <w:r w:rsidR="00344BA4" w:rsidRPr="00344BA4">
        <w:rPr>
          <w:kern w:val="2"/>
          <w14:ligatures w14:val="standardContextual"/>
        </w:rPr>
        <w:t>, în special articolul 71,</w:t>
      </w:r>
    </w:p>
    <w:p w14:paraId="516C2A6C" w14:textId="48BEA43A"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 </w:t>
      </w:r>
      <w:r w:rsidR="00344BA4" w:rsidRPr="00344BA4">
        <w:rPr>
          <w:rFonts w:eastAsia="Aptos"/>
          <w:kern w:val="2"/>
          <w:szCs w:val="24"/>
          <w:vertAlign w:val="superscript"/>
          <w14:ligatures w14:val="standardContextual"/>
        </w:rPr>
        <w:footnoteReference w:id="108"/>
      </w:r>
      <w:r w:rsidR="00344BA4" w:rsidRPr="00344BA4">
        <w:rPr>
          <w:kern w:val="2"/>
          <w14:ligatures w14:val="standardContextual"/>
        </w:rPr>
        <w:t>, în special articolul 26,</w:t>
      </w:r>
    </w:p>
    <w:p w14:paraId="3DA4520B" w14:textId="5AEBBD37"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2023/1782 al Consiliului din 25 iulie 2023 de modificare a Regulamentului (UE) 2021/2085 de instituire a întreprinderilor comune din cadrul programului Orizont Europa în ceea ce privește întreprinderea comună pentru cipuri </w:t>
      </w:r>
      <w:r w:rsidR="00344BA4" w:rsidRPr="00344BA4">
        <w:rPr>
          <w:kern w:val="2"/>
          <w:vertAlign w:val="superscript"/>
          <w14:ligatures w14:val="standardContextual"/>
        </w:rPr>
        <w:footnoteReference w:id="109"/>
      </w:r>
      <w:r w:rsidR="00344BA4" w:rsidRPr="00344BA4">
        <w:rPr>
          <w:kern w:val="2"/>
          <w14:ligatures w14:val="standardContextual"/>
        </w:rPr>
        <w:t>,</w:t>
      </w:r>
    </w:p>
    <w:p w14:paraId="63EC3D8C" w14:textId="05C8B3FB" w:rsidR="00344BA4" w:rsidRPr="00344BA4" w:rsidRDefault="00846E79" w:rsidP="00C779F6">
      <w:pPr>
        <w:spacing w:after="240"/>
        <w:ind w:left="720" w:hanging="720"/>
        <w:rPr>
          <w:kern w:val="2"/>
          <w14:ligatures w14:val="standardContextual"/>
        </w:rPr>
      </w:pPr>
      <w:r>
        <w:rPr>
          <w:kern w:val="2"/>
          <w14:ligatures w14:val="standardContextual"/>
        </w:rPr>
        <w:lastRenderedPageBreak/>
        <w:t>–</w:t>
      </w:r>
      <w:r w:rsidR="00344BA4"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 </w:t>
      </w:r>
      <w:r w:rsidR="00344BA4" w:rsidRPr="00344BA4">
        <w:rPr>
          <w:rFonts w:eastAsia="Aptos"/>
          <w:kern w:val="2"/>
          <w:szCs w:val="24"/>
          <w:vertAlign w:val="superscript"/>
          <w14:ligatures w14:val="standardContextual"/>
        </w:rPr>
        <w:footnoteReference w:id="110"/>
      </w:r>
      <w:r w:rsidR="00344BA4" w:rsidRPr="00344BA4">
        <w:rPr>
          <w:kern w:val="2"/>
          <w14:ligatures w14:val="standardContextual"/>
        </w:rPr>
        <w:t>,</w:t>
      </w:r>
    </w:p>
    <w:p w14:paraId="7901FD9F" w14:textId="3676522C"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102 și anexa V la Regulamentul său de procedură,</w:t>
      </w:r>
    </w:p>
    <w:p w14:paraId="5C6BADD4" w14:textId="1FA0DD42"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avizul Comisiei pentru transport și turism,</w:t>
      </w:r>
    </w:p>
    <w:p w14:paraId="29F87B9A" w14:textId="49C601B5"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3CAA97C4"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aprobă închiderea conturilor întreprinderii comune pentru cipuri pentru exercițiul financiar 2023;</w:t>
      </w:r>
    </w:p>
    <w:p w14:paraId="778D055A" w14:textId="423C9297"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directorului executiv al întreprinderii comune pentru cipuri, Consiliului, Comisiei și Curții de Conturi și de a asigura publicarea acesteia în </w:t>
      </w:r>
      <w:r w:rsidRPr="00344BA4">
        <w:rPr>
          <w:i/>
          <w:kern w:val="2"/>
          <w14:ligatures w14:val="standardContextual"/>
        </w:rPr>
        <w:t>Jurnalul Oficial al Uniunii Europene</w:t>
      </w:r>
      <w:r w:rsidRPr="00344BA4">
        <w:rPr>
          <w:kern w:val="2"/>
          <w14:ligatures w14:val="standardContextual"/>
        </w:rPr>
        <w:t xml:space="preserve"> (seria L).</w:t>
      </w:r>
    </w:p>
    <w:p w14:paraId="78135503"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18B15618" w14:textId="77777777" w:rsidR="00344BA4" w:rsidRPr="00344BA4" w:rsidRDefault="00344BA4" w:rsidP="00C779F6">
      <w:pPr>
        <w:pStyle w:val="ATHeading3"/>
      </w:pPr>
      <w:r w:rsidRPr="00344BA4">
        <w:lastRenderedPageBreak/>
        <w:t>19. Decizia Parlamentului European din 7 mai 2025 privind descărcarea de gestiune pentru execuția bugetului întreprinderii comune „Proiectul de cercetare privind ATM în contextul Cerului unic european” 3 aferent exercițiului financiar 2023 (2024/2031(DEC))</w:t>
      </w:r>
    </w:p>
    <w:p w14:paraId="66408FE3" w14:textId="461B55D6" w:rsidR="00344BA4" w:rsidRPr="00344BA4" w:rsidRDefault="00344BA4" w:rsidP="00C779F6">
      <w:pPr>
        <w:spacing w:before="480" w:after="240"/>
        <w:rPr>
          <w:kern w:val="2"/>
          <w14:ligatures w14:val="standardContextual"/>
        </w:rPr>
      </w:pPr>
      <w:r w:rsidRPr="00344BA4">
        <w:rPr>
          <w:i/>
          <w:iCs/>
          <w:kern w:val="2"/>
          <w14:ligatures w14:val="standardContextual"/>
        </w:rPr>
        <w:t>Parlamentul European,</w:t>
      </w:r>
    </w:p>
    <w:p w14:paraId="55DCE802" w14:textId="418DD9FF"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„Proiectul de cercetare privind ATM în contextul Cerului unic european” 3 pentru exercițiul financiar 2023,</w:t>
      </w:r>
    </w:p>
    <w:p w14:paraId="16BD67D3" w14:textId="272227B4"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 </w:t>
      </w:r>
      <w:r w:rsidR="00344BA4" w:rsidRPr="00344BA4">
        <w:rPr>
          <w:rFonts w:eastAsia="Aptos"/>
          <w:kern w:val="2"/>
          <w:szCs w:val="24"/>
          <w:vertAlign w:val="superscript"/>
          <w14:ligatures w14:val="standardContextual"/>
        </w:rPr>
        <w:footnoteReference w:id="111"/>
      </w:r>
      <w:r w:rsidR="00344BA4" w:rsidRPr="00344BA4">
        <w:rPr>
          <w:kern w:val="2"/>
          <w14:ligatures w14:val="standardContextual"/>
        </w:rPr>
        <w:t>,</w:t>
      </w:r>
    </w:p>
    <w:p w14:paraId="7B44CDFC" w14:textId="6A8979F7"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 </w:t>
      </w:r>
      <w:r w:rsidR="00344BA4" w:rsidRPr="00344BA4">
        <w:rPr>
          <w:rFonts w:eastAsia="Aptos"/>
          <w:kern w:val="2"/>
          <w:szCs w:val="24"/>
          <w:vertAlign w:val="superscript"/>
          <w14:ligatures w14:val="standardContextual"/>
        </w:rPr>
        <w:footnoteReference w:id="112"/>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199F2F91" w14:textId="5423F9B8"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0AF07A43" w14:textId="60EBB17C"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468F12BD" w14:textId="4A2196B5"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344BA4" w:rsidRPr="00344BA4">
        <w:rPr>
          <w:rFonts w:eastAsia="Aptos"/>
          <w:kern w:val="2"/>
          <w:szCs w:val="24"/>
          <w:vertAlign w:val="superscript"/>
          <w14:ligatures w14:val="standardContextual"/>
        </w:rPr>
        <w:footnoteReference w:id="113"/>
      </w:r>
      <w:r w:rsidR="00344BA4" w:rsidRPr="00344BA4">
        <w:rPr>
          <w:kern w:val="2"/>
          <w14:ligatures w14:val="standardContextual"/>
        </w:rPr>
        <w:t>, în special articolul 71,</w:t>
      </w:r>
    </w:p>
    <w:p w14:paraId="79CEB18D" w14:textId="531D63FC"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 </w:t>
      </w:r>
      <w:r w:rsidR="00344BA4" w:rsidRPr="00344BA4">
        <w:rPr>
          <w:rFonts w:eastAsia="Aptos"/>
          <w:kern w:val="2"/>
          <w:szCs w:val="24"/>
          <w:vertAlign w:val="superscript"/>
          <w14:ligatures w14:val="standardContextual"/>
        </w:rPr>
        <w:footnoteReference w:id="114"/>
      </w:r>
      <w:r w:rsidR="00344BA4" w:rsidRPr="00344BA4">
        <w:rPr>
          <w:kern w:val="2"/>
          <w14:ligatures w14:val="standardContextual"/>
        </w:rPr>
        <w:t>, în special articolul 71,</w:t>
      </w:r>
    </w:p>
    <w:p w14:paraId="097E66B6" w14:textId="4FABDA82"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 </w:t>
      </w:r>
      <w:r w:rsidR="00344BA4" w:rsidRPr="00344BA4">
        <w:rPr>
          <w:rFonts w:eastAsia="Aptos"/>
          <w:kern w:val="2"/>
          <w:szCs w:val="24"/>
          <w:vertAlign w:val="superscript"/>
          <w14:ligatures w14:val="standardContextual"/>
        </w:rPr>
        <w:footnoteReference w:id="115"/>
      </w:r>
      <w:r w:rsidR="00344BA4" w:rsidRPr="00344BA4">
        <w:rPr>
          <w:kern w:val="2"/>
          <w14:ligatures w14:val="standardContextual"/>
        </w:rPr>
        <w:t>, în special articolul 26,</w:t>
      </w:r>
    </w:p>
    <w:p w14:paraId="51370A97" w14:textId="58437237"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 xml:space="preserve">având în vedere Regulamentul delegat (UE) 2019/887 al Comisiei din 13 martie 2019 privind regulamentul financiar-tip pentru organismele de parteneriat public-privat menționate la articolul 71 din Regulamentul (UE, Euratom) 2018/1046 al </w:t>
      </w:r>
      <w:r w:rsidR="00344BA4" w:rsidRPr="00344BA4">
        <w:rPr>
          <w:kern w:val="2"/>
          <w14:ligatures w14:val="standardContextual"/>
        </w:rPr>
        <w:lastRenderedPageBreak/>
        <w:t>Parlamentului European și al Consiliului </w:t>
      </w:r>
      <w:r w:rsidR="00344BA4" w:rsidRPr="00344BA4">
        <w:rPr>
          <w:rFonts w:eastAsia="Aptos"/>
          <w:kern w:val="2"/>
          <w:szCs w:val="24"/>
          <w:vertAlign w:val="superscript"/>
          <w14:ligatures w14:val="standardContextual"/>
        </w:rPr>
        <w:footnoteReference w:id="116"/>
      </w:r>
      <w:r w:rsidR="00344BA4" w:rsidRPr="00344BA4">
        <w:rPr>
          <w:kern w:val="2"/>
          <w14:ligatures w14:val="standardContextual"/>
        </w:rPr>
        <w:t>,</w:t>
      </w:r>
    </w:p>
    <w:p w14:paraId="479E1EB8" w14:textId="3A74FA6B"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102 și anexa V la Regulamentul său de procedură,</w:t>
      </w:r>
    </w:p>
    <w:p w14:paraId="180D46D9" w14:textId="04213860"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avizul Comisiei pentru transport și turism,</w:t>
      </w:r>
    </w:p>
    <w:p w14:paraId="5063A9AE" w14:textId="0412B659"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1A71508E"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acordă directorului executiv al întreprinderii comune „Proiectul de cercetare privind ATM în contextul Cerului unic european” 3 descărcarea de gestiune pentru execuția bugetului întreprinderii comune aferent exercițiului financiar 2023;</w:t>
      </w:r>
    </w:p>
    <w:p w14:paraId="082C10FC"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își prezintă observațiile în cadrul rezoluției de mai jos;</w:t>
      </w:r>
    </w:p>
    <w:p w14:paraId="1D944C45" w14:textId="62E9CD8D" w:rsidR="00344BA4" w:rsidRPr="00344BA4" w:rsidRDefault="00344BA4" w:rsidP="00C779F6">
      <w:pPr>
        <w:spacing w:after="240"/>
        <w:ind w:left="567" w:hanging="567"/>
        <w:rPr>
          <w:kern w:val="2"/>
          <w14:ligatures w14:val="standardContextual"/>
        </w:rPr>
      </w:pPr>
      <w:r w:rsidRPr="00344BA4">
        <w:rPr>
          <w:kern w:val="2"/>
          <w14:ligatures w14:val="standardContextual"/>
        </w:rPr>
        <w:t>3.</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împreună cu rezoluția Parlamentului, ca parte integrantă a acesteia, directorului executiv al întreprinderii comune „Proiectul de cercetare privind ATM în contextul Cerului unic european” 3, Consiliului, Comisiei și Curții de Conturi și de a asigura publicarea acestora în </w:t>
      </w:r>
      <w:r w:rsidRPr="00344BA4">
        <w:rPr>
          <w:i/>
          <w:kern w:val="2"/>
          <w14:ligatures w14:val="standardContextual"/>
        </w:rPr>
        <w:t>Jurnalul Oficial al Uniunii Europene</w:t>
      </w:r>
      <w:r w:rsidRPr="00344BA4">
        <w:rPr>
          <w:kern w:val="2"/>
          <w14:ligatures w14:val="standardContextual"/>
        </w:rPr>
        <w:t xml:space="preserve"> (seria L).</w:t>
      </w:r>
    </w:p>
    <w:p w14:paraId="5D3EB9CC"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4A6AB2EE" w14:textId="77777777" w:rsidR="00344BA4" w:rsidRPr="00344BA4" w:rsidRDefault="00344BA4" w:rsidP="00C779F6">
      <w:pPr>
        <w:pStyle w:val="ATHeading3"/>
      </w:pPr>
      <w:r w:rsidRPr="00344BA4">
        <w:lastRenderedPageBreak/>
        <w:t>20. Decizia Parlamentului European din 7 mai 2025 privind închiderea conturilor întreprinderii comune „Proiectul de cercetare privind ATM în contextul Cerului unic european” 3 pentru exercițiul financiar 2023 (2024/2031(DEC))</w:t>
      </w:r>
    </w:p>
    <w:p w14:paraId="7A5F3CE8" w14:textId="493425CF" w:rsidR="00344BA4" w:rsidRPr="00344BA4" w:rsidRDefault="00344BA4" w:rsidP="00C779F6">
      <w:pPr>
        <w:spacing w:before="480" w:after="240"/>
        <w:rPr>
          <w:iCs/>
          <w:kern w:val="2"/>
          <w14:ligatures w14:val="standardContextual"/>
        </w:rPr>
      </w:pPr>
      <w:r w:rsidRPr="00344BA4">
        <w:rPr>
          <w:i/>
          <w:iCs/>
          <w:kern w:val="2"/>
          <w14:ligatures w14:val="standardContextual"/>
        </w:rPr>
        <w:t>Parlamentul European,</w:t>
      </w:r>
    </w:p>
    <w:p w14:paraId="32B0986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conturile anuale finale ale întreprinderii comune „Proiectul de cercetare privind ATM în contextul Cerului unic european” 3 pentru exercițiul financiar 2023,</w:t>
      </w:r>
    </w:p>
    <w:p w14:paraId="3BD4691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anual al Curții de Conturi privind întreprinderile comune ale UE pentru exercițiul financiar 2023, însoțit de răspunsurile întreprinderilor comune</w:t>
      </w:r>
      <w:r w:rsidRPr="00344BA4">
        <w:rPr>
          <w:kern w:val="2"/>
          <w:vertAlign w:val="superscript"/>
          <w14:ligatures w14:val="standardContextual"/>
        </w:rPr>
        <w:footnoteReference w:id="117"/>
      </w:r>
      <w:r w:rsidRPr="00344BA4">
        <w:rPr>
          <w:kern w:val="2"/>
          <w14:ligatures w14:val="standardContextual"/>
        </w:rPr>
        <w:t>,</w:t>
      </w:r>
    </w:p>
    <w:p w14:paraId="5ED04283"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declarația de asigurare</w:t>
      </w:r>
      <w:r w:rsidRPr="00344BA4">
        <w:rPr>
          <w:kern w:val="2"/>
          <w:vertAlign w:val="superscript"/>
          <w14:ligatures w14:val="standardContextual"/>
        </w:rPr>
        <w:footnoteReference w:id="118"/>
      </w:r>
      <w:r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76948D67"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3C01A54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articolul 319 din Tratatul privind funcționarea Uniunii Europene,</w:t>
      </w:r>
    </w:p>
    <w:p w14:paraId="262D5368"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344BA4">
        <w:rPr>
          <w:kern w:val="2"/>
          <w:vertAlign w:val="superscript"/>
          <w14:ligatures w14:val="standardContextual"/>
        </w:rPr>
        <w:footnoteReference w:id="119"/>
      </w:r>
      <w:r w:rsidRPr="00344BA4">
        <w:rPr>
          <w:kern w:val="2"/>
          <w14:ligatures w14:val="standardContextual"/>
        </w:rPr>
        <w:t>, în special articolul 71,</w:t>
      </w:r>
    </w:p>
    <w:p w14:paraId="33E5776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Euratom) 2024/2509 al Parlamentului European și al Consiliului din 23 septembrie 2024 privind normele financiare aplicabile bugetului general al Uniunii</w:t>
      </w:r>
      <w:r w:rsidRPr="00344BA4">
        <w:rPr>
          <w:kern w:val="2"/>
          <w:vertAlign w:val="superscript"/>
          <w14:ligatures w14:val="standardContextual"/>
        </w:rPr>
        <w:footnoteReference w:id="120"/>
      </w:r>
      <w:r w:rsidRPr="00344BA4">
        <w:rPr>
          <w:kern w:val="2"/>
          <w14:ligatures w14:val="standardContextual"/>
        </w:rPr>
        <w:t>, în special articolul 71,</w:t>
      </w:r>
    </w:p>
    <w:p w14:paraId="0521795E"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344BA4">
        <w:rPr>
          <w:kern w:val="2"/>
          <w:vertAlign w:val="superscript"/>
          <w14:ligatures w14:val="standardContextual"/>
        </w:rPr>
        <w:footnoteReference w:id="121"/>
      </w:r>
      <w:r w:rsidRPr="00344BA4">
        <w:rPr>
          <w:kern w:val="2"/>
          <w14:ligatures w14:val="standardContextual"/>
        </w:rPr>
        <w:t>, în special articolul 26,</w:t>
      </w:r>
    </w:p>
    <w:p w14:paraId="7039B64E"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344BA4">
        <w:rPr>
          <w:kern w:val="2"/>
          <w:vertAlign w:val="superscript"/>
          <w14:ligatures w14:val="standardContextual"/>
        </w:rPr>
        <w:footnoteReference w:id="122"/>
      </w:r>
      <w:r w:rsidRPr="00344BA4">
        <w:rPr>
          <w:kern w:val="2"/>
          <w14:ligatures w14:val="standardContextual"/>
        </w:rPr>
        <w:t>,</w:t>
      </w:r>
    </w:p>
    <w:p w14:paraId="7113C02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lastRenderedPageBreak/>
        <w:t>–</w:t>
      </w:r>
      <w:r w:rsidRPr="00344BA4">
        <w:rPr>
          <w:kern w:val="2"/>
          <w14:ligatures w14:val="standardContextual"/>
        </w:rPr>
        <w:tab/>
        <w:t>având în vedere articolul 102 și anexa V la Regulamentul său de procedură,</w:t>
      </w:r>
    </w:p>
    <w:p w14:paraId="1DBF6EB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avizul Comisiei pentru transport și turism,</w:t>
      </w:r>
    </w:p>
    <w:p w14:paraId="54070E2A"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w:t>
      </w:r>
      <w:r w:rsidRPr="00344BA4">
        <w:rPr>
          <w:kern w:val="2"/>
          <w14:ligatures w14:val="standardContextual"/>
        </w:rPr>
        <w:tab/>
        <w:t>având în vedere raportul Comisiei pentru control bugetar (A10-0056/2025),</w:t>
      </w:r>
    </w:p>
    <w:p w14:paraId="2DB73721"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aprobă închiderea conturilor întreprinderii comune „Proiectul de cercetare privind ATM în contextul Cerului unic european” 3 pentru exercițiul financiar 2023;</w:t>
      </w:r>
    </w:p>
    <w:p w14:paraId="68CAA69B" w14:textId="3AA87A94"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directorului executiv al întreprinderii comune „Proiectul de cercetare privind ATM în contextul Cerului unic european” 3, Consiliului, Comisiei și Curții de Conturi și de a asigura publicarea acesteia în </w:t>
      </w:r>
      <w:r w:rsidRPr="00344BA4">
        <w:rPr>
          <w:i/>
          <w:kern w:val="2"/>
          <w14:ligatures w14:val="standardContextual"/>
        </w:rPr>
        <w:t>Jurnalul Oficial al Uniunii Europene</w:t>
      </w:r>
      <w:r w:rsidRPr="00344BA4">
        <w:rPr>
          <w:kern w:val="2"/>
          <w14:ligatures w14:val="standardContextual"/>
        </w:rPr>
        <w:t xml:space="preserve"> (seria L).</w:t>
      </w:r>
    </w:p>
    <w:p w14:paraId="41667C4C"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13BB5058" w14:textId="77777777" w:rsidR="00344BA4" w:rsidRPr="00344BA4" w:rsidRDefault="00344BA4" w:rsidP="00C779F6">
      <w:pPr>
        <w:pStyle w:val="ATHeading3"/>
      </w:pPr>
      <w:r w:rsidRPr="00344BA4">
        <w:lastRenderedPageBreak/>
        <w:t>21. Decizia Parlamentului European din 7 mai 2025 privind descărcarea de gestiune pentru execuția bugetului întreprinderii comune „Rețele și servicii inteligente” aferent exercițiului financiar 2023 (2024/2031(DEC))</w:t>
      </w:r>
    </w:p>
    <w:p w14:paraId="1406068E" w14:textId="754C6CD8" w:rsidR="00344BA4" w:rsidRPr="00344BA4" w:rsidRDefault="00344BA4" w:rsidP="00C779F6">
      <w:pPr>
        <w:spacing w:before="480" w:after="240"/>
        <w:rPr>
          <w:kern w:val="2"/>
          <w14:ligatures w14:val="standardContextual"/>
        </w:rPr>
      </w:pPr>
      <w:r w:rsidRPr="00344BA4">
        <w:rPr>
          <w:i/>
          <w:iCs/>
          <w:kern w:val="2"/>
          <w14:ligatures w14:val="standardContextual"/>
        </w:rPr>
        <w:t>Parlamentul European,</w:t>
      </w:r>
    </w:p>
    <w:p w14:paraId="46362D1C" w14:textId="1D90272D"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„Rețele și servicii inteligente” pentru exercițiul financiar 2023,</w:t>
      </w:r>
    </w:p>
    <w:p w14:paraId="276D5581" w14:textId="123DE255"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 </w:t>
      </w:r>
      <w:r w:rsidR="00344BA4" w:rsidRPr="00344BA4">
        <w:rPr>
          <w:rFonts w:eastAsia="Aptos"/>
          <w:kern w:val="2"/>
          <w:szCs w:val="24"/>
          <w:vertAlign w:val="superscript"/>
          <w14:ligatures w14:val="standardContextual"/>
        </w:rPr>
        <w:footnoteReference w:id="123"/>
      </w:r>
      <w:r w:rsidR="00344BA4" w:rsidRPr="00344BA4">
        <w:rPr>
          <w:kern w:val="2"/>
          <w14:ligatures w14:val="standardContextual"/>
        </w:rPr>
        <w:t>,</w:t>
      </w:r>
    </w:p>
    <w:p w14:paraId="2875F089" w14:textId="5CB01C7A"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 </w:t>
      </w:r>
      <w:r w:rsidR="00344BA4" w:rsidRPr="00344BA4">
        <w:rPr>
          <w:rFonts w:eastAsia="Aptos"/>
          <w:kern w:val="2"/>
          <w:szCs w:val="24"/>
          <w:vertAlign w:val="superscript"/>
          <w14:ligatures w14:val="standardContextual"/>
        </w:rPr>
        <w:footnoteReference w:id="124"/>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F9973DD" w14:textId="446E8069"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4CFEB2B0" w14:textId="01543D77"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6219D5C3" w14:textId="3CA1FE2B"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344BA4" w:rsidRPr="00344BA4">
        <w:rPr>
          <w:rFonts w:eastAsia="Aptos"/>
          <w:kern w:val="2"/>
          <w:szCs w:val="24"/>
          <w:vertAlign w:val="superscript"/>
          <w14:ligatures w14:val="standardContextual"/>
        </w:rPr>
        <w:footnoteReference w:id="125"/>
      </w:r>
      <w:r w:rsidR="00344BA4" w:rsidRPr="00344BA4">
        <w:rPr>
          <w:kern w:val="2"/>
          <w14:ligatures w14:val="standardContextual"/>
        </w:rPr>
        <w:t>, în special articolul 71,</w:t>
      </w:r>
    </w:p>
    <w:p w14:paraId="142A9327" w14:textId="0464F8BB"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 </w:t>
      </w:r>
      <w:r w:rsidR="00344BA4" w:rsidRPr="00344BA4">
        <w:rPr>
          <w:rFonts w:eastAsia="Aptos"/>
          <w:kern w:val="2"/>
          <w:szCs w:val="24"/>
          <w:vertAlign w:val="superscript"/>
          <w14:ligatures w14:val="standardContextual"/>
        </w:rPr>
        <w:footnoteReference w:id="126"/>
      </w:r>
      <w:r w:rsidR="00344BA4" w:rsidRPr="00344BA4">
        <w:rPr>
          <w:kern w:val="2"/>
          <w14:ligatures w14:val="standardContextual"/>
        </w:rPr>
        <w:t>, în special articolul 71,</w:t>
      </w:r>
    </w:p>
    <w:p w14:paraId="405BF591" w14:textId="0B073775"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 </w:t>
      </w:r>
      <w:r w:rsidR="00344BA4" w:rsidRPr="00344BA4">
        <w:rPr>
          <w:rFonts w:eastAsia="Aptos"/>
          <w:kern w:val="2"/>
          <w:szCs w:val="24"/>
          <w:vertAlign w:val="superscript"/>
          <w14:ligatures w14:val="standardContextual"/>
        </w:rPr>
        <w:footnoteReference w:id="127"/>
      </w:r>
      <w:r w:rsidR="00344BA4" w:rsidRPr="00344BA4">
        <w:rPr>
          <w:kern w:val="2"/>
          <w14:ligatures w14:val="standardContextual"/>
        </w:rPr>
        <w:t>, în special articolul 26,</w:t>
      </w:r>
    </w:p>
    <w:p w14:paraId="22E89092" w14:textId="78547FEB"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 </w:t>
      </w:r>
      <w:r w:rsidR="00344BA4" w:rsidRPr="00344BA4">
        <w:rPr>
          <w:rFonts w:eastAsia="Aptos"/>
          <w:kern w:val="2"/>
          <w:szCs w:val="24"/>
          <w:vertAlign w:val="superscript"/>
          <w14:ligatures w14:val="standardContextual"/>
        </w:rPr>
        <w:footnoteReference w:id="128"/>
      </w:r>
      <w:r w:rsidR="00344BA4" w:rsidRPr="00344BA4">
        <w:rPr>
          <w:kern w:val="2"/>
          <w14:ligatures w14:val="standardContextual"/>
        </w:rPr>
        <w:t>,</w:t>
      </w:r>
    </w:p>
    <w:p w14:paraId="4EFF0329" w14:textId="4255BADB" w:rsidR="00344BA4" w:rsidRPr="00344BA4" w:rsidRDefault="00846E79" w:rsidP="00C779F6">
      <w:pPr>
        <w:spacing w:after="240"/>
        <w:ind w:left="720" w:hanging="720"/>
        <w:rPr>
          <w:kern w:val="2"/>
          <w14:ligatures w14:val="standardContextual"/>
        </w:rPr>
      </w:pPr>
      <w:r>
        <w:rPr>
          <w:kern w:val="2"/>
          <w14:ligatures w14:val="standardContextual"/>
        </w:rPr>
        <w:lastRenderedPageBreak/>
        <w:t>–</w:t>
      </w:r>
      <w:r w:rsidR="00344BA4" w:rsidRPr="00344BA4">
        <w:rPr>
          <w:kern w:val="2"/>
          <w14:ligatures w14:val="standardContextual"/>
        </w:rPr>
        <w:tab/>
        <w:t>având în vedere articolul 102 și anexa V la Regulamentul său de procedură,</w:t>
      </w:r>
    </w:p>
    <w:p w14:paraId="282918BC" w14:textId="659CBBE9"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avizul Comisiei pentru transport și turism,</w:t>
      </w:r>
    </w:p>
    <w:p w14:paraId="4BA699CC" w14:textId="1622688C"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5166F51C"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acordă directoarei executive a întreprinderii comune „Rețele și servicii inteligente” descărcarea de gestiune pentru execuția bugetului întreprinderii comune aferent exercițiului financiar 2023;</w:t>
      </w:r>
    </w:p>
    <w:p w14:paraId="75D61061"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își prezintă observațiile în cadrul rezoluției de mai jos;</w:t>
      </w:r>
    </w:p>
    <w:p w14:paraId="303F57F1" w14:textId="219D3156" w:rsidR="00344BA4" w:rsidRPr="00344BA4" w:rsidRDefault="00344BA4" w:rsidP="00C779F6">
      <w:pPr>
        <w:spacing w:after="240"/>
        <w:ind w:left="567" w:hanging="567"/>
        <w:rPr>
          <w:kern w:val="2"/>
          <w14:ligatures w14:val="standardContextual"/>
        </w:rPr>
      </w:pPr>
      <w:r w:rsidRPr="00344BA4">
        <w:rPr>
          <w:kern w:val="2"/>
          <w14:ligatures w14:val="standardContextual"/>
        </w:rPr>
        <w:t>3.</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împreună cu rezoluția Parlamentului, ca parte integrantă a acesteia, directoarei executive a întreprinderii comune „Rețele și servicii inteligente”, Consiliului, Comisiei și Curții de Conturi și de a asigura publicarea acestora în </w:t>
      </w:r>
      <w:r w:rsidRPr="00344BA4">
        <w:rPr>
          <w:i/>
          <w:kern w:val="2"/>
          <w14:ligatures w14:val="standardContextual"/>
        </w:rPr>
        <w:t>Jurnalul Oficial al Uniunii Europene</w:t>
      </w:r>
      <w:r w:rsidRPr="00344BA4">
        <w:rPr>
          <w:kern w:val="2"/>
          <w14:ligatures w14:val="standardContextual"/>
        </w:rPr>
        <w:t xml:space="preserve"> (seria L).</w:t>
      </w:r>
    </w:p>
    <w:p w14:paraId="091D9863"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4F6BCDA7" w14:textId="77777777" w:rsidR="00344BA4" w:rsidRPr="00344BA4" w:rsidRDefault="00344BA4" w:rsidP="00C779F6">
      <w:pPr>
        <w:pStyle w:val="ATHeading3"/>
      </w:pPr>
      <w:r w:rsidRPr="00344BA4">
        <w:lastRenderedPageBreak/>
        <w:t>22. Decizia Parlamentului European din 7 mai 2025 privind închiderea conturilor întreprinderii comune „Rețele și servicii inteligente” pentru exercițiul financiar 2023 (2024/2031(DEC))</w:t>
      </w:r>
    </w:p>
    <w:p w14:paraId="75BD68A4" w14:textId="4BA0D4DB" w:rsidR="00344BA4" w:rsidRPr="00344BA4" w:rsidRDefault="00344BA4" w:rsidP="00C779F6">
      <w:pPr>
        <w:spacing w:before="480" w:after="240"/>
        <w:rPr>
          <w:kern w:val="2"/>
          <w14:ligatures w14:val="standardContextual"/>
        </w:rPr>
      </w:pPr>
      <w:r w:rsidRPr="00344BA4">
        <w:rPr>
          <w:i/>
          <w:iCs/>
          <w:kern w:val="2"/>
          <w14:ligatures w14:val="standardContextual"/>
        </w:rPr>
        <w:t>Parlamentul European,</w:t>
      </w:r>
    </w:p>
    <w:p w14:paraId="7E6447C5" w14:textId="59EF2522"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conturile anuale finale ale întreprinderii comune „Rețele și servicii inteligente” pentru exercițiul financiar 2023,</w:t>
      </w:r>
    </w:p>
    <w:p w14:paraId="68225BDB" w14:textId="6060A30F"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anual al Curții de Conturi privind întreprinderile comune ale UE pentru exercițiul financiar 2023, însoțit de răspunsurile întreprinderilor comune </w:t>
      </w:r>
      <w:r w:rsidR="00344BA4" w:rsidRPr="00344BA4">
        <w:rPr>
          <w:rFonts w:eastAsia="Aptos"/>
          <w:kern w:val="2"/>
          <w:szCs w:val="24"/>
          <w:vertAlign w:val="superscript"/>
          <w14:ligatures w14:val="standardContextual"/>
        </w:rPr>
        <w:footnoteReference w:id="129"/>
      </w:r>
      <w:r w:rsidR="00344BA4" w:rsidRPr="00344BA4">
        <w:rPr>
          <w:kern w:val="2"/>
          <w14:ligatures w14:val="standardContextual"/>
        </w:rPr>
        <w:t>,</w:t>
      </w:r>
    </w:p>
    <w:p w14:paraId="092AD42D" w14:textId="4F4A2F80"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declarația de asigurare </w:t>
      </w:r>
      <w:r w:rsidR="00344BA4" w:rsidRPr="00344BA4">
        <w:rPr>
          <w:rFonts w:eastAsia="Aptos"/>
          <w:kern w:val="2"/>
          <w:szCs w:val="24"/>
          <w:vertAlign w:val="superscript"/>
          <w14:ligatures w14:val="standardContextual"/>
        </w:rPr>
        <w:footnoteReference w:id="130"/>
      </w:r>
      <w:r w:rsidR="00344BA4" w:rsidRPr="00344BA4">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B1A803D" w14:textId="50908B3D"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Recomandarea Consiliului din 17 februarie 2025 privind descărcarea de gestiune a întreprinderii comune în ceea ce privește execuția bugetară pentru exercițiul financiar 2023 (05757/2025 – C10‑0025/2025),</w:t>
      </w:r>
    </w:p>
    <w:p w14:paraId="52B67F59" w14:textId="6410ACB4"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articolul 319 din Tratatul privind funcționarea Uniunii Europene,</w:t>
      </w:r>
    </w:p>
    <w:p w14:paraId="3E405558" w14:textId="182B8280"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344BA4" w:rsidRPr="00344BA4">
        <w:rPr>
          <w:rFonts w:eastAsia="Aptos"/>
          <w:kern w:val="2"/>
          <w:szCs w:val="24"/>
          <w:vertAlign w:val="superscript"/>
          <w14:ligatures w14:val="standardContextual"/>
        </w:rPr>
        <w:footnoteReference w:id="131"/>
      </w:r>
      <w:r w:rsidR="00344BA4" w:rsidRPr="00344BA4">
        <w:rPr>
          <w:kern w:val="2"/>
          <w14:ligatures w14:val="standardContextual"/>
        </w:rPr>
        <w:t>, în special articolul 71,</w:t>
      </w:r>
    </w:p>
    <w:p w14:paraId="4516ECE8" w14:textId="4C71E7E6"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Euratom) 2024/2509 al Parlamentului European și al Consiliului din 23 septembrie 2024 privind normele financiare aplicabile bugetului general al Uniunii </w:t>
      </w:r>
      <w:r w:rsidR="00344BA4" w:rsidRPr="00344BA4">
        <w:rPr>
          <w:rFonts w:eastAsia="Aptos"/>
          <w:kern w:val="2"/>
          <w:szCs w:val="24"/>
          <w:vertAlign w:val="superscript"/>
          <w14:ligatures w14:val="standardContextual"/>
        </w:rPr>
        <w:footnoteReference w:id="132"/>
      </w:r>
      <w:r w:rsidR="00344BA4" w:rsidRPr="00344BA4">
        <w:rPr>
          <w:kern w:val="2"/>
          <w14:ligatures w14:val="standardContextual"/>
        </w:rPr>
        <w:t>, în special articolul 71,</w:t>
      </w:r>
    </w:p>
    <w:p w14:paraId="1B8B5541" w14:textId="79EC6219"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 </w:t>
      </w:r>
      <w:r w:rsidR="00344BA4" w:rsidRPr="00344BA4">
        <w:rPr>
          <w:rFonts w:eastAsia="Aptos"/>
          <w:kern w:val="2"/>
          <w:szCs w:val="24"/>
          <w:vertAlign w:val="superscript"/>
          <w14:ligatures w14:val="standardContextual"/>
        </w:rPr>
        <w:footnoteReference w:id="133"/>
      </w:r>
      <w:r w:rsidR="00344BA4" w:rsidRPr="00344BA4">
        <w:rPr>
          <w:kern w:val="2"/>
          <w14:ligatures w14:val="standardContextual"/>
        </w:rPr>
        <w:t>, în special articolul 26,</w:t>
      </w:r>
    </w:p>
    <w:p w14:paraId="4B525157" w14:textId="489FA118"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Regulamentul delegat (UE) 2019/887 al Comisiei din 13 martie 2019 privind regulamentul financiar-tip pentru organismele de parteneriat public-privat menționate la articolul 71 din Regulamentul (UE, Euratom) 2018/1046 al Parlamentului European și al Consiliului </w:t>
      </w:r>
      <w:r w:rsidR="00344BA4" w:rsidRPr="00344BA4">
        <w:rPr>
          <w:rFonts w:eastAsia="Aptos"/>
          <w:kern w:val="2"/>
          <w:szCs w:val="24"/>
          <w:vertAlign w:val="superscript"/>
          <w14:ligatures w14:val="standardContextual"/>
        </w:rPr>
        <w:footnoteReference w:id="134"/>
      </w:r>
      <w:r w:rsidR="00344BA4" w:rsidRPr="00344BA4">
        <w:rPr>
          <w:kern w:val="2"/>
          <w14:ligatures w14:val="standardContextual"/>
        </w:rPr>
        <w:t>,</w:t>
      </w:r>
    </w:p>
    <w:p w14:paraId="30074F52" w14:textId="61287C60" w:rsidR="00344BA4" w:rsidRPr="00344BA4" w:rsidRDefault="00846E79" w:rsidP="00C779F6">
      <w:pPr>
        <w:spacing w:after="240"/>
        <w:ind w:left="720" w:hanging="720"/>
        <w:rPr>
          <w:kern w:val="2"/>
          <w14:ligatures w14:val="standardContextual"/>
        </w:rPr>
      </w:pPr>
      <w:r>
        <w:rPr>
          <w:kern w:val="2"/>
          <w14:ligatures w14:val="standardContextual"/>
        </w:rPr>
        <w:lastRenderedPageBreak/>
        <w:t>–</w:t>
      </w:r>
      <w:r w:rsidR="00344BA4" w:rsidRPr="00344BA4">
        <w:rPr>
          <w:kern w:val="2"/>
          <w14:ligatures w14:val="standardContextual"/>
        </w:rPr>
        <w:tab/>
        <w:t>având în vedere articolul 102 și anexa V la Regulamentul său de procedură,</w:t>
      </w:r>
    </w:p>
    <w:p w14:paraId="237AD907" w14:textId="323B8445"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avizul Comisiei pentru transport și turism,</w:t>
      </w:r>
    </w:p>
    <w:p w14:paraId="3AE4AC06" w14:textId="4004B44D" w:rsidR="00344BA4" w:rsidRPr="00344BA4" w:rsidRDefault="00846E79" w:rsidP="00C779F6">
      <w:pPr>
        <w:spacing w:after="240"/>
        <w:ind w:left="720" w:hanging="720"/>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71A82AC8"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w:t>
      </w:r>
      <w:r w:rsidRPr="00344BA4">
        <w:rPr>
          <w:kern w:val="2"/>
          <w14:ligatures w14:val="standardContextual"/>
        </w:rPr>
        <w:tab/>
        <w:t>aprobă închiderea conturilor întreprinderii comune „Rețele și servicii inteligente” pentru exercițiul financiar 2023;</w:t>
      </w:r>
    </w:p>
    <w:p w14:paraId="5B7E3B3B" w14:textId="4044DC08" w:rsidR="00344BA4" w:rsidRPr="00344BA4" w:rsidRDefault="00344BA4" w:rsidP="00C779F6">
      <w:pPr>
        <w:spacing w:after="240"/>
        <w:ind w:left="567" w:hanging="567"/>
        <w:rPr>
          <w:kern w:val="2"/>
          <w14:ligatures w14:val="standardContextual"/>
        </w:rPr>
      </w:pPr>
      <w:r w:rsidRPr="00344BA4">
        <w:rPr>
          <w:kern w:val="2"/>
          <w14:ligatures w14:val="standardContextual"/>
        </w:rPr>
        <w:t>2.</w:t>
      </w:r>
      <w:r w:rsidRPr="00344BA4">
        <w:rPr>
          <w:kern w:val="2"/>
          <w14:ligatures w14:val="standardContextual"/>
        </w:rPr>
        <w:tab/>
        <w:t xml:space="preserve">încredințează </w:t>
      </w:r>
      <w:r w:rsidR="008D5D7D">
        <w:rPr>
          <w:kern w:val="2"/>
          <w14:ligatures w14:val="standardContextual"/>
        </w:rPr>
        <w:t>Președintei</w:t>
      </w:r>
      <w:r w:rsidRPr="00344BA4">
        <w:rPr>
          <w:kern w:val="2"/>
          <w14:ligatures w14:val="standardContextual"/>
        </w:rPr>
        <w:t xml:space="preserve"> sarcina de a transmite prezenta decizie directoarei executive a întreprinderii comune „Rețele și servicii inteligente”, Consiliului, Comisiei și Curții de Conturi și de a asigura publicarea acesteia în </w:t>
      </w:r>
      <w:r w:rsidRPr="00344BA4">
        <w:rPr>
          <w:i/>
          <w:kern w:val="2"/>
          <w14:ligatures w14:val="standardContextual"/>
        </w:rPr>
        <w:t>Jurnalul Oficial al Uniunii Europene</w:t>
      </w:r>
      <w:r w:rsidRPr="00344BA4">
        <w:rPr>
          <w:kern w:val="2"/>
          <w14:ligatures w14:val="standardContextual"/>
        </w:rPr>
        <w:t xml:space="preserve"> (seria L).</w:t>
      </w:r>
    </w:p>
    <w:p w14:paraId="14B33AF3" w14:textId="77777777" w:rsidR="00344BA4" w:rsidRPr="00344BA4" w:rsidRDefault="00344BA4" w:rsidP="00C779F6">
      <w:pPr>
        <w:widowControl/>
        <w:rPr>
          <w:rFonts w:eastAsia="Aptos"/>
          <w:kern w:val="2"/>
          <w:szCs w:val="24"/>
          <w:lang w:val="en-GB" w:eastAsia="en-US"/>
          <w14:ligatures w14:val="standardContextual"/>
        </w:rPr>
        <w:sectPr w:rsidR="00344BA4" w:rsidRPr="00344BA4" w:rsidSect="00B27B3E">
          <w:footnotePr>
            <w:numRestart w:val="eachSect"/>
          </w:footnotePr>
          <w:pgSz w:w="11906" w:h="16838"/>
          <w:pgMar w:top="1134" w:right="1418" w:bottom="1418" w:left="1418" w:header="708" w:footer="708" w:gutter="0"/>
          <w:cols w:space="708"/>
          <w:docGrid w:linePitch="360"/>
        </w:sectPr>
      </w:pPr>
    </w:p>
    <w:p w14:paraId="3AE94110" w14:textId="77777777" w:rsidR="00344BA4" w:rsidRPr="00344BA4" w:rsidRDefault="00344BA4" w:rsidP="00C779F6">
      <w:pPr>
        <w:pStyle w:val="ATHeading3"/>
      </w:pPr>
      <w:r w:rsidRPr="00344BA4">
        <w:lastRenderedPageBreak/>
        <w:t>23. Rezoluția Parlamentului European din 7 mai 2025 conținând observațiile care fac parte integrantă din deciziile privind descărcarea de gestiune pentru execuția bugetului întreprinderilor comune ale Uniunii Europene aferent exercițiului financiar 2023 (2024/2031(DEC))</w:t>
      </w:r>
    </w:p>
    <w:p w14:paraId="2171D2EA" w14:textId="0A1C6209" w:rsidR="00344BA4" w:rsidRPr="00344BA4" w:rsidRDefault="00344BA4" w:rsidP="00C779F6">
      <w:pPr>
        <w:spacing w:before="480" w:after="240"/>
        <w:rPr>
          <w:kern w:val="2"/>
          <w14:ligatures w14:val="standardContextual"/>
        </w:rPr>
      </w:pPr>
      <w:r w:rsidRPr="00344BA4">
        <w:rPr>
          <w:i/>
          <w:iCs/>
          <w:kern w:val="2"/>
          <w14:ligatures w14:val="standardContextual"/>
        </w:rPr>
        <w:t>Parlamentul European,</w:t>
      </w:r>
    </w:p>
    <w:p w14:paraId="26B51527" w14:textId="17E823EA"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decizia sa privind descărcarea de gestiune pentru execuția bugetului întreprinderii comune pentru o aviație curată aferent exercițiului financiar 2023,</w:t>
      </w:r>
    </w:p>
    <w:p w14:paraId="0BF95136" w14:textId="56899745"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decizia sa privind descărcarea de gestiune pentru execuția bugetului întreprinderii comune pentru bioeconomia circulară în Europa aferent exercițiului financiar 2023,</w:t>
      </w:r>
    </w:p>
    <w:p w14:paraId="76AD4880" w14:textId="14D6C297"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decizia sa privind descărcarea de gestiune pentru execuția bugetului întreprinderii comune pentru un hidrogen curat aferent exercițiului financiar 2023,</w:t>
      </w:r>
    </w:p>
    <w:p w14:paraId="70C34611" w14:textId="617833EC"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decizia sa privind descărcarea de gestiune pentru execuția bugetului întreprinderii comune pentru căile ferate ale Europei aferent exercițiului financiar 2023,</w:t>
      </w:r>
    </w:p>
    <w:p w14:paraId="0E63E5DA" w14:textId="7947777F"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decizia sa privind descărcarea de gestiune pentru execuția bugetului întreprinderii comune pentru calculul european de înaltă performanță aferent exercițiului financiar 2023,</w:t>
      </w:r>
    </w:p>
    <w:p w14:paraId="2975906C" w14:textId="7C90AA97"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decizia sa privind descărcarea de gestiune pentru execuția bugetului întreprinderii comune europene pentru ITER și pentru dezvoltarea energiei de fuziune aferent exercițiului financiar 2023,</w:t>
      </w:r>
    </w:p>
    <w:p w14:paraId="1E3249DE" w14:textId="3068BA82"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decizia sa privind descărcarea de gestiune pentru execuția bugetului întreprinderii comune EDCTP3 „Sănătatea la nivel mondial” aferent exercițiului financiar 2023,</w:t>
      </w:r>
    </w:p>
    <w:p w14:paraId="0A4879D5" w14:textId="59158A15"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decizia sa privind descărcarea de gestiune pentru execuția bugetului întreprinderii comune „Inițiativa pentru inovare în domeniul sănătății” aferent exercițiului financiar 2023,</w:t>
      </w:r>
    </w:p>
    <w:p w14:paraId="19768BFD" w14:textId="220082D3"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decizia sa privind descărcarea de gestiune pentru execuția bugetului întreprinderii comune pentru cipuri aferent exercițiului financiar 2023,</w:t>
      </w:r>
    </w:p>
    <w:p w14:paraId="73E537CF" w14:textId="200230CA"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decizia sa privind descărcarea de gestiune pentru execuția bugetului întreprinderii comune „Proiectul de cercetare privind ATM în contextul Cerului unic european” 3 aferent exercițiului financiar 2023,</w:t>
      </w:r>
    </w:p>
    <w:p w14:paraId="3B9AE44E" w14:textId="6D67C78F"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decizia sa privind descărcarea de gestiune pentru execuția bugetului întreprinderii comune „Rețele și servicii inteligente” aferent exercițiului financiar 2023,</w:t>
      </w:r>
    </w:p>
    <w:p w14:paraId="40355196" w14:textId="10BEF9F3"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articolul 102 și anexa V la Regulamentul său de procedură,</w:t>
      </w:r>
    </w:p>
    <w:p w14:paraId="5887CBBF" w14:textId="32045D0D"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avizul Comisiei pentru transport și turism,</w:t>
      </w:r>
    </w:p>
    <w:p w14:paraId="6CA03992" w14:textId="034AE234" w:rsidR="00344BA4" w:rsidRPr="00344BA4" w:rsidRDefault="00846E79" w:rsidP="00C779F6">
      <w:pPr>
        <w:spacing w:after="240"/>
        <w:ind w:left="567" w:hanging="567"/>
        <w:rPr>
          <w:kern w:val="2"/>
          <w14:ligatures w14:val="standardContextual"/>
        </w:rPr>
      </w:pPr>
      <w:r>
        <w:rPr>
          <w:kern w:val="2"/>
          <w14:ligatures w14:val="standardContextual"/>
        </w:rPr>
        <w:t>–</w:t>
      </w:r>
      <w:r w:rsidR="00344BA4" w:rsidRPr="00344BA4">
        <w:rPr>
          <w:kern w:val="2"/>
          <w14:ligatures w14:val="standardContextual"/>
        </w:rPr>
        <w:tab/>
        <w:t>având în vedere raportul Comisiei pentru control bugetar (A10-0056/2025),</w:t>
      </w:r>
    </w:p>
    <w:p w14:paraId="59CD986A"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lastRenderedPageBreak/>
        <w:t>A.</w:t>
      </w:r>
      <w:r w:rsidRPr="00344BA4">
        <w:rPr>
          <w:kern w:val="2"/>
          <w14:ligatures w14:val="standardContextual"/>
        </w:rPr>
        <w:tab/>
        <w:t>întrucât întreprinderea comună „Proiectul de cercetare privind ATM în contextul Cerului unic european” 3, întreprinderea comună pentru o aviație curată, întreprinderea comună „Inițiativa pentru inovare în domeniul sănătății”, întreprinderea comună pentru un hidrogen curat, întreprinderea comună pentru bioeconomia circulară în Europa, întreprinderea comună pentru căile ferate ale Europei, întreprinderea comună „Rețele și servicii inteligente” și întreprinderea comună EDCTP3 „Sănătatea la nivel mondial” au fost înființate prin Regulamentul (UE) 2021/2085 al Consiliului </w:t>
      </w:r>
      <w:r w:rsidRPr="00344BA4">
        <w:rPr>
          <w:kern w:val="2"/>
          <w:vertAlign w:val="superscript"/>
          <w14:ligatures w14:val="standardContextual"/>
        </w:rPr>
        <w:footnoteReference w:id="135"/>
      </w:r>
      <w:r w:rsidRPr="00344BA4">
        <w:rPr>
          <w:kern w:val="2"/>
          <w14:ligatures w14:val="standardContextual"/>
        </w:rPr>
        <w:t xml:space="preserve"> de instituire a întreprinderilor comune din cadrul programului Orizont Europa și de abrogare a Regulamentelor (CE) nr. 219/2007, (UE) nr. 557/2014, (UE) nr. 558/2014, (UE) nr. 559/2014, (UE) nr. 560/2014, (UE) nr. 561/2014 și (UE) nr. 642/2014, denumit în continuare” Actul de bază unic” (SBA);</w:t>
      </w:r>
    </w:p>
    <w:p w14:paraId="3F5CF672"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B.</w:t>
      </w:r>
      <w:r w:rsidRPr="00344BA4">
        <w:rPr>
          <w:kern w:val="2"/>
          <w14:ligatures w14:val="standardContextual"/>
        </w:rPr>
        <w:tab/>
        <w:t>întrucât întreprinderea comună „Tehnologii digitale esențiale” a fost înființată prin Regulamentul (UE) 2021/2085; întrucât întreprinderea comună „Tehnologii digitale esențiale” a devenit întreprinderea comună pentru cipuri în iulie 2023, în conformitate cu Regulamentul (UE) 2023/1782 al Consiliului </w:t>
      </w:r>
      <w:r w:rsidRPr="00344BA4">
        <w:rPr>
          <w:kern w:val="2"/>
          <w:vertAlign w:val="superscript"/>
          <w14:ligatures w14:val="standardContextual"/>
        </w:rPr>
        <w:footnoteReference w:id="136"/>
      </w:r>
      <w:r w:rsidRPr="00344BA4">
        <w:rPr>
          <w:kern w:val="2"/>
          <w14:ligatures w14:val="standardContextual"/>
        </w:rPr>
        <w:t>;</w:t>
      </w:r>
    </w:p>
    <w:p w14:paraId="6C674861"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C.</w:t>
      </w:r>
      <w:r w:rsidRPr="00344BA4">
        <w:rPr>
          <w:kern w:val="2"/>
          <w14:ligatures w14:val="standardContextual"/>
        </w:rPr>
        <w:tab/>
        <w:t>întrucât întreprinderea comună europeană pentru ITER și pentru dezvoltarea energiei de fuziune a fost înființată în aprilie 2007 prin Decizia 2007/198/Euratom a Consiliului </w:t>
      </w:r>
      <w:r w:rsidRPr="00344BA4">
        <w:rPr>
          <w:kern w:val="2"/>
          <w:vertAlign w:val="superscript"/>
          <w14:ligatures w14:val="standardContextual"/>
        </w:rPr>
        <w:footnoteReference w:id="137"/>
      </w:r>
      <w:r w:rsidRPr="00344BA4">
        <w:rPr>
          <w:kern w:val="2"/>
          <w14:ligatures w14:val="standardContextual"/>
        </w:rPr>
        <w:t>;</w:t>
      </w:r>
    </w:p>
    <w:p w14:paraId="5150B0B1"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D.</w:t>
      </w:r>
      <w:r w:rsidRPr="00344BA4">
        <w:rPr>
          <w:kern w:val="2"/>
          <w14:ligatures w14:val="standardContextual"/>
        </w:rPr>
        <w:tab/>
        <w:t>întrucât întreprinderea comună pentru calculul european de înaltă performanță a fost înființată prin Regulamentul (UE) 2021/1173 al Consiliului </w:t>
      </w:r>
      <w:r w:rsidRPr="00344BA4">
        <w:rPr>
          <w:kern w:val="2"/>
          <w:vertAlign w:val="superscript"/>
          <w14:ligatures w14:val="standardContextual"/>
        </w:rPr>
        <w:footnoteReference w:id="138"/>
      </w:r>
      <w:r w:rsidRPr="00344BA4">
        <w:rPr>
          <w:kern w:val="2"/>
          <w14:ligatures w14:val="standardContextual"/>
        </w:rPr>
        <w:t>,</w:t>
      </w:r>
    </w:p>
    <w:p w14:paraId="1F974F18"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E.</w:t>
      </w:r>
      <w:r w:rsidRPr="00344BA4">
        <w:rPr>
          <w:kern w:val="2"/>
          <w14:ligatures w14:val="standardContextual"/>
        </w:rPr>
        <w:tab/>
        <w:t>întrucât întreprinderea comună „Proiectul de cercetare privind ATM în contextul Cerului unic european” 3 este un parteneriat public-privat care urmărește dezvoltarea unui management modernizat al traficului aerian în Europa și accelerarea, prin cercetare și inovare, a realizării cerului european digital;</w:t>
      </w:r>
    </w:p>
    <w:p w14:paraId="0AC20890"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F.</w:t>
      </w:r>
      <w:r w:rsidRPr="00344BA4">
        <w:rPr>
          <w:kern w:val="2"/>
          <w14:ligatures w14:val="standardContextual"/>
        </w:rPr>
        <w:tab/>
        <w:t>întrucât întreprinderea comună pentru o aviație curată este un parteneriat public-privat, axat pe cercetare și inovare, al cărui obiectiv constă în transformarea aviației în perspectiva unui viitor durabil și neutru din punct de vedere climatic;</w:t>
      </w:r>
    </w:p>
    <w:p w14:paraId="50CF42AB"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G.</w:t>
      </w:r>
      <w:r w:rsidRPr="00344BA4">
        <w:rPr>
          <w:kern w:val="2"/>
          <w14:ligatures w14:val="standardContextual"/>
        </w:rPr>
        <w:tab/>
        <w:t xml:space="preserve">întrucât întreprinderea comună „Inițiativa pentru inovare în domeniul sănătății” este un parteneriat public-privat axat pe cercetarea și inovarea interdisciplinară, sustenabilă și </w:t>
      </w:r>
      <w:r w:rsidRPr="00344BA4">
        <w:rPr>
          <w:kern w:val="2"/>
          <w14:ligatures w14:val="standardContextual"/>
        </w:rPr>
        <w:lastRenderedPageBreak/>
        <w:t>centrată pe pacient în domeniul sănătății;</w:t>
      </w:r>
    </w:p>
    <w:p w14:paraId="3A3D8977"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H.</w:t>
      </w:r>
      <w:r w:rsidRPr="00344BA4">
        <w:rPr>
          <w:kern w:val="2"/>
          <w14:ligatures w14:val="standardContextual"/>
        </w:rPr>
        <w:tab/>
        <w:t>întrucât întreprinderea comună pentru un hidrogen curat este un parteneriat public-privat în domeniul cercetării și inovării în sectorul tehnologiei pe bază de hidrogen și al tehnologiei pilelor de combustie;</w:t>
      </w:r>
    </w:p>
    <w:p w14:paraId="65CF70EC"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I.</w:t>
      </w:r>
      <w:r w:rsidRPr="00344BA4">
        <w:rPr>
          <w:kern w:val="2"/>
          <w14:ligatures w14:val="standardContextual"/>
        </w:rPr>
        <w:tab/>
        <w:t>întrucât întreprinderea comună pentru cipuri este un parteneriat public-privat, axat pe cercetare și inovare în domeniul celor mai importante tehnologii digitale esențiale pentru poziția Europei de lider competitiv în economia digitală, în special în sectorul componentelor și sistemelor electronice;</w:t>
      </w:r>
    </w:p>
    <w:p w14:paraId="622BEDA4"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J.</w:t>
      </w:r>
      <w:r w:rsidRPr="00344BA4">
        <w:rPr>
          <w:kern w:val="2"/>
          <w14:ligatures w14:val="standardContextual"/>
        </w:rPr>
        <w:tab/>
        <w:t xml:space="preserve">întrucât întreprinderea comună pentru bioeconomia circulară în Europa este un parteneriat public-privat, axat pe cercetare și inovare, creat cu scopul de a avea un sector al </w:t>
      </w:r>
      <w:proofErr w:type="spellStart"/>
      <w:r w:rsidRPr="00344BA4">
        <w:rPr>
          <w:kern w:val="2"/>
          <w14:ligatures w14:val="standardContextual"/>
        </w:rPr>
        <w:t>bioindustriilor</w:t>
      </w:r>
      <w:proofErr w:type="spellEnd"/>
      <w:r w:rsidRPr="00344BA4">
        <w:rPr>
          <w:kern w:val="2"/>
          <w14:ligatures w14:val="standardContextual"/>
        </w:rPr>
        <w:t xml:space="preserve"> circulare sustenabil și competitiv;</w:t>
      </w:r>
    </w:p>
    <w:p w14:paraId="4A489999"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K.</w:t>
      </w:r>
      <w:r w:rsidRPr="00344BA4">
        <w:rPr>
          <w:kern w:val="2"/>
          <w14:ligatures w14:val="standardContextual"/>
        </w:rPr>
        <w:tab/>
        <w:t>întrucât întreprinderea comună pentru căile ferate ale Europei reprezintă un parteneriat public-privat pentru cercetare și inovare în sectorul feroviar;</w:t>
      </w:r>
    </w:p>
    <w:p w14:paraId="5E39676F"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L.</w:t>
      </w:r>
      <w:r w:rsidRPr="00344BA4">
        <w:rPr>
          <w:kern w:val="2"/>
          <w14:ligatures w14:val="standardContextual"/>
        </w:rPr>
        <w:tab/>
        <w:t>întrucât întreprinderea comună pentru calculul european de înaltă performanță este un parteneriat public-privat care permite punerea în comun a resurselor pentru a dezvolta și implementa calculul de înaltă performanță în Europa;</w:t>
      </w:r>
    </w:p>
    <w:p w14:paraId="5B41F9E5"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M.</w:t>
      </w:r>
      <w:r w:rsidRPr="00344BA4">
        <w:rPr>
          <w:kern w:val="2"/>
          <w14:ligatures w14:val="standardContextual"/>
        </w:rPr>
        <w:tab/>
        <w:t>întrucât întreprinderea comună „Rețele și servicii inteligente” este un parteneriat public-privat menit să consolideze poziția de lider tehnologic al Europei și alinierea sa strategică la sectorul telecomunicațiilor și să încurajeze adoptarea de soluții digitale;</w:t>
      </w:r>
    </w:p>
    <w:p w14:paraId="0D1CA79A"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N.</w:t>
      </w:r>
      <w:r w:rsidRPr="00344BA4">
        <w:rPr>
          <w:kern w:val="2"/>
          <w14:ligatures w14:val="standardContextual"/>
        </w:rPr>
        <w:tab/>
        <w:t xml:space="preserve">întrucât întreprinderea comună EDCTP3 „Sănătatea la nivel mondial” este un parteneriat public-privat care urmărește să reducă problemele socioeconomice cauzate de bolile infecțioase în Africa </w:t>
      </w:r>
      <w:proofErr w:type="spellStart"/>
      <w:r w:rsidRPr="00344BA4">
        <w:rPr>
          <w:kern w:val="2"/>
          <w14:ligatures w14:val="standardContextual"/>
        </w:rPr>
        <w:t>Subsahariană</w:t>
      </w:r>
      <w:proofErr w:type="spellEnd"/>
      <w:r w:rsidRPr="00344BA4">
        <w:rPr>
          <w:kern w:val="2"/>
          <w14:ligatures w14:val="standardContextual"/>
        </w:rPr>
        <w:t>, prin aplicații noi și îmbunătățite ale tehnologiilor medicale, precum și să îmbunătățească pregătirea și răspunsul la bolile infecțioase nivel mondial;</w:t>
      </w:r>
    </w:p>
    <w:p w14:paraId="1F567785"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O.</w:t>
      </w:r>
      <w:r w:rsidRPr="00344BA4">
        <w:rPr>
          <w:kern w:val="2"/>
          <w14:ligatures w14:val="standardContextual"/>
        </w:rPr>
        <w:tab/>
        <w:t>întrucât întreprinderea comună europeană pentru ITER și pentru dezvoltarea energiei de fuziune are ca obiective să asigure contribuția Uniunii la proiectul internațional ITER pentru energia de fuziune, să pună în practică acordul privind programul extins de colaborare încheiat între Euratom și Japonia și să pregătească construcția unui reactor de fuziune demonstrativ și a instalațiilor aferente,</w:t>
      </w:r>
    </w:p>
    <w:p w14:paraId="5333E21C" w14:textId="77777777" w:rsidR="00344BA4" w:rsidRPr="00344BA4" w:rsidRDefault="00344BA4" w:rsidP="00C779F6">
      <w:pPr>
        <w:spacing w:after="240"/>
        <w:rPr>
          <w:b/>
          <w:i/>
          <w:kern w:val="2"/>
          <w14:ligatures w14:val="standardContextual"/>
        </w:rPr>
      </w:pPr>
      <w:r w:rsidRPr="00344BA4">
        <w:rPr>
          <w:b/>
          <w:i/>
          <w:kern w:val="2"/>
          <w14:ligatures w14:val="standardContextual"/>
        </w:rPr>
        <w:t>Remarci de ordin general</w:t>
      </w:r>
    </w:p>
    <w:p w14:paraId="0876403D" w14:textId="77777777" w:rsidR="00344BA4" w:rsidRPr="00344BA4" w:rsidRDefault="00344BA4" w:rsidP="00C779F6">
      <w:pPr>
        <w:spacing w:after="240"/>
        <w:ind w:left="567" w:hanging="567"/>
        <w:rPr>
          <w:kern w:val="2"/>
          <w:szCs w:val="24"/>
          <w:lang w:eastAsia="en-US"/>
          <w14:ligatures w14:val="standardContextual"/>
        </w:rPr>
      </w:pPr>
      <w:r w:rsidRPr="00344BA4">
        <w:rPr>
          <w:kern w:val="2"/>
          <w:szCs w:val="24"/>
          <w:lang w:eastAsia="en-US"/>
          <w14:ligatures w14:val="standardContextual"/>
        </w:rPr>
        <w:t>1.</w:t>
      </w:r>
      <w:r w:rsidRPr="00344BA4">
        <w:rPr>
          <w:kern w:val="2"/>
          <w:szCs w:val="24"/>
          <w:lang w:eastAsia="en-US"/>
          <w14:ligatures w14:val="standardContextual"/>
        </w:rPr>
        <w:tab/>
        <w:t xml:space="preserve">observă că rolul întreprinderilor comune ar trebui să fie sprijinirea activităților de cercetare și inovare în domeniile transporturilor, energiei, sănătății, </w:t>
      </w:r>
      <w:proofErr w:type="spellStart"/>
      <w:r w:rsidRPr="00344BA4">
        <w:rPr>
          <w:kern w:val="2"/>
          <w:szCs w:val="24"/>
          <w:lang w:eastAsia="en-US"/>
          <w14:ligatures w14:val="standardContextual"/>
        </w:rPr>
        <w:t>bioindustriilor</w:t>
      </w:r>
      <w:proofErr w:type="spellEnd"/>
      <w:r w:rsidRPr="00344BA4">
        <w:rPr>
          <w:kern w:val="2"/>
          <w:szCs w:val="24"/>
          <w:lang w:eastAsia="en-US"/>
          <w14:ligatures w14:val="standardContextual"/>
        </w:rPr>
        <w:t xml:space="preserve"> circulare, componentelor electronice esențiale, calculului de înaltă performanță și sistemelor de rețea; invită întreprinderile comune să promoveze transformarea cunoștințelor științifice în inovații comercializabile și să instituie mecanisme care să garanteze că activitatea lor conduce la o creștere a competitivității europene în lume;</w:t>
      </w:r>
    </w:p>
    <w:p w14:paraId="3B8B2580"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2.</w:t>
      </w:r>
      <w:r w:rsidRPr="00344BA4">
        <w:rPr>
          <w:kern w:val="2"/>
          <w14:ligatures w14:val="standardContextual"/>
        </w:rPr>
        <w:tab/>
        <w:t>subliniază că, în actualul cadru financiar multianual, potrivit Curții de Conturi (denumită în continuare „Curtea”), se preconizează că întreprinderile comune vor primi un buget combinat de 17 miliarde EUR din contribuția în numerar a Uniunii și că vor mobiliza contribuții în valoare de 21,1 miliarde EUR din partea altor membri;</w:t>
      </w:r>
    </w:p>
    <w:p w14:paraId="642A61F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lastRenderedPageBreak/>
        <w:t>3.</w:t>
      </w:r>
      <w:r w:rsidRPr="00344BA4">
        <w:rPr>
          <w:kern w:val="2"/>
          <w14:ligatures w14:val="standardContextual"/>
        </w:rPr>
        <w:tab/>
        <w:t>observă că întreprinderile comune se bazează pe parteneriate de tip public-privat care orientează investițiile și mobilizează fondurile publice și private pentru a finanța obiective comune; reamintește, în acest sens, că contribuțiile membrilor privați trebuie să respecte obiectivele stabilite pentru ca astfel de parteneriate să rămână reciproc avantajoase; invită întreprinderile comune care permit contribuții în natură la activități suplimentare să evite, atunci când este posibil, o dependență excesivă de astfel de contribuții pentru a îndeplini obiectivele stabilite;</w:t>
      </w:r>
    </w:p>
    <w:p w14:paraId="48FCF8A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4.</w:t>
      </w:r>
      <w:r w:rsidRPr="00344BA4">
        <w:rPr>
          <w:kern w:val="2"/>
          <w14:ligatures w14:val="standardContextual"/>
        </w:rPr>
        <w:tab/>
        <w:t>recunoaște contribuțiile semnificative ale întreprinderilor comune la promovarea cercetării, inovării și dezvoltării tehnologice în diferite sectoare, inclusiv în aviație, în transportul feroviar și în managementul traficului aerian, ca parte integrantă a realizării obiectivelor strategice ale Uniunii în materie de sustenabilitate, transformare digitală și competitivitate;</w:t>
      </w:r>
    </w:p>
    <w:p w14:paraId="2BDAFF4C"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5.</w:t>
      </w:r>
      <w:r w:rsidRPr="00344BA4">
        <w:rPr>
          <w:kern w:val="2"/>
          <w14:ligatures w14:val="standardContextual"/>
        </w:rPr>
        <w:tab/>
        <w:t>salută Raportul anual al Curții privind întreprinderile comune ale UE pentru exercițiul financiar 2023 (denumit în continuare „raportul Curții”); subliniază că misiunea Curții este esențială pentru buna execuție a bugetului Uniunii și pentru supravegherea bugetului;</w:t>
      </w:r>
    </w:p>
    <w:p w14:paraId="0B80D30A"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6.</w:t>
      </w:r>
      <w:r w:rsidRPr="00344BA4">
        <w:rPr>
          <w:kern w:val="2"/>
          <w14:ligatures w14:val="standardContextual"/>
        </w:rPr>
        <w:tab/>
        <w:t>consideră oportun faptul că Curtea a furnizat autorității care acordă descărcarea de gestiune un raport anual privind întreprinderile comune ale UE, care conține o declarație de asigurare specifică pentru fiecare dintre întreprinderile comune în ceea ce privește conturile anuale și operațiunile subiacente ale acestora; împărtășește opinia potrivit căreia, pe lângă dispozițiile legale obligatorii pentru Curte, cadrul instituțional al întreprinderilor comune face ca acestea să beneficieze de o atenție deosebită din partea Curții; solicită continuarea acestei bune practici; felicită întreprinderile comune pentru buna cooperare cu Curtea în decursul elaborării raportului și salută explicațiile date cu privire la unele dintre observațiile și afirmațiile formulate în răspunsurile furnizate de întreprinderile comune;</w:t>
      </w:r>
    </w:p>
    <w:p w14:paraId="682CE499"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7.</w:t>
      </w:r>
      <w:r w:rsidRPr="00344BA4">
        <w:rPr>
          <w:kern w:val="2"/>
          <w14:ligatures w14:val="standardContextual"/>
        </w:rPr>
        <w:tab/>
        <w:t>felicită două întreprinderi comune pentru că au dobândit autonomia financiară în cursul exercițiului financiar 2023, și anume întreprinderea comună „Rețele și servicii inteligente” la 24 octombrie 2023 și întreprinderea comună EDCTP3 „Sănătatea la nivel mondial” la 23 noiembrie 2023; constată totodată că, prin urmare, Curtea a auditat pentru prima dată aceste două întreprinderi comune, pe lângă cele nouă întreprinderi comune pe care Curtea le auditase deja pentru exercițiul financiar 2022;</w:t>
      </w:r>
    </w:p>
    <w:p w14:paraId="1D4AA3BE"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8.</w:t>
      </w:r>
      <w:r w:rsidRPr="00344BA4">
        <w:rPr>
          <w:kern w:val="2"/>
          <w14:ligatures w14:val="standardContextual"/>
        </w:rPr>
        <w:tab/>
        <w:t>se declară conștient de faptul că unele întreprinderi comune au fost grav afectate în cursul exercițiului financiar 2023 de evenimente importante, de natură să le modifice performanța; subliniază, mai precis, că:</w:t>
      </w:r>
    </w:p>
    <w:p w14:paraId="5378618D"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(a)</w:t>
      </w:r>
      <w:r w:rsidRPr="00344BA4">
        <w:rPr>
          <w:kern w:val="2"/>
          <w14:ligatures w14:val="standardContextual"/>
        </w:rPr>
        <w:tab/>
        <w:t>războiul de agresiune dus de Rusia împotriva Ucrainei a avut un impact important asupra economiei Uniunii și asupra lanțurilor de aprovizionare, afectând în mare măsură activitățile unor întreprinderi comune;</w:t>
      </w:r>
    </w:p>
    <w:p w14:paraId="4C433A89"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(b)</w:t>
      </w:r>
      <w:r w:rsidRPr="00344BA4">
        <w:rPr>
          <w:kern w:val="2"/>
          <w14:ligatures w14:val="standardContextual"/>
        </w:rPr>
        <w:tab/>
        <w:t xml:space="preserve">consecințele pandemiei de COVID-19 sunt încă resimțite în întreaga </w:t>
      </w:r>
      <w:proofErr w:type="spellStart"/>
      <w:r w:rsidRPr="00344BA4">
        <w:rPr>
          <w:kern w:val="2"/>
          <w14:ligatures w14:val="standardContextual"/>
        </w:rPr>
        <w:t>Europă</w:t>
      </w:r>
      <w:proofErr w:type="spellEnd"/>
      <w:r w:rsidRPr="00344BA4">
        <w:rPr>
          <w:kern w:val="2"/>
          <w14:ligatures w14:val="standardContextual"/>
        </w:rPr>
        <w:t xml:space="preserve"> în prezent și s-au resimțit în cursul exercițiului financiar 2023, reprezentând în continuare un șoc de proporții pentru activitățile economice și administrative;</w:t>
      </w:r>
    </w:p>
    <w:p w14:paraId="4A296B37" w14:textId="77777777" w:rsidR="00344BA4" w:rsidRPr="00344BA4" w:rsidRDefault="00344BA4" w:rsidP="00C779F6">
      <w:pPr>
        <w:spacing w:after="240"/>
        <w:ind w:left="1134" w:hanging="567"/>
        <w:rPr>
          <w:kern w:val="2"/>
          <w14:ligatures w14:val="standardContextual"/>
        </w:rPr>
      </w:pPr>
      <w:r w:rsidRPr="00344BA4">
        <w:rPr>
          <w:kern w:val="2"/>
          <w14:ligatures w14:val="standardContextual"/>
        </w:rPr>
        <w:t>(c)</w:t>
      </w:r>
      <w:r w:rsidRPr="00344BA4">
        <w:rPr>
          <w:kern w:val="2"/>
          <w14:ligatures w14:val="standardContextual"/>
        </w:rPr>
        <w:tab/>
        <w:t xml:space="preserve">nivelurile ridicate ale inflației cauzate de cele două evenimente menționate mai sus au avut un impact asupra întreprinderilor comune în ceea privește </w:t>
      </w:r>
      <w:r w:rsidRPr="00344BA4">
        <w:rPr>
          <w:kern w:val="2"/>
          <w14:ligatures w14:val="standardContextual"/>
        </w:rPr>
        <w:lastRenderedPageBreak/>
        <w:t>aprovizionarea și termenul de livrare;</w:t>
      </w:r>
    </w:p>
    <w:p w14:paraId="320307D4"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9.</w:t>
      </w:r>
      <w:r w:rsidRPr="00344BA4">
        <w:rPr>
          <w:kern w:val="2"/>
          <w14:ligatures w14:val="standardContextual"/>
        </w:rPr>
        <w:tab/>
        <w:t>recunoaște beneficiile întreprinderilor comune, importanța cooperării dintre sectorul public și cel privat în stimularea inovării, promovarea cercetării și dezvoltării, precum și beneficiile economice ale parteneriatelor; constată că, prin punerea în comun a resurselor și a expertizei din ambele sectoare, public și privat, întreprinderile comune pot face față mai eficient provocărilor; subliniază importanța transparenței, responsabilității și utilizării eficiente a fondurilor publice de către întreprinderile comune;</w:t>
      </w:r>
    </w:p>
    <w:p w14:paraId="39502A9B"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10.</w:t>
      </w:r>
      <w:r w:rsidRPr="00344BA4">
        <w:rPr>
          <w:kern w:val="2"/>
          <w14:ligatures w14:val="standardContextual"/>
        </w:rPr>
        <w:tab/>
        <w:t xml:space="preserve">recunoaște valoarea inițiativelor care promovează implicarea și participarea părților interesate, cum ar fi cererile de exprimare a interesului deschise și cererile comune lansate de întreprinderile comune, care sunt esențiale pentru mobilizarea expertizei și a resurselor colective; atrage atenția în special asupra cererii de propuneri comune lansate de întreprinderea comună pentru căile ferate ale Europei și întreprinderea comună „Proiectul de cercetare privind ATM în contextul Cerului unic european” 3, prima cerere comună de acest tip din partea unor întreprinderi comune care vizează dezvoltarea unei rețele aeriene și feroviare integrate pentru un sistem de transport </w:t>
      </w:r>
      <w:proofErr w:type="spellStart"/>
      <w:r w:rsidRPr="00344BA4">
        <w:rPr>
          <w:kern w:val="2"/>
          <w14:ligatures w14:val="standardContextual"/>
        </w:rPr>
        <w:t>multimodal</w:t>
      </w:r>
      <w:proofErr w:type="spellEnd"/>
      <w:r w:rsidRPr="00344BA4">
        <w:rPr>
          <w:kern w:val="2"/>
          <w14:ligatures w14:val="standardContextual"/>
        </w:rPr>
        <w:t xml:space="preserve"> sustenabil;</w:t>
      </w:r>
    </w:p>
    <w:p w14:paraId="537F46F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11.</w:t>
      </w:r>
      <w:r w:rsidRPr="00344BA4">
        <w:rPr>
          <w:kern w:val="2"/>
          <w14:ligatures w14:val="standardContextual"/>
        </w:rPr>
        <w:tab/>
        <w:t>reamintește că întreprinderile comune trebuie să își desfășoare operațiunile în conformitate cu principiile bunei gestiuni financiare, contribuind astfel în mod eficace la obiectivele de politică ale Uniunii, precum și la buna execuție a bugetului Uniunii; este însă preocupat de o serie de elemente, având în vedere constatările Curții, astfel cum sunt prezentate în prezenta rezoluție;</w:t>
      </w:r>
    </w:p>
    <w:p w14:paraId="54D13BBB" w14:textId="77777777" w:rsidR="00344BA4" w:rsidRPr="00344BA4" w:rsidRDefault="00344BA4" w:rsidP="00C779F6">
      <w:pPr>
        <w:spacing w:after="240"/>
        <w:rPr>
          <w:b/>
          <w:i/>
          <w:kern w:val="2"/>
          <w14:ligatures w14:val="standardContextual"/>
        </w:rPr>
      </w:pPr>
      <w:r w:rsidRPr="00344BA4">
        <w:rPr>
          <w:b/>
          <w:i/>
          <w:kern w:val="2"/>
          <w14:ligatures w14:val="standardContextual"/>
        </w:rPr>
        <w:t>Conturile anuale</w:t>
      </w:r>
    </w:p>
    <w:p w14:paraId="79ED46E7"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12.</w:t>
      </w:r>
      <w:r w:rsidRPr="00344BA4">
        <w:rPr>
          <w:kern w:val="2"/>
          <w14:ligatures w14:val="standardContextual"/>
        </w:rPr>
        <w:tab/>
        <w:t>ia act de faptul că, potrivit raportului Curții, conturile anuale pe 2023 ale celor 11 întreprinderi comune auditate prezintă în mod fidel, sub toate aspectele semnificative, situația financiară a acestora la 31 decembrie 2023, precum și rezultatele operațiunilor și fluxurile lor de numerar, precum și modificările în structura activelor nete pentru exercițiul încheiat, în conformitate cu regulamentele lor financiare și cu normele contabile adoptate de contabilul Comisiei; constată totodată că, prin urmare, Curtea a emis opinii de audit fără rezerve cu privire la fiabilitatea conturilor anuale a întreprinderilor comune;</w:t>
      </w:r>
    </w:p>
    <w:p w14:paraId="1EC6012F"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13.</w:t>
      </w:r>
      <w:r w:rsidRPr="00344BA4">
        <w:rPr>
          <w:kern w:val="2"/>
          <w14:ligatures w14:val="standardContextual"/>
        </w:rPr>
        <w:tab/>
        <w:t>constată totodată din raportul Curții că operațiunile subiacente conturilor sunt conforme cu legile și reglementările în vigoare sub toate aspectele semnificative; constată și că, prin urmare, Curtea a emis opinii de audit fără rezerve cu privire la legalitatea și regularitatea atât a veniturilor, cât și a plăților subiacente conturilor întreprinderilor comune;</w:t>
      </w:r>
    </w:p>
    <w:p w14:paraId="2D2825E4"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14.</w:t>
      </w:r>
      <w:r w:rsidRPr="00344BA4">
        <w:rPr>
          <w:kern w:val="2"/>
          <w14:ligatures w14:val="standardContextual"/>
        </w:rPr>
        <w:tab/>
        <w:t xml:space="preserve">ia act de faptul că, în opinia Curții, întreprinderea comună „Rețele și servicii inteligente” și întreprinderea comună EDCTP3 „Sănătatea la nivel mondial” nu au primit suficiente orientări cu privire la conturile lor anuale pentru prima dată, în special în ceea ce privește nevoia de claritate în ceea ce privește diferențierea resurselor financiare gestionate de Comisie înainte de a-și atinge autonomia financiară și de întreprinderile comune după ce au atins această autonomie; reiterează recomandarea Curții de a lua măsuri în această privință, anume elaborarea de orientări contabile clare și ușor de înțeles, care să specifice normele de prezentare a primelor conturi anuale ale noilor întreprinderi comune, și ca aceste orientări să includă instrucțiuni privind modul </w:t>
      </w:r>
      <w:r w:rsidRPr="00344BA4">
        <w:rPr>
          <w:kern w:val="2"/>
          <w14:ligatures w14:val="standardContextual"/>
        </w:rPr>
        <w:lastRenderedPageBreak/>
        <w:t>de separare a resurselor financiare puse în aplicare de Comisie de cele puse în aplicare de o întreprindere comună după ce aceasta și-a atins autonomia financiară; observă că riscul la adresa fiabilității conturilor anuale a fost considerat scăzut pentru toate întreprinderile comune, cu excepția întreprinderii comune „Rețele și servicii inteligente” și a întreprinderii comune EDCTP3 „Sănătatea la nivel mondial”, pentru care riscul la adresa fiabilității a fost considerat a fi mediu, din cauza complexității generate de transferul creditelor bugetare și al activelor de la responsabilitatea Comisiei la responsabilitatea întreprinderii comune;</w:t>
      </w:r>
    </w:p>
    <w:p w14:paraId="7842700B"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15.</w:t>
      </w:r>
      <w:r w:rsidRPr="00344BA4">
        <w:rPr>
          <w:kern w:val="2"/>
          <w14:ligatures w14:val="standardContextual"/>
        </w:rPr>
        <w:tab/>
        <w:t>ia act de faptul că conturile anuale ale întreprinderii comune europene pentru ITER și pentru dezvoltarea energiei de fuziune sunt elaborate pe baza scenariului de referință al proiectului ITER în vigoare în 2023, dar că acesta din urmă face obiectul unei revizuiri în curs, al cărei rezultat ar putea duce la modificări semnificative pentru întreprinderea comună europeană pentru ITER și pentru dezvoltarea energiei de fuziune și costul său total estimat la finalizare; subliniază că întreprinderea comună respectivă ar trebui să ia toate măsurile necesare pentru a se asigura că viitorul scenariu de referință și consecințele acestuia asupra necesității unor contribuții în numerar din partea Uniunii la întreprinderea comună nu va constitui o datorie pentru bugetul Uniunii; constată, din audierea întreprinderii comune respective de Comisia pentru control bugetar, că, la momentul audierii și potrivit întreprinderii comune, era prea devreme pentru a da o estimare a impactului financiar al acestei revizuiri; se declară preocupat și de întârzierile care afectează proiectul ITER, din cauza unor factori care scapă controlului întreprinderii comune;</w:t>
      </w:r>
    </w:p>
    <w:p w14:paraId="27D15C7F"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16.</w:t>
      </w:r>
      <w:r w:rsidRPr="00344BA4">
        <w:rPr>
          <w:kern w:val="2"/>
          <w14:ligatures w14:val="standardContextual"/>
        </w:rPr>
        <w:tab/>
        <w:t>se declară preocupat de eventualul impact pe care reorganizarea întreprinderii comune europene pentru ITER și pentru dezvoltarea energiei de fuziune îl va avea asupra activităților sale, în special instabilitatea pe termen scurt și mediu și asupra riscurilor operaționale pentru întreprinderea comună; salută faptul că întreprinderea comună în cauză că observat aceste aspecte și ia act de explicația oferită cu privire la opiniile sale despre această situație; salută informațiile suplimentare furnizate în timpul audierii întreprinderii comune respective de Comisia pentru control bugetar, în special în ceea ce privește faptul că riscul pentru continuitatea activității a fost atenuat până în prezent, datorită dependenței puternice de programele și proiectele în curs; ia act de flexibilitatea permisă de noua structură de tip „matrice”;</w:t>
      </w:r>
    </w:p>
    <w:p w14:paraId="25D6296A"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17.</w:t>
      </w:r>
      <w:r w:rsidRPr="00344BA4">
        <w:rPr>
          <w:kern w:val="2"/>
          <w14:ligatures w14:val="standardContextual"/>
        </w:rPr>
        <w:tab/>
        <w:t>constată că riscul la adresa legalității și regularității veniturilor a fost considerat scăzut pentru toate întreprinderile comune;</w:t>
      </w:r>
    </w:p>
    <w:p w14:paraId="23FF809B" w14:textId="77777777" w:rsidR="00344BA4" w:rsidRPr="00344BA4" w:rsidRDefault="00344BA4" w:rsidP="00C779F6">
      <w:pPr>
        <w:spacing w:after="240"/>
        <w:rPr>
          <w:b/>
          <w:i/>
          <w:kern w:val="2"/>
          <w14:ligatures w14:val="standardContextual"/>
        </w:rPr>
      </w:pPr>
      <w:r w:rsidRPr="00344BA4">
        <w:rPr>
          <w:b/>
          <w:i/>
          <w:kern w:val="2"/>
          <w14:ligatures w14:val="standardContextual"/>
        </w:rPr>
        <w:t>Gestiunea bugetară și financiară</w:t>
      </w:r>
    </w:p>
    <w:p w14:paraId="1BF57D86"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18.</w:t>
      </w:r>
      <w:r w:rsidRPr="00344BA4">
        <w:rPr>
          <w:kern w:val="2"/>
          <w14:ligatures w14:val="standardContextual"/>
        </w:rPr>
        <w:tab/>
        <w:t>constată că bugetul total disponibil în 2023 pentru cele 11 întreprinderi comune auditate de Curte s-a ridicat la 4,25 miliarde EUR în credite de angajament și 3,87 miliarde EUR în credite de plată, potrivit Curții, care consideră că bugetul total disponibil include creditele neutilizate din exercițiile anterioare, pe care întreprinderile comune le-au înscris din nou în bugetul exercițiului curent, precum și veniturile alocate și realocările pentru exercițiul următor; subliniază, mai precis, că:</w:t>
      </w:r>
    </w:p>
    <w:p w14:paraId="33DD2E89"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(a)</w:t>
      </w:r>
      <w:r w:rsidRPr="00344BA4">
        <w:rPr>
          <w:kern w:val="2"/>
          <w14:ligatures w14:val="standardContextual"/>
        </w:rPr>
        <w:tab/>
        <w:t xml:space="preserve">bugetul total disponibil în 2023 pentru întreprinderea comună „Proiectul de cercetare privind ATM în contextul Cerului unic european” 3 s-a ridicat la 111,2 milioane EUR în credite de angajament (față de 158,8 milioane EUR în 2022) și la 241,5 milioane EUR în credite de plată (față de 146,9 milioane EUR în </w:t>
      </w:r>
      <w:r w:rsidRPr="00344BA4">
        <w:rPr>
          <w:kern w:val="2"/>
          <w14:ligatures w14:val="standardContextual"/>
        </w:rPr>
        <w:lastRenderedPageBreak/>
        <w:t>2022); deduce totodată că, potrivit raportului privind gestiunea bugetară și financiară a întreprinderii comune „Proiectul de cercetare privind ATM în contextul Cerului unic european” 3, rata sa totală de execuție bugetară pentru exercițiul financiar 2023 a atins 92 % pentru creditele de angajament și 81 % pentru creditele de plată, ceea ce arată că nu au existat probleme grave legate de ritmul de execuție a bugetului; evidențiază însă rata scăzută de execuție a creditelor sale de plată dedicate infrastructurii și cheltuielilor operaționale, care a ajuns la 55 %; ia act de explicația întreprinderii comune și o invită ca, în general, să asigure un ritm sănătos de execuție pentru fiecare secțiune a bugetului său;</w:t>
      </w:r>
    </w:p>
    <w:p w14:paraId="474F01BB"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(b)</w:t>
      </w:r>
      <w:r w:rsidRPr="00344BA4">
        <w:rPr>
          <w:kern w:val="2"/>
          <w14:ligatures w14:val="standardContextual"/>
        </w:rPr>
        <w:tab/>
        <w:t>bugetul total disponibil în 2023 pentru întreprinderea comună pentru o aviație curată s-a ridicat la 269 de milioane EUR în credite de angajament (față de 411,2 milioane EUR în 2022) și la 486,4 milioane EUR în credite de plată (față de 415,3 milioane EUR în 2022); deduce totodată că, potrivit raportului privind gestiunea bugetară și financiară a întreprinderii comune pentru o aviație curată, rata sa totală de execuție bugetară pentru exercițiul financiar 2023 a atins 98,58 % pentru creditele de angajament și 51,18 % pentru creditele de plată, ceea ce arată că nu au existat probleme importante legate de ritmul de execuție a bugetului; constată, în special, că ratele de execuție a celor două titluri de cheltuieli operaționale sunt de 80,50 % și, respectiv, 81,11 % pentru creditele de plată; subliniază însă și rata scăzută de execuție a creditelor sale de plată dedicate infrastructurii, de 60,52 %; regretă profund suma importantă alocată în titlul 5 din bugetul său pentru creditele de plată neutilizate, în valoare de 177 de milioane EUR, care are o rată de execuție tehnică de 0 %; ia act de explicația întreprinderii comune și o invită ca, în general, să asigure un ritm sănătos de execuție pentru fiecare secțiune a bugetului său;</w:t>
      </w:r>
    </w:p>
    <w:p w14:paraId="3D02331B"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(c)</w:t>
      </w:r>
      <w:r w:rsidRPr="00344BA4">
        <w:rPr>
          <w:kern w:val="2"/>
          <w14:ligatures w14:val="standardContextual"/>
        </w:rPr>
        <w:tab/>
        <w:t>bugetul total disponibil în 2023 pentru întreprinderea comună „Inițiativa pentru inovare în domeniul sănătății” s-a ridicat la 223,2 milioane EUR în credite de angajament (față de 272,4 milioane EUR în 2022) și la 225,9 milioane EUR în credite de plată (față de 174,8 milioane EUR în 2022); deduce totodată că, potrivit raportului privind gestiunea bugetară și financiară a întreprinderii comune „Inițiativa pentru inovare în domeniul sănătății”, rata sa totală de execuție bugetară pentru exercițiul financiar 2023 a atins 92,65 % pentru creditele de angajament și 90,29 % pentru creditele de plată, ceea ce arată că nu au existat probleme grave legate de ritmul de execuție a bugetului; remarcă însă și ratele scăzute de execuție ale creditelor sale de angajament și de plată dedicate infrastructurii, de 68,67 % și de 67,30 %; ia act de explicația întreprinderii comune și o invită ca, în general, să asigure un ritm sănătos de execuție pentru fiecare secțiune a bugetului său;</w:t>
      </w:r>
    </w:p>
    <w:p w14:paraId="186F7A4A"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(d)</w:t>
      </w:r>
      <w:r w:rsidRPr="00344BA4">
        <w:rPr>
          <w:kern w:val="2"/>
          <w14:ligatures w14:val="standardContextual"/>
        </w:rPr>
        <w:tab/>
        <w:t xml:space="preserve">bugetul total disponibil în 2023 pentru întreprinderea comună pentru un hidrogen curat s-a ridicat la 268,9 milioane EUR în credite de angajament (față de 314,3 milioane EUR în 2022) și la 327,8 milioane EUR în credite de plată (față de 118,3 milioane EUR în 2022); deduce totodată că, potrivit raportului privind gestiunea bugetară și financiară a întreprinderii comune pentru un hidrogen curat, rata sa totală de execuție bugetară pentru exercițiul financiar 2023 a atins 96,62 % pentru creditele de angajament și 85,43 % pentru creditele de plată, ceea ce arată că nu au existat probleme grave legate de ritmul de execuție a bugetului; reliefează însă rata scăzută de execuție a creditelor sale de plată dedicate cheltuielilor operaționale finanțate prin Orizont 2020, de 69,41 %; subliniază și </w:t>
      </w:r>
      <w:r w:rsidRPr="00344BA4">
        <w:rPr>
          <w:kern w:val="2"/>
          <w14:ligatures w14:val="standardContextual"/>
        </w:rPr>
        <w:lastRenderedPageBreak/>
        <w:t>rata scăzută de execuție ale creditelor sale de angajament și de plată dedicate infrastructurii, de 71,21 % și de 60,60 %; ia act de explicațiile întreprinderii comune și o invită ca, în general, să asigure un ritm sănătos de execuție pentru fiecare secțiune a bugetului său;</w:t>
      </w:r>
    </w:p>
    <w:p w14:paraId="07B31671"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(e)</w:t>
      </w:r>
      <w:r w:rsidRPr="00344BA4">
        <w:rPr>
          <w:kern w:val="2"/>
          <w14:ligatures w14:val="standardContextual"/>
        </w:rPr>
        <w:tab/>
        <w:t>bugetul total disponibil în 2023 pentru întreprinderea comună pentru cipuri s-a ridicat la 835,7 milioane EUR în credite de angajament (față de 261,4 milioane EUR în 2022) și la 518,4 milioane EUR în credite de plată (față de 222,2 milioane EUR în 2022); deduce totodată că, potrivit raportului privind gestiunea bugetară și financiară a întreprinderii comune pentru cipuri, rata sa totală de execuție bugetară pentru exercițiul financiar 2023 a atins 100 % pentru creditele de angajament și 37 % pentru creditele de plată, ceea ce arată că au existat probleme importante legate de ritmul de execuție a bugetului; subliniază mai ales rata extrem de scăzută de execuție a creditelor sale de plată dedicate cheltuielilor operaționale, de 36 %; ia act de explicația întreprinderii comune, dar își exprimă regretul profund cu privire la o rată de execuție atât de scăzută și o invită ca, în general, să asigure un ritm sănătos de execuție pentru fiecare secțiune a bugetului său; ia act de faptul că aceste elemente, în legătură cu creșterea finanțării de care a beneficiat întreprinderea comună pentru cipuri în 2023 și pe care a trebuit să o pună în aplicare, au determinat Curtea să considere că riscul pentru gestiunea bugetară este mediu pentru această întreprindere comună;</w:t>
      </w:r>
    </w:p>
    <w:p w14:paraId="7C70B14F"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(f)</w:t>
      </w:r>
      <w:r w:rsidRPr="00344BA4">
        <w:rPr>
          <w:kern w:val="2"/>
          <w14:ligatures w14:val="standardContextual"/>
        </w:rPr>
        <w:tab/>
        <w:t>bugetul total disponibil în 2023 pentru întreprinderea comună pentru bioeconomia circulară în Europa s-a ridicat la 227,4 milioane EUR în credite de angajament (față de 264,2 milioane EUR în 2022) și la 137,4 milioane EUR în credite de plată (față de 80,3 milioane EUR în 2022); deduce totodată că, potrivit raportului privind gestiunea bugetară și financiară a întreprinderii comune pentru bioeconomia circulară în Europa, rata sa totală de execuție bugetară pentru exercițiul financiar 2023 a atins 97,6 % pentru creditele de angajament și 90,3 % pentru creditele de plată, ceea ce arată că nu au existat probleme grave legate de ritmul de execuție a bugetului; remarcă totuși ratele scăzute de execuție a creditelor de angajament și de plată pentru partea din cheltuielile sale administrative dedicată salariilor, de 64 % și, respectiv, 57 %, precum și rata scăzută de execuție a creditelor de plată pentru partea din cheltuielile sale administrative dedicată altor cheltuieli administrative, de 54 %; ia act de explicația întreprinderii comune și o invită ca, în general, să asigure un ritm sănătos de execuție pentru fiecare secțiune a bugetului său;</w:t>
      </w:r>
    </w:p>
    <w:p w14:paraId="0A4F0FC0"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(g)</w:t>
      </w:r>
      <w:r w:rsidRPr="00344BA4">
        <w:rPr>
          <w:kern w:val="2"/>
          <w14:ligatures w14:val="standardContextual"/>
        </w:rPr>
        <w:tab/>
        <w:t xml:space="preserve">bugetul total disponibil în 2023 pentru întreprinderea comună pentru căile ferate ale Europei s-a ridicat la 102,6 milioane EUR în credite de angajament (față de 171,4 milioane EUR în 2022) și la 120,3 milioane EUR în credite de plată (față de 180,8 milioane EUR în 2022); deduce totodată că, potrivit raportului privind gestiunea bugetară și financiară a întreprinderii comune pentru căile ferate ale Europei, rata sa totală de execuție bugetară pentru exercițiul financiar 2023 a atins 97 % pentru creditele de angajament și 82 % pentru creditele de plată, ceea ce arată că nu au existat probleme grave legate de ritmul de execuție a bugetului; subliniază însă rata scăzută de execuție a creditelor sale de plată dedicate cheltuielilor operaționale finanțate prin Orizont 2020, de 67 %; ia act de explicația întreprinderii comune și o invită ca, în general, să asigure un ritm sănătos de execuție pentru fiecare secțiune a bugetului său; evidențiază că întreprinderea comună pentru căile ferate ale Europei a amânat plățile finale pentru 2024 din </w:t>
      </w:r>
      <w:r w:rsidRPr="00344BA4">
        <w:rPr>
          <w:kern w:val="2"/>
          <w14:ligatures w14:val="standardContextual"/>
        </w:rPr>
        <w:lastRenderedPageBreak/>
        <w:t xml:space="preserve">cauza problemelor tehnice cu care se confruntă beneficiarii; constată că beneficiarii nu au solicitat întregul buget alocat pentru mai multe proiecte, ceea ce a redus cu aproximativ 4,1 milioane EUR plățile operaționale necesare; </w:t>
      </w:r>
      <w:r w:rsidRPr="00344BA4">
        <w:rPr>
          <w:color w:val="000000"/>
          <w:kern w:val="2"/>
          <w14:ligatures w14:val="standardContextual"/>
        </w:rPr>
        <w:t xml:space="preserve">invită întreprinderea comună în cauză să elaboreze un plan privind modul de îmbunătățire a obligațiilor de raportare contabilă; </w:t>
      </w:r>
      <w:r w:rsidRPr="00344BA4">
        <w:rPr>
          <w:kern w:val="2"/>
          <w14:ligatures w14:val="standardContextual"/>
        </w:rPr>
        <w:t>reliefează că este important ca întreprinderea comună să fie susținută, având în vedere avantajele inerente ale transportului feroviar ca performanță de mediu, utilizare a terenurilor, consum de energie și siguranță;</w:t>
      </w:r>
    </w:p>
    <w:p w14:paraId="161BE988"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(h)</w:t>
      </w:r>
      <w:r w:rsidRPr="00344BA4">
        <w:rPr>
          <w:kern w:val="2"/>
          <w14:ligatures w14:val="standardContextual"/>
        </w:rPr>
        <w:tab/>
        <w:t>bugetul total disponibil în 2023 pentru întreprinderea comună pentru calculul european de înaltă performanță s-a ridicat la 1 136 de milioane EUR în credite de angajament (față de 1 374,5 milioane EUR în 2022) și la 1 058 de milioane EUR în credite de plată (față de 629,9 milioane EUR în 2022); deduce totodată că, potrivit raportului privind gestiunea bugetară și financiară a întreprinderii comune pentru calculul european de înaltă performanță, rata sa totală de execuție bugetară pentru exercițiul financiar 2023 a atins 83 % pentru creditele de angajament și 19 % pentru creditele de plată, ceea ce arată că au existat probleme importante legate de ritmul de execuție a bugetului; subliniază mai ales rata extrem de scăzută de execuție a creditelor sale de plată dedicate cheltuielilor operaționale, de 19 %; ia act de explicația întreprinderii comune, dar regretă profund această rată de execuție atât de scăzută; subliniază și rata scăzută de execuție ale creditelor sale de angajament și de plată dedicate cheltuielilor administrative, de 45 % și de 42 %; ia act de explicația întreprinderii comune și o invită ca, în general, să asigure un ritm sănătos de execuție pentru fiecare secțiune a bugetului său; ia act de faptul că aceste elemente, în legătură cu creșterea finanțării de care a beneficiat întreprinderea comună pentru calculul european de înaltă performanță în 2023 și pe care a trebuit să o execute, au determinat Curtea să considere că riscul pentru gestiunea bugetară este mediu pentru această întreprindere comună; salută informațiile suplimentare furnizate în timpul audierii întreprinderii comune în cauză în cadrul Comisiei pentru control bugetar cu privire la motivele care stau la baza acestei rate scăzute de execuție;</w:t>
      </w:r>
    </w:p>
    <w:p w14:paraId="47DAC366"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(i)</w:t>
      </w:r>
      <w:r w:rsidRPr="00344BA4">
        <w:rPr>
          <w:kern w:val="2"/>
          <w14:ligatures w14:val="standardContextual"/>
        </w:rPr>
        <w:tab/>
        <w:t>bugetul total disponibil în 2023 pentru întreprinderea comună „Rețele și servicii inteligente” s-a ridicat la 134,7 milioane EUR în credite de angajament și la 122,9 milioane EUR în credite de plată; deduce totodată că, potrivit raportului privind gestiunea bugetară și financiară a întreprinderii comune „Rețele și servicii inteligente”, rata sa totală de execuție bugetară pentru exercițiul financiar 2023 a atins 99 % pentru creditele de angajament și 89 % pentru creditele de plată; consideră că, având în vedere perioada scurtă de timp în care întreprinderea comună a dobândit autonomie financiară în exercițiul financiar 2023, nu există motive suficiente pentru ca Parlamentul European să își poată exprima opinia cu privire la calitatea gestiunii financiare a întreprinderii comune, acționând în același timp cu bună-credință; constată însă că, din cauza acestei situații, riscul la adresa legalității și regularității cheltuielilor administrative a fost considerat mediu pentru întreprinderea comună;</w:t>
      </w:r>
    </w:p>
    <w:p w14:paraId="2E86F45A"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(j)</w:t>
      </w:r>
      <w:r w:rsidRPr="00344BA4">
        <w:rPr>
          <w:kern w:val="2"/>
          <w14:ligatures w14:val="standardContextual"/>
        </w:rPr>
        <w:tab/>
        <w:t xml:space="preserve">bugetul total disponibil în 2023 pentru întreprinderea comună EDCTP3 „Sănătatea la nivel mondial” s-a ridicat la 136,4 milioane EUR în credite de angajament și la 2,2 milioane EUR în credite de plată; deduce totodată că, potrivit raportului privind gestiunea bugetară și financiară a întreprinderii comune EDCTP3 „Sănătatea la nivel mondial”, rata sa totală de execuție bugetară pentru </w:t>
      </w:r>
      <w:r w:rsidRPr="00344BA4">
        <w:rPr>
          <w:kern w:val="2"/>
          <w14:ligatures w14:val="standardContextual"/>
        </w:rPr>
        <w:lastRenderedPageBreak/>
        <w:t>exercițiul financiar 2023 a atins 100 % pentru creditele de angajament și 47 % pentru creditele de plată; consideră că, având în vedere perioada scurtă de timp în care întreprinderea comună a dobândit autonomie financiară în exercițiul financiar 2023, nu există motive suficiente pentru ca Parlamentul European să își poată exprima opinia cu privire la calitatea gestiunii financiare a întreprinderii comune, acționând în același timp cu bună-credință; constată însă că, din cauza acestei situații, riscul la adresa legalității și regularității cheltuielilor administrative a fost considerat mediu pentru întreprinderea comună;</w:t>
      </w:r>
    </w:p>
    <w:p w14:paraId="0A58E170"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(k)</w:t>
      </w:r>
      <w:r w:rsidRPr="00344BA4">
        <w:rPr>
          <w:kern w:val="2"/>
          <w14:ligatures w14:val="standardContextual"/>
        </w:rPr>
        <w:tab/>
        <w:t>bugetul total disponibil în 2023 pentru întreprinderea comună europeană pentru ITER și pentru dezvoltarea energiei de fuziune s-a ridicat la 807 milioane EUR în credite de angajament (față de 981,2 milioane EUR în 2022) și la 631,5 milioane EUR în credite de plată (față de 844 de milioane EUR în 2022); deduce totodată că, potrivit raportului privind gestiunea bugetară și financiară a întreprinderii comune europene pentru ITER și pentru dezvoltarea energiei de fuziune, rata sa totală de execuție bugetară pentru exercițiul financiar 2023 a atins 73 % pentru creditele de angajament și 95 % pentru creditele de plată, ceea ce arată că au existat probleme importante legate de ritmul de execuție a bugetului; subliniază mai ales rata scăzută de execuție a creditelor sale de angajament dedicate cheltuielilor operaționale, de 70 %; ia act de explicația întreprinderii comune și ia act de transferurile rezultate către contribuțiile planificate inițial ale Euratom și ITER și invită, în general, întreprinderea comună să asigure un ritm sănătos de execuție pentru fiecare secțiune a bugetului său; ia act de faptul că aceste elemente, care țin de întârzieri și dificultăți de implementare, au determinat Curtea să considere riscul pentru gestiunea bugetară ca fiind mediu pentru această întreprindere comună;</w:t>
      </w:r>
    </w:p>
    <w:p w14:paraId="0ECD36C5"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19.</w:t>
      </w:r>
      <w:r w:rsidRPr="00344BA4">
        <w:rPr>
          <w:kern w:val="2"/>
          <w14:ligatures w14:val="standardContextual"/>
        </w:rPr>
        <w:tab/>
        <w:t>reiterează preocupările Curții în ceea ce privește creditele neutilizate pentru punerea în aplicare a programelor anumitor întreprinderi comune și invită întreprinderile comune în cauză să evite repetarea unor situații similare, întrucât acumularea de credite neutilizate conduce la excedente de numerar, care, prin urmare, nu mai sunt la dispoziția Uniunii pentru finanțarea altor activități și programe; subliniază că acest lucru nu este în conformitate cu principiul bunei gestiuni financiare și a generat un excedent de numerar în valoare totală de 1,5 miliarde EUR pentru exercițiul financiar 2023; reiterează recomandarea Curții de a lua măsuri în această privință, care recomandă întreprinderilor comune în cauză să dezvolte mecanisme corective pentru a-și reduce excedentele de numerar la un nivel rezonabil și, ulterior, să își alinieze cererile de numerar pentru fiecare exercițiu financiar la nevoile lor de cheltuieli estimate, în coordonare cu Comisia; este conștient de posibilitățile prevăzute de normele financiare ale întreprinderilor comune în cauză de a înscrie creditele neutilizate în estimarea veniturilor și cheltuielilor pentru cel mult trei exerciții financiare după primirea acestora; se declară însă preocupat, în mod special, de:</w:t>
      </w:r>
    </w:p>
    <w:p w14:paraId="71BAD611"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(a)</w:t>
      </w:r>
      <w:r w:rsidRPr="00344BA4">
        <w:rPr>
          <w:kern w:val="2"/>
          <w14:ligatures w14:val="standardContextual"/>
        </w:rPr>
        <w:tab/>
        <w:t>deficiențele de planificare a numerarului întreprinderii comune pentru o aviație curată, ca urmare a solicitării unor contribuții financiare suplimentare din partea Uniunii în valoare de 178 de milioane EUR în plus față de necesarul de numerar pentru plățile planificate pentru 2023, ceea ce a dus la un excedent de numerar de 237 de milioane EUR la sfârșitul anului 2023; ia însă act de explicația întreprinderii comune; își reiterează însă apelul ca întreprinderea comună pentru o aviație curată să evite repetarea unor situații similare și salută ajustările anunțate de întreprinderea comună pentru 2024;</w:t>
      </w:r>
    </w:p>
    <w:p w14:paraId="27B3345A"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lastRenderedPageBreak/>
        <w:t>(b)</w:t>
      </w:r>
      <w:r w:rsidRPr="00344BA4">
        <w:rPr>
          <w:kern w:val="2"/>
          <w14:ligatures w14:val="standardContextual"/>
        </w:rPr>
        <w:tab/>
        <w:t>deficiențele de planificare a numerarului întreprinderii comune pentru cipuri, ca urmare a solicitării unor contribuții financiare suplimentare din partea UE în valoare de 196 de milioane EUR în plus față de necesarul de numerar pentru plățile planificate pentru 2023, ceea ce a dus la un excedent de numerar de 438 de milioane EUR la sfârșitul anului 2023; ia însă act de explicația întreprinderii comune; își reiterează însă apelul ca întreprinderea comună pentru cipuri să evite repetarea unor situații similare și salută nivelul de ambiție anunțat de întreprinderea comună pentru 2024;</w:t>
      </w:r>
    </w:p>
    <w:p w14:paraId="20EC2302"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(c)</w:t>
      </w:r>
      <w:r w:rsidRPr="00344BA4">
        <w:rPr>
          <w:kern w:val="2"/>
          <w14:ligatures w14:val="standardContextual"/>
        </w:rPr>
        <w:tab/>
        <w:t>deficiențele de planificare a numerarului întreprinderii comune pentru calculul european de înaltă performanță, ca urmare a solicitării unor contribuții financiare suplimentare din partea Uniunii în valoare de 488,6 milioane EUR în plus față de necesarul de numerar pentru plățile planificate pentru 2023, ceea ce a dus la un excedent de numerar de 840,7 milioane EUR la sfârșitul anului 2023; înțelege situația cu care s-a confruntat întreprinderea comună și care a condus la acest excedent și ia act cu bucurie de informațiile suplimentare furnizate în timpul audierii întreprinderii comune în cauză în cadrul Comisiei pentru control bugetar, în special în ceea ce privește așteptările ca proiectele legate de inteligența artificială să ofere o oportunitate pentru o lichidare importantă; își reiterează însă apelul ca întreprinderea comună pentru calculul european de înaltă performanță să evite repetarea unor situații similare;</w:t>
      </w:r>
    </w:p>
    <w:p w14:paraId="1E07D40D" w14:textId="77777777" w:rsidR="00344BA4" w:rsidRPr="00344BA4" w:rsidRDefault="00344BA4" w:rsidP="00C779F6">
      <w:pPr>
        <w:spacing w:after="240"/>
        <w:ind w:left="567" w:hanging="567"/>
        <w:rPr>
          <w:b/>
          <w:i/>
          <w:kern w:val="2"/>
          <w14:ligatures w14:val="standardContextual"/>
        </w:rPr>
      </w:pPr>
      <w:r w:rsidRPr="00344BA4">
        <w:rPr>
          <w:kern w:val="2"/>
          <w14:ligatures w14:val="standardContextual"/>
        </w:rPr>
        <w:t>20.</w:t>
      </w:r>
      <w:r w:rsidRPr="00344BA4">
        <w:rPr>
          <w:kern w:val="2"/>
          <w14:ligatures w14:val="standardContextual"/>
        </w:rPr>
        <w:tab/>
        <w:t>subliniază că toate întreprinderile comune trebuie să își consolideze controalele financiare interne și mecanismele de transparență publică, asigurându-se că fondurile sunt distribuite în mod eficient și în concordanță cu obiectivele strategice ale UE;</w:t>
      </w:r>
    </w:p>
    <w:p w14:paraId="2D5EC5C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21.</w:t>
      </w:r>
      <w:r w:rsidRPr="00344BA4">
        <w:rPr>
          <w:kern w:val="2"/>
          <w14:ligatures w14:val="standardContextual"/>
        </w:rPr>
        <w:tab/>
        <w:t>reiterează aici preocupările Curții în ceea ce privește contribuția membrilor la anumite întreprinderi comune, în special în ceea ce privește posibilitatea ca unele întreprinderi comune să nu își poată îndeplini obiectivele de contribuție sau să facă acest lucru doar printr-o dependență ridicată de contribuțiile în natură la activități suplimentare și invită întreprinderile comune în cauză să ia toate măsurile necesare pentru a se evita apariția acestor situații în viitor; relevă că îndeplinirea țintelor privind contribuțiile este responsabilitatea și obligația întreprinderilor comune în cauză și că neîndeplinirea țintelor privind contribuțiile contravine ideii fondatoare a întreprinderilor comune; se declară preocupat, în mod special, de:</w:t>
      </w:r>
    </w:p>
    <w:p w14:paraId="27D6089C"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(a)</w:t>
      </w:r>
      <w:r w:rsidRPr="00344BA4">
        <w:rPr>
          <w:kern w:val="2"/>
          <w14:ligatures w14:val="standardContextual"/>
        </w:rPr>
        <w:tab/>
        <w:t xml:space="preserve">situația întreprinderii comune „Proiectul de cercetare privind ATM în contextul Cerului unic european” 3, al cărei obiectiv privind contribuția operațională a membrului său </w:t>
      </w:r>
      <w:proofErr w:type="spellStart"/>
      <w:r w:rsidRPr="00344BA4">
        <w:rPr>
          <w:kern w:val="2"/>
          <w14:ligatures w14:val="standardContextual"/>
        </w:rPr>
        <w:t>Eurocontrol</w:t>
      </w:r>
      <w:proofErr w:type="spellEnd"/>
      <w:r w:rsidRPr="00344BA4">
        <w:rPr>
          <w:kern w:val="2"/>
          <w14:ligatures w14:val="standardContextual"/>
        </w:rPr>
        <w:t xml:space="preserve"> a atins doar un nivel de 70 %, ceea ce a făcut ca întreprinderea comună să nu dispună de contribuțiile planificate pentru a pune în aplicare integral partea sa din programul Orizont 2020; ia act de faptul că acest aspect nu a determinat totuși Curtea să considere că riscul pentru execuția programului este mediu sau ridicat pentru această întreprindere comună, ci scăzut;</w:t>
      </w:r>
    </w:p>
    <w:p w14:paraId="59150DAE"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(b)</w:t>
      </w:r>
      <w:r w:rsidRPr="00344BA4">
        <w:rPr>
          <w:kern w:val="2"/>
          <w14:ligatures w14:val="standardContextual"/>
        </w:rPr>
        <w:tab/>
        <w:t xml:space="preserve">situația întreprinderii comune pentru bioeconomia circulară în Europa, care și-a atins bine obiectivul în materie de contribuții în programul Orizont 2020, însă a făcut acest lucru în special printr-o revizuire a echilibrului dintre obiectivele privind contribuțiile în natură la activitățile operaționale și cele privind contribuțiile în natură la activități suplimentare, acestea din urmă ridicându-se la 2 444,5 milioane EUR, ceea ce corespunde unui procent de 90 % din obiectivul global; subliniază că o astfel de dependență de contribuțiile în natură la activități </w:t>
      </w:r>
      <w:r w:rsidRPr="00344BA4">
        <w:rPr>
          <w:kern w:val="2"/>
          <w14:ligatures w14:val="standardContextual"/>
        </w:rPr>
        <w:lastRenderedPageBreak/>
        <w:t>suplimentare prezintă un risc pentru punerea în aplicare a programului Orizont 2020; remarcă impactul substanțial al revizuirii efectuate de întreprinderea comună; ia act de explicația întreprinderii comune și de faptul că activitățile suplimentare contribuie la obiectivele generale ale întreprinderii comune; evidențiază însă că acest lucru constituie o dependență excesivă de contribuția în natură la activități suplimentare pentru a îndeplini obiectivele stabilite și invită întreprinderea comună să evite repetarea unei astfel de situații; ia act de faptul că aceste elemente au determinat Curtea să considere că riscul pentru punerea în aplicare a programului este ridicat pentru această întreprindere comună;</w:t>
      </w:r>
    </w:p>
    <w:p w14:paraId="17BAB138"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(c)</w:t>
      </w:r>
      <w:r w:rsidRPr="00344BA4">
        <w:rPr>
          <w:kern w:val="2"/>
          <w14:ligatures w14:val="standardContextual"/>
        </w:rPr>
        <w:tab/>
        <w:t>situația întreprinderii comune pentru calculul european de înaltă performanță, a cărei contribuție din partea membrilor privați în programul Orizont 2020 a atins doar o sumă raportată de 18,4 milioane EUR, față de un obiectiv de 420 de milioane EUR, ceea ce constituie o diferență importantă; constată totodată că o astfel de situație ar putea apărea din nou în programele Orizont Europa și Europa digitală, întrucât obiectivul de contribuție pentru membrii privați a crescut mult la 900 de milioane EUR, deși mecanismele de finanțare care au cauzat dificultăți membrilor privați în cadrul programului Orizont 2020 rămân în vigoare; ia act de faptul că aceste elemente au determinat Curtea să considere că riscul pentru punerea în aplicare a programului este ridicat pentru această întreprindere comună; înțelege din informațiile suplimentare furnizate în timpul audierii întreprinderii comune în cauză în Comisia pentru control bugetar că această chestiune este abordată în cooperare cu consiliul de conducere; reiterează însă recomandarea Curții de a lua măsuri în această privință, care recomandă ca întreprinderea comună pentru calculul european de înaltă performanță să sprijine reevaluarea de către Comisie a obiectivului actual pentru a se asigura că își poate atinge obiectivul de contribuție pentru membrii privați în cadrul programelor Orizont Europa și Europa digitală și subliniază încă o dată că atingerea obiectivelor de contribuție nu ar trebui considerată pur și simplu o chestiune de ambiție, ci o datorie;</w:t>
      </w:r>
    </w:p>
    <w:p w14:paraId="702D5F1F"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22.</w:t>
      </w:r>
      <w:r w:rsidRPr="00344BA4">
        <w:rPr>
          <w:kern w:val="2"/>
          <w14:ligatures w14:val="standardContextual"/>
        </w:rPr>
        <w:tab/>
        <w:t>subliniază că, pentru a promova îmbunătățirea eficienței, Actul de bază unic al întreprinderilor comune prevede obligația întreprinderilor comune de a realiza sinergii prin stabilirea unor acorduri de sprijin administrativ care să fie puse în aplicare într-o serie de domenii identificate; înțelege că întreprinderile comune în cauză au identificat patru domenii prioritare, și anume activitățile contabile, activitățile juridice, tehnologia informației și comunicațiilor și resursele umane; în acest sens, salută în mod deosebit:</w:t>
      </w:r>
    </w:p>
    <w:p w14:paraId="17A727CB"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(a)</w:t>
      </w:r>
      <w:r w:rsidRPr="00344BA4">
        <w:rPr>
          <w:kern w:val="2"/>
          <w14:ligatures w14:val="standardContextual"/>
        </w:rPr>
        <w:tab/>
        <w:t>faptul că acordurile de sprijin administrativ dedicate activităților contabile au fost operaționale din decembrie 2022 și, prin urmare, au fost operaționale pe toată perioada exercițiului financiar 2023, ceea ce s-a putut observa în elaborarea conturilor anuale, precum și faptul că întreprinderea comună pentru căile ferate ale Europei și-a asumat rolul de a se ocupa de punerea în aplicare a acestor acorduri de sprijin administrativ;</w:t>
      </w:r>
    </w:p>
    <w:p w14:paraId="02AE5038"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(b)</w:t>
      </w:r>
      <w:r w:rsidRPr="00344BA4">
        <w:rPr>
          <w:kern w:val="2"/>
          <w14:ligatures w14:val="standardContextual"/>
        </w:rPr>
        <w:tab/>
        <w:t>faptul că întreprinderea comună pentru bioeconomia circulară în Europa și întreprinderea comună „Inițiativa pentru inovare în domeniul sănătății” și-au asumat rolul de a se ocupa de punerea în aplicare a acordurilor de sprijin administrativ pentru gestionarea serviciilor comune de recrutare, cadrul juridic al resurselor umane și digitalizarea resurselor umane;</w:t>
      </w:r>
    </w:p>
    <w:p w14:paraId="74483408"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lastRenderedPageBreak/>
        <w:t>(c)</w:t>
      </w:r>
      <w:r w:rsidRPr="00344BA4">
        <w:rPr>
          <w:kern w:val="2"/>
          <w14:ligatures w14:val="standardContextual"/>
        </w:rPr>
        <w:tab/>
        <w:t>faptul că întreprinderea comună pentru un hidrogen curat și întreprinderea comună „Inițiativa pentru inovare în domeniul sănătății” și-au asumat rolul de a se ocupa de punerea în aplicare a acordurilor de sprijin administrativ pentru gestionarea serviciilor din domeniul tehnologiei informației și comunicațiilor;</w:t>
      </w:r>
    </w:p>
    <w:p w14:paraId="1100FFE3"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(d)</w:t>
      </w:r>
      <w:r w:rsidRPr="00344BA4">
        <w:rPr>
          <w:kern w:val="2"/>
          <w14:ligatures w14:val="standardContextual"/>
        </w:rPr>
        <w:tab/>
        <w:t>faptul că întreprinderea comună pentru o aviație curată, întreprinderea comună pentru căile ferate ale Europei și întreprinderea comună pentru calculul european de înaltă performanță și-au asumat rolul de a se ocupa de punerea în aplicare a acordurilor de sprijin administrativ pentru gestionarea achizițiilor administrative;</w:t>
      </w:r>
    </w:p>
    <w:p w14:paraId="6E655DEF"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(e)</w:t>
      </w:r>
      <w:r w:rsidRPr="00344BA4">
        <w:rPr>
          <w:kern w:val="2"/>
          <w14:ligatures w14:val="standardContextual"/>
        </w:rPr>
        <w:tab/>
        <w:t>faptul că întreprinderile comune continuă să pună în aplicare planul strategic comun în domeniul TIC al întreprinderilor comune situate în clădirea White Atrium;</w:t>
      </w:r>
    </w:p>
    <w:p w14:paraId="41D19C0D"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23.</w:t>
      </w:r>
      <w:r w:rsidRPr="00344BA4">
        <w:rPr>
          <w:kern w:val="2"/>
          <w14:ligatures w14:val="standardContextual"/>
        </w:rPr>
        <w:tab/>
        <w:t>invită întreprinderile comune vizate de obligația prevăzută în Actul de bază unic să raporteze în continuare cu privire la stabilirea de acorduri de sprijin administrativ, să furnizeze informații clare cu privire la întreprinderile comune care îndeplinesc sarcini în anumite domenii pentru alte întreprinderi comune, să includă cât mai curând posibil pe lista priorităților comunicarea, logistica, evenimentele și gestionarea sălilor de reuniune, precum și sprijinul pentru strategiile de audit și antifraudă și să furnizeze informații cu privire la domeniile care trebuie avute în vedere pentru stabilirea de acorduri de sprijin administrativ în viitor, după încheierea acordurilor în domeniile identificate ca prioritare;</w:t>
      </w:r>
    </w:p>
    <w:p w14:paraId="215C6CE0" w14:textId="77777777" w:rsidR="00344BA4" w:rsidRPr="00344BA4" w:rsidRDefault="00344BA4" w:rsidP="00C779F6">
      <w:pPr>
        <w:spacing w:after="240"/>
        <w:rPr>
          <w:b/>
          <w:i/>
          <w:kern w:val="2"/>
          <w14:ligatures w14:val="standardContextual"/>
        </w:rPr>
      </w:pPr>
      <w:r w:rsidRPr="00344BA4">
        <w:rPr>
          <w:b/>
          <w:i/>
          <w:kern w:val="2"/>
          <w14:ligatures w14:val="standardContextual"/>
        </w:rPr>
        <w:t>Achiziții și licitații</w:t>
      </w:r>
    </w:p>
    <w:p w14:paraId="71C99228"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24.</w:t>
      </w:r>
      <w:r w:rsidRPr="00344BA4">
        <w:rPr>
          <w:kern w:val="2"/>
          <w14:ligatures w14:val="standardContextual"/>
        </w:rPr>
        <w:tab/>
        <w:t>reiterează preocupările Curții în ceea ce privește procedurile de achiziții publice și invită întreprinderile comune să se asigure că respectarea dispozițiilor legale relevante și complexitatea necesară a anumitor proceduri de achiziții nu determină creșterea riscului pentru legalitatea și regularitatea cheltuielilor operaționale; este preocupat, în mod special, de:</w:t>
      </w:r>
    </w:p>
    <w:p w14:paraId="5CF8FEFE"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(a)</w:t>
      </w:r>
      <w:r w:rsidRPr="00344BA4">
        <w:rPr>
          <w:kern w:val="2"/>
          <w14:ligatures w14:val="standardContextual"/>
        </w:rPr>
        <w:tab/>
        <w:t>situația întreprinderii comune „Inițiativa pentru inovare în domeniul sănătății” și a întreprinderii comune pentru cipuri, în cazul cărora Curtea a constatat deficiențe în conceperea și evaluarea unei proceduri de achiziții importante; ia act de faptul că acest aspect nu a determinat totuși Curtea să considere că riscul pentru cheltuielile de control operațional este mediu sau ridicat pentru această întreprindere comună; cu toate acestea, subliniază faptul că astfel de deficiențe pot duce la contracte și plăți neconforme dacă nu sunt eliminate în cadrul viitoarelor proceduri de achiziții publice; salută disponibilitatea întreprinderilor comune de a lua măsuri în aceste cazuri specifice și de a-și îmbunătăți procesele de achiziții publice;</w:t>
      </w:r>
    </w:p>
    <w:p w14:paraId="575B36DB"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(b)</w:t>
      </w:r>
      <w:r w:rsidRPr="00344BA4">
        <w:rPr>
          <w:kern w:val="2"/>
          <w14:ligatures w14:val="standardContextual"/>
        </w:rPr>
        <w:tab/>
        <w:t>faptul că Curtea a evaluat că riscul pentru cheltuielile aferente contractelor operaționale este mediu pentru întreprinderea comună pentru calculul european de înaltă performanță și pentru întreprinderea comună europeană pentru ITER și pentru dezvoltarea energiei de fuziune, din cauza procedurilor lor complexe de achiziții pentru contracte cu valoare ridicată;</w:t>
      </w:r>
    </w:p>
    <w:p w14:paraId="61544E91"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25.</w:t>
      </w:r>
      <w:r w:rsidRPr="00344BA4">
        <w:rPr>
          <w:kern w:val="2"/>
          <w14:ligatures w14:val="standardContextual"/>
        </w:rPr>
        <w:tab/>
        <w:t xml:space="preserve">subliniază expunerea financiară a întreprinderii comune pentru calculul european de înaltă performanță față de un furnizor care se confruntă cu dificultăți, care este evaluată </w:t>
      </w:r>
      <w:r w:rsidRPr="00344BA4">
        <w:rPr>
          <w:kern w:val="2"/>
          <w14:ligatures w14:val="standardContextual"/>
        </w:rPr>
        <w:lastRenderedPageBreak/>
        <w:t>de întreprinderea comună ca variind de la un impact potențial scăzut de 0 EUR la un impact maxim estimat la 88 de milioane EUR; ia cunoștință, din conturile anuale ale întreprinderii comune, de faptul că această situație este supusă unei examinări atente; invită întreprinderea comună să ia toate măsurile necesare pentru a reduce la minimum datoriile financiare; salută informațiile suplimentare furnizate în timpul audierii întreprinderii comune în cauză în cadrul Comisiei pentru control bugetar, în special în ceea ce privește garanțiile suplimentare solicitate de întreprinderea comună în cauză pentru a reduce la minimum această datorie financiară, precum și explicația furnizată cu privire la rolul-cheie al acestui furnizor specific;</w:t>
      </w:r>
    </w:p>
    <w:p w14:paraId="7A56F6C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26.</w:t>
      </w:r>
      <w:r w:rsidRPr="00344BA4">
        <w:rPr>
          <w:kern w:val="2"/>
          <w14:ligatures w14:val="standardContextual"/>
        </w:rPr>
        <w:tab/>
        <w:t>constată că nivelul de detaliere și nivelul de accesibilitate variază în ceea ce privește datele cantitative furnizate de întreprinderile comune cu privire la echilibrul de gen al experților selectați pentru a lucra cu întreprinderile comune; invită toate întreprinderile comune să îmbunătățească transparența și să includă în viitoarele lor rapoarte anuale de activitate date cantitative clare privind echilibrul de gen în rândul experților selectați; invită toate întreprinderile comune să își intensifice eforturile de promovare a egalității de gen la toate nivelurile și să se asigure că echilibrul de gen rămâne o prioritate orizontală în toate activitățile legate de achiziții publice, granturi și licitații și să ofere explicații atunci când echilibrul de gen nu poate fi atins;</w:t>
      </w:r>
    </w:p>
    <w:p w14:paraId="7547066A"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27.</w:t>
      </w:r>
      <w:r w:rsidRPr="00344BA4">
        <w:rPr>
          <w:kern w:val="2"/>
          <w14:ligatures w14:val="standardContextual"/>
        </w:rPr>
        <w:tab/>
        <w:t>ia act de faptul că nivelul de detaliere și nivelul de accesibilitate variază în ceea ce privește datele cantitative furnizate de întreprinderile comune cu privire la distribuția geografică a experților selectați pentru a lucra cu întreprinderile comune; invită toate întreprinderile comune să includă în viitoarele lor rapoarte anuale de activitate date cantitative clare privind distribuția geografică a experților selectați; invită toate întreprinderile comune să se asigure că distribuția geografică rămâne o prioritate orizontală în toate activitățile legate de achiziții publice, granturi și licitații și să ofere explicații atunci când nu se poate realiza o distribuție geografică suficientă;</w:t>
      </w:r>
    </w:p>
    <w:p w14:paraId="40CDF8BC" w14:textId="77777777" w:rsidR="00344BA4" w:rsidRPr="00344BA4" w:rsidRDefault="00344BA4" w:rsidP="00C779F6">
      <w:pPr>
        <w:spacing w:after="240"/>
        <w:ind w:left="567" w:hanging="567"/>
        <w:rPr>
          <w:b/>
          <w:i/>
          <w:kern w:val="2"/>
          <w14:ligatures w14:val="standardContextual"/>
        </w:rPr>
      </w:pPr>
      <w:r w:rsidRPr="00344BA4">
        <w:rPr>
          <w:kern w:val="2"/>
          <w14:ligatures w14:val="standardContextual"/>
        </w:rPr>
        <w:t>28.</w:t>
      </w:r>
      <w:r w:rsidRPr="00344BA4">
        <w:rPr>
          <w:b/>
          <w:i/>
          <w:kern w:val="2"/>
          <w14:ligatures w14:val="standardContextual"/>
        </w:rPr>
        <w:tab/>
      </w:r>
      <w:r w:rsidRPr="00344BA4">
        <w:rPr>
          <w:kern w:val="2"/>
          <w14:ligatures w14:val="standardContextual"/>
        </w:rPr>
        <w:t>solicită o distribuție geografică corectă și echitabilă a finanțării din partea întreprinderilor comune, asigurându-se că regiunile cu o capacitate de inovare mai scăzută și IMM-urile primesc sprijin adecvat;</w:t>
      </w:r>
    </w:p>
    <w:p w14:paraId="38CC1140" w14:textId="77777777" w:rsidR="00344BA4" w:rsidRPr="00344BA4" w:rsidRDefault="00344BA4" w:rsidP="00C779F6">
      <w:pPr>
        <w:spacing w:after="240"/>
        <w:rPr>
          <w:b/>
          <w:i/>
          <w:kern w:val="2"/>
          <w14:ligatures w14:val="standardContextual"/>
        </w:rPr>
      </w:pPr>
      <w:r w:rsidRPr="00344BA4">
        <w:rPr>
          <w:b/>
          <w:i/>
          <w:kern w:val="2"/>
          <w14:ligatures w14:val="standardContextual"/>
        </w:rPr>
        <w:t>Personalul și recrutarea</w:t>
      </w:r>
    </w:p>
    <w:p w14:paraId="07BE8CA2"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29.</w:t>
      </w:r>
      <w:r w:rsidRPr="00344BA4">
        <w:rPr>
          <w:kern w:val="2"/>
          <w14:ligatures w14:val="standardContextual"/>
        </w:rPr>
        <w:tab/>
        <w:t xml:space="preserve">este preocupat de situația actuală a recrutării în cadrul întreprinderii comune pentru calculul european de înaltă performanță, care a primit 39 de posturi suplimentare pentru care personalul urma să fie recrutat până la sfârșitul exercițiului financiar 2023 pentru a executa fondurile semnificative primite în cadrul financiar multianual actual, dar care a reușit să recruteze personal doar pentru 21 din posturile suplimentare; este preocupat, de asemenea, de evaluarea Curții, care a stabilit că procedurile de recrutare ale întreprinderilor comune nu au fost suficient de transparente din cauza lipsei unor grile de notare clare și convenite în prealabil pentru evaluarea candidaților și a calificărilor acestora, precum și din cauza lipsei documentației suficiente privind procesul decizional subiacent; regretă că, în opinia Curții, este posibil ca această situație să fi dus la lipsa egalității de tratament a candidaților; reamintește că este extrem de important să se evite aplicarea unor standarde duble în timpul procesului de recrutare și solicită luarea tuturor măsurilor necesare în acest sens; reiterează recomandarea de acțiune a Curții în acest sens, care recomandă ca întreprinderea comună pentru calculul european de înaltă performanță să profite de faptul că dispune de personal mai numeros pentru a-și atinge efectiv obiectivul de recrutare până la sfârșitul anului 2024 și că, pentru a spori </w:t>
      </w:r>
      <w:r w:rsidRPr="00344BA4">
        <w:rPr>
          <w:kern w:val="2"/>
          <w14:ligatures w14:val="standardContextual"/>
        </w:rPr>
        <w:lastRenderedPageBreak/>
        <w:t>transparența procedurilor sale de recrutare și pentru a justifica procesele decizionale ale comitetului de selecție, întreprinderea comună pentru calculul european de înaltă performanță ar trebui să utilizeze o grilă de notare convenită în prealabil în etapa de preselecție, în conformitate cu practica altor întreprinderi comune și organisme ale Uniunii; salută disponibilitatea întreprinderii comune de a integra recomandările de îmbunătățire;</w:t>
      </w:r>
    </w:p>
    <w:p w14:paraId="3425E829" w14:textId="77777777" w:rsidR="00344BA4" w:rsidRPr="00344BA4" w:rsidRDefault="00344BA4" w:rsidP="00C779F6">
      <w:pPr>
        <w:spacing w:after="240"/>
        <w:ind w:left="567" w:hanging="567"/>
        <w:rPr>
          <w:b/>
          <w:i/>
          <w:kern w:val="2"/>
          <w14:ligatures w14:val="standardContextual"/>
        </w:rPr>
      </w:pPr>
      <w:r w:rsidRPr="00344BA4">
        <w:rPr>
          <w:kern w:val="2"/>
          <w14:ligatures w14:val="standardContextual"/>
        </w:rPr>
        <w:t>30.</w:t>
      </w:r>
      <w:r w:rsidRPr="00344BA4">
        <w:rPr>
          <w:b/>
          <w:i/>
          <w:kern w:val="2"/>
          <w14:ligatures w14:val="standardContextual"/>
        </w:rPr>
        <w:tab/>
      </w:r>
      <w:r w:rsidRPr="00344BA4">
        <w:rPr>
          <w:kern w:val="2"/>
          <w14:ligatures w14:val="standardContextual"/>
        </w:rPr>
        <w:t>accentuează necesitatea unei politici de personal coerente și echitabile în toate întreprinderile comune, pentru a asigura condiții de muncă adecvate și favorabile incluziunii, oportunități de dezvoltare a carierei și echilibrul între viața profesională și cea privată pentru personal; solicită punerea în aplicare a unor măsuri care să prevină dependența excesivă de contractele temporare și locurile de muncă precare; subliniază importanța structurilor de sprijin pentru sănătatea mintală, a formulelor flexibile de lucru și a oportunităților echitabile de promovare internă pentru a îmbunătăți starea de bine a personalului;</w:t>
      </w:r>
    </w:p>
    <w:p w14:paraId="2D484769" w14:textId="77777777" w:rsidR="00344BA4" w:rsidRPr="00344BA4" w:rsidRDefault="00344BA4" w:rsidP="00C779F6">
      <w:pPr>
        <w:spacing w:after="240"/>
        <w:ind w:left="567" w:hanging="567"/>
        <w:rPr>
          <w:b/>
          <w:i/>
          <w:kern w:val="2"/>
          <w14:ligatures w14:val="standardContextual"/>
        </w:rPr>
      </w:pPr>
      <w:r w:rsidRPr="00344BA4">
        <w:rPr>
          <w:kern w:val="2"/>
          <w14:ligatures w14:val="standardContextual"/>
        </w:rPr>
        <w:t>31.</w:t>
      </w:r>
      <w:r w:rsidRPr="00344BA4">
        <w:rPr>
          <w:kern w:val="2"/>
          <w14:ligatures w14:val="standardContextual"/>
        </w:rPr>
        <w:tab/>
        <w:t>invită toate întreprinderile comune să pună în aplicare măsuri concrete pentru a îmbunătăți echilibrul de gen în posturile de conducere și în organismele decizionale, inclusiv prin stabilirea unor obiective privind echilibrul de gen și monitorizarea periodică a progreselor; reliefează necesitatea de a aborda diferențele de remunerare între femei și bărbați și de a asigura egalitatea de șanse pentru avansarea în carieră;</w:t>
      </w:r>
    </w:p>
    <w:p w14:paraId="48E84ACE"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32.</w:t>
      </w:r>
      <w:r w:rsidRPr="00344BA4">
        <w:rPr>
          <w:kern w:val="2"/>
          <w14:ligatures w14:val="standardContextual"/>
        </w:rPr>
        <w:tab/>
        <w:t>ia act de faptul că Curtea a considerat că riscul privind legalitatea și regularitatea cheltuielilor administrative este scăzut pentru toate întreprinderile comune, cu excepția întreprinderii comune pentru cipuri și a întreprinderii comune pentru calculul european de înaltă performanță, pentru care s-a considerat că este mediu din cauza numărului mare de recrutări, precum și a întreprinderii comune „Rețele și servicii inteligente” și a întreprinderii comune EDCTP3 „Sănătatea la nivel mondial”, datorită recentei lor autonomii financiare;</w:t>
      </w:r>
    </w:p>
    <w:p w14:paraId="128A9B81"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33.</w:t>
      </w:r>
      <w:r w:rsidRPr="00344BA4">
        <w:rPr>
          <w:kern w:val="2"/>
          <w14:ligatures w14:val="standardContextual"/>
        </w:rPr>
        <w:tab/>
        <w:t>este preocupat de situația întreprinderii comune europene pentru ITER și pentru dezvoltarea energiei de fuziune în ceea ce privește diferitele aspecte legate de gestionarea resurselor umane observate de Curte, în special utilizarea prestatorilor externi de servicii, și mai ales de:</w:t>
      </w:r>
    </w:p>
    <w:p w14:paraId="6A7C4F18" w14:textId="77777777" w:rsidR="00344BA4" w:rsidRPr="00344BA4" w:rsidRDefault="00344BA4" w:rsidP="00C779F6">
      <w:pPr>
        <w:spacing w:after="240"/>
        <w:ind w:left="1134" w:hanging="567"/>
        <w:rPr>
          <w:kern w:val="2"/>
          <w:szCs w:val="24"/>
          <w14:ligatures w14:val="standardContextual"/>
        </w:rPr>
      </w:pPr>
      <w:r w:rsidRPr="00344BA4">
        <w:rPr>
          <w:kern w:val="2"/>
          <w14:ligatures w14:val="standardContextual"/>
        </w:rPr>
        <w:t>(a)</w:t>
      </w:r>
      <w:r w:rsidRPr="00344BA4">
        <w:rPr>
          <w:kern w:val="2"/>
          <w14:ligatures w14:val="standardContextual"/>
        </w:rPr>
        <w:tab/>
        <w:t>dependența mare a întreprinderii comune de prestatorii externi de servicii, întrucât s-a observat că aproape jumătate din personalul întreprinderii comune era format din prestatori externi de servicii (361 de prestatori externi de servicii și 429 de membri ai personalului statutar în 2023), ceea ce face ca această situație să reprezinte o problemă critică, cu un potențial impact la scară largă asupra capacității întreprinderii comune de a-și gestiona resursele umane într-un mod sustenabil, asigurând totodată capacitatea de păstrare a cunoștințelor și a memoriei instituționale și permițând realizarea de câștiguri financiare pe termen lung;</w:t>
      </w:r>
    </w:p>
    <w:p w14:paraId="3DF34481" w14:textId="77777777" w:rsidR="00344BA4" w:rsidRPr="00344BA4" w:rsidRDefault="00344BA4" w:rsidP="00C779F6">
      <w:pPr>
        <w:spacing w:after="240"/>
        <w:ind w:left="1134" w:hanging="567"/>
        <w:rPr>
          <w:kern w:val="2"/>
          <w14:ligatures w14:val="standardContextual"/>
        </w:rPr>
      </w:pPr>
      <w:r w:rsidRPr="00344BA4">
        <w:rPr>
          <w:kern w:val="2"/>
          <w14:ligatures w14:val="standardContextual"/>
        </w:rPr>
        <w:t>(b)</w:t>
      </w:r>
      <w:r w:rsidRPr="00344BA4">
        <w:rPr>
          <w:kern w:val="2"/>
          <w14:ligatures w14:val="standardContextual"/>
        </w:rPr>
        <w:tab/>
        <w:t xml:space="preserve">faptul că întreprinderea comună nu a adoptat o definiție formală unică pentru prestatorii externi de servicii, ceea ce a dus la o lipsă de claritate în evaluarea impactului acestora asupra nevoilor de personal statutar; constată, de asemenea, că în registrul riscurilor întreprinderii comune nu sunt incluse toate riscurile potențiale legate de un nivel ridicat de dependență de prestatorii externi de servicii pe termen lung, ceea ce ar putea împiedica serviciul de control intern al întreprinderii comune să pună în aplicare măsuri de atenuare adecvate pentru a </w:t>
      </w:r>
      <w:r w:rsidRPr="00344BA4">
        <w:rPr>
          <w:kern w:val="2"/>
          <w14:ligatures w14:val="standardContextual"/>
        </w:rPr>
        <w:lastRenderedPageBreak/>
        <w:t>aborda aceste riscuri;</w:t>
      </w:r>
    </w:p>
    <w:p w14:paraId="3897DB36" w14:textId="77777777" w:rsidR="00344BA4" w:rsidRPr="00344BA4" w:rsidRDefault="00344BA4" w:rsidP="00C779F6">
      <w:pPr>
        <w:spacing w:after="240"/>
        <w:ind w:left="1134" w:hanging="567"/>
        <w:rPr>
          <w:kern w:val="2"/>
          <w14:ligatures w14:val="standardContextual"/>
        </w:rPr>
      </w:pPr>
      <w:r w:rsidRPr="00344BA4">
        <w:rPr>
          <w:kern w:val="2"/>
          <w14:ligatures w14:val="standardContextual"/>
        </w:rPr>
        <w:t>(c)</w:t>
      </w:r>
      <w:r w:rsidRPr="00344BA4">
        <w:rPr>
          <w:kern w:val="2"/>
          <w14:ligatures w14:val="standardContextual"/>
        </w:rPr>
        <w:tab/>
        <w:t>constatările auditului efectuat în această privință de către serviciul de audit intern al Comisiei, care a arătat că întreprinderea comună nu instituise o funcție centralizată de coordonare și gestionare a prestatorilor externi de servicii și nici nu stabilise o metodologie de evaluare a nevoilor sale agregate de resurse umane și, în special, a nevoilor sale pentru prestatori externi de servicii; subliniază că s-a observat că decizia întreprinderii comune privind utilizarea prestatorilor externi de servicii s-a bazat, prin urmare, mai degrabă pe preocupări bugetare decât pe nevoi de resurse umane;</w:t>
      </w:r>
    </w:p>
    <w:p w14:paraId="34C171FF" w14:textId="77777777" w:rsidR="00344BA4" w:rsidRPr="00344BA4" w:rsidRDefault="00344BA4" w:rsidP="00C779F6">
      <w:pPr>
        <w:spacing w:after="240"/>
        <w:ind w:left="1134" w:hanging="567"/>
        <w:rPr>
          <w:kern w:val="2"/>
          <w14:ligatures w14:val="standardContextual"/>
        </w:rPr>
      </w:pPr>
      <w:r w:rsidRPr="00344BA4">
        <w:rPr>
          <w:kern w:val="2"/>
          <w14:ligatures w14:val="standardContextual"/>
        </w:rPr>
        <w:t>(d)</w:t>
      </w:r>
      <w:r w:rsidRPr="00344BA4">
        <w:rPr>
          <w:kern w:val="2"/>
          <w14:ligatures w14:val="standardContextual"/>
        </w:rPr>
        <w:tab/>
        <w:t>lipsa de transparență în informațiile comunicate de întreprinderea comună cu privire la resursele sale umane; în special în ceea ce privește prezentarea cifrelor privind personalul permanent și nepermanent, având în vedere că 224 din cei 386 de agenți temporari și contractuali aveau, în realitate, un contract pe durată nedeterminată și, prin urmare, ar fi putut fi practic considerați personal permanent; invită întreprinderea comună să sublinieze în viitor în rapoartele sale aceste nuanțe privind resursele umane;</w:t>
      </w:r>
    </w:p>
    <w:p w14:paraId="7C3F1322" w14:textId="77777777" w:rsidR="00344BA4" w:rsidRPr="00344BA4" w:rsidRDefault="00344BA4" w:rsidP="00C779F6">
      <w:pPr>
        <w:spacing w:after="240"/>
        <w:ind w:left="1134" w:hanging="567"/>
        <w:rPr>
          <w:kern w:val="2"/>
          <w14:ligatures w14:val="standardContextual"/>
        </w:rPr>
      </w:pPr>
      <w:r w:rsidRPr="00344BA4">
        <w:rPr>
          <w:kern w:val="2"/>
          <w14:ligatures w14:val="standardContextual"/>
        </w:rPr>
        <w:t>(e)</w:t>
      </w:r>
      <w:r w:rsidRPr="00344BA4">
        <w:rPr>
          <w:kern w:val="2"/>
          <w14:ligatures w14:val="standardContextual"/>
        </w:rPr>
        <w:tab/>
        <w:t>reiterează recomandarea de acțiune a Curții, care recomandă ca întreprinderea comună europeană pentru ITER și pentru dezvoltarea energiei de fuziune să instituie o funcție centralizată de coordonare și gestionare a prestatorilor externi de servicii și să adopte o metodologie cuprinzătoare pentru a-și evalua periodic nevoile totale de resurse umane pe baza volumului de muncă preconizat și a competențelor necesare și ca întreprinderea comună în cauză să-și completeze, de asemenea, registrul riscurilor cu cele mai importante riscuri care decurg din nivelul ridicat de utilizare a prestatorilor externi de servicii pe termen lung;</w:t>
      </w:r>
    </w:p>
    <w:p w14:paraId="1ACDF4D7" w14:textId="77777777" w:rsidR="00344BA4" w:rsidRPr="00344BA4" w:rsidRDefault="00344BA4" w:rsidP="00C779F6">
      <w:pPr>
        <w:spacing w:after="240"/>
        <w:ind w:left="1134" w:hanging="567"/>
        <w:rPr>
          <w:kern w:val="2"/>
          <w14:ligatures w14:val="standardContextual"/>
        </w:rPr>
      </w:pPr>
      <w:r w:rsidRPr="00344BA4">
        <w:rPr>
          <w:kern w:val="2"/>
          <w14:ligatures w14:val="standardContextual"/>
        </w:rPr>
        <w:t>(f)</w:t>
      </w:r>
      <w:r w:rsidRPr="00344BA4">
        <w:rPr>
          <w:kern w:val="2"/>
          <w14:ligatures w14:val="standardContextual"/>
        </w:rPr>
        <w:tab/>
        <w:t>salută angajamentele asumate de întreprinderea comună și explicarea de către aceasta a provocărilor care determină utilizarea unui număr mare de prestatori externi de servicii; este totuși preocupat de nivelul ridicat de dependență și de riscurile aferente; invită întreprinderea comună să furnizeze în viitor informații mai detaliate cu privire la procesele decizionale care conduc la utilizarea prestatorilor externi de servicii;</w:t>
      </w:r>
    </w:p>
    <w:p w14:paraId="6A36AEC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34.</w:t>
      </w:r>
      <w:r w:rsidRPr="00344BA4">
        <w:rPr>
          <w:kern w:val="2"/>
          <w14:ligatures w14:val="standardContextual"/>
        </w:rPr>
        <w:tab/>
        <w:t>ia act de faptul că nivelul de detaliere și nivelul de accesibilitate variază în ceea ce privește datele cantitative furnizate de întreprinderile comune cu privire la echilibrul de gen în rândul personalului lor și în cadrul organelor și structurilor lor de conducere în rapoartele lor anuale de activitate; invită toate întreprinderile comune să includă în viitoarele lor rapoarte anuale de activitate o secțiune clară dedicată datelor cantitative privind echilibrul de gen în rândul personalului lor și în cadrul organelor și structurilor lor de conducere, inclusiv defalcarea datelor între diferitele niveluri de responsabilitate și diferitele tipuri de contracte; invită toate întreprinderile comune să se asigure că echilibrul de gen rămâne un obiectiv la toate nivelurile de responsabilitate și să continue eforturile de îmbunătățire a acestuia, pentru a asigura o reprezentare echitabilă a societății în cadrul personalului lor și pentru a promova un mediu de lucru sănătos și productiv, precum și să ofere explicații atunci când echilibrul de gen nu poate fi atins;</w:t>
      </w:r>
    </w:p>
    <w:p w14:paraId="4EDAE300"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35.</w:t>
      </w:r>
      <w:r w:rsidRPr="00344BA4">
        <w:rPr>
          <w:kern w:val="2"/>
          <w14:ligatures w14:val="standardContextual"/>
        </w:rPr>
        <w:tab/>
        <w:t xml:space="preserve">ia act de faptul că nivelul de detaliere și nivelul de accesibilitate variază în ceea ce privește datele cantitative furnizate de întreprinderile comune cu privire la distribuția geografică în cadrul personalului lor și în cadrul organelor și structurilor lor de </w:t>
      </w:r>
      <w:r w:rsidRPr="00344BA4">
        <w:rPr>
          <w:kern w:val="2"/>
          <w14:ligatures w14:val="standardContextual"/>
        </w:rPr>
        <w:lastRenderedPageBreak/>
        <w:t>conducere în rapoartele lor anuale de activitate; invită toate întreprinderile comune să includă în viitoarele lor rapoarte anuale de activitate o secțiune clară dedicată datelor cantitative privind distribuția geografică în rândul personalului lor și în cadrul organelor și structurilor lor de conducere, inclusiv defalcarea datelor între diferitele niveluri de responsabilitate și diferitele tipuri de contracte; invită toate întreprinderile comune să se asigure că o distribuție geografică satisfăcătoare rămâne un obiectiv la toate nivelurile de responsabilitate și să ofere explicații atunci când nu se poate realiza o distribuție geografică suficientă;</w:t>
      </w:r>
    </w:p>
    <w:p w14:paraId="3E435C61"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36.</w:t>
      </w:r>
      <w:r w:rsidRPr="00344BA4">
        <w:rPr>
          <w:kern w:val="2"/>
          <w14:ligatures w14:val="standardContextual"/>
        </w:rPr>
        <w:tab/>
        <w:t>salută activitatea Rețelei agențiilor UE (EUAN) și a Grupului său de lucru pentru diversitate și incluziune, care a coordonat Carta EUAN privind diversitatea și incluziunea; invită întreprinderile comune să adopte această cartă;</w:t>
      </w:r>
    </w:p>
    <w:p w14:paraId="393BC5DD" w14:textId="77777777" w:rsidR="00344BA4" w:rsidRPr="00344BA4" w:rsidRDefault="00344BA4" w:rsidP="00C779F6">
      <w:pPr>
        <w:spacing w:after="240"/>
        <w:ind w:left="567" w:hanging="567"/>
        <w:rPr>
          <w:b/>
          <w:i/>
          <w:kern w:val="2"/>
          <w14:ligatures w14:val="standardContextual"/>
        </w:rPr>
      </w:pPr>
      <w:r w:rsidRPr="00344BA4">
        <w:rPr>
          <w:kern w:val="2"/>
          <w14:ligatures w14:val="standardContextual"/>
        </w:rPr>
        <w:t>37.</w:t>
      </w:r>
      <w:r w:rsidRPr="00344BA4">
        <w:rPr>
          <w:b/>
          <w:i/>
          <w:kern w:val="2"/>
          <w14:ligatures w14:val="standardContextual"/>
        </w:rPr>
        <w:tab/>
      </w:r>
      <w:r w:rsidRPr="00344BA4">
        <w:rPr>
          <w:kern w:val="2"/>
          <w14:ligatures w14:val="standardContextual"/>
        </w:rPr>
        <w:t>evidențiază că întreprinderile comune trebuie să se asigure că proiectele finanțate contribuie la bunăstarea și incluziunea socială, că respectă drepturile lucrătorilor și condițiile de muncă și că se aliniază la principiile unei tranziții juste către tehnologii sustenabile;</w:t>
      </w:r>
    </w:p>
    <w:p w14:paraId="452273D8" w14:textId="77777777" w:rsidR="00344BA4" w:rsidRPr="00344BA4" w:rsidRDefault="00344BA4" w:rsidP="00C779F6">
      <w:pPr>
        <w:spacing w:after="240"/>
        <w:rPr>
          <w:b/>
          <w:i/>
          <w:kern w:val="2"/>
          <w14:ligatures w14:val="standardContextual"/>
        </w:rPr>
      </w:pPr>
      <w:r w:rsidRPr="00344BA4">
        <w:rPr>
          <w:b/>
          <w:i/>
          <w:kern w:val="2"/>
          <w14:ligatures w14:val="standardContextual"/>
        </w:rPr>
        <w:t>Sisteme de gestiune și de control</w:t>
      </w:r>
    </w:p>
    <w:p w14:paraId="55C30706"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38.</w:t>
      </w:r>
      <w:r w:rsidRPr="00344BA4">
        <w:rPr>
          <w:kern w:val="2"/>
          <w14:ligatures w14:val="standardContextual"/>
        </w:rPr>
        <w:tab/>
        <w:t>salută activitatea Curții privind examinarea plăților aferente granturilor efectuate de cele 10 întreprinderi comune care pun în aplicare proiecte de cercetare și inovare, în special în ceea ce privește auditul său complementar al unui eșantion de plăți aferente granturilor la nivel de beneficiar în cadrul programului Orizont 2020; este preocupat de rezultatele acestei examinări, care au dezvăluit existența unor erori sistemice persistente, în special în ceea ce privește costurile declarate cu personalul și pentru echipamente;</w:t>
      </w:r>
      <w:r w:rsidRPr="00344BA4">
        <w:rPr>
          <w:b/>
          <w:i/>
          <w:kern w:val="2"/>
          <w14:ligatures w14:val="standardContextual"/>
        </w:rPr>
        <w:t xml:space="preserve"> </w:t>
      </w:r>
      <w:r w:rsidRPr="00344BA4">
        <w:rPr>
          <w:kern w:val="2"/>
          <w14:ligatures w14:val="standardContextual"/>
        </w:rPr>
        <w:t>solicită corectarea erorilor sistemice;</w:t>
      </w:r>
    </w:p>
    <w:p w14:paraId="35F15E0D"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39.</w:t>
      </w:r>
      <w:r w:rsidRPr="00344BA4">
        <w:rPr>
          <w:kern w:val="2"/>
          <w14:ligatures w14:val="standardContextual"/>
        </w:rPr>
        <w:tab/>
        <w:t>subliniază că Curtea a identificat și cuantificat un caz de eroare gravă în plățile din cadrul programului Orizont 2020 pentru întreprinderea comună pentru o aviație curată, întreprinderea comună „Inițiativa pentru inovare în domeniul sănătății”, întreprinderea comună pentru un hidrogen curat, întreprinderea comună pentru bioeconomia circulară în Europa și întreprinderea comună pentru căile ferate ale Europei; salută inițiativele luate în acest sens pentru a crește gradul de conștientizare în rândul beneficiarilor; invită toate întreprinderile comune să asigure legalitatea și regularitatea cheltuielilor operaționale și subliniază că Curtea a considerat că riscul pentru plățile intermediare și finale aferente granturilor efectuate de întreprinderile comune este mediu;</w:t>
      </w:r>
    </w:p>
    <w:p w14:paraId="07B1EFA5" w14:textId="77777777" w:rsidR="00344BA4" w:rsidRPr="00344BA4" w:rsidRDefault="00344BA4" w:rsidP="00C779F6">
      <w:pPr>
        <w:spacing w:after="240"/>
        <w:ind w:left="567" w:hanging="567"/>
        <w:rPr>
          <w:b/>
          <w:i/>
          <w:kern w:val="2"/>
          <w14:ligatures w14:val="standardContextual"/>
        </w:rPr>
      </w:pPr>
      <w:r w:rsidRPr="00344BA4">
        <w:rPr>
          <w:kern w:val="2"/>
          <w14:ligatures w14:val="standardContextual"/>
        </w:rPr>
        <w:t>40.</w:t>
      </w:r>
      <w:r w:rsidRPr="00344BA4">
        <w:rPr>
          <w:b/>
          <w:i/>
          <w:kern w:val="2"/>
          <w14:ligatures w14:val="standardContextual"/>
        </w:rPr>
        <w:tab/>
      </w:r>
      <w:r w:rsidRPr="00344BA4">
        <w:rPr>
          <w:kern w:val="2"/>
          <w14:ligatures w14:val="standardContextual"/>
        </w:rPr>
        <w:t xml:space="preserve">invită Comisia să pună în aplicare: (i) cursuri de formare financiară obligatorii pentru beneficiarii întreprinderilor comune pentru a evita erorile contabile recurente; (ii) instrumente de verificare automată pentru a îmbunătăți acuratețea calculelor costurilor cu personalul; (iii) proceduri de audit </w:t>
      </w:r>
      <w:r w:rsidRPr="00344BA4">
        <w:rPr>
          <w:i/>
          <w:kern w:val="2"/>
          <w14:ligatures w14:val="standardContextual"/>
        </w:rPr>
        <w:t>ex ante</w:t>
      </w:r>
      <w:r w:rsidRPr="00344BA4">
        <w:rPr>
          <w:kern w:val="2"/>
          <w14:ligatures w14:val="standardContextual"/>
        </w:rPr>
        <w:t xml:space="preserve"> mai stricte pentru a asigura utilizarea corespunzătoare a fondurilor Uniunii;</w:t>
      </w:r>
    </w:p>
    <w:p w14:paraId="50433507"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41.</w:t>
      </w:r>
      <w:r w:rsidRPr="00344BA4">
        <w:rPr>
          <w:kern w:val="2"/>
          <w14:ligatures w14:val="standardContextual"/>
        </w:rPr>
        <w:tab/>
        <w:t>salută faptul că, potrivit extrapolării Curții, rata de eroare medie pentru toate întreprinderile comune se situează puțin sub pragul de semnificație de 2 % pentru cheltuielile aferente granturilor, și faptul că ratele de eroare reziduală calculate de serviciul comun de audit al Comisiei s-au situat, de asemenea, sub pragul de semnificație;</w:t>
      </w:r>
    </w:p>
    <w:p w14:paraId="3D562E33"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42.</w:t>
      </w:r>
      <w:r w:rsidRPr="00344BA4">
        <w:rPr>
          <w:kern w:val="2"/>
          <w14:ligatures w14:val="standardContextual"/>
        </w:rPr>
        <w:tab/>
        <w:t xml:space="preserve">ia act de faptul că numărul plăților intermediare în cadrul programelor Orizont Europa și </w:t>
      </w:r>
      <w:r w:rsidRPr="00344BA4">
        <w:rPr>
          <w:kern w:val="2"/>
          <w14:ligatures w14:val="standardContextual"/>
        </w:rPr>
        <w:lastRenderedPageBreak/>
        <w:t>Europa digitală a fost prea mic pentru a se regăsi în eșantionul auditat de Curte în 2023;</w:t>
      </w:r>
    </w:p>
    <w:p w14:paraId="2E374082"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43.</w:t>
      </w:r>
      <w:r w:rsidRPr="00344BA4">
        <w:rPr>
          <w:kern w:val="2"/>
          <w14:ligatures w14:val="standardContextual"/>
        </w:rPr>
        <w:tab/>
        <w:t xml:space="preserve">ia act de faptul că în cadrul programului Orizont Europa au existat mai multe modificări ale cadrului de control intern al întreprinderilor comune, în special faptul că Comisia nu mai intenționează să efectueze audituri </w:t>
      </w:r>
      <w:r w:rsidRPr="00344BA4">
        <w:rPr>
          <w:i/>
          <w:kern w:val="2"/>
          <w14:ligatures w14:val="standardContextual"/>
        </w:rPr>
        <w:t>ex post</w:t>
      </w:r>
      <w:r w:rsidRPr="00344BA4">
        <w:rPr>
          <w:kern w:val="2"/>
          <w14:ligatures w14:val="standardContextual"/>
        </w:rPr>
        <w:t xml:space="preserve"> reprezentative specifice în numele părților interesate individuale din cadrul programului Orizont Europa, cum ar fi întreprinderile comune; constată, de asemenea, că Comisia intenționează să aplice aceeași modificare plăților aferente granturilor din cadrul programului Europa digitală;</w:t>
      </w:r>
    </w:p>
    <w:p w14:paraId="18B276DF"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44.</w:t>
      </w:r>
      <w:r w:rsidRPr="00344BA4">
        <w:rPr>
          <w:kern w:val="2"/>
          <w14:ligatures w14:val="standardContextual"/>
        </w:rPr>
        <w:tab/>
        <w:t>este preocupat de lipsa de comunicare, colaborare și coordonare între funcția de gestionare a riscurilor întreprinderii comune europene pentru ITER și pentru dezvoltarea energiei de fuziune și funcțiile sale de audit intern, precum și de lipsa aferentă a unui proces integrat de gestionare a riscurilor și de faptul că întreprinderea comună nu a putut furniza dovezi satisfăcătoare că utilizează cu regularitate informații privind gestionarea riscurilor atunci când planifică activități de audit intern; reiterează recomandarea de acțiune a Curții în acest sens, care recomandă întreprinderii comune în cauză să pună în aplicare un proces integrat de gestionare a riscurilor în cadrul său de control intern pentru a-și gestiona riscurile în mod eficace; salută intenția întreprinderii comune de a lua măsuri în această privință;</w:t>
      </w:r>
    </w:p>
    <w:p w14:paraId="118712F8"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45.</w:t>
      </w:r>
      <w:r w:rsidRPr="00344BA4">
        <w:rPr>
          <w:kern w:val="2"/>
          <w14:ligatures w14:val="standardContextual"/>
        </w:rPr>
        <w:tab/>
        <w:t>remarcă importanța punerii în aplicare a unui plan cuprinzător și actualizat de asigurare a continuității activității și a unui plan de recuperare în caz de dezastru pentru întreprinderile comune; regretă, în acest sens, că, la sfârșitul exercițiului financiar 2023, întreprinderile comune, cu excepția întreprinderii comune europene pentru ITER și pentru dezvoltarea energiei de fuziune, nu dispuneau de o politică satisfăcătoare în acest sens; salută intenția întreprinderii comune de a lua măsuri în această privință;</w:t>
      </w:r>
    </w:p>
    <w:p w14:paraId="05EF724A"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46.</w:t>
      </w:r>
      <w:r w:rsidRPr="00344BA4">
        <w:rPr>
          <w:kern w:val="2"/>
          <w14:ligatures w14:val="standardContextual"/>
        </w:rPr>
        <w:tab/>
        <w:t>subliniază că întreprinderea comună „Rețele și servicii inteligente” și întreprinderea comună EDCTP3 „Sănătatea la nivel mondial” nu puseseră încă integral în aplicare cadrul de control intern al Comisiei și invită aceste două întreprinderi comune să pună pe deplin în aplicare acest cadru;</w:t>
      </w:r>
    </w:p>
    <w:p w14:paraId="4E002B37" w14:textId="77777777" w:rsidR="00344BA4" w:rsidRPr="00344BA4" w:rsidRDefault="00344BA4" w:rsidP="00C779F6">
      <w:pPr>
        <w:spacing w:after="240"/>
        <w:rPr>
          <w:b/>
          <w:i/>
          <w:kern w:val="2"/>
          <w14:ligatures w14:val="standardContextual"/>
        </w:rPr>
      </w:pPr>
      <w:r w:rsidRPr="00344BA4">
        <w:rPr>
          <w:b/>
          <w:i/>
          <w:kern w:val="2"/>
          <w14:ligatures w14:val="standardContextual"/>
        </w:rPr>
        <w:t>Fraudă, etică și conflicte de interese</w:t>
      </w:r>
    </w:p>
    <w:p w14:paraId="7786CEDE"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47.</w:t>
      </w:r>
      <w:r w:rsidRPr="00344BA4">
        <w:rPr>
          <w:kern w:val="2"/>
          <w14:ligatures w14:val="standardContextual"/>
        </w:rPr>
        <w:tab/>
        <w:t>ia act de faptul că Curtea a notificat o suspiciune de fraudă Oficiului European de Luptă Antifraudă (OLAF) în cursul auditului său din exercițiul financiar 2023; ia cunoștință de faptul că acest caz a fost ulterior respins de OLAF, deoarece nu s-a constatat nicio fraudă în legătură cu respectiva problemă de personal; salută diligența Curții și cooperarea în cadrul arhitecturii antifraudă;</w:t>
      </w:r>
    </w:p>
    <w:p w14:paraId="09BB1E73"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48.</w:t>
      </w:r>
      <w:r w:rsidRPr="00344BA4">
        <w:rPr>
          <w:kern w:val="2"/>
          <w14:ligatures w14:val="standardContextual"/>
        </w:rPr>
        <w:tab/>
        <w:t>evidențiază importanța punerii în aplicare a unei politici de control intern privind funcțiile sensibile ale întreprinderilor comune;</w:t>
      </w:r>
      <w:r w:rsidRPr="00344BA4">
        <w:rPr>
          <w:b/>
          <w:i/>
          <w:kern w:val="2"/>
          <w14:ligatures w14:val="standardContextual"/>
        </w:rPr>
        <w:t xml:space="preserve"> </w:t>
      </w:r>
      <w:r w:rsidRPr="00344BA4">
        <w:rPr>
          <w:kern w:val="2"/>
          <w14:ligatures w14:val="standardContextual"/>
        </w:rPr>
        <w:t>reliefează că o astfel de politică poate preveni și atenua riscul de acțiuni inadecvate sau frauduloase; regretă faptul că, la sfârșitul exercițiului financiar 2023, întreprinderea comună „Proiectul de cercetare privind ATM în contextul Cerului unic european” 3, întreprinderea comună pentru un hidrogen curat, întreprinderea comună pentru cipuri, întreprinderea comună pentru calculul european de înaltă performanță, precum și întreprinderea comună europeană pentru ITER și pentru dezvoltarea energiei de fuziune nu dispuneau încă de o politică în acest sens; subliniază caracterul critic al acestei situații și îndeamnă întreprinderile comune să ia măsuri fără întârzieri inutile;</w:t>
      </w:r>
    </w:p>
    <w:p w14:paraId="6A8BE8BB"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lastRenderedPageBreak/>
        <w:t>49.</w:t>
      </w:r>
      <w:r w:rsidRPr="00344BA4">
        <w:rPr>
          <w:kern w:val="2"/>
          <w14:ligatures w14:val="standardContextual"/>
        </w:rPr>
        <w:tab/>
        <w:t>ia act de situația din întreprinderea comună pentru cipuri menționată de Curte, în care unul dintre foștii membri ai personalului său de conducere care părăsise recent întreprinderea comună s-a angajat într-o nouă activitate profesională fără notificarea prealabilă a întreprinderii comune în cauză; invită întreprinderea comună în cauză și toate celelalte întreprinderi comune să monitorizeze activ noile activități profesionale ale foștilor membri ai personalului de conducere și ale membrilor personalului care ocupă o funcție sensibilă; salută informațiile suplimentare furnizate de întreprinderea comună în cauză cu privire la acest caz specific;</w:t>
      </w:r>
    </w:p>
    <w:p w14:paraId="146C4EAA" w14:textId="77777777" w:rsidR="00344BA4" w:rsidRPr="00344BA4" w:rsidRDefault="00344BA4" w:rsidP="00C779F6">
      <w:pPr>
        <w:spacing w:after="240"/>
        <w:ind w:left="567" w:hanging="567"/>
        <w:rPr>
          <w:b/>
          <w:i/>
          <w:kern w:val="2"/>
          <w14:ligatures w14:val="standardContextual"/>
        </w:rPr>
      </w:pPr>
      <w:r w:rsidRPr="00344BA4">
        <w:rPr>
          <w:kern w:val="2"/>
          <w14:ligatures w14:val="standardContextual"/>
        </w:rPr>
        <w:t>50.</w:t>
      </w:r>
      <w:r w:rsidRPr="00344BA4">
        <w:rPr>
          <w:b/>
          <w:i/>
          <w:kern w:val="2"/>
          <w14:ligatures w14:val="standardContextual"/>
        </w:rPr>
        <w:tab/>
      </w:r>
      <w:r w:rsidRPr="00344BA4">
        <w:rPr>
          <w:kern w:val="2"/>
          <w14:ligatures w14:val="standardContextual"/>
        </w:rPr>
        <w:t>invită toate întreprinderile comune să își consolideze politicile de transparență, în special în ceea ce privește potențialele conflicte de interese; îndeamnă întreprinderile comune să publice declarații de interese pentru membrii consiliilor lor de administrație și ai comitetelor lor științifice și pentru experții lor externi, asigurându-se că sunt dezvăluite toate legăturile financiare, profesionale sau personale cu entitățile care beneficiază de finanțare din partea întreprinderii comune; insistă asupra introducerii unei perioade obligatorii de existență a stării de incompatibilitate pentru membrii personalului de conducere al întreprinderilor comune înainte ca ei să poată ocupa posturi în organizații care primesc fonduri din partea întreprinderilor comune;</w:t>
      </w:r>
    </w:p>
    <w:p w14:paraId="1A12857C"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51.</w:t>
      </w:r>
      <w:r w:rsidRPr="00344BA4">
        <w:rPr>
          <w:kern w:val="2"/>
          <w14:ligatures w14:val="standardContextual"/>
        </w:rPr>
        <w:tab/>
        <w:t>ia act de informațiile raportate de întreprinderile comune cu privire la activitățile lor legate de prevenirea, detectarea și corectarea fraudelor; invită toate întreprinderile comune să își consolideze rolul și să își identifice punctele slabe, angajându-se în continuare în discuții antifraudă, precum și să raporteze cu privire la aceste aspecte și să includă în rapoartele lor viitoare o prezentare clară a cadrului juridic și a politicilor instituite în acest sens;</w:t>
      </w:r>
    </w:p>
    <w:p w14:paraId="5397A297" w14:textId="77777777" w:rsidR="00344BA4" w:rsidRPr="00344BA4" w:rsidRDefault="00344BA4" w:rsidP="00C779F6">
      <w:pPr>
        <w:spacing w:after="240"/>
        <w:rPr>
          <w:b/>
          <w:i/>
          <w:kern w:val="2"/>
          <w14:ligatures w14:val="standardContextual"/>
        </w:rPr>
      </w:pPr>
      <w:r w:rsidRPr="00344BA4">
        <w:rPr>
          <w:b/>
          <w:i/>
          <w:kern w:val="2"/>
          <w14:ligatures w14:val="standardContextual"/>
        </w:rPr>
        <w:t>Observații privind măsurile luate de întreprinderile comune în urma exercițiului de descărcare de gestiune precedent</w:t>
      </w:r>
    </w:p>
    <w:p w14:paraId="7B454BB3"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52.</w:t>
      </w:r>
      <w:r w:rsidRPr="00344BA4">
        <w:rPr>
          <w:kern w:val="2"/>
          <w14:ligatures w14:val="standardContextual"/>
        </w:rPr>
        <w:tab/>
        <w:t>salută faptul că întreprinderile comune au elaborat rapoarte de monitorizare a rezoluțiilor Parlamentului European conținând observațiile care fac parte integrantă din deciziile privind descărcarea de gestiune pentru execuția bugetului întreprinderilor comune aferent exercițiului financiar 2022; ia act de faptul că aceste rapoarte prezintă într-o manieră satisfăcătoare opiniile întreprinderilor comune cu privire la aspectele subliniate de Parlamentul European;</w:t>
      </w:r>
    </w:p>
    <w:p w14:paraId="2C7611DB"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53.</w:t>
      </w:r>
      <w:r w:rsidRPr="00344BA4">
        <w:rPr>
          <w:kern w:val="2"/>
          <w14:ligatures w14:val="standardContextual"/>
        </w:rPr>
        <w:tab/>
        <w:t>salută faptul că raportul Curții cuprinde și o analiză a situației măsurilor luate de întreprinderile comune în urma observațiilor formulate și a acțiunilor recomandate pentru exercițiile anterioare publicate de Curte; constată, în acest sens, că, din cele 37 de observații formulate cărora nu li se dăduse curs în mod suficient până la sfârșitul exercițiului 2022, 16 au fost închise, iar 21 erau încă deschise la sfârșitul anului 2023; constată, de asemenea, că din cele 15 acțiuni recomandate în rapoartele anuale din 2021 și 2022, 9 au fost puse în aplicare integral, 2 au fost puse în aplicare în majoritatea privințelor, 3 au fost puse în aplicare doar în anumite privințe și una nu a fost deloc pusă în aplicare; înțelege că unele recomandări care trebuiau încă puse în aplicare se refereau în principal la aspecte legate de resursele umane, pe care întreprinderile comune le pot pune în aplicare numai în cooperare cu Direcția Generală Buget a Comisiei și odată ce cererile sunt gata să fie puse în aplicare; înțelege că recomandările care trebuiau puse în aplicare înainte de sfârșitul exercițiului 2023 au fost puse în aplicare în timp util;</w:t>
      </w:r>
    </w:p>
    <w:p w14:paraId="4897D3E7"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54.</w:t>
      </w:r>
      <w:r w:rsidRPr="00344BA4">
        <w:rPr>
          <w:kern w:val="2"/>
          <w14:ligatures w14:val="standardContextual"/>
        </w:rPr>
        <w:tab/>
        <w:t xml:space="preserve">salută faptul că, în prezent, Curtea a stabilit un termen-limită pentru punerea în aplicare </w:t>
      </w:r>
      <w:r w:rsidRPr="00344BA4">
        <w:rPr>
          <w:kern w:val="2"/>
          <w14:ligatures w14:val="standardContextual"/>
        </w:rPr>
        <w:lastRenderedPageBreak/>
        <w:t>a fiecăreia dintre recomandările sale deschise de acțiune, care au fost definite în cooperare cu întreprinderile comune pentru a asigura fezabilitatea acestora; invită toate întreprinderile comune să raporteze în continuare Curții și Parlamentului European cu privire la aceste aspecte;</w:t>
      </w:r>
    </w:p>
    <w:p w14:paraId="03A91A7D" w14:textId="77777777" w:rsidR="00344BA4" w:rsidRPr="00344BA4" w:rsidRDefault="00344BA4" w:rsidP="00C779F6">
      <w:pPr>
        <w:spacing w:after="240"/>
        <w:ind w:left="567" w:hanging="567"/>
        <w:rPr>
          <w:b/>
          <w:i/>
          <w:kern w:val="2"/>
          <w14:ligatures w14:val="standardContextual"/>
        </w:rPr>
      </w:pPr>
      <w:r w:rsidRPr="00344BA4">
        <w:rPr>
          <w:kern w:val="2"/>
          <w14:ligatures w14:val="standardContextual"/>
        </w:rPr>
        <w:t>55.</w:t>
      </w:r>
      <w:r w:rsidRPr="00344BA4">
        <w:rPr>
          <w:b/>
          <w:i/>
          <w:kern w:val="2"/>
          <w14:ligatures w14:val="standardContextual"/>
        </w:rPr>
        <w:tab/>
      </w:r>
      <w:r w:rsidRPr="00344BA4">
        <w:rPr>
          <w:kern w:val="2"/>
          <w14:ligatures w14:val="standardContextual"/>
        </w:rPr>
        <w:t>constată cu îngrijorare că persistă dificultățile legate de depășirile de costuri, întârzieri și probleme de guvernanță în punerea în aplicare a proiectului ITER; îndeamnă la o mai bună supraveghere financiară și la o mai mare transparență bugetară, inclusiv o raportare publică mai detaliată cu privire la evoluția costurilor, eficiența cheltuielilor și progresele înregistrate în ceea ce privește etapele principale ale proiectelor; subliniază necesitatea unor mecanisme de audit mai stricte pentru a se asigura că contribuțiile Uniunii la proiect sunt utilizate în mod eficace; îndeamnă întreprinderea comună să consolideze guvernanța internă prin realizarea de evaluări periodice și independente ale riscurilor proiectelor și prin îmbunătățirea mecanismelor de responsabilizare pentru personalul de conducere de nivel superior;</w:t>
      </w:r>
    </w:p>
    <w:p w14:paraId="0969F186" w14:textId="77777777" w:rsidR="00344BA4" w:rsidRPr="00344BA4" w:rsidRDefault="00344BA4" w:rsidP="00C779F6">
      <w:pPr>
        <w:spacing w:after="240"/>
        <w:rPr>
          <w:b/>
          <w:i/>
          <w:kern w:val="2"/>
          <w14:ligatures w14:val="standardContextual"/>
        </w:rPr>
      </w:pPr>
      <w:r w:rsidRPr="00344BA4">
        <w:rPr>
          <w:b/>
          <w:i/>
          <w:kern w:val="2"/>
          <w14:ligatures w14:val="standardContextual"/>
        </w:rPr>
        <w:t>Alte priorități pentru întreprinderile comune</w:t>
      </w:r>
    </w:p>
    <w:p w14:paraId="4063596D"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56.</w:t>
      </w:r>
      <w:r w:rsidRPr="00344BA4">
        <w:rPr>
          <w:kern w:val="2"/>
          <w14:ligatures w14:val="standardContextual"/>
        </w:rPr>
        <w:tab/>
        <w:t>este conștient de constrângerile administrative și bugetare ale întreprinderilor comune și, având în vedere aceste constrângeri, invită întreprinderile comune să-și facă mai bine cunoscută contribuția la activitățile de cercetare și inovare prin materiale de comunicare accesibile destinate instituțiilor academice și de cercetare, organizațiilor publice și private și autorităților europene și naționale; solicită ca aceste materiale de comunicare accesibile să promoveze oportunitățile pentru contractele de achiziții publice și granturile oferite de întreprinderile comune în domeniul activităților de cercetare și inovare;</w:t>
      </w:r>
    </w:p>
    <w:p w14:paraId="3E6A89D5"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57.</w:t>
      </w:r>
      <w:r w:rsidRPr="00344BA4">
        <w:rPr>
          <w:kern w:val="2"/>
          <w14:ligatures w14:val="standardContextual"/>
        </w:rPr>
        <w:tab/>
        <w:t xml:space="preserve">invită întreprinderile comune să se implice în mod </w:t>
      </w:r>
      <w:proofErr w:type="spellStart"/>
      <w:r w:rsidRPr="00344BA4">
        <w:rPr>
          <w:kern w:val="2"/>
          <w14:ligatures w14:val="standardContextual"/>
        </w:rPr>
        <w:t>proactiv</w:t>
      </w:r>
      <w:proofErr w:type="spellEnd"/>
      <w:r w:rsidRPr="00344BA4">
        <w:rPr>
          <w:kern w:val="2"/>
          <w14:ligatures w14:val="standardContextual"/>
        </w:rPr>
        <w:t xml:space="preserve"> în activități de comunicare pentru a se adresa unei categorii vaste de cetățeni ai UE, într-un efort pedagogic de a-și prezenta contribuția la obiectivele comune și necesitatea unor parteneriate instituționalizate care să implice membri privați;</w:t>
      </w:r>
    </w:p>
    <w:p w14:paraId="1836850D" w14:textId="77777777" w:rsidR="00344BA4" w:rsidRPr="00344BA4" w:rsidRDefault="00344BA4" w:rsidP="00C779F6">
      <w:pPr>
        <w:spacing w:after="240"/>
        <w:ind w:left="567" w:hanging="567"/>
        <w:rPr>
          <w:b/>
          <w:i/>
          <w:kern w:val="2"/>
          <w14:ligatures w14:val="standardContextual"/>
        </w:rPr>
      </w:pPr>
      <w:r w:rsidRPr="00344BA4">
        <w:rPr>
          <w:kern w:val="2"/>
          <w14:ligatures w14:val="standardContextual"/>
        </w:rPr>
        <w:t>58.</w:t>
      </w:r>
      <w:r w:rsidRPr="00344BA4">
        <w:rPr>
          <w:b/>
          <w:i/>
          <w:kern w:val="2"/>
          <w14:ligatures w14:val="standardContextual"/>
        </w:rPr>
        <w:tab/>
      </w:r>
      <w:r w:rsidRPr="00344BA4">
        <w:rPr>
          <w:kern w:val="2"/>
          <w14:ligatures w14:val="standardContextual"/>
        </w:rPr>
        <w:t>invită întreprinderile comune să stabilească relații de cooperare cu universități pentru a se apropia de tinerii absolvenți europeni cu scopul de a-și îmbunătăți viitoarele procese de recrutare;</w:t>
      </w:r>
    </w:p>
    <w:p w14:paraId="7E9B00F0"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59.</w:t>
      </w:r>
      <w:r w:rsidRPr="00344BA4">
        <w:rPr>
          <w:kern w:val="2"/>
          <w14:ligatures w14:val="standardContextual"/>
        </w:rPr>
        <w:tab/>
        <w:t>invită întreprinderile comune să continue să raporteze, în mod eficace și în măsura capacității lor, cu privire la contribuția lor la ocuparea forței de muncă și la competitivitatea economiei europene, având în vedere că toate părțile interesate importante din domeniul cercetării și inovării din Uniunea Europeană trebuie să se concentreze asupra reindustrializării Uniunii Europene;</w:t>
      </w:r>
    </w:p>
    <w:p w14:paraId="1B7FE064"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60.</w:t>
      </w:r>
      <w:r w:rsidRPr="00344BA4">
        <w:rPr>
          <w:kern w:val="2"/>
          <w14:ligatures w14:val="standardContextual"/>
        </w:rPr>
        <w:tab/>
        <w:t>invită întreprinderile comune să asigure în continuare un nivel suficient de participare a întreprinderilor private, în special a întreprinderilor mici și mijlocii, care constituie cel mai puternic atu al economiei europene;</w:t>
      </w:r>
    </w:p>
    <w:p w14:paraId="13D010B5"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61.</w:t>
      </w:r>
      <w:r w:rsidRPr="00344BA4">
        <w:rPr>
          <w:kern w:val="2"/>
          <w14:ligatures w14:val="standardContextual"/>
        </w:rPr>
        <w:tab/>
        <w:t>invită întreprinderile comune să raporteze în mod eficace cu privire la contribuția lor la prioritățile orizontale ale bugetului Uniunii Europene;</w:t>
      </w:r>
    </w:p>
    <w:p w14:paraId="301DA1F5"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62.</w:t>
      </w:r>
      <w:r w:rsidRPr="00344BA4">
        <w:rPr>
          <w:kern w:val="2"/>
          <w14:ligatures w14:val="standardContextual"/>
        </w:rPr>
        <w:tab/>
        <w:t xml:space="preserve">invită toate întreprinderile comune să continue să acționeze cu diligență în desfășurarea activităților lor atunci când colaborează cu părțile interesate internaționale, în special </w:t>
      </w:r>
      <w:r w:rsidRPr="00344BA4">
        <w:rPr>
          <w:kern w:val="2"/>
          <w14:ligatures w14:val="standardContextual"/>
        </w:rPr>
        <w:lastRenderedPageBreak/>
        <w:t>având în vedere regimul de măsuri restrictive instituit de Uniunea Europeană; subliniază, în acest sens, situația specială a întreprinderii comune europene pentru ITER și pentru dezvoltarea energiei de fuziune și salută explicațiile furnizate în timpul audierii întreprinderii comune în cauză în cadrul Comisiei pentru control bugetar cu privire la măsurile instituite pentru a preveni orice problemă în cadrul proiectului ITER;</w:t>
      </w:r>
    </w:p>
    <w:p w14:paraId="7BDB024D"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63.</w:t>
      </w:r>
      <w:r w:rsidRPr="00344BA4">
        <w:rPr>
          <w:kern w:val="2"/>
          <w14:ligatures w14:val="standardContextual"/>
        </w:rPr>
        <w:tab/>
        <w:t>invită toate întreprinderile comune să se asigure că personalul lor utilizează în mod adecvat posibilele sinergii cu alte entități din Uniunea Europeană, cum ar fi agențiile, în toate domeniile relevante și cu scopul de a spori eficiența și impactul operațiunilor lor; invită toate întreprinderile comune să se asigure că personalul lor utilizează în mod corespunzător platforma care alcătuiește Rețeaua agențiilor UE (EUAN);</w:t>
      </w:r>
    </w:p>
    <w:p w14:paraId="1BF43D0F" w14:textId="77777777" w:rsidR="00344BA4" w:rsidRPr="00344BA4" w:rsidRDefault="00344BA4" w:rsidP="00C779F6">
      <w:pPr>
        <w:spacing w:after="240"/>
        <w:ind w:left="567" w:hanging="567"/>
        <w:rPr>
          <w:b/>
          <w:i/>
          <w:kern w:val="2"/>
          <w14:ligatures w14:val="standardContextual"/>
        </w:rPr>
      </w:pPr>
      <w:r w:rsidRPr="00344BA4">
        <w:rPr>
          <w:kern w:val="2"/>
          <w14:ligatures w14:val="standardContextual"/>
        </w:rPr>
        <w:t>64.</w:t>
      </w:r>
      <w:r w:rsidRPr="00344BA4">
        <w:rPr>
          <w:b/>
          <w:i/>
          <w:kern w:val="2"/>
          <w14:ligatures w14:val="standardContextual"/>
        </w:rPr>
        <w:tab/>
      </w:r>
      <w:r w:rsidRPr="00344BA4">
        <w:rPr>
          <w:kern w:val="2"/>
          <w14:ligatures w14:val="standardContextual"/>
        </w:rPr>
        <w:t>evidențiază necesitatea suveranității digitale în cercetarea finanțată de Uniune; în acest sens, pune un accent deosebit pe întreprinderea comună pentru cipuri, întreprinderea comună pentru calculul european de înaltă performanță și întreprinderea comună „Rețele și servicii inteligente”, care acordă prioritate proiectelor care consolidează autonomia Uniunii în ceea ce privește fabricarea semiconductorilor, inteligența artificială și securitatea cibernetică; invită Comisia să se asigure că proiectele finanțate de întreprinderile comune: (i) nu depind în mod excesiv de furnizori din țări terțe pentru tehnologiile critice; (ii) contribuie la reziliența industrială și la independența strategică a Uniunii; (iii) promovează cercetarea și dezvoltarea la nivel național în sectoare digitale esențiale;</w:t>
      </w:r>
    </w:p>
    <w:p w14:paraId="03D7304F" w14:textId="77777777" w:rsidR="00344BA4" w:rsidRPr="00344BA4" w:rsidRDefault="00344BA4" w:rsidP="00C779F6">
      <w:pPr>
        <w:spacing w:after="240"/>
        <w:rPr>
          <w:b/>
          <w:i/>
          <w:kern w:val="2"/>
          <w14:ligatures w14:val="standardContextual"/>
        </w:rPr>
      </w:pPr>
      <w:r w:rsidRPr="00344BA4">
        <w:rPr>
          <w:b/>
          <w:i/>
          <w:kern w:val="2"/>
          <w14:ligatures w14:val="standardContextual"/>
        </w:rPr>
        <w:t>Solicitare de monitorizare</w:t>
      </w:r>
    </w:p>
    <w:p w14:paraId="71650197" w14:textId="77777777" w:rsidR="00344BA4" w:rsidRPr="00344BA4" w:rsidRDefault="00344BA4" w:rsidP="00C779F6">
      <w:pPr>
        <w:spacing w:after="240"/>
        <w:ind w:left="567" w:hanging="567"/>
        <w:rPr>
          <w:kern w:val="2"/>
          <w:szCs w:val="24"/>
          <w14:ligatures w14:val="standardContextual"/>
        </w:rPr>
      </w:pPr>
      <w:r w:rsidRPr="00344BA4">
        <w:rPr>
          <w:kern w:val="2"/>
          <w14:ligatures w14:val="standardContextual"/>
        </w:rPr>
        <w:t>65.</w:t>
      </w:r>
      <w:r w:rsidRPr="00344BA4">
        <w:rPr>
          <w:kern w:val="2"/>
          <w14:ligatures w14:val="standardContextual"/>
        </w:rPr>
        <w:tab/>
        <w:t>invită fiecare întreprindere comună avută în vedere pentru acordarea descărcării de gestiune pentru exercițiul financiar 2023 să elaboreze un raport individual de monitorizare a tuturor măsurilor luate pentru a aborda aspectele specifice menționate în prezenta rezoluție și să prezinte Parlamentului European acest raport de monitorizare semnat de directorul (executiv) al întreprinderii comune până cel târziu la 30 septembrie 2025;</w:t>
      </w:r>
    </w:p>
    <w:p w14:paraId="4AFAF537" w14:textId="77777777" w:rsidR="00344BA4" w:rsidRPr="00344BA4" w:rsidRDefault="00344BA4" w:rsidP="00C779F6">
      <w:pPr>
        <w:spacing w:after="240"/>
        <w:ind w:left="567" w:hanging="567"/>
        <w:rPr>
          <w:kern w:val="2"/>
          <w14:ligatures w14:val="standardContextual"/>
        </w:rPr>
      </w:pPr>
      <w:r w:rsidRPr="00344BA4">
        <w:rPr>
          <w:kern w:val="2"/>
          <w14:ligatures w14:val="standardContextual"/>
        </w:rPr>
        <w:t>66.</w:t>
      </w:r>
      <w:r w:rsidRPr="00344BA4">
        <w:rPr>
          <w:kern w:val="2"/>
          <w14:ligatures w14:val="standardContextual"/>
        </w:rPr>
        <w:tab/>
        <w:t>ține să sublinieze că rapoartele de monitorizare pot conține și opiniile generale ale întreprinderilor comune cu privire la prezenta rezoluție și la alte aspecte relevante pentru autoritatea care acordă descărcarea de gestiune; se așteaptă ca în elaborarea acestor rapoarte întreprinderile comune să aibă o abordare cuprinzătoare, să menționeze toate aspectele abordate de Parlamentul European cu privire la activitățile lor și să facă acest lucru cu bună-credință și în spiritul cooperării.</w:t>
      </w:r>
    </w:p>
    <w:p w14:paraId="709611D9" w14:textId="77777777" w:rsidR="00344BA4" w:rsidRPr="00344BA4" w:rsidRDefault="00344BA4" w:rsidP="00C779F6">
      <w:pPr>
        <w:rPr>
          <w:lang w:eastAsia="fr-FR"/>
        </w:rPr>
      </w:pPr>
    </w:p>
    <w:sectPr w:rsidR="00344BA4" w:rsidRPr="00344BA4" w:rsidSect="00B27B3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2E96D" w14:textId="77777777" w:rsidR="009837EA" w:rsidRPr="0018640F" w:rsidRDefault="009837EA">
      <w:r w:rsidRPr="0018640F">
        <w:separator/>
      </w:r>
    </w:p>
  </w:endnote>
  <w:endnote w:type="continuationSeparator" w:id="0">
    <w:p w14:paraId="3B306B9C" w14:textId="77777777" w:rsidR="009837EA" w:rsidRPr="0018640F" w:rsidRDefault="009837EA">
      <w:r w:rsidRPr="001864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FD611" w14:textId="77777777" w:rsidR="009837EA" w:rsidRPr="0018640F" w:rsidRDefault="009837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6D626" w14:textId="77777777" w:rsidR="009837EA" w:rsidRPr="0018640F" w:rsidRDefault="009837E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1B75E" w14:textId="77777777" w:rsidR="009837EA" w:rsidRPr="0018640F" w:rsidRDefault="009837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59AEE" w14:textId="77777777" w:rsidR="009837EA" w:rsidRPr="0018640F" w:rsidRDefault="009837EA">
      <w:r w:rsidRPr="0018640F">
        <w:separator/>
      </w:r>
    </w:p>
  </w:footnote>
  <w:footnote w:type="continuationSeparator" w:id="0">
    <w:p w14:paraId="5EC78133" w14:textId="77777777" w:rsidR="009837EA" w:rsidRPr="0018640F" w:rsidRDefault="009837EA">
      <w:r w:rsidRPr="0018640F">
        <w:continuationSeparator/>
      </w:r>
    </w:p>
  </w:footnote>
  <w:footnote w:id="1">
    <w:p w14:paraId="1C8C17A1" w14:textId="77777777" w:rsidR="00344BA4" w:rsidRPr="004E0F33" w:rsidRDefault="00344BA4" w:rsidP="00344BA4">
      <w:pPr>
        <w:pStyle w:val="FootnoteText"/>
        <w:ind w:left="567" w:hanging="567"/>
        <w:rPr>
          <w:sz w:val="24"/>
          <w:szCs w:val="24"/>
          <w:lang w:val="ro-RO"/>
        </w:rPr>
      </w:pPr>
      <w:r w:rsidRPr="004E0F33">
        <w:rPr>
          <w:rStyle w:val="FootnoteReference"/>
          <w:sz w:val="24"/>
        </w:rPr>
        <w:footnoteRef/>
      </w:r>
      <w:r w:rsidRPr="00E52EB4">
        <w:rPr>
          <w:sz w:val="24"/>
          <w:lang w:val="ro-RO"/>
        </w:rPr>
        <w:tab/>
        <w:t xml:space="preserve">JO C, C/2024/6841, 13.11.2024, ELI: </w:t>
      </w:r>
      <w:hyperlink r:id="rId1" w:history="1">
        <w:r w:rsidRPr="00E52EB4">
          <w:rPr>
            <w:rStyle w:val="Hyperlink1"/>
            <w:sz w:val="24"/>
            <w:lang w:val="ro-RO"/>
          </w:rPr>
          <w:t>http://data.europa.eu/eli/C/2024/6841/oj</w:t>
        </w:r>
      </w:hyperlink>
      <w:r w:rsidRPr="00E52EB4">
        <w:rPr>
          <w:sz w:val="24"/>
          <w:lang w:val="ro-RO"/>
        </w:rPr>
        <w:t>.</w:t>
      </w:r>
    </w:p>
  </w:footnote>
  <w:footnote w:id="2">
    <w:p w14:paraId="457344B1" w14:textId="77777777" w:rsidR="00344BA4" w:rsidRPr="004E0F33" w:rsidRDefault="00344BA4" w:rsidP="00344BA4">
      <w:pPr>
        <w:pStyle w:val="FootnoteText"/>
        <w:ind w:left="567" w:hanging="567"/>
        <w:rPr>
          <w:sz w:val="24"/>
          <w:szCs w:val="24"/>
          <w:lang w:val="ro-RO"/>
        </w:rPr>
      </w:pPr>
      <w:r w:rsidRPr="004E0F33">
        <w:rPr>
          <w:rStyle w:val="FootnoteReference"/>
          <w:sz w:val="24"/>
        </w:rPr>
        <w:footnoteRef/>
      </w:r>
      <w:r w:rsidRPr="00E52EB4">
        <w:rPr>
          <w:sz w:val="24"/>
          <w:lang w:val="ro-RO"/>
        </w:rPr>
        <w:tab/>
      </w:r>
      <w:r w:rsidRPr="00E52EB4">
        <w:rPr>
          <w:sz w:val="24"/>
          <w:lang w:val="ro-RO"/>
        </w:rPr>
        <w:t xml:space="preserve">JO C, C/2024/6041, 10.10.2024, ELI: </w:t>
      </w:r>
      <w:hyperlink r:id="rId2" w:history="1">
        <w:r w:rsidRPr="00E52EB4">
          <w:rPr>
            <w:rStyle w:val="Hyperlink1"/>
            <w:sz w:val="24"/>
            <w:lang w:val="ro-RO"/>
          </w:rPr>
          <w:t>http://data.europa.eu/eli/C/2024/6041/oj</w:t>
        </w:r>
      </w:hyperlink>
      <w:r w:rsidRPr="00E52EB4">
        <w:rPr>
          <w:sz w:val="24"/>
          <w:lang w:val="ro-RO"/>
        </w:rPr>
        <w:t>.</w:t>
      </w:r>
    </w:p>
  </w:footnote>
  <w:footnote w:id="3">
    <w:p w14:paraId="721F25E5" w14:textId="77777777" w:rsidR="00344BA4" w:rsidRPr="004E0F33" w:rsidRDefault="00344BA4" w:rsidP="00344BA4">
      <w:pPr>
        <w:pStyle w:val="FootnoteText"/>
        <w:ind w:left="567" w:hanging="567"/>
        <w:rPr>
          <w:sz w:val="24"/>
          <w:szCs w:val="24"/>
          <w:lang w:val="ro-RO"/>
        </w:rPr>
      </w:pPr>
      <w:r w:rsidRPr="004E0F33">
        <w:rPr>
          <w:rStyle w:val="FootnoteReference"/>
          <w:sz w:val="24"/>
        </w:rPr>
        <w:footnoteRef/>
      </w:r>
      <w:r w:rsidRPr="00E52EB4">
        <w:rPr>
          <w:sz w:val="24"/>
          <w:lang w:val="ro-RO"/>
        </w:rPr>
        <w:tab/>
      </w:r>
      <w:r w:rsidRPr="00E52EB4">
        <w:rPr>
          <w:sz w:val="24"/>
          <w:lang w:val="ro-RO"/>
        </w:rPr>
        <w:t xml:space="preserve">JO L 193, 30.7.2018, p. 1, ELI: </w:t>
      </w:r>
      <w:hyperlink r:id="rId3" w:history="1">
        <w:r w:rsidRPr="00E52EB4">
          <w:rPr>
            <w:rStyle w:val="Hyperlink1"/>
            <w:sz w:val="24"/>
            <w:lang w:val="ro-RO"/>
          </w:rPr>
          <w:t>http://data.europa.eu/eli/reg/2018/1046/oj</w:t>
        </w:r>
      </w:hyperlink>
      <w:r w:rsidRPr="00E52EB4">
        <w:rPr>
          <w:sz w:val="24"/>
          <w:lang w:val="ro-RO"/>
        </w:rPr>
        <w:t>.</w:t>
      </w:r>
    </w:p>
  </w:footnote>
  <w:footnote w:id="4">
    <w:p w14:paraId="2FFDBC1A" w14:textId="77777777" w:rsidR="00344BA4" w:rsidRPr="004E0F33" w:rsidRDefault="00344BA4" w:rsidP="00344BA4">
      <w:pPr>
        <w:pStyle w:val="FootnoteText"/>
        <w:ind w:left="567" w:hanging="567"/>
        <w:rPr>
          <w:sz w:val="24"/>
          <w:szCs w:val="24"/>
          <w:lang w:val="ro-RO"/>
        </w:rPr>
      </w:pPr>
      <w:r w:rsidRPr="004E0F33">
        <w:rPr>
          <w:rStyle w:val="FootnoteReference"/>
          <w:sz w:val="24"/>
        </w:rPr>
        <w:footnoteRef/>
      </w:r>
      <w:r w:rsidRPr="00E52EB4">
        <w:rPr>
          <w:sz w:val="24"/>
          <w:lang w:val="ro-RO"/>
        </w:rPr>
        <w:tab/>
      </w:r>
      <w:r w:rsidRPr="00E52EB4">
        <w:rPr>
          <w:sz w:val="24"/>
          <w:lang w:val="ro-RO"/>
        </w:rPr>
        <w:t xml:space="preserve">JO L, 2024/2509, 26.9.2024, ELI: </w:t>
      </w:r>
      <w:hyperlink r:id="rId4"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5">
    <w:p w14:paraId="3425F94D" w14:textId="77777777" w:rsidR="00344BA4" w:rsidRPr="004E0F33" w:rsidRDefault="00344BA4" w:rsidP="00344BA4">
      <w:pPr>
        <w:pStyle w:val="FootnoteText"/>
        <w:ind w:left="567" w:hanging="567"/>
        <w:rPr>
          <w:sz w:val="24"/>
          <w:szCs w:val="24"/>
          <w:lang w:val="ro-RO"/>
        </w:rPr>
      </w:pPr>
      <w:r w:rsidRPr="004E0F33">
        <w:rPr>
          <w:rStyle w:val="FootnoteReference"/>
          <w:sz w:val="24"/>
        </w:rPr>
        <w:footnoteRef/>
      </w:r>
      <w:r w:rsidRPr="00E52EB4">
        <w:rPr>
          <w:sz w:val="24"/>
          <w:lang w:val="ro-RO"/>
        </w:rPr>
        <w:tab/>
      </w:r>
      <w:r w:rsidRPr="00E52EB4">
        <w:rPr>
          <w:sz w:val="24"/>
          <w:lang w:val="ro-RO"/>
        </w:rPr>
        <w:t xml:space="preserve">JO L 427, 30.11.2021, p. 17, ELI: </w:t>
      </w:r>
      <w:hyperlink r:id="rId5" w:history="1">
        <w:r w:rsidRPr="00E52EB4">
          <w:rPr>
            <w:rStyle w:val="Hyperlink1"/>
            <w:sz w:val="24"/>
            <w:lang w:val="ro-RO"/>
          </w:rPr>
          <w:t>http://data.europa.eu/eli/reg/2021/2085/oj</w:t>
        </w:r>
      </w:hyperlink>
      <w:r w:rsidRPr="00E52EB4">
        <w:rPr>
          <w:sz w:val="24"/>
          <w:lang w:val="ro-RO"/>
        </w:rPr>
        <w:t>.</w:t>
      </w:r>
    </w:p>
  </w:footnote>
  <w:footnote w:id="6">
    <w:p w14:paraId="2FD9E03B" w14:textId="77777777" w:rsidR="00344BA4" w:rsidRPr="004E0F33" w:rsidRDefault="00344BA4" w:rsidP="00344BA4">
      <w:pPr>
        <w:pStyle w:val="FootnoteText"/>
        <w:ind w:left="567" w:hanging="567"/>
        <w:rPr>
          <w:sz w:val="24"/>
          <w:szCs w:val="24"/>
          <w:lang w:val="ro-RO"/>
        </w:rPr>
      </w:pPr>
      <w:r w:rsidRPr="004E0F33">
        <w:rPr>
          <w:rStyle w:val="FootnoteReference"/>
          <w:sz w:val="24"/>
        </w:rPr>
        <w:footnoteRef/>
      </w:r>
      <w:r w:rsidRPr="00E52EB4">
        <w:rPr>
          <w:sz w:val="24"/>
          <w:lang w:val="ro-RO"/>
        </w:rPr>
        <w:tab/>
      </w:r>
      <w:r w:rsidRPr="00E52EB4">
        <w:rPr>
          <w:sz w:val="24"/>
          <w:lang w:val="ro-RO"/>
        </w:rPr>
        <w:t xml:space="preserve">JO L 142, 29.5.2019, p. 16, ELI: </w:t>
      </w:r>
      <w:hyperlink r:id="rId6" w:history="1">
        <w:r w:rsidRPr="00E52EB4">
          <w:rPr>
            <w:rStyle w:val="Hyperlink1"/>
            <w:sz w:val="24"/>
            <w:lang w:val="ro-RO"/>
          </w:rPr>
          <w:t>http://data.europa.eu/eli/reg_del/2019/887/oj</w:t>
        </w:r>
      </w:hyperlink>
      <w:r w:rsidRPr="00E52EB4">
        <w:rPr>
          <w:sz w:val="24"/>
          <w:lang w:val="ro-RO"/>
        </w:rPr>
        <w:t>.</w:t>
      </w:r>
    </w:p>
  </w:footnote>
  <w:footnote w:id="7">
    <w:p w14:paraId="547C086E" w14:textId="77777777" w:rsidR="00344BA4" w:rsidRPr="00D7156B" w:rsidRDefault="00344BA4" w:rsidP="00344BA4">
      <w:pPr>
        <w:pStyle w:val="FootnoteText"/>
        <w:ind w:left="567" w:hanging="567"/>
        <w:rPr>
          <w:sz w:val="24"/>
          <w:szCs w:val="24"/>
          <w:lang w:val="ro-RO"/>
        </w:rPr>
      </w:pPr>
      <w:r w:rsidRPr="00D7156B">
        <w:rPr>
          <w:rStyle w:val="FootnoteReference"/>
          <w:sz w:val="24"/>
        </w:rPr>
        <w:footnoteRef/>
      </w:r>
      <w:r w:rsidRPr="00E52EB4">
        <w:rPr>
          <w:sz w:val="24"/>
          <w:lang w:val="ro-RO"/>
        </w:rPr>
        <w:tab/>
      </w:r>
      <w:r w:rsidRPr="00E52EB4">
        <w:rPr>
          <w:sz w:val="24"/>
          <w:lang w:val="ro-RO"/>
        </w:rPr>
        <w:t xml:space="preserve">JO C, C/2024/6841, 13.11.2024, ELI: </w:t>
      </w:r>
      <w:hyperlink r:id="rId7" w:history="1">
        <w:r w:rsidRPr="00E52EB4">
          <w:rPr>
            <w:rStyle w:val="Hyperlink1"/>
            <w:sz w:val="24"/>
            <w:lang w:val="ro-RO"/>
          </w:rPr>
          <w:t>http://data.europa.eu/eli/C/2024/6841/oj</w:t>
        </w:r>
      </w:hyperlink>
      <w:r w:rsidRPr="00E52EB4">
        <w:rPr>
          <w:sz w:val="24"/>
          <w:lang w:val="ro-RO"/>
        </w:rPr>
        <w:t>.</w:t>
      </w:r>
    </w:p>
  </w:footnote>
  <w:footnote w:id="8">
    <w:p w14:paraId="355C4B5D" w14:textId="77777777" w:rsidR="00344BA4" w:rsidRPr="00D7156B" w:rsidRDefault="00344BA4" w:rsidP="00344BA4">
      <w:pPr>
        <w:pStyle w:val="FootnoteText"/>
        <w:ind w:left="567" w:hanging="567"/>
        <w:rPr>
          <w:sz w:val="24"/>
          <w:szCs w:val="24"/>
          <w:lang w:val="ro-RO"/>
        </w:rPr>
      </w:pPr>
      <w:r w:rsidRPr="00D7156B">
        <w:rPr>
          <w:rStyle w:val="FootnoteReference"/>
          <w:sz w:val="24"/>
        </w:rPr>
        <w:footnoteRef/>
      </w:r>
      <w:r w:rsidRPr="00E52EB4">
        <w:rPr>
          <w:sz w:val="24"/>
          <w:lang w:val="ro-RO"/>
        </w:rPr>
        <w:tab/>
      </w:r>
      <w:r w:rsidRPr="00E52EB4">
        <w:rPr>
          <w:sz w:val="24"/>
          <w:lang w:val="ro-RO"/>
        </w:rPr>
        <w:t xml:space="preserve">JO C, C/2024/6041, 10.10.2024, ELI: </w:t>
      </w:r>
      <w:hyperlink r:id="rId8" w:history="1">
        <w:r w:rsidRPr="00E52EB4">
          <w:rPr>
            <w:rStyle w:val="Hyperlink1"/>
            <w:sz w:val="24"/>
            <w:lang w:val="ro-RO"/>
          </w:rPr>
          <w:t>http://data.europa.eu/eli/C/2024/6041/oj</w:t>
        </w:r>
      </w:hyperlink>
      <w:r w:rsidRPr="00E52EB4">
        <w:rPr>
          <w:sz w:val="24"/>
          <w:lang w:val="ro-RO"/>
        </w:rPr>
        <w:t>.</w:t>
      </w:r>
    </w:p>
  </w:footnote>
  <w:footnote w:id="9">
    <w:p w14:paraId="30C3FBBD" w14:textId="77777777" w:rsidR="00344BA4" w:rsidRPr="00D7156B" w:rsidRDefault="00344BA4" w:rsidP="00344BA4">
      <w:pPr>
        <w:pStyle w:val="FootnoteText"/>
        <w:ind w:left="567" w:hanging="567"/>
        <w:rPr>
          <w:sz w:val="24"/>
          <w:szCs w:val="24"/>
          <w:lang w:val="ro-RO"/>
        </w:rPr>
      </w:pPr>
      <w:r w:rsidRPr="00D7156B">
        <w:rPr>
          <w:rStyle w:val="FootnoteReference"/>
          <w:sz w:val="24"/>
        </w:rPr>
        <w:footnoteRef/>
      </w:r>
      <w:r w:rsidRPr="00E52EB4">
        <w:rPr>
          <w:sz w:val="24"/>
          <w:lang w:val="ro-RO"/>
        </w:rPr>
        <w:tab/>
      </w:r>
      <w:r w:rsidRPr="00E52EB4">
        <w:rPr>
          <w:sz w:val="24"/>
          <w:lang w:val="ro-RO"/>
        </w:rPr>
        <w:t xml:space="preserve">JO L 193, 30.7.2018, p. 1, ELI: </w:t>
      </w:r>
      <w:hyperlink r:id="rId9" w:history="1">
        <w:r w:rsidRPr="00E52EB4">
          <w:rPr>
            <w:rStyle w:val="Hyperlink1"/>
            <w:sz w:val="24"/>
            <w:lang w:val="ro-RO"/>
          </w:rPr>
          <w:t>http://data.europa.eu/eli/reg/2018/1046/oj</w:t>
        </w:r>
      </w:hyperlink>
      <w:r w:rsidRPr="00E52EB4">
        <w:rPr>
          <w:sz w:val="24"/>
          <w:lang w:val="ro-RO"/>
        </w:rPr>
        <w:t>.</w:t>
      </w:r>
    </w:p>
  </w:footnote>
  <w:footnote w:id="10">
    <w:p w14:paraId="699D4A0A" w14:textId="77777777" w:rsidR="00344BA4" w:rsidRPr="00D7156B" w:rsidRDefault="00344BA4" w:rsidP="00344BA4">
      <w:pPr>
        <w:pStyle w:val="FootnoteText"/>
        <w:ind w:left="567" w:hanging="567"/>
        <w:rPr>
          <w:sz w:val="24"/>
          <w:szCs w:val="24"/>
          <w:lang w:val="ro-RO"/>
        </w:rPr>
      </w:pPr>
      <w:r w:rsidRPr="00D7156B">
        <w:rPr>
          <w:rStyle w:val="FootnoteReference"/>
          <w:sz w:val="24"/>
        </w:rPr>
        <w:footnoteRef/>
      </w:r>
      <w:r w:rsidRPr="00E52EB4">
        <w:rPr>
          <w:sz w:val="24"/>
          <w:lang w:val="ro-RO"/>
        </w:rPr>
        <w:tab/>
      </w:r>
      <w:r w:rsidRPr="00E52EB4">
        <w:rPr>
          <w:sz w:val="24"/>
          <w:lang w:val="ro-RO"/>
        </w:rPr>
        <w:t xml:space="preserve">JO L, 2024/2509, 26.9.2024, ELI: </w:t>
      </w:r>
      <w:hyperlink r:id="rId10"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11">
    <w:p w14:paraId="522E4D4E" w14:textId="77777777" w:rsidR="00344BA4" w:rsidRPr="00D7156B" w:rsidRDefault="00344BA4" w:rsidP="00344BA4">
      <w:pPr>
        <w:pStyle w:val="FootnoteText"/>
        <w:ind w:left="567" w:hanging="567"/>
        <w:rPr>
          <w:sz w:val="24"/>
          <w:szCs w:val="24"/>
          <w:lang w:val="ro-RO"/>
        </w:rPr>
      </w:pPr>
      <w:r w:rsidRPr="00D7156B">
        <w:rPr>
          <w:rStyle w:val="FootnoteReference"/>
          <w:sz w:val="24"/>
        </w:rPr>
        <w:footnoteRef/>
      </w:r>
      <w:r w:rsidRPr="00E52EB4">
        <w:rPr>
          <w:sz w:val="24"/>
          <w:lang w:val="ro-RO"/>
        </w:rPr>
        <w:tab/>
      </w:r>
      <w:r w:rsidRPr="00E52EB4">
        <w:rPr>
          <w:sz w:val="24"/>
          <w:lang w:val="ro-RO"/>
        </w:rPr>
        <w:t xml:space="preserve">JO L 427, 30.11.2021, p. 17, ELI: </w:t>
      </w:r>
      <w:hyperlink r:id="rId11" w:history="1">
        <w:r w:rsidRPr="00E52EB4">
          <w:rPr>
            <w:rStyle w:val="Hyperlink1"/>
            <w:sz w:val="24"/>
            <w:lang w:val="ro-RO"/>
          </w:rPr>
          <w:t>http://data.europa.eu/eli/reg/2021/2085/oj</w:t>
        </w:r>
      </w:hyperlink>
      <w:r w:rsidRPr="00E52EB4">
        <w:rPr>
          <w:sz w:val="24"/>
          <w:lang w:val="ro-RO"/>
        </w:rPr>
        <w:t>.</w:t>
      </w:r>
    </w:p>
  </w:footnote>
  <w:footnote w:id="12">
    <w:p w14:paraId="555883D9" w14:textId="77777777" w:rsidR="00344BA4" w:rsidRPr="00D7156B" w:rsidRDefault="00344BA4" w:rsidP="00344BA4">
      <w:pPr>
        <w:pStyle w:val="FootnoteText"/>
        <w:ind w:left="567" w:hanging="567"/>
        <w:rPr>
          <w:sz w:val="24"/>
          <w:szCs w:val="24"/>
          <w:lang w:val="ro-RO"/>
        </w:rPr>
      </w:pPr>
      <w:r w:rsidRPr="00D7156B">
        <w:rPr>
          <w:rStyle w:val="FootnoteReference"/>
          <w:sz w:val="24"/>
        </w:rPr>
        <w:footnoteRef/>
      </w:r>
      <w:r w:rsidRPr="00E52EB4">
        <w:rPr>
          <w:sz w:val="24"/>
          <w:lang w:val="ro-RO"/>
        </w:rPr>
        <w:tab/>
      </w:r>
      <w:r w:rsidRPr="00E52EB4">
        <w:rPr>
          <w:sz w:val="24"/>
          <w:lang w:val="ro-RO"/>
        </w:rPr>
        <w:t xml:space="preserve">JO L 142, 29.5.2019, p. 16, ELI: </w:t>
      </w:r>
      <w:hyperlink r:id="rId12" w:history="1">
        <w:r w:rsidRPr="00E52EB4">
          <w:rPr>
            <w:rStyle w:val="Hyperlink1"/>
            <w:sz w:val="24"/>
            <w:lang w:val="ro-RO"/>
          </w:rPr>
          <w:t>http://data.europa.eu/eli/reg_del/2019/887/oj</w:t>
        </w:r>
      </w:hyperlink>
      <w:r w:rsidRPr="00E52EB4">
        <w:rPr>
          <w:sz w:val="24"/>
          <w:lang w:val="ro-RO"/>
        </w:rPr>
        <w:t>.</w:t>
      </w:r>
    </w:p>
  </w:footnote>
  <w:footnote w:id="13">
    <w:p w14:paraId="3FC705DB" w14:textId="77777777" w:rsidR="00344BA4" w:rsidRPr="000A1469" w:rsidRDefault="00344BA4" w:rsidP="00344BA4">
      <w:pPr>
        <w:pStyle w:val="FootnoteText"/>
        <w:ind w:left="567" w:hanging="567"/>
        <w:rPr>
          <w:sz w:val="24"/>
          <w:szCs w:val="24"/>
          <w:lang w:val="ro-RO"/>
        </w:rPr>
      </w:pPr>
      <w:r w:rsidRPr="000A1469">
        <w:rPr>
          <w:rStyle w:val="FootnoteReference"/>
          <w:sz w:val="24"/>
        </w:rPr>
        <w:footnoteRef/>
      </w:r>
      <w:r w:rsidRPr="00E52EB4">
        <w:rPr>
          <w:sz w:val="24"/>
          <w:lang w:val="ro-RO"/>
        </w:rPr>
        <w:tab/>
      </w:r>
      <w:r w:rsidRPr="00E52EB4">
        <w:rPr>
          <w:sz w:val="24"/>
          <w:lang w:val="ro-RO"/>
        </w:rPr>
        <w:t xml:space="preserve">JO C, C/2024/6841, 13.11.2024, ELI: </w:t>
      </w:r>
      <w:hyperlink r:id="rId13" w:history="1">
        <w:r w:rsidRPr="00E52EB4">
          <w:rPr>
            <w:rStyle w:val="Hyperlink1"/>
            <w:sz w:val="24"/>
            <w:lang w:val="ro-RO"/>
          </w:rPr>
          <w:t>http://data.europa.eu/eli/C/2024/6841/oj</w:t>
        </w:r>
      </w:hyperlink>
      <w:r w:rsidRPr="00E52EB4">
        <w:rPr>
          <w:sz w:val="24"/>
          <w:lang w:val="ro-RO"/>
        </w:rPr>
        <w:t>.</w:t>
      </w:r>
    </w:p>
  </w:footnote>
  <w:footnote w:id="14">
    <w:p w14:paraId="51387D39" w14:textId="77777777" w:rsidR="00344BA4" w:rsidRPr="000A1469" w:rsidRDefault="00344BA4" w:rsidP="00344BA4">
      <w:pPr>
        <w:pStyle w:val="FootnoteText"/>
        <w:ind w:left="567" w:hanging="567"/>
        <w:rPr>
          <w:sz w:val="24"/>
          <w:szCs w:val="24"/>
          <w:lang w:val="ro-RO"/>
        </w:rPr>
      </w:pPr>
      <w:r w:rsidRPr="000A1469">
        <w:rPr>
          <w:rStyle w:val="FootnoteReference"/>
          <w:sz w:val="24"/>
        </w:rPr>
        <w:footnoteRef/>
      </w:r>
      <w:r w:rsidRPr="00E52EB4">
        <w:rPr>
          <w:sz w:val="24"/>
          <w:lang w:val="ro-RO"/>
        </w:rPr>
        <w:tab/>
      </w:r>
      <w:r w:rsidRPr="00E52EB4">
        <w:rPr>
          <w:sz w:val="24"/>
          <w:lang w:val="ro-RO"/>
        </w:rPr>
        <w:t xml:space="preserve">JO C, C/2024/6041, 10.10.2024, ELI: </w:t>
      </w:r>
      <w:hyperlink r:id="rId14" w:history="1">
        <w:r w:rsidRPr="00E52EB4">
          <w:rPr>
            <w:rStyle w:val="Hyperlink1"/>
            <w:sz w:val="24"/>
            <w:lang w:val="ro-RO"/>
          </w:rPr>
          <w:t>http://data.europa.eu/eli/C/2024/6041/oj</w:t>
        </w:r>
      </w:hyperlink>
      <w:r w:rsidRPr="00E52EB4">
        <w:rPr>
          <w:sz w:val="24"/>
          <w:lang w:val="ro-RO"/>
        </w:rPr>
        <w:t>.</w:t>
      </w:r>
    </w:p>
  </w:footnote>
  <w:footnote w:id="15">
    <w:p w14:paraId="7F28C54D" w14:textId="77777777" w:rsidR="00344BA4" w:rsidRPr="000A1469" w:rsidRDefault="00344BA4" w:rsidP="00344BA4">
      <w:pPr>
        <w:pStyle w:val="FootnoteText"/>
        <w:ind w:left="567" w:hanging="567"/>
        <w:rPr>
          <w:sz w:val="24"/>
          <w:szCs w:val="24"/>
          <w:lang w:val="ro-RO"/>
        </w:rPr>
      </w:pPr>
      <w:r w:rsidRPr="000A1469">
        <w:rPr>
          <w:rStyle w:val="FootnoteReference"/>
          <w:sz w:val="24"/>
        </w:rPr>
        <w:footnoteRef/>
      </w:r>
      <w:r w:rsidRPr="00E52EB4">
        <w:rPr>
          <w:sz w:val="24"/>
          <w:lang w:val="ro-RO"/>
        </w:rPr>
        <w:tab/>
      </w:r>
      <w:r w:rsidRPr="00E52EB4">
        <w:rPr>
          <w:sz w:val="24"/>
          <w:lang w:val="ro-RO"/>
        </w:rPr>
        <w:t xml:space="preserve">JO L 193, 30.7.2018, p. 1, ELI: </w:t>
      </w:r>
      <w:hyperlink r:id="rId15" w:history="1">
        <w:r w:rsidRPr="00E52EB4">
          <w:rPr>
            <w:rStyle w:val="Hyperlink1"/>
            <w:sz w:val="24"/>
            <w:lang w:val="ro-RO"/>
          </w:rPr>
          <w:t>http://data.europa.eu/eli/reg/2018/1046/oj</w:t>
        </w:r>
      </w:hyperlink>
      <w:r w:rsidRPr="00E52EB4">
        <w:rPr>
          <w:sz w:val="24"/>
          <w:lang w:val="ro-RO"/>
        </w:rPr>
        <w:t>.</w:t>
      </w:r>
    </w:p>
  </w:footnote>
  <w:footnote w:id="16">
    <w:p w14:paraId="5A2613C1" w14:textId="77777777" w:rsidR="00344BA4" w:rsidRPr="000A1469" w:rsidRDefault="00344BA4" w:rsidP="00344BA4">
      <w:pPr>
        <w:pStyle w:val="FootnoteText"/>
        <w:ind w:left="567" w:hanging="567"/>
        <w:rPr>
          <w:sz w:val="24"/>
          <w:szCs w:val="24"/>
          <w:lang w:val="ro-RO"/>
        </w:rPr>
      </w:pPr>
      <w:r w:rsidRPr="000A1469">
        <w:rPr>
          <w:rStyle w:val="FootnoteReference"/>
          <w:sz w:val="24"/>
        </w:rPr>
        <w:footnoteRef/>
      </w:r>
      <w:r w:rsidRPr="00E52EB4">
        <w:rPr>
          <w:sz w:val="24"/>
          <w:lang w:val="ro-RO"/>
        </w:rPr>
        <w:tab/>
      </w:r>
      <w:r w:rsidRPr="00E52EB4">
        <w:rPr>
          <w:sz w:val="24"/>
          <w:lang w:val="ro-RO"/>
        </w:rPr>
        <w:t xml:space="preserve">JO L, 2024/2509, 26.9.2024, ELI: </w:t>
      </w:r>
      <w:hyperlink r:id="rId16"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17">
    <w:p w14:paraId="01D0CBD4" w14:textId="77777777" w:rsidR="00344BA4" w:rsidRPr="000A1469" w:rsidRDefault="00344BA4" w:rsidP="00344BA4">
      <w:pPr>
        <w:pStyle w:val="FootnoteText"/>
        <w:ind w:left="567" w:hanging="567"/>
        <w:rPr>
          <w:sz w:val="24"/>
          <w:szCs w:val="24"/>
          <w:lang w:val="ro-RO"/>
        </w:rPr>
      </w:pPr>
      <w:r w:rsidRPr="000A1469">
        <w:rPr>
          <w:rStyle w:val="FootnoteReference"/>
          <w:sz w:val="24"/>
        </w:rPr>
        <w:footnoteRef/>
      </w:r>
      <w:r w:rsidRPr="00E52EB4">
        <w:rPr>
          <w:sz w:val="24"/>
          <w:lang w:val="ro-RO"/>
        </w:rPr>
        <w:tab/>
      </w:r>
      <w:r w:rsidRPr="00E52EB4">
        <w:rPr>
          <w:sz w:val="24"/>
          <w:lang w:val="ro-RO"/>
        </w:rPr>
        <w:t xml:space="preserve">JO L 427, 30.11.2021, p. 17, ELI: </w:t>
      </w:r>
      <w:hyperlink r:id="rId17" w:history="1">
        <w:r w:rsidRPr="00E52EB4">
          <w:rPr>
            <w:rStyle w:val="Hyperlink1"/>
            <w:sz w:val="24"/>
            <w:lang w:val="ro-RO"/>
          </w:rPr>
          <w:t>http://data.europa.eu/eli/reg/2021/2085/oj</w:t>
        </w:r>
      </w:hyperlink>
      <w:r w:rsidRPr="00E52EB4">
        <w:rPr>
          <w:sz w:val="24"/>
          <w:lang w:val="ro-RO"/>
        </w:rPr>
        <w:t>.</w:t>
      </w:r>
    </w:p>
  </w:footnote>
  <w:footnote w:id="18">
    <w:p w14:paraId="42282908" w14:textId="77777777" w:rsidR="00344BA4" w:rsidRPr="000A1469" w:rsidRDefault="00344BA4" w:rsidP="00344BA4">
      <w:pPr>
        <w:pStyle w:val="FootnoteText"/>
        <w:ind w:left="567" w:hanging="567"/>
        <w:rPr>
          <w:sz w:val="24"/>
          <w:szCs w:val="24"/>
          <w:lang w:val="ro-RO"/>
        </w:rPr>
      </w:pPr>
      <w:r w:rsidRPr="000A1469">
        <w:rPr>
          <w:rStyle w:val="FootnoteReference"/>
          <w:sz w:val="24"/>
        </w:rPr>
        <w:footnoteRef/>
      </w:r>
      <w:r w:rsidRPr="00E52EB4">
        <w:rPr>
          <w:sz w:val="24"/>
          <w:lang w:val="ro-RO"/>
        </w:rPr>
        <w:tab/>
      </w:r>
      <w:r w:rsidRPr="00E52EB4">
        <w:rPr>
          <w:sz w:val="24"/>
          <w:lang w:val="ro-RO"/>
        </w:rPr>
        <w:t xml:space="preserve">JO L 142, 29.5.2019, p. 16, ELI: </w:t>
      </w:r>
      <w:hyperlink r:id="rId18" w:history="1">
        <w:r w:rsidRPr="00E52EB4">
          <w:rPr>
            <w:rStyle w:val="Hyperlink1"/>
            <w:sz w:val="24"/>
            <w:lang w:val="ro-RO"/>
          </w:rPr>
          <w:t>http://data.europa.eu/eli/reg_del/2019/887/oj</w:t>
        </w:r>
      </w:hyperlink>
      <w:r w:rsidRPr="00E52EB4">
        <w:rPr>
          <w:sz w:val="24"/>
          <w:lang w:val="ro-RO"/>
        </w:rPr>
        <w:t>.</w:t>
      </w:r>
    </w:p>
  </w:footnote>
  <w:footnote w:id="19">
    <w:p w14:paraId="19BAE769" w14:textId="77777777" w:rsidR="00344BA4" w:rsidRPr="00FE3A9C" w:rsidRDefault="00344BA4" w:rsidP="00344BA4">
      <w:pPr>
        <w:pStyle w:val="FootnoteText"/>
        <w:ind w:left="567" w:hanging="567"/>
        <w:rPr>
          <w:sz w:val="24"/>
          <w:szCs w:val="24"/>
          <w:lang w:val="ro-RO"/>
        </w:rPr>
      </w:pPr>
      <w:r w:rsidRPr="00FE3A9C">
        <w:rPr>
          <w:rStyle w:val="FootnoteReference"/>
          <w:sz w:val="24"/>
        </w:rPr>
        <w:footnoteRef/>
      </w:r>
      <w:r w:rsidRPr="00E52EB4">
        <w:rPr>
          <w:sz w:val="24"/>
          <w:lang w:val="ro-RO"/>
        </w:rPr>
        <w:tab/>
      </w:r>
      <w:r w:rsidRPr="00E52EB4">
        <w:rPr>
          <w:sz w:val="24"/>
          <w:lang w:val="ro-RO"/>
        </w:rPr>
        <w:t xml:space="preserve">JO C, C/2024/6841, 13.11.2024, ELI: </w:t>
      </w:r>
      <w:hyperlink r:id="rId19" w:history="1">
        <w:r w:rsidRPr="00E52EB4">
          <w:rPr>
            <w:rStyle w:val="Hyperlink1"/>
            <w:sz w:val="24"/>
            <w:lang w:val="ro-RO"/>
          </w:rPr>
          <w:t>http://data.europa.eu/eli/C/2024/6841/oj</w:t>
        </w:r>
      </w:hyperlink>
      <w:r w:rsidRPr="00E52EB4">
        <w:rPr>
          <w:sz w:val="24"/>
          <w:lang w:val="ro-RO"/>
        </w:rPr>
        <w:t>.</w:t>
      </w:r>
    </w:p>
  </w:footnote>
  <w:footnote w:id="20">
    <w:p w14:paraId="324C66E9" w14:textId="77777777" w:rsidR="00344BA4" w:rsidRPr="00FE3A9C" w:rsidRDefault="00344BA4" w:rsidP="00344BA4">
      <w:pPr>
        <w:pStyle w:val="FootnoteText"/>
        <w:ind w:left="567" w:hanging="567"/>
        <w:rPr>
          <w:sz w:val="24"/>
          <w:szCs w:val="24"/>
          <w:lang w:val="ro-RO"/>
        </w:rPr>
      </w:pPr>
      <w:r w:rsidRPr="00FE3A9C">
        <w:rPr>
          <w:rStyle w:val="FootnoteReference"/>
          <w:sz w:val="24"/>
        </w:rPr>
        <w:footnoteRef/>
      </w:r>
      <w:r w:rsidRPr="00E52EB4">
        <w:rPr>
          <w:sz w:val="24"/>
          <w:lang w:val="ro-RO"/>
        </w:rPr>
        <w:tab/>
      </w:r>
      <w:r w:rsidRPr="00E52EB4">
        <w:rPr>
          <w:sz w:val="24"/>
          <w:lang w:val="ro-RO"/>
        </w:rPr>
        <w:t xml:space="preserve">JO C, C/2024/6041, 10.10.2024, ELI: </w:t>
      </w:r>
      <w:hyperlink r:id="rId20" w:history="1">
        <w:r w:rsidRPr="00E52EB4">
          <w:rPr>
            <w:rStyle w:val="Hyperlink1"/>
            <w:sz w:val="24"/>
            <w:lang w:val="ro-RO"/>
          </w:rPr>
          <w:t>http://data.europa.eu/eli/C/2024/6041/oj</w:t>
        </w:r>
      </w:hyperlink>
      <w:r w:rsidRPr="00E52EB4">
        <w:rPr>
          <w:sz w:val="24"/>
          <w:lang w:val="ro-RO"/>
        </w:rPr>
        <w:t>.</w:t>
      </w:r>
    </w:p>
  </w:footnote>
  <w:footnote w:id="21">
    <w:p w14:paraId="3814C23A" w14:textId="77777777" w:rsidR="00344BA4" w:rsidRPr="00FE3A9C" w:rsidRDefault="00344BA4" w:rsidP="00344BA4">
      <w:pPr>
        <w:pStyle w:val="FootnoteText"/>
        <w:ind w:left="567" w:hanging="567"/>
        <w:rPr>
          <w:sz w:val="24"/>
          <w:szCs w:val="24"/>
          <w:lang w:val="ro-RO"/>
        </w:rPr>
      </w:pPr>
      <w:r w:rsidRPr="00FE3A9C">
        <w:rPr>
          <w:rStyle w:val="FootnoteReference"/>
          <w:sz w:val="24"/>
        </w:rPr>
        <w:footnoteRef/>
      </w:r>
      <w:r w:rsidRPr="00E52EB4">
        <w:rPr>
          <w:sz w:val="24"/>
          <w:lang w:val="ro-RO"/>
        </w:rPr>
        <w:tab/>
      </w:r>
      <w:r w:rsidRPr="00E52EB4">
        <w:rPr>
          <w:sz w:val="24"/>
          <w:lang w:val="ro-RO"/>
        </w:rPr>
        <w:t xml:space="preserve">JO L 193, 30.7.2018, p. 1, ELI: </w:t>
      </w:r>
      <w:hyperlink r:id="rId21" w:history="1">
        <w:r w:rsidRPr="00E52EB4">
          <w:rPr>
            <w:rStyle w:val="Hyperlink1"/>
            <w:sz w:val="24"/>
            <w:lang w:val="ro-RO"/>
          </w:rPr>
          <w:t>http://data.europa.eu/eli/reg/2018/1046/oj</w:t>
        </w:r>
      </w:hyperlink>
      <w:r w:rsidRPr="00E52EB4">
        <w:rPr>
          <w:sz w:val="24"/>
          <w:lang w:val="ro-RO"/>
        </w:rPr>
        <w:t>.</w:t>
      </w:r>
    </w:p>
  </w:footnote>
  <w:footnote w:id="22">
    <w:p w14:paraId="0F6BECC9" w14:textId="77777777" w:rsidR="00344BA4" w:rsidRPr="00FE3A9C" w:rsidRDefault="00344BA4" w:rsidP="00344BA4">
      <w:pPr>
        <w:pStyle w:val="FootnoteText"/>
        <w:ind w:left="567" w:hanging="567"/>
        <w:rPr>
          <w:sz w:val="24"/>
          <w:szCs w:val="24"/>
          <w:lang w:val="ro-RO"/>
        </w:rPr>
      </w:pPr>
      <w:r w:rsidRPr="00FE3A9C">
        <w:rPr>
          <w:rStyle w:val="FootnoteReference"/>
          <w:sz w:val="24"/>
        </w:rPr>
        <w:footnoteRef/>
      </w:r>
      <w:r w:rsidRPr="00E52EB4">
        <w:rPr>
          <w:sz w:val="24"/>
          <w:lang w:val="ro-RO"/>
        </w:rPr>
        <w:tab/>
      </w:r>
      <w:r w:rsidRPr="00E52EB4">
        <w:rPr>
          <w:sz w:val="24"/>
          <w:lang w:val="ro-RO"/>
        </w:rPr>
        <w:t xml:space="preserve">JO L, 2024/2509, 26.9.2024, ELI: </w:t>
      </w:r>
      <w:hyperlink r:id="rId22"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23">
    <w:p w14:paraId="3A6799F6" w14:textId="77777777" w:rsidR="00344BA4" w:rsidRPr="00FE3A9C" w:rsidRDefault="00344BA4" w:rsidP="00344BA4">
      <w:pPr>
        <w:pStyle w:val="FootnoteText"/>
        <w:ind w:left="567" w:hanging="567"/>
        <w:rPr>
          <w:sz w:val="24"/>
          <w:szCs w:val="24"/>
          <w:lang w:val="ro-RO"/>
        </w:rPr>
      </w:pPr>
      <w:r w:rsidRPr="00FE3A9C">
        <w:rPr>
          <w:rStyle w:val="FootnoteReference"/>
          <w:sz w:val="24"/>
        </w:rPr>
        <w:footnoteRef/>
      </w:r>
      <w:r w:rsidRPr="00E52EB4">
        <w:rPr>
          <w:sz w:val="24"/>
          <w:lang w:val="ro-RO"/>
        </w:rPr>
        <w:tab/>
      </w:r>
      <w:r w:rsidRPr="00E52EB4">
        <w:rPr>
          <w:sz w:val="24"/>
          <w:lang w:val="ro-RO"/>
        </w:rPr>
        <w:t xml:space="preserve">JO L 427, 30.11.2021, p. 17, ELI: </w:t>
      </w:r>
      <w:hyperlink r:id="rId23" w:history="1">
        <w:r w:rsidRPr="00E52EB4">
          <w:rPr>
            <w:rStyle w:val="Hyperlink1"/>
            <w:sz w:val="24"/>
            <w:lang w:val="ro-RO"/>
          </w:rPr>
          <w:t>http://data.europa.eu/eli/reg/2021/2085/oj</w:t>
        </w:r>
      </w:hyperlink>
      <w:r w:rsidRPr="00E52EB4">
        <w:rPr>
          <w:sz w:val="24"/>
          <w:lang w:val="ro-RO"/>
        </w:rPr>
        <w:t>.</w:t>
      </w:r>
    </w:p>
  </w:footnote>
  <w:footnote w:id="24">
    <w:p w14:paraId="338A3C06" w14:textId="77777777" w:rsidR="00344BA4" w:rsidRPr="00FE3A9C" w:rsidRDefault="00344BA4" w:rsidP="00344BA4">
      <w:pPr>
        <w:pStyle w:val="FootnoteText"/>
        <w:ind w:left="567" w:hanging="567"/>
        <w:rPr>
          <w:sz w:val="24"/>
          <w:szCs w:val="24"/>
          <w:lang w:val="ro-RO"/>
        </w:rPr>
      </w:pPr>
      <w:r w:rsidRPr="00FE3A9C">
        <w:rPr>
          <w:rStyle w:val="FootnoteReference"/>
          <w:sz w:val="24"/>
        </w:rPr>
        <w:footnoteRef/>
      </w:r>
      <w:r w:rsidRPr="00E52EB4">
        <w:rPr>
          <w:sz w:val="24"/>
          <w:lang w:val="ro-RO"/>
        </w:rPr>
        <w:tab/>
      </w:r>
      <w:r w:rsidRPr="00E52EB4">
        <w:rPr>
          <w:sz w:val="24"/>
          <w:lang w:val="ro-RO"/>
        </w:rPr>
        <w:t xml:space="preserve">JO L 142, 29.5.2019, p. 16, ELI: </w:t>
      </w:r>
      <w:hyperlink r:id="rId24" w:history="1">
        <w:r w:rsidRPr="00E52EB4">
          <w:rPr>
            <w:rStyle w:val="Hyperlink1"/>
            <w:sz w:val="24"/>
            <w:lang w:val="ro-RO"/>
          </w:rPr>
          <w:t>http://data.europa.eu/eli/reg_del/2019/887/oj</w:t>
        </w:r>
      </w:hyperlink>
      <w:r w:rsidRPr="00E52EB4">
        <w:rPr>
          <w:sz w:val="24"/>
          <w:lang w:val="ro-RO"/>
        </w:rPr>
        <w:t>.</w:t>
      </w:r>
    </w:p>
  </w:footnote>
  <w:footnote w:id="25">
    <w:p w14:paraId="592D7ADC" w14:textId="77777777" w:rsidR="00344BA4" w:rsidRPr="00A35850" w:rsidRDefault="00344BA4" w:rsidP="00344BA4">
      <w:pPr>
        <w:pStyle w:val="FootnoteText"/>
        <w:ind w:left="567" w:hanging="567"/>
        <w:rPr>
          <w:sz w:val="24"/>
          <w:szCs w:val="24"/>
          <w:lang w:val="ro-RO"/>
        </w:rPr>
      </w:pPr>
      <w:r w:rsidRPr="00A35850">
        <w:rPr>
          <w:rStyle w:val="FootnoteReference"/>
          <w:sz w:val="24"/>
        </w:rPr>
        <w:footnoteRef/>
      </w:r>
      <w:r w:rsidRPr="00E52EB4">
        <w:rPr>
          <w:sz w:val="24"/>
          <w:lang w:val="ro-RO"/>
        </w:rPr>
        <w:tab/>
      </w:r>
      <w:r w:rsidRPr="00E52EB4">
        <w:rPr>
          <w:sz w:val="24"/>
          <w:lang w:val="ro-RO"/>
        </w:rPr>
        <w:t xml:space="preserve">JO C, C/2024/6841, 13.11.2024, ELI: </w:t>
      </w:r>
      <w:hyperlink r:id="rId25" w:history="1">
        <w:r w:rsidRPr="00E52EB4">
          <w:rPr>
            <w:rStyle w:val="Hyperlink1"/>
            <w:sz w:val="24"/>
            <w:lang w:val="ro-RO"/>
          </w:rPr>
          <w:t>http://data.europa.eu/eli/C/2024/6841/oj</w:t>
        </w:r>
      </w:hyperlink>
      <w:r w:rsidRPr="00E52EB4">
        <w:rPr>
          <w:sz w:val="24"/>
          <w:lang w:val="ro-RO"/>
        </w:rPr>
        <w:t>.</w:t>
      </w:r>
    </w:p>
  </w:footnote>
  <w:footnote w:id="26">
    <w:p w14:paraId="40CF2B1B" w14:textId="77777777" w:rsidR="00344BA4" w:rsidRPr="00A35850" w:rsidRDefault="00344BA4" w:rsidP="00344BA4">
      <w:pPr>
        <w:pStyle w:val="FootnoteText"/>
        <w:ind w:left="567" w:hanging="567"/>
        <w:rPr>
          <w:sz w:val="24"/>
          <w:szCs w:val="24"/>
          <w:lang w:val="ro-RO"/>
        </w:rPr>
      </w:pPr>
      <w:r w:rsidRPr="00A35850">
        <w:rPr>
          <w:rStyle w:val="FootnoteReference"/>
          <w:sz w:val="24"/>
        </w:rPr>
        <w:footnoteRef/>
      </w:r>
      <w:r w:rsidRPr="00E52EB4">
        <w:rPr>
          <w:sz w:val="24"/>
          <w:lang w:val="ro-RO"/>
        </w:rPr>
        <w:tab/>
      </w:r>
      <w:r w:rsidRPr="00E52EB4">
        <w:rPr>
          <w:sz w:val="24"/>
          <w:lang w:val="ro-RO"/>
        </w:rPr>
        <w:t xml:space="preserve">JO C, C/2024/6041, 10.10.2024, ELI: </w:t>
      </w:r>
      <w:hyperlink r:id="rId26" w:history="1">
        <w:r w:rsidRPr="00E52EB4">
          <w:rPr>
            <w:rStyle w:val="Hyperlink1"/>
            <w:sz w:val="24"/>
            <w:lang w:val="ro-RO"/>
          </w:rPr>
          <w:t>http://data.europa.eu/eli/C/2024/6041/oj</w:t>
        </w:r>
      </w:hyperlink>
      <w:r w:rsidRPr="00E52EB4">
        <w:rPr>
          <w:sz w:val="24"/>
          <w:lang w:val="ro-RO"/>
        </w:rPr>
        <w:t xml:space="preserve">. </w:t>
      </w:r>
    </w:p>
  </w:footnote>
  <w:footnote w:id="27">
    <w:p w14:paraId="66B574D6" w14:textId="77777777" w:rsidR="00344BA4" w:rsidRPr="00A35850" w:rsidRDefault="00344BA4" w:rsidP="00344BA4">
      <w:pPr>
        <w:pStyle w:val="FootnoteText"/>
        <w:ind w:left="567" w:hanging="567"/>
        <w:rPr>
          <w:sz w:val="24"/>
          <w:szCs w:val="24"/>
          <w:lang w:val="ro-RO"/>
        </w:rPr>
      </w:pPr>
      <w:r w:rsidRPr="00A35850">
        <w:rPr>
          <w:rStyle w:val="FootnoteReference"/>
          <w:sz w:val="24"/>
        </w:rPr>
        <w:footnoteRef/>
      </w:r>
      <w:r w:rsidRPr="00E52EB4">
        <w:rPr>
          <w:sz w:val="24"/>
          <w:lang w:val="ro-RO"/>
        </w:rPr>
        <w:tab/>
      </w:r>
      <w:r w:rsidRPr="00E52EB4">
        <w:rPr>
          <w:sz w:val="24"/>
          <w:lang w:val="ro-RO"/>
        </w:rPr>
        <w:t xml:space="preserve">JO L 193, 30.7.2018, p. 1, ELI: </w:t>
      </w:r>
      <w:hyperlink r:id="rId27" w:history="1">
        <w:r w:rsidRPr="00E52EB4">
          <w:rPr>
            <w:rStyle w:val="Hyperlink1"/>
            <w:sz w:val="24"/>
            <w:lang w:val="ro-RO"/>
          </w:rPr>
          <w:t>http://data.europa.eu/eli/reg/2018/1046/oj</w:t>
        </w:r>
      </w:hyperlink>
      <w:r w:rsidRPr="00E52EB4">
        <w:rPr>
          <w:sz w:val="24"/>
          <w:lang w:val="ro-RO"/>
        </w:rPr>
        <w:t>.</w:t>
      </w:r>
    </w:p>
  </w:footnote>
  <w:footnote w:id="28">
    <w:p w14:paraId="5A502143" w14:textId="77777777" w:rsidR="00344BA4" w:rsidRPr="00A35850" w:rsidRDefault="00344BA4" w:rsidP="00344BA4">
      <w:pPr>
        <w:pStyle w:val="FootnoteText"/>
        <w:ind w:left="567" w:hanging="567"/>
        <w:rPr>
          <w:sz w:val="24"/>
          <w:szCs w:val="24"/>
          <w:lang w:val="ro-RO"/>
        </w:rPr>
      </w:pPr>
      <w:r w:rsidRPr="00A35850">
        <w:rPr>
          <w:rStyle w:val="FootnoteReference"/>
          <w:sz w:val="24"/>
        </w:rPr>
        <w:footnoteRef/>
      </w:r>
      <w:r w:rsidRPr="00E52EB4">
        <w:rPr>
          <w:sz w:val="24"/>
          <w:lang w:val="ro-RO"/>
        </w:rPr>
        <w:tab/>
      </w:r>
      <w:r w:rsidRPr="00E52EB4">
        <w:rPr>
          <w:sz w:val="24"/>
          <w:lang w:val="ro-RO"/>
        </w:rPr>
        <w:t xml:space="preserve">JO L, 2024/2509, 26.9.2024, ELI: </w:t>
      </w:r>
      <w:hyperlink r:id="rId28"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29">
    <w:p w14:paraId="4F18FA47" w14:textId="77777777" w:rsidR="00344BA4" w:rsidRPr="00A35850" w:rsidRDefault="00344BA4" w:rsidP="00344BA4">
      <w:pPr>
        <w:pStyle w:val="FootnoteText"/>
        <w:ind w:left="567" w:hanging="567"/>
        <w:rPr>
          <w:sz w:val="24"/>
          <w:szCs w:val="24"/>
          <w:lang w:val="ro-RO"/>
        </w:rPr>
      </w:pPr>
      <w:r w:rsidRPr="00A35850">
        <w:rPr>
          <w:rStyle w:val="FootnoteReference"/>
          <w:sz w:val="24"/>
        </w:rPr>
        <w:footnoteRef/>
      </w:r>
      <w:r w:rsidRPr="00E52EB4">
        <w:rPr>
          <w:sz w:val="24"/>
          <w:lang w:val="ro-RO"/>
        </w:rPr>
        <w:tab/>
      </w:r>
      <w:r w:rsidRPr="00E52EB4">
        <w:rPr>
          <w:sz w:val="24"/>
          <w:lang w:val="ro-RO"/>
        </w:rPr>
        <w:t xml:space="preserve">JO L 427, 30.11.2021, p. 17, ELI: </w:t>
      </w:r>
      <w:hyperlink r:id="rId29" w:history="1">
        <w:r w:rsidRPr="00E52EB4">
          <w:rPr>
            <w:rStyle w:val="Hyperlink1"/>
            <w:sz w:val="24"/>
            <w:lang w:val="ro-RO"/>
          </w:rPr>
          <w:t>http://data.europa.eu/eli/reg/2021/2085/oj</w:t>
        </w:r>
      </w:hyperlink>
      <w:r w:rsidRPr="00E52EB4">
        <w:rPr>
          <w:sz w:val="24"/>
          <w:lang w:val="ro-RO"/>
        </w:rPr>
        <w:t>.</w:t>
      </w:r>
    </w:p>
  </w:footnote>
  <w:footnote w:id="30">
    <w:p w14:paraId="0C466810" w14:textId="77777777" w:rsidR="00344BA4" w:rsidRPr="00A35850" w:rsidRDefault="00344BA4" w:rsidP="00344BA4">
      <w:pPr>
        <w:pStyle w:val="FootnoteText"/>
        <w:ind w:left="567" w:hanging="567"/>
        <w:rPr>
          <w:sz w:val="24"/>
          <w:szCs w:val="24"/>
          <w:lang w:val="ro-RO"/>
        </w:rPr>
      </w:pPr>
      <w:r w:rsidRPr="00A35850">
        <w:rPr>
          <w:rStyle w:val="FootnoteReference"/>
          <w:sz w:val="24"/>
        </w:rPr>
        <w:footnoteRef/>
      </w:r>
      <w:r w:rsidRPr="00E52EB4">
        <w:rPr>
          <w:sz w:val="24"/>
          <w:lang w:val="ro-RO"/>
        </w:rPr>
        <w:tab/>
      </w:r>
      <w:r w:rsidRPr="00E52EB4">
        <w:rPr>
          <w:sz w:val="24"/>
          <w:lang w:val="ro-RO"/>
        </w:rPr>
        <w:t xml:space="preserve">JO L 142, 29.5.2019, p. 16, ELI: </w:t>
      </w:r>
      <w:hyperlink r:id="rId30" w:history="1">
        <w:r w:rsidRPr="00E52EB4">
          <w:rPr>
            <w:rStyle w:val="Hyperlink1"/>
            <w:sz w:val="24"/>
            <w:lang w:val="ro-RO"/>
          </w:rPr>
          <w:t>http://data.europa.eu/eli/reg_del/2019/887/oj</w:t>
        </w:r>
      </w:hyperlink>
      <w:r w:rsidRPr="00E52EB4">
        <w:rPr>
          <w:sz w:val="24"/>
          <w:lang w:val="ro-RO"/>
        </w:rPr>
        <w:t>.</w:t>
      </w:r>
    </w:p>
  </w:footnote>
  <w:footnote w:id="31">
    <w:p w14:paraId="0412E15E" w14:textId="77777777" w:rsidR="00344BA4" w:rsidRPr="00D47AAE" w:rsidRDefault="00344BA4" w:rsidP="00344BA4">
      <w:pPr>
        <w:pStyle w:val="FootnoteText"/>
        <w:ind w:left="567" w:hanging="567"/>
        <w:rPr>
          <w:sz w:val="24"/>
          <w:szCs w:val="24"/>
          <w:lang w:val="ro-RO"/>
        </w:rPr>
      </w:pPr>
      <w:r w:rsidRPr="00D47AAE">
        <w:rPr>
          <w:rStyle w:val="FootnoteReference"/>
          <w:sz w:val="24"/>
        </w:rPr>
        <w:footnoteRef/>
      </w:r>
      <w:r w:rsidRPr="00E52EB4">
        <w:rPr>
          <w:sz w:val="24"/>
          <w:lang w:val="ro-RO"/>
        </w:rPr>
        <w:tab/>
      </w:r>
      <w:r w:rsidRPr="00E52EB4">
        <w:rPr>
          <w:sz w:val="24"/>
          <w:lang w:val="ro-RO"/>
        </w:rPr>
        <w:t xml:space="preserve">JO C, C/2024/6841, 13.11.2024, ELI: </w:t>
      </w:r>
      <w:hyperlink r:id="rId31" w:history="1">
        <w:r w:rsidRPr="00E52EB4">
          <w:rPr>
            <w:rStyle w:val="Hyperlink1"/>
            <w:sz w:val="24"/>
            <w:lang w:val="ro-RO"/>
          </w:rPr>
          <w:t>http://data.europa.eu/eli/C/2024/6841/oj</w:t>
        </w:r>
      </w:hyperlink>
      <w:r w:rsidRPr="00E52EB4">
        <w:rPr>
          <w:sz w:val="24"/>
          <w:lang w:val="ro-RO"/>
        </w:rPr>
        <w:t>.</w:t>
      </w:r>
    </w:p>
  </w:footnote>
  <w:footnote w:id="32">
    <w:p w14:paraId="635C856C" w14:textId="77777777" w:rsidR="00344BA4" w:rsidRPr="00D47AAE" w:rsidRDefault="00344BA4" w:rsidP="00344BA4">
      <w:pPr>
        <w:pStyle w:val="FootnoteText"/>
        <w:ind w:left="567" w:hanging="567"/>
        <w:rPr>
          <w:sz w:val="24"/>
          <w:szCs w:val="24"/>
          <w:lang w:val="ro-RO"/>
        </w:rPr>
      </w:pPr>
      <w:r w:rsidRPr="00D47AAE">
        <w:rPr>
          <w:rStyle w:val="FootnoteReference"/>
          <w:sz w:val="24"/>
        </w:rPr>
        <w:footnoteRef/>
      </w:r>
      <w:r w:rsidRPr="00E52EB4">
        <w:rPr>
          <w:sz w:val="24"/>
          <w:lang w:val="ro-RO"/>
        </w:rPr>
        <w:tab/>
      </w:r>
      <w:r w:rsidRPr="00E52EB4">
        <w:rPr>
          <w:sz w:val="24"/>
          <w:lang w:val="ro-RO"/>
        </w:rPr>
        <w:t xml:space="preserve">JO C, C/2024/6041, 10.10.2024, ELI: </w:t>
      </w:r>
      <w:hyperlink r:id="rId32" w:history="1">
        <w:r w:rsidRPr="00E52EB4">
          <w:rPr>
            <w:rStyle w:val="Hyperlink1"/>
            <w:sz w:val="24"/>
            <w:lang w:val="ro-RO"/>
          </w:rPr>
          <w:t>http://data.europa.eu/eli/C/2024/6041/oj</w:t>
        </w:r>
      </w:hyperlink>
      <w:r w:rsidRPr="00E52EB4">
        <w:rPr>
          <w:sz w:val="24"/>
          <w:lang w:val="ro-RO"/>
        </w:rPr>
        <w:t>.</w:t>
      </w:r>
    </w:p>
  </w:footnote>
  <w:footnote w:id="33">
    <w:p w14:paraId="6F777BDD" w14:textId="77777777" w:rsidR="00344BA4" w:rsidRPr="00D47AAE" w:rsidRDefault="00344BA4" w:rsidP="00344BA4">
      <w:pPr>
        <w:pStyle w:val="FootnoteText"/>
        <w:ind w:left="567" w:hanging="567"/>
        <w:rPr>
          <w:sz w:val="24"/>
          <w:szCs w:val="24"/>
          <w:lang w:val="ro-RO"/>
        </w:rPr>
      </w:pPr>
      <w:r w:rsidRPr="00D47AAE">
        <w:rPr>
          <w:rStyle w:val="FootnoteReference"/>
          <w:sz w:val="24"/>
        </w:rPr>
        <w:footnoteRef/>
      </w:r>
      <w:r w:rsidRPr="00E52EB4">
        <w:rPr>
          <w:sz w:val="24"/>
          <w:lang w:val="ro-RO"/>
        </w:rPr>
        <w:tab/>
      </w:r>
      <w:r w:rsidRPr="00E52EB4">
        <w:rPr>
          <w:sz w:val="24"/>
          <w:lang w:val="ro-RO"/>
        </w:rPr>
        <w:t xml:space="preserve">JO L 193, 30.7.2018, p. 1, ELI: </w:t>
      </w:r>
      <w:hyperlink r:id="rId33" w:history="1">
        <w:r w:rsidRPr="00E52EB4">
          <w:rPr>
            <w:rStyle w:val="Hyperlink1"/>
            <w:sz w:val="24"/>
            <w:lang w:val="ro-RO"/>
          </w:rPr>
          <w:t>http://data.europa.eu/eli/reg/2018/1046/oj</w:t>
        </w:r>
      </w:hyperlink>
      <w:r w:rsidRPr="00E52EB4">
        <w:rPr>
          <w:sz w:val="24"/>
          <w:lang w:val="ro-RO"/>
        </w:rPr>
        <w:t>.</w:t>
      </w:r>
    </w:p>
  </w:footnote>
  <w:footnote w:id="34">
    <w:p w14:paraId="55D7C23F" w14:textId="77777777" w:rsidR="00344BA4" w:rsidRPr="00D47AAE" w:rsidRDefault="00344BA4" w:rsidP="00344BA4">
      <w:pPr>
        <w:pStyle w:val="FootnoteText"/>
        <w:ind w:left="567" w:hanging="567"/>
        <w:rPr>
          <w:sz w:val="24"/>
          <w:szCs w:val="24"/>
          <w:lang w:val="ro-RO"/>
        </w:rPr>
      </w:pPr>
      <w:r w:rsidRPr="00D47AAE">
        <w:rPr>
          <w:rStyle w:val="FootnoteReference"/>
          <w:sz w:val="24"/>
        </w:rPr>
        <w:footnoteRef/>
      </w:r>
      <w:r w:rsidRPr="00E52EB4">
        <w:rPr>
          <w:sz w:val="24"/>
          <w:lang w:val="ro-RO"/>
        </w:rPr>
        <w:tab/>
      </w:r>
      <w:r w:rsidRPr="00E52EB4">
        <w:rPr>
          <w:sz w:val="24"/>
          <w:lang w:val="ro-RO"/>
        </w:rPr>
        <w:t xml:space="preserve">JO L, 2024/2509, 26.9.2024, ELI: </w:t>
      </w:r>
      <w:hyperlink r:id="rId34"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35">
    <w:p w14:paraId="5143D98E" w14:textId="77777777" w:rsidR="00344BA4" w:rsidRPr="00D47AAE" w:rsidRDefault="00344BA4" w:rsidP="00344BA4">
      <w:pPr>
        <w:pStyle w:val="FootnoteText"/>
        <w:ind w:left="567" w:hanging="567"/>
        <w:rPr>
          <w:sz w:val="24"/>
          <w:szCs w:val="24"/>
          <w:lang w:val="ro-RO"/>
        </w:rPr>
      </w:pPr>
      <w:r w:rsidRPr="00D47AAE">
        <w:rPr>
          <w:rStyle w:val="FootnoteReference"/>
          <w:sz w:val="24"/>
        </w:rPr>
        <w:footnoteRef/>
      </w:r>
      <w:r w:rsidRPr="00E52EB4">
        <w:rPr>
          <w:sz w:val="24"/>
          <w:lang w:val="ro-RO"/>
        </w:rPr>
        <w:tab/>
      </w:r>
      <w:r w:rsidRPr="00E52EB4">
        <w:rPr>
          <w:sz w:val="24"/>
          <w:lang w:val="ro-RO"/>
        </w:rPr>
        <w:t xml:space="preserve">JO L 427, 30.11.2021, p. 17, ELI: </w:t>
      </w:r>
      <w:hyperlink r:id="rId35" w:history="1">
        <w:r w:rsidRPr="00E52EB4">
          <w:rPr>
            <w:rStyle w:val="Hyperlink1"/>
            <w:sz w:val="24"/>
            <w:lang w:val="ro-RO"/>
          </w:rPr>
          <w:t>http://data.europa.eu/eli/reg/2021/2085/oj</w:t>
        </w:r>
      </w:hyperlink>
      <w:r w:rsidRPr="00E52EB4">
        <w:rPr>
          <w:sz w:val="24"/>
          <w:lang w:val="ro-RO"/>
        </w:rPr>
        <w:t>.</w:t>
      </w:r>
    </w:p>
  </w:footnote>
  <w:footnote w:id="36">
    <w:p w14:paraId="32FE014A" w14:textId="77777777" w:rsidR="00344BA4" w:rsidRPr="00D47AAE" w:rsidRDefault="00344BA4" w:rsidP="00344BA4">
      <w:pPr>
        <w:pStyle w:val="FootnoteText"/>
        <w:ind w:left="567" w:hanging="567"/>
        <w:rPr>
          <w:sz w:val="24"/>
          <w:szCs w:val="24"/>
          <w:lang w:val="ro-RO"/>
        </w:rPr>
      </w:pPr>
      <w:r w:rsidRPr="00D47AAE">
        <w:rPr>
          <w:rStyle w:val="FootnoteReference"/>
          <w:sz w:val="24"/>
        </w:rPr>
        <w:footnoteRef/>
      </w:r>
      <w:r w:rsidRPr="00E52EB4">
        <w:rPr>
          <w:sz w:val="24"/>
          <w:lang w:val="ro-RO"/>
        </w:rPr>
        <w:tab/>
      </w:r>
      <w:r w:rsidRPr="00E52EB4">
        <w:rPr>
          <w:sz w:val="24"/>
          <w:lang w:val="ro-RO"/>
        </w:rPr>
        <w:t xml:space="preserve">JO L 142, 29.5.2019, p. 16, ELI: </w:t>
      </w:r>
      <w:hyperlink r:id="rId36" w:history="1">
        <w:r w:rsidRPr="00E52EB4">
          <w:rPr>
            <w:rStyle w:val="Hyperlink1"/>
            <w:sz w:val="24"/>
            <w:lang w:val="ro-RO"/>
          </w:rPr>
          <w:t>http://data.europa.eu/eli/reg_del/2019/887/oj</w:t>
        </w:r>
      </w:hyperlink>
      <w:r w:rsidRPr="00E52EB4">
        <w:rPr>
          <w:sz w:val="24"/>
          <w:lang w:val="ro-RO"/>
        </w:rPr>
        <w:t>.</w:t>
      </w:r>
    </w:p>
  </w:footnote>
  <w:footnote w:id="37">
    <w:p w14:paraId="55845284" w14:textId="77777777" w:rsidR="00344BA4" w:rsidRPr="000621CB" w:rsidRDefault="00344BA4" w:rsidP="00344BA4">
      <w:pPr>
        <w:pStyle w:val="FootnoteText"/>
        <w:ind w:left="567" w:hanging="567"/>
        <w:rPr>
          <w:sz w:val="24"/>
          <w:szCs w:val="24"/>
          <w:lang w:val="ro-RO"/>
        </w:rPr>
      </w:pPr>
      <w:r w:rsidRPr="000621CB">
        <w:rPr>
          <w:rStyle w:val="FootnoteReference"/>
          <w:sz w:val="24"/>
        </w:rPr>
        <w:footnoteRef/>
      </w:r>
      <w:r w:rsidRPr="00E52EB4">
        <w:rPr>
          <w:sz w:val="24"/>
          <w:lang w:val="ro-RO"/>
        </w:rPr>
        <w:tab/>
      </w:r>
      <w:r w:rsidRPr="00E52EB4">
        <w:rPr>
          <w:sz w:val="24"/>
          <w:lang w:val="ro-RO"/>
        </w:rPr>
        <w:t xml:space="preserve">JO C, C/2024/6841, 13.11.2024, ELI: </w:t>
      </w:r>
      <w:hyperlink r:id="rId37" w:history="1">
        <w:r w:rsidRPr="00E52EB4">
          <w:rPr>
            <w:rStyle w:val="Hyperlink1"/>
            <w:sz w:val="24"/>
            <w:lang w:val="ro-RO"/>
          </w:rPr>
          <w:t>http://data.europa.eu/eli/C/2024/6841/oj</w:t>
        </w:r>
      </w:hyperlink>
      <w:r w:rsidRPr="00E52EB4">
        <w:rPr>
          <w:sz w:val="24"/>
          <w:lang w:val="ro-RO"/>
        </w:rPr>
        <w:t>.</w:t>
      </w:r>
    </w:p>
  </w:footnote>
  <w:footnote w:id="38">
    <w:p w14:paraId="505E7B9A" w14:textId="77777777" w:rsidR="00344BA4" w:rsidRPr="000621CB" w:rsidRDefault="00344BA4" w:rsidP="00344BA4">
      <w:pPr>
        <w:pStyle w:val="FootnoteText"/>
        <w:ind w:left="567" w:hanging="567"/>
        <w:rPr>
          <w:sz w:val="24"/>
          <w:szCs w:val="24"/>
          <w:lang w:val="ro-RO"/>
        </w:rPr>
      </w:pPr>
      <w:r w:rsidRPr="000621CB">
        <w:rPr>
          <w:rStyle w:val="FootnoteReference"/>
          <w:sz w:val="24"/>
        </w:rPr>
        <w:footnoteRef/>
      </w:r>
      <w:r w:rsidRPr="00E52EB4">
        <w:rPr>
          <w:sz w:val="24"/>
          <w:lang w:val="ro-RO"/>
        </w:rPr>
        <w:tab/>
      </w:r>
      <w:r w:rsidRPr="00E52EB4">
        <w:rPr>
          <w:sz w:val="24"/>
          <w:lang w:val="ro-RO"/>
        </w:rPr>
        <w:t xml:space="preserve">JO C, C/2024/6041, 10.10.2024, ELI: </w:t>
      </w:r>
      <w:hyperlink r:id="rId38" w:history="1">
        <w:r w:rsidRPr="00E52EB4">
          <w:rPr>
            <w:rStyle w:val="Hyperlink1"/>
            <w:sz w:val="24"/>
            <w:lang w:val="ro-RO"/>
          </w:rPr>
          <w:t>http://data.europa.eu/eli/C/2024/6041/oj</w:t>
        </w:r>
      </w:hyperlink>
      <w:r w:rsidRPr="00E52EB4">
        <w:rPr>
          <w:sz w:val="24"/>
          <w:lang w:val="ro-RO"/>
        </w:rPr>
        <w:t>.</w:t>
      </w:r>
    </w:p>
  </w:footnote>
  <w:footnote w:id="39">
    <w:p w14:paraId="53B8A121" w14:textId="77777777" w:rsidR="00344BA4" w:rsidRPr="000621CB" w:rsidRDefault="00344BA4" w:rsidP="00344BA4">
      <w:pPr>
        <w:pStyle w:val="FootnoteText"/>
        <w:ind w:left="567" w:hanging="567"/>
        <w:rPr>
          <w:sz w:val="24"/>
          <w:szCs w:val="24"/>
          <w:lang w:val="ro-RO"/>
        </w:rPr>
      </w:pPr>
      <w:r w:rsidRPr="000621CB">
        <w:rPr>
          <w:rStyle w:val="FootnoteReference"/>
          <w:sz w:val="24"/>
        </w:rPr>
        <w:footnoteRef/>
      </w:r>
      <w:r w:rsidRPr="00E52EB4">
        <w:rPr>
          <w:sz w:val="24"/>
          <w:lang w:val="ro-RO"/>
        </w:rPr>
        <w:tab/>
      </w:r>
      <w:r w:rsidRPr="00E52EB4">
        <w:rPr>
          <w:sz w:val="24"/>
          <w:lang w:val="ro-RO"/>
        </w:rPr>
        <w:t xml:space="preserve">JO L 193, 30.7.2018, p. 1, ELI: </w:t>
      </w:r>
      <w:hyperlink r:id="rId39" w:history="1">
        <w:r w:rsidRPr="00E52EB4">
          <w:rPr>
            <w:rStyle w:val="Hyperlink1"/>
            <w:sz w:val="24"/>
            <w:lang w:val="ro-RO"/>
          </w:rPr>
          <w:t>http://data.europa.eu/eli/reg/2018/1046/oj</w:t>
        </w:r>
      </w:hyperlink>
      <w:r w:rsidRPr="00E52EB4">
        <w:rPr>
          <w:sz w:val="24"/>
          <w:lang w:val="ro-RO"/>
        </w:rPr>
        <w:t>.</w:t>
      </w:r>
    </w:p>
  </w:footnote>
  <w:footnote w:id="40">
    <w:p w14:paraId="6D0A5530" w14:textId="77777777" w:rsidR="00344BA4" w:rsidRPr="000621CB" w:rsidRDefault="00344BA4" w:rsidP="00344BA4">
      <w:pPr>
        <w:pStyle w:val="FootnoteText"/>
        <w:ind w:left="567" w:hanging="567"/>
        <w:rPr>
          <w:sz w:val="24"/>
          <w:szCs w:val="24"/>
          <w:lang w:val="ro-RO"/>
        </w:rPr>
      </w:pPr>
      <w:r w:rsidRPr="000621CB">
        <w:rPr>
          <w:rStyle w:val="FootnoteReference"/>
          <w:sz w:val="24"/>
        </w:rPr>
        <w:footnoteRef/>
      </w:r>
      <w:r w:rsidRPr="00E52EB4">
        <w:rPr>
          <w:sz w:val="24"/>
          <w:lang w:val="ro-RO"/>
        </w:rPr>
        <w:tab/>
      </w:r>
      <w:r w:rsidRPr="00E52EB4">
        <w:rPr>
          <w:sz w:val="24"/>
          <w:lang w:val="ro-RO"/>
        </w:rPr>
        <w:t xml:space="preserve">JO L, 2024/2509, 26.9.2024, ELI: </w:t>
      </w:r>
      <w:hyperlink r:id="rId40"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41">
    <w:p w14:paraId="40730959" w14:textId="77777777" w:rsidR="00344BA4" w:rsidRPr="000621CB" w:rsidRDefault="00344BA4" w:rsidP="00344BA4">
      <w:pPr>
        <w:pStyle w:val="FootnoteText"/>
        <w:ind w:left="567" w:hanging="567"/>
        <w:rPr>
          <w:sz w:val="24"/>
          <w:szCs w:val="24"/>
          <w:lang w:val="ro-RO"/>
        </w:rPr>
      </w:pPr>
      <w:r w:rsidRPr="000621CB">
        <w:rPr>
          <w:rStyle w:val="FootnoteReference"/>
          <w:sz w:val="24"/>
        </w:rPr>
        <w:footnoteRef/>
      </w:r>
      <w:r w:rsidRPr="00E52EB4">
        <w:rPr>
          <w:sz w:val="24"/>
          <w:lang w:val="ro-RO"/>
        </w:rPr>
        <w:tab/>
      </w:r>
      <w:r w:rsidRPr="00E52EB4">
        <w:rPr>
          <w:sz w:val="24"/>
          <w:lang w:val="ro-RO"/>
        </w:rPr>
        <w:t xml:space="preserve">JO L 427, 30.11.2021, p. 17, ELI: </w:t>
      </w:r>
      <w:hyperlink r:id="rId41" w:history="1">
        <w:r w:rsidRPr="00E52EB4">
          <w:rPr>
            <w:rStyle w:val="Hyperlink1"/>
            <w:sz w:val="24"/>
            <w:lang w:val="ro-RO"/>
          </w:rPr>
          <w:t>http://data.europa.eu/eli/reg/2021/2085/oj</w:t>
        </w:r>
      </w:hyperlink>
      <w:r w:rsidRPr="00E52EB4">
        <w:rPr>
          <w:sz w:val="24"/>
          <w:lang w:val="ro-RO"/>
        </w:rPr>
        <w:t>.</w:t>
      </w:r>
    </w:p>
  </w:footnote>
  <w:footnote w:id="42">
    <w:p w14:paraId="183A7F5D" w14:textId="77777777" w:rsidR="00344BA4" w:rsidRPr="000621CB" w:rsidRDefault="00344BA4" w:rsidP="00344BA4">
      <w:pPr>
        <w:pStyle w:val="FootnoteText"/>
        <w:ind w:left="567" w:hanging="567"/>
        <w:rPr>
          <w:sz w:val="24"/>
          <w:szCs w:val="24"/>
          <w:lang w:val="ro-RO"/>
        </w:rPr>
      </w:pPr>
      <w:r w:rsidRPr="000621CB">
        <w:rPr>
          <w:rStyle w:val="FootnoteReference"/>
          <w:sz w:val="24"/>
        </w:rPr>
        <w:footnoteRef/>
      </w:r>
      <w:r w:rsidRPr="00E52EB4">
        <w:rPr>
          <w:sz w:val="24"/>
          <w:lang w:val="ro-RO"/>
        </w:rPr>
        <w:tab/>
      </w:r>
      <w:r w:rsidRPr="00E52EB4">
        <w:rPr>
          <w:sz w:val="24"/>
          <w:lang w:val="ro-RO"/>
        </w:rPr>
        <w:t xml:space="preserve">JO L 142, 29.5.2019, p. 16, ELI: </w:t>
      </w:r>
      <w:hyperlink r:id="rId42" w:history="1">
        <w:r w:rsidRPr="00E52EB4">
          <w:rPr>
            <w:rStyle w:val="Hyperlink1"/>
            <w:sz w:val="24"/>
            <w:lang w:val="ro-RO"/>
          </w:rPr>
          <w:t>http://data.europa.eu/eli/reg_del/2019/887/oj</w:t>
        </w:r>
      </w:hyperlink>
      <w:r w:rsidRPr="00E52EB4">
        <w:rPr>
          <w:sz w:val="24"/>
          <w:lang w:val="ro-RO"/>
        </w:rPr>
        <w:t>.</w:t>
      </w:r>
    </w:p>
  </w:footnote>
  <w:footnote w:id="43">
    <w:p w14:paraId="1734D912" w14:textId="77777777" w:rsidR="00344BA4" w:rsidRPr="004121F4" w:rsidRDefault="00344BA4" w:rsidP="00344BA4">
      <w:pPr>
        <w:pStyle w:val="FootnoteText"/>
        <w:ind w:left="567" w:hanging="567"/>
        <w:rPr>
          <w:sz w:val="24"/>
          <w:szCs w:val="24"/>
          <w:lang w:val="ro-RO"/>
        </w:rPr>
      </w:pPr>
      <w:r w:rsidRPr="004121F4">
        <w:rPr>
          <w:rStyle w:val="FootnoteReference"/>
          <w:sz w:val="24"/>
        </w:rPr>
        <w:footnoteRef/>
      </w:r>
      <w:r w:rsidRPr="00E52EB4">
        <w:rPr>
          <w:sz w:val="24"/>
          <w:lang w:val="ro-RO"/>
        </w:rPr>
        <w:tab/>
      </w:r>
      <w:r w:rsidRPr="00E52EB4">
        <w:rPr>
          <w:sz w:val="24"/>
          <w:lang w:val="ro-RO"/>
        </w:rPr>
        <w:t xml:space="preserve">JO C, C/2024/6841, 13.11.2024, ELI: </w:t>
      </w:r>
      <w:hyperlink r:id="rId43" w:history="1">
        <w:r w:rsidRPr="00E52EB4">
          <w:rPr>
            <w:rStyle w:val="Hyperlink1"/>
            <w:sz w:val="24"/>
            <w:lang w:val="ro-RO"/>
          </w:rPr>
          <w:t>http://data.europa.eu/eli/C/2024/6841/oj</w:t>
        </w:r>
      </w:hyperlink>
      <w:r w:rsidRPr="00E52EB4">
        <w:rPr>
          <w:sz w:val="24"/>
          <w:lang w:val="ro-RO"/>
        </w:rPr>
        <w:t>.</w:t>
      </w:r>
    </w:p>
  </w:footnote>
  <w:footnote w:id="44">
    <w:p w14:paraId="6178498D" w14:textId="77777777" w:rsidR="00344BA4" w:rsidRPr="004121F4" w:rsidRDefault="00344BA4" w:rsidP="00344BA4">
      <w:pPr>
        <w:pStyle w:val="FootnoteText"/>
        <w:ind w:left="567" w:hanging="567"/>
        <w:rPr>
          <w:sz w:val="24"/>
          <w:szCs w:val="24"/>
          <w:lang w:val="ro-RO"/>
        </w:rPr>
      </w:pPr>
      <w:r w:rsidRPr="004121F4">
        <w:rPr>
          <w:rStyle w:val="FootnoteReference"/>
          <w:sz w:val="24"/>
        </w:rPr>
        <w:footnoteRef/>
      </w:r>
      <w:r w:rsidRPr="00E52EB4">
        <w:rPr>
          <w:sz w:val="24"/>
          <w:lang w:val="ro-RO"/>
        </w:rPr>
        <w:tab/>
      </w:r>
      <w:r w:rsidRPr="00E52EB4">
        <w:rPr>
          <w:sz w:val="24"/>
          <w:lang w:val="ro-RO"/>
        </w:rPr>
        <w:t xml:space="preserve">JO C, C/2024/6041, 10.10.2024, ELI: </w:t>
      </w:r>
      <w:hyperlink r:id="rId44" w:history="1">
        <w:r w:rsidRPr="00E52EB4">
          <w:rPr>
            <w:rStyle w:val="Hyperlink1"/>
            <w:sz w:val="24"/>
            <w:lang w:val="ro-RO"/>
          </w:rPr>
          <w:t>http://data.europa.eu/eli/C/2024/6041/oj</w:t>
        </w:r>
      </w:hyperlink>
      <w:r w:rsidRPr="00E52EB4">
        <w:rPr>
          <w:sz w:val="24"/>
          <w:lang w:val="ro-RO"/>
        </w:rPr>
        <w:t>.</w:t>
      </w:r>
    </w:p>
  </w:footnote>
  <w:footnote w:id="45">
    <w:p w14:paraId="5EAA8109" w14:textId="77777777" w:rsidR="00344BA4" w:rsidRPr="004121F4" w:rsidRDefault="00344BA4" w:rsidP="00344BA4">
      <w:pPr>
        <w:pStyle w:val="FootnoteText"/>
        <w:ind w:left="567" w:hanging="567"/>
        <w:rPr>
          <w:sz w:val="24"/>
          <w:szCs w:val="24"/>
          <w:lang w:val="ro-RO"/>
        </w:rPr>
      </w:pPr>
      <w:r w:rsidRPr="004121F4">
        <w:rPr>
          <w:rStyle w:val="FootnoteReference"/>
          <w:sz w:val="24"/>
        </w:rPr>
        <w:footnoteRef/>
      </w:r>
      <w:r w:rsidRPr="00E52EB4">
        <w:rPr>
          <w:sz w:val="24"/>
          <w:lang w:val="ro-RO"/>
        </w:rPr>
        <w:tab/>
      </w:r>
      <w:r w:rsidRPr="00E52EB4">
        <w:rPr>
          <w:sz w:val="24"/>
          <w:lang w:val="ro-RO"/>
        </w:rPr>
        <w:t xml:space="preserve">JO L 193, 30.7.2018, p. 1, ELI: </w:t>
      </w:r>
      <w:hyperlink r:id="rId45" w:history="1">
        <w:r w:rsidRPr="00E52EB4">
          <w:rPr>
            <w:rStyle w:val="Hyperlink1"/>
            <w:sz w:val="24"/>
            <w:lang w:val="ro-RO"/>
          </w:rPr>
          <w:t>http://data.europa.eu/eli/reg/2018/1046/oj</w:t>
        </w:r>
      </w:hyperlink>
      <w:r w:rsidRPr="00E52EB4">
        <w:rPr>
          <w:sz w:val="24"/>
          <w:lang w:val="ro-RO"/>
        </w:rPr>
        <w:t>.</w:t>
      </w:r>
    </w:p>
  </w:footnote>
  <w:footnote w:id="46">
    <w:p w14:paraId="4E2515CD" w14:textId="77777777" w:rsidR="00344BA4" w:rsidRPr="004121F4" w:rsidRDefault="00344BA4" w:rsidP="00344BA4">
      <w:pPr>
        <w:pStyle w:val="FootnoteText"/>
        <w:ind w:left="567" w:hanging="567"/>
        <w:rPr>
          <w:sz w:val="24"/>
          <w:szCs w:val="24"/>
          <w:lang w:val="ro-RO"/>
        </w:rPr>
      </w:pPr>
      <w:r w:rsidRPr="004121F4">
        <w:rPr>
          <w:rStyle w:val="FootnoteReference"/>
          <w:sz w:val="24"/>
        </w:rPr>
        <w:footnoteRef/>
      </w:r>
      <w:r w:rsidRPr="00E52EB4">
        <w:rPr>
          <w:sz w:val="24"/>
          <w:lang w:val="ro-RO"/>
        </w:rPr>
        <w:tab/>
      </w:r>
      <w:r w:rsidRPr="00E52EB4">
        <w:rPr>
          <w:sz w:val="24"/>
          <w:lang w:val="ro-RO"/>
        </w:rPr>
        <w:t xml:space="preserve">JO L, 2024/2509, 26.9.2024, ELI: </w:t>
      </w:r>
      <w:hyperlink r:id="rId46"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47">
    <w:p w14:paraId="7FC24A03" w14:textId="77777777" w:rsidR="00344BA4" w:rsidRPr="004121F4" w:rsidRDefault="00344BA4" w:rsidP="00344BA4">
      <w:pPr>
        <w:pStyle w:val="FootnoteText"/>
        <w:ind w:left="567" w:hanging="567"/>
        <w:rPr>
          <w:sz w:val="24"/>
          <w:szCs w:val="24"/>
          <w:lang w:val="ro-RO"/>
        </w:rPr>
      </w:pPr>
      <w:r w:rsidRPr="004121F4">
        <w:rPr>
          <w:rStyle w:val="FootnoteReference"/>
          <w:sz w:val="24"/>
        </w:rPr>
        <w:footnoteRef/>
      </w:r>
      <w:r w:rsidRPr="00E52EB4">
        <w:rPr>
          <w:sz w:val="24"/>
          <w:lang w:val="ro-RO"/>
        </w:rPr>
        <w:tab/>
      </w:r>
      <w:r w:rsidRPr="00E52EB4">
        <w:rPr>
          <w:sz w:val="24"/>
          <w:lang w:val="ro-RO"/>
        </w:rPr>
        <w:t xml:space="preserve">JO L 427, 30.11.2021, p. 17, ELI: </w:t>
      </w:r>
      <w:hyperlink r:id="rId47" w:history="1">
        <w:r w:rsidRPr="00E52EB4">
          <w:rPr>
            <w:rStyle w:val="Hyperlink1"/>
            <w:sz w:val="24"/>
            <w:lang w:val="ro-RO"/>
          </w:rPr>
          <w:t>http://data.europa.eu/eli/reg/2021/2085/oj</w:t>
        </w:r>
      </w:hyperlink>
      <w:r w:rsidRPr="00E52EB4">
        <w:rPr>
          <w:sz w:val="24"/>
          <w:lang w:val="ro-RO"/>
        </w:rPr>
        <w:t>.</w:t>
      </w:r>
    </w:p>
  </w:footnote>
  <w:footnote w:id="48">
    <w:p w14:paraId="5B9E4E8C" w14:textId="77777777" w:rsidR="00344BA4" w:rsidRPr="004121F4" w:rsidRDefault="00344BA4" w:rsidP="00344BA4">
      <w:pPr>
        <w:pStyle w:val="FootnoteText"/>
        <w:ind w:left="567" w:hanging="567"/>
        <w:rPr>
          <w:sz w:val="24"/>
          <w:szCs w:val="24"/>
          <w:lang w:val="ro-RO"/>
        </w:rPr>
      </w:pPr>
      <w:r w:rsidRPr="004121F4">
        <w:rPr>
          <w:rStyle w:val="FootnoteReference"/>
          <w:sz w:val="24"/>
        </w:rPr>
        <w:footnoteRef/>
      </w:r>
      <w:r w:rsidRPr="00E52EB4">
        <w:rPr>
          <w:sz w:val="24"/>
          <w:lang w:val="ro-RO"/>
        </w:rPr>
        <w:tab/>
      </w:r>
      <w:r w:rsidRPr="00E52EB4">
        <w:rPr>
          <w:sz w:val="24"/>
          <w:lang w:val="ro-RO"/>
        </w:rPr>
        <w:t xml:space="preserve">JO L 142, 29.5.2019, p. 16, ELI: </w:t>
      </w:r>
      <w:hyperlink r:id="rId48" w:history="1">
        <w:r w:rsidRPr="00E52EB4">
          <w:rPr>
            <w:rStyle w:val="Hyperlink1"/>
            <w:sz w:val="24"/>
            <w:lang w:val="ro-RO"/>
          </w:rPr>
          <w:t>http://data.europa.eu/eli/reg_del/2019/887/oj</w:t>
        </w:r>
      </w:hyperlink>
      <w:r w:rsidRPr="00E52EB4">
        <w:rPr>
          <w:sz w:val="24"/>
          <w:lang w:val="ro-RO"/>
        </w:rPr>
        <w:t>.</w:t>
      </w:r>
    </w:p>
  </w:footnote>
  <w:footnote w:id="49">
    <w:p w14:paraId="63383BA1" w14:textId="77777777" w:rsidR="00344BA4" w:rsidRPr="009456FB" w:rsidRDefault="00344BA4" w:rsidP="00344BA4">
      <w:pPr>
        <w:pStyle w:val="FootnoteText"/>
        <w:ind w:left="567" w:hanging="567"/>
        <w:rPr>
          <w:sz w:val="24"/>
          <w:szCs w:val="24"/>
          <w:lang w:val="ro-RO"/>
        </w:rPr>
      </w:pPr>
      <w:r w:rsidRPr="009456FB">
        <w:rPr>
          <w:rStyle w:val="FootnoteReference"/>
          <w:sz w:val="24"/>
        </w:rPr>
        <w:footnoteRef/>
      </w:r>
      <w:r w:rsidRPr="00E52EB4">
        <w:rPr>
          <w:sz w:val="24"/>
          <w:lang w:val="ro-RO"/>
        </w:rPr>
        <w:tab/>
      </w:r>
      <w:r w:rsidRPr="00E52EB4">
        <w:rPr>
          <w:sz w:val="24"/>
          <w:lang w:val="ro-RO"/>
        </w:rPr>
        <w:t xml:space="preserve">JO C, C/2024/6841, 13.11.2024, ELI: </w:t>
      </w:r>
      <w:hyperlink r:id="rId49" w:history="1">
        <w:r w:rsidRPr="00E52EB4">
          <w:rPr>
            <w:rStyle w:val="Hyperlink1"/>
            <w:sz w:val="24"/>
            <w:lang w:val="ro-RO"/>
          </w:rPr>
          <w:t>http://data.europa.eu/eli/C/2024/6841/oj</w:t>
        </w:r>
      </w:hyperlink>
      <w:r w:rsidRPr="00E52EB4">
        <w:rPr>
          <w:sz w:val="24"/>
          <w:lang w:val="ro-RO"/>
        </w:rPr>
        <w:t>.</w:t>
      </w:r>
    </w:p>
  </w:footnote>
  <w:footnote w:id="50">
    <w:p w14:paraId="7F548978" w14:textId="77777777" w:rsidR="00344BA4" w:rsidRPr="009456FB" w:rsidRDefault="00344BA4" w:rsidP="00344BA4">
      <w:pPr>
        <w:pStyle w:val="FootnoteText"/>
        <w:ind w:left="567" w:hanging="567"/>
        <w:rPr>
          <w:sz w:val="24"/>
          <w:szCs w:val="24"/>
          <w:lang w:val="ro-RO"/>
        </w:rPr>
      </w:pPr>
      <w:r w:rsidRPr="009456FB">
        <w:rPr>
          <w:rStyle w:val="FootnoteReference"/>
          <w:sz w:val="24"/>
        </w:rPr>
        <w:footnoteRef/>
      </w:r>
      <w:r w:rsidRPr="00E52EB4">
        <w:rPr>
          <w:sz w:val="24"/>
          <w:lang w:val="ro-RO"/>
        </w:rPr>
        <w:tab/>
      </w:r>
      <w:r w:rsidRPr="00E52EB4">
        <w:rPr>
          <w:sz w:val="24"/>
          <w:lang w:val="ro-RO"/>
        </w:rPr>
        <w:t xml:space="preserve">JO C, C/2024/6041, 10.10.2024, ELI: </w:t>
      </w:r>
      <w:hyperlink r:id="rId50" w:history="1">
        <w:r w:rsidRPr="00E52EB4">
          <w:rPr>
            <w:rStyle w:val="Hyperlink1"/>
            <w:sz w:val="24"/>
            <w:lang w:val="ro-RO"/>
          </w:rPr>
          <w:t>http://data.europa.eu/eli/C/2024/6041/oj</w:t>
        </w:r>
      </w:hyperlink>
      <w:r w:rsidRPr="00E52EB4">
        <w:rPr>
          <w:sz w:val="24"/>
          <w:lang w:val="ro-RO"/>
        </w:rPr>
        <w:t>.</w:t>
      </w:r>
    </w:p>
  </w:footnote>
  <w:footnote w:id="51">
    <w:p w14:paraId="692AB5B4" w14:textId="77777777" w:rsidR="00344BA4" w:rsidRPr="009456FB" w:rsidRDefault="00344BA4" w:rsidP="00344BA4">
      <w:pPr>
        <w:pStyle w:val="FootnoteText"/>
        <w:ind w:left="567" w:hanging="567"/>
        <w:rPr>
          <w:sz w:val="24"/>
          <w:szCs w:val="24"/>
          <w:lang w:val="ro-RO"/>
        </w:rPr>
      </w:pPr>
      <w:r w:rsidRPr="009456FB">
        <w:rPr>
          <w:rStyle w:val="FootnoteReference"/>
          <w:sz w:val="24"/>
        </w:rPr>
        <w:footnoteRef/>
      </w:r>
      <w:r w:rsidRPr="00E52EB4">
        <w:rPr>
          <w:sz w:val="24"/>
          <w:lang w:val="ro-RO"/>
        </w:rPr>
        <w:tab/>
      </w:r>
      <w:r w:rsidRPr="00E52EB4">
        <w:rPr>
          <w:sz w:val="24"/>
          <w:lang w:val="ro-RO"/>
        </w:rPr>
        <w:t xml:space="preserve">JO L 193, 30.7.2018, p. 1, ELI: </w:t>
      </w:r>
      <w:hyperlink r:id="rId51" w:history="1">
        <w:r w:rsidRPr="00E52EB4">
          <w:rPr>
            <w:rStyle w:val="Hyperlink1"/>
            <w:sz w:val="24"/>
            <w:lang w:val="ro-RO"/>
          </w:rPr>
          <w:t>http://data.europa.eu/eli/reg/2018/1046/oj</w:t>
        </w:r>
      </w:hyperlink>
      <w:r w:rsidRPr="00E52EB4">
        <w:rPr>
          <w:sz w:val="24"/>
          <w:lang w:val="ro-RO"/>
        </w:rPr>
        <w:t>.</w:t>
      </w:r>
    </w:p>
  </w:footnote>
  <w:footnote w:id="52">
    <w:p w14:paraId="2689B700" w14:textId="77777777" w:rsidR="00344BA4" w:rsidRPr="009456FB" w:rsidRDefault="00344BA4" w:rsidP="00344BA4">
      <w:pPr>
        <w:pStyle w:val="FootnoteText"/>
        <w:ind w:left="567" w:hanging="567"/>
        <w:rPr>
          <w:sz w:val="24"/>
          <w:szCs w:val="24"/>
          <w:lang w:val="ro-RO"/>
        </w:rPr>
      </w:pPr>
      <w:r w:rsidRPr="009456FB">
        <w:rPr>
          <w:rStyle w:val="FootnoteReference"/>
          <w:sz w:val="24"/>
        </w:rPr>
        <w:footnoteRef/>
      </w:r>
      <w:r w:rsidRPr="00E52EB4">
        <w:rPr>
          <w:sz w:val="24"/>
          <w:lang w:val="ro-RO"/>
        </w:rPr>
        <w:tab/>
      </w:r>
      <w:r w:rsidRPr="00E52EB4">
        <w:rPr>
          <w:sz w:val="24"/>
          <w:lang w:val="ro-RO"/>
        </w:rPr>
        <w:t xml:space="preserve">JO L, 2024/2509, 26.9.2024, ELI: </w:t>
      </w:r>
      <w:hyperlink r:id="rId52"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53">
    <w:p w14:paraId="0C3E311A" w14:textId="77777777" w:rsidR="00344BA4" w:rsidRPr="009456FB" w:rsidRDefault="00344BA4" w:rsidP="00344BA4">
      <w:pPr>
        <w:pStyle w:val="FootnoteText"/>
        <w:ind w:left="567" w:hanging="567"/>
        <w:rPr>
          <w:sz w:val="24"/>
          <w:szCs w:val="24"/>
          <w:lang w:val="ro-RO"/>
        </w:rPr>
      </w:pPr>
      <w:r w:rsidRPr="009456FB">
        <w:rPr>
          <w:rStyle w:val="FootnoteReference"/>
          <w:sz w:val="24"/>
        </w:rPr>
        <w:footnoteRef/>
      </w:r>
      <w:r w:rsidRPr="00E52EB4">
        <w:rPr>
          <w:sz w:val="24"/>
          <w:lang w:val="ro-RO"/>
        </w:rPr>
        <w:tab/>
      </w:r>
      <w:r w:rsidRPr="00E52EB4">
        <w:rPr>
          <w:sz w:val="24"/>
          <w:lang w:val="ro-RO"/>
        </w:rPr>
        <w:t xml:space="preserve">JO L 256, 19.7.2021, p. 3, ELI: </w:t>
      </w:r>
      <w:hyperlink r:id="rId53" w:history="1">
        <w:r w:rsidRPr="00E52EB4">
          <w:rPr>
            <w:rStyle w:val="Hyperlink"/>
            <w:sz w:val="24"/>
            <w:lang w:val="ro-RO"/>
          </w:rPr>
          <w:t>http://data.europa.eu/eli/reg/2021/1173/oj</w:t>
        </w:r>
      </w:hyperlink>
      <w:r w:rsidRPr="00E52EB4">
        <w:rPr>
          <w:sz w:val="24"/>
          <w:lang w:val="ro-RO"/>
        </w:rPr>
        <w:t>.</w:t>
      </w:r>
    </w:p>
  </w:footnote>
  <w:footnote w:id="54">
    <w:p w14:paraId="48EE6B77" w14:textId="77777777" w:rsidR="00344BA4" w:rsidRPr="009456FB" w:rsidRDefault="00344BA4" w:rsidP="00344BA4">
      <w:pPr>
        <w:pStyle w:val="FootnoteText"/>
        <w:ind w:left="567" w:hanging="567"/>
        <w:rPr>
          <w:sz w:val="24"/>
          <w:szCs w:val="24"/>
          <w:lang w:val="ro-RO"/>
        </w:rPr>
      </w:pPr>
      <w:r w:rsidRPr="009456FB">
        <w:rPr>
          <w:rStyle w:val="FootnoteReference"/>
          <w:sz w:val="24"/>
        </w:rPr>
        <w:footnoteRef/>
      </w:r>
      <w:r w:rsidRPr="00E52EB4">
        <w:rPr>
          <w:sz w:val="24"/>
          <w:lang w:val="ro-RO"/>
        </w:rPr>
        <w:tab/>
      </w:r>
      <w:r w:rsidRPr="00E52EB4">
        <w:rPr>
          <w:sz w:val="24"/>
          <w:lang w:val="ro-RO"/>
        </w:rPr>
        <w:t xml:space="preserve">JO L 142, 29.5.2019, p. 16, ELI: </w:t>
      </w:r>
      <w:hyperlink r:id="rId54" w:history="1">
        <w:r w:rsidRPr="00E52EB4">
          <w:rPr>
            <w:rStyle w:val="Hyperlink"/>
            <w:sz w:val="24"/>
            <w:lang w:val="ro-RO"/>
          </w:rPr>
          <w:t>http://data.europa.eu/eli/reg_del/2019/887/oj</w:t>
        </w:r>
      </w:hyperlink>
      <w:r w:rsidRPr="00E52EB4">
        <w:rPr>
          <w:sz w:val="24"/>
          <w:lang w:val="ro-RO"/>
        </w:rPr>
        <w:t>.</w:t>
      </w:r>
    </w:p>
  </w:footnote>
  <w:footnote w:id="55">
    <w:p w14:paraId="7D9D96D5" w14:textId="77777777" w:rsidR="00344BA4" w:rsidRPr="001E60A3" w:rsidRDefault="00344BA4" w:rsidP="00344BA4">
      <w:pPr>
        <w:pStyle w:val="FootnoteText"/>
        <w:ind w:left="567" w:hanging="567"/>
        <w:rPr>
          <w:sz w:val="24"/>
          <w:szCs w:val="24"/>
          <w:lang w:val="ro-RO"/>
        </w:rPr>
      </w:pPr>
      <w:r w:rsidRPr="001E60A3">
        <w:rPr>
          <w:rStyle w:val="FootnoteReference"/>
          <w:sz w:val="24"/>
        </w:rPr>
        <w:footnoteRef/>
      </w:r>
      <w:r w:rsidRPr="00E52EB4">
        <w:rPr>
          <w:sz w:val="24"/>
          <w:lang w:val="ro-RO"/>
        </w:rPr>
        <w:tab/>
      </w:r>
      <w:r w:rsidRPr="00E52EB4">
        <w:rPr>
          <w:sz w:val="24"/>
          <w:lang w:val="ro-RO"/>
        </w:rPr>
        <w:t xml:space="preserve">JO C, C/2024/6841, 13.11.2024, ELI: </w:t>
      </w:r>
      <w:hyperlink r:id="rId55" w:history="1">
        <w:r w:rsidRPr="00E52EB4">
          <w:rPr>
            <w:rStyle w:val="Hyperlink1"/>
            <w:sz w:val="24"/>
            <w:lang w:val="ro-RO"/>
          </w:rPr>
          <w:t>http://data.europa.eu/eli/C/2024/6841/oj</w:t>
        </w:r>
      </w:hyperlink>
      <w:r w:rsidRPr="00E52EB4">
        <w:rPr>
          <w:sz w:val="24"/>
          <w:lang w:val="ro-RO"/>
        </w:rPr>
        <w:t>.</w:t>
      </w:r>
    </w:p>
  </w:footnote>
  <w:footnote w:id="56">
    <w:p w14:paraId="21B06B15" w14:textId="77777777" w:rsidR="00344BA4" w:rsidRPr="001E60A3" w:rsidRDefault="00344BA4" w:rsidP="00344BA4">
      <w:pPr>
        <w:pStyle w:val="FootnoteText"/>
        <w:ind w:left="567" w:hanging="567"/>
        <w:rPr>
          <w:sz w:val="24"/>
          <w:szCs w:val="24"/>
          <w:lang w:val="ro-RO"/>
        </w:rPr>
      </w:pPr>
      <w:r w:rsidRPr="001E60A3">
        <w:rPr>
          <w:rStyle w:val="FootnoteReference"/>
          <w:sz w:val="24"/>
        </w:rPr>
        <w:footnoteRef/>
      </w:r>
      <w:r w:rsidRPr="00E52EB4">
        <w:rPr>
          <w:sz w:val="24"/>
          <w:lang w:val="ro-RO"/>
        </w:rPr>
        <w:tab/>
      </w:r>
      <w:r w:rsidRPr="00E52EB4">
        <w:rPr>
          <w:sz w:val="24"/>
          <w:lang w:val="ro-RO"/>
        </w:rPr>
        <w:t xml:space="preserve">JO C, C/2024/6041, 10.10.2024, ELI: </w:t>
      </w:r>
      <w:hyperlink r:id="rId56" w:history="1">
        <w:r w:rsidRPr="00E52EB4">
          <w:rPr>
            <w:rStyle w:val="Hyperlink1"/>
            <w:sz w:val="24"/>
            <w:lang w:val="ro-RO"/>
          </w:rPr>
          <w:t>http://data.europa.eu/eli/C/2024/6041/oj</w:t>
        </w:r>
      </w:hyperlink>
      <w:r w:rsidRPr="00E52EB4">
        <w:rPr>
          <w:sz w:val="24"/>
          <w:lang w:val="ro-RO"/>
        </w:rPr>
        <w:t>.</w:t>
      </w:r>
    </w:p>
  </w:footnote>
  <w:footnote w:id="57">
    <w:p w14:paraId="0808C84B" w14:textId="77777777" w:rsidR="00344BA4" w:rsidRPr="001E60A3" w:rsidRDefault="00344BA4" w:rsidP="00344BA4">
      <w:pPr>
        <w:pStyle w:val="FootnoteText"/>
        <w:ind w:left="567" w:hanging="567"/>
        <w:rPr>
          <w:sz w:val="24"/>
          <w:szCs w:val="24"/>
          <w:lang w:val="ro-RO"/>
        </w:rPr>
      </w:pPr>
      <w:r w:rsidRPr="001E60A3">
        <w:rPr>
          <w:rStyle w:val="FootnoteReference"/>
          <w:sz w:val="24"/>
        </w:rPr>
        <w:footnoteRef/>
      </w:r>
      <w:r w:rsidRPr="00E52EB4">
        <w:rPr>
          <w:sz w:val="24"/>
          <w:lang w:val="ro-RO"/>
        </w:rPr>
        <w:tab/>
      </w:r>
      <w:r w:rsidRPr="00E52EB4">
        <w:rPr>
          <w:sz w:val="24"/>
          <w:lang w:val="ro-RO"/>
        </w:rPr>
        <w:t xml:space="preserve">JO L 193, 30.7.2018, p. 1, ELI: </w:t>
      </w:r>
      <w:hyperlink r:id="rId57" w:history="1">
        <w:r w:rsidRPr="00E52EB4">
          <w:rPr>
            <w:rStyle w:val="Hyperlink1"/>
            <w:sz w:val="24"/>
            <w:lang w:val="ro-RO"/>
          </w:rPr>
          <w:t>http://data.europa.eu/eli/reg/2018/1046/oj</w:t>
        </w:r>
      </w:hyperlink>
      <w:r w:rsidRPr="00E52EB4">
        <w:rPr>
          <w:sz w:val="24"/>
          <w:lang w:val="ro-RO"/>
        </w:rPr>
        <w:t>.</w:t>
      </w:r>
    </w:p>
  </w:footnote>
  <w:footnote w:id="58">
    <w:p w14:paraId="53F8998C" w14:textId="77777777" w:rsidR="00344BA4" w:rsidRPr="001E60A3" w:rsidRDefault="00344BA4" w:rsidP="00344BA4">
      <w:pPr>
        <w:pStyle w:val="FootnoteText"/>
        <w:ind w:left="567" w:hanging="567"/>
        <w:rPr>
          <w:sz w:val="24"/>
          <w:szCs w:val="24"/>
          <w:lang w:val="ro-RO"/>
        </w:rPr>
      </w:pPr>
      <w:r w:rsidRPr="001E60A3">
        <w:rPr>
          <w:rStyle w:val="FootnoteReference"/>
          <w:sz w:val="24"/>
        </w:rPr>
        <w:footnoteRef/>
      </w:r>
      <w:r w:rsidRPr="00E52EB4">
        <w:rPr>
          <w:sz w:val="24"/>
          <w:lang w:val="ro-RO"/>
        </w:rPr>
        <w:tab/>
      </w:r>
      <w:r w:rsidRPr="00E52EB4">
        <w:rPr>
          <w:sz w:val="24"/>
          <w:lang w:val="ro-RO"/>
        </w:rPr>
        <w:t xml:space="preserve">JO L, 2024/2509, 26.9.2024, ELI: </w:t>
      </w:r>
      <w:hyperlink r:id="rId58"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59">
    <w:p w14:paraId="03276176" w14:textId="77777777" w:rsidR="00344BA4" w:rsidRPr="001E60A3" w:rsidRDefault="00344BA4" w:rsidP="00344BA4">
      <w:pPr>
        <w:pStyle w:val="FootnoteText"/>
        <w:ind w:left="567" w:hanging="567"/>
        <w:rPr>
          <w:sz w:val="24"/>
          <w:szCs w:val="24"/>
          <w:lang w:val="ro-RO"/>
        </w:rPr>
      </w:pPr>
      <w:r w:rsidRPr="001E60A3">
        <w:rPr>
          <w:rStyle w:val="FootnoteReference"/>
          <w:sz w:val="24"/>
        </w:rPr>
        <w:footnoteRef/>
      </w:r>
      <w:r w:rsidRPr="00E52EB4">
        <w:rPr>
          <w:sz w:val="24"/>
          <w:lang w:val="ro-RO"/>
        </w:rPr>
        <w:tab/>
      </w:r>
      <w:r w:rsidRPr="00E52EB4">
        <w:rPr>
          <w:sz w:val="24"/>
          <w:lang w:val="ro-RO"/>
        </w:rPr>
        <w:t xml:space="preserve">JO L 256, 19.7.2021, p. 3, ELI: </w:t>
      </w:r>
      <w:hyperlink r:id="rId59" w:history="1">
        <w:r w:rsidRPr="00E52EB4">
          <w:rPr>
            <w:rStyle w:val="Hyperlink1"/>
            <w:sz w:val="24"/>
            <w:lang w:val="ro-RO"/>
          </w:rPr>
          <w:t>https://data.europa.eu/eli/reg/2021/1173/oj</w:t>
        </w:r>
      </w:hyperlink>
      <w:r w:rsidRPr="00E52EB4">
        <w:rPr>
          <w:sz w:val="24"/>
          <w:lang w:val="ro-RO"/>
        </w:rPr>
        <w:t>.</w:t>
      </w:r>
    </w:p>
  </w:footnote>
  <w:footnote w:id="60">
    <w:p w14:paraId="18D297EE" w14:textId="77777777" w:rsidR="00344BA4" w:rsidRPr="001E60A3" w:rsidRDefault="00344BA4" w:rsidP="00344BA4">
      <w:pPr>
        <w:pStyle w:val="FootnoteText"/>
        <w:ind w:left="567" w:hanging="567"/>
        <w:rPr>
          <w:sz w:val="24"/>
          <w:szCs w:val="24"/>
          <w:lang w:val="ro-RO"/>
        </w:rPr>
      </w:pPr>
      <w:r w:rsidRPr="001E60A3">
        <w:rPr>
          <w:rStyle w:val="FootnoteReference"/>
          <w:sz w:val="24"/>
        </w:rPr>
        <w:footnoteRef/>
      </w:r>
      <w:r w:rsidRPr="00E52EB4">
        <w:rPr>
          <w:sz w:val="24"/>
          <w:lang w:val="ro-RO"/>
        </w:rPr>
        <w:tab/>
      </w:r>
      <w:r w:rsidRPr="00E52EB4">
        <w:rPr>
          <w:sz w:val="24"/>
          <w:lang w:val="ro-RO"/>
        </w:rPr>
        <w:t xml:space="preserve">JO L 142, 29.5.2019, p. 16, ELI: </w:t>
      </w:r>
      <w:hyperlink r:id="rId60" w:history="1">
        <w:r w:rsidRPr="00E52EB4">
          <w:rPr>
            <w:rStyle w:val="Hyperlink1"/>
            <w:sz w:val="24"/>
            <w:lang w:val="ro-RO"/>
          </w:rPr>
          <w:t>http://data.europa.eu/eli/reg_del/2019/887/oj</w:t>
        </w:r>
      </w:hyperlink>
      <w:r w:rsidRPr="00E52EB4">
        <w:rPr>
          <w:sz w:val="24"/>
          <w:lang w:val="ro-RO"/>
        </w:rPr>
        <w:t>.</w:t>
      </w:r>
    </w:p>
  </w:footnote>
  <w:footnote w:id="61">
    <w:p w14:paraId="621B3172" w14:textId="77777777" w:rsidR="00344BA4" w:rsidRPr="005A45E6" w:rsidRDefault="00344BA4" w:rsidP="00344BA4">
      <w:pPr>
        <w:pStyle w:val="FootnoteText"/>
        <w:ind w:left="567" w:hanging="567"/>
        <w:rPr>
          <w:sz w:val="24"/>
          <w:lang w:val="ro-RO"/>
        </w:rPr>
      </w:pPr>
      <w:r w:rsidRPr="005A45E6">
        <w:rPr>
          <w:rStyle w:val="FootnoteReference"/>
          <w:sz w:val="24"/>
        </w:rPr>
        <w:footnoteRef/>
      </w:r>
      <w:r w:rsidRPr="00E52EB4">
        <w:rPr>
          <w:sz w:val="24"/>
          <w:lang w:val="ro-RO"/>
        </w:rPr>
        <w:tab/>
      </w:r>
      <w:r w:rsidRPr="00E52EB4">
        <w:rPr>
          <w:sz w:val="24"/>
          <w:lang w:val="ro-RO"/>
        </w:rPr>
        <w:t xml:space="preserve">JO C, C/2024/6841, 13.11.2024, ELI: </w:t>
      </w:r>
      <w:hyperlink r:id="rId61" w:history="1">
        <w:r w:rsidRPr="00E52EB4">
          <w:rPr>
            <w:rStyle w:val="Hyperlink1"/>
            <w:sz w:val="24"/>
            <w:lang w:val="ro-RO"/>
          </w:rPr>
          <w:t>http://data.europa.eu/eli/C/2024/6841/oj</w:t>
        </w:r>
      </w:hyperlink>
      <w:r w:rsidRPr="00E52EB4">
        <w:rPr>
          <w:sz w:val="24"/>
          <w:lang w:val="ro-RO"/>
        </w:rPr>
        <w:t>.</w:t>
      </w:r>
    </w:p>
  </w:footnote>
  <w:footnote w:id="62">
    <w:p w14:paraId="4844C4CB" w14:textId="77777777" w:rsidR="00344BA4" w:rsidRPr="005A45E6" w:rsidRDefault="00344BA4" w:rsidP="00344BA4">
      <w:pPr>
        <w:pStyle w:val="FootnoteText"/>
        <w:ind w:left="567" w:hanging="567"/>
        <w:rPr>
          <w:sz w:val="24"/>
          <w:lang w:val="ro-RO"/>
        </w:rPr>
      </w:pPr>
      <w:r w:rsidRPr="005A45E6">
        <w:rPr>
          <w:rStyle w:val="FootnoteReference"/>
          <w:sz w:val="24"/>
        </w:rPr>
        <w:footnoteRef/>
      </w:r>
      <w:r w:rsidRPr="00E52EB4">
        <w:rPr>
          <w:sz w:val="24"/>
          <w:lang w:val="ro-RO"/>
        </w:rPr>
        <w:tab/>
      </w:r>
      <w:r w:rsidRPr="00E52EB4">
        <w:rPr>
          <w:sz w:val="24"/>
          <w:lang w:val="ro-RO"/>
        </w:rPr>
        <w:t xml:space="preserve">JO C, C/2024/6041, 10.10.2024, ELI: </w:t>
      </w:r>
      <w:hyperlink r:id="rId62" w:history="1">
        <w:r w:rsidRPr="00E52EB4">
          <w:rPr>
            <w:rStyle w:val="Hyperlink1"/>
            <w:sz w:val="24"/>
            <w:lang w:val="ro-RO"/>
          </w:rPr>
          <w:t>http://data.europa.eu/eli/C/2024/6041/oj</w:t>
        </w:r>
      </w:hyperlink>
      <w:r w:rsidRPr="00E52EB4">
        <w:rPr>
          <w:sz w:val="24"/>
          <w:lang w:val="ro-RO"/>
        </w:rPr>
        <w:t>.</w:t>
      </w:r>
    </w:p>
  </w:footnote>
  <w:footnote w:id="63">
    <w:p w14:paraId="113E8C8C" w14:textId="77777777" w:rsidR="00344BA4" w:rsidRPr="005A45E6" w:rsidRDefault="00344BA4" w:rsidP="00344BA4">
      <w:pPr>
        <w:pStyle w:val="FootnoteText"/>
        <w:ind w:left="567" w:hanging="567"/>
        <w:rPr>
          <w:sz w:val="24"/>
          <w:lang w:val="ro-RO"/>
        </w:rPr>
      </w:pPr>
      <w:r w:rsidRPr="005A45E6">
        <w:rPr>
          <w:rStyle w:val="FootnoteReference"/>
          <w:sz w:val="24"/>
        </w:rPr>
        <w:footnoteRef/>
      </w:r>
      <w:r w:rsidRPr="00E52EB4">
        <w:rPr>
          <w:sz w:val="24"/>
          <w:lang w:val="ro-RO"/>
        </w:rPr>
        <w:tab/>
      </w:r>
      <w:r w:rsidRPr="00E52EB4">
        <w:rPr>
          <w:sz w:val="24"/>
          <w:lang w:val="ro-RO"/>
        </w:rPr>
        <w:t xml:space="preserve">JO L 193, 30.7.2018, p. 1, ELI: </w:t>
      </w:r>
      <w:hyperlink r:id="rId63" w:history="1">
        <w:r w:rsidRPr="00E52EB4">
          <w:rPr>
            <w:rStyle w:val="Hyperlink1"/>
            <w:sz w:val="24"/>
            <w:lang w:val="ro-RO"/>
          </w:rPr>
          <w:t>http://data.europa.eu/eli/reg/2018/1046/oj</w:t>
        </w:r>
      </w:hyperlink>
      <w:r w:rsidRPr="00E52EB4">
        <w:rPr>
          <w:sz w:val="24"/>
          <w:lang w:val="ro-RO"/>
        </w:rPr>
        <w:t>.</w:t>
      </w:r>
    </w:p>
  </w:footnote>
  <w:footnote w:id="64">
    <w:p w14:paraId="27A28072" w14:textId="77777777" w:rsidR="00344BA4" w:rsidRPr="005A45E6" w:rsidRDefault="00344BA4" w:rsidP="00344BA4">
      <w:pPr>
        <w:pStyle w:val="FootnoteText"/>
        <w:ind w:left="567" w:hanging="567"/>
        <w:rPr>
          <w:sz w:val="24"/>
          <w:lang w:val="ro-RO"/>
        </w:rPr>
      </w:pPr>
      <w:r w:rsidRPr="005A45E6">
        <w:rPr>
          <w:rStyle w:val="FootnoteReference"/>
          <w:sz w:val="24"/>
        </w:rPr>
        <w:footnoteRef/>
      </w:r>
      <w:r w:rsidRPr="00E52EB4">
        <w:rPr>
          <w:sz w:val="24"/>
          <w:lang w:val="ro-RO"/>
        </w:rPr>
        <w:tab/>
      </w:r>
      <w:r w:rsidRPr="00E52EB4">
        <w:rPr>
          <w:sz w:val="24"/>
          <w:lang w:val="ro-RO"/>
        </w:rPr>
        <w:t xml:space="preserve">JO L, 2024/2509, 26.9.2024, ELI: </w:t>
      </w:r>
      <w:hyperlink r:id="rId64"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65">
    <w:p w14:paraId="202667FD" w14:textId="77777777" w:rsidR="00344BA4" w:rsidRPr="005A45E6" w:rsidRDefault="00344BA4" w:rsidP="00344BA4">
      <w:pPr>
        <w:pStyle w:val="FootnoteText"/>
        <w:ind w:left="567" w:hanging="567"/>
        <w:rPr>
          <w:sz w:val="24"/>
          <w:lang w:val="ro-RO"/>
        </w:rPr>
      </w:pPr>
      <w:r w:rsidRPr="005A45E6">
        <w:rPr>
          <w:rStyle w:val="FootnoteReference"/>
          <w:sz w:val="24"/>
        </w:rPr>
        <w:footnoteRef/>
      </w:r>
      <w:r w:rsidRPr="00E52EB4">
        <w:rPr>
          <w:sz w:val="24"/>
          <w:lang w:val="ro-RO"/>
        </w:rPr>
        <w:tab/>
      </w:r>
      <w:r w:rsidRPr="00E52EB4">
        <w:rPr>
          <w:sz w:val="24"/>
          <w:lang w:val="ro-RO"/>
        </w:rPr>
        <w:t xml:space="preserve">JO L 90, 30.3.2007, p. 58, ELI: </w:t>
      </w:r>
      <w:hyperlink r:id="rId65" w:history="1">
        <w:r w:rsidRPr="00E52EB4">
          <w:rPr>
            <w:rStyle w:val="Hyperlink1"/>
            <w:sz w:val="24"/>
            <w:lang w:val="ro-RO"/>
          </w:rPr>
          <w:t>http://data.europa.eu/eli/dec/2007/198/oj</w:t>
        </w:r>
      </w:hyperlink>
      <w:r w:rsidRPr="00E52EB4">
        <w:rPr>
          <w:sz w:val="24"/>
          <w:lang w:val="ro-RO"/>
        </w:rPr>
        <w:t>.</w:t>
      </w:r>
    </w:p>
  </w:footnote>
  <w:footnote w:id="66">
    <w:p w14:paraId="7C700ED4" w14:textId="77777777" w:rsidR="00344BA4" w:rsidRPr="005A45E6" w:rsidRDefault="00344BA4" w:rsidP="00344BA4">
      <w:pPr>
        <w:pStyle w:val="FootnoteText"/>
        <w:ind w:left="567" w:hanging="567"/>
        <w:rPr>
          <w:sz w:val="24"/>
          <w:lang w:val="ro-RO"/>
        </w:rPr>
      </w:pPr>
      <w:r w:rsidRPr="005A45E6">
        <w:rPr>
          <w:rStyle w:val="FootnoteReference"/>
          <w:sz w:val="24"/>
        </w:rPr>
        <w:footnoteRef/>
      </w:r>
      <w:r w:rsidRPr="00E52EB4">
        <w:rPr>
          <w:sz w:val="24"/>
          <w:lang w:val="ro-RO"/>
        </w:rPr>
        <w:tab/>
      </w:r>
      <w:r w:rsidRPr="00E52EB4">
        <w:rPr>
          <w:sz w:val="24"/>
          <w:lang w:val="ro-RO"/>
        </w:rPr>
        <w:t xml:space="preserve">JO L 122, 10.5.2019, p. 1, ELI: </w:t>
      </w:r>
      <w:hyperlink r:id="rId66" w:history="1">
        <w:r w:rsidRPr="00E52EB4">
          <w:rPr>
            <w:rStyle w:val="Hyperlink1"/>
            <w:sz w:val="24"/>
            <w:lang w:val="ro-RO"/>
          </w:rPr>
          <w:t>http://data.europa.eu/eli/reg_del/2019/715/oj</w:t>
        </w:r>
      </w:hyperlink>
      <w:r w:rsidRPr="00E52EB4">
        <w:rPr>
          <w:sz w:val="24"/>
          <w:lang w:val="ro-RO"/>
        </w:rPr>
        <w:t>.</w:t>
      </w:r>
    </w:p>
  </w:footnote>
  <w:footnote w:id="67">
    <w:p w14:paraId="71F5C483" w14:textId="77777777" w:rsidR="00344BA4" w:rsidRPr="000D5A93" w:rsidRDefault="00344BA4" w:rsidP="00344BA4">
      <w:pPr>
        <w:pStyle w:val="FootnoteText"/>
        <w:ind w:left="567" w:hanging="567"/>
        <w:rPr>
          <w:sz w:val="24"/>
          <w:lang w:val="ro-RO"/>
        </w:rPr>
      </w:pPr>
      <w:r w:rsidRPr="000D5A93">
        <w:rPr>
          <w:rStyle w:val="FootnoteReference"/>
          <w:sz w:val="24"/>
        </w:rPr>
        <w:footnoteRef/>
      </w:r>
      <w:r w:rsidRPr="00E52EB4">
        <w:rPr>
          <w:sz w:val="24"/>
          <w:lang w:val="ro-RO"/>
        </w:rPr>
        <w:tab/>
      </w:r>
      <w:r w:rsidRPr="00E52EB4">
        <w:rPr>
          <w:sz w:val="24"/>
          <w:lang w:val="ro-RO"/>
        </w:rPr>
        <w:t xml:space="preserve">JO C, C/2024/6841, 13.11.2024, ELI: </w:t>
      </w:r>
      <w:hyperlink r:id="rId67" w:history="1">
        <w:r w:rsidRPr="00E52EB4">
          <w:rPr>
            <w:rStyle w:val="Hyperlink1"/>
            <w:sz w:val="24"/>
            <w:lang w:val="ro-RO"/>
          </w:rPr>
          <w:t>http://data.europa.eu/eli/C/2024/6841/oj</w:t>
        </w:r>
      </w:hyperlink>
      <w:r w:rsidRPr="00E52EB4">
        <w:rPr>
          <w:sz w:val="24"/>
          <w:lang w:val="ro-RO"/>
        </w:rPr>
        <w:t>.</w:t>
      </w:r>
    </w:p>
  </w:footnote>
  <w:footnote w:id="68">
    <w:p w14:paraId="7C80CC33" w14:textId="77777777" w:rsidR="00344BA4" w:rsidRPr="000D5A93" w:rsidRDefault="00344BA4" w:rsidP="00344BA4">
      <w:pPr>
        <w:pStyle w:val="FootnoteText"/>
        <w:ind w:left="567" w:hanging="567"/>
        <w:rPr>
          <w:sz w:val="24"/>
          <w:lang w:val="ro-RO"/>
        </w:rPr>
      </w:pPr>
      <w:r w:rsidRPr="000D5A93">
        <w:rPr>
          <w:rStyle w:val="FootnoteReference"/>
          <w:sz w:val="24"/>
        </w:rPr>
        <w:footnoteRef/>
      </w:r>
      <w:r w:rsidRPr="00E52EB4">
        <w:rPr>
          <w:sz w:val="24"/>
          <w:lang w:val="ro-RO"/>
        </w:rPr>
        <w:tab/>
      </w:r>
      <w:r w:rsidRPr="00E52EB4">
        <w:rPr>
          <w:sz w:val="24"/>
          <w:lang w:val="ro-RO"/>
        </w:rPr>
        <w:t xml:space="preserve">JO C, C/2024/6041, 10.10.2024, ELI: </w:t>
      </w:r>
      <w:hyperlink r:id="rId68" w:history="1">
        <w:r w:rsidRPr="00E52EB4">
          <w:rPr>
            <w:rStyle w:val="Hyperlink1"/>
            <w:sz w:val="24"/>
            <w:lang w:val="ro-RO"/>
          </w:rPr>
          <w:t>http://data.europa.eu/eli/C/2024/6041/oj</w:t>
        </w:r>
      </w:hyperlink>
      <w:r w:rsidRPr="00E52EB4">
        <w:rPr>
          <w:sz w:val="24"/>
          <w:lang w:val="ro-RO"/>
        </w:rPr>
        <w:t>.</w:t>
      </w:r>
    </w:p>
  </w:footnote>
  <w:footnote w:id="69">
    <w:p w14:paraId="7426AF0B" w14:textId="77777777" w:rsidR="00344BA4" w:rsidRPr="000D5A93" w:rsidRDefault="00344BA4" w:rsidP="00344BA4">
      <w:pPr>
        <w:pStyle w:val="FootnoteText"/>
        <w:ind w:left="567" w:hanging="567"/>
        <w:rPr>
          <w:sz w:val="24"/>
          <w:lang w:val="ro-RO"/>
        </w:rPr>
      </w:pPr>
      <w:r w:rsidRPr="000D5A93">
        <w:rPr>
          <w:rStyle w:val="FootnoteReference"/>
          <w:sz w:val="24"/>
        </w:rPr>
        <w:footnoteRef/>
      </w:r>
      <w:r w:rsidRPr="00E52EB4">
        <w:rPr>
          <w:sz w:val="24"/>
          <w:lang w:val="ro-RO"/>
        </w:rPr>
        <w:tab/>
      </w:r>
      <w:r w:rsidRPr="00E52EB4">
        <w:rPr>
          <w:sz w:val="24"/>
          <w:lang w:val="ro-RO"/>
        </w:rPr>
        <w:t xml:space="preserve">JO L 193, 30.7.2018, p. 1, ELI: </w:t>
      </w:r>
      <w:hyperlink r:id="rId69" w:history="1">
        <w:r w:rsidRPr="00E52EB4">
          <w:rPr>
            <w:rStyle w:val="Hyperlink1"/>
            <w:sz w:val="24"/>
            <w:lang w:val="ro-RO"/>
          </w:rPr>
          <w:t>http://data.europa.eu/eli/reg/2018/1046/oj</w:t>
        </w:r>
      </w:hyperlink>
      <w:r w:rsidRPr="00E52EB4">
        <w:rPr>
          <w:sz w:val="24"/>
          <w:lang w:val="ro-RO"/>
        </w:rPr>
        <w:t>.</w:t>
      </w:r>
    </w:p>
  </w:footnote>
  <w:footnote w:id="70">
    <w:p w14:paraId="0B163634" w14:textId="77777777" w:rsidR="00344BA4" w:rsidRPr="000D5A93" w:rsidRDefault="00344BA4" w:rsidP="00344BA4">
      <w:pPr>
        <w:pStyle w:val="FootnoteText"/>
        <w:ind w:left="567" w:hanging="567"/>
        <w:rPr>
          <w:sz w:val="24"/>
          <w:lang w:val="ro-RO"/>
        </w:rPr>
      </w:pPr>
      <w:r w:rsidRPr="000D5A93">
        <w:rPr>
          <w:rStyle w:val="FootnoteReference"/>
          <w:sz w:val="24"/>
        </w:rPr>
        <w:footnoteRef/>
      </w:r>
      <w:r w:rsidRPr="00E52EB4">
        <w:rPr>
          <w:sz w:val="24"/>
          <w:lang w:val="ro-RO"/>
        </w:rPr>
        <w:tab/>
      </w:r>
      <w:r w:rsidRPr="00E52EB4">
        <w:rPr>
          <w:sz w:val="24"/>
          <w:lang w:val="ro-RO"/>
        </w:rPr>
        <w:t xml:space="preserve">JO L, 2024/2509, 26.9.2024, ELI: </w:t>
      </w:r>
      <w:hyperlink r:id="rId70" w:history="1">
        <w:r w:rsidRPr="00E52EB4">
          <w:rPr>
            <w:rStyle w:val="Hyperlink"/>
            <w:sz w:val="24"/>
            <w:shd w:val="clear" w:color="auto" w:fill="FFFFFF"/>
            <w:lang w:val="ro-RO"/>
          </w:rPr>
          <w:t>http://data.europa.eu/eli/reg/2024/2509/oj</w:t>
        </w:r>
      </w:hyperlink>
      <w:r w:rsidRPr="00E52EB4">
        <w:rPr>
          <w:sz w:val="24"/>
          <w:lang w:val="ro-RO"/>
        </w:rPr>
        <w:t>.</w:t>
      </w:r>
    </w:p>
  </w:footnote>
  <w:footnote w:id="71">
    <w:p w14:paraId="6E2A3072" w14:textId="77777777" w:rsidR="00344BA4" w:rsidRPr="000D5A93" w:rsidRDefault="00344BA4" w:rsidP="00344BA4">
      <w:pPr>
        <w:pStyle w:val="FootnoteText"/>
        <w:ind w:left="567" w:hanging="567"/>
        <w:rPr>
          <w:sz w:val="24"/>
          <w:lang w:val="ro-RO"/>
        </w:rPr>
      </w:pPr>
      <w:r w:rsidRPr="000D5A93">
        <w:rPr>
          <w:rStyle w:val="FootnoteReference"/>
          <w:sz w:val="24"/>
        </w:rPr>
        <w:footnoteRef/>
      </w:r>
      <w:r w:rsidRPr="00E52EB4">
        <w:rPr>
          <w:sz w:val="24"/>
          <w:lang w:val="ro-RO"/>
        </w:rPr>
        <w:tab/>
      </w:r>
      <w:r w:rsidRPr="00E52EB4">
        <w:rPr>
          <w:sz w:val="24"/>
          <w:lang w:val="ro-RO"/>
        </w:rPr>
        <w:t xml:space="preserve">JO L 90, 30.3.2007, p. 58, ELI: </w:t>
      </w:r>
      <w:hyperlink r:id="rId71" w:history="1">
        <w:r w:rsidRPr="00E52EB4">
          <w:rPr>
            <w:rStyle w:val="Hyperlink1"/>
            <w:sz w:val="24"/>
            <w:lang w:val="ro-RO"/>
          </w:rPr>
          <w:t>http://data.europa.eu/eli/dec/2007/198/oj</w:t>
        </w:r>
      </w:hyperlink>
      <w:r w:rsidRPr="00E52EB4">
        <w:rPr>
          <w:sz w:val="24"/>
          <w:lang w:val="ro-RO"/>
        </w:rPr>
        <w:t>.</w:t>
      </w:r>
    </w:p>
  </w:footnote>
  <w:footnote w:id="72">
    <w:p w14:paraId="63917129" w14:textId="77777777" w:rsidR="00344BA4" w:rsidRPr="000D5A93" w:rsidRDefault="00344BA4" w:rsidP="00344BA4">
      <w:pPr>
        <w:pStyle w:val="FootnoteText"/>
        <w:ind w:left="567" w:hanging="567"/>
        <w:rPr>
          <w:sz w:val="24"/>
          <w:lang w:val="ro-RO"/>
        </w:rPr>
      </w:pPr>
      <w:r w:rsidRPr="000D5A93">
        <w:rPr>
          <w:rStyle w:val="FootnoteReference"/>
          <w:sz w:val="24"/>
        </w:rPr>
        <w:footnoteRef/>
      </w:r>
      <w:r w:rsidRPr="00E52EB4">
        <w:rPr>
          <w:sz w:val="24"/>
          <w:lang w:val="ro-RO"/>
        </w:rPr>
        <w:tab/>
      </w:r>
      <w:r w:rsidRPr="00E52EB4">
        <w:rPr>
          <w:sz w:val="24"/>
          <w:lang w:val="ro-RO"/>
        </w:rPr>
        <w:t xml:space="preserve">JO L 122, 10.5.2019, p. 1, ELI: </w:t>
      </w:r>
      <w:hyperlink r:id="rId72" w:history="1">
        <w:r w:rsidRPr="00E52EB4">
          <w:rPr>
            <w:rStyle w:val="Hyperlink1"/>
            <w:sz w:val="24"/>
            <w:lang w:val="ro-RO"/>
          </w:rPr>
          <w:t>http://data.europa.eu/eli/reg_del/2019/715/oj</w:t>
        </w:r>
      </w:hyperlink>
      <w:r w:rsidRPr="00E52EB4">
        <w:rPr>
          <w:sz w:val="24"/>
          <w:lang w:val="ro-RO"/>
        </w:rPr>
        <w:t>.</w:t>
      </w:r>
    </w:p>
  </w:footnote>
  <w:footnote w:id="73">
    <w:p w14:paraId="5DAF1386" w14:textId="77777777" w:rsidR="00344BA4" w:rsidRPr="005E3DBA" w:rsidRDefault="00344BA4" w:rsidP="00344BA4">
      <w:pPr>
        <w:pStyle w:val="FootnoteText"/>
        <w:ind w:left="567" w:hanging="567"/>
        <w:rPr>
          <w:sz w:val="24"/>
          <w:szCs w:val="24"/>
          <w:lang w:val="ro-RO"/>
        </w:rPr>
      </w:pPr>
      <w:r w:rsidRPr="005E3DBA">
        <w:rPr>
          <w:rStyle w:val="FootnoteReference"/>
          <w:sz w:val="24"/>
        </w:rPr>
        <w:footnoteRef/>
      </w:r>
      <w:r w:rsidRPr="00E52EB4">
        <w:rPr>
          <w:sz w:val="24"/>
          <w:lang w:val="ro-RO"/>
        </w:rPr>
        <w:tab/>
      </w:r>
      <w:r w:rsidRPr="00E52EB4">
        <w:rPr>
          <w:sz w:val="24"/>
          <w:lang w:val="ro-RO"/>
        </w:rPr>
        <w:t xml:space="preserve">JO C, C/2024/6841, 13.11.2024, ELI: </w:t>
      </w:r>
      <w:hyperlink r:id="rId73" w:history="1">
        <w:r w:rsidRPr="00E52EB4">
          <w:rPr>
            <w:rStyle w:val="Hyperlink1"/>
            <w:sz w:val="24"/>
            <w:lang w:val="ro-RO"/>
          </w:rPr>
          <w:t>http://data.europa.eu/eli/C/2024/6841/oj</w:t>
        </w:r>
      </w:hyperlink>
      <w:r w:rsidRPr="00E52EB4">
        <w:rPr>
          <w:sz w:val="24"/>
          <w:lang w:val="ro-RO"/>
        </w:rPr>
        <w:t>.</w:t>
      </w:r>
    </w:p>
  </w:footnote>
  <w:footnote w:id="74">
    <w:p w14:paraId="208CEF85" w14:textId="77777777" w:rsidR="00344BA4" w:rsidRPr="005E3DBA" w:rsidRDefault="00344BA4" w:rsidP="00344BA4">
      <w:pPr>
        <w:pStyle w:val="FootnoteText"/>
        <w:ind w:left="567" w:hanging="567"/>
        <w:rPr>
          <w:sz w:val="24"/>
          <w:szCs w:val="24"/>
          <w:lang w:val="ro-RO"/>
        </w:rPr>
      </w:pPr>
      <w:r w:rsidRPr="005E3DBA">
        <w:rPr>
          <w:rStyle w:val="FootnoteReference"/>
          <w:sz w:val="24"/>
        </w:rPr>
        <w:footnoteRef/>
      </w:r>
      <w:r w:rsidRPr="00E52EB4">
        <w:rPr>
          <w:sz w:val="24"/>
          <w:lang w:val="ro-RO"/>
        </w:rPr>
        <w:tab/>
      </w:r>
      <w:r w:rsidRPr="00E52EB4">
        <w:rPr>
          <w:sz w:val="24"/>
          <w:lang w:val="ro-RO"/>
        </w:rPr>
        <w:t xml:space="preserve">JO C, C/2024/6041, 10.10.2024, ELI: </w:t>
      </w:r>
      <w:hyperlink r:id="rId74" w:history="1">
        <w:r w:rsidRPr="00E52EB4">
          <w:rPr>
            <w:rStyle w:val="Hyperlink1"/>
            <w:sz w:val="24"/>
            <w:lang w:val="ro-RO"/>
          </w:rPr>
          <w:t>http://data.europa.eu/eli/C/2024/6041/oj</w:t>
        </w:r>
      </w:hyperlink>
      <w:r w:rsidRPr="00E52EB4">
        <w:rPr>
          <w:sz w:val="24"/>
          <w:lang w:val="ro-RO"/>
        </w:rPr>
        <w:t>.</w:t>
      </w:r>
    </w:p>
  </w:footnote>
  <w:footnote w:id="75">
    <w:p w14:paraId="59CD941C" w14:textId="77777777" w:rsidR="00344BA4" w:rsidRPr="005E3DBA" w:rsidRDefault="00344BA4" w:rsidP="00344BA4">
      <w:pPr>
        <w:pStyle w:val="FootnoteText"/>
        <w:ind w:left="567" w:hanging="567"/>
        <w:rPr>
          <w:sz w:val="24"/>
          <w:szCs w:val="24"/>
          <w:lang w:val="ro-RO"/>
        </w:rPr>
      </w:pPr>
      <w:r w:rsidRPr="005E3DBA">
        <w:rPr>
          <w:rStyle w:val="FootnoteReference"/>
          <w:sz w:val="24"/>
        </w:rPr>
        <w:footnoteRef/>
      </w:r>
      <w:r w:rsidRPr="00E52EB4">
        <w:rPr>
          <w:sz w:val="24"/>
          <w:lang w:val="ro-RO"/>
        </w:rPr>
        <w:tab/>
      </w:r>
      <w:r w:rsidRPr="00E52EB4">
        <w:rPr>
          <w:sz w:val="24"/>
          <w:lang w:val="ro-RO"/>
        </w:rPr>
        <w:t xml:space="preserve">JO L 193, 30.7.2018, p. 1, ELI: </w:t>
      </w:r>
      <w:hyperlink r:id="rId75" w:history="1">
        <w:r w:rsidRPr="00E52EB4">
          <w:rPr>
            <w:rStyle w:val="Hyperlink1"/>
            <w:sz w:val="24"/>
            <w:lang w:val="ro-RO"/>
          </w:rPr>
          <w:t>http://data.europa.eu/eli/reg/2018/1046/oj</w:t>
        </w:r>
      </w:hyperlink>
      <w:r w:rsidRPr="00E52EB4">
        <w:rPr>
          <w:sz w:val="24"/>
          <w:lang w:val="ro-RO"/>
        </w:rPr>
        <w:t>.</w:t>
      </w:r>
    </w:p>
  </w:footnote>
  <w:footnote w:id="76">
    <w:p w14:paraId="3EB7EB5C" w14:textId="77777777" w:rsidR="00344BA4" w:rsidRPr="005E3DBA" w:rsidRDefault="00344BA4" w:rsidP="00344BA4">
      <w:pPr>
        <w:pStyle w:val="FootnoteText"/>
        <w:ind w:left="567" w:hanging="567"/>
        <w:rPr>
          <w:sz w:val="24"/>
          <w:szCs w:val="24"/>
          <w:lang w:val="ro-RO"/>
        </w:rPr>
      </w:pPr>
      <w:r w:rsidRPr="005E3DBA">
        <w:rPr>
          <w:rStyle w:val="FootnoteReference"/>
          <w:sz w:val="24"/>
        </w:rPr>
        <w:footnoteRef/>
      </w:r>
      <w:r w:rsidRPr="00E52EB4">
        <w:rPr>
          <w:sz w:val="24"/>
          <w:lang w:val="ro-RO"/>
        </w:rPr>
        <w:tab/>
      </w:r>
      <w:r w:rsidRPr="00E52EB4">
        <w:rPr>
          <w:sz w:val="24"/>
          <w:lang w:val="ro-RO"/>
        </w:rPr>
        <w:t xml:space="preserve">JO L, 2024/2509, 26.9.2024, ELI: </w:t>
      </w:r>
      <w:hyperlink r:id="rId76"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77">
    <w:p w14:paraId="30CD058F" w14:textId="77777777" w:rsidR="00344BA4" w:rsidRPr="005E3DBA" w:rsidRDefault="00344BA4" w:rsidP="00344BA4">
      <w:pPr>
        <w:pStyle w:val="FootnoteText"/>
        <w:ind w:left="567" w:hanging="567"/>
        <w:rPr>
          <w:sz w:val="24"/>
          <w:szCs w:val="24"/>
          <w:lang w:val="ro-RO"/>
        </w:rPr>
      </w:pPr>
      <w:r w:rsidRPr="005E3DBA">
        <w:rPr>
          <w:rStyle w:val="FootnoteReference"/>
          <w:sz w:val="24"/>
        </w:rPr>
        <w:footnoteRef/>
      </w:r>
      <w:r w:rsidRPr="00E52EB4">
        <w:rPr>
          <w:sz w:val="24"/>
          <w:lang w:val="ro-RO"/>
        </w:rPr>
        <w:tab/>
      </w:r>
      <w:r w:rsidRPr="00E52EB4">
        <w:rPr>
          <w:sz w:val="24"/>
          <w:lang w:val="ro-RO"/>
        </w:rPr>
        <w:t xml:space="preserve">JO L 427, 30.11.2021, p. 17, ELI: </w:t>
      </w:r>
      <w:hyperlink r:id="rId77" w:history="1">
        <w:r w:rsidRPr="00E52EB4">
          <w:rPr>
            <w:rStyle w:val="Hyperlink1"/>
            <w:sz w:val="24"/>
            <w:lang w:val="ro-RO"/>
          </w:rPr>
          <w:t>http://data.europa.eu/eli/reg/2021/2085/oj</w:t>
        </w:r>
      </w:hyperlink>
      <w:r w:rsidRPr="00E52EB4">
        <w:rPr>
          <w:sz w:val="24"/>
          <w:lang w:val="ro-RO"/>
        </w:rPr>
        <w:t>.</w:t>
      </w:r>
    </w:p>
  </w:footnote>
  <w:footnote w:id="78">
    <w:p w14:paraId="445B1052" w14:textId="77777777" w:rsidR="00344BA4" w:rsidRPr="005E3DBA" w:rsidRDefault="00344BA4" w:rsidP="00344BA4">
      <w:pPr>
        <w:pStyle w:val="FootnoteText"/>
        <w:ind w:left="567" w:hanging="567"/>
        <w:rPr>
          <w:sz w:val="24"/>
          <w:szCs w:val="24"/>
          <w:lang w:val="ro-RO"/>
        </w:rPr>
      </w:pPr>
      <w:r w:rsidRPr="005E3DBA">
        <w:rPr>
          <w:rStyle w:val="FootnoteReference"/>
          <w:sz w:val="24"/>
        </w:rPr>
        <w:footnoteRef/>
      </w:r>
      <w:r w:rsidRPr="00E52EB4">
        <w:rPr>
          <w:sz w:val="24"/>
          <w:lang w:val="ro-RO"/>
        </w:rPr>
        <w:tab/>
      </w:r>
      <w:r w:rsidRPr="00E52EB4">
        <w:rPr>
          <w:sz w:val="24"/>
          <w:lang w:val="ro-RO"/>
        </w:rPr>
        <w:t xml:space="preserve">JO L 142, 29.5.2019, p. 16, ELI: </w:t>
      </w:r>
      <w:hyperlink r:id="rId78" w:history="1">
        <w:r w:rsidRPr="00E52EB4">
          <w:rPr>
            <w:rStyle w:val="Hyperlink1"/>
            <w:sz w:val="24"/>
            <w:lang w:val="ro-RO"/>
          </w:rPr>
          <w:t>http://data.europa.eu/eli/reg_del/2019/887/oj</w:t>
        </w:r>
      </w:hyperlink>
      <w:r w:rsidRPr="00E52EB4">
        <w:rPr>
          <w:sz w:val="24"/>
          <w:lang w:val="ro-RO"/>
        </w:rPr>
        <w:t>.</w:t>
      </w:r>
    </w:p>
  </w:footnote>
  <w:footnote w:id="79">
    <w:p w14:paraId="748DFDAA" w14:textId="77777777" w:rsidR="00344BA4" w:rsidRPr="00423D3E" w:rsidRDefault="00344BA4" w:rsidP="00344BA4">
      <w:pPr>
        <w:pStyle w:val="FootnoteText"/>
        <w:ind w:left="567" w:hanging="567"/>
        <w:rPr>
          <w:sz w:val="24"/>
          <w:szCs w:val="24"/>
          <w:lang w:val="ro-RO"/>
        </w:rPr>
      </w:pPr>
      <w:r w:rsidRPr="00423D3E">
        <w:rPr>
          <w:rStyle w:val="FootnoteReference"/>
          <w:sz w:val="24"/>
        </w:rPr>
        <w:footnoteRef/>
      </w:r>
      <w:r w:rsidRPr="00E52EB4">
        <w:rPr>
          <w:sz w:val="24"/>
          <w:lang w:val="ro-RO"/>
        </w:rPr>
        <w:tab/>
      </w:r>
      <w:r w:rsidRPr="00E52EB4">
        <w:rPr>
          <w:sz w:val="24"/>
          <w:lang w:val="ro-RO"/>
        </w:rPr>
        <w:t xml:space="preserve">JO C, C/2024/6841, 13.11.2024, ELI: </w:t>
      </w:r>
      <w:hyperlink r:id="rId79" w:history="1">
        <w:r w:rsidRPr="00E52EB4">
          <w:rPr>
            <w:rStyle w:val="Hyperlink1"/>
            <w:sz w:val="24"/>
            <w:lang w:val="ro-RO"/>
          </w:rPr>
          <w:t>http://data.europa.eu/eli/C/2024/6841/oj</w:t>
        </w:r>
      </w:hyperlink>
      <w:r w:rsidRPr="00E52EB4">
        <w:rPr>
          <w:sz w:val="24"/>
          <w:lang w:val="ro-RO"/>
        </w:rPr>
        <w:t>.</w:t>
      </w:r>
    </w:p>
  </w:footnote>
  <w:footnote w:id="80">
    <w:p w14:paraId="064967D6" w14:textId="77777777" w:rsidR="00344BA4" w:rsidRPr="00423D3E" w:rsidRDefault="00344BA4" w:rsidP="00344BA4">
      <w:pPr>
        <w:pStyle w:val="FootnoteText"/>
        <w:ind w:left="567" w:hanging="567"/>
        <w:rPr>
          <w:sz w:val="24"/>
          <w:szCs w:val="24"/>
          <w:lang w:val="ro-RO"/>
        </w:rPr>
      </w:pPr>
      <w:r w:rsidRPr="00423D3E">
        <w:rPr>
          <w:rStyle w:val="FootnoteReference"/>
          <w:sz w:val="24"/>
        </w:rPr>
        <w:footnoteRef/>
      </w:r>
      <w:r w:rsidRPr="00E52EB4">
        <w:rPr>
          <w:sz w:val="24"/>
          <w:lang w:val="ro-RO"/>
        </w:rPr>
        <w:tab/>
      </w:r>
      <w:r w:rsidRPr="00E52EB4">
        <w:rPr>
          <w:sz w:val="24"/>
          <w:lang w:val="ro-RO"/>
        </w:rPr>
        <w:t xml:space="preserve">JO C, C/2024/6041, 10.10.2024, ELI: </w:t>
      </w:r>
      <w:hyperlink r:id="rId80" w:history="1">
        <w:r w:rsidRPr="00E52EB4">
          <w:rPr>
            <w:rStyle w:val="Hyperlink1"/>
            <w:sz w:val="24"/>
            <w:lang w:val="ro-RO"/>
          </w:rPr>
          <w:t>http://data.europa.eu/eli/C/2024/6041/oj</w:t>
        </w:r>
      </w:hyperlink>
      <w:r w:rsidRPr="00E52EB4">
        <w:rPr>
          <w:sz w:val="24"/>
          <w:lang w:val="ro-RO"/>
        </w:rPr>
        <w:t>.</w:t>
      </w:r>
    </w:p>
  </w:footnote>
  <w:footnote w:id="81">
    <w:p w14:paraId="492120A2" w14:textId="77777777" w:rsidR="00344BA4" w:rsidRPr="00423D3E" w:rsidRDefault="00344BA4" w:rsidP="00344BA4">
      <w:pPr>
        <w:pStyle w:val="FootnoteText"/>
        <w:ind w:left="567" w:hanging="567"/>
        <w:rPr>
          <w:sz w:val="24"/>
          <w:szCs w:val="24"/>
          <w:lang w:val="ro-RO"/>
        </w:rPr>
      </w:pPr>
      <w:r w:rsidRPr="00423D3E">
        <w:rPr>
          <w:rStyle w:val="FootnoteReference"/>
          <w:sz w:val="24"/>
        </w:rPr>
        <w:footnoteRef/>
      </w:r>
      <w:r w:rsidRPr="00E52EB4">
        <w:rPr>
          <w:sz w:val="24"/>
          <w:lang w:val="ro-RO"/>
        </w:rPr>
        <w:tab/>
      </w:r>
      <w:r w:rsidRPr="00E52EB4">
        <w:rPr>
          <w:sz w:val="24"/>
          <w:lang w:val="ro-RO"/>
        </w:rPr>
        <w:t xml:space="preserve">JO L 193, 30.7.2018, p. 1, ELI: </w:t>
      </w:r>
      <w:hyperlink r:id="rId81" w:history="1">
        <w:r w:rsidRPr="00E52EB4">
          <w:rPr>
            <w:rStyle w:val="Hyperlink1"/>
            <w:sz w:val="24"/>
            <w:lang w:val="ro-RO"/>
          </w:rPr>
          <w:t>http://data.europa.eu/eli/reg/2018/1046/oj</w:t>
        </w:r>
      </w:hyperlink>
      <w:r w:rsidRPr="00E52EB4">
        <w:rPr>
          <w:sz w:val="24"/>
          <w:lang w:val="ro-RO"/>
        </w:rPr>
        <w:t>.</w:t>
      </w:r>
    </w:p>
  </w:footnote>
  <w:footnote w:id="82">
    <w:p w14:paraId="16EDC0EB" w14:textId="77777777" w:rsidR="00344BA4" w:rsidRPr="00423D3E" w:rsidRDefault="00344BA4" w:rsidP="00344BA4">
      <w:pPr>
        <w:pStyle w:val="FootnoteText"/>
        <w:ind w:left="567" w:hanging="567"/>
        <w:rPr>
          <w:sz w:val="24"/>
          <w:szCs w:val="24"/>
          <w:lang w:val="ro-RO"/>
        </w:rPr>
      </w:pPr>
      <w:r w:rsidRPr="00423D3E">
        <w:rPr>
          <w:rStyle w:val="FootnoteReference"/>
          <w:sz w:val="24"/>
        </w:rPr>
        <w:footnoteRef/>
      </w:r>
      <w:r w:rsidRPr="00E52EB4">
        <w:rPr>
          <w:sz w:val="24"/>
          <w:lang w:val="ro-RO"/>
        </w:rPr>
        <w:tab/>
      </w:r>
      <w:r w:rsidRPr="00E52EB4">
        <w:rPr>
          <w:sz w:val="24"/>
          <w:lang w:val="ro-RO"/>
        </w:rPr>
        <w:t xml:space="preserve">JO L, 2024/2509, 26.9.2024, ELI: </w:t>
      </w:r>
      <w:hyperlink r:id="rId82"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83">
    <w:p w14:paraId="3A0EB796" w14:textId="77777777" w:rsidR="00344BA4" w:rsidRPr="00423D3E" w:rsidRDefault="00344BA4" w:rsidP="00344BA4">
      <w:pPr>
        <w:pStyle w:val="FootnoteText"/>
        <w:ind w:left="567" w:hanging="567"/>
        <w:rPr>
          <w:sz w:val="24"/>
          <w:szCs w:val="24"/>
          <w:lang w:val="ro-RO"/>
        </w:rPr>
      </w:pPr>
      <w:r w:rsidRPr="00423D3E">
        <w:rPr>
          <w:rStyle w:val="FootnoteReference"/>
          <w:sz w:val="24"/>
        </w:rPr>
        <w:footnoteRef/>
      </w:r>
      <w:r w:rsidRPr="00E52EB4">
        <w:rPr>
          <w:sz w:val="24"/>
          <w:lang w:val="ro-RO"/>
        </w:rPr>
        <w:tab/>
      </w:r>
      <w:r w:rsidRPr="00E52EB4">
        <w:rPr>
          <w:sz w:val="24"/>
          <w:lang w:val="ro-RO"/>
        </w:rPr>
        <w:t xml:space="preserve">JO L 427, 30.11.2021, p. 17, ELI: </w:t>
      </w:r>
      <w:hyperlink r:id="rId83" w:history="1">
        <w:r w:rsidRPr="00E52EB4">
          <w:rPr>
            <w:rStyle w:val="Hyperlink1"/>
            <w:sz w:val="24"/>
            <w:lang w:val="ro-RO"/>
          </w:rPr>
          <w:t>http://data.europa.eu/eli/reg/2021/2085/oj</w:t>
        </w:r>
      </w:hyperlink>
      <w:r w:rsidRPr="00E52EB4">
        <w:rPr>
          <w:sz w:val="24"/>
          <w:lang w:val="ro-RO"/>
        </w:rPr>
        <w:t>.</w:t>
      </w:r>
    </w:p>
  </w:footnote>
  <w:footnote w:id="84">
    <w:p w14:paraId="61A5C284" w14:textId="77777777" w:rsidR="00344BA4" w:rsidRPr="00423D3E" w:rsidRDefault="00344BA4" w:rsidP="00344BA4">
      <w:pPr>
        <w:pStyle w:val="FootnoteText"/>
        <w:ind w:left="567" w:hanging="567"/>
        <w:rPr>
          <w:sz w:val="24"/>
          <w:szCs w:val="24"/>
          <w:lang w:val="ro-RO"/>
        </w:rPr>
      </w:pPr>
      <w:r w:rsidRPr="00423D3E">
        <w:rPr>
          <w:rStyle w:val="FootnoteReference"/>
          <w:sz w:val="24"/>
        </w:rPr>
        <w:footnoteRef/>
      </w:r>
      <w:r w:rsidRPr="00E52EB4">
        <w:rPr>
          <w:sz w:val="24"/>
          <w:lang w:val="ro-RO"/>
        </w:rPr>
        <w:tab/>
      </w:r>
      <w:r w:rsidRPr="00E52EB4">
        <w:rPr>
          <w:sz w:val="24"/>
          <w:lang w:val="ro-RO"/>
        </w:rPr>
        <w:t xml:space="preserve">JO L 142, 29.5.2019, p. 16, ELI: </w:t>
      </w:r>
      <w:hyperlink r:id="rId84" w:history="1">
        <w:r w:rsidRPr="00E52EB4">
          <w:rPr>
            <w:rStyle w:val="Hyperlink1"/>
            <w:sz w:val="24"/>
            <w:lang w:val="ro-RO"/>
          </w:rPr>
          <w:t>http://data.europa.eu/eli/reg_del/2019/887/oj</w:t>
        </w:r>
      </w:hyperlink>
      <w:r w:rsidRPr="00E52EB4">
        <w:rPr>
          <w:sz w:val="24"/>
          <w:lang w:val="ro-RO"/>
        </w:rPr>
        <w:t>.</w:t>
      </w:r>
    </w:p>
  </w:footnote>
  <w:footnote w:id="85">
    <w:p w14:paraId="2F2437AB" w14:textId="77777777" w:rsidR="00344BA4" w:rsidRPr="00823D05" w:rsidRDefault="00344BA4" w:rsidP="00344BA4">
      <w:pPr>
        <w:pStyle w:val="FootnoteText"/>
        <w:ind w:left="567" w:hanging="567"/>
        <w:rPr>
          <w:sz w:val="24"/>
          <w:szCs w:val="24"/>
          <w:lang w:val="ro-RO"/>
        </w:rPr>
      </w:pPr>
      <w:r w:rsidRPr="00823D05">
        <w:rPr>
          <w:rStyle w:val="FootnoteReference"/>
          <w:sz w:val="24"/>
        </w:rPr>
        <w:footnoteRef/>
      </w:r>
      <w:r w:rsidRPr="00E52EB4">
        <w:rPr>
          <w:sz w:val="24"/>
          <w:lang w:val="ro-RO"/>
        </w:rPr>
        <w:tab/>
      </w:r>
      <w:r w:rsidRPr="00E52EB4">
        <w:rPr>
          <w:sz w:val="24"/>
          <w:lang w:val="ro-RO"/>
        </w:rPr>
        <w:t xml:space="preserve">JO C, C/2024/6841, 13.11.2024, ELI: </w:t>
      </w:r>
      <w:hyperlink r:id="rId85" w:history="1">
        <w:r w:rsidRPr="00E52EB4">
          <w:rPr>
            <w:rStyle w:val="Hyperlink1"/>
            <w:sz w:val="24"/>
            <w:lang w:val="ro-RO"/>
          </w:rPr>
          <w:t>http://data.europa.eu/eli/C/2024/6841/oj</w:t>
        </w:r>
      </w:hyperlink>
      <w:r w:rsidRPr="00E52EB4">
        <w:rPr>
          <w:sz w:val="24"/>
          <w:lang w:val="ro-RO"/>
        </w:rPr>
        <w:t>.</w:t>
      </w:r>
    </w:p>
  </w:footnote>
  <w:footnote w:id="86">
    <w:p w14:paraId="1B785C50" w14:textId="77777777" w:rsidR="00344BA4" w:rsidRPr="00823D05" w:rsidRDefault="00344BA4" w:rsidP="00344BA4">
      <w:pPr>
        <w:pStyle w:val="FootnoteText"/>
        <w:ind w:left="567" w:hanging="567"/>
        <w:rPr>
          <w:sz w:val="24"/>
          <w:szCs w:val="24"/>
          <w:lang w:val="ro-RO"/>
        </w:rPr>
      </w:pPr>
      <w:r w:rsidRPr="00823D05">
        <w:rPr>
          <w:rStyle w:val="FootnoteReference"/>
          <w:sz w:val="24"/>
        </w:rPr>
        <w:footnoteRef/>
      </w:r>
      <w:r w:rsidRPr="00E52EB4">
        <w:rPr>
          <w:sz w:val="24"/>
          <w:lang w:val="ro-RO"/>
        </w:rPr>
        <w:tab/>
      </w:r>
      <w:r w:rsidRPr="00E52EB4">
        <w:rPr>
          <w:sz w:val="24"/>
          <w:lang w:val="ro-RO"/>
        </w:rPr>
        <w:t xml:space="preserve">JO C, C/2024/6041, 10.10.2024, ELI: </w:t>
      </w:r>
      <w:hyperlink r:id="rId86" w:history="1">
        <w:r w:rsidRPr="00E52EB4">
          <w:rPr>
            <w:rStyle w:val="Hyperlink1"/>
            <w:sz w:val="24"/>
            <w:lang w:val="ro-RO"/>
          </w:rPr>
          <w:t>http://data.europa.eu/eli/C/2024/6041/oj</w:t>
        </w:r>
      </w:hyperlink>
      <w:r w:rsidRPr="00E52EB4">
        <w:rPr>
          <w:sz w:val="24"/>
          <w:lang w:val="ro-RO"/>
        </w:rPr>
        <w:t>.</w:t>
      </w:r>
    </w:p>
  </w:footnote>
  <w:footnote w:id="87">
    <w:p w14:paraId="737A1D96" w14:textId="77777777" w:rsidR="00344BA4" w:rsidRPr="00823D05" w:rsidRDefault="00344BA4" w:rsidP="00344BA4">
      <w:pPr>
        <w:pStyle w:val="FootnoteText"/>
        <w:ind w:left="567" w:hanging="567"/>
        <w:rPr>
          <w:sz w:val="24"/>
          <w:szCs w:val="24"/>
          <w:lang w:val="ro-RO"/>
        </w:rPr>
      </w:pPr>
      <w:r w:rsidRPr="00823D05">
        <w:rPr>
          <w:rStyle w:val="FootnoteReference"/>
          <w:sz w:val="24"/>
        </w:rPr>
        <w:footnoteRef/>
      </w:r>
      <w:r w:rsidRPr="00E52EB4">
        <w:rPr>
          <w:sz w:val="24"/>
          <w:lang w:val="ro-RO"/>
        </w:rPr>
        <w:tab/>
      </w:r>
      <w:r w:rsidRPr="00E52EB4">
        <w:rPr>
          <w:sz w:val="24"/>
          <w:lang w:val="ro-RO"/>
        </w:rPr>
        <w:t xml:space="preserve">JO L 193, 30.7.2018, p. 1, ELI: </w:t>
      </w:r>
      <w:hyperlink r:id="rId87" w:history="1">
        <w:r w:rsidRPr="00E52EB4">
          <w:rPr>
            <w:rStyle w:val="Hyperlink1"/>
            <w:sz w:val="24"/>
            <w:lang w:val="ro-RO"/>
          </w:rPr>
          <w:t>http://data.europa.eu/eli/reg/2018/1046/oj</w:t>
        </w:r>
      </w:hyperlink>
      <w:r w:rsidRPr="00E52EB4">
        <w:rPr>
          <w:sz w:val="24"/>
          <w:lang w:val="ro-RO"/>
        </w:rPr>
        <w:t>.</w:t>
      </w:r>
    </w:p>
  </w:footnote>
  <w:footnote w:id="88">
    <w:p w14:paraId="2ECDE9FF" w14:textId="77777777" w:rsidR="00344BA4" w:rsidRPr="00823D05" w:rsidRDefault="00344BA4" w:rsidP="00344BA4">
      <w:pPr>
        <w:pStyle w:val="FootnoteText"/>
        <w:ind w:left="567" w:hanging="567"/>
        <w:rPr>
          <w:sz w:val="24"/>
          <w:szCs w:val="24"/>
          <w:lang w:val="ro-RO"/>
        </w:rPr>
      </w:pPr>
      <w:r w:rsidRPr="00823D05">
        <w:rPr>
          <w:rStyle w:val="FootnoteReference"/>
          <w:sz w:val="24"/>
        </w:rPr>
        <w:footnoteRef/>
      </w:r>
      <w:r w:rsidRPr="00E52EB4">
        <w:rPr>
          <w:sz w:val="24"/>
          <w:lang w:val="ro-RO"/>
        </w:rPr>
        <w:tab/>
      </w:r>
      <w:r w:rsidRPr="00E52EB4">
        <w:rPr>
          <w:sz w:val="24"/>
          <w:lang w:val="ro-RO"/>
        </w:rPr>
        <w:t xml:space="preserve">JO L, 2024/2509, 26.9.2024, ELI: </w:t>
      </w:r>
      <w:hyperlink r:id="rId88"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89">
    <w:p w14:paraId="2C96A1B2" w14:textId="77777777" w:rsidR="00344BA4" w:rsidRPr="00823D05" w:rsidRDefault="00344BA4" w:rsidP="00344BA4">
      <w:pPr>
        <w:pStyle w:val="FootnoteText"/>
        <w:ind w:left="567" w:hanging="567"/>
        <w:rPr>
          <w:sz w:val="24"/>
          <w:szCs w:val="24"/>
          <w:lang w:val="ro-RO"/>
        </w:rPr>
      </w:pPr>
      <w:r w:rsidRPr="00823D05">
        <w:rPr>
          <w:rStyle w:val="FootnoteReference"/>
          <w:sz w:val="24"/>
        </w:rPr>
        <w:footnoteRef/>
      </w:r>
      <w:r w:rsidRPr="00E52EB4">
        <w:rPr>
          <w:sz w:val="24"/>
          <w:lang w:val="ro-RO"/>
        </w:rPr>
        <w:tab/>
      </w:r>
      <w:r w:rsidRPr="00E52EB4">
        <w:rPr>
          <w:sz w:val="24"/>
          <w:lang w:val="ro-RO"/>
        </w:rPr>
        <w:t xml:space="preserve">JO L 427, 30.11.2021, p. 17, ELI: </w:t>
      </w:r>
      <w:hyperlink r:id="rId89" w:history="1">
        <w:r w:rsidRPr="00E52EB4">
          <w:rPr>
            <w:rStyle w:val="Hyperlink1"/>
            <w:sz w:val="24"/>
            <w:lang w:val="ro-RO"/>
          </w:rPr>
          <w:t>http://data.europa.eu/eli/reg/2021/2085/oj</w:t>
        </w:r>
      </w:hyperlink>
      <w:r w:rsidRPr="00E52EB4">
        <w:rPr>
          <w:sz w:val="24"/>
          <w:lang w:val="ro-RO"/>
        </w:rPr>
        <w:t>.</w:t>
      </w:r>
    </w:p>
  </w:footnote>
  <w:footnote w:id="90">
    <w:p w14:paraId="29C5FD23" w14:textId="77777777" w:rsidR="00344BA4" w:rsidRPr="00823D05" w:rsidRDefault="00344BA4" w:rsidP="00344BA4">
      <w:pPr>
        <w:pStyle w:val="FootnoteText"/>
        <w:ind w:left="567" w:hanging="567"/>
        <w:rPr>
          <w:sz w:val="24"/>
          <w:szCs w:val="24"/>
          <w:lang w:val="ro-RO"/>
        </w:rPr>
      </w:pPr>
      <w:r w:rsidRPr="00823D05">
        <w:rPr>
          <w:rStyle w:val="FootnoteReference"/>
          <w:sz w:val="24"/>
        </w:rPr>
        <w:footnoteRef/>
      </w:r>
      <w:r w:rsidRPr="00E52EB4">
        <w:rPr>
          <w:sz w:val="24"/>
          <w:lang w:val="ro-RO"/>
        </w:rPr>
        <w:tab/>
      </w:r>
      <w:r w:rsidRPr="00E52EB4">
        <w:rPr>
          <w:sz w:val="24"/>
          <w:lang w:val="ro-RO"/>
        </w:rPr>
        <w:t xml:space="preserve">JO L 142, 29.5.2019, p. 16, ELI: </w:t>
      </w:r>
      <w:hyperlink r:id="rId90" w:history="1">
        <w:r w:rsidRPr="00E52EB4">
          <w:rPr>
            <w:rStyle w:val="Hyperlink1"/>
            <w:sz w:val="24"/>
            <w:lang w:val="ro-RO"/>
          </w:rPr>
          <w:t>http://data.europa.eu/eli/reg_del/2019/887/oj</w:t>
        </w:r>
      </w:hyperlink>
      <w:r w:rsidRPr="00E52EB4">
        <w:rPr>
          <w:sz w:val="24"/>
          <w:lang w:val="ro-RO"/>
        </w:rPr>
        <w:t>.</w:t>
      </w:r>
    </w:p>
  </w:footnote>
  <w:footnote w:id="91">
    <w:p w14:paraId="2B8CE888" w14:textId="77777777" w:rsidR="00344BA4" w:rsidRPr="00C06A76" w:rsidRDefault="00344BA4" w:rsidP="00344BA4">
      <w:pPr>
        <w:pStyle w:val="FootnoteText"/>
        <w:ind w:left="567" w:hanging="567"/>
        <w:rPr>
          <w:sz w:val="24"/>
          <w:szCs w:val="24"/>
          <w:lang w:val="ro-RO"/>
        </w:rPr>
      </w:pPr>
      <w:r w:rsidRPr="00C06A76">
        <w:rPr>
          <w:rStyle w:val="FootnoteReference"/>
          <w:sz w:val="24"/>
        </w:rPr>
        <w:footnoteRef/>
      </w:r>
      <w:r w:rsidRPr="00E52EB4">
        <w:rPr>
          <w:sz w:val="24"/>
          <w:lang w:val="ro-RO"/>
        </w:rPr>
        <w:tab/>
      </w:r>
      <w:r w:rsidRPr="00E52EB4">
        <w:rPr>
          <w:sz w:val="24"/>
          <w:lang w:val="ro-RO"/>
        </w:rPr>
        <w:t xml:space="preserve">JO C, C/2024/6841, 13.11.2024, ELI: </w:t>
      </w:r>
      <w:hyperlink r:id="rId91" w:history="1">
        <w:r w:rsidRPr="00E52EB4">
          <w:rPr>
            <w:rStyle w:val="Hyperlink1"/>
            <w:sz w:val="24"/>
            <w:lang w:val="ro-RO"/>
          </w:rPr>
          <w:t>http://data.europa.eu/eli/C/2024/6841/oj</w:t>
        </w:r>
      </w:hyperlink>
      <w:r w:rsidRPr="00E52EB4">
        <w:rPr>
          <w:sz w:val="24"/>
          <w:lang w:val="ro-RO"/>
        </w:rPr>
        <w:t>.</w:t>
      </w:r>
    </w:p>
  </w:footnote>
  <w:footnote w:id="92">
    <w:p w14:paraId="57C16174" w14:textId="77777777" w:rsidR="00344BA4" w:rsidRPr="00C06A76" w:rsidRDefault="00344BA4" w:rsidP="00344BA4">
      <w:pPr>
        <w:pStyle w:val="FootnoteText"/>
        <w:ind w:left="567" w:hanging="567"/>
        <w:rPr>
          <w:sz w:val="24"/>
          <w:szCs w:val="24"/>
          <w:lang w:val="ro-RO"/>
        </w:rPr>
      </w:pPr>
      <w:r w:rsidRPr="00C06A76">
        <w:rPr>
          <w:rStyle w:val="FootnoteReference"/>
          <w:sz w:val="24"/>
        </w:rPr>
        <w:footnoteRef/>
      </w:r>
      <w:r w:rsidRPr="00E52EB4">
        <w:rPr>
          <w:sz w:val="24"/>
          <w:lang w:val="ro-RO"/>
        </w:rPr>
        <w:tab/>
      </w:r>
      <w:r w:rsidRPr="00E52EB4">
        <w:rPr>
          <w:sz w:val="24"/>
          <w:lang w:val="ro-RO"/>
        </w:rPr>
        <w:t xml:space="preserve">JO C, C/2024/6041, 10.10.2024, ELI: </w:t>
      </w:r>
      <w:hyperlink r:id="rId92" w:history="1">
        <w:r w:rsidRPr="00E52EB4">
          <w:rPr>
            <w:rStyle w:val="Hyperlink1"/>
            <w:sz w:val="24"/>
            <w:lang w:val="ro-RO"/>
          </w:rPr>
          <w:t>http://data.europa.eu/eli/C/2024/6041/oj</w:t>
        </w:r>
      </w:hyperlink>
      <w:r w:rsidRPr="00E52EB4">
        <w:rPr>
          <w:sz w:val="24"/>
          <w:lang w:val="ro-RO"/>
        </w:rPr>
        <w:t>.</w:t>
      </w:r>
    </w:p>
  </w:footnote>
  <w:footnote w:id="93">
    <w:p w14:paraId="30C473E3" w14:textId="77777777" w:rsidR="00344BA4" w:rsidRPr="00C06A76" w:rsidRDefault="00344BA4" w:rsidP="00344BA4">
      <w:pPr>
        <w:pStyle w:val="FootnoteText"/>
        <w:ind w:left="567" w:hanging="567"/>
        <w:rPr>
          <w:sz w:val="24"/>
          <w:szCs w:val="24"/>
          <w:lang w:val="ro-RO"/>
        </w:rPr>
      </w:pPr>
      <w:r w:rsidRPr="00C06A76">
        <w:rPr>
          <w:rStyle w:val="FootnoteReference"/>
          <w:sz w:val="24"/>
        </w:rPr>
        <w:footnoteRef/>
      </w:r>
      <w:r w:rsidRPr="00E52EB4">
        <w:rPr>
          <w:sz w:val="24"/>
          <w:lang w:val="ro-RO"/>
        </w:rPr>
        <w:tab/>
      </w:r>
      <w:r w:rsidRPr="00E52EB4">
        <w:rPr>
          <w:sz w:val="24"/>
          <w:lang w:val="ro-RO"/>
        </w:rPr>
        <w:t xml:space="preserve">JO L 193, 30.7.2018, p. 1, ELI: </w:t>
      </w:r>
      <w:hyperlink r:id="rId93" w:history="1">
        <w:r w:rsidRPr="00E52EB4">
          <w:rPr>
            <w:rStyle w:val="Hyperlink1"/>
            <w:sz w:val="24"/>
            <w:lang w:val="ro-RO"/>
          </w:rPr>
          <w:t>http://data.europa.eu/eli/reg/2018/1046/oj</w:t>
        </w:r>
      </w:hyperlink>
      <w:r w:rsidRPr="00E52EB4">
        <w:rPr>
          <w:sz w:val="24"/>
          <w:lang w:val="ro-RO"/>
        </w:rPr>
        <w:t>.</w:t>
      </w:r>
    </w:p>
  </w:footnote>
  <w:footnote w:id="94">
    <w:p w14:paraId="7B9E8FA5" w14:textId="77777777" w:rsidR="00344BA4" w:rsidRPr="00C06A76" w:rsidRDefault="00344BA4" w:rsidP="00344BA4">
      <w:pPr>
        <w:pStyle w:val="FootnoteText"/>
        <w:ind w:left="567" w:hanging="567"/>
        <w:rPr>
          <w:sz w:val="24"/>
          <w:szCs w:val="24"/>
          <w:lang w:val="ro-RO"/>
        </w:rPr>
      </w:pPr>
      <w:r w:rsidRPr="00C06A76">
        <w:rPr>
          <w:rStyle w:val="FootnoteReference"/>
          <w:sz w:val="24"/>
        </w:rPr>
        <w:footnoteRef/>
      </w:r>
      <w:r w:rsidRPr="00E52EB4">
        <w:rPr>
          <w:sz w:val="24"/>
          <w:lang w:val="ro-RO"/>
        </w:rPr>
        <w:tab/>
      </w:r>
      <w:r w:rsidRPr="00E52EB4">
        <w:rPr>
          <w:sz w:val="24"/>
          <w:lang w:val="ro-RO"/>
        </w:rPr>
        <w:t xml:space="preserve">JO L, 2024/2509, 26.9.2024, ELI: </w:t>
      </w:r>
      <w:hyperlink r:id="rId94"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95">
    <w:p w14:paraId="0CF9B863" w14:textId="77777777" w:rsidR="00344BA4" w:rsidRPr="00C06A76" w:rsidRDefault="00344BA4" w:rsidP="00344BA4">
      <w:pPr>
        <w:pStyle w:val="FootnoteText"/>
        <w:ind w:left="567" w:hanging="567"/>
        <w:rPr>
          <w:sz w:val="24"/>
          <w:szCs w:val="24"/>
          <w:lang w:val="ro-RO"/>
        </w:rPr>
      </w:pPr>
      <w:r w:rsidRPr="00C06A76">
        <w:rPr>
          <w:rStyle w:val="FootnoteReference"/>
          <w:sz w:val="24"/>
        </w:rPr>
        <w:footnoteRef/>
      </w:r>
      <w:r w:rsidRPr="00E52EB4">
        <w:rPr>
          <w:sz w:val="24"/>
          <w:lang w:val="ro-RO"/>
        </w:rPr>
        <w:tab/>
      </w:r>
      <w:r w:rsidRPr="00E52EB4">
        <w:rPr>
          <w:sz w:val="24"/>
          <w:lang w:val="ro-RO"/>
        </w:rPr>
        <w:t xml:space="preserve">JO L 427, 30.11.2021, p. 17, ELI: </w:t>
      </w:r>
      <w:hyperlink r:id="rId95" w:history="1">
        <w:r w:rsidRPr="00E52EB4">
          <w:rPr>
            <w:rStyle w:val="Hyperlink1"/>
            <w:sz w:val="24"/>
            <w:lang w:val="ro-RO"/>
          </w:rPr>
          <w:t>http://data.europa.eu/eli/reg/2021/2085/oj</w:t>
        </w:r>
      </w:hyperlink>
      <w:r w:rsidRPr="00E52EB4">
        <w:rPr>
          <w:sz w:val="24"/>
          <w:lang w:val="ro-RO"/>
        </w:rPr>
        <w:t>.</w:t>
      </w:r>
    </w:p>
  </w:footnote>
  <w:footnote w:id="96">
    <w:p w14:paraId="632362CA" w14:textId="77777777" w:rsidR="00344BA4" w:rsidRPr="00C06A76" w:rsidRDefault="00344BA4" w:rsidP="00344BA4">
      <w:pPr>
        <w:pStyle w:val="FootnoteText"/>
        <w:ind w:left="567" w:hanging="567"/>
        <w:rPr>
          <w:sz w:val="24"/>
          <w:szCs w:val="24"/>
          <w:lang w:val="ro-RO"/>
        </w:rPr>
      </w:pPr>
      <w:r w:rsidRPr="00C06A76">
        <w:rPr>
          <w:rStyle w:val="FootnoteReference"/>
          <w:sz w:val="24"/>
        </w:rPr>
        <w:footnoteRef/>
      </w:r>
      <w:r w:rsidRPr="00E52EB4">
        <w:rPr>
          <w:sz w:val="24"/>
          <w:lang w:val="ro-RO"/>
        </w:rPr>
        <w:tab/>
      </w:r>
      <w:r w:rsidRPr="00E52EB4">
        <w:rPr>
          <w:sz w:val="24"/>
          <w:lang w:val="ro-RO"/>
        </w:rPr>
        <w:t xml:space="preserve">JO L 142, 29.5.2019, p. 16, ELI: </w:t>
      </w:r>
      <w:hyperlink r:id="rId96" w:history="1">
        <w:r w:rsidRPr="00E52EB4">
          <w:rPr>
            <w:rStyle w:val="Hyperlink1"/>
            <w:sz w:val="24"/>
            <w:lang w:val="ro-RO"/>
          </w:rPr>
          <w:t>http://data.europa.eu/eli/reg_del/2019/887/oj</w:t>
        </w:r>
      </w:hyperlink>
      <w:r w:rsidRPr="00E52EB4">
        <w:rPr>
          <w:sz w:val="24"/>
          <w:lang w:val="ro-RO"/>
        </w:rPr>
        <w:t>.</w:t>
      </w:r>
    </w:p>
  </w:footnote>
  <w:footnote w:id="97">
    <w:p w14:paraId="5F91BB65" w14:textId="77777777" w:rsidR="00344BA4" w:rsidRPr="00985154" w:rsidRDefault="00344BA4" w:rsidP="00344BA4">
      <w:pPr>
        <w:pStyle w:val="FootnoteText"/>
        <w:ind w:left="567" w:hanging="567"/>
        <w:rPr>
          <w:sz w:val="24"/>
          <w:szCs w:val="24"/>
          <w:lang w:val="ro-RO"/>
        </w:rPr>
      </w:pPr>
      <w:r w:rsidRPr="00985154">
        <w:rPr>
          <w:rStyle w:val="FootnoteReference"/>
          <w:sz w:val="24"/>
          <w:szCs w:val="24"/>
        </w:rPr>
        <w:footnoteRef/>
      </w:r>
      <w:r w:rsidRPr="00E52EB4">
        <w:rPr>
          <w:sz w:val="24"/>
          <w:szCs w:val="24"/>
          <w:lang w:val="ro-RO"/>
        </w:rPr>
        <w:tab/>
      </w:r>
      <w:r w:rsidRPr="00E52EB4">
        <w:rPr>
          <w:sz w:val="24"/>
          <w:szCs w:val="24"/>
          <w:lang w:val="ro-RO"/>
        </w:rPr>
        <w:t xml:space="preserve">JO C, C/2024/6841, 13.11.2024, ELI: </w:t>
      </w:r>
      <w:hyperlink r:id="rId97" w:history="1">
        <w:r w:rsidRPr="00E52EB4">
          <w:rPr>
            <w:rStyle w:val="Hyperlink1"/>
            <w:sz w:val="24"/>
            <w:szCs w:val="24"/>
            <w:lang w:val="ro-RO"/>
          </w:rPr>
          <w:t>http://data.europa.eu/eli/C/2024/6841/oj</w:t>
        </w:r>
      </w:hyperlink>
      <w:r w:rsidRPr="00E52EB4">
        <w:rPr>
          <w:sz w:val="24"/>
          <w:szCs w:val="24"/>
          <w:lang w:val="ro-RO"/>
        </w:rPr>
        <w:t>.</w:t>
      </w:r>
    </w:p>
  </w:footnote>
  <w:footnote w:id="98">
    <w:p w14:paraId="74CEEDA0" w14:textId="77777777" w:rsidR="00344BA4" w:rsidRPr="00985154" w:rsidRDefault="00344BA4" w:rsidP="00344BA4">
      <w:pPr>
        <w:pStyle w:val="FootnoteText"/>
        <w:ind w:left="567" w:hanging="567"/>
        <w:rPr>
          <w:sz w:val="24"/>
          <w:szCs w:val="24"/>
          <w:lang w:val="ro-RO"/>
        </w:rPr>
      </w:pPr>
      <w:r w:rsidRPr="00985154">
        <w:rPr>
          <w:rStyle w:val="FootnoteReference"/>
          <w:sz w:val="24"/>
          <w:szCs w:val="24"/>
        </w:rPr>
        <w:footnoteRef/>
      </w:r>
      <w:r w:rsidRPr="00E52EB4">
        <w:rPr>
          <w:sz w:val="24"/>
          <w:szCs w:val="24"/>
          <w:lang w:val="ro-RO"/>
        </w:rPr>
        <w:tab/>
      </w:r>
      <w:r w:rsidRPr="00E52EB4">
        <w:rPr>
          <w:sz w:val="24"/>
          <w:szCs w:val="24"/>
          <w:lang w:val="ro-RO"/>
        </w:rPr>
        <w:t xml:space="preserve">JO C, C/2024/6041, 10.10.2024, ELI: </w:t>
      </w:r>
      <w:hyperlink r:id="rId98" w:history="1">
        <w:r w:rsidRPr="00E52EB4">
          <w:rPr>
            <w:rStyle w:val="Hyperlink1"/>
            <w:sz w:val="24"/>
            <w:szCs w:val="24"/>
            <w:lang w:val="ro-RO"/>
          </w:rPr>
          <w:t>http://data.europa.eu/eli/C/2024/6041/oj</w:t>
        </w:r>
      </w:hyperlink>
      <w:r w:rsidRPr="00E52EB4">
        <w:rPr>
          <w:sz w:val="24"/>
          <w:szCs w:val="24"/>
          <w:lang w:val="ro-RO"/>
        </w:rPr>
        <w:t>.</w:t>
      </w:r>
    </w:p>
  </w:footnote>
  <w:footnote w:id="99">
    <w:p w14:paraId="417F0E75" w14:textId="77777777" w:rsidR="00344BA4" w:rsidRPr="00985154" w:rsidRDefault="00344BA4" w:rsidP="00344BA4">
      <w:pPr>
        <w:pStyle w:val="FootnoteText"/>
        <w:ind w:left="567" w:hanging="567"/>
        <w:rPr>
          <w:sz w:val="24"/>
          <w:szCs w:val="24"/>
          <w:lang w:val="ro-RO"/>
        </w:rPr>
      </w:pPr>
      <w:r w:rsidRPr="00985154">
        <w:rPr>
          <w:rStyle w:val="FootnoteReference"/>
          <w:sz w:val="24"/>
          <w:szCs w:val="24"/>
        </w:rPr>
        <w:footnoteRef/>
      </w:r>
      <w:r w:rsidRPr="00E52EB4">
        <w:rPr>
          <w:sz w:val="24"/>
          <w:szCs w:val="24"/>
          <w:lang w:val="ro-RO"/>
        </w:rPr>
        <w:tab/>
      </w:r>
      <w:r w:rsidRPr="00E52EB4">
        <w:rPr>
          <w:sz w:val="24"/>
          <w:szCs w:val="24"/>
          <w:lang w:val="ro-RO"/>
        </w:rPr>
        <w:t xml:space="preserve">JO L 193, 30.7.2018, p. 1, ELI: </w:t>
      </w:r>
      <w:hyperlink r:id="rId99" w:history="1">
        <w:r w:rsidRPr="00E52EB4">
          <w:rPr>
            <w:rStyle w:val="Hyperlink1"/>
            <w:sz w:val="24"/>
            <w:szCs w:val="24"/>
            <w:lang w:val="ro-RO"/>
          </w:rPr>
          <w:t>http://data.europa.eu/eli/reg/2018/1046/oj</w:t>
        </w:r>
      </w:hyperlink>
      <w:r w:rsidRPr="00E52EB4">
        <w:rPr>
          <w:sz w:val="24"/>
          <w:szCs w:val="24"/>
          <w:lang w:val="ro-RO"/>
        </w:rPr>
        <w:t>.</w:t>
      </w:r>
    </w:p>
  </w:footnote>
  <w:footnote w:id="100">
    <w:p w14:paraId="425A77BE" w14:textId="77777777" w:rsidR="00344BA4" w:rsidRPr="00985154" w:rsidRDefault="00344BA4" w:rsidP="00344BA4">
      <w:pPr>
        <w:pStyle w:val="FootnoteText"/>
        <w:ind w:left="567" w:hanging="567"/>
        <w:rPr>
          <w:sz w:val="24"/>
          <w:szCs w:val="24"/>
          <w:lang w:val="ro-RO"/>
        </w:rPr>
      </w:pPr>
      <w:r w:rsidRPr="00985154">
        <w:rPr>
          <w:rStyle w:val="FootnoteReference"/>
          <w:sz w:val="24"/>
          <w:szCs w:val="24"/>
        </w:rPr>
        <w:footnoteRef/>
      </w:r>
      <w:r w:rsidRPr="00E52EB4">
        <w:rPr>
          <w:sz w:val="24"/>
          <w:szCs w:val="24"/>
          <w:lang w:val="ro-RO"/>
        </w:rPr>
        <w:tab/>
      </w:r>
      <w:r w:rsidRPr="00E52EB4">
        <w:rPr>
          <w:sz w:val="24"/>
          <w:szCs w:val="24"/>
          <w:lang w:val="ro-RO"/>
        </w:rPr>
        <w:t xml:space="preserve">JO L, 2024/2509, 26.9.2024, ELI: </w:t>
      </w:r>
      <w:hyperlink r:id="rId100" w:tgtFrame="_blank" w:history="1">
        <w:r w:rsidRPr="00E52EB4">
          <w:rPr>
            <w:rStyle w:val="Hyperlink1"/>
            <w:sz w:val="24"/>
            <w:szCs w:val="24"/>
            <w:shd w:val="clear" w:color="auto" w:fill="FFFFFF"/>
            <w:lang w:val="ro-RO"/>
          </w:rPr>
          <w:t>http://data.europa.eu/eli/reg/2024/2509/oj</w:t>
        </w:r>
      </w:hyperlink>
      <w:r w:rsidRPr="00E52EB4">
        <w:rPr>
          <w:sz w:val="24"/>
          <w:szCs w:val="24"/>
          <w:lang w:val="ro-RO"/>
        </w:rPr>
        <w:t>.</w:t>
      </w:r>
    </w:p>
  </w:footnote>
  <w:footnote w:id="101">
    <w:p w14:paraId="23B09AAD" w14:textId="77777777" w:rsidR="00344BA4" w:rsidRPr="00985154" w:rsidRDefault="00344BA4" w:rsidP="00344BA4">
      <w:pPr>
        <w:pStyle w:val="FootnoteText"/>
        <w:ind w:left="567" w:hanging="567"/>
        <w:rPr>
          <w:sz w:val="24"/>
          <w:szCs w:val="24"/>
          <w:lang w:val="ro-RO"/>
        </w:rPr>
      </w:pPr>
      <w:r w:rsidRPr="00985154">
        <w:rPr>
          <w:rStyle w:val="FootnoteReference"/>
          <w:sz w:val="24"/>
          <w:szCs w:val="24"/>
        </w:rPr>
        <w:footnoteRef/>
      </w:r>
      <w:r w:rsidRPr="00E52EB4">
        <w:rPr>
          <w:sz w:val="24"/>
          <w:szCs w:val="24"/>
          <w:lang w:val="ro-RO"/>
        </w:rPr>
        <w:tab/>
      </w:r>
      <w:r w:rsidRPr="00E52EB4">
        <w:rPr>
          <w:sz w:val="24"/>
          <w:szCs w:val="24"/>
          <w:lang w:val="ro-RO"/>
        </w:rPr>
        <w:t xml:space="preserve">JO L 427, 30.11.2021, p. 17, ELI: </w:t>
      </w:r>
      <w:hyperlink r:id="rId101" w:history="1">
        <w:r w:rsidRPr="00E52EB4">
          <w:rPr>
            <w:rStyle w:val="Hyperlink1"/>
            <w:sz w:val="24"/>
            <w:szCs w:val="24"/>
            <w:lang w:val="ro-RO"/>
          </w:rPr>
          <w:t>http://data.europa.eu/eli/reg/2021/2085/oj</w:t>
        </w:r>
      </w:hyperlink>
      <w:r w:rsidRPr="00E52EB4">
        <w:rPr>
          <w:sz w:val="24"/>
          <w:szCs w:val="24"/>
          <w:lang w:val="ro-RO"/>
        </w:rPr>
        <w:t>.</w:t>
      </w:r>
    </w:p>
  </w:footnote>
  <w:footnote w:id="102">
    <w:p w14:paraId="492AB2D8" w14:textId="77777777" w:rsidR="00344BA4" w:rsidRPr="00985154" w:rsidRDefault="00344BA4" w:rsidP="00344BA4">
      <w:pPr>
        <w:pStyle w:val="FootnoteText"/>
        <w:ind w:left="567" w:hanging="567"/>
        <w:rPr>
          <w:sz w:val="24"/>
          <w:lang w:val="ro-RO"/>
        </w:rPr>
      </w:pPr>
      <w:r w:rsidRPr="00985154">
        <w:rPr>
          <w:rStyle w:val="FootnoteReference"/>
          <w:sz w:val="24"/>
          <w:szCs w:val="24"/>
        </w:rPr>
        <w:footnoteRef/>
      </w:r>
      <w:r w:rsidRPr="00E52EB4">
        <w:rPr>
          <w:sz w:val="24"/>
          <w:szCs w:val="24"/>
          <w:lang w:val="ro-RO"/>
        </w:rPr>
        <w:tab/>
      </w:r>
      <w:r w:rsidRPr="00E52EB4">
        <w:rPr>
          <w:sz w:val="24"/>
          <w:szCs w:val="24"/>
          <w:lang w:val="ro-RO"/>
        </w:rPr>
        <w:t xml:space="preserve">JO L 229, 18.9.2023, p. 55, ELI: </w:t>
      </w:r>
      <w:hyperlink r:id="rId102" w:history="1">
        <w:r w:rsidRPr="00E52EB4">
          <w:rPr>
            <w:rStyle w:val="Hyperlink"/>
            <w:sz w:val="24"/>
            <w:szCs w:val="24"/>
            <w:lang w:val="ro-RO"/>
          </w:rPr>
          <w:t>http://data.europa.eu/eli/reg/2023/1782/oj</w:t>
        </w:r>
      </w:hyperlink>
      <w:r w:rsidRPr="00E52EB4">
        <w:rPr>
          <w:sz w:val="24"/>
          <w:szCs w:val="24"/>
          <w:lang w:val="ro-RO"/>
        </w:rPr>
        <w:t>.</w:t>
      </w:r>
    </w:p>
  </w:footnote>
  <w:footnote w:id="103">
    <w:p w14:paraId="061BD3B3" w14:textId="77777777" w:rsidR="00344BA4" w:rsidRPr="00985154" w:rsidRDefault="00344BA4" w:rsidP="00344BA4">
      <w:pPr>
        <w:pStyle w:val="FootnoteText"/>
        <w:ind w:left="567" w:hanging="567"/>
        <w:rPr>
          <w:sz w:val="24"/>
          <w:szCs w:val="24"/>
          <w:lang w:val="ro-RO"/>
        </w:rPr>
      </w:pPr>
      <w:r w:rsidRPr="00985154">
        <w:rPr>
          <w:rStyle w:val="FootnoteReference"/>
          <w:sz w:val="24"/>
        </w:rPr>
        <w:footnoteRef/>
      </w:r>
      <w:r w:rsidRPr="00E52EB4">
        <w:rPr>
          <w:sz w:val="24"/>
          <w:lang w:val="ro-RO"/>
        </w:rPr>
        <w:tab/>
      </w:r>
      <w:r w:rsidRPr="00E52EB4">
        <w:rPr>
          <w:sz w:val="24"/>
          <w:lang w:val="ro-RO"/>
        </w:rPr>
        <w:t xml:space="preserve">JO L 142, 29.5.2019, p. 16, ELI: </w:t>
      </w:r>
      <w:hyperlink r:id="rId103" w:history="1">
        <w:r w:rsidRPr="00E52EB4">
          <w:rPr>
            <w:rStyle w:val="Hyperlink1"/>
            <w:sz w:val="24"/>
            <w:lang w:val="ro-RO"/>
          </w:rPr>
          <w:t>http://data.europa.eu/eli/reg_del/2019/887/oj</w:t>
        </w:r>
      </w:hyperlink>
      <w:r w:rsidRPr="00E52EB4">
        <w:rPr>
          <w:sz w:val="24"/>
          <w:lang w:val="ro-RO"/>
        </w:rPr>
        <w:t>.</w:t>
      </w:r>
    </w:p>
  </w:footnote>
  <w:footnote w:id="104">
    <w:p w14:paraId="74953B96" w14:textId="77777777" w:rsidR="00344BA4" w:rsidRPr="00704486" w:rsidRDefault="00344BA4" w:rsidP="00344BA4">
      <w:pPr>
        <w:pStyle w:val="FootnoteText"/>
        <w:ind w:left="567" w:hanging="567"/>
        <w:rPr>
          <w:sz w:val="24"/>
          <w:lang w:val="ro-RO"/>
        </w:rPr>
      </w:pPr>
      <w:r w:rsidRPr="00704486">
        <w:rPr>
          <w:rStyle w:val="FootnoteReference"/>
          <w:sz w:val="24"/>
        </w:rPr>
        <w:footnoteRef/>
      </w:r>
      <w:r w:rsidRPr="00E52EB4">
        <w:rPr>
          <w:sz w:val="24"/>
          <w:lang w:val="ro-RO"/>
        </w:rPr>
        <w:tab/>
      </w:r>
      <w:r w:rsidRPr="00E52EB4">
        <w:rPr>
          <w:sz w:val="24"/>
          <w:lang w:val="ro-RO"/>
        </w:rPr>
        <w:t xml:space="preserve">JO C, C/2024/6841, 13.11.2024, ELI: </w:t>
      </w:r>
      <w:hyperlink r:id="rId104" w:history="1">
        <w:r w:rsidRPr="00E52EB4">
          <w:rPr>
            <w:rStyle w:val="Hyperlink1"/>
            <w:sz w:val="24"/>
            <w:lang w:val="ro-RO"/>
          </w:rPr>
          <w:t>http://data.europa.eu/eli/C/2024/6841/oj</w:t>
        </w:r>
      </w:hyperlink>
      <w:r w:rsidRPr="00E52EB4">
        <w:rPr>
          <w:sz w:val="24"/>
          <w:lang w:val="ro-RO"/>
        </w:rPr>
        <w:t>.</w:t>
      </w:r>
    </w:p>
  </w:footnote>
  <w:footnote w:id="105">
    <w:p w14:paraId="1C1BE739" w14:textId="77777777" w:rsidR="00344BA4" w:rsidRPr="00704486" w:rsidRDefault="00344BA4" w:rsidP="00344BA4">
      <w:pPr>
        <w:pStyle w:val="FootnoteText"/>
        <w:ind w:left="567" w:hanging="567"/>
        <w:rPr>
          <w:sz w:val="24"/>
          <w:lang w:val="ro-RO"/>
        </w:rPr>
      </w:pPr>
      <w:r w:rsidRPr="00704486">
        <w:rPr>
          <w:rStyle w:val="FootnoteReference"/>
          <w:sz w:val="24"/>
        </w:rPr>
        <w:footnoteRef/>
      </w:r>
      <w:r w:rsidRPr="00E52EB4">
        <w:rPr>
          <w:sz w:val="24"/>
          <w:lang w:val="ro-RO"/>
        </w:rPr>
        <w:tab/>
      </w:r>
      <w:r w:rsidRPr="00E52EB4">
        <w:rPr>
          <w:sz w:val="24"/>
          <w:lang w:val="ro-RO"/>
        </w:rPr>
        <w:t xml:space="preserve">JO C, C/2024/6041, 10.10.2024, ELI: </w:t>
      </w:r>
      <w:hyperlink r:id="rId105" w:history="1">
        <w:r w:rsidRPr="00E52EB4">
          <w:rPr>
            <w:rStyle w:val="Hyperlink1"/>
            <w:sz w:val="24"/>
            <w:lang w:val="ro-RO"/>
          </w:rPr>
          <w:t>http://data.europa.eu/eli/C/2024/6041/oj</w:t>
        </w:r>
      </w:hyperlink>
      <w:r w:rsidRPr="00E52EB4">
        <w:rPr>
          <w:sz w:val="24"/>
          <w:lang w:val="ro-RO"/>
        </w:rPr>
        <w:t>.</w:t>
      </w:r>
    </w:p>
  </w:footnote>
  <w:footnote w:id="106">
    <w:p w14:paraId="758247C0" w14:textId="77777777" w:rsidR="00344BA4" w:rsidRPr="00704486" w:rsidRDefault="00344BA4" w:rsidP="00344BA4">
      <w:pPr>
        <w:pStyle w:val="FootnoteText"/>
        <w:ind w:left="567" w:hanging="567"/>
        <w:rPr>
          <w:sz w:val="24"/>
          <w:lang w:val="ro-RO"/>
        </w:rPr>
      </w:pPr>
      <w:r w:rsidRPr="00704486">
        <w:rPr>
          <w:rStyle w:val="FootnoteReference"/>
          <w:sz w:val="24"/>
        </w:rPr>
        <w:footnoteRef/>
      </w:r>
      <w:r w:rsidRPr="00E52EB4">
        <w:rPr>
          <w:sz w:val="24"/>
          <w:lang w:val="ro-RO"/>
        </w:rPr>
        <w:tab/>
      </w:r>
      <w:r w:rsidRPr="00E52EB4">
        <w:rPr>
          <w:sz w:val="24"/>
          <w:lang w:val="ro-RO"/>
        </w:rPr>
        <w:t xml:space="preserve">JO L 193, 30.7.2018, p. 1, ELI: </w:t>
      </w:r>
      <w:hyperlink r:id="rId106" w:history="1">
        <w:r w:rsidRPr="00E52EB4">
          <w:rPr>
            <w:rStyle w:val="Hyperlink1"/>
            <w:sz w:val="24"/>
            <w:lang w:val="ro-RO"/>
          </w:rPr>
          <w:t>http://data.europa.eu/eli/reg/2018/1046/oj</w:t>
        </w:r>
      </w:hyperlink>
      <w:r w:rsidRPr="00E52EB4">
        <w:rPr>
          <w:sz w:val="24"/>
          <w:lang w:val="ro-RO"/>
        </w:rPr>
        <w:t>.</w:t>
      </w:r>
    </w:p>
  </w:footnote>
  <w:footnote w:id="107">
    <w:p w14:paraId="22078CFC" w14:textId="77777777" w:rsidR="00344BA4" w:rsidRPr="00704486" w:rsidRDefault="00344BA4" w:rsidP="00344BA4">
      <w:pPr>
        <w:pStyle w:val="FootnoteText"/>
        <w:ind w:left="567" w:hanging="567"/>
        <w:rPr>
          <w:sz w:val="24"/>
          <w:lang w:val="ro-RO"/>
        </w:rPr>
      </w:pPr>
      <w:r w:rsidRPr="00704486">
        <w:rPr>
          <w:rStyle w:val="FootnoteReference"/>
          <w:sz w:val="24"/>
        </w:rPr>
        <w:footnoteRef/>
      </w:r>
      <w:r w:rsidRPr="00E52EB4">
        <w:rPr>
          <w:sz w:val="24"/>
          <w:lang w:val="ro-RO"/>
        </w:rPr>
        <w:tab/>
      </w:r>
      <w:r w:rsidRPr="00E52EB4">
        <w:rPr>
          <w:sz w:val="24"/>
          <w:lang w:val="ro-RO"/>
        </w:rPr>
        <w:t xml:space="preserve">JO L, 2024/2509, 26.9.2024, ELI: </w:t>
      </w:r>
      <w:hyperlink r:id="rId107"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108">
    <w:p w14:paraId="16B85952" w14:textId="77777777" w:rsidR="00344BA4" w:rsidRPr="00704486" w:rsidRDefault="00344BA4" w:rsidP="00344BA4">
      <w:pPr>
        <w:pStyle w:val="FootnoteText"/>
        <w:ind w:left="567" w:hanging="567"/>
        <w:rPr>
          <w:sz w:val="24"/>
          <w:lang w:val="ro-RO"/>
        </w:rPr>
      </w:pPr>
      <w:r w:rsidRPr="00704486">
        <w:rPr>
          <w:rStyle w:val="FootnoteReference"/>
          <w:sz w:val="24"/>
        </w:rPr>
        <w:footnoteRef/>
      </w:r>
      <w:r w:rsidRPr="00E52EB4">
        <w:rPr>
          <w:sz w:val="24"/>
          <w:lang w:val="ro-RO"/>
        </w:rPr>
        <w:tab/>
      </w:r>
      <w:r w:rsidRPr="00E52EB4">
        <w:rPr>
          <w:sz w:val="24"/>
          <w:lang w:val="ro-RO"/>
        </w:rPr>
        <w:t xml:space="preserve">JO L 427, 30.11.2021, p. 17, ELI: </w:t>
      </w:r>
      <w:hyperlink r:id="rId108" w:history="1">
        <w:r w:rsidRPr="00E52EB4">
          <w:rPr>
            <w:rStyle w:val="Hyperlink1"/>
            <w:sz w:val="24"/>
            <w:lang w:val="ro-RO"/>
          </w:rPr>
          <w:t>http://data.europa.eu/eli/reg/2021/2085/oj</w:t>
        </w:r>
      </w:hyperlink>
      <w:r w:rsidRPr="00E52EB4">
        <w:rPr>
          <w:sz w:val="24"/>
          <w:lang w:val="ro-RO"/>
        </w:rPr>
        <w:t>.</w:t>
      </w:r>
    </w:p>
  </w:footnote>
  <w:footnote w:id="109">
    <w:p w14:paraId="394753FD" w14:textId="77777777" w:rsidR="00344BA4" w:rsidRPr="00704486" w:rsidRDefault="00344BA4" w:rsidP="00344BA4">
      <w:pPr>
        <w:pStyle w:val="FootnoteText"/>
        <w:ind w:left="567" w:hanging="567"/>
        <w:rPr>
          <w:sz w:val="24"/>
          <w:lang w:val="ro-RO"/>
        </w:rPr>
      </w:pPr>
      <w:r w:rsidRPr="00704486">
        <w:rPr>
          <w:rStyle w:val="FootnoteReference"/>
          <w:sz w:val="24"/>
        </w:rPr>
        <w:footnoteRef/>
      </w:r>
      <w:r w:rsidRPr="00E52EB4">
        <w:rPr>
          <w:sz w:val="24"/>
          <w:lang w:val="ro-RO"/>
        </w:rPr>
        <w:tab/>
      </w:r>
      <w:r w:rsidRPr="00E52EB4">
        <w:rPr>
          <w:sz w:val="24"/>
          <w:lang w:val="ro-RO"/>
        </w:rPr>
        <w:t xml:space="preserve">JO L 229, 18.9.2023, p. 55, ELI: </w:t>
      </w:r>
      <w:hyperlink r:id="rId109" w:history="1">
        <w:r w:rsidRPr="00E52EB4">
          <w:rPr>
            <w:rStyle w:val="Hyperlink"/>
            <w:sz w:val="24"/>
            <w:lang w:val="ro-RO"/>
          </w:rPr>
          <w:t>http://data.europa.eu/eli/reg/2023/1782/oj</w:t>
        </w:r>
      </w:hyperlink>
      <w:r w:rsidRPr="00E52EB4">
        <w:rPr>
          <w:sz w:val="24"/>
          <w:lang w:val="ro-RO"/>
        </w:rPr>
        <w:t>.</w:t>
      </w:r>
    </w:p>
  </w:footnote>
  <w:footnote w:id="110">
    <w:p w14:paraId="006DE968" w14:textId="77777777" w:rsidR="00344BA4" w:rsidRPr="00704486" w:rsidRDefault="00344BA4" w:rsidP="00344BA4">
      <w:pPr>
        <w:pStyle w:val="FootnoteText"/>
        <w:ind w:left="567" w:hanging="567"/>
        <w:rPr>
          <w:sz w:val="24"/>
          <w:lang w:val="ro-RO"/>
        </w:rPr>
      </w:pPr>
      <w:r w:rsidRPr="00704486">
        <w:rPr>
          <w:rStyle w:val="FootnoteReference"/>
          <w:sz w:val="24"/>
        </w:rPr>
        <w:footnoteRef/>
      </w:r>
      <w:r w:rsidRPr="00E52EB4">
        <w:rPr>
          <w:sz w:val="24"/>
          <w:lang w:val="ro-RO"/>
        </w:rPr>
        <w:tab/>
      </w:r>
      <w:r w:rsidRPr="00E52EB4">
        <w:rPr>
          <w:sz w:val="24"/>
          <w:lang w:val="ro-RO"/>
        </w:rPr>
        <w:t xml:space="preserve">JO L 142, 29.5.2019, p. 16, ELI: </w:t>
      </w:r>
      <w:hyperlink r:id="rId110" w:history="1">
        <w:r w:rsidRPr="00E52EB4">
          <w:rPr>
            <w:rStyle w:val="Hyperlink1"/>
            <w:sz w:val="24"/>
            <w:lang w:val="ro-RO"/>
          </w:rPr>
          <w:t>http://data.europa.eu/eli/reg_del/2019/887/oj</w:t>
        </w:r>
      </w:hyperlink>
      <w:r w:rsidRPr="00E52EB4">
        <w:rPr>
          <w:sz w:val="24"/>
          <w:lang w:val="ro-RO"/>
        </w:rPr>
        <w:t>.</w:t>
      </w:r>
    </w:p>
  </w:footnote>
  <w:footnote w:id="111">
    <w:p w14:paraId="139FDBC1" w14:textId="77777777" w:rsidR="00344BA4" w:rsidRPr="000C48C6" w:rsidRDefault="00344BA4" w:rsidP="00344BA4">
      <w:pPr>
        <w:pStyle w:val="FootnoteText"/>
        <w:ind w:left="567" w:hanging="567"/>
        <w:rPr>
          <w:sz w:val="24"/>
          <w:szCs w:val="24"/>
          <w:lang w:val="ro-RO"/>
        </w:rPr>
      </w:pPr>
      <w:r w:rsidRPr="000C48C6">
        <w:rPr>
          <w:rStyle w:val="FootnoteReference"/>
          <w:sz w:val="24"/>
        </w:rPr>
        <w:footnoteRef/>
      </w:r>
      <w:r w:rsidRPr="00E52EB4">
        <w:rPr>
          <w:sz w:val="24"/>
          <w:lang w:val="ro-RO"/>
        </w:rPr>
        <w:tab/>
      </w:r>
      <w:r w:rsidRPr="00E52EB4">
        <w:rPr>
          <w:sz w:val="24"/>
          <w:lang w:val="ro-RO"/>
        </w:rPr>
        <w:t xml:space="preserve">JO C, C/2024/6841, 13.11.2024, ELI: </w:t>
      </w:r>
      <w:hyperlink r:id="rId111" w:history="1">
        <w:r w:rsidRPr="00E52EB4">
          <w:rPr>
            <w:rStyle w:val="Hyperlink1"/>
            <w:sz w:val="24"/>
            <w:lang w:val="ro-RO"/>
          </w:rPr>
          <w:t>http://data.europa.eu/eli/C/2024/6841/oj</w:t>
        </w:r>
      </w:hyperlink>
      <w:r w:rsidRPr="00E52EB4">
        <w:rPr>
          <w:sz w:val="24"/>
          <w:lang w:val="ro-RO"/>
        </w:rPr>
        <w:t>.</w:t>
      </w:r>
    </w:p>
  </w:footnote>
  <w:footnote w:id="112">
    <w:p w14:paraId="76BE2B97" w14:textId="77777777" w:rsidR="00344BA4" w:rsidRPr="000C48C6" w:rsidRDefault="00344BA4" w:rsidP="00344BA4">
      <w:pPr>
        <w:pStyle w:val="FootnoteText"/>
        <w:ind w:left="567" w:hanging="567"/>
        <w:rPr>
          <w:sz w:val="24"/>
          <w:szCs w:val="24"/>
          <w:lang w:val="ro-RO"/>
        </w:rPr>
      </w:pPr>
      <w:r w:rsidRPr="000C48C6">
        <w:rPr>
          <w:rStyle w:val="FootnoteReference"/>
          <w:sz w:val="24"/>
        </w:rPr>
        <w:footnoteRef/>
      </w:r>
      <w:r w:rsidRPr="00E52EB4">
        <w:rPr>
          <w:sz w:val="24"/>
          <w:lang w:val="ro-RO"/>
        </w:rPr>
        <w:tab/>
      </w:r>
      <w:r w:rsidRPr="00E52EB4">
        <w:rPr>
          <w:sz w:val="24"/>
          <w:lang w:val="ro-RO"/>
        </w:rPr>
        <w:t xml:space="preserve">JO C, C/2024/6041, 10.10.2024, ELI: </w:t>
      </w:r>
      <w:hyperlink r:id="rId112" w:history="1">
        <w:r w:rsidRPr="00E52EB4">
          <w:rPr>
            <w:rStyle w:val="Hyperlink1"/>
            <w:sz w:val="24"/>
            <w:lang w:val="ro-RO"/>
          </w:rPr>
          <w:t>http://data.europa.eu/eli/C/2024/6041/oj</w:t>
        </w:r>
      </w:hyperlink>
      <w:r w:rsidRPr="00E52EB4">
        <w:rPr>
          <w:sz w:val="24"/>
          <w:lang w:val="ro-RO"/>
        </w:rPr>
        <w:t>.</w:t>
      </w:r>
    </w:p>
  </w:footnote>
  <w:footnote w:id="113">
    <w:p w14:paraId="789B3933" w14:textId="77777777" w:rsidR="00344BA4" w:rsidRPr="000C48C6" w:rsidRDefault="00344BA4" w:rsidP="00344BA4">
      <w:pPr>
        <w:pStyle w:val="FootnoteText"/>
        <w:ind w:left="567" w:hanging="567"/>
        <w:rPr>
          <w:sz w:val="24"/>
          <w:szCs w:val="24"/>
          <w:lang w:val="ro-RO"/>
        </w:rPr>
      </w:pPr>
      <w:r w:rsidRPr="000C48C6">
        <w:rPr>
          <w:rStyle w:val="FootnoteReference"/>
          <w:sz w:val="24"/>
        </w:rPr>
        <w:footnoteRef/>
      </w:r>
      <w:r w:rsidRPr="00E52EB4">
        <w:rPr>
          <w:sz w:val="24"/>
          <w:lang w:val="ro-RO"/>
        </w:rPr>
        <w:tab/>
      </w:r>
      <w:r w:rsidRPr="00E52EB4">
        <w:rPr>
          <w:sz w:val="24"/>
          <w:lang w:val="ro-RO"/>
        </w:rPr>
        <w:t xml:space="preserve">JO L 193, 30.7.2018, p. 1, ELI: </w:t>
      </w:r>
      <w:hyperlink r:id="rId113" w:history="1">
        <w:r w:rsidRPr="00E52EB4">
          <w:rPr>
            <w:rStyle w:val="Hyperlink1"/>
            <w:sz w:val="24"/>
            <w:lang w:val="ro-RO"/>
          </w:rPr>
          <w:t>http://data.europa.eu/eli/reg/2018/1046/oj</w:t>
        </w:r>
      </w:hyperlink>
      <w:r w:rsidRPr="00E52EB4">
        <w:rPr>
          <w:sz w:val="24"/>
          <w:lang w:val="ro-RO"/>
        </w:rPr>
        <w:t>.</w:t>
      </w:r>
    </w:p>
  </w:footnote>
  <w:footnote w:id="114">
    <w:p w14:paraId="75EE4CFD" w14:textId="77777777" w:rsidR="00344BA4" w:rsidRPr="000C48C6" w:rsidRDefault="00344BA4" w:rsidP="00344BA4">
      <w:pPr>
        <w:pStyle w:val="FootnoteText"/>
        <w:ind w:left="567" w:hanging="567"/>
        <w:rPr>
          <w:sz w:val="24"/>
          <w:szCs w:val="24"/>
          <w:lang w:val="ro-RO"/>
        </w:rPr>
      </w:pPr>
      <w:r w:rsidRPr="000C48C6">
        <w:rPr>
          <w:rStyle w:val="FootnoteReference"/>
          <w:sz w:val="24"/>
        </w:rPr>
        <w:footnoteRef/>
      </w:r>
      <w:r w:rsidRPr="00E52EB4">
        <w:rPr>
          <w:sz w:val="24"/>
          <w:lang w:val="ro-RO"/>
        </w:rPr>
        <w:tab/>
      </w:r>
      <w:r w:rsidRPr="00E52EB4">
        <w:rPr>
          <w:sz w:val="24"/>
          <w:lang w:val="ro-RO"/>
        </w:rPr>
        <w:t xml:space="preserve">JO L, 2024/2509, 26.9.2024, ELI: </w:t>
      </w:r>
      <w:hyperlink r:id="rId114"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115">
    <w:p w14:paraId="520C82AA" w14:textId="77777777" w:rsidR="00344BA4" w:rsidRPr="000C48C6" w:rsidRDefault="00344BA4" w:rsidP="00344BA4">
      <w:pPr>
        <w:pStyle w:val="FootnoteText"/>
        <w:ind w:left="567" w:hanging="567"/>
        <w:rPr>
          <w:sz w:val="24"/>
          <w:szCs w:val="24"/>
          <w:lang w:val="ro-RO"/>
        </w:rPr>
      </w:pPr>
      <w:r w:rsidRPr="000C48C6">
        <w:rPr>
          <w:rStyle w:val="FootnoteReference"/>
          <w:sz w:val="24"/>
        </w:rPr>
        <w:footnoteRef/>
      </w:r>
      <w:r w:rsidRPr="00E52EB4">
        <w:rPr>
          <w:sz w:val="24"/>
          <w:lang w:val="ro-RO"/>
        </w:rPr>
        <w:tab/>
      </w:r>
      <w:r w:rsidRPr="00E52EB4">
        <w:rPr>
          <w:sz w:val="24"/>
          <w:lang w:val="ro-RO"/>
        </w:rPr>
        <w:t xml:space="preserve">JO L 427, 30.11.2021, p. 17, ELI: </w:t>
      </w:r>
      <w:hyperlink r:id="rId115" w:history="1">
        <w:r w:rsidRPr="00E52EB4">
          <w:rPr>
            <w:rStyle w:val="Hyperlink1"/>
            <w:sz w:val="24"/>
            <w:lang w:val="ro-RO"/>
          </w:rPr>
          <w:t>http://data.europa.eu/eli/reg/2021/2085/oj</w:t>
        </w:r>
      </w:hyperlink>
      <w:r w:rsidRPr="00E52EB4">
        <w:rPr>
          <w:sz w:val="24"/>
          <w:lang w:val="ro-RO"/>
        </w:rPr>
        <w:t>.</w:t>
      </w:r>
    </w:p>
  </w:footnote>
  <w:footnote w:id="116">
    <w:p w14:paraId="44FD9E3B" w14:textId="77777777" w:rsidR="00344BA4" w:rsidRPr="000C48C6" w:rsidRDefault="00344BA4" w:rsidP="00344BA4">
      <w:pPr>
        <w:pStyle w:val="FootnoteText"/>
        <w:ind w:left="567" w:hanging="567"/>
        <w:rPr>
          <w:sz w:val="24"/>
          <w:szCs w:val="24"/>
          <w:lang w:val="ro-RO"/>
        </w:rPr>
      </w:pPr>
      <w:r w:rsidRPr="000C48C6">
        <w:rPr>
          <w:rStyle w:val="FootnoteReference"/>
          <w:sz w:val="24"/>
        </w:rPr>
        <w:footnoteRef/>
      </w:r>
      <w:r w:rsidRPr="00E52EB4">
        <w:rPr>
          <w:sz w:val="24"/>
          <w:lang w:val="ro-RO"/>
        </w:rPr>
        <w:tab/>
      </w:r>
      <w:r w:rsidRPr="00E52EB4">
        <w:rPr>
          <w:sz w:val="24"/>
          <w:lang w:val="ro-RO"/>
        </w:rPr>
        <w:t xml:space="preserve">JO L 142, 29.5.2019, p. 16, ELI: </w:t>
      </w:r>
      <w:hyperlink r:id="rId116" w:history="1">
        <w:r w:rsidRPr="00E52EB4">
          <w:rPr>
            <w:rStyle w:val="Hyperlink1"/>
            <w:sz w:val="24"/>
            <w:lang w:val="ro-RO"/>
          </w:rPr>
          <w:t>http://data.europa.eu/eli/reg_del/2019/887/oj</w:t>
        </w:r>
      </w:hyperlink>
      <w:r w:rsidRPr="00E52EB4">
        <w:rPr>
          <w:sz w:val="24"/>
          <w:lang w:val="ro-RO"/>
        </w:rPr>
        <w:t>.</w:t>
      </w:r>
    </w:p>
  </w:footnote>
  <w:footnote w:id="117">
    <w:p w14:paraId="50AC1B8B" w14:textId="77777777" w:rsidR="00344BA4" w:rsidRPr="005D2308" w:rsidRDefault="00344BA4" w:rsidP="00344BA4">
      <w:pPr>
        <w:pStyle w:val="FootnoteText"/>
        <w:ind w:left="567" w:hanging="567"/>
        <w:rPr>
          <w:sz w:val="24"/>
          <w:szCs w:val="24"/>
          <w:lang w:val="ro-RO"/>
        </w:rPr>
      </w:pPr>
      <w:r w:rsidRPr="005D2308">
        <w:rPr>
          <w:rStyle w:val="FootnoteReference"/>
          <w:sz w:val="24"/>
        </w:rPr>
        <w:footnoteRef/>
      </w:r>
      <w:r w:rsidRPr="00E52EB4">
        <w:rPr>
          <w:sz w:val="24"/>
          <w:lang w:val="ro-RO"/>
        </w:rPr>
        <w:tab/>
      </w:r>
      <w:r w:rsidRPr="00E52EB4">
        <w:rPr>
          <w:sz w:val="24"/>
          <w:lang w:val="ro-RO"/>
        </w:rPr>
        <w:t xml:space="preserve">JO C, C/2024/6841, 13.11.2024, ELI: </w:t>
      </w:r>
      <w:hyperlink r:id="rId117" w:history="1">
        <w:r w:rsidRPr="00E52EB4">
          <w:rPr>
            <w:rStyle w:val="Hyperlink1"/>
            <w:sz w:val="24"/>
            <w:lang w:val="ro-RO"/>
          </w:rPr>
          <w:t>http://data.europa.eu/eli/C/2024/6841/oj</w:t>
        </w:r>
      </w:hyperlink>
      <w:r w:rsidRPr="00E52EB4">
        <w:rPr>
          <w:sz w:val="24"/>
          <w:lang w:val="ro-RO"/>
        </w:rPr>
        <w:t>.</w:t>
      </w:r>
    </w:p>
  </w:footnote>
  <w:footnote w:id="118">
    <w:p w14:paraId="75A982BA" w14:textId="77777777" w:rsidR="00344BA4" w:rsidRPr="005D2308" w:rsidRDefault="00344BA4" w:rsidP="00344BA4">
      <w:pPr>
        <w:pStyle w:val="FootnoteText"/>
        <w:ind w:left="567" w:hanging="567"/>
        <w:rPr>
          <w:sz w:val="24"/>
          <w:szCs w:val="24"/>
          <w:lang w:val="ro-RO"/>
        </w:rPr>
      </w:pPr>
      <w:r w:rsidRPr="005D2308">
        <w:rPr>
          <w:rStyle w:val="FootnoteReference"/>
          <w:sz w:val="24"/>
        </w:rPr>
        <w:footnoteRef/>
      </w:r>
      <w:r w:rsidRPr="00E52EB4">
        <w:rPr>
          <w:sz w:val="24"/>
          <w:lang w:val="ro-RO"/>
        </w:rPr>
        <w:tab/>
      </w:r>
      <w:r w:rsidRPr="00E52EB4">
        <w:rPr>
          <w:sz w:val="24"/>
          <w:lang w:val="ro-RO"/>
        </w:rPr>
        <w:t xml:space="preserve">JO C, C/2024/6041, 10.10.2024, ELI: </w:t>
      </w:r>
      <w:hyperlink r:id="rId118" w:history="1">
        <w:r w:rsidRPr="00E52EB4">
          <w:rPr>
            <w:rStyle w:val="Hyperlink1"/>
            <w:sz w:val="24"/>
            <w:lang w:val="ro-RO"/>
          </w:rPr>
          <w:t>http://data.europa.eu/eli/C/2024/6041/oj</w:t>
        </w:r>
      </w:hyperlink>
      <w:r w:rsidRPr="00E52EB4">
        <w:rPr>
          <w:sz w:val="24"/>
          <w:lang w:val="ro-RO"/>
        </w:rPr>
        <w:t>.</w:t>
      </w:r>
    </w:p>
  </w:footnote>
  <w:footnote w:id="119">
    <w:p w14:paraId="0309149B" w14:textId="77777777" w:rsidR="00344BA4" w:rsidRPr="005D2308" w:rsidRDefault="00344BA4" w:rsidP="00344BA4">
      <w:pPr>
        <w:pStyle w:val="FootnoteText"/>
        <w:ind w:left="567" w:hanging="567"/>
        <w:rPr>
          <w:sz w:val="24"/>
          <w:szCs w:val="24"/>
          <w:lang w:val="ro-RO"/>
        </w:rPr>
      </w:pPr>
      <w:r w:rsidRPr="005D2308">
        <w:rPr>
          <w:rStyle w:val="FootnoteReference"/>
          <w:sz w:val="24"/>
        </w:rPr>
        <w:footnoteRef/>
      </w:r>
      <w:r w:rsidRPr="00E52EB4">
        <w:rPr>
          <w:sz w:val="24"/>
          <w:lang w:val="ro-RO"/>
        </w:rPr>
        <w:tab/>
      </w:r>
      <w:r w:rsidRPr="00E52EB4">
        <w:rPr>
          <w:sz w:val="24"/>
          <w:lang w:val="ro-RO"/>
        </w:rPr>
        <w:t xml:space="preserve">JO L 193, 30.7.2018, p. 1, ELI: </w:t>
      </w:r>
      <w:hyperlink r:id="rId119" w:history="1">
        <w:r w:rsidRPr="00E52EB4">
          <w:rPr>
            <w:rStyle w:val="Hyperlink1"/>
            <w:sz w:val="24"/>
            <w:lang w:val="ro-RO"/>
          </w:rPr>
          <w:t>http://data.europa.eu/eli/reg/2018/1046/oj</w:t>
        </w:r>
      </w:hyperlink>
      <w:r w:rsidRPr="00E52EB4">
        <w:rPr>
          <w:sz w:val="24"/>
          <w:lang w:val="ro-RO"/>
        </w:rPr>
        <w:t>.</w:t>
      </w:r>
    </w:p>
  </w:footnote>
  <w:footnote w:id="120">
    <w:p w14:paraId="0E683BAE" w14:textId="77777777" w:rsidR="00344BA4" w:rsidRPr="005D2308" w:rsidRDefault="00344BA4" w:rsidP="00344BA4">
      <w:pPr>
        <w:pStyle w:val="FootnoteText"/>
        <w:ind w:left="567" w:hanging="567"/>
        <w:rPr>
          <w:sz w:val="24"/>
          <w:szCs w:val="24"/>
          <w:lang w:val="ro-RO"/>
        </w:rPr>
      </w:pPr>
      <w:r w:rsidRPr="005D2308">
        <w:rPr>
          <w:rStyle w:val="FootnoteReference"/>
          <w:sz w:val="24"/>
        </w:rPr>
        <w:footnoteRef/>
      </w:r>
      <w:r w:rsidRPr="00E52EB4">
        <w:rPr>
          <w:sz w:val="24"/>
          <w:lang w:val="ro-RO"/>
        </w:rPr>
        <w:tab/>
      </w:r>
      <w:r w:rsidRPr="00E52EB4">
        <w:rPr>
          <w:sz w:val="24"/>
          <w:lang w:val="ro-RO"/>
        </w:rPr>
        <w:t xml:space="preserve">JO L, 2024/2509, 26.9.2024, ELI: </w:t>
      </w:r>
      <w:hyperlink r:id="rId120"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121">
    <w:p w14:paraId="4FC62C9F" w14:textId="77777777" w:rsidR="00344BA4" w:rsidRPr="005D2308" w:rsidRDefault="00344BA4" w:rsidP="00344BA4">
      <w:pPr>
        <w:pStyle w:val="FootnoteText"/>
        <w:ind w:left="567" w:hanging="567"/>
        <w:rPr>
          <w:sz w:val="24"/>
          <w:szCs w:val="24"/>
          <w:lang w:val="ro-RO"/>
        </w:rPr>
      </w:pPr>
      <w:r w:rsidRPr="005D2308">
        <w:rPr>
          <w:rStyle w:val="FootnoteReference"/>
          <w:sz w:val="24"/>
        </w:rPr>
        <w:footnoteRef/>
      </w:r>
      <w:r w:rsidRPr="00E52EB4">
        <w:rPr>
          <w:sz w:val="24"/>
          <w:lang w:val="ro-RO"/>
        </w:rPr>
        <w:tab/>
      </w:r>
      <w:r w:rsidRPr="00E52EB4">
        <w:rPr>
          <w:sz w:val="24"/>
          <w:lang w:val="ro-RO"/>
        </w:rPr>
        <w:t xml:space="preserve">JO L 427, 30.11.2021, p. 17, ELI: </w:t>
      </w:r>
      <w:hyperlink r:id="rId121" w:history="1">
        <w:r w:rsidRPr="00E52EB4">
          <w:rPr>
            <w:rStyle w:val="Hyperlink1"/>
            <w:sz w:val="24"/>
            <w:lang w:val="ro-RO"/>
          </w:rPr>
          <w:t>http://data.europa.eu/eli/reg/2021/2085/oj</w:t>
        </w:r>
      </w:hyperlink>
      <w:r w:rsidRPr="00E52EB4">
        <w:rPr>
          <w:sz w:val="24"/>
          <w:lang w:val="ro-RO"/>
        </w:rPr>
        <w:t>.</w:t>
      </w:r>
    </w:p>
  </w:footnote>
  <w:footnote w:id="122">
    <w:p w14:paraId="00AAB944" w14:textId="77777777" w:rsidR="00344BA4" w:rsidRPr="005D2308" w:rsidRDefault="00344BA4" w:rsidP="00344BA4">
      <w:pPr>
        <w:pStyle w:val="FootnoteText"/>
        <w:ind w:left="567" w:hanging="567"/>
        <w:rPr>
          <w:sz w:val="24"/>
          <w:szCs w:val="24"/>
          <w:lang w:val="ro-RO"/>
        </w:rPr>
      </w:pPr>
      <w:r w:rsidRPr="005D2308">
        <w:rPr>
          <w:rStyle w:val="FootnoteReference"/>
          <w:sz w:val="24"/>
        </w:rPr>
        <w:footnoteRef/>
      </w:r>
      <w:r w:rsidRPr="00E52EB4">
        <w:rPr>
          <w:sz w:val="24"/>
          <w:lang w:val="ro-RO"/>
        </w:rPr>
        <w:tab/>
      </w:r>
      <w:r w:rsidRPr="00E52EB4">
        <w:rPr>
          <w:sz w:val="24"/>
          <w:lang w:val="ro-RO"/>
        </w:rPr>
        <w:t xml:space="preserve">JO L 142, 29.5.2019, p. 16, ELI: </w:t>
      </w:r>
      <w:hyperlink r:id="rId122" w:history="1">
        <w:r w:rsidRPr="00E52EB4">
          <w:rPr>
            <w:rStyle w:val="Hyperlink1"/>
            <w:sz w:val="24"/>
            <w:lang w:val="ro-RO"/>
          </w:rPr>
          <w:t>http://data.europa.eu/eli/reg_del/2019/887/oj</w:t>
        </w:r>
      </w:hyperlink>
      <w:r w:rsidRPr="00E52EB4">
        <w:rPr>
          <w:sz w:val="24"/>
          <w:lang w:val="ro-RO"/>
        </w:rPr>
        <w:t>.</w:t>
      </w:r>
    </w:p>
  </w:footnote>
  <w:footnote w:id="123">
    <w:p w14:paraId="30920F97" w14:textId="77777777" w:rsidR="00344BA4" w:rsidRPr="00897031" w:rsidRDefault="00344BA4" w:rsidP="00344BA4">
      <w:pPr>
        <w:pStyle w:val="FootnoteText"/>
        <w:ind w:left="567" w:hanging="567"/>
        <w:rPr>
          <w:sz w:val="24"/>
          <w:szCs w:val="24"/>
          <w:lang w:val="ro-RO"/>
        </w:rPr>
      </w:pPr>
      <w:r w:rsidRPr="00897031">
        <w:rPr>
          <w:rStyle w:val="FootnoteReference"/>
          <w:sz w:val="24"/>
        </w:rPr>
        <w:footnoteRef/>
      </w:r>
      <w:r w:rsidRPr="00E52EB4">
        <w:rPr>
          <w:sz w:val="24"/>
          <w:lang w:val="ro-RO"/>
        </w:rPr>
        <w:tab/>
      </w:r>
      <w:r w:rsidRPr="00E52EB4">
        <w:rPr>
          <w:sz w:val="24"/>
          <w:lang w:val="ro-RO"/>
        </w:rPr>
        <w:t xml:space="preserve">JO C, C/2024/6841, 13.11.2024, ELI: </w:t>
      </w:r>
      <w:hyperlink r:id="rId123" w:history="1">
        <w:r w:rsidRPr="00E52EB4">
          <w:rPr>
            <w:rStyle w:val="Hyperlink1"/>
            <w:sz w:val="24"/>
            <w:lang w:val="ro-RO"/>
          </w:rPr>
          <w:t>http://data.europa.eu/eli/C/2024/6841/oj</w:t>
        </w:r>
      </w:hyperlink>
      <w:r w:rsidRPr="00E52EB4">
        <w:rPr>
          <w:sz w:val="24"/>
          <w:lang w:val="ro-RO"/>
        </w:rPr>
        <w:t>.</w:t>
      </w:r>
    </w:p>
  </w:footnote>
  <w:footnote w:id="124">
    <w:p w14:paraId="6E6CDBEF" w14:textId="77777777" w:rsidR="00344BA4" w:rsidRPr="00897031" w:rsidRDefault="00344BA4" w:rsidP="00344BA4">
      <w:pPr>
        <w:pStyle w:val="FootnoteText"/>
        <w:ind w:left="567" w:hanging="567"/>
        <w:rPr>
          <w:sz w:val="24"/>
          <w:szCs w:val="24"/>
          <w:lang w:val="ro-RO"/>
        </w:rPr>
      </w:pPr>
      <w:r w:rsidRPr="00897031">
        <w:rPr>
          <w:rStyle w:val="FootnoteReference"/>
          <w:sz w:val="24"/>
        </w:rPr>
        <w:footnoteRef/>
      </w:r>
      <w:r w:rsidRPr="00E52EB4">
        <w:rPr>
          <w:sz w:val="24"/>
          <w:lang w:val="ro-RO"/>
        </w:rPr>
        <w:tab/>
      </w:r>
      <w:r w:rsidRPr="00E52EB4">
        <w:rPr>
          <w:sz w:val="24"/>
          <w:lang w:val="ro-RO"/>
        </w:rPr>
        <w:t xml:space="preserve">JO C, C/2024/6041, 10.10.2024, ELI: </w:t>
      </w:r>
      <w:hyperlink r:id="rId124" w:history="1">
        <w:r w:rsidRPr="00E52EB4">
          <w:rPr>
            <w:rStyle w:val="Hyperlink1"/>
            <w:sz w:val="24"/>
            <w:lang w:val="ro-RO"/>
          </w:rPr>
          <w:t>http://data.europa.eu/eli/C/2024/6041/oj</w:t>
        </w:r>
      </w:hyperlink>
      <w:r w:rsidRPr="00E52EB4">
        <w:rPr>
          <w:sz w:val="24"/>
          <w:lang w:val="ro-RO"/>
        </w:rPr>
        <w:t>.</w:t>
      </w:r>
    </w:p>
  </w:footnote>
  <w:footnote w:id="125">
    <w:p w14:paraId="613E617C" w14:textId="77777777" w:rsidR="00344BA4" w:rsidRPr="00897031" w:rsidRDefault="00344BA4" w:rsidP="00344BA4">
      <w:pPr>
        <w:pStyle w:val="FootnoteText"/>
        <w:ind w:left="567" w:hanging="567"/>
        <w:rPr>
          <w:sz w:val="24"/>
          <w:szCs w:val="24"/>
          <w:lang w:val="ro-RO"/>
        </w:rPr>
      </w:pPr>
      <w:r w:rsidRPr="00897031">
        <w:rPr>
          <w:rStyle w:val="FootnoteReference"/>
          <w:sz w:val="24"/>
        </w:rPr>
        <w:footnoteRef/>
      </w:r>
      <w:r w:rsidRPr="00E52EB4">
        <w:rPr>
          <w:sz w:val="24"/>
          <w:lang w:val="ro-RO"/>
        </w:rPr>
        <w:tab/>
      </w:r>
      <w:r w:rsidRPr="00E52EB4">
        <w:rPr>
          <w:sz w:val="24"/>
          <w:lang w:val="ro-RO"/>
        </w:rPr>
        <w:t xml:space="preserve">JO L 193, 30.7.2018, p. 1, ELI: </w:t>
      </w:r>
      <w:hyperlink r:id="rId125" w:history="1">
        <w:r w:rsidRPr="00E52EB4">
          <w:rPr>
            <w:rStyle w:val="Hyperlink1"/>
            <w:sz w:val="24"/>
            <w:lang w:val="ro-RO"/>
          </w:rPr>
          <w:t>http://data.europa.eu/eli/reg/2018/1046/oj</w:t>
        </w:r>
      </w:hyperlink>
      <w:r w:rsidRPr="00E52EB4">
        <w:rPr>
          <w:sz w:val="24"/>
          <w:lang w:val="ro-RO"/>
        </w:rPr>
        <w:t>.</w:t>
      </w:r>
    </w:p>
  </w:footnote>
  <w:footnote w:id="126">
    <w:p w14:paraId="312ECBCE" w14:textId="77777777" w:rsidR="00344BA4" w:rsidRPr="00897031" w:rsidRDefault="00344BA4" w:rsidP="00344BA4">
      <w:pPr>
        <w:pStyle w:val="FootnoteText"/>
        <w:ind w:left="567" w:hanging="567"/>
        <w:rPr>
          <w:sz w:val="24"/>
          <w:szCs w:val="24"/>
          <w:lang w:val="ro-RO"/>
        </w:rPr>
      </w:pPr>
      <w:r w:rsidRPr="00897031">
        <w:rPr>
          <w:rStyle w:val="FootnoteReference"/>
          <w:sz w:val="24"/>
        </w:rPr>
        <w:footnoteRef/>
      </w:r>
      <w:r w:rsidRPr="00E52EB4">
        <w:rPr>
          <w:sz w:val="24"/>
          <w:lang w:val="ro-RO"/>
        </w:rPr>
        <w:tab/>
      </w:r>
      <w:r w:rsidRPr="00E52EB4">
        <w:rPr>
          <w:sz w:val="24"/>
          <w:lang w:val="ro-RO"/>
        </w:rPr>
        <w:t xml:space="preserve">JO L, 2024/2509, 26.9.2024, ELI: </w:t>
      </w:r>
      <w:hyperlink r:id="rId126"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127">
    <w:p w14:paraId="6B4D7E0B" w14:textId="77777777" w:rsidR="00344BA4" w:rsidRPr="00897031" w:rsidRDefault="00344BA4" w:rsidP="00344BA4">
      <w:pPr>
        <w:pStyle w:val="FootnoteText"/>
        <w:ind w:left="567" w:hanging="567"/>
        <w:rPr>
          <w:sz w:val="24"/>
          <w:szCs w:val="24"/>
          <w:lang w:val="ro-RO"/>
        </w:rPr>
      </w:pPr>
      <w:r w:rsidRPr="00897031">
        <w:rPr>
          <w:rStyle w:val="FootnoteReference"/>
          <w:sz w:val="24"/>
        </w:rPr>
        <w:footnoteRef/>
      </w:r>
      <w:r w:rsidRPr="00E52EB4">
        <w:rPr>
          <w:sz w:val="24"/>
          <w:lang w:val="ro-RO"/>
        </w:rPr>
        <w:tab/>
      </w:r>
      <w:r w:rsidRPr="00E52EB4">
        <w:rPr>
          <w:sz w:val="24"/>
          <w:lang w:val="ro-RO"/>
        </w:rPr>
        <w:t xml:space="preserve">JO L 427, 30.11.2021, p. 17, ELI: </w:t>
      </w:r>
      <w:hyperlink r:id="rId127" w:history="1">
        <w:r w:rsidRPr="00E52EB4">
          <w:rPr>
            <w:rStyle w:val="Hyperlink1"/>
            <w:sz w:val="24"/>
            <w:lang w:val="ro-RO"/>
          </w:rPr>
          <w:t>http://data.europa.eu/eli/reg/2021/2085/oj</w:t>
        </w:r>
      </w:hyperlink>
      <w:r w:rsidRPr="00E52EB4">
        <w:rPr>
          <w:sz w:val="24"/>
          <w:lang w:val="ro-RO"/>
        </w:rPr>
        <w:t>.</w:t>
      </w:r>
    </w:p>
  </w:footnote>
  <w:footnote w:id="128">
    <w:p w14:paraId="16E94E88" w14:textId="77777777" w:rsidR="00344BA4" w:rsidRPr="00897031" w:rsidRDefault="00344BA4" w:rsidP="00344BA4">
      <w:pPr>
        <w:pStyle w:val="FootnoteText"/>
        <w:ind w:left="567" w:hanging="567"/>
        <w:rPr>
          <w:sz w:val="24"/>
          <w:szCs w:val="24"/>
          <w:lang w:val="ro-RO"/>
        </w:rPr>
      </w:pPr>
      <w:r w:rsidRPr="00897031">
        <w:rPr>
          <w:rStyle w:val="FootnoteReference"/>
          <w:sz w:val="24"/>
        </w:rPr>
        <w:footnoteRef/>
      </w:r>
      <w:r w:rsidRPr="00E52EB4">
        <w:rPr>
          <w:sz w:val="24"/>
          <w:lang w:val="ro-RO"/>
        </w:rPr>
        <w:tab/>
      </w:r>
      <w:r w:rsidRPr="00E52EB4">
        <w:rPr>
          <w:sz w:val="24"/>
          <w:lang w:val="ro-RO"/>
        </w:rPr>
        <w:t xml:space="preserve">JO L 142, 29.5.2019, p. 16, ELI: </w:t>
      </w:r>
      <w:hyperlink r:id="rId128" w:history="1">
        <w:r w:rsidRPr="00E52EB4">
          <w:rPr>
            <w:rStyle w:val="Hyperlink1"/>
            <w:sz w:val="24"/>
            <w:lang w:val="ro-RO"/>
          </w:rPr>
          <w:t>http://data.europa.eu/eli/reg_del/2019/887/oj</w:t>
        </w:r>
      </w:hyperlink>
      <w:r w:rsidRPr="00E52EB4">
        <w:rPr>
          <w:sz w:val="24"/>
          <w:lang w:val="ro-RO"/>
        </w:rPr>
        <w:t>.</w:t>
      </w:r>
    </w:p>
  </w:footnote>
  <w:footnote w:id="129">
    <w:p w14:paraId="0F76657E" w14:textId="77777777" w:rsidR="00344BA4" w:rsidRPr="001332BF" w:rsidRDefault="00344BA4" w:rsidP="00344BA4">
      <w:pPr>
        <w:pStyle w:val="FootnoteText"/>
        <w:ind w:left="567" w:hanging="567"/>
        <w:rPr>
          <w:sz w:val="24"/>
          <w:szCs w:val="24"/>
          <w:lang w:val="ro-RO"/>
        </w:rPr>
      </w:pPr>
      <w:r w:rsidRPr="001332BF">
        <w:rPr>
          <w:rStyle w:val="FootnoteReference"/>
          <w:sz w:val="24"/>
        </w:rPr>
        <w:footnoteRef/>
      </w:r>
      <w:r w:rsidRPr="00E52EB4">
        <w:rPr>
          <w:sz w:val="24"/>
          <w:lang w:val="ro-RO"/>
        </w:rPr>
        <w:tab/>
      </w:r>
      <w:r w:rsidRPr="00E52EB4">
        <w:rPr>
          <w:sz w:val="24"/>
          <w:lang w:val="ro-RO"/>
        </w:rPr>
        <w:t xml:space="preserve">JO C, C/2024/6841, 13.11.2024, ELI: </w:t>
      </w:r>
      <w:hyperlink r:id="rId129" w:history="1">
        <w:r w:rsidRPr="00E52EB4">
          <w:rPr>
            <w:rStyle w:val="Hyperlink1"/>
            <w:sz w:val="24"/>
            <w:lang w:val="ro-RO"/>
          </w:rPr>
          <w:t>http://data.europa.eu/eli/C/2024/6841/oj</w:t>
        </w:r>
      </w:hyperlink>
      <w:r w:rsidRPr="00E52EB4">
        <w:rPr>
          <w:sz w:val="24"/>
          <w:lang w:val="ro-RO"/>
        </w:rPr>
        <w:t>.</w:t>
      </w:r>
    </w:p>
  </w:footnote>
  <w:footnote w:id="130">
    <w:p w14:paraId="4C203B16" w14:textId="77777777" w:rsidR="00344BA4" w:rsidRPr="001332BF" w:rsidRDefault="00344BA4" w:rsidP="00344BA4">
      <w:pPr>
        <w:pStyle w:val="FootnoteText"/>
        <w:ind w:left="567" w:hanging="567"/>
        <w:rPr>
          <w:sz w:val="24"/>
          <w:szCs w:val="24"/>
          <w:lang w:val="ro-RO"/>
        </w:rPr>
      </w:pPr>
      <w:r w:rsidRPr="001332BF">
        <w:rPr>
          <w:rStyle w:val="FootnoteReference"/>
          <w:sz w:val="24"/>
        </w:rPr>
        <w:footnoteRef/>
      </w:r>
      <w:r w:rsidRPr="00E52EB4">
        <w:rPr>
          <w:sz w:val="24"/>
          <w:lang w:val="ro-RO"/>
        </w:rPr>
        <w:tab/>
      </w:r>
      <w:r w:rsidRPr="00E52EB4">
        <w:rPr>
          <w:sz w:val="24"/>
          <w:lang w:val="ro-RO"/>
        </w:rPr>
        <w:t xml:space="preserve">JO C, C/2024/6041, 10.10.2024, ELI: </w:t>
      </w:r>
      <w:hyperlink r:id="rId130" w:history="1">
        <w:r w:rsidRPr="00E52EB4">
          <w:rPr>
            <w:rStyle w:val="Hyperlink1"/>
            <w:sz w:val="24"/>
            <w:lang w:val="ro-RO"/>
          </w:rPr>
          <w:t>http://data.europa.eu/eli/C/2024/6041/oj</w:t>
        </w:r>
      </w:hyperlink>
      <w:r w:rsidRPr="00E52EB4">
        <w:rPr>
          <w:sz w:val="24"/>
          <w:lang w:val="ro-RO"/>
        </w:rPr>
        <w:t>.</w:t>
      </w:r>
    </w:p>
  </w:footnote>
  <w:footnote w:id="131">
    <w:p w14:paraId="0B878A32" w14:textId="77777777" w:rsidR="00344BA4" w:rsidRPr="001332BF" w:rsidRDefault="00344BA4" w:rsidP="00344BA4">
      <w:pPr>
        <w:pStyle w:val="FootnoteText"/>
        <w:ind w:left="567" w:hanging="567"/>
        <w:rPr>
          <w:sz w:val="24"/>
          <w:szCs w:val="24"/>
          <w:lang w:val="ro-RO"/>
        </w:rPr>
      </w:pPr>
      <w:r w:rsidRPr="001332BF">
        <w:rPr>
          <w:rStyle w:val="FootnoteReference"/>
          <w:sz w:val="24"/>
        </w:rPr>
        <w:footnoteRef/>
      </w:r>
      <w:r w:rsidRPr="00E52EB4">
        <w:rPr>
          <w:sz w:val="24"/>
          <w:lang w:val="ro-RO"/>
        </w:rPr>
        <w:tab/>
      </w:r>
      <w:r w:rsidRPr="00E52EB4">
        <w:rPr>
          <w:sz w:val="24"/>
          <w:lang w:val="ro-RO"/>
        </w:rPr>
        <w:t xml:space="preserve">JO L 193, 30.7.2018, p. 1, ELI: </w:t>
      </w:r>
      <w:hyperlink r:id="rId131" w:history="1">
        <w:r w:rsidRPr="00E52EB4">
          <w:rPr>
            <w:rStyle w:val="Hyperlink1"/>
            <w:sz w:val="24"/>
            <w:lang w:val="ro-RO"/>
          </w:rPr>
          <w:t>http://data.europa.eu/eli/reg/2018/1046/oj</w:t>
        </w:r>
      </w:hyperlink>
      <w:r w:rsidRPr="00E52EB4">
        <w:rPr>
          <w:sz w:val="24"/>
          <w:lang w:val="ro-RO"/>
        </w:rPr>
        <w:t>.</w:t>
      </w:r>
    </w:p>
  </w:footnote>
  <w:footnote w:id="132">
    <w:p w14:paraId="69CD536A" w14:textId="77777777" w:rsidR="00344BA4" w:rsidRPr="001332BF" w:rsidRDefault="00344BA4" w:rsidP="00344BA4">
      <w:pPr>
        <w:pStyle w:val="FootnoteText"/>
        <w:ind w:left="567" w:hanging="567"/>
        <w:rPr>
          <w:sz w:val="24"/>
          <w:szCs w:val="24"/>
          <w:lang w:val="ro-RO"/>
        </w:rPr>
      </w:pPr>
      <w:r w:rsidRPr="001332BF">
        <w:rPr>
          <w:rStyle w:val="FootnoteReference"/>
          <w:sz w:val="24"/>
        </w:rPr>
        <w:footnoteRef/>
      </w:r>
      <w:r w:rsidRPr="00E52EB4">
        <w:rPr>
          <w:sz w:val="24"/>
          <w:lang w:val="ro-RO"/>
        </w:rPr>
        <w:tab/>
      </w:r>
      <w:r w:rsidRPr="00E52EB4">
        <w:rPr>
          <w:sz w:val="24"/>
          <w:lang w:val="ro-RO"/>
        </w:rPr>
        <w:t xml:space="preserve">JO L, 2024/2509, 26.9.2024, ELI: </w:t>
      </w:r>
      <w:hyperlink r:id="rId132" w:tgtFrame="_blank" w:history="1">
        <w:r w:rsidRPr="00E52EB4">
          <w:rPr>
            <w:rStyle w:val="Hyperlink1"/>
            <w:sz w:val="24"/>
            <w:shd w:val="clear" w:color="auto" w:fill="FFFFFF"/>
            <w:lang w:val="ro-RO"/>
          </w:rPr>
          <w:t>http://data.europa.eu/eli/reg/2024/2509/oj</w:t>
        </w:r>
      </w:hyperlink>
      <w:r w:rsidRPr="00E52EB4">
        <w:rPr>
          <w:sz w:val="24"/>
          <w:lang w:val="ro-RO"/>
        </w:rPr>
        <w:t>.</w:t>
      </w:r>
    </w:p>
  </w:footnote>
  <w:footnote w:id="133">
    <w:p w14:paraId="0505ECA4" w14:textId="77777777" w:rsidR="00344BA4" w:rsidRPr="001332BF" w:rsidRDefault="00344BA4" w:rsidP="00344BA4">
      <w:pPr>
        <w:pStyle w:val="FootnoteText"/>
        <w:ind w:left="567" w:hanging="567"/>
        <w:rPr>
          <w:sz w:val="24"/>
          <w:szCs w:val="24"/>
          <w:lang w:val="ro-RO"/>
        </w:rPr>
      </w:pPr>
      <w:r w:rsidRPr="001332BF">
        <w:rPr>
          <w:rStyle w:val="FootnoteReference"/>
          <w:sz w:val="24"/>
        </w:rPr>
        <w:footnoteRef/>
      </w:r>
      <w:r w:rsidRPr="00E52EB4">
        <w:rPr>
          <w:sz w:val="24"/>
          <w:lang w:val="ro-RO"/>
        </w:rPr>
        <w:tab/>
      </w:r>
      <w:r w:rsidRPr="00E52EB4">
        <w:rPr>
          <w:sz w:val="24"/>
          <w:lang w:val="ro-RO"/>
        </w:rPr>
        <w:t xml:space="preserve">JO L 427, 30.11.2021, p. 17, ELI: </w:t>
      </w:r>
      <w:hyperlink r:id="rId133" w:history="1">
        <w:r w:rsidRPr="00E52EB4">
          <w:rPr>
            <w:rStyle w:val="Hyperlink1"/>
            <w:sz w:val="24"/>
            <w:lang w:val="ro-RO"/>
          </w:rPr>
          <w:t>http://data.europa.eu/eli/reg/2021/2085/oj</w:t>
        </w:r>
      </w:hyperlink>
      <w:r w:rsidRPr="00E52EB4">
        <w:rPr>
          <w:sz w:val="24"/>
          <w:lang w:val="ro-RO"/>
        </w:rPr>
        <w:t>.</w:t>
      </w:r>
    </w:p>
  </w:footnote>
  <w:footnote w:id="134">
    <w:p w14:paraId="4F540EF8" w14:textId="77777777" w:rsidR="00344BA4" w:rsidRPr="001332BF" w:rsidRDefault="00344BA4" w:rsidP="00344BA4">
      <w:pPr>
        <w:pStyle w:val="FootnoteText"/>
        <w:ind w:left="567" w:hanging="567"/>
        <w:rPr>
          <w:sz w:val="24"/>
          <w:szCs w:val="24"/>
          <w:lang w:val="ro-RO"/>
        </w:rPr>
      </w:pPr>
      <w:r w:rsidRPr="001332BF">
        <w:rPr>
          <w:rStyle w:val="FootnoteReference"/>
          <w:sz w:val="24"/>
        </w:rPr>
        <w:footnoteRef/>
      </w:r>
      <w:r w:rsidRPr="00E52EB4">
        <w:rPr>
          <w:sz w:val="24"/>
          <w:lang w:val="ro-RO"/>
        </w:rPr>
        <w:tab/>
      </w:r>
      <w:r w:rsidRPr="00E52EB4">
        <w:rPr>
          <w:sz w:val="24"/>
          <w:lang w:val="ro-RO"/>
        </w:rPr>
        <w:t xml:space="preserve">JO L 142, 29.5.2019, p. 16, ELI: </w:t>
      </w:r>
      <w:hyperlink r:id="rId134" w:history="1">
        <w:r w:rsidRPr="00E52EB4">
          <w:rPr>
            <w:rStyle w:val="Hyperlink1"/>
            <w:sz w:val="24"/>
            <w:lang w:val="ro-RO"/>
          </w:rPr>
          <w:t>http://data.europa.eu/eli/reg_del/2019/887/oj</w:t>
        </w:r>
      </w:hyperlink>
      <w:r w:rsidRPr="00E52EB4">
        <w:rPr>
          <w:sz w:val="24"/>
          <w:lang w:val="ro-RO"/>
        </w:rPr>
        <w:t>.</w:t>
      </w:r>
    </w:p>
  </w:footnote>
  <w:footnote w:id="135">
    <w:p w14:paraId="66CF0D31" w14:textId="77777777" w:rsidR="00344BA4" w:rsidRPr="00A541F8" w:rsidRDefault="00344BA4" w:rsidP="00344BA4">
      <w:pPr>
        <w:pStyle w:val="FootnoteText"/>
        <w:ind w:left="567" w:hanging="567"/>
        <w:rPr>
          <w:sz w:val="24"/>
          <w:lang w:val="ro-RO"/>
        </w:rPr>
      </w:pPr>
      <w:r w:rsidRPr="00A541F8">
        <w:rPr>
          <w:rStyle w:val="FootnoteReference"/>
          <w:sz w:val="24"/>
        </w:rPr>
        <w:footnoteRef/>
      </w:r>
      <w:r w:rsidRPr="00E52EB4">
        <w:rPr>
          <w:sz w:val="24"/>
          <w:lang w:val="ro-RO"/>
        </w:rPr>
        <w:tab/>
      </w:r>
      <w:r w:rsidRPr="00E52EB4">
        <w:rPr>
          <w:sz w:val="24"/>
          <w:lang w:val="ro-RO"/>
        </w:rPr>
        <w:t xml:space="preserve">Regulamentul (UE) 2021/2085 al Consiliului din 19 noiembrie 2021 de instituire a întreprinderilor comune din cadrul programului Orizont Europa și de abrogare a Regulamentelor (CE) nr. 219/2007, (UE) nr. 557/2014, (UE) nr. 558/2014, (UE) nr. 559/2014, (UE) nr. 560/2014, (UE) nr. 561/2014 și (UE) nr. 642/2014 (JO L 427, 30.11.2021, p. 17, ELI: </w:t>
      </w:r>
      <w:hyperlink r:id="rId135" w:history="1">
        <w:r w:rsidRPr="00E52EB4">
          <w:rPr>
            <w:rStyle w:val="Hyperlink"/>
            <w:sz w:val="24"/>
            <w:lang w:val="ro-RO"/>
          </w:rPr>
          <w:t>http://data.europa.eu/eli/reg/2021/2085/oj</w:t>
        </w:r>
      </w:hyperlink>
      <w:r w:rsidRPr="00E52EB4">
        <w:rPr>
          <w:sz w:val="24"/>
          <w:lang w:val="ro-RO"/>
        </w:rPr>
        <w:t>).</w:t>
      </w:r>
    </w:p>
  </w:footnote>
  <w:footnote w:id="136">
    <w:p w14:paraId="303A0D7C" w14:textId="77777777" w:rsidR="00344BA4" w:rsidRPr="00A541F8" w:rsidRDefault="00344BA4" w:rsidP="00344BA4">
      <w:pPr>
        <w:pStyle w:val="FootnoteText"/>
        <w:ind w:left="567" w:hanging="567"/>
        <w:rPr>
          <w:sz w:val="24"/>
          <w:lang w:val="ro-RO"/>
        </w:rPr>
      </w:pPr>
      <w:r w:rsidRPr="00A541F8">
        <w:rPr>
          <w:rStyle w:val="FootnoteReference"/>
          <w:sz w:val="24"/>
        </w:rPr>
        <w:footnoteRef/>
      </w:r>
      <w:r w:rsidRPr="00E52EB4">
        <w:rPr>
          <w:sz w:val="24"/>
          <w:lang w:val="ro-RO"/>
        </w:rPr>
        <w:tab/>
      </w:r>
      <w:r w:rsidRPr="00E52EB4">
        <w:rPr>
          <w:sz w:val="24"/>
          <w:lang w:val="ro-RO"/>
        </w:rPr>
        <w:t xml:space="preserve">Regulamentul (UE) 2023/1782 al Consiliului din 25 iulie 2023 de modificare a Regulamentului (UE) 2021/2085 de instituire a întreprinderilor comune din cadrul programului Orizont Europa în ceea ce privește întreprinderea comună pentru cipuri (JO L 229, 18.9.2023, p. 55, ELI: </w:t>
      </w:r>
      <w:hyperlink r:id="rId136" w:history="1">
        <w:r w:rsidRPr="00E52EB4">
          <w:rPr>
            <w:rStyle w:val="Hyperlink1"/>
            <w:sz w:val="24"/>
            <w:lang w:val="ro-RO"/>
          </w:rPr>
          <w:t>http://data.europa.eu/eli/reg/2023/1782/oj</w:t>
        </w:r>
      </w:hyperlink>
      <w:r w:rsidRPr="00E52EB4">
        <w:rPr>
          <w:sz w:val="24"/>
          <w:lang w:val="ro-RO"/>
        </w:rPr>
        <w:t>).</w:t>
      </w:r>
    </w:p>
  </w:footnote>
  <w:footnote w:id="137">
    <w:p w14:paraId="3E240B1D" w14:textId="77777777" w:rsidR="00344BA4" w:rsidRPr="00A541F8" w:rsidRDefault="00344BA4" w:rsidP="00344BA4">
      <w:pPr>
        <w:pStyle w:val="FootnoteText"/>
        <w:ind w:left="567" w:hanging="567"/>
        <w:rPr>
          <w:sz w:val="24"/>
          <w:lang w:val="ro-RO"/>
        </w:rPr>
      </w:pPr>
      <w:r w:rsidRPr="00A541F8">
        <w:rPr>
          <w:rStyle w:val="FootnoteReference"/>
          <w:sz w:val="24"/>
        </w:rPr>
        <w:footnoteRef/>
      </w:r>
      <w:r w:rsidRPr="00E52EB4">
        <w:rPr>
          <w:sz w:val="24"/>
          <w:lang w:val="ro-RO"/>
        </w:rPr>
        <w:tab/>
      </w:r>
      <w:r w:rsidRPr="00E52EB4">
        <w:rPr>
          <w:sz w:val="24"/>
          <w:lang w:val="ro-RO"/>
        </w:rPr>
        <w:t xml:space="preserve">Decizia 2007/198/Euratom a Consiliului din 27 martie 2007 de înființare a întreprinderii comune europene pentru ITER și pentru dezvoltarea energiei de fuziune, cu oferirea unor avantaje conexe (JO L 90, 30.3.2007, p. 58, ELI: </w:t>
      </w:r>
      <w:hyperlink r:id="rId137" w:history="1">
        <w:r w:rsidRPr="00E52EB4">
          <w:rPr>
            <w:rStyle w:val="Hyperlink1"/>
            <w:sz w:val="24"/>
            <w:lang w:val="ro-RO"/>
          </w:rPr>
          <w:t>http://data.europa.eu/eli/dec/2007/198/oj</w:t>
        </w:r>
      </w:hyperlink>
      <w:r w:rsidRPr="00E52EB4">
        <w:rPr>
          <w:sz w:val="24"/>
          <w:lang w:val="ro-RO"/>
        </w:rPr>
        <w:t>).</w:t>
      </w:r>
    </w:p>
  </w:footnote>
  <w:footnote w:id="138">
    <w:p w14:paraId="07CB32CD" w14:textId="77777777" w:rsidR="00344BA4" w:rsidRPr="00A541F8" w:rsidRDefault="00344BA4" w:rsidP="00344BA4">
      <w:pPr>
        <w:pStyle w:val="FootnoteText"/>
        <w:ind w:left="567" w:hanging="567"/>
        <w:rPr>
          <w:sz w:val="24"/>
          <w:lang w:val="ro-RO"/>
        </w:rPr>
      </w:pPr>
      <w:r w:rsidRPr="00A541F8">
        <w:rPr>
          <w:rStyle w:val="FootnoteReference"/>
          <w:sz w:val="24"/>
        </w:rPr>
        <w:footnoteRef/>
      </w:r>
      <w:r w:rsidRPr="00E52EB4">
        <w:rPr>
          <w:sz w:val="24"/>
          <w:lang w:val="ro-RO"/>
        </w:rPr>
        <w:tab/>
      </w:r>
      <w:r w:rsidRPr="00E52EB4">
        <w:rPr>
          <w:sz w:val="24"/>
          <w:lang w:val="ro-RO"/>
        </w:rPr>
        <w:t xml:space="preserve">Regulamentul (UE) 2021/1173 al Consiliului din 13 iulie 2021 privind instituirea întreprinderii comune pentru calculul european de înaltă performanță și de abrogare a Regulamentului (UE) 2018/1488 (JO L 256, 19.7.2021, p. 3, ELI: </w:t>
      </w:r>
      <w:hyperlink r:id="rId138" w:history="1">
        <w:r w:rsidRPr="00E52EB4">
          <w:rPr>
            <w:rStyle w:val="Hyperlink1"/>
            <w:sz w:val="24"/>
            <w:lang w:val="ro-RO"/>
          </w:rPr>
          <w:t>http://data.europa.eu/eli/reg/2021/1173/oj</w:t>
        </w:r>
      </w:hyperlink>
      <w:r w:rsidRPr="00E52EB4">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7329B" w14:textId="77777777" w:rsidR="009837EA" w:rsidRPr="0018640F" w:rsidRDefault="009837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70E89" w14:textId="77777777" w:rsidR="009837EA" w:rsidRPr="0018640F" w:rsidRDefault="009837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14B96" w14:textId="77777777" w:rsidR="009837EA" w:rsidRPr="0018640F" w:rsidRDefault="009837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16cid:durableId="1785616719">
    <w:abstractNumId w:val="9"/>
  </w:num>
  <w:num w:numId="2" w16cid:durableId="1374187615">
    <w:abstractNumId w:val="9"/>
  </w:num>
  <w:num w:numId="3" w16cid:durableId="1004892598">
    <w:abstractNumId w:val="7"/>
  </w:num>
  <w:num w:numId="4" w16cid:durableId="179970754">
    <w:abstractNumId w:val="7"/>
  </w:num>
  <w:num w:numId="5" w16cid:durableId="1815294549">
    <w:abstractNumId w:val="6"/>
  </w:num>
  <w:num w:numId="6" w16cid:durableId="1279095429">
    <w:abstractNumId w:val="6"/>
  </w:num>
  <w:num w:numId="7" w16cid:durableId="849954154">
    <w:abstractNumId w:val="5"/>
  </w:num>
  <w:num w:numId="8" w16cid:durableId="460079178">
    <w:abstractNumId w:val="5"/>
  </w:num>
  <w:num w:numId="9" w16cid:durableId="351030799">
    <w:abstractNumId w:val="4"/>
  </w:num>
  <w:num w:numId="10" w16cid:durableId="610431476">
    <w:abstractNumId w:val="4"/>
  </w:num>
  <w:num w:numId="11" w16cid:durableId="562913226">
    <w:abstractNumId w:val="8"/>
  </w:num>
  <w:num w:numId="12" w16cid:durableId="794954232">
    <w:abstractNumId w:val="8"/>
  </w:num>
  <w:num w:numId="13" w16cid:durableId="1316765629">
    <w:abstractNumId w:val="3"/>
  </w:num>
  <w:num w:numId="14" w16cid:durableId="1333726756">
    <w:abstractNumId w:val="3"/>
  </w:num>
  <w:num w:numId="15" w16cid:durableId="764109759">
    <w:abstractNumId w:val="2"/>
  </w:num>
  <w:num w:numId="16" w16cid:durableId="1735004532">
    <w:abstractNumId w:val="2"/>
  </w:num>
  <w:num w:numId="17" w16cid:durableId="1348217813">
    <w:abstractNumId w:val="1"/>
  </w:num>
  <w:num w:numId="18" w16cid:durableId="1360813813">
    <w:abstractNumId w:val="1"/>
  </w:num>
  <w:num w:numId="19" w16cid:durableId="32653821">
    <w:abstractNumId w:val="0"/>
  </w:num>
  <w:num w:numId="20" w16cid:durableId="1949123586">
    <w:abstractNumId w:val="0"/>
  </w:num>
  <w:num w:numId="21" w16cid:durableId="719402197">
    <w:abstractNumId w:val="9"/>
  </w:num>
  <w:num w:numId="22" w16cid:durableId="1436513955">
    <w:abstractNumId w:val="7"/>
  </w:num>
  <w:num w:numId="23" w16cid:durableId="199826930">
    <w:abstractNumId w:val="6"/>
  </w:num>
  <w:num w:numId="24" w16cid:durableId="2114782833">
    <w:abstractNumId w:val="5"/>
  </w:num>
  <w:num w:numId="25" w16cid:durableId="74324330">
    <w:abstractNumId w:val="4"/>
  </w:num>
  <w:num w:numId="26" w16cid:durableId="480461724">
    <w:abstractNumId w:val="8"/>
  </w:num>
  <w:num w:numId="27" w16cid:durableId="1923030897">
    <w:abstractNumId w:val="3"/>
  </w:num>
  <w:num w:numId="28" w16cid:durableId="238292893">
    <w:abstractNumId w:val="2"/>
  </w:num>
  <w:num w:numId="29" w16cid:durableId="1501962161">
    <w:abstractNumId w:val="1"/>
  </w:num>
  <w:num w:numId="30" w16cid:durableId="681858133">
    <w:abstractNumId w:val="0"/>
  </w:num>
  <w:num w:numId="31" w16cid:durableId="1096049376">
    <w:abstractNumId w:val="9"/>
  </w:num>
  <w:num w:numId="32" w16cid:durableId="1282609198">
    <w:abstractNumId w:val="7"/>
  </w:num>
  <w:num w:numId="33" w16cid:durableId="801775199">
    <w:abstractNumId w:val="6"/>
  </w:num>
  <w:num w:numId="34" w16cid:durableId="1008363112">
    <w:abstractNumId w:val="5"/>
  </w:num>
  <w:num w:numId="35" w16cid:durableId="2031104485">
    <w:abstractNumId w:val="4"/>
  </w:num>
  <w:num w:numId="36" w16cid:durableId="2060274555">
    <w:abstractNumId w:val="8"/>
  </w:num>
  <w:num w:numId="37" w16cid:durableId="1099372698">
    <w:abstractNumId w:val="3"/>
  </w:num>
  <w:num w:numId="38" w16cid:durableId="276714523">
    <w:abstractNumId w:val="2"/>
  </w:num>
  <w:num w:numId="39" w16cid:durableId="2055503514">
    <w:abstractNumId w:val="1"/>
  </w:num>
  <w:num w:numId="40" w16cid:durableId="470250285">
    <w:abstractNumId w:val="0"/>
  </w:num>
  <w:num w:numId="41" w16cid:durableId="1106465274">
    <w:abstractNumId w:val="10"/>
  </w:num>
  <w:num w:numId="42" w16cid:durableId="1830559396">
    <w:abstractNumId w:val="10"/>
  </w:num>
  <w:num w:numId="43" w16cid:durableId="1979609490">
    <w:abstractNumId w:val="10"/>
  </w:num>
  <w:num w:numId="44" w16cid:durableId="713773103">
    <w:abstractNumId w:val="12"/>
  </w:num>
  <w:num w:numId="45" w16cid:durableId="1551187271">
    <w:abstractNumId w:val="13"/>
  </w:num>
  <w:num w:numId="46" w16cid:durableId="5168906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RO"/>
    <w:docVar w:name="dvnumam" w:val="0"/>
    <w:docVar w:name="dvpe" w:val="765.276"/>
    <w:docVar w:name="dvrapporteur" w:val="Raportor: "/>
    <w:docVar w:name="dvtitre" w:val="Decizia Parlamentului European din ... 2025 privind descărcarea de gestiune pentru execuția bugetului întreprinderilor comune ale Uniunii Europene aferent exercițiului financiar 2023(2024/2031(DEC))"/>
  </w:docVars>
  <w:rsids>
    <w:rsidRoot w:val="00A8297E"/>
    <w:rsid w:val="00002272"/>
    <w:rsid w:val="00064002"/>
    <w:rsid w:val="000677B9"/>
    <w:rsid w:val="000831BA"/>
    <w:rsid w:val="000A42CC"/>
    <w:rsid w:val="000E7DD9"/>
    <w:rsid w:val="0010095E"/>
    <w:rsid w:val="00125B37"/>
    <w:rsid w:val="0018640F"/>
    <w:rsid w:val="00187494"/>
    <w:rsid w:val="001F32AE"/>
    <w:rsid w:val="00246A20"/>
    <w:rsid w:val="002767FF"/>
    <w:rsid w:val="002B18FE"/>
    <w:rsid w:val="002B5493"/>
    <w:rsid w:val="00343214"/>
    <w:rsid w:val="00344BA4"/>
    <w:rsid w:val="00361C00"/>
    <w:rsid w:val="00395FA1"/>
    <w:rsid w:val="003E15D4"/>
    <w:rsid w:val="003E7600"/>
    <w:rsid w:val="00411CCE"/>
    <w:rsid w:val="0041666E"/>
    <w:rsid w:val="00421060"/>
    <w:rsid w:val="00471C19"/>
    <w:rsid w:val="004867E3"/>
    <w:rsid w:val="00494A28"/>
    <w:rsid w:val="004A7F53"/>
    <w:rsid w:val="004C0004"/>
    <w:rsid w:val="004C5D52"/>
    <w:rsid w:val="0050519A"/>
    <w:rsid w:val="005072A1"/>
    <w:rsid w:val="00514517"/>
    <w:rsid w:val="00545827"/>
    <w:rsid w:val="00560270"/>
    <w:rsid w:val="00596604"/>
    <w:rsid w:val="005C2568"/>
    <w:rsid w:val="005F1B17"/>
    <w:rsid w:val="006037C0"/>
    <w:rsid w:val="0064053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E79"/>
    <w:rsid w:val="00865F67"/>
    <w:rsid w:val="00881A7B"/>
    <w:rsid w:val="008823BC"/>
    <w:rsid w:val="008840E5"/>
    <w:rsid w:val="00887B3E"/>
    <w:rsid w:val="008C2AC6"/>
    <w:rsid w:val="008D5D7D"/>
    <w:rsid w:val="00910867"/>
    <w:rsid w:val="00930C23"/>
    <w:rsid w:val="0093193B"/>
    <w:rsid w:val="009509D8"/>
    <w:rsid w:val="00950B64"/>
    <w:rsid w:val="00981893"/>
    <w:rsid w:val="009837EA"/>
    <w:rsid w:val="00A1687D"/>
    <w:rsid w:val="00A43E52"/>
    <w:rsid w:val="00A4678D"/>
    <w:rsid w:val="00A778C7"/>
    <w:rsid w:val="00A8297E"/>
    <w:rsid w:val="00AB441E"/>
    <w:rsid w:val="00AB6293"/>
    <w:rsid w:val="00AE0928"/>
    <w:rsid w:val="00AF3B82"/>
    <w:rsid w:val="00B12E95"/>
    <w:rsid w:val="00B22876"/>
    <w:rsid w:val="00B27B3E"/>
    <w:rsid w:val="00B558F0"/>
    <w:rsid w:val="00B9221D"/>
    <w:rsid w:val="00BB0ECC"/>
    <w:rsid w:val="00BD48FE"/>
    <w:rsid w:val="00BD7BD8"/>
    <w:rsid w:val="00BE6ADC"/>
    <w:rsid w:val="00C05BFE"/>
    <w:rsid w:val="00C23CD4"/>
    <w:rsid w:val="00C61C0C"/>
    <w:rsid w:val="00C779F6"/>
    <w:rsid w:val="00C941CB"/>
    <w:rsid w:val="00CC2357"/>
    <w:rsid w:val="00CF071A"/>
    <w:rsid w:val="00D058B8"/>
    <w:rsid w:val="00D102B6"/>
    <w:rsid w:val="00D56C11"/>
    <w:rsid w:val="00D834A0"/>
    <w:rsid w:val="00D872DF"/>
    <w:rsid w:val="00D91E21"/>
    <w:rsid w:val="00DA7FCD"/>
    <w:rsid w:val="00E365E1"/>
    <w:rsid w:val="00E440A6"/>
    <w:rsid w:val="00E820A4"/>
    <w:rsid w:val="00EB006A"/>
    <w:rsid w:val="00EB4772"/>
    <w:rsid w:val="00ED169E"/>
    <w:rsid w:val="00ED4235"/>
    <w:rsid w:val="00F04346"/>
    <w:rsid w:val="00F075DC"/>
    <w:rsid w:val="00F149E9"/>
    <w:rsid w:val="00F5134D"/>
    <w:rsid w:val="00F74202"/>
    <w:rsid w:val="00F87713"/>
    <w:rsid w:val="00F9486F"/>
    <w:rsid w:val="00FB4360"/>
    <w:rsid w:val="00FD0C70"/>
    <w:rsid w:val="00FF647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45C6A"/>
  <w15:chartTrackingRefBased/>
  <w15:docId w15:val="{19F1EDE5-8019-4794-89B0-E00B7653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9486F"/>
    <w:rPr>
      <w:b/>
      <w:kern w:val="28"/>
      <w:sz w:val="28"/>
      <w:lang w:val="fr-FR" w:eastAsia="fr-FR"/>
    </w:rPr>
  </w:style>
  <w:style w:type="character" w:customStyle="1" w:styleId="Heading2Char">
    <w:name w:val="Heading 2 Char"/>
    <w:basedOn w:val="DefaultParagraphFont"/>
    <w:link w:val="Heading2"/>
    <w:semiHidden/>
    <w:rsid w:val="00F9486F"/>
    <w:rPr>
      <w:sz w:val="24"/>
      <w:lang w:val="fr-FR" w:eastAsia="fr-FR"/>
    </w:rPr>
  </w:style>
  <w:style w:type="character" w:customStyle="1" w:styleId="Heading3Char">
    <w:name w:val="Heading 3 Char"/>
    <w:basedOn w:val="DefaultParagraphFont"/>
    <w:link w:val="Heading3"/>
    <w:semiHidden/>
    <w:rsid w:val="00F9486F"/>
    <w:rPr>
      <w:rFonts w:ascii="Arial" w:hAnsi="Arial"/>
      <w:sz w:val="24"/>
      <w:lang w:val="fr-FR" w:eastAsia="fr-FR"/>
    </w:rPr>
  </w:style>
  <w:style w:type="character" w:customStyle="1" w:styleId="Heading4Char">
    <w:name w:val="Heading 4 Char"/>
    <w:basedOn w:val="DefaultParagraphFont"/>
    <w:link w:val="Heading4"/>
    <w:semiHidden/>
    <w:rsid w:val="00F9486F"/>
    <w:rPr>
      <w:sz w:val="24"/>
      <w:lang w:val="en-US" w:eastAsia="fr-FR"/>
    </w:rPr>
  </w:style>
  <w:style w:type="character" w:customStyle="1" w:styleId="Heading5Char">
    <w:name w:val="Heading 5 Char"/>
    <w:basedOn w:val="DefaultParagraphFont"/>
    <w:link w:val="Heading5"/>
    <w:semiHidden/>
    <w:rsid w:val="00F9486F"/>
    <w:rPr>
      <w:sz w:val="24"/>
      <w:lang w:val="en-US" w:eastAsia="fr-FR"/>
    </w:rPr>
  </w:style>
  <w:style w:type="character" w:customStyle="1" w:styleId="Heading6Char">
    <w:name w:val="Heading 6 Char"/>
    <w:basedOn w:val="DefaultParagraphFont"/>
    <w:link w:val="Heading6"/>
    <w:semiHidden/>
    <w:rsid w:val="00F9486F"/>
    <w:rPr>
      <w:i/>
      <w:sz w:val="22"/>
      <w:lang w:val="ro-RO"/>
    </w:rPr>
  </w:style>
  <w:style w:type="character" w:customStyle="1" w:styleId="Heading7Char">
    <w:name w:val="Heading 7 Char"/>
    <w:basedOn w:val="DefaultParagraphFont"/>
    <w:link w:val="Heading7"/>
    <w:semiHidden/>
    <w:rsid w:val="00F9486F"/>
    <w:rPr>
      <w:rFonts w:ascii="Arial" w:hAnsi="Arial"/>
      <w:sz w:val="24"/>
      <w:lang w:val="ro-RO"/>
    </w:rPr>
  </w:style>
  <w:style w:type="character" w:customStyle="1" w:styleId="Heading8Char">
    <w:name w:val="Heading 8 Char"/>
    <w:basedOn w:val="DefaultParagraphFont"/>
    <w:link w:val="Heading8"/>
    <w:semiHidden/>
    <w:rsid w:val="00F9486F"/>
    <w:rPr>
      <w:rFonts w:ascii="Arial" w:hAnsi="Arial"/>
      <w:i/>
      <w:sz w:val="24"/>
      <w:lang w:val="ro-RO"/>
    </w:rPr>
  </w:style>
  <w:style w:type="character" w:customStyle="1" w:styleId="Heading9Char">
    <w:name w:val="Heading 9 Char"/>
    <w:basedOn w:val="DefaultParagraphFont"/>
    <w:link w:val="Heading9"/>
    <w:semiHidden/>
    <w:rsid w:val="00F9486F"/>
    <w:rPr>
      <w:rFonts w:ascii="Arial" w:hAnsi="Arial"/>
      <w:b/>
      <w:i/>
      <w:sz w:val="18"/>
      <w:lang w:val="ro-RO"/>
    </w:rPr>
  </w:style>
  <w:style w:type="paragraph" w:styleId="TOCHeading">
    <w:name w:val="TOC Heading"/>
    <w:basedOn w:val="Normal"/>
    <w:next w:val="Normal"/>
    <w:unhideWhenUsed/>
    <w:qFormat/>
    <w:rsid w:val="00F9486F"/>
    <w:pPr>
      <w:widowControl/>
      <w:spacing w:after="240"/>
    </w:pPr>
    <w:rPr>
      <w:lang w:val="en-GB"/>
    </w:rPr>
  </w:style>
  <w:style w:type="paragraph" w:customStyle="1" w:styleId="EPFooter2">
    <w:name w:val="EPFooter2"/>
    <w:basedOn w:val="Normal"/>
    <w:next w:val="Normal"/>
    <w:rsid w:val="00F9486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9486F"/>
    <w:pPr>
      <w:spacing w:before="480" w:after="240"/>
    </w:pPr>
  </w:style>
  <w:style w:type="paragraph" w:customStyle="1" w:styleId="TOCPage">
    <w:name w:val="TOC Page"/>
    <w:basedOn w:val="Normal"/>
    <w:next w:val="TOC1"/>
    <w:rsid w:val="00F9486F"/>
    <w:pPr>
      <w:keepNext/>
      <w:spacing w:after="240"/>
      <w:jc w:val="right"/>
    </w:pPr>
    <w:rPr>
      <w:rFonts w:ascii="Arial" w:hAnsi="Arial"/>
      <w:b/>
    </w:rPr>
  </w:style>
  <w:style w:type="paragraph" w:customStyle="1" w:styleId="PageHeading">
    <w:name w:val="PageHeading"/>
    <w:basedOn w:val="Normal"/>
    <w:rsid w:val="00F9486F"/>
    <w:pPr>
      <w:keepNext/>
      <w:spacing w:after="480"/>
      <w:jc w:val="center"/>
    </w:pPr>
    <w:rPr>
      <w:rFonts w:ascii="Arial" w:hAnsi="Arial" w:cs="Arial"/>
      <w:b/>
    </w:rPr>
  </w:style>
  <w:style w:type="paragraph" w:customStyle="1" w:styleId="NormalBold">
    <w:name w:val="NormalBold"/>
    <w:basedOn w:val="Normal"/>
    <w:rsid w:val="00F9486F"/>
    <w:rPr>
      <w:b/>
    </w:rPr>
  </w:style>
  <w:style w:type="paragraph" w:customStyle="1" w:styleId="NormalHanging12a">
    <w:name w:val="NormalHanging12a"/>
    <w:basedOn w:val="Normal"/>
    <w:link w:val="NormalHanging12aChar"/>
    <w:rsid w:val="00F9486F"/>
    <w:pPr>
      <w:spacing w:after="240"/>
      <w:ind w:left="567" w:hanging="567"/>
    </w:pPr>
  </w:style>
  <w:style w:type="paragraph" w:customStyle="1" w:styleId="Subheading">
    <w:name w:val="Subheading"/>
    <w:basedOn w:val="Normal"/>
    <w:rsid w:val="00F9486F"/>
    <w:pPr>
      <w:spacing w:before="480" w:after="240"/>
    </w:pPr>
    <w:rPr>
      <w:b/>
      <w:i/>
    </w:rPr>
  </w:style>
  <w:style w:type="paragraph" w:customStyle="1" w:styleId="CoverNormal24a">
    <w:name w:val="CoverNormal24a"/>
    <w:basedOn w:val="Normal"/>
    <w:rsid w:val="00F9486F"/>
    <w:pPr>
      <w:spacing w:after="480"/>
      <w:ind w:left="1417"/>
    </w:pPr>
  </w:style>
  <w:style w:type="paragraph" w:customStyle="1" w:styleId="CoverNormal">
    <w:name w:val="CoverNormal"/>
    <w:basedOn w:val="Normal"/>
    <w:rsid w:val="00F9486F"/>
    <w:pPr>
      <w:ind w:left="1418"/>
    </w:pPr>
  </w:style>
  <w:style w:type="paragraph" w:customStyle="1" w:styleId="CoverReference">
    <w:name w:val="CoverReference"/>
    <w:basedOn w:val="Normal"/>
    <w:rsid w:val="00F9486F"/>
    <w:pPr>
      <w:spacing w:before="1080"/>
      <w:jc w:val="right"/>
    </w:pPr>
    <w:rPr>
      <w:rFonts w:ascii="Arial" w:hAnsi="Arial" w:cs="Arial"/>
      <w:b/>
    </w:rPr>
  </w:style>
  <w:style w:type="paragraph" w:customStyle="1" w:styleId="CoverDocType24a">
    <w:name w:val="CoverDocType24a"/>
    <w:basedOn w:val="Normal"/>
    <w:rsid w:val="00F9486F"/>
    <w:pPr>
      <w:spacing w:after="480"/>
      <w:ind w:left="1418"/>
    </w:pPr>
    <w:rPr>
      <w:rFonts w:ascii="Arial" w:hAnsi="Arial"/>
      <w:b/>
      <w:sz w:val="48"/>
    </w:rPr>
  </w:style>
  <w:style w:type="paragraph" w:customStyle="1" w:styleId="CoverDate">
    <w:name w:val="CoverDate"/>
    <w:basedOn w:val="Normal"/>
    <w:rsid w:val="00F9486F"/>
    <w:pPr>
      <w:spacing w:before="240" w:after="1200"/>
    </w:pPr>
  </w:style>
  <w:style w:type="paragraph" w:styleId="Header">
    <w:name w:val="header"/>
    <w:basedOn w:val="Normal"/>
    <w:link w:val="HeaderChar"/>
    <w:rsid w:val="00F9486F"/>
    <w:pPr>
      <w:tabs>
        <w:tab w:val="center" w:pos="4513"/>
        <w:tab w:val="right" w:pos="9026"/>
      </w:tabs>
    </w:pPr>
  </w:style>
  <w:style w:type="character" w:customStyle="1" w:styleId="HeaderChar">
    <w:name w:val="Header Char"/>
    <w:basedOn w:val="DefaultParagraphFont"/>
    <w:link w:val="Header"/>
    <w:rsid w:val="00F9486F"/>
    <w:rPr>
      <w:sz w:val="24"/>
      <w:lang w:val="ro-RO"/>
    </w:rPr>
  </w:style>
  <w:style w:type="paragraph" w:customStyle="1" w:styleId="EPBody">
    <w:name w:val="EPBody"/>
    <w:basedOn w:val="Normal"/>
    <w:rsid w:val="00F9486F"/>
    <w:pPr>
      <w:jc w:val="center"/>
    </w:pPr>
    <w:rPr>
      <w:rFonts w:ascii="Arial" w:hAnsi="Arial" w:cs="Arial"/>
      <w:i/>
      <w:sz w:val="22"/>
      <w:szCs w:val="22"/>
    </w:rPr>
  </w:style>
  <w:style w:type="paragraph" w:customStyle="1" w:styleId="EPFooter">
    <w:name w:val="EPFooter"/>
    <w:basedOn w:val="Normal"/>
    <w:rsid w:val="00F9486F"/>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F9486F"/>
    <w:rPr>
      <w:rFonts w:ascii="Times New Roman" w:hAnsi="Times New Roman"/>
    </w:rPr>
  </w:style>
  <w:style w:type="character" w:customStyle="1" w:styleId="PageHeadingDecChar">
    <w:name w:val="PageHeadingDec Char"/>
    <w:basedOn w:val="DefaultParagraphFont"/>
    <w:link w:val="PageHeadingDec"/>
    <w:rsid w:val="00F9486F"/>
    <w:rPr>
      <w:rFonts w:cs="Arial"/>
      <w:b/>
      <w:sz w:val="24"/>
      <w:lang w:val="ro-RO"/>
    </w:rPr>
  </w:style>
  <w:style w:type="paragraph" w:customStyle="1" w:styleId="PageHeadingNotTOC">
    <w:name w:val="PageHeadingNotTOC"/>
    <w:basedOn w:val="Normal"/>
    <w:link w:val="PageHeadingNotTOCChar"/>
    <w:rsid w:val="00F9486F"/>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F9486F"/>
    <w:rPr>
      <w:sz w:val="24"/>
      <w:lang w:val="ro-RO"/>
    </w:rPr>
  </w:style>
  <w:style w:type="paragraph" w:styleId="TOC8">
    <w:name w:val="toc 8"/>
    <w:basedOn w:val="Normal"/>
    <w:next w:val="Normal"/>
    <w:autoRedefine/>
    <w:uiPriority w:val="39"/>
    <w:rsid w:val="00F9486F"/>
    <w:pPr>
      <w:spacing w:after="240"/>
    </w:pPr>
    <w:rPr>
      <w:b/>
    </w:rPr>
  </w:style>
  <w:style w:type="paragraph" w:styleId="TOC9">
    <w:name w:val="toc 9"/>
    <w:basedOn w:val="Normal"/>
    <w:next w:val="Normal"/>
    <w:autoRedefine/>
    <w:uiPriority w:val="39"/>
    <w:rsid w:val="00F9486F"/>
    <w:pPr>
      <w:spacing w:after="100"/>
      <w:jc w:val="center"/>
    </w:pPr>
  </w:style>
  <w:style w:type="paragraph" w:styleId="TOC7">
    <w:name w:val="toc 7"/>
    <w:basedOn w:val="Normal"/>
    <w:next w:val="Normal"/>
    <w:autoRedefine/>
    <w:uiPriority w:val="39"/>
    <w:rsid w:val="00F9486F"/>
    <w:pPr>
      <w:tabs>
        <w:tab w:val="right" w:leader="dot" w:pos="9060"/>
      </w:tabs>
      <w:spacing w:after="240"/>
      <w:ind w:left="720" w:hanging="720"/>
    </w:pPr>
  </w:style>
  <w:style w:type="character" w:styleId="Hyperlink">
    <w:name w:val="Hyperlink"/>
    <w:basedOn w:val="DefaultParagraphFont"/>
    <w:uiPriority w:val="99"/>
    <w:rsid w:val="00F9486F"/>
    <w:rPr>
      <w:color w:val="0563C1" w:themeColor="hyperlink"/>
      <w:u w:val="single"/>
    </w:rPr>
  </w:style>
  <w:style w:type="character" w:styleId="FollowedHyperlink">
    <w:name w:val="FollowedHyperlink"/>
    <w:basedOn w:val="DefaultParagraphFont"/>
    <w:rsid w:val="00F9486F"/>
    <w:rPr>
      <w:color w:val="954F72" w:themeColor="followedHyperlink"/>
      <w:u w:val="single"/>
    </w:rPr>
  </w:style>
  <w:style w:type="character" w:styleId="CommentReference">
    <w:name w:val="annotation reference"/>
    <w:basedOn w:val="DefaultParagraphFont"/>
    <w:uiPriority w:val="99"/>
    <w:rsid w:val="00F9486F"/>
    <w:rPr>
      <w:sz w:val="16"/>
      <w:szCs w:val="16"/>
    </w:rPr>
  </w:style>
  <w:style w:type="paragraph" w:styleId="CommentText">
    <w:name w:val="annotation text"/>
    <w:basedOn w:val="Normal"/>
    <w:link w:val="CommentTextChar"/>
    <w:rsid w:val="00F9486F"/>
    <w:rPr>
      <w:sz w:val="20"/>
    </w:rPr>
  </w:style>
  <w:style w:type="character" w:customStyle="1" w:styleId="CommentTextChar">
    <w:name w:val="Comment Text Char"/>
    <w:basedOn w:val="DefaultParagraphFont"/>
    <w:link w:val="CommentText"/>
    <w:rsid w:val="00F9486F"/>
    <w:rPr>
      <w:lang w:val="ro-RO"/>
    </w:rPr>
  </w:style>
  <w:style w:type="paragraph" w:styleId="CommentSubject">
    <w:name w:val="annotation subject"/>
    <w:basedOn w:val="CommentText"/>
    <w:next w:val="CommentText"/>
    <w:link w:val="CommentSubjectChar"/>
    <w:unhideWhenUsed/>
    <w:rsid w:val="00F9486F"/>
    <w:rPr>
      <w:b/>
      <w:bCs/>
    </w:rPr>
  </w:style>
  <w:style w:type="character" w:customStyle="1" w:styleId="CommentSubjectChar">
    <w:name w:val="Comment Subject Char"/>
    <w:basedOn w:val="CommentTextChar"/>
    <w:link w:val="CommentSubject"/>
    <w:rsid w:val="00F9486F"/>
    <w:rPr>
      <w:b/>
      <w:bCs/>
      <w:lang w:val="ro-RO"/>
    </w:rPr>
  </w:style>
  <w:style w:type="paragraph" w:styleId="BalloonText">
    <w:name w:val="Balloon Text"/>
    <w:basedOn w:val="Normal"/>
    <w:link w:val="BalloonTextChar"/>
    <w:unhideWhenUsed/>
    <w:rsid w:val="00F9486F"/>
    <w:rPr>
      <w:rFonts w:ascii="Segoe UI" w:hAnsi="Segoe UI" w:cs="Segoe UI"/>
      <w:sz w:val="18"/>
      <w:szCs w:val="18"/>
    </w:rPr>
  </w:style>
  <w:style w:type="character" w:customStyle="1" w:styleId="BalloonTextChar">
    <w:name w:val="Balloon Text Char"/>
    <w:basedOn w:val="DefaultParagraphFont"/>
    <w:link w:val="BalloonText"/>
    <w:rsid w:val="00F9486F"/>
    <w:rPr>
      <w:rFonts w:ascii="Segoe UI" w:hAnsi="Segoe UI" w:cs="Segoe UI"/>
      <w:sz w:val="18"/>
      <w:szCs w:val="18"/>
      <w:lang w:val="ro-RO"/>
    </w:rPr>
  </w:style>
  <w:style w:type="paragraph" w:styleId="Revision">
    <w:name w:val="Revision"/>
    <w:hidden/>
    <w:uiPriority w:val="99"/>
    <w:semiHidden/>
    <w:rsid w:val="00F9486F"/>
    <w:rPr>
      <w:sz w:val="24"/>
      <w:lang w:val="ro-RO"/>
    </w:rPr>
  </w:style>
  <w:style w:type="paragraph" w:customStyle="1" w:styleId="Normal24a">
    <w:name w:val="Normal24a"/>
    <w:basedOn w:val="Normal"/>
    <w:rsid w:val="00F9486F"/>
    <w:pPr>
      <w:spacing w:after="480"/>
    </w:pPr>
  </w:style>
  <w:style w:type="paragraph" w:customStyle="1" w:styleId="NormalBoldCenter">
    <w:name w:val="NormalBoldCenter"/>
    <w:basedOn w:val="Normal"/>
    <w:rsid w:val="00F9486F"/>
    <w:pPr>
      <w:jc w:val="center"/>
    </w:pPr>
    <w:rPr>
      <w:b/>
    </w:rPr>
  </w:style>
  <w:style w:type="paragraph" w:customStyle="1" w:styleId="Footprint12b">
    <w:name w:val="Footprint12b"/>
    <w:basedOn w:val="Normal"/>
    <w:rsid w:val="00F9486F"/>
    <w:pPr>
      <w:spacing w:before="240"/>
    </w:pPr>
    <w:rPr>
      <w:szCs w:val="24"/>
    </w:rPr>
  </w:style>
  <w:style w:type="paragraph" w:customStyle="1" w:styleId="NormalSingle">
    <w:name w:val="NormalSingle"/>
    <w:basedOn w:val="Normal"/>
    <w:qFormat/>
    <w:rsid w:val="00F9486F"/>
    <w:rPr>
      <w:szCs w:val="24"/>
    </w:rPr>
  </w:style>
  <w:style w:type="paragraph" w:customStyle="1" w:styleId="Normal12a">
    <w:name w:val="Normal12a"/>
    <w:basedOn w:val="Normal"/>
    <w:rsid w:val="00F9486F"/>
    <w:pPr>
      <w:spacing w:after="240"/>
    </w:pPr>
  </w:style>
  <w:style w:type="paragraph" w:customStyle="1" w:styleId="Visa">
    <w:name w:val="Visa"/>
    <w:basedOn w:val="Normal"/>
    <w:rsid w:val="00F9486F"/>
    <w:pPr>
      <w:tabs>
        <w:tab w:val="left" w:pos="357"/>
      </w:tabs>
      <w:snapToGrid w:val="0"/>
      <w:spacing w:after="240"/>
      <w:ind w:left="357" w:hanging="357"/>
    </w:pPr>
    <w:rPr>
      <w:lang w:eastAsia="en-US"/>
    </w:rPr>
  </w:style>
  <w:style w:type="paragraph" w:customStyle="1" w:styleId="RollCallSymbols14pt">
    <w:name w:val="RollCallSymbols14pt"/>
    <w:basedOn w:val="Normal"/>
    <w:rsid w:val="00F9486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9486F"/>
    <w:pPr>
      <w:tabs>
        <w:tab w:val="center" w:pos="284"/>
        <w:tab w:val="left" w:pos="426"/>
      </w:tabs>
    </w:pPr>
    <w:rPr>
      <w:snapToGrid w:val="0"/>
      <w:lang w:eastAsia="en-US"/>
    </w:rPr>
  </w:style>
  <w:style w:type="paragraph" w:customStyle="1" w:styleId="RollCallVotes">
    <w:name w:val="RollCallVotes"/>
    <w:basedOn w:val="Normal"/>
    <w:rsid w:val="00F9486F"/>
    <w:pPr>
      <w:spacing w:before="120" w:after="120"/>
      <w:jc w:val="center"/>
    </w:pPr>
    <w:rPr>
      <w:b/>
      <w:bCs/>
      <w:snapToGrid w:val="0"/>
      <w:sz w:val="16"/>
      <w:lang w:eastAsia="en-US"/>
    </w:rPr>
  </w:style>
  <w:style w:type="paragraph" w:customStyle="1" w:styleId="RollCallTable">
    <w:name w:val="RollCallTable"/>
    <w:basedOn w:val="Normal"/>
    <w:rsid w:val="00F9486F"/>
    <w:pPr>
      <w:spacing w:before="120" w:after="120"/>
    </w:pPr>
    <w:rPr>
      <w:snapToGrid w:val="0"/>
      <w:sz w:val="16"/>
      <w:lang w:eastAsia="en-US"/>
    </w:rPr>
  </w:style>
  <w:style w:type="paragraph" w:customStyle="1" w:styleId="Normal6a">
    <w:name w:val="Normal6a"/>
    <w:basedOn w:val="Normal"/>
    <w:rsid w:val="00F9486F"/>
    <w:pPr>
      <w:spacing w:after="120"/>
    </w:pPr>
    <w:rPr>
      <w:szCs w:val="24"/>
      <w:lang w:eastAsia="en-US"/>
    </w:rPr>
  </w:style>
  <w:style w:type="paragraph" w:customStyle="1" w:styleId="RollCallSubtitle">
    <w:name w:val="RollCallSubtitle"/>
    <w:basedOn w:val="Normal"/>
    <w:qFormat/>
    <w:rsid w:val="00F9486F"/>
    <w:pPr>
      <w:snapToGrid w:val="0"/>
      <w:spacing w:after="240"/>
    </w:pPr>
    <w:rPr>
      <w:lang w:eastAsia="en-US"/>
    </w:rPr>
  </w:style>
  <w:style w:type="character" w:customStyle="1" w:styleId="PageHeadingNotTOCChar">
    <w:name w:val="PageHeadingNotTOC Char"/>
    <w:basedOn w:val="DefaultParagraphFont"/>
    <w:link w:val="PageHeadingNotTOC"/>
    <w:rsid w:val="00F9486F"/>
    <w:rPr>
      <w:rFonts w:ascii="Arial" w:hAnsi="Arial" w:cs="Arial"/>
      <w:b/>
      <w:sz w:val="24"/>
      <w:lang w:val="ro-RO"/>
    </w:rPr>
  </w:style>
  <w:style w:type="paragraph" w:styleId="Footer">
    <w:name w:val="footer"/>
    <w:basedOn w:val="Normal"/>
    <w:link w:val="FooterChar"/>
    <w:rsid w:val="00F9486F"/>
    <w:pPr>
      <w:tabs>
        <w:tab w:val="center" w:pos="4513"/>
        <w:tab w:val="right" w:pos="9026"/>
      </w:tabs>
    </w:pPr>
  </w:style>
  <w:style w:type="character" w:customStyle="1" w:styleId="FooterChar">
    <w:name w:val="Footer Char"/>
    <w:basedOn w:val="DefaultParagraphFont"/>
    <w:link w:val="Footer"/>
    <w:rsid w:val="00F9486F"/>
    <w:rPr>
      <w:sz w:val="24"/>
      <w:lang w:val="ro-RO"/>
    </w:rPr>
  </w:style>
  <w:style w:type="character" w:customStyle="1" w:styleId="Hyperlink1">
    <w:name w:val="Hyperlink1"/>
    <w:basedOn w:val="DefaultParagraphFont"/>
    <w:uiPriority w:val="99"/>
    <w:rsid w:val="00344BA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s://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2210E-686A-45EA-A3A8-3DEE88062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65</Pages>
  <Words>19896</Words>
  <Characters>122813</Characters>
  <Application>Microsoft Office Word</Application>
  <DocSecurity>0</DocSecurity>
  <Lines>1023</Lines>
  <Paragraphs>284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2025-12-05T13:12:00Z</dcterms:created>
  <dcterms:modified xsi:type="dcterms:W3CDTF">2025-12-05T13:12:00Z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P10_TA(2025)0089_</vt:lpwstr>
  </property>
  <property fmtid="{D5CDD505-2E9C-101B-9397-08002B2CF9AE}" pid="4" name="&lt;Type&gt;">
    <vt:lpwstr>RR</vt:lpwstr>
  </property>
</Properties>
</file>