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E2584" w14:paraId="12B953FF" w14:textId="77777777">
        <w:trPr>
          <w:trHeight w:hRule="exact" w:val="1418"/>
        </w:trPr>
        <w:tc>
          <w:tcPr>
            <w:tcW w:w="6804" w:type="dxa"/>
            <w:shd w:val="clear" w:color="auto" w:fill="auto"/>
            <w:vAlign w:val="center"/>
          </w:tcPr>
          <w:p w14:paraId="16D27B87" w14:textId="77777777" w:rsidR="006E2584" w:rsidRDefault="000C7927">
            <w:pPr>
              <w:pStyle w:val="EPName"/>
            </w:pPr>
            <w:r>
              <w:t>Európsky parlament</w:t>
            </w:r>
          </w:p>
          <w:p w14:paraId="23D9A803" w14:textId="77777777" w:rsidR="006E2584" w:rsidRDefault="000C7927">
            <w:pPr>
              <w:pStyle w:val="EPTerm"/>
              <w:rPr>
                <w:rStyle w:val="HideTWBExt"/>
                <w:noProof w:val="0"/>
                <w:vanish w:val="0"/>
                <w:color w:val="auto"/>
              </w:rPr>
            </w:pPr>
            <w:r>
              <w:t>2024-2029</w:t>
            </w:r>
          </w:p>
        </w:tc>
        <w:tc>
          <w:tcPr>
            <w:tcW w:w="2268" w:type="dxa"/>
            <w:shd w:val="clear" w:color="auto" w:fill="auto"/>
          </w:tcPr>
          <w:p w14:paraId="700F36E1" w14:textId="77777777" w:rsidR="006E2584" w:rsidRDefault="000C7927">
            <w:pPr>
              <w:pStyle w:val="EPLogo"/>
            </w:pPr>
            <w:r>
              <w:rPr>
                <w:noProof/>
                <w:lang w:val="en-GB"/>
              </w:rPr>
              <w:drawing>
                <wp:inline distT="0" distB="0" distL="0" distR="0" wp14:anchorId="7B163959" wp14:editId="1EA308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D813A8" w14:textId="77777777" w:rsidR="006E2584" w:rsidRDefault="006E2584">
      <w:pPr>
        <w:pStyle w:val="LineTop"/>
      </w:pPr>
    </w:p>
    <w:p w14:paraId="7E7712CE" w14:textId="77777777" w:rsidR="006E2584" w:rsidRDefault="000C7927">
      <w:pPr>
        <w:pStyle w:val="EPBodyTA1"/>
      </w:pPr>
      <w:r>
        <w:t>PRIJATÉ TEXTY</w:t>
      </w:r>
    </w:p>
    <w:p w14:paraId="391975ED" w14:textId="77777777" w:rsidR="006E2584" w:rsidRDefault="006E2584">
      <w:pPr>
        <w:pStyle w:val="LineBottom"/>
      </w:pPr>
    </w:p>
    <w:p w14:paraId="20CDE023" w14:textId="77777777" w:rsidR="006E2584" w:rsidRDefault="000C7927">
      <w:pPr>
        <w:pStyle w:val="ATHeading1"/>
      </w:pPr>
      <w:bookmarkStart w:id="0" w:name="TANumber"/>
      <w:r>
        <w:t>P10_TA(2025)0089</w:t>
      </w:r>
      <w:bookmarkEnd w:id="0"/>
    </w:p>
    <w:p w14:paraId="151C6CCB" w14:textId="77777777" w:rsidR="006E2584" w:rsidRDefault="000C7927">
      <w:pPr>
        <w:pStyle w:val="ATHeading2"/>
      </w:pPr>
      <w:bookmarkStart w:id="1" w:name="title"/>
      <w:r>
        <w:t>Absolutórium za rok 2023: spoločné podniky</w:t>
      </w:r>
      <w:bookmarkEnd w:id="1"/>
    </w:p>
    <w:p w14:paraId="7E86658F" w14:textId="77777777" w:rsidR="006E2584" w:rsidRDefault="000C7927">
      <w:pPr>
        <w:rPr>
          <w:i/>
          <w:vanish/>
        </w:rPr>
      </w:pPr>
      <w:r>
        <w:rPr>
          <w:i/>
        </w:rPr>
        <w:fldChar w:fldCharType="begin"/>
      </w:r>
      <w:r>
        <w:rPr>
          <w:i/>
        </w:rPr>
        <w:instrText xml:space="preserve"> TC"(</w:instrText>
      </w:r>
      <w:bookmarkStart w:id="2" w:name="DocNumber"/>
      <w:r>
        <w:rPr>
          <w:i/>
        </w:rPr>
        <w:instrText>A10-0056/2025</w:instrText>
      </w:r>
      <w:bookmarkEnd w:id="2"/>
      <w:r>
        <w:rPr>
          <w:i/>
        </w:rPr>
        <w:instrText xml:space="preserve"> - Spravodajca: Michal </w:instrText>
      </w:r>
      <w:proofErr w:type="spellStart"/>
      <w:r>
        <w:rPr>
          <w:i/>
        </w:rPr>
        <w:instrText>Wiezik</w:instrText>
      </w:r>
      <w:proofErr w:type="spellEnd"/>
      <w:r>
        <w:rPr>
          <w:i/>
        </w:rPr>
        <w:instrText xml:space="preserve">)"\l3 \n&gt; \* MERGEFORMAT </w:instrText>
      </w:r>
      <w:r>
        <w:rPr>
          <w:i/>
        </w:rPr>
        <w:fldChar w:fldCharType="end"/>
      </w:r>
    </w:p>
    <w:p w14:paraId="04F31989" w14:textId="77777777" w:rsidR="006E2584" w:rsidRDefault="000C7927">
      <w:pPr>
        <w:rPr>
          <w:vanish/>
        </w:rPr>
      </w:pPr>
      <w:bookmarkStart w:id="3" w:name="Commission"/>
      <w:r>
        <w:rPr>
          <w:vanish/>
        </w:rPr>
        <w:t>Výbor pre kontrolu rozpočtu</w:t>
      </w:r>
      <w:bookmarkEnd w:id="3"/>
    </w:p>
    <w:p w14:paraId="7D275689" w14:textId="77777777" w:rsidR="006E2584" w:rsidRDefault="000C7927">
      <w:pPr>
        <w:rPr>
          <w:vanish/>
        </w:rPr>
      </w:pPr>
      <w:bookmarkStart w:id="4" w:name="PE"/>
      <w:r>
        <w:rPr>
          <w:vanish/>
        </w:rPr>
        <w:t>PE765.276</w:t>
      </w:r>
      <w:bookmarkEnd w:id="4"/>
    </w:p>
    <w:p w14:paraId="692FC7B1" w14:textId="77777777" w:rsidR="006E2584" w:rsidRDefault="000C7927">
      <w:pPr>
        <w:pStyle w:val="ATHeading3"/>
      </w:pPr>
      <w:bookmarkStart w:id="5" w:name="Sujet"/>
      <w:r>
        <w:t>1. Rozhodnutie Európskeho parlamentu zo 7. mája 2025 o absolutóriu za plnenie rozpočtu spoločného podniku pre čisté letectvo za rozpočtový rok 2023</w:t>
      </w:r>
      <w:bookmarkEnd w:id="5"/>
      <w:r>
        <w:t xml:space="preserve"> </w:t>
      </w:r>
      <w:bookmarkStart w:id="6" w:name="References"/>
      <w:r>
        <w:t>(2024/2031(DEC))</w:t>
      </w:r>
      <w:bookmarkEnd w:id="6"/>
    </w:p>
    <w:p w14:paraId="690CD04D" w14:textId="77777777" w:rsidR="006E2584" w:rsidRDefault="000C7927">
      <w:pPr>
        <w:pStyle w:val="EPComma"/>
        <w:tabs>
          <w:tab w:val="left" w:pos="5700"/>
        </w:tabs>
      </w:pPr>
      <w:bookmarkStart w:id="7" w:name="TextBodyBegin"/>
      <w:bookmarkEnd w:id="7"/>
      <w:r>
        <w:rPr>
          <w:i/>
        </w:rPr>
        <w:t>Európsky parlament</w:t>
      </w:r>
      <w:r>
        <w:t>,</w:t>
      </w:r>
    </w:p>
    <w:p w14:paraId="3414599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čisté letectvo za rozpočtový rok 2023,</w:t>
      </w:r>
    </w:p>
    <w:p w14:paraId="0BBE523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1"/>
      </w:r>
      <w:r w:rsidRPr="000C7927">
        <w:rPr>
          <w:kern w:val="2"/>
          <w14:ligatures w14:val="standardContextual"/>
        </w:rPr>
        <w:t>,</w:t>
      </w:r>
    </w:p>
    <w:p w14:paraId="1F65100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2"/>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0325972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54251B4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2E9501D0"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3"/>
      </w:r>
      <w:r w:rsidRPr="000C7927">
        <w:rPr>
          <w:kern w:val="2"/>
          <w14:ligatures w14:val="standardContextual"/>
        </w:rPr>
        <w:t>, a najmä na jeho článok 71,</w:t>
      </w:r>
    </w:p>
    <w:p w14:paraId="257352D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2024/2509 </w:t>
      </w:r>
      <w:r w:rsidRPr="000C7927">
        <w:rPr>
          <w:kern w:val="2"/>
          <w14:ligatures w14:val="standardContextual"/>
        </w:rPr>
        <w:lastRenderedPageBreak/>
        <w:t>z 23. septembra 2024 o rozpočtových pravidlách, ktoré sa vzťahujú na všeobecný rozpočet Únie</w:t>
      </w:r>
      <w:r w:rsidRPr="000C7927">
        <w:rPr>
          <w:kern w:val="2"/>
          <w:vertAlign w:val="superscript"/>
          <w14:ligatures w14:val="standardContextual"/>
        </w:rPr>
        <w:footnoteReference w:id="4"/>
      </w:r>
      <w:r w:rsidRPr="000C7927">
        <w:rPr>
          <w:kern w:val="2"/>
          <w14:ligatures w14:val="standardContextual"/>
        </w:rPr>
        <w:t>, a najmä na jeho článok 71,</w:t>
      </w:r>
    </w:p>
    <w:p w14:paraId="543CF5F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5"/>
      </w:r>
      <w:r w:rsidRPr="000C7927">
        <w:rPr>
          <w:kern w:val="2"/>
          <w14:ligatures w14:val="standardContextual"/>
        </w:rPr>
        <w:t>, a najmä na jeho článok 26,</w:t>
      </w:r>
    </w:p>
    <w:p w14:paraId="41B5D17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6"/>
      </w:r>
      <w:r w:rsidRPr="000C7927">
        <w:rPr>
          <w:kern w:val="2"/>
          <w14:ligatures w14:val="standardContextual"/>
        </w:rPr>
        <w:t>,</w:t>
      </w:r>
    </w:p>
    <w:p w14:paraId="7732756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102 a prílohu V k rokovaciemu poriadku,</w:t>
      </w:r>
    </w:p>
    <w:p w14:paraId="65D0190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7B5D55E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46B5140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udeľuje absolutórium výkonnému riaditeľovi spoločného podniku pre čisté letectvo za plnenie rozpočtu spoločného podniku za rozpočtový rok 2023;</w:t>
      </w:r>
    </w:p>
    <w:p w14:paraId="2BCEF2E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uvádza svoje poznámky v priloženom uznesení;</w:t>
      </w:r>
    </w:p>
    <w:p w14:paraId="3D48E933"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w:t>
      </w:r>
      <w:r w:rsidRPr="000C7927">
        <w:rPr>
          <w:kern w:val="2"/>
          <w14:ligatures w14:val="standardContextual"/>
        </w:rPr>
        <w:tab/>
        <w:t>poveruje svoju predsedníčku, aby postúpila toto rozhodnutie a uznesenie, ktoré je jeho neoddeliteľnou súčasťou, výkonnému riaditeľovi spoločného podniku pre čisté letectvo, Rade, Komisii a Dvoru audítorov a aby zabezpečila ich uverejnenie v </w:t>
      </w:r>
      <w:r w:rsidRPr="000C7927">
        <w:rPr>
          <w:i/>
          <w:kern w:val="2"/>
          <w14:ligatures w14:val="standardContextual"/>
        </w:rPr>
        <w:t>Úradnom vestníku Európskej únie</w:t>
      </w:r>
      <w:r w:rsidRPr="000C7927">
        <w:rPr>
          <w:kern w:val="2"/>
          <w14:ligatures w14:val="standardContextual"/>
        </w:rPr>
        <w:t xml:space="preserve"> (v sérii L).</w:t>
      </w:r>
    </w:p>
    <w:p w14:paraId="3127113C"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42CCFE1E" w14:textId="77777777" w:rsidR="000C7927" w:rsidRPr="000C7927" w:rsidRDefault="000C7927" w:rsidP="000C7927">
      <w:pPr>
        <w:pStyle w:val="ATHeading3"/>
      </w:pPr>
      <w:r w:rsidRPr="000C7927">
        <w:lastRenderedPageBreak/>
        <w:t>2. Rozhodnutie Európskeho parlamentu zo 7. mája 2025 o účtovnej závierke spoločného podniku pre čisté letectvo za rozpočtový rok 2023 (2024/2031(DEC))</w:t>
      </w:r>
    </w:p>
    <w:p w14:paraId="4D3D9E23" w14:textId="4E9BB4F7" w:rsidR="000C7927" w:rsidRPr="000C7927" w:rsidRDefault="000C7927" w:rsidP="000C7927">
      <w:pPr>
        <w:spacing w:before="480" w:after="240"/>
        <w:rPr>
          <w:kern w:val="2"/>
          <w14:ligatures w14:val="standardContextual"/>
        </w:rPr>
      </w:pPr>
      <w:r>
        <w:rPr>
          <w:i/>
        </w:rPr>
        <w:t>Európsky parlament</w:t>
      </w:r>
      <w:r w:rsidRPr="000C7927">
        <w:rPr>
          <w:kern w:val="2"/>
          <w14:ligatures w14:val="standardContextual"/>
        </w:rPr>
        <w:t>,</w:t>
      </w:r>
    </w:p>
    <w:p w14:paraId="4FE88B5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čisté letectvo za rozpočtový rok 2023,</w:t>
      </w:r>
    </w:p>
    <w:p w14:paraId="2737692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7"/>
      </w:r>
      <w:r w:rsidRPr="000C7927">
        <w:rPr>
          <w:kern w:val="2"/>
          <w14:ligatures w14:val="standardContextual"/>
        </w:rPr>
        <w:t>,</w:t>
      </w:r>
    </w:p>
    <w:p w14:paraId="13C97BA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8"/>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339A370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3E3E9EB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035C177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9"/>
      </w:r>
      <w:r w:rsidRPr="000C7927">
        <w:rPr>
          <w:kern w:val="2"/>
          <w14:ligatures w14:val="standardContextual"/>
        </w:rPr>
        <w:t>, a najmä na jeho článok 71,</w:t>
      </w:r>
    </w:p>
    <w:p w14:paraId="7EFD1E8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10"/>
      </w:r>
      <w:r w:rsidRPr="000C7927">
        <w:rPr>
          <w:kern w:val="2"/>
          <w14:ligatures w14:val="standardContextual"/>
        </w:rPr>
        <w:t xml:space="preserve">, a najmä na jeho článok 71, </w:t>
      </w:r>
    </w:p>
    <w:p w14:paraId="4F88E2E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11"/>
      </w:r>
      <w:r w:rsidRPr="000C7927">
        <w:rPr>
          <w:kern w:val="2"/>
          <w14:ligatures w14:val="standardContextual"/>
        </w:rPr>
        <w:t>, a najmä na jeho článok 26,</w:t>
      </w:r>
    </w:p>
    <w:p w14:paraId="5175AB3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12"/>
      </w:r>
      <w:r w:rsidRPr="000C7927">
        <w:rPr>
          <w:kern w:val="2"/>
          <w14:ligatures w14:val="standardContextual"/>
        </w:rPr>
        <w:t>,</w:t>
      </w:r>
    </w:p>
    <w:p w14:paraId="2A36E52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102 a prílohu V k rokovaciemu poriadku,</w:t>
      </w:r>
    </w:p>
    <w:p w14:paraId="1702DB0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stanovisko Výboru pre dopravu a cestovný ruch,</w:t>
      </w:r>
    </w:p>
    <w:p w14:paraId="6399295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05D3658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schvaľuje účtovnú závierku spoločného podniku pre čisté letectvo za rozpočtový rok 2023;</w:t>
      </w:r>
    </w:p>
    <w:p w14:paraId="19EB39C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poveruje svoju predsedníčku, aby postúpila toto rozhodnutie výkonnému riaditeľovi spoločného podniku pre čisté letectvo, Rade, Komisii a Dvoru audítorov a aby zabezpečila jeho uverejnenie v </w:t>
      </w:r>
      <w:r w:rsidRPr="000C7927">
        <w:rPr>
          <w:i/>
          <w:kern w:val="2"/>
          <w14:ligatures w14:val="standardContextual"/>
        </w:rPr>
        <w:t>Úradnom vestníku Európskej únie</w:t>
      </w:r>
      <w:r w:rsidRPr="000C7927">
        <w:rPr>
          <w:kern w:val="2"/>
          <w14:ligatures w14:val="standardContextual"/>
        </w:rPr>
        <w:t xml:space="preserve"> (v sérii L).</w:t>
      </w:r>
    </w:p>
    <w:p w14:paraId="701518B4"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7461AA2C" w14:textId="441666FE" w:rsidR="000C7927" w:rsidRPr="000C7927" w:rsidRDefault="000C7927" w:rsidP="000C7927">
      <w:pPr>
        <w:pStyle w:val="ATHeading3"/>
      </w:pPr>
      <w:r w:rsidRPr="000C7927">
        <w:lastRenderedPageBreak/>
        <w:t>3. Rozhodnutie Európskeho parlamentu zo 7. mája 2025 o absolutóriu za plnenie rozpočtu spoločného podniku pre európske obehové hospodárstvo využívajúce biologické materiály za rozpočtový rok 2023 (2024/2031(DEC))</w:t>
      </w:r>
    </w:p>
    <w:p w14:paraId="61CA52B1" w14:textId="00E93551"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29D3421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európske obehové hospodárstvo využívajúce biologické materiály za rozpočtový rok 2023,</w:t>
      </w:r>
    </w:p>
    <w:p w14:paraId="289C4F5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13"/>
      </w:r>
      <w:r w:rsidRPr="000C7927">
        <w:rPr>
          <w:kern w:val="2"/>
          <w14:ligatures w14:val="standardContextual"/>
        </w:rPr>
        <w:t>,</w:t>
      </w:r>
    </w:p>
    <w:p w14:paraId="0F9D942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14"/>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2B496F3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3B3B682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71180A6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15"/>
      </w:r>
      <w:r w:rsidRPr="000C7927">
        <w:rPr>
          <w:kern w:val="2"/>
          <w14:ligatures w14:val="standardContextual"/>
        </w:rPr>
        <w:t>, a najmä na jeho článok 71,</w:t>
      </w:r>
    </w:p>
    <w:p w14:paraId="42539730"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16"/>
      </w:r>
      <w:r w:rsidRPr="000C7927">
        <w:rPr>
          <w:kern w:val="2"/>
          <w14:ligatures w14:val="standardContextual"/>
        </w:rPr>
        <w:t xml:space="preserve">, a najmä na jeho článok 71, </w:t>
      </w:r>
    </w:p>
    <w:p w14:paraId="1BDBE5D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17"/>
      </w:r>
      <w:r w:rsidRPr="000C7927">
        <w:rPr>
          <w:kern w:val="2"/>
          <w14:ligatures w14:val="standardContextual"/>
        </w:rPr>
        <w:t>, a najmä na jeho článok 26,</w:t>
      </w:r>
    </w:p>
    <w:p w14:paraId="5E0CC43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18"/>
      </w:r>
      <w:r w:rsidRPr="000C7927">
        <w:rPr>
          <w:kern w:val="2"/>
          <w14:ligatures w14:val="standardContextual"/>
        </w:rPr>
        <w:t>,</w:t>
      </w:r>
    </w:p>
    <w:p w14:paraId="2AD14A47"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článok 102 a prílohu V k rokovaciemu poriadku,</w:t>
      </w:r>
    </w:p>
    <w:p w14:paraId="3A1B51C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451CD373"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7DE8B74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udeľuje výkonnému riaditeľovi spoločného podniku pre európske obehové hospodárstvo využívajúce biologické materiály absolutórium za plnenie rozpočtu spoločného podniku za rozpočtový rok 2023;</w:t>
      </w:r>
    </w:p>
    <w:p w14:paraId="63CCB440"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uvádza svoje poznámky v priloženom uznesení;</w:t>
      </w:r>
    </w:p>
    <w:p w14:paraId="3F2BECC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w:t>
      </w:r>
      <w:r w:rsidRPr="000C7927">
        <w:rPr>
          <w:kern w:val="2"/>
          <w14:ligatures w14:val="standardContextual"/>
        </w:rPr>
        <w:tab/>
        <w:t>poveruje svoju predsedníčku, aby postúpila toto rozhodnutie a uznesenie, ktoré je jeho neoddeliteľnou súčasťou, výkonnému riaditeľovi spoločného podniku pre európske obehové hospodárstvo využívajúce biologické materiály, Rade, Komisii a Dvoru audítorov a aby zabezpečila ich uverejnenie v </w:t>
      </w:r>
      <w:r w:rsidRPr="000C7927">
        <w:rPr>
          <w:i/>
          <w:kern w:val="2"/>
          <w14:ligatures w14:val="standardContextual"/>
        </w:rPr>
        <w:t>Úradnom vestníku Európskej únie</w:t>
      </w:r>
      <w:r w:rsidRPr="000C7927">
        <w:rPr>
          <w:kern w:val="2"/>
          <w14:ligatures w14:val="standardContextual"/>
        </w:rPr>
        <w:t xml:space="preserve"> (v sérii L).</w:t>
      </w:r>
    </w:p>
    <w:p w14:paraId="1326FC2A"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59A48C61" w14:textId="717F84CB" w:rsidR="000C7927" w:rsidRPr="000C7927" w:rsidRDefault="000C7927" w:rsidP="000C7927">
      <w:pPr>
        <w:pStyle w:val="ATHeading3"/>
      </w:pPr>
      <w:r w:rsidRPr="000C7927">
        <w:lastRenderedPageBreak/>
        <w:t>4. Rozhodnutie Európskeho parlamentu zo 7. mája 2025 o účtovnej závierke spoločného podniku pre európske obehové hospodárstvo využívajúce biologické materiály za rozpočtový rok 2023 (2024/2031(DEC))</w:t>
      </w:r>
    </w:p>
    <w:p w14:paraId="18AA5D20" w14:textId="11010CEC"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5AC3601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európske obehové hospodárstvo využívajúce biologické materiály za rozpočtový rok 2023,</w:t>
      </w:r>
    </w:p>
    <w:p w14:paraId="1449B5B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19"/>
      </w:r>
      <w:r w:rsidRPr="000C7927">
        <w:rPr>
          <w:kern w:val="2"/>
          <w14:ligatures w14:val="standardContextual"/>
        </w:rPr>
        <w:t>,</w:t>
      </w:r>
    </w:p>
    <w:p w14:paraId="6ACDB84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20"/>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712434F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1511D80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68986F3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21"/>
      </w:r>
      <w:r w:rsidRPr="000C7927">
        <w:rPr>
          <w:kern w:val="2"/>
          <w14:ligatures w14:val="standardContextual"/>
        </w:rPr>
        <w:t>, a najmä na jeho článok 71,</w:t>
      </w:r>
    </w:p>
    <w:p w14:paraId="3AEF441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22"/>
      </w:r>
      <w:r w:rsidRPr="000C7927">
        <w:rPr>
          <w:kern w:val="2"/>
          <w14:ligatures w14:val="standardContextual"/>
        </w:rPr>
        <w:t xml:space="preserve">, a najmä na jeho článok 71, </w:t>
      </w:r>
    </w:p>
    <w:p w14:paraId="0813AED3"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23"/>
      </w:r>
      <w:r w:rsidRPr="000C7927">
        <w:rPr>
          <w:kern w:val="2"/>
          <w14:ligatures w14:val="standardContextual"/>
        </w:rPr>
        <w:t>, a najmä na jeho článok 26,</w:t>
      </w:r>
    </w:p>
    <w:p w14:paraId="76269C4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24"/>
      </w:r>
      <w:r w:rsidRPr="000C7927">
        <w:rPr>
          <w:kern w:val="2"/>
          <w14:ligatures w14:val="standardContextual"/>
        </w:rPr>
        <w:t>,</w:t>
      </w:r>
    </w:p>
    <w:p w14:paraId="424668D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článok 102 a prílohu V k rokovaciemu poriadku,</w:t>
      </w:r>
    </w:p>
    <w:p w14:paraId="22321073"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75ADD2A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287770C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schvaľuje účtovnú závierku spoločného podniku pre európske obehové hospodárstvo využívajúce biologické materiály za rozpočtový rok 2023;</w:t>
      </w:r>
    </w:p>
    <w:p w14:paraId="092ED5A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poveruje svoju predsedníčku, aby postúpila toto rozhodnutie výkonnému riaditeľovi spoločného podniku pre európske obehové hospodárstvo využívajúce biologické materiály, Rade, Komisii a Dvoru audítorov a aby zabezpečila jeho uverejnenie v </w:t>
      </w:r>
      <w:r w:rsidRPr="000C7927">
        <w:rPr>
          <w:i/>
          <w:kern w:val="2"/>
          <w14:ligatures w14:val="standardContextual"/>
        </w:rPr>
        <w:t>Úradnom vestníku Európskej únie</w:t>
      </w:r>
      <w:r w:rsidRPr="000C7927">
        <w:rPr>
          <w:kern w:val="2"/>
          <w14:ligatures w14:val="standardContextual"/>
        </w:rPr>
        <w:t xml:space="preserve"> (v sérii L).</w:t>
      </w:r>
    </w:p>
    <w:p w14:paraId="64C7C441"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5EC0E839" w14:textId="2A79F2DE" w:rsidR="000C7927" w:rsidRPr="000C7927" w:rsidRDefault="000C7927" w:rsidP="000C7927">
      <w:pPr>
        <w:pStyle w:val="ATHeading3"/>
      </w:pPr>
      <w:r w:rsidRPr="000C7927">
        <w:lastRenderedPageBreak/>
        <w:t>5. Rozhodnutie Európskeho parlamentu zo 7. mája 2025 o absolutóriu za plnenie rozpočtu spoločného podniku pre čistý vodík za rozpočtový rok 2023 (2024/2031(DEC))</w:t>
      </w:r>
    </w:p>
    <w:p w14:paraId="2999C127" w14:textId="3305C39D"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0A93C4F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čistý vodík za rozpočtový rok 2023,</w:t>
      </w:r>
    </w:p>
    <w:p w14:paraId="61F822B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25"/>
      </w:r>
      <w:r w:rsidRPr="000C7927">
        <w:rPr>
          <w:kern w:val="2"/>
          <w14:ligatures w14:val="standardContextual"/>
        </w:rPr>
        <w:t>,</w:t>
      </w:r>
    </w:p>
    <w:p w14:paraId="0759221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26"/>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017DDB7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545961E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040D0C6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27"/>
      </w:r>
      <w:r w:rsidRPr="000C7927">
        <w:rPr>
          <w:kern w:val="2"/>
          <w14:ligatures w14:val="standardContextual"/>
        </w:rPr>
        <w:t>, a najmä na jeho článok 71,</w:t>
      </w:r>
    </w:p>
    <w:p w14:paraId="03A1563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28"/>
      </w:r>
      <w:r w:rsidRPr="000C7927">
        <w:rPr>
          <w:kern w:val="2"/>
          <w14:ligatures w14:val="standardContextual"/>
        </w:rPr>
        <w:t xml:space="preserve">, a najmä na jeho článok 71, </w:t>
      </w:r>
    </w:p>
    <w:p w14:paraId="5F750F1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29"/>
      </w:r>
      <w:r w:rsidRPr="000C7927">
        <w:rPr>
          <w:kern w:val="2"/>
          <w14:ligatures w14:val="standardContextual"/>
        </w:rPr>
        <w:t>, a najmä na jeho článok 26,</w:t>
      </w:r>
    </w:p>
    <w:p w14:paraId="28D0A50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delegované nariadenie Komisie (EÚ) 2019/887 z 13. marca 2019 o vzorovom nariadení o rozpočtových pravidlách pre subjekty verejno</w:t>
      </w:r>
      <w:r w:rsidRPr="000C7927">
        <w:rPr>
          <w:kern w:val="2"/>
          <w14:ligatures w14:val="standardContextual"/>
        </w:rPr>
        <w:noBreakHyphen/>
        <w:t xml:space="preserve">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30"/>
      </w:r>
      <w:r w:rsidRPr="000C7927">
        <w:rPr>
          <w:kern w:val="2"/>
          <w14:ligatures w14:val="standardContextual"/>
        </w:rPr>
        <w:t>,</w:t>
      </w:r>
    </w:p>
    <w:p w14:paraId="67587FF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102 a prílohu V k rokovaciemu poriadku,</w:t>
      </w:r>
    </w:p>
    <w:p w14:paraId="4932394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stanovisko Výboru pre dopravu a cestovný ruch,</w:t>
      </w:r>
    </w:p>
    <w:p w14:paraId="26CCB0D0"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15A7E8B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udeľuje výkonnej riaditeľke spoločného podniku pre čistý vodík absolutórium za plnenie rozpočtu spoločného podniku za rozpočtový rok 2023;</w:t>
      </w:r>
    </w:p>
    <w:p w14:paraId="659877F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uvádza svoje poznámky v priloženom uznesení;</w:t>
      </w:r>
    </w:p>
    <w:p w14:paraId="253E5E3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w:t>
      </w:r>
      <w:r w:rsidRPr="000C7927">
        <w:rPr>
          <w:kern w:val="2"/>
          <w14:ligatures w14:val="standardContextual"/>
        </w:rPr>
        <w:tab/>
        <w:t>poveruje svoju predsedníčku, aby postúpila toto rozhodnutie a uznesenie, ktoré je jeho neoddeliteľnou súčasťou, výkonnej riaditeľke spoločného podniku pre čistý vodík, Rade, Komisii a Dvoru audítorov a aby zabezpečila ich uverejnenie v </w:t>
      </w:r>
      <w:r w:rsidRPr="000C7927">
        <w:rPr>
          <w:i/>
          <w:kern w:val="2"/>
          <w14:ligatures w14:val="standardContextual"/>
        </w:rPr>
        <w:t>Úradnom vestníku Európskej únie</w:t>
      </w:r>
      <w:r w:rsidRPr="000C7927">
        <w:rPr>
          <w:kern w:val="2"/>
          <w14:ligatures w14:val="standardContextual"/>
        </w:rPr>
        <w:t xml:space="preserve"> (v sérii L).</w:t>
      </w:r>
    </w:p>
    <w:p w14:paraId="64B18C58"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0A61EB6E" w14:textId="23670B43" w:rsidR="000C7927" w:rsidRPr="000C7927" w:rsidRDefault="000C7927" w:rsidP="000C7927">
      <w:pPr>
        <w:pStyle w:val="ATHeading3"/>
      </w:pPr>
      <w:r w:rsidRPr="000C7927">
        <w:lastRenderedPageBreak/>
        <w:t>6. Rozhodnutie Európskeho parlamentu zo 7. mája 2025 o účtovnej závierke spoločného podniku pre čistý vodík za rozpočtový rok 2023 (2024/2031(DEC))</w:t>
      </w:r>
    </w:p>
    <w:p w14:paraId="69919E2B" w14:textId="27178C9B"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126DD53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čistý vodík za rozpočtový rok 2023,</w:t>
      </w:r>
    </w:p>
    <w:p w14:paraId="1A98EFD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31"/>
      </w:r>
      <w:r w:rsidRPr="000C7927">
        <w:rPr>
          <w:kern w:val="2"/>
          <w14:ligatures w14:val="standardContextual"/>
        </w:rPr>
        <w:t>,</w:t>
      </w:r>
    </w:p>
    <w:p w14:paraId="78364E5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32"/>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566953A0"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21B9F51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75FD717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33"/>
      </w:r>
      <w:r w:rsidRPr="000C7927">
        <w:rPr>
          <w:kern w:val="2"/>
          <w14:ligatures w14:val="standardContextual"/>
        </w:rPr>
        <w:t>, a najmä na jeho článok 71,</w:t>
      </w:r>
    </w:p>
    <w:p w14:paraId="16F7B057"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34"/>
      </w:r>
      <w:r w:rsidRPr="000C7927">
        <w:rPr>
          <w:kern w:val="2"/>
          <w14:ligatures w14:val="standardContextual"/>
        </w:rPr>
        <w:t xml:space="preserve">, a najmä na jeho článok 71, </w:t>
      </w:r>
    </w:p>
    <w:p w14:paraId="3734AAA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35"/>
      </w:r>
      <w:r w:rsidRPr="000C7927">
        <w:rPr>
          <w:kern w:val="2"/>
          <w14:ligatures w14:val="standardContextual"/>
        </w:rPr>
        <w:t>, a najmä na jeho článok 26,</w:t>
      </w:r>
    </w:p>
    <w:p w14:paraId="7A84D470"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delegované nariadenie Komisie (EÚ) 2019/887 z 13. marca 2019 o vzorovom nariadení o rozpočtových pravidlách pre subjekty verejno</w:t>
      </w:r>
      <w:r w:rsidRPr="000C7927">
        <w:rPr>
          <w:kern w:val="2"/>
          <w14:ligatures w14:val="standardContextual"/>
        </w:rPr>
        <w:noBreakHyphen/>
        <w:t xml:space="preserve">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36"/>
      </w:r>
      <w:r w:rsidRPr="000C7927">
        <w:rPr>
          <w:kern w:val="2"/>
          <w14:ligatures w14:val="standardContextual"/>
        </w:rPr>
        <w:t>,</w:t>
      </w:r>
    </w:p>
    <w:p w14:paraId="54D6B6D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102 a prílohu V k rokovaciemu poriadku,</w:t>
      </w:r>
    </w:p>
    <w:p w14:paraId="4C31FE9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stanovisko Výboru pre dopravu a cestovný ruch,</w:t>
      </w:r>
    </w:p>
    <w:p w14:paraId="350103E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02FFAA5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schvaľuje účtovnú závierku spoločného podniku pre čistý vodík za rozpočtový rok 2023;</w:t>
      </w:r>
    </w:p>
    <w:p w14:paraId="25364A8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poveruje svoju predsedníčku, aby postúpila toto rozhodnutie výkonnej riaditeľke spoločného podniku pre čistý vodík, Rade, Komisii a Dvoru audítorov a aby zabezpečila jeho uverejnenie v </w:t>
      </w:r>
      <w:r w:rsidRPr="000C7927">
        <w:rPr>
          <w:i/>
          <w:kern w:val="2"/>
          <w14:ligatures w14:val="standardContextual"/>
        </w:rPr>
        <w:t>Úradnom vestníku Európskej únie</w:t>
      </w:r>
      <w:r w:rsidRPr="000C7927">
        <w:rPr>
          <w:kern w:val="2"/>
          <w14:ligatures w14:val="standardContextual"/>
        </w:rPr>
        <w:t xml:space="preserve"> (v sérii L).</w:t>
      </w:r>
    </w:p>
    <w:p w14:paraId="2ED714F6"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0C4BF704" w14:textId="4327D04C" w:rsidR="000C7927" w:rsidRPr="000C7927" w:rsidRDefault="000C7927" w:rsidP="000C7927">
      <w:pPr>
        <w:pStyle w:val="ATHeading3"/>
      </w:pPr>
      <w:r w:rsidRPr="000C7927">
        <w:lastRenderedPageBreak/>
        <w:t>7. Rozhodnutie Európskeho parlamentu zo 7. mája 2025 o absolutóriu za plnenie rozpočtu spoločného podniku pre európske železnice za rozpočtový rok 2023 (2024/2031(DEC))</w:t>
      </w:r>
    </w:p>
    <w:p w14:paraId="594FF92B" w14:textId="581049B8"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6C16C09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európske železnice za rozpočtový rok 2023,</w:t>
      </w:r>
    </w:p>
    <w:p w14:paraId="3FE8004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37"/>
      </w:r>
      <w:r w:rsidRPr="000C7927">
        <w:rPr>
          <w:kern w:val="2"/>
          <w14:ligatures w14:val="standardContextual"/>
        </w:rPr>
        <w:t>,</w:t>
      </w:r>
    </w:p>
    <w:p w14:paraId="425F9B4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38"/>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68D5CE4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6D5897C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7AC3500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39"/>
      </w:r>
      <w:r w:rsidRPr="000C7927">
        <w:rPr>
          <w:kern w:val="2"/>
          <w14:ligatures w14:val="standardContextual"/>
        </w:rPr>
        <w:t>, a najmä na jeho článok 71,</w:t>
      </w:r>
    </w:p>
    <w:p w14:paraId="31E3341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40"/>
      </w:r>
      <w:r w:rsidRPr="000C7927">
        <w:rPr>
          <w:kern w:val="2"/>
          <w14:ligatures w14:val="standardContextual"/>
        </w:rPr>
        <w:t xml:space="preserve">, a najmä na jeho článok 71, </w:t>
      </w:r>
    </w:p>
    <w:p w14:paraId="7451BB0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41"/>
      </w:r>
      <w:r w:rsidRPr="000C7927">
        <w:rPr>
          <w:kern w:val="2"/>
          <w14:ligatures w14:val="standardContextual"/>
        </w:rPr>
        <w:t>, a najmä na jeho článok 26,</w:t>
      </w:r>
    </w:p>
    <w:p w14:paraId="7E800A1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delegované nariadenie Komisie (EÚ) 2019/887 z 13. marca 2019 o vzorovom nariadení o rozpočtových pravidlách pre subjekty verejno</w:t>
      </w:r>
      <w:r w:rsidRPr="000C7927">
        <w:rPr>
          <w:kern w:val="2"/>
          <w14:ligatures w14:val="standardContextual"/>
        </w:rPr>
        <w:noBreakHyphen/>
        <w:t xml:space="preserve">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42"/>
      </w:r>
      <w:r w:rsidRPr="000C7927">
        <w:rPr>
          <w:kern w:val="2"/>
          <w14:ligatures w14:val="standardContextual"/>
        </w:rPr>
        <w:t>,</w:t>
      </w:r>
    </w:p>
    <w:p w14:paraId="1110614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článok 102 a prílohu V k rokovaciemu poriadku,</w:t>
      </w:r>
    </w:p>
    <w:p w14:paraId="3C70FF4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55FDB40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00F193E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udeľuje výkonnému riaditeľovi spoločného podniku pre európske železnice absolutórium za plnenie rozpočtu spoločného podniku za rozpočtový rok 2023;</w:t>
      </w:r>
    </w:p>
    <w:p w14:paraId="4EC46A7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uvádza svoje poznámky v priloženom uznesení;</w:t>
      </w:r>
    </w:p>
    <w:p w14:paraId="603678F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w:t>
      </w:r>
      <w:r w:rsidRPr="000C7927">
        <w:rPr>
          <w:kern w:val="2"/>
          <w14:ligatures w14:val="standardContextual"/>
        </w:rPr>
        <w:tab/>
        <w:t>poveruje svoju predsedníčku, aby postúpila toto rozhodnutie a uznesenie, ktoré je jeho neoddeliteľnou súčasťou, výkonnému riaditeľovi spoločného podniku pre európske železnice, Rade, Komisii a Dvoru audítorov a aby zabezpečila ich uverejnenie v </w:t>
      </w:r>
      <w:r w:rsidRPr="000C7927">
        <w:rPr>
          <w:i/>
          <w:kern w:val="2"/>
          <w14:ligatures w14:val="standardContextual"/>
        </w:rPr>
        <w:t>Úradnom vestníku Európskej únie</w:t>
      </w:r>
      <w:r w:rsidRPr="000C7927">
        <w:rPr>
          <w:kern w:val="2"/>
          <w14:ligatures w14:val="standardContextual"/>
        </w:rPr>
        <w:t xml:space="preserve"> (v sérii L).</w:t>
      </w:r>
    </w:p>
    <w:p w14:paraId="24CB26BF"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209A3BC4" w14:textId="696ECDF8" w:rsidR="000C7927" w:rsidRPr="000C7927" w:rsidRDefault="000C7927" w:rsidP="000C7927">
      <w:pPr>
        <w:pStyle w:val="ATHeading3"/>
      </w:pPr>
      <w:r w:rsidRPr="000C7927">
        <w:lastRenderedPageBreak/>
        <w:t>8. Rozhodnutie Európskeho parlamentu zo 7. mája 2025 o účtovnej závierke spoločného podniku pre európske železnice za rozpočtový rok 2023 (2024/2031(DEC))</w:t>
      </w:r>
    </w:p>
    <w:p w14:paraId="57F38187" w14:textId="1D38B978"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33BD022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európske železnice za rozpočtový rok 2023,</w:t>
      </w:r>
    </w:p>
    <w:p w14:paraId="750800B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43"/>
      </w:r>
      <w:r w:rsidRPr="000C7927">
        <w:rPr>
          <w:kern w:val="2"/>
          <w14:ligatures w14:val="standardContextual"/>
        </w:rPr>
        <w:t>,</w:t>
      </w:r>
    </w:p>
    <w:p w14:paraId="4F10139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44"/>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36CC812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5E84050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09C165B7"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45"/>
      </w:r>
      <w:r w:rsidRPr="000C7927">
        <w:rPr>
          <w:kern w:val="2"/>
          <w14:ligatures w14:val="standardContextual"/>
        </w:rPr>
        <w:t>, a najmä na jeho článok 71,</w:t>
      </w:r>
    </w:p>
    <w:p w14:paraId="5B67C93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 (prepracované znenie)</w:t>
      </w:r>
      <w:r w:rsidRPr="000C7927">
        <w:rPr>
          <w:kern w:val="2"/>
          <w:vertAlign w:val="superscript"/>
          <w14:ligatures w14:val="standardContextual"/>
        </w:rPr>
        <w:footnoteReference w:id="46"/>
      </w:r>
      <w:r w:rsidRPr="000C7927">
        <w:rPr>
          <w:kern w:val="2"/>
          <w14:ligatures w14:val="standardContextual"/>
        </w:rPr>
        <w:t xml:space="preserve">, a najmä na jeho článok 71, </w:t>
      </w:r>
    </w:p>
    <w:p w14:paraId="37A005F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47"/>
      </w:r>
      <w:r w:rsidRPr="000C7927">
        <w:rPr>
          <w:kern w:val="2"/>
          <w14:ligatures w14:val="standardContextual"/>
        </w:rPr>
        <w:t>, a najmä na jeho článok 26,</w:t>
      </w:r>
    </w:p>
    <w:p w14:paraId="1112E38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48"/>
      </w:r>
      <w:r w:rsidRPr="000C7927">
        <w:rPr>
          <w:kern w:val="2"/>
          <w14:ligatures w14:val="standardContextual"/>
        </w:rPr>
        <w:t>,</w:t>
      </w:r>
    </w:p>
    <w:p w14:paraId="1CAE738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102 a prílohu V k rokovaciemu poriadku,</w:t>
      </w:r>
    </w:p>
    <w:p w14:paraId="6B91D2B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stanovisko Výboru pre dopravu a cestovný ruch,</w:t>
      </w:r>
    </w:p>
    <w:p w14:paraId="544D687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38AD3057"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schvaľuje účtovnú závierku spoločného podniku pre európske železnice za rozpočtový rok 2023;</w:t>
      </w:r>
    </w:p>
    <w:p w14:paraId="6724394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poveruje svoju predsedníčku, aby postúpila toto rozhodnutie výkonnému riaditeľovi spoločného podniku pre európske železnice, Rade, Komisii a Dvoru audítorov a aby zabezpečila jeho uverejnenie v </w:t>
      </w:r>
      <w:r w:rsidRPr="000C7927">
        <w:rPr>
          <w:i/>
          <w:kern w:val="2"/>
          <w14:ligatures w14:val="standardContextual"/>
        </w:rPr>
        <w:t>Úradnom vestníku Európskej únie</w:t>
      </w:r>
      <w:r w:rsidRPr="000C7927">
        <w:rPr>
          <w:kern w:val="2"/>
          <w14:ligatures w14:val="standardContextual"/>
        </w:rPr>
        <w:t xml:space="preserve"> (v sérii L).</w:t>
      </w:r>
    </w:p>
    <w:p w14:paraId="73B6DB38"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4904DF8A" w14:textId="77777777" w:rsidR="000C7927" w:rsidRPr="000C7927" w:rsidRDefault="000C7927" w:rsidP="000C7927">
      <w:pPr>
        <w:pStyle w:val="ATHeading3"/>
      </w:pPr>
      <w:r w:rsidRPr="000C7927">
        <w:lastRenderedPageBreak/>
        <w:t>9. Rozhodnutie Európskeho parlamentu zo 7. mája 2025 o absolutóriu za plnenie rozpočtu spoločného podniku pre európsku vysokovýkonnú výpočtovú techniku za rozpočtový rok 2023 (2024/2031(DEC))</w:t>
      </w:r>
    </w:p>
    <w:p w14:paraId="5B00960F" w14:textId="5EBA3C46"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4089B0F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európsku vysokovýkonnú výpočtovú techniku za rozpočtový rok 2023,</w:t>
      </w:r>
    </w:p>
    <w:p w14:paraId="7D57B73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49"/>
      </w:r>
      <w:r w:rsidRPr="000C7927">
        <w:rPr>
          <w:kern w:val="2"/>
          <w14:ligatures w14:val="standardContextual"/>
        </w:rPr>
        <w:t>,</w:t>
      </w:r>
    </w:p>
    <w:p w14:paraId="291BD87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50"/>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2C4C759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0C4827A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4727016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51"/>
      </w:r>
      <w:r w:rsidRPr="000C7927">
        <w:rPr>
          <w:kern w:val="2"/>
          <w14:ligatures w14:val="standardContextual"/>
        </w:rPr>
        <w:t>, a najmä na jeho článok 71,</w:t>
      </w:r>
    </w:p>
    <w:p w14:paraId="3E6E637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52"/>
      </w:r>
      <w:r w:rsidRPr="000C7927">
        <w:rPr>
          <w:kern w:val="2"/>
          <w14:ligatures w14:val="standardContextual"/>
        </w:rPr>
        <w:t>, a najmä na jeho článok 71,</w:t>
      </w:r>
    </w:p>
    <w:p w14:paraId="2BEA1D1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2021/1173 z 13. júla 2021 o zriadení spoločného podniku pre európsku vysokovýkonnú výpočtovú techniku a o zrušení nariadenia (EÚ) 2018/1488</w:t>
      </w:r>
      <w:r w:rsidRPr="000C7927">
        <w:rPr>
          <w:kern w:val="2"/>
          <w:vertAlign w:val="superscript"/>
          <w14:ligatures w14:val="standardContextual"/>
        </w:rPr>
        <w:footnoteReference w:id="53"/>
      </w:r>
      <w:r w:rsidRPr="000C7927">
        <w:rPr>
          <w:kern w:val="2"/>
          <w14:ligatures w14:val="standardContextual"/>
        </w:rPr>
        <w:t>, a najmä na jeho článok 19,</w:t>
      </w:r>
    </w:p>
    <w:p w14:paraId="4F6B3E9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54"/>
      </w:r>
      <w:r w:rsidRPr="000C7927">
        <w:rPr>
          <w:kern w:val="2"/>
          <w14:ligatures w14:val="standardContextual"/>
        </w:rPr>
        <w:t>,</w:t>
      </w:r>
    </w:p>
    <w:p w14:paraId="604E1AD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102 a prílohu V k rokovaciemu poriadku,</w:t>
      </w:r>
    </w:p>
    <w:p w14:paraId="2F69D74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stanovisko Výboru pre dopravu a cestovný ruch,</w:t>
      </w:r>
    </w:p>
    <w:p w14:paraId="0A7542D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4F932AB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udeľuje výkonnému riaditeľovi spoločného podniku pre európsku vysokovýkonnú výpočtovú techniku absolutórium za plnenie rozpočtu spoločného podniku za rozpočtový rok 2023;</w:t>
      </w:r>
    </w:p>
    <w:p w14:paraId="5BD9C5A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uvádza svoje poznámky v priloženom uznesení;</w:t>
      </w:r>
    </w:p>
    <w:p w14:paraId="4C809373"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w:t>
      </w:r>
      <w:r w:rsidRPr="000C7927">
        <w:rPr>
          <w:kern w:val="2"/>
          <w14:ligatures w14:val="standardContextual"/>
        </w:rPr>
        <w:tab/>
        <w:t>poveruje svoju predsedníčku, aby postúpila toto rozhodnutie a uznesenie, ktoré je jeho neoddeliteľnou súčasťou, výkonnému riaditeľovi spoločného podniku pre európsku vysokovýkonnú výpočtovú techniku, Rade, Komisii a Dvoru audítorov a aby zabezpečila ich uverejnenie v </w:t>
      </w:r>
      <w:r w:rsidRPr="000C7927">
        <w:rPr>
          <w:i/>
          <w:kern w:val="2"/>
          <w14:ligatures w14:val="standardContextual"/>
        </w:rPr>
        <w:t>Úradnom vestníku Európskej únie</w:t>
      </w:r>
      <w:r w:rsidRPr="000C7927">
        <w:rPr>
          <w:kern w:val="2"/>
          <w14:ligatures w14:val="standardContextual"/>
        </w:rPr>
        <w:t xml:space="preserve"> (v sérii L).</w:t>
      </w:r>
    </w:p>
    <w:p w14:paraId="7BA57F4F"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1712066B" w14:textId="77777777" w:rsidR="000C7927" w:rsidRPr="000C7927" w:rsidRDefault="000C7927" w:rsidP="000C7927">
      <w:pPr>
        <w:pStyle w:val="ATHeading3"/>
      </w:pPr>
      <w:r w:rsidRPr="000C7927">
        <w:lastRenderedPageBreak/>
        <w:t>10. Rozhodnutie Európskeho parlamentu zo 7. mája 2025 o účtovnej závierke spoločného podniku pre európsku vysokovýkonnú výpočtovú techniku za rozpočtový rok 2023 (2024/2031(DEC))</w:t>
      </w:r>
    </w:p>
    <w:p w14:paraId="298CEF25" w14:textId="10846BC1"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1EBF21B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európsku vysokovýkonnú výpočtovú techniku za rozpočtový rok 2023,</w:t>
      </w:r>
    </w:p>
    <w:p w14:paraId="257DBAC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55"/>
      </w:r>
      <w:r w:rsidRPr="000C7927">
        <w:rPr>
          <w:kern w:val="2"/>
          <w14:ligatures w14:val="standardContextual"/>
        </w:rPr>
        <w:t>,</w:t>
      </w:r>
    </w:p>
    <w:p w14:paraId="63726450"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56"/>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367F47F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4BF8FF6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2A6B44D3"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57"/>
      </w:r>
      <w:r w:rsidRPr="000C7927">
        <w:rPr>
          <w:kern w:val="2"/>
          <w14:ligatures w14:val="standardContextual"/>
        </w:rPr>
        <w:t>, a najmä na jeho článok 71,</w:t>
      </w:r>
    </w:p>
    <w:p w14:paraId="703C18C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58"/>
      </w:r>
      <w:r w:rsidRPr="000C7927">
        <w:rPr>
          <w:kern w:val="2"/>
          <w14:ligatures w14:val="standardContextual"/>
        </w:rPr>
        <w:t>, a najmä na jeho článok 71,</w:t>
      </w:r>
    </w:p>
    <w:p w14:paraId="4C8FB17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2021/1173 z 13. júla 2021 o zriadení spoločného podniku pre európsku vysokovýkonnú výpočtovú techniku a o zrušení nariadenia (EÚ) 2018/1488</w:t>
      </w:r>
      <w:r w:rsidRPr="000C7927">
        <w:rPr>
          <w:kern w:val="2"/>
          <w:vertAlign w:val="superscript"/>
          <w14:ligatures w14:val="standardContextual"/>
        </w:rPr>
        <w:footnoteReference w:id="59"/>
      </w:r>
      <w:r w:rsidRPr="000C7927">
        <w:rPr>
          <w:kern w:val="2"/>
          <w14:ligatures w14:val="standardContextual"/>
        </w:rPr>
        <w:t>, a najmä na jeho článok 19,</w:t>
      </w:r>
    </w:p>
    <w:p w14:paraId="3F97B8A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delegované nariadenie Komisie (EÚ) 2019/887 z 13. marca 2019 o vzorovom nariadení o rozpočtových pravidlách pre subjekty verejno</w:t>
      </w:r>
      <w:r w:rsidRPr="000C7927">
        <w:rPr>
          <w:kern w:val="2"/>
          <w14:ligatures w14:val="standardContextual"/>
        </w:rPr>
        <w:noBreakHyphen/>
        <w:t xml:space="preserve">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60"/>
      </w:r>
      <w:r w:rsidRPr="000C7927">
        <w:rPr>
          <w:kern w:val="2"/>
          <w14:ligatures w14:val="standardContextual"/>
        </w:rPr>
        <w:t>,</w:t>
      </w:r>
    </w:p>
    <w:p w14:paraId="3A93049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102 a prílohu V k rokovaciemu poriadku,</w:t>
      </w:r>
    </w:p>
    <w:p w14:paraId="35247B6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stanovisko Výboru pre dopravu a cestovný ruch,</w:t>
      </w:r>
    </w:p>
    <w:p w14:paraId="539F417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1F9F2F4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schvaľuje účtovnú závierku spoločného podniku pre európsku vysokovýkonnú výpočtovú techniku za rozpočtový rok 2023;</w:t>
      </w:r>
    </w:p>
    <w:p w14:paraId="38E651D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poveruje svoju predsedníčku, aby postúpila toto rozhodnutie výkonnému riaditeľovi spoločného podniku pre európsku vysokovýkonnú výpočtovú techniku, Rade, Komisii a Dvoru audítorov a aby zabezpečila jeho uverejnenie v </w:t>
      </w:r>
      <w:r w:rsidRPr="000C7927">
        <w:rPr>
          <w:i/>
          <w:kern w:val="2"/>
          <w14:ligatures w14:val="standardContextual"/>
        </w:rPr>
        <w:t>Úradnom vestníku Európskej únie</w:t>
      </w:r>
      <w:r w:rsidRPr="000C7927">
        <w:rPr>
          <w:kern w:val="2"/>
          <w14:ligatures w14:val="standardContextual"/>
        </w:rPr>
        <w:t xml:space="preserve"> (v sérii L).</w:t>
      </w:r>
    </w:p>
    <w:p w14:paraId="76DFBAFD"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00157A18" w14:textId="5AE0A58B" w:rsidR="000C7927" w:rsidRPr="000C7927" w:rsidRDefault="000C7927" w:rsidP="000C7927">
      <w:pPr>
        <w:pStyle w:val="ATHeading3"/>
      </w:pPr>
      <w:r w:rsidRPr="000C7927">
        <w:lastRenderedPageBreak/>
        <w:t>11. Rozhodnutie Európskeho parlamentu zo 7. mája 2025 o absolutóriu za plnenie rozpočtu Európskeho spoločného podniku pre ITER a rozvoj energie jadrovej syntézy za rozpočtový rok 2023 (2024/2031(DEC))</w:t>
      </w:r>
    </w:p>
    <w:p w14:paraId="52F999B3" w14:textId="35B3C576"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4C8A3D9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Európskeho spoločného podniku pre ITER a rozvoj energie jadrovej syntézy za rozpočtový rok 2023,</w:t>
      </w:r>
    </w:p>
    <w:p w14:paraId="6E69E85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61"/>
      </w:r>
      <w:r w:rsidRPr="000C7927">
        <w:rPr>
          <w:kern w:val="2"/>
          <w14:ligatures w14:val="standardContextual"/>
        </w:rPr>
        <w:t>,</w:t>
      </w:r>
    </w:p>
    <w:p w14:paraId="7002BED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62"/>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346161A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16EB37A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58C1E2A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106a Zmluvy o založení Európskeho spoločenstva pre atómovú energiu,</w:t>
      </w:r>
    </w:p>
    <w:p w14:paraId="2121A96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63"/>
      </w:r>
      <w:r w:rsidRPr="000C7927">
        <w:rPr>
          <w:kern w:val="2"/>
          <w14:ligatures w14:val="standardContextual"/>
        </w:rPr>
        <w:t>, a najmä na jeho článok 70,</w:t>
      </w:r>
    </w:p>
    <w:p w14:paraId="236C310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64"/>
      </w:r>
      <w:r w:rsidRPr="000C7927">
        <w:rPr>
          <w:kern w:val="2"/>
          <w14:ligatures w14:val="standardContextual"/>
        </w:rPr>
        <w:t xml:space="preserve">, a najmä na jeho článok 70, </w:t>
      </w:r>
    </w:p>
    <w:p w14:paraId="08A2A3C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rozhodnutie Rady 2007/198/</w:t>
      </w:r>
      <w:proofErr w:type="spellStart"/>
      <w:r w:rsidRPr="000C7927">
        <w:rPr>
          <w:kern w:val="2"/>
          <w14:ligatures w14:val="standardContextual"/>
        </w:rPr>
        <w:t>Euratom</w:t>
      </w:r>
      <w:proofErr w:type="spellEnd"/>
      <w:r w:rsidRPr="000C7927">
        <w:rPr>
          <w:kern w:val="2"/>
          <w14:ligatures w14:val="standardContextual"/>
        </w:rPr>
        <w:t xml:space="preserve"> z 27. marca 2007, ktorým sa zriaďuje Európsky spoločný podnik pre ITER a rozvoj energie jadrovej syntézy a ktorým sa mu udeľujú výhody</w:t>
      </w:r>
      <w:r w:rsidRPr="000C7927">
        <w:rPr>
          <w:kern w:val="2"/>
          <w:vertAlign w:val="superscript"/>
          <w14:ligatures w14:val="standardContextual"/>
        </w:rPr>
        <w:footnoteReference w:id="65"/>
      </w:r>
      <w:r w:rsidRPr="000C7927">
        <w:rPr>
          <w:kern w:val="2"/>
          <w14:ligatures w14:val="standardContextual"/>
        </w:rPr>
        <w:t>, a najmä na jeho článok 5,</w:t>
      </w:r>
    </w:p>
    <w:p w14:paraId="6270E96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2019/715 z 18. decembra 2018 o rámcovom nariadení o rozpočtových pravidlách pre subjekty zriadené podľa ZFEÚ a Zmluvy o </w:t>
      </w:r>
      <w:proofErr w:type="spellStart"/>
      <w:r w:rsidRPr="000C7927">
        <w:rPr>
          <w:kern w:val="2"/>
          <w14:ligatures w14:val="standardContextual"/>
        </w:rPr>
        <w:t>Euratome</w:t>
      </w:r>
      <w:proofErr w:type="spellEnd"/>
      <w:r w:rsidRPr="000C7927">
        <w:rPr>
          <w:kern w:val="2"/>
          <w14:ligatures w14:val="standardContextual"/>
        </w:rPr>
        <w:t xml:space="preserve"> a uvedené v článku 70 nariadenia Európskeho parlamentu a Rady </w:t>
      </w:r>
      <w:r w:rsidRPr="000C7927">
        <w:rPr>
          <w:kern w:val="2"/>
          <w14:ligatures w14:val="standardContextual"/>
        </w:rPr>
        <w:lastRenderedPageBreak/>
        <w:t xml:space="preserve">(EÚ,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66"/>
      </w:r>
      <w:r w:rsidRPr="000C7927">
        <w:rPr>
          <w:kern w:val="2"/>
          <w14:ligatures w14:val="standardContextual"/>
        </w:rPr>
        <w:t>,</w:t>
      </w:r>
    </w:p>
    <w:p w14:paraId="20B6B01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102 a prílohu V k rokovaciemu poriadku,</w:t>
      </w:r>
    </w:p>
    <w:p w14:paraId="1B8D56F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184F077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2ADD6A9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udeľuje riaditeľovi Európskeho spoločného podniku pre ITER a rozvoj energie jadrovej syntézy absolutórium za plnenie rozpočtu spoločného podniku za rozpočtový rok 2023;</w:t>
      </w:r>
    </w:p>
    <w:p w14:paraId="0B4F1C5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uvádza svoje poznámky v priloženom uznesení;</w:t>
      </w:r>
    </w:p>
    <w:p w14:paraId="74FE13C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w:t>
      </w:r>
      <w:r w:rsidRPr="000C7927">
        <w:rPr>
          <w:kern w:val="2"/>
          <w14:ligatures w14:val="standardContextual"/>
        </w:rPr>
        <w:tab/>
        <w:t>poveruje svoju predsedníčku, aby postúpila toto rozhodnutie a uznesenie, ktoré je jeho neoddeliteľnou súčasťou, riaditeľovi spoločného podniku pre ITER a rozvoj energie jadrovej syntézy, Rade, Komisii a Dvoru audítorov a aby zabezpečila ich uverejnenie v </w:t>
      </w:r>
      <w:r w:rsidRPr="000C7927">
        <w:rPr>
          <w:i/>
          <w:kern w:val="2"/>
          <w14:ligatures w14:val="standardContextual"/>
        </w:rPr>
        <w:t>Úradnom vestníku Európskej únie</w:t>
      </w:r>
      <w:r w:rsidRPr="000C7927">
        <w:rPr>
          <w:kern w:val="2"/>
          <w14:ligatures w14:val="standardContextual"/>
        </w:rPr>
        <w:t xml:space="preserve"> (v sérii L).</w:t>
      </w:r>
    </w:p>
    <w:p w14:paraId="5248EC7E"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52A570B8" w14:textId="773BA866" w:rsidR="000C7927" w:rsidRPr="000C7927" w:rsidRDefault="000C7927" w:rsidP="000C7927">
      <w:pPr>
        <w:pStyle w:val="ATHeading3"/>
      </w:pPr>
      <w:r w:rsidRPr="000C7927">
        <w:lastRenderedPageBreak/>
        <w:t>12. Rozhodnutie Európskeho parlamentu zo 7. mája 2025 o účtovnej závierke Európskeho spoločného podniku pre ITER a rozvoj energie jadrovej syntézy za rozpočtový rok 2023 (2024/2031(DEC))</w:t>
      </w:r>
    </w:p>
    <w:p w14:paraId="2FE21F9B" w14:textId="59795846"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10E3523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Európskeho spoločného podniku pre ITER a rozvoj energie jadrovej syntézy za rozpočtový rok 2023,</w:t>
      </w:r>
    </w:p>
    <w:p w14:paraId="7BD5670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67"/>
      </w:r>
      <w:r w:rsidRPr="000C7927">
        <w:rPr>
          <w:kern w:val="2"/>
          <w14:ligatures w14:val="standardContextual"/>
        </w:rPr>
        <w:t>,</w:t>
      </w:r>
    </w:p>
    <w:p w14:paraId="44DDBAE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68"/>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0958F20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344A183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1990B54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106a Zmluvy o založení Európskeho spoločenstva pre atómovú energiu,</w:t>
      </w:r>
    </w:p>
    <w:p w14:paraId="5F8630F7"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69"/>
      </w:r>
      <w:r w:rsidRPr="000C7927">
        <w:rPr>
          <w:kern w:val="2"/>
          <w14:ligatures w14:val="standardContextual"/>
        </w:rPr>
        <w:t>, a najmä na jeho článok 70,</w:t>
      </w:r>
    </w:p>
    <w:p w14:paraId="3A114FF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70"/>
      </w:r>
      <w:r w:rsidRPr="000C7927">
        <w:rPr>
          <w:kern w:val="2"/>
          <w14:ligatures w14:val="standardContextual"/>
        </w:rPr>
        <w:t xml:space="preserve">, a najmä na jeho článok 70, </w:t>
      </w:r>
    </w:p>
    <w:p w14:paraId="4535A793"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rozhodnutie Rady 2007/198/</w:t>
      </w:r>
      <w:proofErr w:type="spellStart"/>
      <w:r w:rsidRPr="000C7927">
        <w:rPr>
          <w:kern w:val="2"/>
          <w14:ligatures w14:val="standardContextual"/>
        </w:rPr>
        <w:t>Euratom</w:t>
      </w:r>
      <w:proofErr w:type="spellEnd"/>
      <w:r w:rsidRPr="000C7927">
        <w:rPr>
          <w:kern w:val="2"/>
          <w14:ligatures w14:val="standardContextual"/>
        </w:rPr>
        <w:t xml:space="preserve"> z 27. marca 2007, ktorým sa zriaďuje Európsky spoločný podnik pre ITER a rozvoj energie jadrovej syntézy a ktorým sa mu udeľujú výhody</w:t>
      </w:r>
      <w:r w:rsidRPr="000C7927">
        <w:rPr>
          <w:kern w:val="2"/>
          <w:vertAlign w:val="superscript"/>
          <w14:ligatures w14:val="standardContextual"/>
        </w:rPr>
        <w:footnoteReference w:id="71"/>
      </w:r>
      <w:r w:rsidRPr="000C7927">
        <w:rPr>
          <w:kern w:val="2"/>
          <w14:ligatures w14:val="standardContextual"/>
        </w:rPr>
        <w:t>, a najmä na jeho článok 5,</w:t>
      </w:r>
    </w:p>
    <w:p w14:paraId="366A7B0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2019/715 z 18. decembra 2018 o rámcovom nariadení o rozpočtových pravidlách pre subjekty zriadené podľa ZFEÚ a Zmluvy o </w:t>
      </w:r>
      <w:proofErr w:type="spellStart"/>
      <w:r w:rsidRPr="000C7927">
        <w:rPr>
          <w:kern w:val="2"/>
          <w14:ligatures w14:val="standardContextual"/>
        </w:rPr>
        <w:t>Euratome</w:t>
      </w:r>
      <w:proofErr w:type="spellEnd"/>
      <w:r w:rsidRPr="000C7927">
        <w:rPr>
          <w:kern w:val="2"/>
          <w14:ligatures w14:val="standardContextual"/>
        </w:rPr>
        <w:t xml:space="preserve"> a uvedené v článku 70 nariadenia Európskeho parlamentu a Rady </w:t>
      </w:r>
      <w:r w:rsidRPr="000C7927">
        <w:rPr>
          <w:kern w:val="2"/>
          <w14:ligatures w14:val="standardContextual"/>
        </w:rPr>
        <w:lastRenderedPageBreak/>
        <w:t xml:space="preserve">(EÚ,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72"/>
      </w:r>
      <w:r w:rsidRPr="000C7927">
        <w:rPr>
          <w:kern w:val="2"/>
          <w14:ligatures w14:val="standardContextual"/>
        </w:rPr>
        <w:t>,</w:t>
      </w:r>
    </w:p>
    <w:p w14:paraId="2DFDD5F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102 a prílohu V k rokovaciemu poriadku,</w:t>
      </w:r>
    </w:p>
    <w:p w14:paraId="7E054CB3"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2C5C5A2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6DFC409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schvaľuje účtovnú závierku spoločného podniku pre ITER a rozvoj energie jadrovej syntézy za rozpočtový rok 2023;</w:t>
      </w:r>
    </w:p>
    <w:p w14:paraId="0146F5A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poveruje svoju predsedníčku, aby postúpila toto rozhodnutie riaditeľovi Európskeho spoločného podniku pre ITER a rozvoj energie jadrovej syntézy, Rade, Komisii a Dvoru audítorov a aby zabezpečila jeho uverejnenie v </w:t>
      </w:r>
      <w:r w:rsidRPr="000C7927">
        <w:rPr>
          <w:i/>
          <w:kern w:val="2"/>
          <w14:ligatures w14:val="standardContextual"/>
        </w:rPr>
        <w:t>Úradnom vestníku Európskej únie</w:t>
      </w:r>
      <w:r w:rsidRPr="000C7927">
        <w:rPr>
          <w:kern w:val="2"/>
          <w14:ligatures w14:val="standardContextual"/>
        </w:rPr>
        <w:t xml:space="preserve"> (v sérii L).</w:t>
      </w:r>
    </w:p>
    <w:p w14:paraId="1A4B4AB5"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557DD453" w14:textId="46B84844" w:rsidR="000C7927" w:rsidRPr="000C7927" w:rsidRDefault="000C7927" w:rsidP="000C7927">
      <w:pPr>
        <w:pStyle w:val="ATHeading3"/>
      </w:pPr>
      <w:r w:rsidRPr="000C7927">
        <w:lastRenderedPageBreak/>
        <w:t>13. Rozhodnutie Európskeho parlamentu zo 7. mája 2025 o absolutóriu za plnenie rozpočtu spoločného podniku Globálne zdravie EDCTP3 za rozpočtový rok 2023 (2024/2031(DEC))</w:t>
      </w:r>
    </w:p>
    <w:p w14:paraId="57475FF0" w14:textId="66A5E827"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68384C0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Globálne zdravie EDCTP3 za rozpočtový rok 2023,</w:t>
      </w:r>
    </w:p>
    <w:p w14:paraId="52C8D00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73"/>
      </w:r>
      <w:r w:rsidRPr="000C7927">
        <w:rPr>
          <w:kern w:val="2"/>
          <w14:ligatures w14:val="standardContextual"/>
        </w:rPr>
        <w:t>,</w:t>
      </w:r>
    </w:p>
    <w:p w14:paraId="7CE26F1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74"/>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15CBD20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4745B50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583DCC5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75"/>
      </w:r>
      <w:r w:rsidRPr="000C7927">
        <w:rPr>
          <w:kern w:val="2"/>
          <w14:ligatures w14:val="standardContextual"/>
        </w:rPr>
        <w:t>, a najmä na jeho článok 71,</w:t>
      </w:r>
    </w:p>
    <w:p w14:paraId="55D6064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76"/>
      </w:r>
      <w:r w:rsidRPr="000C7927">
        <w:rPr>
          <w:kern w:val="2"/>
          <w14:ligatures w14:val="standardContextual"/>
        </w:rPr>
        <w:t xml:space="preserve">, a najmä na jeho článok 71, </w:t>
      </w:r>
    </w:p>
    <w:p w14:paraId="0EBC446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77"/>
      </w:r>
      <w:r w:rsidRPr="000C7927">
        <w:rPr>
          <w:kern w:val="2"/>
          <w14:ligatures w14:val="standardContextual"/>
        </w:rPr>
        <w:t>, a najmä na jeho článok 26,</w:t>
      </w:r>
    </w:p>
    <w:p w14:paraId="67994FD3"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78"/>
      </w:r>
      <w:r w:rsidRPr="000C7927">
        <w:rPr>
          <w:kern w:val="2"/>
          <w14:ligatures w14:val="standardContextual"/>
        </w:rPr>
        <w:t>,</w:t>
      </w:r>
    </w:p>
    <w:p w14:paraId="7F98502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článok 102 a prílohu V k rokovaciemu poriadku,</w:t>
      </w:r>
    </w:p>
    <w:p w14:paraId="1146F33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69ECFD6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43C2981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udeľuje výkonnému riaditeľovi spoločného podniku Globálne zdravie EDCTP3 absolutórium za plnenie rozpočtu spoločného podniku za rozpočtový rok 2023;</w:t>
      </w:r>
    </w:p>
    <w:p w14:paraId="1B514FE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uvádza svoje poznámky v priloženom uznesení;</w:t>
      </w:r>
    </w:p>
    <w:p w14:paraId="1972DE1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w:t>
      </w:r>
      <w:r w:rsidRPr="000C7927">
        <w:rPr>
          <w:kern w:val="2"/>
          <w14:ligatures w14:val="standardContextual"/>
        </w:rPr>
        <w:tab/>
        <w:t>poveruje svoju predsedníčku, aby postúpila toto rozhodnutie a uznesenie, ktoré je jeho neoddeliteľnou súčasťou, výkonnému riaditeľovi spoločného podniku Globálne zdravie EDCTP3, Rade, Komisii a Dvoru audítorov a aby zabezpečila ich uverejnenie v </w:t>
      </w:r>
      <w:r w:rsidRPr="000C7927">
        <w:rPr>
          <w:i/>
          <w:kern w:val="2"/>
          <w14:ligatures w14:val="standardContextual"/>
        </w:rPr>
        <w:t>Úradnom vestníku Európskej únie</w:t>
      </w:r>
      <w:r w:rsidRPr="000C7927">
        <w:rPr>
          <w:kern w:val="2"/>
          <w14:ligatures w14:val="standardContextual"/>
        </w:rPr>
        <w:t xml:space="preserve"> (v sérii L).</w:t>
      </w:r>
    </w:p>
    <w:p w14:paraId="66BF8A72"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5D2F330B" w14:textId="26B9323F" w:rsidR="000C7927" w:rsidRPr="000C7927" w:rsidRDefault="000C7927" w:rsidP="000C7927">
      <w:pPr>
        <w:pStyle w:val="ATHeading3"/>
      </w:pPr>
      <w:r w:rsidRPr="000C7927">
        <w:lastRenderedPageBreak/>
        <w:t>14. Rozhodnutie Európskeho parlamentu zo 7. mája 2025 o účtovnej závierke spoločného podniku Globálne zdravie EDCTP3 za rozpočtový rok 2023 (2024/2031(DEC))</w:t>
      </w:r>
    </w:p>
    <w:p w14:paraId="76C621F5" w14:textId="65899C7B"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2A11A29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konečnú ročnú účtovnú závierku spoločného podniku Globálne zdravie </w:t>
      </w:r>
      <w:r w:rsidRPr="000C7927">
        <w:rPr>
          <w:bCs/>
          <w:kern w:val="2"/>
          <w:lang w:eastAsia="fr-FR"/>
          <w14:ligatures w14:val="standardContextual"/>
        </w:rPr>
        <w:t>EDCTP3</w:t>
      </w:r>
      <w:r w:rsidRPr="000C7927">
        <w:rPr>
          <w:kern w:val="2"/>
          <w14:ligatures w14:val="standardContextual"/>
        </w:rPr>
        <w:t xml:space="preserve"> za rozpočtový rok 2023,</w:t>
      </w:r>
    </w:p>
    <w:p w14:paraId="0197A55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79"/>
      </w:r>
      <w:r w:rsidRPr="000C7927">
        <w:rPr>
          <w:kern w:val="2"/>
          <w14:ligatures w14:val="standardContextual"/>
        </w:rPr>
        <w:t>,</w:t>
      </w:r>
    </w:p>
    <w:p w14:paraId="31ADF72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80"/>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79F088F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1BC418C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4CF6873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81"/>
      </w:r>
      <w:r w:rsidRPr="000C7927">
        <w:rPr>
          <w:kern w:val="2"/>
          <w14:ligatures w14:val="standardContextual"/>
        </w:rPr>
        <w:t>, a najmä na jeho článok 71,</w:t>
      </w:r>
    </w:p>
    <w:p w14:paraId="28AF3B47"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82"/>
      </w:r>
      <w:r w:rsidRPr="000C7927">
        <w:rPr>
          <w:kern w:val="2"/>
          <w14:ligatures w14:val="standardContextual"/>
        </w:rPr>
        <w:t xml:space="preserve">, a najmä na jeho článok 71, </w:t>
      </w:r>
    </w:p>
    <w:p w14:paraId="6581DFE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83"/>
      </w:r>
      <w:r w:rsidRPr="000C7927">
        <w:rPr>
          <w:kern w:val="2"/>
          <w14:ligatures w14:val="standardContextual"/>
        </w:rPr>
        <w:t>, a najmä na jeho článok 26,</w:t>
      </w:r>
    </w:p>
    <w:p w14:paraId="42772A8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delegované nariadenie Komisie (EÚ) 2019/887 z 13. marca 2019 o vzorovom nariadení o rozpočtových pravidlách pre subjekty verejno</w:t>
      </w:r>
      <w:r w:rsidRPr="000C7927">
        <w:rPr>
          <w:kern w:val="2"/>
          <w14:ligatures w14:val="standardContextual"/>
        </w:rPr>
        <w:noBreakHyphen/>
        <w:t xml:space="preserve">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84"/>
      </w:r>
      <w:r w:rsidRPr="000C7927">
        <w:rPr>
          <w:kern w:val="2"/>
          <w14:ligatures w14:val="standardContextual"/>
        </w:rPr>
        <w:t>,</w:t>
      </w:r>
    </w:p>
    <w:p w14:paraId="70A6A0A7"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článok 102 a prílohu V k rokovaciemu poriadku,</w:t>
      </w:r>
    </w:p>
    <w:p w14:paraId="436E284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740CA860"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24A450A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 xml:space="preserve">schvaľuje účtovnú závierku spoločného podniku Globálne zdravie </w:t>
      </w:r>
      <w:r w:rsidRPr="000C7927">
        <w:rPr>
          <w:bCs/>
          <w:kern w:val="2"/>
          <w:lang w:eastAsia="fr-FR"/>
          <w14:ligatures w14:val="standardContextual"/>
        </w:rPr>
        <w:t>EDCTP3</w:t>
      </w:r>
      <w:r w:rsidRPr="000C7927">
        <w:rPr>
          <w:kern w:val="2"/>
          <w14:ligatures w14:val="standardContextual"/>
        </w:rPr>
        <w:t xml:space="preserve"> za rozpočtový rok 2023;</w:t>
      </w:r>
    </w:p>
    <w:p w14:paraId="4EB5FDB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 xml:space="preserve">poveruje svoju predsedníčku, aby postúpila toto rozhodnutie výkonnému riaditeľovi spoločného podniku Globálne zdravie </w:t>
      </w:r>
      <w:r w:rsidRPr="000C7927">
        <w:rPr>
          <w:bCs/>
          <w:kern w:val="2"/>
          <w:lang w:eastAsia="fr-FR"/>
          <w14:ligatures w14:val="standardContextual"/>
        </w:rPr>
        <w:t>EDCTP3</w:t>
      </w:r>
      <w:r w:rsidRPr="000C7927">
        <w:rPr>
          <w:kern w:val="2"/>
          <w14:ligatures w14:val="standardContextual"/>
        </w:rPr>
        <w:t>, Rade, Komisii a Dvoru audítorov a aby zabezpečila jeho uverejnenie v </w:t>
      </w:r>
      <w:r w:rsidRPr="000C7927">
        <w:rPr>
          <w:i/>
          <w:kern w:val="2"/>
          <w14:ligatures w14:val="standardContextual"/>
        </w:rPr>
        <w:t>Úradnom vestníku Európskej únie</w:t>
      </w:r>
      <w:r w:rsidRPr="000C7927">
        <w:rPr>
          <w:kern w:val="2"/>
          <w14:ligatures w14:val="standardContextual"/>
        </w:rPr>
        <w:t xml:space="preserve"> (v sérii L).</w:t>
      </w:r>
    </w:p>
    <w:p w14:paraId="36D41FEA"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02D92F33" w14:textId="77777777" w:rsidR="000C7927" w:rsidRPr="000C7927" w:rsidRDefault="000C7927" w:rsidP="000C7927">
      <w:pPr>
        <w:pStyle w:val="ATHeading3"/>
      </w:pPr>
      <w:r w:rsidRPr="000C7927">
        <w:lastRenderedPageBreak/>
        <w:t>15. Rozhodnutie Európskeho parlamentu zo 7. mája 2025 o absolutóriu za plnenie rozpočtu spoločného podniku pre iniciatívu Inovatívne zdravotníctvo za rozpočtový rok 2023 (2024/2031(DEC))</w:t>
      </w:r>
    </w:p>
    <w:p w14:paraId="60F46D2D" w14:textId="51F4ECDD"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1C0D334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iniciatívu Inovatívne zdravotníctvo za rozpočtový rok 2023,</w:t>
      </w:r>
    </w:p>
    <w:p w14:paraId="4175637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85"/>
      </w:r>
      <w:r w:rsidRPr="000C7927">
        <w:rPr>
          <w:kern w:val="2"/>
          <w14:ligatures w14:val="standardContextual"/>
        </w:rPr>
        <w:t>,</w:t>
      </w:r>
    </w:p>
    <w:p w14:paraId="4F76A8C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86"/>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163673A7"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41FF8377"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0263561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87"/>
      </w:r>
      <w:r w:rsidRPr="000C7927">
        <w:rPr>
          <w:kern w:val="2"/>
          <w14:ligatures w14:val="standardContextual"/>
        </w:rPr>
        <w:t>, a najmä na jeho článok 71,</w:t>
      </w:r>
    </w:p>
    <w:p w14:paraId="37EB168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88"/>
      </w:r>
      <w:r w:rsidRPr="000C7927">
        <w:rPr>
          <w:kern w:val="2"/>
          <w14:ligatures w14:val="standardContextual"/>
        </w:rPr>
        <w:t xml:space="preserve">, a najmä na jeho článok 71, </w:t>
      </w:r>
    </w:p>
    <w:p w14:paraId="50CC5F9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89"/>
      </w:r>
      <w:r w:rsidRPr="000C7927">
        <w:rPr>
          <w:kern w:val="2"/>
          <w14:ligatures w14:val="standardContextual"/>
        </w:rPr>
        <w:t>, a najmä na jeho článok 26,</w:t>
      </w:r>
    </w:p>
    <w:p w14:paraId="4B7CCC5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delegované nariadenie Komisie (EÚ) 2019/887 z 13. marca 2019 o vzorovom nariadení o rozpočtových pravidlách pre subjekty verejno</w:t>
      </w:r>
      <w:r w:rsidRPr="000C7927">
        <w:rPr>
          <w:kern w:val="2"/>
          <w14:ligatures w14:val="standardContextual"/>
        </w:rPr>
        <w:noBreakHyphen/>
        <w:t xml:space="preserve">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90"/>
      </w:r>
      <w:r w:rsidRPr="000C7927">
        <w:rPr>
          <w:kern w:val="2"/>
          <w14:ligatures w14:val="standardContextual"/>
        </w:rPr>
        <w:t>,</w:t>
      </w:r>
    </w:p>
    <w:p w14:paraId="0DB842A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článok 102 a prílohu V k rokovaciemu poriadku,</w:t>
      </w:r>
    </w:p>
    <w:p w14:paraId="70E1F61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27AA4F4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4BB14ED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udeľuje výkonnému riaditeľovi spoločného podniku pre iniciatívu Inovatívne zdravotníctvo absolutórium za plnenie rozpočtu spoločného podniku za rozpočtový rok 2023;</w:t>
      </w:r>
    </w:p>
    <w:p w14:paraId="6C2B1A7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uvádza svoje poznámky v priloženom uznesení;</w:t>
      </w:r>
    </w:p>
    <w:p w14:paraId="4CA46C67"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w:t>
      </w:r>
      <w:r w:rsidRPr="000C7927">
        <w:rPr>
          <w:kern w:val="2"/>
          <w14:ligatures w14:val="standardContextual"/>
        </w:rPr>
        <w:tab/>
        <w:t>poveruje svoju predsedníčku, aby postúpila toto rozhodnutie a uznesenie, ktoré je jeho neoddeliteľnou súčasťou, výkonnému riaditeľovi spoločného podniku pre iniciatívu Inovatívne zdravotníctvo, Rade, Komisii a Dvoru audítorov a aby zabezpečila ich uverejnenie v </w:t>
      </w:r>
      <w:r w:rsidRPr="000C7927">
        <w:rPr>
          <w:i/>
          <w:kern w:val="2"/>
          <w14:ligatures w14:val="standardContextual"/>
        </w:rPr>
        <w:t>Úradnom vestníku Európskej únie</w:t>
      </w:r>
      <w:r w:rsidRPr="000C7927">
        <w:rPr>
          <w:kern w:val="2"/>
          <w14:ligatures w14:val="standardContextual"/>
        </w:rPr>
        <w:t xml:space="preserve"> (v sérii L).</w:t>
      </w:r>
    </w:p>
    <w:p w14:paraId="5ADF8568"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4C0DC664" w14:textId="77777777" w:rsidR="000C7927" w:rsidRPr="000C7927" w:rsidRDefault="000C7927" w:rsidP="000C7927">
      <w:pPr>
        <w:pStyle w:val="ATHeading3"/>
      </w:pPr>
      <w:r w:rsidRPr="000C7927">
        <w:lastRenderedPageBreak/>
        <w:t>16. Rozhodnutie Európskeho parlamentu zo 7. mája 2025 o účtovnej závierke spoločného podniku pre iniciatívu Inovatívne zdravotníctvo za rozpočtový rok 2023 (2024/2031(DEC))</w:t>
      </w:r>
    </w:p>
    <w:p w14:paraId="4780BB7A" w14:textId="0FFDE031"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30A5064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iniciatívu Inovatívne zdravotníctvo za rozpočtový rok 2023,</w:t>
      </w:r>
    </w:p>
    <w:p w14:paraId="45EF565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91"/>
      </w:r>
      <w:r w:rsidRPr="000C7927">
        <w:rPr>
          <w:kern w:val="2"/>
          <w14:ligatures w14:val="standardContextual"/>
        </w:rPr>
        <w:t>,</w:t>
      </w:r>
    </w:p>
    <w:p w14:paraId="09CF50E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92"/>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71602BF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1184D3A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2FB90EA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93"/>
      </w:r>
      <w:r w:rsidRPr="000C7927">
        <w:rPr>
          <w:kern w:val="2"/>
          <w14:ligatures w14:val="standardContextual"/>
        </w:rPr>
        <w:t>, a najmä na jeho článok 71,</w:t>
      </w:r>
    </w:p>
    <w:p w14:paraId="6974EE9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94"/>
      </w:r>
      <w:r w:rsidRPr="000C7927">
        <w:rPr>
          <w:kern w:val="2"/>
          <w14:ligatures w14:val="standardContextual"/>
        </w:rPr>
        <w:t xml:space="preserve">, a najmä na jeho článok 71, </w:t>
      </w:r>
    </w:p>
    <w:p w14:paraId="45F21EB3"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95"/>
      </w:r>
      <w:r w:rsidRPr="000C7927">
        <w:rPr>
          <w:kern w:val="2"/>
          <w14:ligatures w14:val="standardContextual"/>
        </w:rPr>
        <w:t>, a najmä na jeho článok 26,</w:t>
      </w:r>
    </w:p>
    <w:p w14:paraId="74909EE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96"/>
      </w:r>
      <w:r w:rsidRPr="000C7927">
        <w:rPr>
          <w:kern w:val="2"/>
          <w14:ligatures w14:val="standardContextual"/>
        </w:rPr>
        <w:t>,</w:t>
      </w:r>
    </w:p>
    <w:p w14:paraId="6B2DEB7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článok 102 a prílohu V k rokovaciemu poriadku,</w:t>
      </w:r>
    </w:p>
    <w:p w14:paraId="5BB05BA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17B8DA8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29A4441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schvaľuje účtovnú závierku spoločného podniku pre iniciatívu Inovatívne zdravotníctvo za rozpočtový rok 2023;</w:t>
      </w:r>
    </w:p>
    <w:p w14:paraId="1DD5C290"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poveruje svoju predsedníčku, aby postúpila toto rozhodnutie výkonnému riaditeľovi spoločného podniku pre iniciatívu Inovatívne zdravotníctvo, Rade, Komisii a Dvoru audítorov a aby zabezpečila jeho uverejnenie v </w:t>
      </w:r>
      <w:r w:rsidRPr="000C7927">
        <w:rPr>
          <w:i/>
          <w:kern w:val="2"/>
          <w14:ligatures w14:val="standardContextual"/>
        </w:rPr>
        <w:t>Úradnom vestníku Európskej únie</w:t>
      </w:r>
      <w:r w:rsidRPr="000C7927">
        <w:rPr>
          <w:kern w:val="2"/>
          <w14:ligatures w14:val="standardContextual"/>
        </w:rPr>
        <w:t xml:space="preserve"> (v sérii L).</w:t>
      </w:r>
    </w:p>
    <w:p w14:paraId="2C95C05E"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08019684" w14:textId="77777777" w:rsidR="000C7927" w:rsidRPr="000C7927" w:rsidRDefault="000C7927" w:rsidP="000C7927">
      <w:pPr>
        <w:pStyle w:val="ATHeading3"/>
      </w:pPr>
      <w:r w:rsidRPr="000C7927">
        <w:lastRenderedPageBreak/>
        <w:t>17. Rozhodnutie Európskeho parlamentu zo 7. mája 2025 o absolutóriu za plnenie rozpočtu spoločného podniku pre čipy (do 21. septembra 2023 spoločný podnik pre kľúčové digitálne technológie) za rozpočtový rok 2023 (2024/2031(DEC))</w:t>
      </w:r>
    </w:p>
    <w:p w14:paraId="3FF7FA8E" w14:textId="0A84F423"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2753E0B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čipy za rozpočtový rok 2023,</w:t>
      </w:r>
    </w:p>
    <w:p w14:paraId="57DFCE9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97"/>
      </w:r>
      <w:r w:rsidRPr="000C7927">
        <w:rPr>
          <w:kern w:val="2"/>
          <w14:ligatures w14:val="standardContextual"/>
        </w:rPr>
        <w:t>,</w:t>
      </w:r>
    </w:p>
    <w:p w14:paraId="4005BDC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98"/>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374ED20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65DC936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5A11064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99"/>
      </w:r>
      <w:r w:rsidRPr="000C7927">
        <w:rPr>
          <w:kern w:val="2"/>
          <w14:ligatures w14:val="standardContextual"/>
        </w:rPr>
        <w:t>, a najmä na jeho článok 71,</w:t>
      </w:r>
    </w:p>
    <w:p w14:paraId="5A2BB74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100"/>
      </w:r>
      <w:r w:rsidRPr="000C7927">
        <w:rPr>
          <w:kern w:val="2"/>
          <w14:ligatures w14:val="standardContextual"/>
        </w:rPr>
        <w:t xml:space="preserve">, a najmä na jeho článok 71, </w:t>
      </w:r>
    </w:p>
    <w:p w14:paraId="5A22E99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101"/>
      </w:r>
      <w:r w:rsidRPr="000C7927">
        <w:rPr>
          <w:kern w:val="2"/>
          <w14:ligatures w14:val="standardContextual"/>
        </w:rPr>
        <w:t>, a najmä na jeho článok 26,</w:t>
      </w:r>
    </w:p>
    <w:p w14:paraId="08676A8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2023/1782 z 25. júla 2023, ktorým sa mení nariadenie (EÚ) 2021/2085, ktorým sa zriaďujú spoločné podniky v rámci programu Horizont Európa, pokiaľ ide o spoločný podnik pre čipy</w:t>
      </w:r>
      <w:r w:rsidRPr="000C7927">
        <w:rPr>
          <w:kern w:val="2"/>
          <w:vertAlign w:val="superscript"/>
          <w14:ligatures w14:val="standardContextual"/>
        </w:rPr>
        <w:footnoteReference w:id="102"/>
      </w:r>
      <w:r w:rsidRPr="000C7927">
        <w:rPr>
          <w:kern w:val="2"/>
          <w14:ligatures w14:val="standardContextual"/>
        </w:rPr>
        <w:t>,</w:t>
      </w:r>
    </w:p>
    <w:p w14:paraId="026E3A0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2019/887 z 13. marca 2019 o vzorovom nariadení o rozpočtových pravidlách pre subjekty verejno-súkromného </w:t>
      </w:r>
      <w:r w:rsidRPr="000C7927">
        <w:rPr>
          <w:kern w:val="2"/>
          <w14:ligatures w14:val="standardContextual"/>
        </w:rPr>
        <w:lastRenderedPageBreak/>
        <w:t xml:space="preserve">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103"/>
      </w:r>
      <w:r w:rsidRPr="000C7927">
        <w:rPr>
          <w:kern w:val="2"/>
          <w14:ligatures w14:val="standardContextual"/>
        </w:rPr>
        <w:t>,</w:t>
      </w:r>
    </w:p>
    <w:p w14:paraId="59B5AE0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102 a prílohu V k rokovaciemu poriadku,</w:t>
      </w:r>
    </w:p>
    <w:p w14:paraId="29E15FC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4624A9C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0792895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udeľuje výkonnému riaditeľovi spoločného podniku pre čipy absolutórium za plnenie rozpočtu spoločného podniku za rozpočtový rok 2023;</w:t>
      </w:r>
    </w:p>
    <w:p w14:paraId="1BAAC79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uvádza svoje poznámky v priloženom uznesení;</w:t>
      </w:r>
    </w:p>
    <w:p w14:paraId="01B7933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w:t>
      </w:r>
      <w:r w:rsidRPr="000C7927">
        <w:rPr>
          <w:kern w:val="2"/>
          <w14:ligatures w14:val="standardContextual"/>
        </w:rPr>
        <w:tab/>
        <w:t>poveruje svoju predsedníčku, aby postúpila toto rozhodnutie a uznesenie, ktoré je jeho neoddeliteľnou súčasťou, výkonnému riaditeľovi spoločného podniku pre čipy, Rade, Komisii a Dvoru audítorov a aby zabezpečila ich uverejnenie v </w:t>
      </w:r>
      <w:r w:rsidRPr="000C7927">
        <w:rPr>
          <w:i/>
          <w:kern w:val="2"/>
          <w14:ligatures w14:val="standardContextual"/>
        </w:rPr>
        <w:t xml:space="preserve">Úradnom vestníku Európskej únie </w:t>
      </w:r>
      <w:r w:rsidRPr="000C7927">
        <w:rPr>
          <w:kern w:val="2"/>
          <w14:ligatures w14:val="standardContextual"/>
        </w:rPr>
        <w:t>(v sérii L).</w:t>
      </w:r>
    </w:p>
    <w:p w14:paraId="7A96A680"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007E6555" w14:textId="77777777" w:rsidR="000C7927" w:rsidRPr="000C7927" w:rsidRDefault="000C7927" w:rsidP="000C7927">
      <w:pPr>
        <w:pStyle w:val="ATHeading3"/>
      </w:pPr>
      <w:r w:rsidRPr="000C7927">
        <w:lastRenderedPageBreak/>
        <w:t>18. Rozhodnutie Európskeho parlamentu zo 7. mája 2025 o účtovnej závierke spoločného podniku pre čipy (do 21. septembra 2023 spoločný podnik pre kľúčové digitálne technológie) za rozpočtový rok 2023 (2024/2031(DEC))</w:t>
      </w:r>
    </w:p>
    <w:p w14:paraId="0C02166B" w14:textId="11D01EAE"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4722C49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čipy za rozpočtový rok 2023,</w:t>
      </w:r>
    </w:p>
    <w:p w14:paraId="1BDD93C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104"/>
      </w:r>
      <w:r w:rsidRPr="000C7927">
        <w:rPr>
          <w:kern w:val="2"/>
          <w14:ligatures w14:val="standardContextual"/>
        </w:rPr>
        <w:t>,</w:t>
      </w:r>
    </w:p>
    <w:p w14:paraId="1E7B78F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105"/>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01DC414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79C0CDF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74AAEED3"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106"/>
      </w:r>
      <w:r w:rsidRPr="000C7927">
        <w:rPr>
          <w:kern w:val="2"/>
          <w14:ligatures w14:val="standardContextual"/>
        </w:rPr>
        <w:t>, a najmä na jeho článok 71,</w:t>
      </w:r>
    </w:p>
    <w:p w14:paraId="5C9900E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107"/>
      </w:r>
      <w:r w:rsidRPr="000C7927">
        <w:rPr>
          <w:kern w:val="2"/>
          <w14:ligatures w14:val="standardContextual"/>
        </w:rPr>
        <w:t xml:space="preserve">, a najmä na jeho článok 71, </w:t>
      </w:r>
    </w:p>
    <w:p w14:paraId="74C549B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108"/>
      </w:r>
      <w:r w:rsidRPr="000C7927">
        <w:rPr>
          <w:kern w:val="2"/>
          <w14:ligatures w14:val="standardContextual"/>
        </w:rPr>
        <w:t>, a najmä na jeho článok 26,</w:t>
      </w:r>
    </w:p>
    <w:p w14:paraId="4FA974C7"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2023/1782 z 25. júla 2023, ktorým sa mení nariadenie (EÚ) 2021/2085, ktorým sa zriaďujú spoločné podniky v rámci programu Horizont Európa, pokiaľ ide o spoločný podnik pre čipy</w:t>
      </w:r>
      <w:r w:rsidRPr="000C7927">
        <w:rPr>
          <w:kern w:val="2"/>
          <w:vertAlign w:val="superscript"/>
          <w14:ligatures w14:val="standardContextual"/>
        </w:rPr>
        <w:footnoteReference w:id="109"/>
      </w:r>
      <w:r w:rsidRPr="000C7927">
        <w:rPr>
          <w:kern w:val="2"/>
          <w14:ligatures w14:val="standardContextual"/>
        </w:rPr>
        <w:t>,</w:t>
      </w:r>
    </w:p>
    <w:p w14:paraId="32F1CFD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2019/887 z 13. marca 2019 o vzorovom nariadení o rozpočtových pravidlách pre subjekty verejno-súkromného </w:t>
      </w:r>
      <w:r w:rsidRPr="000C7927">
        <w:rPr>
          <w:kern w:val="2"/>
          <w14:ligatures w14:val="standardContextual"/>
        </w:rPr>
        <w:lastRenderedPageBreak/>
        <w:t xml:space="preserve">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110"/>
      </w:r>
      <w:r w:rsidRPr="000C7927">
        <w:rPr>
          <w:kern w:val="2"/>
          <w14:ligatures w14:val="standardContextual"/>
        </w:rPr>
        <w:t>,</w:t>
      </w:r>
    </w:p>
    <w:p w14:paraId="01BEFA8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102 a prílohu V k rokovaciemu poriadku,</w:t>
      </w:r>
    </w:p>
    <w:p w14:paraId="169E6A0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56559B7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2D39A1F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schvaľuje účtovnú závierku spoločného podniku pre čipy za rozpočtový rok 2023;</w:t>
      </w:r>
    </w:p>
    <w:p w14:paraId="1708092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poveruje svoju predsedníčku, aby postúpila toto rozhodnutie výkonnému riaditeľovi spoločného podniku pre čipy, Rade, Komisii a Dvoru audítorov a aby zabezpečila jeho uverejnenie v </w:t>
      </w:r>
      <w:r w:rsidRPr="000C7927">
        <w:rPr>
          <w:i/>
          <w:kern w:val="2"/>
          <w14:ligatures w14:val="standardContextual"/>
        </w:rPr>
        <w:t>Úradnom vestníku Európskej únie</w:t>
      </w:r>
      <w:r w:rsidRPr="000C7927">
        <w:rPr>
          <w:kern w:val="2"/>
          <w14:ligatures w14:val="standardContextual"/>
        </w:rPr>
        <w:t xml:space="preserve"> (v sérii L).</w:t>
      </w:r>
    </w:p>
    <w:p w14:paraId="2A53F762"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724638C0" w14:textId="77777777" w:rsidR="000C7927" w:rsidRPr="000C7927" w:rsidRDefault="000C7927" w:rsidP="000C7927">
      <w:pPr>
        <w:pStyle w:val="ATHeading3"/>
      </w:pPr>
      <w:r w:rsidRPr="000C7927">
        <w:lastRenderedPageBreak/>
        <w:t>19. Rozhodnutie Európskeho parlamentu zo 7. mája 2025 o absolutóriu za plnenie rozpočtu spoločného podniku pre výskum manažmentu letovej prevádzky jednotného európskeho neba 3 za rozpočtový rok 2023 (2024/2031(DEC))</w:t>
      </w:r>
    </w:p>
    <w:p w14:paraId="0AFC08E7" w14:textId="421CC058"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01EE2FC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výskum manažmentu letovej prevádzky jednotného európskeho neba 3 za rozpočtový rok 2023,</w:t>
      </w:r>
    </w:p>
    <w:p w14:paraId="29ACB9E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111"/>
      </w:r>
      <w:r w:rsidRPr="000C7927">
        <w:rPr>
          <w:kern w:val="2"/>
          <w14:ligatures w14:val="standardContextual"/>
        </w:rPr>
        <w:t>,</w:t>
      </w:r>
    </w:p>
    <w:p w14:paraId="62653C2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112"/>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60C23F9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170F963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4C02CBE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113"/>
      </w:r>
      <w:r w:rsidRPr="000C7927">
        <w:rPr>
          <w:kern w:val="2"/>
          <w14:ligatures w14:val="standardContextual"/>
        </w:rPr>
        <w:t>, a najmä na jeho článok 71,</w:t>
      </w:r>
    </w:p>
    <w:p w14:paraId="2255CD97"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114"/>
      </w:r>
      <w:r w:rsidRPr="000C7927">
        <w:rPr>
          <w:kern w:val="2"/>
          <w14:ligatures w14:val="standardContextual"/>
        </w:rPr>
        <w:t xml:space="preserve">, a najmä na jeho článok 71, </w:t>
      </w:r>
    </w:p>
    <w:p w14:paraId="50BCDDD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115"/>
      </w:r>
      <w:r w:rsidRPr="000C7927">
        <w:rPr>
          <w:kern w:val="2"/>
          <w14:ligatures w14:val="standardContextual"/>
        </w:rPr>
        <w:t>, a najmä na jeho článok 26,</w:t>
      </w:r>
    </w:p>
    <w:p w14:paraId="78966B1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116"/>
      </w:r>
      <w:r w:rsidRPr="000C7927">
        <w:rPr>
          <w:kern w:val="2"/>
          <w14:ligatures w14:val="standardContextual"/>
        </w:rPr>
        <w:t>,</w:t>
      </w:r>
    </w:p>
    <w:p w14:paraId="3D97858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článok 102 a prílohu V k rokovaciemu poriadku,</w:t>
      </w:r>
    </w:p>
    <w:p w14:paraId="78EB92F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0071192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0DDE620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udeľuje absolutórium výkonnému riaditeľovi spoločného podniku pre výskum manažmentu letovej prevádzky jednotného európskeho neba 3 za plnenie rozpočtu spoločného podniku za rozpočtový rok 2023;</w:t>
      </w:r>
    </w:p>
    <w:p w14:paraId="276297B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uvádza svoje poznámky v priloženom uznesení;</w:t>
      </w:r>
    </w:p>
    <w:p w14:paraId="0C63BE5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w:t>
      </w:r>
      <w:r w:rsidRPr="000C7927">
        <w:rPr>
          <w:kern w:val="2"/>
          <w14:ligatures w14:val="standardContextual"/>
        </w:rPr>
        <w:tab/>
        <w:t>poveruje svoju predsedníčku, aby postúpila toto rozhodnutie a uznesenie, ktoré je jeho neoddeliteľnou súčasťou, výkonnému riaditeľovi spoločného podniku pre výskum manažmentu letovej prevádzky jednotného európskeho neba 3, Rade, Komisii a Dvoru audítorov a aby zabezpečila ich uverejnenie v </w:t>
      </w:r>
      <w:r w:rsidRPr="000C7927">
        <w:rPr>
          <w:i/>
          <w:kern w:val="2"/>
          <w14:ligatures w14:val="standardContextual"/>
        </w:rPr>
        <w:t>Úradnom vestníku Európskej únie</w:t>
      </w:r>
      <w:r w:rsidRPr="000C7927">
        <w:rPr>
          <w:kern w:val="2"/>
          <w14:ligatures w14:val="standardContextual"/>
        </w:rPr>
        <w:t xml:space="preserve"> (v sérii L).</w:t>
      </w:r>
    </w:p>
    <w:p w14:paraId="69899975"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5ED10624" w14:textId="77777777" w:rsidR="000C7927" w:rsidRPr="000C7927" w:rsidRDefault="000C7927" w:rsidP="000C7927">
      <w:pPr>
        <w:pStyle w:val="ATHeading3"/>
      </w:pPr>
      <w:r w:rsidRPr="000C7927">
        <w:lastRenderedPageBreak/>
        <w:t>20. Rozhodnutie Európskeho parlamentu zo 7. mája 2025 o účtovnej závierke spoločného podniku pre výskum manažmentu letovej prevádzky jednotného európskeho neba 3 za rozpočtový rok 2023 (2024/2031(DEC))</w:t>
      </w:r>
    </w:p>
    <w:p w14:paraId="13E57324" w14:textId="3588C202"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647EDA4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výskum manažmentu letovej prevádzky jednotného európskeho neba 3 za rozpočtový rok 2023,</w:t>
      </w:r>
    </w:p>
    <w:p w14:paraId="7189E54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117"/>
      </w:r>
      <w:r w:rsidRPr="000C7927">
        <w:rPr>
          <w:kern w:val="2"/>
          <w14:ligatures w14:val="standardContextual"/>
        </w:rPr>
        <w:t>,</w:t>
      </w:r>
    </w:p>
    <w:p w14:paraId="522EF50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118"/>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6E7A9B4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70A2EFA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35D1520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119"/>
      </w:r>
      <w:r w:rsidRPr="000C7927">
        <w:rPr>
          <w:kern w:val="2"/>
          <w14:ligatures w14:val="standardContextual"/>
        </w:rPr>
        <w:t>, a najmä na jeho článok 71,</w:t>
      </w:r>
    </w:p>
    <w:p w14:paraId="3A45C25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120"/>
      </w:r>
      <w:r w:rsidRPr="000C7927">
        <w:rPr>
          <w:kern w:val="2"/>
          <w14:ligatures w14:val="standardContextual"/>
        </w:rPr>
        <w:t xml:space="preserve">, a najmä na jeho článok 71, </w:t>
      </w:r>
    </w:p>
    <w:p w14:paraId="213C987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121"/>
      </w:r>
      <w:r w:rsidRPr="000C7927">
        <w:rPr>
          <w:kern w:val="2"/>
          <w14:ligatures w14:val="standardContextual"/>
        </w:rPr>
        <w:t>, a najmä na jeho článok 26,</w:t>
      </w:r>
    </w:p>
    <w:p w14:paraId="2CB1A41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122"/>
      </w:r>
      <w:r w:rsidRPr="000C7927">
        <w:rPr>
          <w:kern w:val="2"/>
          <w14:ligatures w14:val="standardContextual"/>
        </w:rPr>
        <w:t>,</w:t>
      </w:r>
    </w:p>
    <w:p w14:paraId="35F0A2D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článok 102 a prílohu V k rokovaciemu poriadku,</w:t>
      </w:r>
    </w:p>
    <w:p w14:paraId="6BA379C0"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7982B9A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271A16A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schvaľuje účtovnú závierku spoločného podniku pre výskum manažmentu letovej prevádzky jednotného európskeho neba 3 za rozpočtový rok 2023;</w:t>
      </w:r>
    </w:p>
    <w:p w14:paraId="2EE4322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poveruje svoju predsedníčku, aby postúpila toto rozhodnutie výkonnému riaditeľovi spoločného podniku pre výskum manažmentu letovej prevádzky jednotného európskeho neba 3, Rade, Komisii a Dvoru audítorov a aby zabezpečila jeho uverejnenie v </w:t>
      </w:r>
      <w:r w:rsidRPr="000C7927">
        <w:rPr>
          <w:i/>
          <w:kern w:val="2"/>
          <w14:ligatures w14:val="standardContextual"/>
        </w:rPr>
        <w:t>Úradnom vestníku Európskej únie</w:t>
      </w:r>
      <w:r w:rsidRPr="000C7927">
        <w:rPr>
          <w:kern w:val="2"/>
          <w14:ligatures w14:val="standardContextual"/>
        </w:rPr>
        <w:t xml:space="preserve"> (v sérii L).</w:t>
      </w:r>
    </w:p>
    <w:p w14:paraId="0363E293"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29F7D8ED" w14:textId="77777777" w:rsidR="000C7927" w:rsidRPr="000C7927" w:rsidRDefault="000C7927" w:rsidP="000C7927">
      <w:pPr>
        <w:pStyle w:val="ATHeading3"/>
      </w:pPr>
      <w:r w:rsidRPr="000C7927">
        <w:lastRenderedPageBreak/>
        <w:t>21. Rozhodnutie Európskeho parlamentu zo 7. mája 2025 o absolutóriu za plnenie rozpočtu spoločného podniku pre inteligentné siete a služby za rozpočtový rok 2023 (2024/2031(DEC))</w:t>
      </w:r>
    </w:p>
    <w:p w14:paraId="2449C66E" w14:textId="1D4D8D33"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3D4E24A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inteligentné siete a služby za rozpočtový rok 2023,</w:t>
      </w:r>
    </w:p>
    <w:p w14:paraId="79E016F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123"/>
      </w:r>
      <w:r w:rsidRPr="000C7927">
        <w:rPr>
          <w:kern w:val="2"/>
          <w14:ligatures w14:val="standardContextual"/>
        </w:rPr>
        <w:t>,</w:t>
      </w:r>
    </w:p>
    <w:p w14:paraId="24DD0F5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124"/>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4FA1625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7D460A6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030AF69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125"/>
      </w:r>
      <w:r w:rsidRPr="000C7927">
        <w:rPr>
          <w:kern w:val="2"/>
          <w14:ligatures w14:val="standardContextual"/>
        </w:rPr>
        <w:t>, a najmä na jeho článok 71,</w:t>
      </w:r>
    </w:p>
    <w:p w14:paraId="56A3474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126"/>
      </w:r>
      <w:r w:rsidRPr="000C7927">
        <w:rPr>
          <w:kern w:val="2"/>
          <w14:ligatures w14:val="standardContextual"/>
        </w:rPr>
        <w:t xml:space="preserve">, a najmä na jeho článok 71, </w:t>
      </w:r>
    </w:p>
    <w:p w14:paraId="50F2B77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127"/>
      </w:r>
      <w:r w:rsidRPr="000C7927">
        <w:rPr>
          <w:kern w:val="2"/>
          <w14:ligatures w14:val="standardContextual"/>
        </w:rPr>
        <w:t>, a najmä na jeho článok 26,</w:t>
      </w:r>
    </w:p>
    <w:p w14:paraId="0A74B842"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128"/>
      </w:r>
      <w:r w:rsidRPr="000C7927">
        <w:rPr>
          <w:kern w:val="2"/>
          <w14:ligatures w14:val="standardContextual"/>
        </w:rPr>
        <w:t>,</w:t>
      </w:r>
    </w:p>
    <w:p w14:paraId="3ACD6AA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článok 102 a prílohu V k rokovaciemu poriadku,</w:t>
      </w:r>
    </w:p>
    <w:p w14:paraId="75818F1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065B39F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74CAFBF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udeľuje výkonnej riaditeľke spoločného podniku pre inteligentné siete a služby absolutórium za plnenie rozpočtu spoločného podniku za rozpočtový rok 2023;</w:t>
      </w:r>
    </w:p>
    <w:p w14:paraId="2A3100A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uvádza svoje poznámky v priloženom uznesení;</w:t>
      </w:r>
    </w:p>
    <w:p w14:paraId="34F3034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w:t>
      </w:r>
      <w:r w:rsidRPr="000C7927">
        <w:rPr>
          <w:kern w:val="2"/>
          <w14:ligatures w14:val="standardContextual"/>
        </w:rPr>
        <w:tab/>
        <w:t>poveruje svoju predsedníčku, aby postúpila toto rozhodnutie a uznesenie, ktoré je jeho neoddeliteľnou súčasťou, výkonnej riaditeľke spoločného podniku pre inteligentné siete a služby, Rade, Komisii a Dvoru audítorov a aby zabezpečila ich uverejnenie v </w:t>
      </w:r>
      <w:r w:rsidRPr="000C7927">
        <w:rPr>
          <w:i/>
          <w:kern w:val="2"/>
          <w14:ligatures w14:val="standardContextual"/>
        </w:rPr>
        <w:t>Úradnom vestníku Európskej únie</w:t>
      </w:r>
      <w:r w:rsidRPr="000C7927">
        <w:rPr>
          <w:kern w:val="2"/>
          <w14:ligatures w14:val="standardContextual"/>
        </w:rPr>
        <w:t xml:space="preserve"> (v sérii L).</w:t>
      </w:r>
    </w:p>
    <w:p w14:paraId="69D170E4"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22E4BA37" w14:textId="77777777" w:rsidR="000C7927" w:rsidRPr="000C7927" w:rsidRDefault="000C7927" w:rsidP="000C7927">
      <w:pPr>
        <w:pStyle w:val="ATHeading3"/>
      </w:pPr>
      <w:r w:rsidRPr="000C7927">
        <w:lastRenderedPageBreak/>
        <w:t>22. Rozhodnutie Európskeho parlamentu zo 7. mája 2025 o účtovnej závierke spoločného podniku pre inteligentné siete a služby za rozpočtový rok 2023 (2024/2031(DEC))</w:t>
      </w:r>
    </w:p>
    <w:p w14:paraId="3BC88C39" w14:textId="6E1012ED"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17B8420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konečnú ročnú účtovnú závierku spoločného podniku pre inteligentné siete a služby za rozpočtový rok 2023,</w:t>
      </w:r>
    </w:p>
    <w:p w14:paraId="12CA89F3"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výročnú správu Dvora audítorov o spoločných podnikoch EÚ za rozpočtový rok 2023 spolu s odpoveďami spoločných podnikov</w:t>
      </w:r>
      <w:r w:rsidRPr="000C7927">
        <w:rPr>
          <w:kern w:val="2"/>
          <w:vertAlign w:val="superscript"/>
          <w14:ligatures w14:val="standardContextual"/>
        </w:rPr>
        <w:footnoteReference w:id="129"/>
      </w:r>
      <w:r w:rsidRPr="000C7927">
        <w:rPr>
          <w:kern w:val="2"/>
          <w14:ligatures w14:val="standardContextual"/>
        </w:rPr>
        <w:t>,</w:t>
      </w:r>
    </w:p>
    <w:p w14:paraId="7F1ADC9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vyhlásenie o vierohodnosti</w:t>
      </w:r>
      <w:r w:rsidRPr="000C7927">
        <w:rPr>
          <w:kern w:val="2"/>
          <w:vertAlign w:val="superscript"/>
          <w14:ligatures w14:val="standardContextual"/>
        </w:rPr>
        <w:footnoteReference w:id="130"/>
      </w:r>
      <w:r w:rsidRPr="000C7927">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448E226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odporúčanie Rady zo 17. februára 2025 o udelení absolutória spoločnému podniku za plnenie rozpočtu za rozpočtový rok 2023 (05757/2025 – C10</w:t>
      </w:r>
      <w:r w:rsidRPr="000C7927">
        <w:rPr>
          <w:kern w:val="2"/>
          <w14:ligatures w14:val="standardContextual"/>
        </w:rPr>
        <w:noBreakHyphen/>
        <w:t>0025/2025),</w:t>
      </w:r>
    </w:p>
    <w:p w14:paraId="1BCA286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319 Zmluvy o fungovaní Európskej únii,</w:t>
      </w:r>
    </w:p>
    <w:p w14:paraId="357BC0B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C7927">
        <w:rPr>
          <w:kern w:val="2"/>
          <w14:ligatures w14:val="standardContextual"/>
        </w:rPr>
        <w:t>Euratom</w:t>
      </w:r>
      <w:proofErr w:type="spellEnd"/>
      <w:r w:rsidRPr="000C7927">
        <w:rPr>
          <w:kern w:val="2"/>
          <w14:ligatures w14:val="standardContextual"/>
        </w:rPr>
        <w:t>) č. 966/2012</w:t>
      </w:r>
      <w:r w:rsidRPr="000C7927">
        <w:rPr>
          <w:kern w:val="2"/>
          <w:vertAlign w:val="superscript"/>
          <w14:ligatures w14:val="standardContextual"/>
        </w:rPr>
        <w:footnoteReference w:id="131"/>
      </w:r>
      <w:r w:rsidRPr="000C7927">
        <w:rPr>
          <w:kern w:val="2"/>
          <w14:ligatures w14:val="standardContextual"/>
        </w:rPr>
        <w:t>, a najmä na jeho článok 71,</w:t>
      </w:r>
    </w:p>
    <w:p w14:paraId="679E190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nariadenie Európskeho parlamentu a Rady (EÚ, </w:t>
      </w:r>
      <w:proofErr w:type="spellStart"/>
      <w:r w:rsidRPr="000C7927">
        <w:rPr>
          <w:kern w:val="2"/>
          <w14:ligatures w14:val="standardContextual"/>
        </w:rPr>
        <w:t>Euratom</w:t>
      </w:r>
      <w:proofErr w:type="spellEnd"/>
      <w:r w:rsidRPr="000C7927">
        <w:rPr>
          <w:kern w:val="2"/>
          <w14:ligatures w14:val="standardContextual"/>
        </w:rPr>
        <w:t>) 2024/2509 z 23. septembra 2024 o rozpočtových pravidlách, ktoré sa vzťahujú na všeobecný rozpočet Únie</w:t>
      </w:r>
      <w:r w:rsidRPr="000C7927">
        <w:rPr>
          <w:kern w:val="2"/>
          <w:vertAlign w:val="superscript"/>
          <w14:ligatures w14:val="standardContextual"/>
        </w:rPr>
        <w:footnoteReference w:id="132"/>
      </w:r>
      <w:r w:rsidRPr="000C7927">
        <w:rPr>
          <w:kern w:val="2"/>
          <w14:ligatures w14:val="standardContextual"/>
        </w:rPr>
        <w:t xml:space="preserve">, a najmä na jeho článok 71, </w:t>
      </w:r>
    </w:p>
    <w:p w14:paraId="37322F5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nariadenie Rady (EÚ) 2021/2085 z 19. novembra 2021, ktorým sa zakladajú spoločné podniky v rámci programu Horizont Európa a zrušujú nariadenia (ES) č. 219/2007, (EÚ) č. 557/2014, (EÚ) č. 558/2014, (EÚ) č. 559/2014, (EÚ) č. 560/2014, (EÚ) č. 561/2014 a (EÚ) č. 642/2014</w:t>
      </w:r>
      <w:r w:rsidRPr="000C7927">
        <w:rPr>
          <w:kern w:val="2"/>
          <w:vertAlign w:val="superscript"/>
          <w14:ligatures w14:val="standardContextual"/>
        </w:rPr>
        <w:footnoteReference w:id="133"/>
      </w:r>
      <w:r w:rsidRPr="000C7927">
        <w:rPr>
          <w:kern w:val="2"/>
          <w14:ligatures w14:val="standardContextual"/>
        </w:rPr>
        <w:t>, a najmä na jeho článok 26,</w:t>
      </w:r>
    </w:p>
    <w:p w14:paraId="1B4F706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0C7927">
        <w:rPr>
          <w:kern w:val="2"/>
          <w14:ligatures w14:val="standardContextual"/>
        </w:rPr>
        <w:t>Euratom</w:t>
      </w:r>
      <w:proofErr w:type="spellEnd"/>
      <w:r w:rsidRPr="000C7927">
        <w:rPr>
          <w:kern w:val="2"/>
          <w14:ligatures w14:val="standardContextual"/>
        </w:rPr>
        <w:t>) 2018/1046</w:t>
      </w:r>
      <w:r w:rsidRPr="000C7927">
        <w:rPr>
          <w:kern w:val="2"/>
          <w:vertAlign w:val="superscript"/>
          <w14:ligatures w14:val="standardContextual"/>
        </w:rPr>
        <w:footnoteReference w:id="134"/>
      </w:r>
      <w:r w:rsidRPr="000C7927">
        <w:rPr>
          <w:kern w:val="2"/>
          <w14:ligatures w14:val="standardContextual"/>
        </w:rPr>
        <w:t>,</w:t>
      </w:r>
    </w:p>
    <w:p w14:paraId="5198F28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w:t>
      </w:r>
      <w:r w:rsidRPr="000C7927">
        <w:rPr>
          <w:kern w:val="2"/>
          <w14:ligatures w14:val="standardContextual"/>
        </w:rPr>
        <w:tab/>
        <w:t>so zreteľom na článok 102 a prílohu V k rokovaciemu poriadku,</w:t>
      </w:r>
    </w:p>
    <w:p w14:paraId="739D9C6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008525E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0F0CFC7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w:t>
      </w:r>
      <w:r w:rsidRPr="000C7927">
        <w:rPr>
          <w:kern w:val="2"/>
          <w14:ligatures w14:val="standardContextual"/>
        </w:rPr>
        <w:tab/>
        <w:t>schvaľuje účtovnú závierku spoločného podniku pre inteligentné siete a služby za rozpočtový rok 2023;</w:t>
      </w:r>
    </w:p>
    <w:p w14:paraId="003F503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w:t>
      </w:r>
      <w:r w:rsidRPr="000C7927">
        <w:rPr>
          <w:kern w:val="2"/>
          <w14:ligatures w14:val="standardContextual"/>
        </w:rPr>
        <w:tab/>
        <w:t>poveruje svoju predsedníčku, aby postúpila toto rozhodnutie výkonnej riaditeľke spoločného podniku pre inteligentné siete a služby, Rade, Komisii a Dvoru audítorov a aby zabezpečila jeho uverejnenie v </w:t>
      </w:r>
      <w:r w:rsidRPr="000C7927">
        <w:rPr>
          <w:i/>
          <w:kern w:val="2"/>
          <w14:ligatures w14:val="standardContextual"/>
        </w:rPr>
        <w:t>Úradnom vestníku Európskej únie</w:t>
      </w:r>
      <w:r w:rsidRPr="000C7927">
        <w:rPr>
          <w:kern w:val="2"/>
          <w14:ligatures w14:val="standardContextual"/>
        </w:rPr>
        <w:t xml:space="preserve"> (v sérii L).</w:t>
      </w:r>
    </w:p>
    <w:p w14:paraId="17F5C057" w14:textId="77777777" w:rsidR="000C7927" w:rsidRPr="000C7927" w:rsidRDefault="000C7927" w:rsidP="000C7927">
      <w:pPr>
        <w:widowControl/>
        <w:rPr>
          <w:rFonts w:eastAsia="Aptos"/>
          <w:kern w:val="2"/>
          <w:szCs w:val="24"/>
          <w:lang w:eastAsia="en-US"/>
          <w14:ligatures w14:val="standardContextual"/>
        </w:rPr>
        <w:sectPr w:rsidR="000C7927" w:rsidRPr="000C7927" w:rsidSect="000C7927">
          <w:footnotePr>
            <w:numRestart w:val="eachSect"/>
          </w:footnotePr>
          <w:pgSz w:w="11906" w:h="16838"/>
          <w:pgMar w:top="1440" w:right="1440" w:bottom="1440" w:left="1440" w:header="708" w:footer="708" w:gutter="0"/>
          <w:cols w:space="708"/>
          <w:docGrid w:linePitch="360"/>
        </w:sectPr>
      </w:pPr>
    </w:p>
    <w:p w14:paraId="49E07DB8" w14:textId="77777777" w:rsidR="000C7927" w:rsidRPr="000C7927" w:rsidRDefault="000C7927" w:rsidP="000C7927">
      <w:pPr>
        <w:pStyle w:val="ATHeading3"/>
      </w:pPr>
      <w:r w:rsidRPr="000C7927">
        <w:lastRenderedPageBreak/>
        <w:t>23. Uznesenie Európskeho parlamentu zo 7. mája 2025 s poznámkami, ktoré je neoddeliteľnou súčasťou rozhodnutí o absolutóriu za plnenie rozpočtu spoločných podnikov Európskej únie za rozpočtový rok 2023 (2024/2031(DEC))</w:t>
      </w:r>
    </w:p>
    <w:p w14:paraId="4443DD92" w14:textId="64EDB514" w:rsidR="000C7927" w:rsidRPr="000C7927" w:rsidRDefault="000C7927" w:rsidP="000C7927">
      <w:pPr>
        <w:spacing w:before="480" w:after="240"/>
        <w:rPr>
          <w:iCs/>
          <w:kern w:val="2"/>
          <w14:ligatures w14:val="standardContextual"/>
        </w:rPr>
      </w:pPr>
      <w:r>
        <w:rPr>
          <w:i/>
        </w:rPr>
        <w:t>Európsky parlament</w:t>
      </w:r>
      <w:r w:rsidRPr="000C7927">
        <w:rPr>
          <w:iCs/>
          <w:kern w:val="2"/>
          <w14:ligatures w14:val="standardContextual"/>
        </w:rPr>
        <w:t>,</w:t>
      </w:r>
    </w:p>
    <w:p w14:paraId="7A97F69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svoje rozhodnutie o absolutóriu za plnenie rozpočtu spoločného podniku pre čisté letectvo za rozpočtový rok 2023,</w:t>
      </w:r>
    </w:p>
    <w:p w14:paraId="32DCD74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svoje rozhodnutie o absolutóriu za plnenie rozpočtu spoločného podniku pre európske obehové hospodárstvo využívajúce biologické materiály za rozpočtový rok 2023,</w:t>
      </w:r>
    </w:p>
    <w:p w14:paraId="5D3C7EF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svoje rozhodnutie o absolutóriu za plnenie rozpočtu spoločného podniku pre čistý vodík za rozpočtový rok 2023,</w:t>
      </w:r>
    </w:p>
    <w:p w14:paraId="74DF82F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svoje rozhodnutie o absolutóriu za plnenie rozpočtu spoločného podniku pre európske železnice za rozpočtový rok 2023,</w:t>
      </w:r>
    </w:p>
    <w:p w14:paraId="3DB081F8"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svoje rozhodnutie o absolutóriu za plnenie rozpočtu spoločného podniku pre európsku vysokovýkonnú výpočtovú techniku za rozpočtový rok 2023,</w:t>
      </w:r>
    </w:p>
    <w:p w14:paraId="3776D62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svoje rozhodnutie o absolutóriu za plnenie rozpočtu Európskeho spoločného podniku pre ITER a rozvoj energie jadrovej syntézy za rozpočtový rok 2023,</w:t>
      </w:r>
    </w:p>
    <w:p w14:paraId="6502151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svoje rozhodnutie o absolutóriu za plnenie rozpočtu spoločného podniku Globálne zdravie EDCPT3 za rozpočtový rok 2023,</w:t>
      </w:r>
    </w:p>
    <w:p w14:paraId="1BF10B4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svoje rozhodnutie o absolutóriu za plnenie rozpočtu spoločného podniku pre iniciatívu Inovatívne zdravotníctvo za rozpočtový rok 2023,</w:t>
      </w:r>
    </w:p>
    <w:p w14:paraId="094A3B13"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svoje rozhodnutie o absolutóriu za plnenie rozpočtu spoločného podniku pre čipy za rozpočtový rok 2023,</w:t>
      </w:r>
    </w:p>
    <w:p w14:paraId="7FC8F5A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svoje rozhodnutie o absolutóriu za plnenie rozpočtu spoločného podniku pre výskum manažmentu letovej prevádzky jednotného európskeho neba 3 za rozpočtový rok 2023,</w:t>
      </w:r>
    </w:p>
    <w:p w14:paraId="5B8613BD"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svoje rozhodnutie o absolutóriu za plnenie rozpočtu spoločného podniku pre inteligentné siete a služby za rozpočtový rok 2023,</w:t>
      </w:r>
    </w:p>
    <w:p w14:paraId="41B0197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článok 102 a prílohu V k rokovaciemu poriadku,</w:t>
      </w:r>
    </w:p>
    <w:p w14:paraId="1BCEDCD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stanovisko Výboru pre dopravu a cestovný ruch,</w:t>
      </w:r>
    </w:p>
    <w:p w14:paraId="69FA73A0"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w:t>
      </w:r>
      <w:r w:rsidRPr="000C7927">
        <w:rPr>
          <w:kern w:val="2"/>
          <w14:ligatures w14:val="standardContextual"/>
        </w:rPr>
        <w:tab/>
        <w:t>so zreteľom na správu Výboru pre kontrolu rozpočtu (A10-0056/2025),</w:t>
      </w:r>
    </w:p>
    <w:p w14:paraId="4832AD52"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A.</w:t>
      </w:r>
      <w:r w:rsidRPr="000C7927">
        <w:rPr>
          <w:kern w:val="2"/>
          <w14:ligatures w14:val="standardContextual"/>
        </w:rPr>
        <w:tab/>
        <w:t xml:space="preserve">keďže spoločný podnik pre výskum manažmentu letovej prevádzky jednotného európskeho neba 3, spoločný podnik pre čisté letectvo, spoločný podnik pre iniciatívu Inovatívne zdravotníctvo, spoločný podnik pre čistý vodík, spoločný podnik pre </w:t>
      </w:r>
      <w:r w:rsidRPr="000C7927">
        <w:rPr>
          <w:kern w:val="2"/>
          <w14:ligatures w14:val="standardContextual"/>
        </w:rPr>
        <w:lastRenderedPageBreak/>
        <w:t>európske obehové hospodárstvo využívajúce biologické materiály, spoločný podnik pre európske železnice, spoločný podnik pre inteligentné siete a služby a spoločný podnik Globálne zdravie EDCTP3 boli zriadené nariadením Rady (EÚ) 2021/2085 </w:t>
      </w:r>
      <w:r w:rsidRPr="000C7927">
        <w:rPr>
          <w:kern w:val="2"/>
          <w:vertAlign w:val="superscript"/>
          <w14:ligatures w14:val="standardContextual"/>
        </w:rPr>
        <w:footnoteReference w:id="135"/>
      </w:r>
      <w:r w:rsidRPr="000C7927">
        <w:rPr>
          <w:kern w:val="2"/>
          <w14:ligatures w14:val="standardContextual"/>
        </w:rPr>
        <w:t>, ktorým sa zriaďujú spoločné podniky v rámci programu Horizont Európa a zrušujú nariadenia (ES) č. 219/2007, (EÚ) č. 557/2014, (EÚ) č. 558/2014, (EÚ) č. 559/2014, (EÚ) č. 560/2014, (EÚ) č. 561/2014 a (EÚ) č. 642/2014 a ktoré sa označuje ako jednotný základný akt;</w:t>
      </w:r>
    </w:p>
    <w:p w14:paraId="5B3007B7"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B.</w:t>
      </w:r>
      <w:r w:rsidRPr="000C7927">
        <w:rPr>
          <w:kern w:val="2"/>
          <w14:ligatures w14:val="standardContextual"/>
        </w:rPr>
        <w:tab/>
        <w:t>keďže spoločný podnik pre kľúčové digitálne technológie bol zriadený nariadením (EÚ) 2021/2085; keďže spoločný podnik pre kľúčové digitálne technológie bol v júli 2023 transformovaný na spoločný podnik pre čipy podľa nariadenia Rady (EÚ) 2023/1782 </w:t>
      </w:r>
      <w:r w:rsidRPr="000C7927">
        <w:rPr>
          <w:kern w:val="2"/>
          <w:vertAlign w:val="superscript"/>
          <w14:ligatures w14:val="standardContextual"/>
        </w:rPr>
        <w:footnoteReference w:id="136"/>
      </w:r>
      <w:r w:rsidRPr="000C7927">
        <w:rPr>
          <w:kern w:val="2"/>
          <w14:ligatures w14:val="standardContextual"/>
        </w:rPr>
        <w:t>;</w:t>
      </w:r>
    </w:p>
    <w:p w14:paraId="5CA4EB05"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C.</w:t>
      </w:r>
      <w:r w:rsidRPr="000C7927">
        <w:rPr>
          <w:kern w:val="2"/>
          <w14:ligatures w14:val="standardContextual"/>
        </w:rPr>
        <w:tab/>
        <w:t>keďže Európsky spoločný podnik pre ITER a rozvoj energie jadrovej syntézy bol zriadený v apríli 2007 rozhodnutím Rady 2007/198/</w:t>
      </w:r>
      <w:proofErr w:type="spellStart"/>
      <w:r w:rsidRPr="000C7927">
        <w:rPr>
          <w:kern w:val="2"/>
          <w14:ligatures w14:val="standardContextual"/>
        </w:rPr>
        <w:t>Euratom</w:t>
      </w:r>
      <w:proofErr w:type="spellEnd"/>
      <w:r w:rsidRPr="000C7927">
        <w:rPr>
          <w:kern w:val="2"/>
          <w14:ligatures w14:val="standardContextual"/>
        </w:rPr>
        <w:t> </w:t>
      </w:r>
      <w:r w:rsidRPr="000C7927">
        <w:rPr>
          <w:kern w:val="2"/>
          <w:vertAlign w:val="superscript"/>
          <w14:ligatures w14:val="standardContextual"/>
        </w:rPr>
        <w:footnoteReference w:id="137"/>
      </w:r>
      <w:r w:rsidRPr="000C7927">
        <w:rPr>
          <w:kern w:val="2"/>
          <w14:ligatures w14:val="standardContextual"/>
        </w:rPr>
        <w:t>;</w:t>
      </w:r>
    </w:p>
    <w:p w14:paraId="3DD8FC1A"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D.</w:t>
      </w:r>
      <w:r w:rsidRPr="000C7927">
        <w:rPr>
          <w:kern w:val="2"/>
          <w14:ligatures w14:val="standardContextual"/>
        </w:rPr>
        <w:tab/>
        <w:t>keďže spoločný podnik pre európsku vysokovýkonnú výpočtovú techniku bol zriadený nariadením Rady (EÚ) 2021/1173 </w:t>
      </w:r>
      <w:r w:rsidRPr="000C7927">
        <w:rPr>
          <w:kern w:val="2"/>
          <w:vertAlign w:val="superscript"/>
          <w14:ligatures w14:val="standardContextual"/>
        </w:rPr>
        <w:footnoteReference w:id="138"/>
      </w:r>
      <w:r w:rsidRPr="000C7927">
        <w:rPr>
          <w:kern w:val="2"/>
          <w14:ligatures w14:val="standardContextual"/>
        </w:rPr>
        <w:t>,</w:t>
      </w:r>
    </w:p>
    <w:p w14:paraId="484C50C1"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E.</w:t>
      </w:r>
      <w:r w:rsidRPr="000C7927">
        <w:rPr>
          <w:kern w:val="2"/>
          <w14:ligatures w14:val="standardContextual"/>
        </w:rPr>
        <w:tab/>
        <w:t>keďže spoločný podnik pre výskum manažmentu letovej prevádzky jednotného európskeho neba 3 je verejno-súkromné partnerstvo pre rozvoj modernizovaného manažmentu letovej prevádzky v Európe a urýchlenie realizácie digitálneho európskeho neba prostredníctvom výskumu a inovácií;</w:t>
      </w:r>
    </w:p>
    <w:p w14:paraId="32C2D7C0"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F.</w:t>
      </w:r>
      <w:r w:rsidRPr="000C7927">
        <w:rPr>
          <w:kern w:val="2"/>
          <w14:ligatures w14:val="standardContextual"/>
        </w:rPr>
        <w:tab/>
        <w:t>keďže spoločný podnik pre čisté letectvo je verejno-súkromným partnerstvom so zameraním na výskum a inovácie s cieľom transformovať letectvo s ohľadom na udržateľnú a klimaticky neutrálnu budúcnosť;</w:t>
      </w:r>
    </w:p>
    <w:p w14:paraId="77DBC035"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G.</w:t>
      </w:r>
      <w:r w:rsidRPr="000C7927">
        <w:rPr>
          <w:kern w:val="2"/>
          <w14:ligatures w14:val="standardContextual"/>
        </w:rPr>
        <w:tab/>
        <w:t>keďže spoločný podnik pre iniciatívu Inovatívne zdravotníctvo je verejno-súkromné partnerstvo zamerané na interdisciplinárny, udržateľný a na pacienta orientovaný výskum a inovácie v oblasti zdravia;</w:t>
      </w:r>
    </w:p>
    <w:p w14:paraId="44699AD4"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H.</w:t>
      </w:r>
      <w:r w:rsidRPr="000C7927">
        <w:rPr>
          <w:kern w:val="2"/>
          <w14:ligatures w14:val="standardContextual"/>
        </w:rPr>
        <w:tab/>
        <w:t>keďže spoločný podnik pre čistý vodík je verejno-súkromným partnerstvom v oblasti výskumu a inovácií zameraných na technológie vodíka a palivových článkov;</w:t>
      </w:r>
    </w:p>
    <w:p w14:paraId="22658E4F"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I.</w:t>
      </w:r>
      <w:r w:rsidRPr="000C7927">
        <w:rPr>
          <w:kern w:val="2"/>
          <w14:ligatures w14:val="standardContextual"/>
        </w:rPr>
        <w:tab/>
        <w:t xml:space="preserve">keďže spoločný podnik pre čipy je verejno-súkromné partnerstvo zamerané na výskum </w:t>
      </w:r>
      <w:r w:rsidRPr="000C7927">
        <w:rPr>
          <w:kern w:val="2"/>
          <w14:ligatures w14:val="standardContextual"/>
        </w:rPr>
        <w:lastRenderedPageBreak/>
        <w:t>a inovácie v oblasti kľúčových digitálnych technológií, ktoré sú nevyhnutné pre vedúce postavenie Európy v rámci konkurencie v digitálnom hospodárstve, najmä v odvetví elektronických komponentov a systémov;</w:t>
      </w:r>
    </w:p>
    <w:p w14:paraId="2D1137A1"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J.</w:t>
      </w:r>
      <w:r w:rsidRPr="000C7927">
        <w:rPr>
          <w:kern w:val="2"/>
          <w14:ligatures w14:val="standardContextual"/>
        </w:rPr>
        <w:tab/>
        <w:t>keďže spoločný podnik pre európske obehové hospodárstvo využívajúce biologické materiály je verejno-súkromné partnerstvo zamerané na výskum a inovácie v záujme udržateľného a konkurencieschopného odvetvia obehového hospodárstva využívajúceho biologické materiály;</w:t>
      </w:r>
    </w:p>
    <w:p w14:paraId="088FE78B"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K.</w:t>
      </w:r>
      <w:r w:rsidRPr="000C7927">
        <w:rPr>
          <w:kern w:val="2"/>
          <w14:ligatures w14:val="standardContextual"/>
        </w:rPr>
        <w:tab/>
        <w:t>keďže spoločný podnik pre európske železnice je verejno-súkromné partnerstvo v oblasti výskumu a inovácií v odvetví železničnej dopravy;</w:t>
      </w:r>
    </w:p>
    <w:p w14:paraId="13B280FD"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L.</w:t>
      </w:r>
      <w:r w:rsidRPr="000C7927">
        <w:rPr>
          <w:kern w:val="2"/>
          <w14:ligatures w14:val="standardContextual"/>
        </w:rPr>
        <w:tab/>
        <w:t>keďže spoločný podnik pre európsku vysokovýkonnú výpočtovú techniku je verejno-súkromné partnerstvo, ktoré umožňuje združovanie zdrojov na vývoj a zavádzanie vysokovýkonnej výpočtovej techniky v Európe;</w:t>
      </w:r>
    </w:p>
    <w:p w14:paraId="420B13F2"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M.</w:t>
      </w:r>
      <w:r w:rsidRPr="000C7927">
        <w:rPr>
          <w:kern w:val="2"/>
          <w14:ligatures w14:val="standardContextual"/>
        </w:rPr>
        <w:tab/>
        <w:t>keďže spoločný podnik pre inteligentné siete a služby je verejno-súkromné partnerstvo zamerané na posilňovanie vedúceho postavenia Európy v oblasti technológií a jej strategické zosúladenie s telekomunikačným priemyslom a na podporu zavádzania digitálnych riešení;</w:t>
      </w:r>
    </w:p>
    <w:p w14:paraId="3E0900EF"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N.</w:t>
      </w:r>
      <w:r w:rsidRPr="000C7927">
        <w:rPr>
          <w:kern w:val="2"/>
          <w14:ligatures w14:val="standardContextual"/>
        </w:rPr>
        <w:tab/>
        <w:t>keďže spoločný podnik Globálne zdravie EDCTP3 je verejno-súkromné partnerstvo zamerané na zníženie sociálno-ekonomickej záťaže infekčných chorôb v subsaharskej Afrike vďaka novým a lepším technologickým aplikáciám v zdravotníctve a na zlepšenie pripravenosti a reakcie na infekčné choroby na globálne účely;</w:t>
      </w:r>
    </w:p>
    <w:p w14:paraId="7A759861"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O.</w:t>
      </w:r>
      <w:r w:rsidRPr="000C7927">
        <w:rPr>
          <w:kern w:val="2"/>
          <w14:ligatures w14:val="standardContextual"/>
        </w:rPr>
        <w:tab/>
        <w:t xml:space="preserve">keďže cieľom Európskeho spoločného podniku pre ITER a rozvoj energie jadrovej syntézy je prispieť dielom Únie k medzinárodnému projektu energie jadrovej syntézy ITER, vykonávať dohodu o širšom prístupe medzi </w:t>
      </w:r>
      <w:proofErr w:type="spellStart"/>
      <w:r w:rsidRPr="000C7927">
        <w:rPr>
          <w:kern w:val="2"/>
          <w14:ligatures w14:val="standardContextual"/>
        </w:rPr>
        <w:t>Euratomom</w:t>
      </w:r>
      <w:proofErr w:type="spellEnd"/>
      <w:r w:rsidRPr="000C7927">
        <w:rPr>
          <w:kern w:val="2"/>
          <w14:ligatures w14:val="standardContextual"/>
        </w:rPr>
        <w:t xml:space="preserve"> a Japonskom a pripraviť sa na výstavbu demonštračného reaktora jadrovej syntézy a súvisiacich zariadení;</w:t>
      </w:r>
    </w:p>
    <w:p w14:paraId="0C63ACFD" w14:textId="77777777" w:rsidR="000C7927" w:rsidRPr="000C7927" w:rsidRDefault="000C7927" w:rsidP="000C7927">
      <w:pPr>
        <w:spacing w:after="240"/>
        <w:rPr>
          <w:b/>
          <w:i/>
          <w:kern w:val="2"/>
          <w14:ligatures w14:val="standardContextual"/>
        </w:rPr>
      </w:pPr>
      <w:r w:rsidRPr="000C7927">
        <w:rPr>
          <w:b/>
          <w:i/>
          <w:kern w:val="2"/>
          <w14:ligatures w14:val="standardContextual"/>
        </w:rPr>
        <w:t>Všeobecne</w:t>
      </w:r>
    </w:p>
    <w:p w14:paraId="66F0212D" w14:textId="77777777" w:rsidR="000C7927" w:rsidRPr="000C7927" w:rsidRDefault="000C7927" w:rsidP="000C7927">
      <w:pPr>
        <w:spacing w:after="240"/>
        <w:ind w:left="567" w:hanging="567"/>
        <w:rPr>
          <w:kern w:val="2"/>
          <w:szCs w:val="24"/>
          <w:lang w:eastAsia="en-US"/>
          <w14:ligatures w14:val="standardContextual"/>
        </w:rPr>
      </w:pPr>
      <w:r w:rsidRPr="000C7927">
        <w:rPr>
          <w:kern w:val="2"/>
          <w:szCs w:val="24"/>
          <w:lang w:eastAsia="en-US"/>
          <w14:ligatures w14:val="standardContextual"/>
        </w:rPr>
        <w:t>1.</w:t>
      </w:r>
      <w:r w:rsidRPr="000C7927">
        <w:rPr>
          <w:kern w:val="2"/>
          <w:szCs w:val="24"/>
          <w:lang w:eastAsia="en-US"/>
          <w14:ligatures w14:val="standardContextual"/>
        </w:rPr>
        <w:tab/>
        <w:t>konštatuje, že úloha spoločných podnikov by mala byť podpora činností výskumu a inovácií v oblastiach dopravy, energetiky, zdravia, obehového hospodárstva využívajúceho biologické materiály, kľúčových elektronických komponentov, superpočítačov a sieťových systémov; vyzýva spoločné podniky, aby podporovali transformáciu vedeckých poznatkov na obchodovateľné inovácie a aby vytvorili mechanizmy; ktoré zaistia, aby ich činnosť viedla k zvýšeniu európskej konkurencieschopnosti vo svete;</w:t>
      </w:r>
    </w:p>
    <w:p w14:paraId="2535AF30"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2.</w:t>
      </w:r>
      <w:r w:rsidRPr="000C7927">
        <w:rPr>
          <w:kern w:val="2"/>
          <w14:ligatures w14:val="standardContextual"/>
        </w:rPr>
        <w:tab/>
        <w:t>zdôrazňuje, že podľa Dvora audítorov sa v zmysle platného viacročného finančného rámca očakáva, že spoločné podniky dostanú kombinovaný rozpočet vo výške 17 miliárd EUR z peňažného príspevku Únie a od ostatných členov získajú príspevok vo výške 21,1 miliardy EUR;</w:t>
      </w:r>
    </w:p>
    <w:p w14:paraId="178E973C"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w:t>
      </w:r>
      <w:r w:rsidRPr="000C7927">
        <w:rPr>
          <w:kern w:val="2"/>
          <w14:ligatures w14:val="standardContextual"/>
        </w:rPr>
        <w:tab/>
        <w:t xml:space="preserve">konštatuje, že povaha spoločných podnikov je založená na verejno-súkromných partnerstvách, ktoré usmerňujú investície a využívajú verejné a súkromné finančné prostriedky na financovanie spoločných cieľov; v tejto súvislosti pripomína, že na to, aby boli takéto partnerstvá aj naďalej vzájomne prospešné, musia súkromní členovia hradiť svoje príspevky v stanovenej výške; vyzýva spoločné podniky, ktoré povoľujú nepeňažné príspevky na dodatočné činnosti, aby sa podľa možnosti na takéto príspevky </w:t>
      </w:r>
      <w:r w:rsidRPr="000C7927">
        <w:rPr>
          <w:kern w:val="2"/>
          <w14:ligatures w14:val="standardContextual"/>
        </w:rPr>
        <w:lastRenderedPageBreak/>
        <w:t>príliš nespoliehali pri plnení stanovených cieľov;</w:t>
      </w:r>
    </w:p>
    <w:p w14:paraId="544CA79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4.</w:t>
      </w:r>
      <w:r w:rsidRPr="000C7927">
        <w:rPr>
          <w:kern w:val="2"/>
          <w14:ligatures w14:val="standardContextual"/>
        </w:rPr>
        <w:tab/>
        <w:t>oceňuje významný prínos spoločných podnikov k napredovaniu výskumu, inovácií a technologického rozvoja v rôznych odvetviach vrátane letectva, železničnej dopravy a manažmentu letovej prevádzky ako neoddeliteľnú súčasť dosahovania strategických cieľov Únie v oblasti udržateľnosti, digitálnej transformácie a konkurencieschopnosti;</w:t>
      </w:r>
    </w:p>
    <w:p w14:paraId="1BC75BE6"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5.</w:t>
      </w:r>
      <w:r w:rsidRPr="000C7927">
        <w:rPr>
          <w:kern w:val="2"/>
          <w14:ligatures w14:val="standardContextual"/>
        </w:rPr>
        <w:tab/>
        <w:t>víta výročnú správu Dvora audítorov o spoločných podnikoch Európskej únie za rozpočtový rok 2023 (ďalej len „správa Dvora audítorov“); zdôrazňuje, že misia Dvora audítorov má zásadný význam pre riadne plnenie rozpočtu Únie a pre dohľad nad ním;</w:t>
      </w:r>
    </w:p>
    <w:p w14:paraId="4A1D57ED"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6.</w:t>
      </w:r>
      <w:r w:rsidRPr="000C7927">
        <w:rPr>
          <w:kern w:val="2"/>
          <w14:ligatures w14:val="standardContextual"/>
        </w:rPr>
        <w:tab/>
        <w:t>víta, že Dvor audítorov poskytol orgánu udeľujúcemu absolutórium výročnú správu o spoločných podnikoch EÚ, ktorá obsahuje osobitné vyhlásenie o vierohodnosti za každý spoločný podnik a ich ročné účtovné závierky a príslušné operácie; súhlasí s názorom, že okrem právnych ustanovení, ktoré Dvor audítorov zaväzujú, si jeho osobitnú pozornosť vyžaduje inštitucionálny rámec spoločných podnikov; vyzýva na pokračovanie tohto osvedčeného postupu; víta dobrú spoluprácu spoločných podnikov s Dvorom audítorov počas prípravy jeho správy, rovnako ako vysvetlenia k niektorým pripomienkam a zdôraznenia v odpovediach poskytnutých spoločnými podnikmi;</w:t>
      </w:r>
    </w:p>
    <w:p w14:paraId="62C302FA"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7.</w:t>
      </w:r>
      <w:r w:rsidRPr="000C7927">
        <w:rPr>
          <w:kern w:val="2"/>
          <w14:ligatures w14:val="standardContextual"/>
        </w:rPr>
        <w:tab/>
        <w:t>víta, že dva spoločné podniky dosiahli počas rozpočtového roka 2023 finančnú autonómiu: konkrétne 24. októbra 2023 spoločný podnik pre inteligentné siete a služby a 23. novembra 2023 spoločný podnik Globálne zdravie EDCTP3; konštatuje, že Dvor audítorov tieto dva spoločné podniky preto prvý raz kontroloval, a to okrem deviatich spoločných podnikov, ktoré kontroloval už za rozpočtový rok 2022;</w:t>
      </w:r>
    </w:p>
    <w:p w14:paraId="6E560F87"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8.</w:t>
      </w:r>
      <w:r w:rsidRPr="000C7927">
        <w:rPr>
          <w:kern w:val="2"/>
          <w14:ligatures w14:val="standardContextual"/>
        </w:rPr>
        <w:tab/>
        <w:t>zdôrazňuje, že podľa svojich vedomostí mali na niektoré spoločné podniky počas rozpočtového roka 2023 výrazný vplyv určité významné udalosti, ktoré pravdepodobne ovplyvnia ich fungovanie; konkrétnejšie zdôrazňuje, že:</w:t>
      </w:r>
    </w:p>
    <w:p w14:paraId="769E9EA8"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a)</w:t>
      </w:r>
      <w:r w:rsidRPr="000C7927">
        <w:rPr>
          <w:kern w:val="2"/>
          <w14:ligatures w14:val="standardContextual"/>
        </w:rPr>
        <w:tab/>
        <w:t>útočná vojna Ruska proti Ukrajine má významný vplyv na hospodárstvo Únie a dodávateľské reťazce a výrazne postihla činnosti niektorých spoločných podnikov;</w:t>
      </w:r>
    </w:p>
    <w:p w14:paraId="3E399389"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b)</w:t>
      </w:r>
      <w:r w:rsidRPr="000C7927">
        <w:rPr>
          <w:kern w:val="2"/>
          <w14:ligatures w14:val="standardContextual"/>
        </w:rPr>
        <w:tab/>
        <w:t>dôsledky pandémie ochorenia COVID-19, ktoré je cítiť v celej Európe dodnes, v rozpočtovom roku 2023 naďalej významne otriasali hospodárskymi a administratívnymi činnosťami;</w:t>
      </w:r>
    </w:p>
    <w:p w14:paraId="41DDB607" w14:textId="77777777" w:rsidR="000C7927" w:rsidRPr="000C7927" w:rsidRDefault="000C7927" w:rsidP="000C7927">
      <w:pPr>
        <w:spacing w:after="240"/>
        <w:ind w:left="1134" w:hanging="567"/>
        <w:rPr>
          <w:kern w:val="2"/>
          <w14:ligatures w14:val="standardContextual"/>
        </w:rPr>
      </w:pPr>
      <w:r w:rsidRPr="000C7927">
        <w:rPr>
          <w:kern w:val="2"/>
          <w14:ligatures w14:val="standardContextual"/>
        </w:rPr>
        <w:t>c)</w:t>
      </w:r>
      <w:r w:rsidRPr="000C7927">
        <w:rPr>
          <w:kern w:val="2"/>
          <w14:ligatures w14:val="standardContextual"/>
        </w:rPr>
        <w:tab/>
        <w:t>na dodávky a dodacie lehoty pre spoločné podniky mala vplyv vysoká inflácia spôsobená uvedenými dvoma udalosťami;</w:t>
      </w:r>
    </w:p>
    <w:p w14:paraId="719CFA6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9.</w:t>
      </w:r>
      <w:r w:rsidRPr="000C7927">
        <w:rPr>
          <w:kern w:val="2"/>
          <w14:ligatures w14:val="standardContextual"/>
        </w:rPr>
        <w:tab/>
        <w:t>uznáva prínosy spoločných podnikov, význam verejno-súkromnej spolupráce pri podpore inovácií, rozvoji výskumu a vývoja a hospodárske prínosy partnerstiev; poznamenáva, že združovaním zdrojov a odborných znalostí z oboch sektorov, verejného aj súkromného, môžu spoločné podniky účinnejšie čeliť výzvam; zdôrazňuje význam transparentnosti, zodpovednosti a efektívneho využívania verejných finančných prostriedkov spoločnými podnikmi;</w:t>
      </w:r>
    </w:p>
    <w:p w14:paraId="2E3FA67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10.</w:t>
      </w:r>
      <w:r w:rsidRPr="000C7927">
        <w:rPr>
          <w:kern w:val="2"/>
          <w14:ligatures w14:val="standardContextual"/>
        </w:rPr>
        <w:tab/>
        <w:t xml:space="preserve">uznáva dôležitosť iniciatív, ktoré podporujú zapojenie a účasť zainteresovaných strán, ako sú otvorené výzvy na vyjadrenie záujmu a spoločné výzvy medzi spoločnými podnikmi, keďže napomáhajú pri využívaní kolektívnych odborných znalostí a zdrojov; upriamuje osobitnú pozornosť na spoločnú výzvu na predkladanie návrhov, ktorú </w:t>
      </w:r>
      <w:r w:rsidRPr="000C7927">
        <w:rPr>
          <w:kern w:val="2"/>
          <w14:ligatures w14:val="standardContextual"/>
        </w:rPr>
        <w:lastRenderedPageBreak/>
        <w:t xml:space="preserve">vyhlásili spoločný podnik pre európske železnice a spoločný podnik pre výskum manažmentu letovej prevádzky jednotného európskeho neba 3, t. j. svojho druhu prvú spoločnú výzvu spoločných podnikov, ktorej cieľom je rozvoj integrovanej leteckej a železničnej siete v záujme udržateľného </w:t>
      </w:r>
      <w:proofErr w:type="spellStart"/>
      <w:r w:rsidRPr="000C7927">
        <w:rPr>
          <w:kern w:val="2"/>
          <w14:ligatures w14:val="standardContextual"/>
        </w:rPr>
        <w:t>multimodálneho</w:t>
      </w:r>
      <w:proofErr w:type="spellEnd"/>
      <w:r w:rsidRPr="000C7927">
        <w:rPr>
          <w:kern w:val="2"/>
          <w14:ligatures w14:val="standardContextual"/>
        </w:rPr>
        <w:t xml:space="preserve"> dopravného systému;</w:t>
      </w:r>
    </w:p>
    <w:p w14:paraId="5AE2546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11.</w:t>
      </w:r>
      <w:r w:rsidRPr="000C7927">
        <w:rPr>
          <w:kern w:val="2"/>
          <w14:ligatures w14:val="standardContextual"/>
        </w:rPr>
        <w:tab/>
        <w:t>pripomína, že spoločné podniky musia svoje operácie vykonávať v súlade so správnym finančným riadením, čím účinne prispievajú k politickým cieľom Únie a k riadnemu plneniu jej rozpočtu; s ohľadom na zistenia Dvora audítorov je však znepokojený niekoľkými vecami, ako sa uvádza v tomto uznesení;</w:t>
      </w:r>
    </w:p>
    <w:p w14:paraId="37CE166B" w14:textId="77777777" w:rsidR="000C7927" w:rsidRPr="000C7927" w:rsidRDefault="000C7927" w:rsidP="000C7927">
      <w:pPr>
        <w:spacing w:after="240"/>
        <w:rPr>
          <w:b/>
          <w:i/>
          <w:kern w:val="2"/>
          <w14:ligatures w14:val="standardContextual"/>
        </w:rPr>
      </w:pPr>
      <w:r w:rsidRPr="000C7927">
        <w:rPr>
          <w:b/>
          <w:i/>
          <w:kern w:val="2"/>
          <w14:ligatures w14:val="standardContextual"/>
        </w:rPr>
        <w:t>Ročná účtovná závierka</w:t>
      </w:r>
    </w:p>
    <w:p w14:paraId="783ED684"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12.</w:t>
      </w:r>
      <w:r w:rsidRPr="000C7927">
        <w:rPr>
          <w:kern w:val="2"/>
          <w14:ligatures w14:val="standardContextual"/>
        </w:rPr>
        <w:tab/>
        <w:t>konštatuje, že v správe Dvora audítorov sa uvádza, že ročná účtovná závierka za rok 2023 jedenástich kontrolovaných spoločných podnikov vyjadruje verne zo všetkých významných hľadísk finančnú situáciu k 31. decembru 2023, výsledky ich operácií, toky hotovosti a zmeny čistých aktív za príslušný rozpočtový rok v súlade s ich finančnými nariadeniami a účtovnými pravidlami, ktoré schválil účtovník Komisie; ďalej konštatuje, že v dôsledku toho Dvor audítorov vydal audítorské výroky bez výhrad k spoľahlivosti ročnej účtovnej závierky spoločných podnikov;</w:t>
      </w:r>
    </w:p>
    <w:p w14:paraId="1DB88961"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13.</w:t>
      </w:r>
      <w:r w:rsidRPr="000C7927">
        <w:rPr>
          <w:kern w:val="2"/>
          <w14:ligatures w14:val="standardContextual"/>
        </w:rPr>
        <w:tab/>
        <w:t>konštatuje, že v správe Dvora audítorov sa uvádza, že operácie súvisiace s ročnou účtovnou závierkou sú zo všetkých významných hľadísk zákonné a správne; ďalej konštatuje, že v dôsledku toho Dvor audítorov vydal audítorské výroky bez výhrad k zákonnosti a správnosti príjmov aj platieb súvisiacich s účtovnou závierkou spoločných podnikov;</w:t>
      </w:r>
    </w:p>
    <w:p w14:paraId="4B7B18C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14.</w:t>
      </w:r>
      <w:r w:rsidRPr="000C7927">
        <w:rPr>
          <w:kern w:val="2"/>
          <w14:ligatures w14:val="standardContextual"/>
        </w:rPr>
        <w:tab/>
        <w:t>berie na vedomie, že podľa názoru Dvora audítorov neboli spoločnému podniku pre inteligentné siete a služby a spoločnému podniku Globálne zdravie EDCTP3 poskytnuté dostatočné usmernenia týkajúce sa ich prvej ročnej účtovnej závierky, najmä pokiaľ ide o potrebu jasne rozlišovať finančné zdroje spravované Komisiou predtým, ako spoločné podniky dosiahli finančnú autonómiu, a samotnými spoločnými podnikmi po jej dosiahnutí; opakuje odporúčanie Dvora audítorov v tejto súvislosti, v ktorom sa navrhuje, aby sa účtovné usmernenia vypracovali jasne a zrozumiteľne tak, aby tieto usmernenia spresňovali pravidlá predkladania prvej ročnej účtovnej závierky nových spoločných podnikov a obsahovali pokyny o tom, ako oddeliť finančné zdroje riadené Komisiou od zdrojov riadených spoločným podnikom po tom, ako dosiahne finančnú autonómiu; berie na vedomie, že riziko spoľahlivosti účtovných závierok sa považovalo za nízke v prípade všetkých spoločných podnikov s výnimkou spoločného podniku pre inteligentné siete a služby a spoločného podniku Globálne zdravie EDCTP3, pri ktorých sa považovalo za stredné vzhľadom na zložitý presun rozpočtových prostriedkov a aktív spod zodpovednosti Komisie do zodpovednosti spoločného podniku;</w:t>
      </w:r>
    </w:p>
    <w:p w14:paraId="4C72F352"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15.</w:t>
      </w:r>
      <w:r w:rsidRPr="000C7927">
        <w:rPr>
          <w:kern w:val="2"/>
          <w14:ligatures w14:val="standardContextual"/>
        </w:rPr>
        <w:tab/>
        <w:t xml:space="preserve">berie na vedomie, že ročná účtovná závierka Európskeho spoločného podniku pre ITER a rozvoj energie jadrovej syntézy sa vypracúva podľa základného scenára projektu ITER z roku 2023, ale že ten sa práve reviduje, pričom výsledok revízie pravdepodobne povedie k významným zmenám pre Európsky spoločný podnik pre ITER a rozvoj energie jadrovej syntézy a jeho odhadované celkové náklady pri dokončení; zdôrazňuje, že dotknutý spoločný podnik by mal urobiť všetko, čo je v jeho silách, aby budúci základný scenár a jeho dôsledky, pokiaľ ide o potrebu peňažných príspevkov Únie do spoločného podniku, neboli pre rozpočet Únie záťažou; konštatuje na základe vypočutia príslušného spoločného podniku vo Výbore pre kontrolu rozpočtu, že v čase vypočutia </w:t>
      </w:r>
      <w:r w:rsidRPr="000C7927">
        <w:rPr>
          <w:kern w:val="2"/>
          <w14:ligatures w14:val="standardContextual"/>
        </w:rPr>
        <w:lastRenderedPageBreak/>
        <w:t>sa podľa príslušného spoločného podniku ešte nedal poskytnúť odhad finančného dosahu tejto revízie; vyjadruje znepokojenie aj v súvislosti s oneskoreniami, ktoré postihli projekt ITER v dôsledku faktorov, ktoré spoločný podnik nemohol ovplyvniť;</w:t>
      </w:r>
    </w:p>
    <w:p w14:paraId="70ED66E1"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16.</w:t>
      </w:r>
      <w:r w:rsidRPr="000C7927">
        <w:rPr>
          <w:kern w:val="2"/>
          <w14:ligatures w14:val="standardContextual"/>
        </w:rPr>
        <w:tab/>
        <w:t>vyjadruje znepokojenie nad potenciálnym vplyvom reorganizácie Európskeho spoločného podniku pre ITER a rozvoj energie jadrovej syntézy na jeho činnosti, najmä krátko- až strednodobou nestabilitou a prevádzkovými rizikami pre spoločný podnik; víta to, že dotknutý spoločný podnik si tieto otázky uvedomuje, ako aj vysvetlenie poskytnuté v súvislosti s jeho názormi na situáciu; víta dodatočné informácie poskytnuté počas vypočutia príslušného spoločného podniku vo Výbore pre kontrolu rozpočtu, najmä v súvislosti s tým, že kontinuita činností nebola doposiaľ až tak ohrozená vďaka silnému zameraniu na existujúce programy a projekty; víta flexibilitu, ktorú priniesla nová maticová štruktúra;</w:t>
      </w:r>
    </w:p>
    <w:p w14:paraId="5E90BAA0"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17.</w:t>
      </w:r>
      <w:r w:rsidRPr="000C7927">
        <w:rPr>
          <w:kern w:val="2"/>
          <w14:ligatures w14:val="standardContextual"/>
        </w:rPr>
        <w:tab/>
        <w:t>berie na vedomie, že riziko v oblasti zákonnosti a správnosti príjmov sa v prípade všetkých spoločných podnikov považovalo za nízke;</w:t>
      </w:r>
    </w:p>
    <w:p w14:paraId="715473C0" w14:textId="77777777" w:rsidR="000C7927" w:rsidRPr="000C7927" w:rsidRDefault="000C7927" w:rsidP="000C7927">
      <w:pPr>
        <w:spacing w:after="240"/>
        <w:rPr>
          <w:b/>
          <w:i/>
          <w:kern w:val="2"/>
          <w14:ligatures w14:val="standardContextual"/>
        </w:rPr>
      </w:pPr>
      <w:r w:rsidRPr="000C7927">
        <w:rPr>
          <w:b/>
          <w:i/>
          <w:kern w:val="2"/>
          <w14:ligatures w14:val="standardContextual"/>
        </w:rPr>
        <w:t>Rozpočtové a finančné riadenie</w:t>
      </w:r>
    </w:p>
    <w:p w14:paraId="4FE96E9B"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18.</w:t>
      </w:r>
      <w:r w:rsidRPr="000C7927">
        <w:rPr>
          <w:kern w:val="2"/>
          <w14:ligatures w14:val="standardContextual"/>
        </w:rPr>
        <w:tab/>
        <w:t>konštatuje, že podľa Dvora audítorov bol celkový dostupný rozpočet na rok 2023 pre jedenásť spoločných podnikov, ktoré kontroloval, 4,25 miliardy EUR vo viazaných rozpočtových prostriedkoch a 3,87 miliardy EUR v platobných rozpočtových prostriedkoch, pričom Dvor audítorov sa domnieva, že celkový dostupný rozpočet zahŕňa nevyužité rozpočtové prostriedky z predchádzajúcich rokov, ktoré spoločné podniky opäť začlenili do rozpočtu bežného roka, ako aj pripísané príjmy a prostriedky prerozdelené do nasledujúceho roka; konkrétnejšie konštatuje, že:</w:t>
      </w:r>
    </w:p>
    <w:p w14:paraId="494512D7"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a)</w:t>
      </w:r>
      <w:r w:rsidRPr="000C7927">
        <w:rPr>
          <w:kern w:val="2"/>
          <w14:ligatures w14:val="standardContextual"/>
        </w:rPr>
        <w:tab/>
        <w:t>celkový dostupný rozpočet spoločného podniku pre výskum manažmentu letovej prevádzky jednotného európskeho neba 3 dosiahol výšku 111,2 milióna EUR vo viazaných rozpočtových prostriedkoch (158,8 milióna EUR v roku 2022) a 241,5 milióna EUR v platobných rozpočtových prostriedkoch (146,9 milióna EUR v roku 2022); ďalej berie na vedomie, že podľa správy o rozpočtovom a finančnom riadení spoločného podniku pre výskum manažmentu letovej prevádzky jednotného európskeho neba 3 jeho celková miera plnenia rozpočtu za rozpočtový rok 2023 dosiahla 92 % v prípade viazaných rozpočtových prostriedkov a 81 % v prípade platobných rozpočtových prostriedkov, čo naznačuje, že v súvislosti s tempom plnenia rozpočtu neboli zaznamenané žiadne závažné problémy; poukazuje však na nízku mieru plnenia jeho platobných rozpočtových prostriedkov určených na infraštruktúru a administratívne výdavky, ktorá dosiahla 55 %; berie na vedomie vysvetlenie spoločného podniku a vo všeobecnosti vyzýva spoločný podnik, aby zabezpečil zdravé tempo plnenia každého oddielu svojho rozpočtu;</w:t>
      </w:r>
    </w:p>
    <w:p w14:paraId="79F09679"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b)</w:t>
      </w:r>
      <w:r w:rsidRPr="000C7927">
        <w:rPr>
          <w:kern w:val="2"/>
          <w14:ligatures w14:val="standardContextual"/>
        </w:rPr>
        <w:tab/>
        <w:t xml:space="preserve">celkový dostupný rozpočet spoločného podniku pre čisté letectvo dosiahol výšku 269 miliónov EUR vo viazaných rozpočtových prostriedkoch (411,2 milióna EUR v roku 2022) a 486,4 milióna EUR v platobných rozpočtových prostriedkoch (415,3 milióna EUR v roku 2022); ďalej berie na vedomie, že podľa správy o rozpočtovom a finančnom riadení spoločného podniku pre čisté letectvo jeho celková miera plnenia rozpočtu za rozpočtový rok 2023 dosiahla 98,58 % v prípade viazaných rozpočtových prostriedkov a 51,18 % v prípade platobných rozpočtových prostriedkov, čo svedčí o závažných problémoch v súvislosti </w:t>
      </w:r>
      <w:r w:rsidRPr="000C7927">
        <w:rPr>
          <w:kern w:val="2"/>
          <w14:ligatures w14:val="standardContextual"/>
        </w:rPr>
        <w:lastRenderedPageBreak/>
        <w:t>s tempom plnenia rozpočtu; konštatuje najmä, že miera plnenia dvoch hláv operačných výdavkov v prípade platobných rozpočtových prostriedkov je 80,50 %, resp. 81,11 %; ďalej poukazuje na nízku mieru plnenia platobných rozpočtových prostriedkov spoločného podniku určených na infraštruktúru, ktorá dosiahla 60,52 %; vyjadruje hlboké poľutovanie nad významnou sumou vyčlenenou na hlavu 5 jeho rozpočtu (nevyužité platobné rozpočtové prostriedky vo výške 177 miliónov EUR), ktorá má mieru technického plnenia 0 %; berie na vedomie vysvetlenie spoločného podniku a vo všeobecnosti vyzýva spoločný podnik, aby zabezpečil zdravé tempo plnenia každého oddielu svojho rozpočtu;</w:t>
      </w:r>
    </w:p>
    <w:p w14:paraId="1DC98E07"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c)</w:t>
      </w:r>
      <w:r w:rsidRPr="000C7927">
        <w:rPr>
          <w:kern w:val="2"/>
          <w14:ligatures w14:val="standardContextual"/>
        </w:rPr>
        <w:tab/>
        <w:t>celkový dostupný rozpočet spoločného podniku pre iniciatívu Inovatívne zdravotníctvo dosiahol výšku 223,2 milióna EUR vo viazaných rozpočtových prostriedkoch (272,4 milióna EUR v roku 2022) a 225,9 milióna EUR v platobných rozpočtových prostriedkoch (174,8 milióna EUR v roku 2022); ďalej konštatuje, že podľa správy o rozpočtovom a finančnom riadení spoločného podniku pre iniciatívu Inovatívne zdravotníctvo jeho celková miera plnenia rozpočtu za rozpočtový rok 2023 dosiahla 92,65 % v prípade viazaných rozpočtových prostriedkov a 90,29 % v prípade platobných rozpočtových prostriedkov, t. j. v súvislosti s tempom plnenia rozpočtu sa nevyskytli žiadne závažné problémy; poukazuje však na nízku mieru plnenia viazaných (68,67 %) a platobných (67,30 %) rozpočtových prostriedkov určených na infraštruktúru; berie na vedomie vysvetlenie spoločného podniku a vo všeobecnosti vyzýva spoločný podnik, aby zabezpečil zdravé tempo plnenia každého oddielu svojho rozpočtu;</w:t>
      </w:r>
    </w:p>
    <w:p w14:paraId="585A75F0"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d)</w:t>
      </w:r>
      <w:r w:rsidRPr="000C7927">
        <w:rPr>
          <w:kern w:val="2"/>
          <w14:ligatures w14:val="standardContextual"/>
        </w:rPr>
        <w:tab/>
        <w:t>celkový dostupný rozpočet spoločného podniku pre čistý vodík dosiahol výšku 268,9 milióna EUR vo viazaných rozpočtových prostriedkoch (314,3 milióna EUR v roku 2022) a 327,8 milióna EUR v platobných rozpočtových prostriedkoch (118,3 milióna EUR v roku 2022); ďalej konštatuje, že podľa správy o rozpočtovom a finančnom riadení spoločného podniku pre čistý vodík jeho celková miera plnenia rozpočtu za rozpočtový rok 2023 dosiahla 96,62 % v prípade viazaných rozpočtových prostriedkov a 85,43 % v prípade platobných rozpočtových prostriedkov, t. j. v súvislosti s tempom plnenia rozpočtu sa nevyskytli žiadne závažné problémy; poukazuje však na nízku mieru plnenia platobných rozpočtových prostriedkov (69,41 %) určených na operačné výdavky spoločného podniku v súvislosti s programom Horizont 2020; okrem toho poukazuje na nízku mieru plnenia viazaných (71,21 %) a platobných (60,60 %) rozpočtových prostriedkov určených na infraštruktúru; berie na vedomie vysvetlenia spoločného podniku a vo všeobecnosti spoločný podnik vyzýva, aby zabezpečil zdravé tempo plnenia každého oddielu svojho rozpočtu;</w:t>
      </w:r>
    </w:p>
    <w:p w14:paraId="216B5866"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e)</w:t>
      </w:r>
      <w:r w:rsidRPr="000C7927">
        <w:rPr>
          <w:kern w:val="2"/>
          <w14:ligatures w14:val="standardContextual"/>
        </w:rPr>
        <w:tab/>
        <w:t xml:space="preserve">celkový dostupný rozpočet spoločného podniku pre čipy dosiahol výšku 835,7 milióna EUR vo viazaných rozpočtových prostriedkoch (261,4 milióna EUR v roku 2022) a 518,4 milióna EUR v platobných rozpočtových prostriedkoch (222,2 milióna EUR v roku 2022); ďalej berie na vedomie, že podľa správy o rozpočtovom a finančnom riadení spoločného podniku pre čipy jeho celková miera plnenia rozpočtu za rozpočtový rok 2023 dosiahla 100 % v prípade viazaných rozpočtových prostriedkov a 37 % v prípade platobných rozpočtových prostriedkov, čo svedčí o závažných problémoch v súvislosti s tempom plnenia rozpočtu; najmä poukazuje na mimoriadne nízku mieru plnenia platobných rozpočtových prostriedkov spoločného podniku určených na operačné výdavky, </w:t>
      </w:r>
      <w:r w:rsidRPr="000C7927">
        <w:rPr>
          <w:kern w:val="2"/>
          <w14:ligatures w14:val="standardContextual"/>
        </w:rPr>
        <w:lastRenderedPageBreak/>
        <w:t>ktorá dosiahla 36 %; berie na vedomie vysvetlenie spoločného podniku, vyjadruje však hlboké poľutovanie nad takouto nízkou mierou plnenia a vo všeobecnosti spoločný podnik vyzýva, aby zabezpečil zdravé tempo plnenia každého oddielu svojho rozpočtu; berie na vedomie, že tieto skutočnosti, ako aj zvýšené financovanie, ktoré spoločný podnik pre čipy využil v roku 2023 a ktoré musel spoločný podnik pre čipy implementovať, viedli Dvor audítorov k tomu, aby riziko pre rozpočtové riadenie považoval pre tento spoločný podnik za stredné;</w:t>
      </w:r>
    </w:p>
    <w:p w14:paraId="2E2AFD39"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f)</w:t>
      </w:r>
      <w:r w:rsidRPr="000C7927">
        <w:rPr>
          <w:kern w:val="2"/>
          <w14:ligatures w14:val="standardContextual"/>
        </w:rPr>
        <w:tab/>
        <w:t>celkový dostupný rozpočet spoločného podniku pre európske obehové hospodárstvo využívajúce biologické materiály dosiahol výšku 227,4 milióna EUR vo viazaných rozpočtových prostriedkoch (264,2 milióna EUR v roku 2022) a 137,4 milióna EUR v platobných rozpočtových prostriedkoch (80,3 milióna EUR v roku 2022); ďalej konštatuje, že podľa správy o rozpočtovom a finančnom riadení spoločného podniku pre obehové hospodárstvo využívajúce biologické materiály jeho celková miera plnenia rozpočtu za rozpočtový rok 2023 dosiahla 97,6 % v prípade viazaných rozpočtových prostriedkov a 90,3 % v prípade platobných rozpočtových prostriedkov, čo naznačuje, že v súvislosti s tempom plnenia rozpočtu sa nevyskytli žiadne závažné problémy; upozorňuje však na nízku mieru plnenia viazaných (64 %) a platobných (57 %) rozpočtových prostriedkov v prípade administratívnych výdavkov určených na platy, ako aj nízku mieru plnenia platobných rozpočtových prostriedkov v prípade administratívnych výdavkov určených na iné administratívne výdavky, ktorá dosiahla 54 %; berie na vedomie vysvetlenie spoločného podniku a vo všeobecnosti vyzýva spoločný podnik, aby zabezpečil zdravé tempo plnenia každého oddielu svojho rozpočtu;</w:t>
      </w:r>
    </w:p>
    <w:p w14:paraId="42414814"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g)</w:t>
      </w:r>
      <w:r w:rsidRPr="000C7927">
        <w:rPr>
          <w:kern w:val="2"/>
          <w14:ligatures w14:val="standardContextual"/>
        </w:rPr>
        <w:tab/>
        <w:t xml:space="preserve">celkový dostupný rozpočet spoločného podniku pre európske železnice dosiahol v roku 2023 výšku 102,6 milióna EUR vo viazaných rozpočtových prostriedkoch (171,4 milióna EUR v roku 2022) a 120,3 milióna EUR v platobných rozpočtových prostriedkoch (180,8 milióna EUR v roku 2022); ďalej chápe, že podľa správy o rozpočtovom a finančnom riadení spoločného podniku pre európske železnice dosiahla jeho celková miera plnenia rozpočtu za rozpočtový rok 2023 v prípade viazaných rozpočtových prostriedkov 97 % a v prípade platobných rozpočtových prostriedkov 82 %, čo naznačuje, že v súvislosti s tempom plnenia rozpočtu sa nevyskytli žiadne závažné problémy; poukazuje však na nízku mieru plnenia platobných rozpočtových prostriedkov (67 %) na operačné výdavky spoločného podniku v súvislosti s programom Horizont 2020; berie na vedomie vysvetlenie spoločného podniku a vo všeobecnosti vyzýva spoločný podnik, aby zabezpečil zdravé tempo plnenia každého oddielu svojho rozpočtu; poukazuje na to, že spoločný podnik pre európske železnice odložil konečné platby na rok 2024 z dôvodu technických problémov prijímateľov; berie na vedomie niekoľko projektov, ktoré si nenárokovali rozpočty v plnej výške, čím sa znížila potreba operačných platieb približne o 4,1 milióna EUR; </w:t>
      </w:r>
      <w:r w:rsidRPr="000C7927">
        <w:rPr>
          <w:color w:val="000000"/>
          <w:kern w:val="2"/>
          <w14:ligatures w14:val="standardContextual"/>
        </w:rPr>
        <w:t xml:space="preserve">vyzýva príslušný spoločný podnik, aby vypracoval plán, ako zlepšiť povinnosti podávania účtovných výkazov; </w:t>
      </w:r>
      <w:r w:rsidRPr="000C7927">
        <w:rPr>
          <w:kern w:val="2"/>
          <w14:ligatures w14:val="standardContextual"/>
        </w:rPr>
        <w:t>zdôrazňuje, že je dôležité podporovať spoločný podnik vzhľadom na inherentné výhody železničnej dopravy, pokiaľ ide o environmentálne vlastnosti, využitie pôdy, spotrebu energie a bezpečnosť;</w:t>
      </w:r>
    </w:p>
    <w:p w14:paraId="5D76EEF8"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h)</w:t>
      </w:r>
      <w:r w:rsidRPr="000C7927">
        <w:rPr>
          <w:kern w:val="2"/>
          <w14:ligatures w14:val="standardContextual"/>
        </w:rPr>
        <w:tab/>
        <w:t xml:space="preserve">celkový dostupný rozpočet spoločného podniku pre európsku vysokovýkonnú výpočtovú techniku dosiahol v roku 2023 výšku 1 136 miliónov EUR vo viazaných rozpočtových prostriedkoch (1 374,5 milióna EUR v roku 2022) </w:t>
      </w:r>
      <w:r w:rsidRPr="000C7927">
        <w:rPr>
          <w:kern w:val="2"/>
          <w14:ligatures w14:val="standardContextual"/>
        </w:rPr>
        <w:lastRenderedPageBreak/>
        <w:t>a 1 058 miliónov EUR v platobných rozpočtových prostriedkoch (629,9 milióna EUR v roku 2022); ďalej berie na vedomie, že podľa správy o rozpočtovom a finančnom riadení spoločného podniku pre európsku vysokovýkonnú výpočtovú techniku jeho celková miera plnenia rozpočtu za rozpočtový rok 2023 dosiahla 83 % v prípade viazaných rozpočtových prostriedkov a 19 % v prípade platobných rozpočtových prostriedkov, čo svedčí o závažných problémoch v súvislosti s tempom plnenia rozpočtu; najmä poukazuje na mimoriadne nízku mieru plnenia platobných rozpočtových prostriedkov spoločného podniku určených na operačné výdavky, ktorá dosiahla 19 %; berie na vedomie vysvetlenie spoločného podniku, vyjadruje však hlboké poľutovanie nad takouto nízkou mierou plnenia; okrem toho poukazuje na nízku mieru plnenia viazaných (45 %) a platobných (42 %) rozpočtových prostriedkov určených na administratívne výdavky; berie na vedomie vysvetlenie spoločného podniku a vo všeobecnosti vyzýva spoločný podnik, aby zabezpečil zdravé tempo plnenia každého oddielu svojho rozpočtu; berie na vedomie, že tieto skutočnosti súvisiace so zvýšeným financovaním, ktoré spoločný podnik pre európsku vysokovýkonnú výpočtovú techniku využil v roku 2023 a ktoré musel implementovať, viedli Dvor audítorov k tomu, aby riziko pre rozpočtové riadenie považoval pre tento spoločný podnik za stredné; víta dodatočné informácie o dôvodoch tejto pomalej miery plnenia poskytnuté na vypočutí príslušného spoločného podniku vo Výbore pre kontrolu rozpočtu;</w:t>
      </w:r>
    </w:p>
    <w:p w14:paraId="36BA99C7"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i)</w:t>
      </w:r>
      <w:r w:rsidRPr="000C7927">
        <w:rPr>
          <w:kern w:val="2"/>
          <w14:ligatures w14:val="standardContextual"/>
        </w:rPr>
        <w:tab/>
        <w:t>celkový dostupný rozpočet spoločného podniku pre inteligentné siete a služby dosiahol v roku 2023 výšku 134,7 milióna EUR vo viazaných rozpočtových prostriedkoch a 122,9 milióna EUR v platobných rozpočtových prostriedkoch; ďalej berie na vedomie, že podľa správy o rozpočtovom a finančnom riadení spoločného podniku pre inteligentné siete a služby jeho celková miera plnenia rozpočtu za rozpočtový rok 2023 dosiahla 99 % v prípade viazaných rozpočtových prostriedkov a 89 % v prípade platobných rozpočtových prostriedkov; domnieva sa, že vzhľadom na krátkosť obdobia, počas ktorého mal spoločný podnik v rozpočtovom roku 2023 finančnú autonómiu, neexistujú dostatočné podklady, na základe ktorých by Európsky parlament mohol v dobrej viere vyjadriť svoj názor na kvalitu finančného riadenia spoločného podniku; konštatuje však, že z tohto dôvodu sa riziko pre zákonnosť a správnosť administratívnych výdavkov považovalo v prípade spoločného podniku za stredné;</w:t>
      </w:r>
    </w:p>
    <w:p w14:paraId="2FAA4089"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j)</w:t>
      </w:r>
      <w:r w:rsidRPr="000C7927">
        <w:rPr>
          <w:kern w:val="2"/>
          <w14:ligatures w14:val="standardContextual"/>
        </w:rPr>
        <w:tab/>
        <w:t>celkový dostupný rozpočet spoločného podniku Globálne zdravie EDCPT3 dosiahol v roku 2023 výšku 136,4 milióna EUR vo viazaných rozpočtových prostriedkoch a 2,2 milióna EUR v platobných rozpočtových prostriedkoch; ďalej berie na vedomie, že podľa správy o rozpočtovom a finančnom riadení spoločného podniku pre Globálne zdravie EDCPT3 jeho celková miera plnenia rozpočtu za rozpočtový rok 2023 dosiahla 100 % v prípade viazaných rozpočtových prostriedkov a 47 % v prípade platobných rozpočtových prostriedkov; domnieva sa, že vzhľadom na krátkosť obdobia, počas ktorého mal spoločný podnik v rozpočtovom roku 2023 finančnú autonómiu, neexistujú dostatočné podklady, na základe ktorých by Európsky parlament mohol v dobrej viere vyjadriť svoj názor na kvalitu finančného riadenia spoločného podniku; konštatuje však, že z tohto dôvodu sa riziko pre zákonnosť a správnosť administratívnych výdavkov považovalo v prípade spoločného podniku za stredné;</w:t>
      </w:r>
    </w:p>
    <w:p w14:paraId="317A880F"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lastRenderedPageBreak/>
        <w:t>k)</w:t>
      </w:r>
      <w:r w:rsidRPr="000C7927">
        <w:rPr>
          <w:kern w:val="2"/>
          <w14:ligatures w14:val="standardContextual"/>
        </w:rPr>
        <w:tab/>
        <w:t xml:space="preserve">celkový dostupný rozpočet Európskeho spoločného podniku pre ITER a rozvoj energie jadrovej syntézy dosiahol v roku 2023 výšku 807 miliónov EUR vo viazaných rozpočtových prostriedkoch (981,2 milióna EUR v roku 2022) a 631,5 milióna EUR v platobných rozpočtových prostriedkoch (844 miliónov EUR v roku 2022); ďalej berie na vedomie, že podľa správy o rozpočtovom a finančnom riadení Európskeho spoločného podniku pre ITER a rozvoj energie jadrovej syntézy dosiahla celková miera plnenia jeho rozpočtu za rozpočtový rok 2023 73 % v prípade viazaných rozpočtových prostriedkov a 95 % v prípade platobných rozpočtových prostriedkov, čo svedčí o závažných problémoch v súvislosti s tempom plnenia rozpočtu; poukazuje najmä na nízku mieru plnenia viazaných rozpočtových prostriedkov určených na operačné výdavky, ktorá dosiahla 70 %; berie na vedomie vysvetlenie spoločného podniku, ako aj výsledné vrátenie pôvodne plánovaných príspevkov </w:t>
      </w:r>
      <w:proofErr w:type="spellStart"/>
      <w:r w:rsidRPr="000C7927">
        <w:rPr>
          <w:kern w:val="2"/>
          <w14:ligatures w14:val="standardContextual"/>
        </w:rPr>
        <w:t>Euratomu</w:t>
      </w:r>
      <w:proofErr w:type="spellEnd"/>
      <w:r w:rsidRPr="000C7927">
        <w:rPr>
          <w:kern w:val="2"/>
          <w14:ligatures w14:val="standardContextual"/>
        </w:rPr>
        <w:t xml:space="preserve"> a hostiteľskému štátu zariadenia ITER a vo všeobecnosti spoločný podnik vyzýva, aby zabezpečil zdravé tempo plnenia každého oddielu svojho rozpočtu; berie na vedomie, že tieto prvky, ktoré súvisia s oneskoreniami a ťažkosťami pri vykonávaní, viedli Dvor audítorov k tomu, že riziko pre rozpočtové riadenie považuje v prípade tohto spoločného podniku za stredné;</w:t>
      </w:r>
    </w:p>
    <w:p w14:paraId="44C27B72"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19.</w:t>
      </w:r>
      <w:r w:rsidRPr="000C7927">
        <w:rPr>
          <w:kern w:val="2"/>
          <w14:ligatures w14:val="standardContextual"/>
        </w:rPr>
        <w:tab/>
        <w:t>vyjadruje rovnako ako Dvor audítorov znepokojenie, pokiaľ ide o nevyužité rozpočtové prostriedky pri vykonávaní programov určitých spoločných podnikov, a vyzýva dotknuté spoločné podniky, aby sa nabudúce takýmto situáciám vyhli, keďže nahromadenie nevyužitých rozpočtových prostriedkov vedie k prebytkom hotovosti, ktoré potom Únia nemá k dispozícii na financovanie iných činností a programov; zdôrazňuje, že to nie je v súlade so zásadou správneho finančného riadenia a za rozpočtový rok 2023 to viedlo k prebytku hotovosti v celkovej výške 1,5 miliardy EUR; súhlasí s odporúčaním Dvora audítorov prijať opatrenia v tejto súvislosti, v ktorom sa navrhuje, aby dotknuté spoločné podniky v koordinácii s Komisiou vypracovali primerané nápravné mechanizmy na zníženie svojich prebytkov hotovosti na primeranú úroveň a následne zosúladili žiadosti o hotovosť za každý rozpočtový rok so svojimi odhadovanými potrebami v oblasti výdavkov; uvedomuje si možnosti, ktoré vyplývajú z rozpočtových pravidiel príslušných spoločných podnikov, pokiaľ ide o zahrnutie nevyužitých rozpočtových prostriedkov do odhadu príjmov a výdavkov do troch rozpočtových rokov po ich prijatí; vyjadruje však konkrétnejšie znepokojenie nad:</w:t>
      </w:r>
    </w:p>
    <w:p w14:paraId="74068FA4"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a)</w:t>
      </w:r>
      <w:r w:rsidRPr="000C7927">
        <w:rPr>
          <w:kern w:val="2"/>
          <w14:ligatures w14:val="standardContextual"/>
        </w:rPr>
        <w:tab/>
        <w:t>nedostatkami v plánovaní hotovosti spoločného podniku pre čisté letectvo v nadväznosti na žiadosť o dodatočné finančné príspevky Únie vo výške 178 miliónov EUR nad rámec hotovostných potrieb na plánovanú platbu v roku 2023, čo viedlo k prebytku hotovosti vo výške 237 miliónov EUR na konci roka 2023; berie však na vedomie vysvetlenie spoločného podniku; opakuje napriek tomu svoju výzvu spoločnému podniku pre čisté letectvo, aby v budúcnosti zabránil podobným situáciám, a víta zmeny, ktoré spoločný podnik oznámil do roku 2024;</w:t>
      </w:r>
    </w:p>
    <w:p w14:paraId="3AC16E81"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b)</w:t>
      </w:r>
      <w:r w:rsidRPr="000C7927">
        <w:rPr>
          <w:kern w:val="2"/>
          <w14:ligatures w14:val="standardContextual"/>
        </w:rPr>
        <w:tab/>
        <w:t>nedostatkami v plánovaní hotovosti spoločného podniku pre čipy v nadväznosti na žiadosť o dodatočné finančné príspevky EÚ vo výške 196 miliónov EUR nad rámec hotovostných potrieb na plánovanú platbu v roku 2023, čo viedlo k prebytku hotovosti vo výške 438 miliónov EUR na konci roka 2023; berie však na vedomie vysvetlenie spoločného podniku; opakuje napriek tomu svoju výzvu spoločnému podniku pre čipy, aby v budúcnosti zabránil podobným situáciám, a víta ambíciu do roku 2024, ktorú spoločný podnik oznámil;</w:t>
      </w:r>
    </w:p>
    <w:p w14:paraId="29B9224E"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lastRenderedPageBreak/>
        <w:t>c)</w:t>
      </w:r>
      <w:r w:rsidRPr="000C7927">
        <w:rPr>
          <w:kern w:val="2"/>
          <w14:ligatures w14:val="standardContextual"/>
        </w:rPr>
        <w:tab/>
        <w:t>nedostatkami v plánovaní hotovosti spoločného podniku pre vysokovýkonnú výpočtovú techniku v nadväznosti na žiadosť o dodatočné finančné príspevky Únie vo výške 488,6 milióna EUR nad rámec hotovostných potrieb na plánovanú platbu v roku 2023, čo viedlo k prebytku hotovosti vo výške 840,7 milióna EUR na konci roka 2023; chápe situáciu, v ktorej sa spoločný podnik nachádza a ktorá viedla k tomuto prebytku, a víta dodatočné informácie poskytnuté počas vypočutia dotknutého spoločného podniku vo Výbore pre kontrolu rozpočtu, najmä pokiaľ ide o očakávania, že projekty súvisiace s umelou inteligenciou budú príležitosťou na vyplatenie významnej hotovostnej sumy; opakuje však svoju výzvu, aby sa spoločný podnik pre európsku vysokovýkonnú výpočtovú techniku v budúcnosti podobným situáciám vyhol;</w:t>
      </w:r>
    </w:p>
    <w:p w14:paraId="3E65E334" w14:textId="77777777" w:rsidR="000C7927" w:rsidRPr="000C7927" w:rsidRDefault="000C7927" w:rsidP="000C7927">
      <w:pPr>
        <w:spacing w:after="240"/>
        <w:ind w:left="567" w:hanging="567"/>
        <w:rPr>
          <w:b/>
          <w:i/>
          <w:kern w:val="2"/>
          <w14:ligatures w14:val="standardContextual"/>
        </w:rPr>
      </w:pPr>
      <w:r w:rsidRPr="000C7927">
        <w:rPr>
          <w:kern w:val="2"/>
          <w14:ligatures w14:val="standardContextual"/>
        </w:rPr>
        <w:t>20.</w:t>
      </w:r>
      <w:r w:rsidRPr="000C7927">
        <w:rPr>
          <w:kern w:val="2"/>
          <w14:ligatures w14:val="standardContextual"/>
        </w:rPr>
        <w:tab/>
        <w:t>zdôrazňuje, že všetky spoločné podniky posilnia vnútorné finančné kontroly a mechanizmy verejnej transparentnosti, čím zabezpečia, aby sa finančné prostriedky rozdeľovali efektívne a spôsobom, ktorý je v súlade so strategickými cieľmi EÚ;</w:t>
      </w:r>
    </w:p>
    <w:p w14:paraId="65CA05B3"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21.</w:t>
      </w:r>
      <w:r w:rsidRPr="000C7927">
        <w:rPr>
          <w:kern w:val="2"/>
          <w14:ligatures w14:val="standardContextual"/>
        </w:rPr>
        <w:tab/>
        <w:t>vyjadruje rovnako ako Dvor audítorov znepokojenie, pokiaľ ide o príspevky členov do určitých spoločných podnikov, najmä pokiaľ ide o možnosť, že niektoré spoločné podniky by nemohli splniť svoje ciele v oblasti príspevkov alebo by to mohli urobiť len za cenu významného použitia nepeňažných príspevkov na dodatočné činnosti, a vyzýva dotknuté spoločné podniky, aby prijali všetky potrebné opatrenia, aby sa predišlo vzniku týchto situácií v budúcnosti; zdôrazňuje, že splnenie cieľov v oblasti príspevkov je zodpovednosťou a povinnosťou príslušných spoločných podnikov a že nesplnenie cieľov v oblasti príspevkov je v rozpore so základnou myšlienkou spoločných podnikov; vyjadruje však konkrétnejšie znepokojenie nad:</w:t>
      </w:r>
    </w:p>
    <w:p w14:paraId="12498CA1"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a)</w:t>
      </w:r>
      <w:r w:rsidRPr="000C7927">
        <w:rPr>
          <w:kern w:val="2"/>
          <w14:ligatures w14:val="standardContextual"/>
        </w:rPr>
        <w:tab/>
        <w:t xml:space="preserve">situáciou spoločného podniku pre výskum manažmentu letovej prevádzky jednotného európskeho neba 3, keďže cieľ operačných príspevkov jeho člena </w:t>
      </w:r>
      <w:proofErr w:type="spellStart"/>
      <w:r w:rsidRPr="000C7927">
        <w:rPr>
          <w:kern w:val="2"/>
          <w14:ligatures w14:val="standardContextual"/>
        </w:rPr>
        <w:t>Eurocontrol</w:t>
      </w:r>
      <w:proofErr w:type="spellEnd"/>
      <w:r w:rsidRPr="000C7927">
        <w:rPr>
          <w:kern w:val="2"/>
          <w14:ligatures w14:val="standardContextual"/>
        </w:rPr>
        <w:t>-u bol splnený len na 70 %, čo viedlo k tomu, že spoločný podnik nemal k dispozícii plánované príspevky, aby mohol plne vykonávať svoju časť programu Horizont 2020; berie na vedomie, že to však neviedlo Dvor audítorov k tomu, aby v prípade tohto spoločného podniku považoval riziko pre vykonávanie programu za stredné alebo vysoké, keďže ho považoval za nízke;</w:t>
      </w:r>
    </w:p>
    <w:p w14:paraId="2AA4C5D8"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b)</w:t>
      </w:r>
      <w:r w:rsidRPr="000C7927">
        <w:rPr>
          <w:kern w:val="2"/>
          <w14:ligatures w14:val="standardContextual"/>
        </w:rPr>
        <w:tab/>
        <w:t>situáciou spoločného podniku pre európske obehové hospodárstvo využívajúce biologické materiály, ktorý síce úspešne dosiahol svoj cieľ príspevkov v rámci programu Horizont 2020, ale dosiahol ho najmä zmenou rovnováhy medzi cieľmi pre nepeňažné príspevky na operatívne činnosti a pre nepeňažné príspevky na dodatočné činnosti, pričom nepeňažné príspevky na dodatočné činnosti sa zvýšili na 2 444,5 milióna EUR, čo zodpovedá 90 % celkového cieľa; zdôrazňuje, že takéto spoliehanie sa na nepeňažné príspevky na dodatočné činnosti ohrozuje vykonávanie programu Horizont 2020; podčiarkuje významné dôsledky revízie vykonanej spoločným podnikom; berie na vedomie vysvetlenie spoločného podniku, ako aj to, že dodatočné činnosti prispievajú k celkovým cieľom spoločného podniku; zdôrazňuje však, že ide o neprimerané využívanie nepeňažných príspevkov na dodatočné činnosti na splnenie stanovených cieľov, a vyzýva spoločný podnik, aby v budúcnosti takejto situácii zabránil; berie na vedomie, že vzhľadom na tieto skutočnosti dospel Dvor audítorov k záveru, že riziko pre vykonávanie programu je v prípade tohto spoločného podniku vysoké;</w:t>
      </w:r>
    </w:p>
    <w:p w14:paraId="0E46C2A4"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c)</w:t>
      </w:r>
      <w:r w:rsidRPr="000C7927">
        <w:rPr>
          <w:kern w:val="2"/>
          <w14:ligatures w14:val="standardContextual"/>
        </w:rPr>
        <w:tab/>
        <w:t xml:space="preserve">situáciou spoločného podniku pre európsku vysokovýkonnú výpočtovú techniku, </w:t>
      </w:r>
      <w:r w:rsidRPr="000C7927">
        <w:rPr>
          <w:kern w:val="2"/>
          <w14:ligatures w14:val="standardContextual"/>
        </w:rPr>
        <w:lastRenderedPageBreak/>
        <w:t>ktorého príspevky od súkromných členov v rámci programu Horizont 2020 boli oproti cieľu 420 miliónov EUR nahlásené len vo výške 18,4 milióna EUR, čo je závažný rozdiel; ďalej konštatuje, že takáto situácia by sa mohla opäť vyskytnúť v rámci programov Horizont Európa a Digitálna Európa, keďže cieľ príspevku pre súkromných členov sa výrazne zvýšil na 900 miliónov EUR, zatiaľ čo mechanizmy financovania, ktoré súkromným členom spôsobili ťažkosti v rámci programu Horizont 2020, zostávajú v platnosti; berie na vedomie, že vzhľadom na tieto skutočnosti dospel Dvor audítorov k záveru, že riziko pre vykonávanie programu je v prípade tohto spoločného podniku vysoké; berie na vedomie na základe dodatočných informácií poskytnutých počas vypočutia príslušného spoločného podniku vo Výbore pre kontrolu rozpočtu, že táto otázka sa rieši v spolupráci so správnou radou; napriek tomu opakuje odporúčanie Dvora audítorov na prijatie opatrení v tejto súvislosti, v ktorom sa navrhuje, aby spoločný podnik pre európsku vysokovýkonnú výpočtovú techniku podporil prehodnotenie súčasného cieľa Komisiou, aby sa zabezpečilo dosiahnutie cieľa, pokiaľ ide o príspevok súkromných členov v rámci programov Horizont Európa a Digitálna Európa, a opätovne zdôrazňuje, že dosiahnutie cieľov v oblasti príspevkov by sa nemalo považovať len za ambíciu, ale za povinnosť;</w:t>
      </w:r>
    </w:p>
    <w:p w14:paraId="4BA5D8E1"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22.</w:t>
      </w:r>
      <w:r w:rsidRPr="000C7927">
        <w:rPr>
          <w:kern w:val="2"/>
          <w14:ligatures w14:val="standardContextual"/>
        </w:rPr>
        <w:tab/>
        <w:t>zdôrazňuje, že na podporu efektívnosti sa v jednotnom základnom akte spoločných podnikov stanovuje pre tieto podniky povinnosť využívať synergický účinok ustanovením dojednaní o administratívnom útvare v rade identifikovaných oblastí; berie na vedomie, že príslušné spoločné podniky určili za prioritu štyri oblasti, a to účtovné činnosti, právne činnosti, informačné a komunikačné technológie a ľudské zdroje; v tejto súvislosti víta najmä:</w:t>
      </w:r>
    </w:p>
    <w:p w14:paraId="347E1EA2"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a)</w:t>
      </w:r>
      <w:r w:rsidRPr="000C7927">
        <w:rPr>
          <w:kern w:val="2"/>
          <w14:ligatures w14:val="standardContextual"/>
        </w:rPr>
        <w:tab/>
        <w:t>skutočnosť, že dojednania o administratívnom útvare v oblasti účtovných činností boli prijaté v decembri 2022, a preto boli v platnosti počas celého rozpočtového roka 2023, čo bolo možné sledovať pri zostavovaní ročnej účtovnej závierky, ako aj to, že spoločný podnik pre európske železnice prevzal vedúcu úlohu pri uplatňovaní týchto dojednaní;</w:t>
      </w:r>
    </w:p>
    <w:p w14:paraId="656A0018"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b)</w:t>
      </w:r>
      <w:r w:rsidRPr="000C7927">
        <w:rPr>
          <w:kern w:val="2"/>
          <w14:ligatures w14:val="standardContextual"/>
        </w:rPr>
        <w:tab/>
        <w:t>skutočnosť, že spoločný podnik pre európske obehové hospodárstvo využívajúce biologické materiály a spoločný podnik pre iniciatívu Inovatívne zdravotníctvo sa ujali vedúcej úlohy pri uplatňovaní dojednaní o administratívnom útvare v oblasti riadenia spoločného náboru zamestnancov, právneho rámca ľudských zdrojov a ich digitalizácie;</w:t>
      </w:r>
    </w:p>
    <w:p w14:paraId="2E92915B"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c)</w:t>
      </w:r>
      <w:r w:rsidRPr="000C7927">
        <w:rPr>
          <w:kern w:val="2"/>
          <w14:ligatures w14:val="standardContextual"/>
        </w:rPr>
        <w:tab/>
        <w:t>skutočnosť, že spoločný podnik pre čistý vodík a spoločný podnik pre iniciatívu Inovatívne zdravotníctvo sa ujali vedúcej úlohy pri uplatňovaní dojednaní o administratívnom útvare na riadenie služieb informačných a komunikačných technológií;</w:t>
      </w:r>
    </w:p>
    <w:p w14:paraId="47DF1478"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d)</w:t>
      </w:r>
      <w:r w:rsidRPr="000C7927">
        <w:rPr>
          <w:kern w:val="2"/>
          <w14:ligatures w14:val="standardContextual"/>
        </w:rPr>
        <w:tab/>
        <w:t>skutočnosť, že spoločný podnik pre čisté letectvo, spoločný podnik pre európske železnice a spoločný podnik pre európsku vysokovýkonnú výpočtovú techniku prevzali vedúcu úlohu pri prevádzkovaní dojednaní o administratívnom útvare na riadenie administratívnych obstarávaní;</w:t>
      </w:r>
    </w:p>
    <w:p w14:paraId="54211336"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e)</w:t>
      </w:r>
      <w:r w:rsidRPr="000C7927">
        <w:rPr>
          <w:kern w:val="2"/>
          <w14:ligatures w14:val="standardContextual"/>
        </w:rPr>
        <w:tab/>
        <w:t xml:space="preserve">skutočnosť, že spoločné podniky pokračujú vo vykonávaní spoločného strategického plánu IKT spoločných podnikov, ktoré sa nachádzajú v budove </w:t>
      </w:r>
      <w:proofErr w:type="spellStart"/>
      <w:r w:rsidRPr="000C7927">
        <w:rPr>
          <w:kern w:val="2"/>
          <w14:ligatures w14:val="standardContextual"/>
        </w:rPr>
        <w:t>White</w:t>
      </w:r>
      <w:proofErr w:type="spellEnd"/>
      <w:r w:rsidRPr="000C7927">
        <w:rPr>
          <w:kern w:val="2"/>
          <w14:ligatures w14:val="standardContextual"/>
        </w:rPr>
        <w:t xml:space="preserve"> </w:t>
      </w:r>
      <w:proofErr w:type="spellStart"/>
      <w:r w:rsidRPr="000C7927">
        <w:rPr>
          <w:kern w:val="2"/>
          <w14:ligatures w14:val="standardContextual"/>
        </w:rPr>
        <w:t>Atrium</w:t>
      </w:r>
      <w:proofErr w:type="spellEnd"/>
      <w:r w:rsidRPr="000C7927">
        <w:rPr>
          <w:kern w:val="2"/>
          <w14:ligatures w14:val="standardContextual"/>
        </w:rPr>
        <w:t>;</w:t>
      </w:r>
    </w:p>
    <w:p w14:paraId="13EAF3BC"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lastRenderedPageBreak/>
        <w:t>23.</w:t>
      </w:r>
      <w:r w:rsidRPr="000C7927">
        <w:rPr>
          <w:kern w:val="2"/>
          <w14:ligatures w14:val="standardContextual"/>
        </w:rPr>
        <w:tab/>
        <w:t>vyzýva spoločné podniky, ktorých sa týka povinnosť vyplývajúca z jednotného základného aktu, aby naďalej podávali správy o ustanovení svojich dojednaní o administratívnom útvare, poskytovali jasné informácie o tom, ktoré spoločné podniky vykonávajú úlohy pre iné spoločné podniky v určitých oblastiach, čo najskôr zahrnuli komunikáciu, logistiku a manažment podujatí a zasadacích miestností, ako aj podporu stratégií auditu a boja proti podvodom do zoznamu priorít a informovali o oblastiach, v ktorých by sa v budúcnosti dalo uvažovať o ustanovení dojednaní o administratívnom útvare, potom, ako sa ustanovia dojednania v oblastiach určených za prioritné;</w:t>
      </w:r>
    </w:p>
    <w:p w14:paraId="3795231A" w14:textId="77777777" w:rsidR="000C7927" w:rsidRPr="000C7927" w:rsidRDefault="000C7927" w:rsidP="000C7927">
      <w:pPr>
        <w:spacing w:after="240"/>
        <w:rPr>
          <w:b/>
          <w:i/>
          <w:kern w:val="2"/>
          <w14:ligatures w14:val="standardContextual"/>
        </w:rPr>
      </w:pPr>
      <w:r w:rsidRPr="000C7927">
        <w:rPr>
          <w:b/>
          <w:i/>
          <w:kern w:val="2"/>
          <w14:ligatures w14:val="standardContextual"/>
        </w:rPr>
        <w:t>Verejné obstarávanie a ponuky</w:t>
      </w:r>
    </w:p>
    <w:p w14:paraId="6F7071F0"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24.</w:t>
      </w:r>
      <w:r w:rsidRPr="000C7927">
        <w:rPr>
          <w:kern w:val="2"/>
          <w14:ligatures w14:val="standardContextual"/>
        </w:rPr>
        <w:tab/>
        <w:t>vyjadruje rovnako ako Dvor audítorov znepokojenie, pokiaľ ide o postupy verejného obstarávania, a vyzýva spoločné podniky, aby predišli tomu, aby dodržiavanie príslušných právnych ustanovení a nevyhnutná komplikovanosť určitých postupov verejného obstarávania viedli k zvýšenému riziku pre zákonnosť a správnosť operačných výdavkov; vyjadruje konkrétnejšie znepokojenie nad:</w:t>
      </w:r>
    </w:p>
    <w:p w14:paraId="47CFE7B1"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a)</w:t>
      </w:r>
      <w:r w:rsidRPr="000C7927">
        <w:rPr>
          <w:kern w:val="2"/>
          <w14:ligatures w14:val="standardContextual"/>
        </w:rPr>
        <w:tab/>
        <w:t>nedostatkami v návrhu a hodnotení jedného významného postupu verejného obstarávania v prípade spoločného podniku pre iniciatívu Inovatívne zdravotníctvo, ako aj spoločného podniku pre čipy, ktoré odhalil Dvor audítorov; berie na vedomie, že tento fakt však neviedol Dvor audítorov k tomu, aby považoval riziko pre výdavky v oblasti operatívneho riadenia v prípade tohto spoločného podniku za stredné alebo vysoké; zdôrazňuje však, že ak sa takéto nedostatky v budúcich postupoch verejného obstarávania neodstránia, môžu viesť k neoprávneným zmluvám a platbám; víta pripravenosť spoločných podnikov prijať opatrenia v týchto konkrétnych prípadoch a zlepšiť svoje postupy verejného obstarávania;</w:t>
      </w:r>
    </w:p>
    <w:p w14:paraId="0DF85389"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b)</w:t>
      </w:r>
      <w:r w:rsidRPr="000C7927">
        <w:rPr>
          <w:kern w:val="2"/>
          <w14:ligatures w14:val="standardContextual"/>
        </w:rPr>
        <w:tab/>
        <w:t>skutočnosťou, že Dvor audítorov vyhodnotil riziko pre operačné zmluvné výdavky pre spoločný podnik pre európsku vysokovýkonnú výpočtovú techniku a Európsky spoločný podnik pre ITER a rozvoj energie jadrovej syntézy za stredné z dôvodu ich zložitých postupov verejného obstarávania pre zákazky s vysokou hodnotou;</w:t>
      </w:r>
    </w:p>
    <w:p w14:paraId="0AA96745"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25.</w:t>
      </w:r>
      <w:r w:rsidRPr="000C7927">
        <w:rPr>
          <w:kern w:val="2"/>
          <w14:ligatures w14:val="standardContextual"/>
        </w:rPr>
        <w:tab/>
        <w:t>upozorňuje na finančnú expozíciu spoločného podniku pre európsku vysokovýkonnú výpočtovú techniku voči dodávateľovi, ktorý čelí ťažkostiam, pričom samotný spoločný podnik považuje dosah tejto expozície v rozsahu od potenciálne malého (0 EUR) až po maximálny (88 miliónov EUR); na základe ročnej účtovnej závierky spoločného podniku berie na vedomie, že táto situácia sa podrobne skúma; vyzýva spoločný podnik, aby prijal všetky opatrenia potrebné na minimalizáciu finančných záväzkov; víta dodatočné informácie poskytnuté počas vypočutia príslušného spoločného podniku vo Výbore pre kontrolu rozpočtu, najmä pokiaľ ide o dodatočné záruky požadované príslušným spoločným podnikom s cieľom minimalizovať tieto finančné záväzky, ako aj poskytnuté vysvetlenie ku kľúčovej úlohe tohto konkrétneho dodávateľa;</w:t>
      </w:r>
    </w:p>
    <w:p w14:paraId="1FEB73E5"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26.</w:t>
      </w:r>
      <w:r w:rsidRPr="000C7927">
        <w:rPr>
          <w:kern w:val="2"/>
          <w14:ligatures w14:val="standardContextual"/>
        </w:rPr>
        <w:tab/>
        <w:t xml:space="preserve">konštatuje rozdiely v podrobnosti a prístupnosti kvantitatívnych dát poskytnutých spoločnými podnikmi o rodovej vyváženosti expertov vybraných na spoluprácu so spoločnými podnikmi; vyzýva všetky spoločné podniky, aby zvýšili transparentnosť a aby do svojich budúcich výročných správ o činnosti zahrnuli zrozumiteľné kvantitatívne údaje o rodovej rovnováhe vybraných expertov; vyzýva všetky spoločné podniky, aby zintenzívnili svoje snahy o podporu rodovej rovnosti na všetkých </w:t>
      </w:r>
      <w:r w:rsidRPr="000C7927">
        <w:rPr>
          <w:kern w:val="2"/>
          <w14:ligatures w14:val="standardContextual"/>
        </w:rPr>
        <w:lastRenderedPageBreak/>
        <w:t>úrovniach a zabezpečili, aby rodová rovnováha zostala aj naďalej horizontálnou prioritou vo všetkých činnostiach súvisiacich s verejným obstarávaním, grantmi a ponukami, a aby poskytli vysvetlenia, keď rodovú rovnováhu nemožno dosiahnuť;</w:t>
      </w:r>
    </w:p>
    <w:p w14:paraId="26C9EA0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27.</w:t>
      </w:r>
      <w:r w:rsidRPr="000C7927">
        <w:rPr>
          <w:kern w:val="2"/>
          <w14:ligatures w14:val="standardContextual"/>
        </w:rPr>
        <w:tab/>
        <w:t>konštatuje rozdiely v podrobnosti a prístupnosti kvantitatívnych dát poskytnutých spoločnými podnikmi o geografickom rozdelení expertov vybraných na spoluprácu so spoločnými podnikmi; vyzýva všetky spoločné podniky, aby do svojich budúcich výročných správ o činnosti zahrnuli zrozumiteľné kvantitatívne údaje o geografickom rozdelení vybraných expertov; vyzýva všetky spoločné podniky, aby zabezpečili, aby geografické rozdelenie zostalo aj naďalej horizontálnou prioritou vo všetkých činnostiach súvisiacich s verejným obstarávaním, grantmi a ponukami, a aby poskytli vysvetlenie, keď uspokojivú mieru geografického rozdelenia nemožno dosiahnuť;</w:t>
      </w:r>
    </w:p>
    <w:p w14:paraId="2B235C6B" w14:textId="77777777" w:rsidR="000C7927" w:rsidRPr="000C7927" w:rsidRDefault="000C7927" w:rsidP="000C7927">
      <w:pPr>
        <w:spacing w:after="240"/>
        <w:ind w:left="567" w:hanging="567"/>
        <w:rPr>
          <w:b/>
          <w:i/>
          <w:kern w:val="2"/>
          <w14:ligatures w14:val="standardContextual"/>
        </w:rPr>
      </w:pPr>
      <w:r w:rsidRPr="000C7927">
        <w:rPr>
          <w:kern w:val="2"/>
          <w14:ligatures w14:val="standardContextual"/>
        </w:rPr>
        <w:t>28</w:t>
      </w:r>
      <w:r w:rsidRPr="000C7927">
        <w:rPr>
          <w:i/>
          <w:kern w:val="2"/>
          <w14:ligatures w14:val="standardContextual"/>
        </w:rPr>
        <w:t>.</w:t>
      </w:r>
      <w:r w:rsidRPr="000C7927">
        <w:rPr>
          <w:b/>
          <w:i/>
          <w:kern w:val="2"/>
          <w14:ligatures w14:val="standardContextual"/>
        </w:rPr>
        <w:tab/>
      </w:r>
      <w:r w:rsidRPr="000C7927">
        <w:rPr>
          <w:kern w:val="2"/>
          <w14:ligatures w14:val="standardContextual"/>
        </w:rPr>
        <w:t>požaduje spravodlivé a úmerné geografické rozdelenie finančných prostriedkov spoločných podnikov, čím sa zabezpečí, aby regióny s nižšou inovačnou kapacitou a MSP dostali primeranú podporu;</w:t>
      </w:r>
    </w:p>
    <w:p w14:paraId="069D3ADC" w14:textId="77777777" w:rsidR="000C7927" w:rsidRPr="000C7927" w:rsidRDefault="000C7927" w:rsidP="000C7927">
      <w:pPr>
        <w:spacing w:after="240"/>
        <w:rPr>
          <w:b/>
          <w:i/>
          <w:kern w:val="2"/>
          <w14:ligatures w14:val="standardContextual"/>
        </w:rPr>
      </w:pPr>
      <w:r w:rsidRPr="000C7927">
        <w:rPr>
          <w:b/>
          <w:i/>
          <w:kern w:val="2"/>
          <w14:ligatures w14:val="standardContextual"/>
        </w:rPr>
        <w:t>Zamestnanci a prijímanie zamestnancov</w:t>
      </w:r>
    </w:p>
    <w:p w14:paraId="58E7B00F"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29.</w:t>
      </w:r>
      <w:r w:rsidRPr="000C7927">
        <w:rPr>
          <w:kern w:val="2"/>
          <w14:ligatures w14:val="standardContextual"/>
        </w:rPr>
        <w:tab/>
        <w:t>vyjadruje znepokojenie nad aktuálnym stavom prijímania zamestnancov do spoločného podniku pre európsku vysokovýkonnú výpočtovú techniku, ktorý získal 39 dodatočných pracovných miest na implementáciu značných finančných prostriedkov získaných v rámci súčasného viacročného finančného rámca, ktoré sa majú obsadiť do konca rozpočtového roka 2023, z ktorých však dodatočnými zamestnancami dokázal obsadiť len 21; ďalej je znepokojený hodnotením Dvora audítorov, ktorý vyhlásil, že postupy prijímania zamestnancov spoločných podnikov neboli dostatočne transparentné z dôvodu chýbajúcich jasných a vopred dohodnutých bodovacích tabuliek na hodnotenie uchádzačov a ich kvalifikácií, ako aj nedostatočnej dokumentácie o príslušnom rozhodovacom procese; vyjadruje poľutovanie nad tým, že podľa názoru Dvora audítorov táto situácia mohla viesť k tomu, že s kandidátmi sa nezaobchádzalo rovnako; pripomína, že je mimoriadne dôležité zabrániť uplatňovaniu dvojitého štandardu počas procesu prijímania zamestnancov, a žiada, aby sa v tejto súvislosti prijali všetky potrebné opatrenia; opakuje odporúčanie Dvora audítorov prijať opatrenia v tejto súvislosti, v ktorom sa odporúča, aby spoločný podnik pre európsku vysokovýkonnú výpočtovú techniku efektívne využil to, že má vyšší počet zamestnancov, na dosiahnutie cieľa v oblasti prijímania zamestnancov do konca roka 2024 a aby v záujme zvýšenia transparentnosti svojich postupov prijímania zamestnancov a obhájenia rozhodovacích procesov výberovej komisie používal vo fáze predbežného výberu vopred dohodnutú bodovaciu tabuľku v súlade s praxou iných spoločných podnikov a orgánov Únie; víta pripravenosť spoločného podniku začleniť odporúčania na zlepšenie;</w:t>
      </w:r>
    </w:p>
    <w:p w14:paraId="4B5A1ABF" w14:textId="77777777" w:rsidR="000C7927" w:rsidRPr="000C7927" w:rsidRDefault="000C7927" w:rsidP="000C7927">
      <w:pPr>
        <w:spacing w:after="240"/>
        <w:ind w:left="567" w:hanging="567"/>
        <w:rPr>
          <w:b/>
          <w:i/>
          <w:kern w:val="2"/>
          <w14:ligatures w14:val="standardContextual"/>
        </w:rPr>
      </w:pPr>
      <w:r w:rsidRPr="000C7927">
        <w:rPr>
          <w:kern w:val="2"/>
          <w14:ligatures w14:val="standardContextual"/>
        </w:rPr>
        <w:t>30.</w:t>
      </w:r>
      <w:r w:rsidRPr="000C7927">
        <w:rPr>
          <w:b/>
          <w:i/>
          <w:kern w:val="2"/>
          <w14:ligatures w14:val="standardContextual"/>
        </w:rPr>
        <w:tab/>
      </w:r>
      <w:r w:rsidRPr="000C7927">
        <w:rPr>
          <w:kern w:val="2"/>
          <w14:ligatures w14:val="standardContextual"/>
        </w:rPr>
        <w:t>zdôrazňuje potrebu súdržnej a spravodlivej personálnej politiky vo všetkých spoločných podnikoch s cieľom zabezpečiť primerané a inkluzívne pracovné podmienky, príležitosti na kariérny rast a rovnováhu medzi pracovným a súkromným životom zamestnancov; vyzýva na vykonávanie opatrení na predchádzanie nadmernému spoliehaniu sa na dočasné pracovné zmluvy a neisté pracovné miesta; zdôrazňuje význam štruktúr na podporu duševného zdravia, pružných foriem organizácie práce a spravodlivých príležitostí na interné povýšenie s cieľom zlepšiť dobré pracovné podmienky zamestnancov;</w:t>
      </w:r>
    </w:p>
    <w:p w14:paraId="5AC0EF6C" w14:textId="77777777" w:rsidR="000C7927" w:rsidRPr="000C7927" w:rsidRDefault="000C7927" w:rsidP="000C7927">
      <w:pPr>
        <w:spacing w:after="240"/>
        <w:ind w:left="567" w:hanging="567"/>
        <w:rPr>
          <w:b/>
          <w:i/>
          <w:kern w:val="2"/>
          <w14:ligatures w14:val="standardContextual"/>
        </w:rPr>
      </w:pPr>
      <w:r w:rsidRPr="000C7927">
        <w:rPr>
          <w:kern w:val="2"/>
          <w14:ligatures w14:val="standardContextual"/>
        </w:rPr>
        <w:lastRenderedPageBreak/>
        <w:t>31.</w:t>
      </w:r>
      <w:r w:rsidRPr="000C7927">
        <w:rPr>
          <w:kern w:val="2"/>
          <w14:ligatures w14:val="standardContextual"/>
        </w:rPr>
        <w:tab/>
        <w:t>vyzýva všetky spoločné podniky, aby zaviedli konkrétne opatrenia na zlepšenie rodovej rovnováhy na vedúcich pozíciách a v rozhodovacích orgánoch vrátane stanovenia cieľov rodovej rovnováhy a pravidelného monitorovania pokroku; zdôrazňuje potrebu riešiť rozdiely v odmeňovaní žien a mužov a zabezpečiť rovnaké príležitosti na kariérny postup;</w:t>
      </w:r>
    </w:p>
    <w:p w14:paraId="36ADDA80"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32.</w:t>
      </w:r>
      <w:r w:rsidRPr="000C7927">
        <w:rPr>
          <w:kern w:val="2"/>
          <w14:ligatures w14:val="standardContextual"/>
        </w:rPr>
        <w:tab/>
        <w:t>berie na vedomie, že Dvor audítorov považoval riziko z hľadiska zákonnosti a správnosti administratívnych výdavkov za nízke v prípade všetkých spoločných podnikov s výnimkou spoločného podniku pre čipy a spoločného podniku pre európsku vysokovýkonnú výpočtovú techniku, v prípade ktorých ho považoval za stredné z dôvodu vysokej úrovne prijímania zamestnancov v týchto podnikoch, a v prípade spoločného podniku pre inteligentné siete a služby a spoločného podniku Globálne zdravie EDCTP3 z dôvodu nedávneho získania finančnej autonómie;</w:t>
      </w:r>
    </w:p>
    <w:p w14:paraId="46A4394A"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33.</w:t>
      </w:r>
      <w:r w:rsidRPr="000C7927">
        <w:rPr>
          <w:kern w:val="2"/>
          <w14:ligatures w14:val="standardContextual"/>
        </w:rPr>
        <w:tab/>
        <w:t>vyjadruje znepokojenie nad situáciou Európskeho spoločného podniku pre ITER a rozvoj energie jadrovej syntézy, pokiaľ ide o rôzne aspekty týkajúce sa riadenia ľudských zdrojov, ktoré zistil Dvor audítorov, najmä pokiaľ ide o využívanie externých poskytovateľov služieb, a to konkrétne nad:</w:t>
      </w:r>
    </w:p>
    <w:p w14:paraId="2536AF17" w14:textId="77777777" w:rsidR="000C7927" w:rsidRPr="000C7927" w:rsidRDefault="000C7927" w:rsidP="000C7927">
      <w:pPr>
        <w:spacing w:after="240"/>
        <w:ind w:left="1134" w:hanging="567"/>
        <w:rPr>
          <w:kern w:val="2"/>
          <w:szCs w:val="24"/>
          <w14:ligatures w14:val="standardContextual"/>
        </w:rPr>
      </w:pPr>
      <w:r w:rsidRPr="000C7927">
        <w:rPr>
          <w:kern w:val="2"/>
          <w14:ligatures w14:val="standardContextual"/>
        </w:rPr>
        <w:t>a)</w:t>
      </w:r>
      <w:r w:rsidRPr="000C7927">
        <w:rPr>
          <w:kern w:val="2"/>
          <w14:ligatures w14:val="standardContextual"/>
        </w:rPr>
        <w:tab/>
        <w:t>veľkým využívaním externých poskytovateľov služieb spoločným podnikom – zistilo sa, že takmer polovicu zamestnancov spoločného podniku tvoria externí poskytovatelia služieb (361 externých poskytovateľov služieb a 429 stálych zamestnancov v roku 2023), – a preto táto situácia predstavuje kritický problém s potenciálne veľkým vplyvom na schopnosť spoločného podniku riadiť svoje ľudské zdroje udržateľne a zároveň zabezpečiť kapacitu na uchovávanie znalostí a inštitucionálnej pamäte, ktoré z dlhodobého hľadiska prinášajú aj finančné zisky;</w:t>
      </w:r>
    </w:p>
    <w:p w14:paraId="3DE7CBB7" w14:textId="77777777" w:rsidR="000C7927" w:rsidRPr="000C7927" w:rsidRDefault="000C7927" w:rsidP="000C7927">
      <w:pPr>
        <w:spacing w:after="240"/>
        <w:ind w:left="1134" w:hanging="567"/>
        <w:rPr>
          <w:kern w:val="2"/>
          <w14:ligatures w14:val="standardContextual"/>
        </w:rPr>
      </w:pPr>
      <w:r w:rsidRPr="000C7927">
        <w:rPr>
          <w:kern w:val="2"/>
          <w14:ligatures w14:val="standardContextual"/>
        </w:rPr>
        <w:t>b)</w:t>
      </w:r>
      <w:r w:rsidRPr="000C7927">
        <w:rPr>
          <w:kern w:val="2"/>
          <w14:ligatures w14:val="standardContextual"/>
        </w:rPr>
        <w:tab/>
        <w:t>skutočnosťou, že spoločný podnik nezaviedol jednoznačnú formálnu definíciu externých poskytovateľov služieb, čo prinieslo nejasnosti pri posudzovaní ich vplyvu na potrebu zamestnať stálych zamestnancov; ďalej konštatuje, že register rizík spoločného podniku neobsahoval všetky potenciálne riziká súvisiace s dlhodobo vysokou mierou využívania externých poskytovateľov služieb, čo by mohlo brániť vnútornej kontrole spoločného podniku v zavedení primeraných zmierňujúcich opatrení na riešenie týchto rizík;</w:t>
      </w:r>
    </w:p>
    <w:p w14:paraId="007EF477" w14:textId="77777777" w:rsidR="000C7927" w:rsidRPr="000C7927" w:rsidRDefault="000C7927" w:rsidP="000C7927">
      <w:pPr>
        <w:spacing w:after="240"/>
        <w:ind w:left="1134" w:hanging="567"/>
        <w:rPr>
          <w:kern w:val="2"/>
          <w14:ligatures w14:val="standardContextual"/>
        </w:rPr>
      </w:pPr>
      <w:r w:rsidRPr="000C7927">
        <w:rPr>
          <w:kern w:val="2"/>
          <w14:ligatures w14:val="standardContextual"/>
        </w:rPr>
        <w:t>c)</w:t>
      </w:r>
      <w:r w:rsidRPr="000C7927">
        <w:rPr>
          <w:kern w:val="2"/>
          <w14:ligatures w14:val="standardContextual"/>
        </w:rPr>
        <w:tab/>
        <w:t>zisteniami auditu, ktorý v tejto veci vykonal Útvar Komisie pre vnútorný audit, z ktorých vyplynulo, že spoločný podnik nezaviedol centralizovanú funkciu koordinácie a riadenia externých poskytovateľov služieb ani metodiku na posúdenie svojich celkových potrieb ľudských zdrojov, najmä potrieb externých poskytovateľov služieb; zdôrazňuje, že sa zistilo, že rozhodnutie spoločného podniku o využívaní externých poskytovateľov služieb vychádzalo skôr z rozpočtových obáv než z potrieb ľudských zdrojov;</w:t>
      </w:r>
    </w:p>
    <w:p w14:paraId="21752990" w14:textId="77777777" w:rsidR="000C7927" w:rsidRPr="000C7927" w:rsidRDefault="000C7927" w:rsidP="000C7927">
      <w:pPr>
        <w:spacing w:after="240"/>
        <w:ind w:left="1134" w:hanging="567"/>
        <w:rPr>
          <w:kern w:val="2"/>
          <w14:ligatures w14:val="standardContextual"/>
        </w:rPr>
      </w:pPr>
      <w:r w:rsidRPr="000C7927">
        <w:rPr>
          <w:kern w:val="2"/>
          <w14:ligatures w14:val="standardContextual"/>
        </w:rPr>
        <w:t>d)</w:t>
      </w:r>
      <w:r w:rsidRPr="000C7927">
        <w:rPr>
          <w:kern w:val="2"/>
          <w14:ligatures w14:val="standardContextual"/>
        </w:rPr>
        <w:tab/>
        <w:t>nedostatočnou transparentnosťou pri podávaní správ spoločného podniku o jeho ľudských zdrojoch; najmä pokiaľ ide o predloženie údajov o stálych a dočasných zamestnancoch, keďže 224 z 386 dočasných a zmluvných zamestnancov malo v skutočnosti zmluvu na dobu neurčitú, a preto ich bolo možné z prakticky považovať za stálych zamestnancov; vyzýva spoločný podnik, aby na tieto nuansy v budúcnosti jasne upozornil vo svojich správach o ľudských zdrojoch;</w:t>
      </w:r>
    </w:p>
    <w:p w14:paraId="26C832DC" w14:textId="77777777" w:rsidR="000C7927" w:rsidRPr="000C7927" w:rsidRDefault="000C7927" w:rsidP="000C7927">
      <w:pPr>
        <w:spacing w:after="240"/>
        <w:ind w:left="1134" w:hanging="567"/>
        <w:rPr>
          <w:kern w:val="2"/>
          <w14:ligatures w14:val="standardContextual"/>
        </w:rPr>
      </w:pPr>
      <w:r w:rsidRPr="000C7927">
        <w:rPr>
          <w:kern w:val="2"/>
          <w14:ligatures w14:val="standardContextual"/>
        </w:rPr>
        <w:lastRenderedPageBreak/>
        <w:t>e)</w:t>
      </w:r>
      <w:r w:rsidRPr="000C7927">
        <w:rPr>
          <w:kern w:val="2"/>
          <w14:ligatures w14:val="standardContextual"/>
        </w:rPr>
        <w:tab/>
        <w:t>opakuje odporúčanie Dvora audítorov týkajúce sa prijatia opatrení, v ktorom sa navrhuje, aby Európsky spoločný podnik pre ITER a rozvoj energie jadrovej syntézy zriadil centralizovanú funkciu koordinácie a riadenia pre externých poskytovateľov služieb a prijal komplexnú metodiku na pravidelné posudzovanie svojich celkových potrieb ľudských zdrojov na základe očakávaného pracovného zaťaženia a požadovanej kvalifikácie a aby dotknutý spoločný podnik tiež doplnil svoj register rizík aj o najdôležitejšie riziká vyplývajúce z dlhodobo vysokej úrovne využívania externých poskytovateľov služieb;</w:t>
      </w:r>
    </w:p>
    <w:p w14:paraId="6953F414" w14:textId="77777777" w:rsidR="000C7927" w:rsidRPr="000C7927" w:rsidRDefault="000C7927" w:rsidP="000C7927">
      <w:pPr>
        <w:spacing w:after="240"/>
        <w:ind w:left="1134" w:hanging="567"/>
        <w:rPr>
          <w:kern w:val="2"/>
          <w14:ligatures w14:val="standardContextual"/>
        </w:rPr>
      </w:pPr>
      <w:r w:rsidRPr="000C7927">
        <w:rPr>
          <w:kern w:val="2"/>
          <w14:ligatures w14:val="standardContextual"/>
        </w:rPr>
        <w:t>f)</w:t>
      </w:r>
      <w:r w:rsidRPr="000C7927">
        <w:rPr>
          <w:kern w:val="2"/>
          <w14:ligatures w14:val="standardContextual"/>
        </w:rPr>
        <w:tab/>
        <w:t>víta záväzky prijaté spoločným podnikom, ako aj jeho vysvetlenie výziev, ktoré viedli k vysokému využívaniu externých poskytovateľov služieb; vyjadruje však znepokojenie nad touto veľkou závislosťou od externých poskytovateľov služieb a súvisiacimi rizikami; vyzýva spoločný podnik, aby v budúcnosti poskytoval podrobnejšie informácie o rozhodovacích procesoch vedúcich k využívaniu externých poskytovateľov služieb;</w:t>
      </w:r>
    </w:p>
    <w:p w14:paraId="54C796C4"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34.</w:t>
      </w:r>
      <w:r w:rsidRPr="000C7927">
        <w:rPr>
          <w:kern w:val="2"/>
          <w14:ligatures w14:val="standardContextual"/>
        </w:rPr>
        <w:tab/>
        <w:t>berie na vedomie rozdiely v podrobnosti a prístupnosti kvantitatívnych dát spoločných podnikov o rodovej vyváženosti ich zamestnancov a členov riadiacich orgánov a štruktúr poskytnutých v ich výročných správach o činnosti; vyzýva všetky spoločné podniky, aby do svojich budúcich výročných správ o činnosti zahrnuli samostatný oddiel venovaný kvantitatívnym údajom o rodovej rovnováhe medzi svojimi zamestnancami a vo svojich riadiacich orgánoch a štruktúrach vrátane údajov rozčlenených podľa rôznych úrovní zodpovednosti a rôznych druhov zmlúv; vyzýva všetky spoločné podniky, aby zabezpečili zachovanie cieľa rodovej rovnováhy na všetkých úrovniach zodpovednosti a vytrvali v snahe o jej podporu, aby boli zložky spoločnosti rovnomerne zastúpené medzi zamestnancami, a aby podporovali zdravé a produktívne pracovné prostredie a poskytovali vysvetlenia, keď nie je možné dosiahnuť rodovú rovnováhu;</w:t>
      </w:r>
    </w:p>
    <w:p w14:paraId="07EFCA27"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35.</w:t>
      </w:r>
      <w:r w:rsidRPr="000C7927">
        <w:rPr>
          <w:kern w:val="2"/>
          <w14:ligatures w14:val="standardContextual"/>
        </w:rPr>
        <w:tab/>
        <w:t>berie na vedomie rozdiely v podrobnosti a prístupnosti kvantitatívnych dát o geografickom rozdelení zamestnancov spoločných podnikov a členov ich riadiacich orgánov a štruktúr poskytnutých spoločnými podnikmi v ich výročných správach o činnosti; vyzýva všetky spoločné podniky, aby do svojich budúcich výročných správ o činnosti zahrnuli samostatný oddiel venovaný kvantitatívnym údajom o geografickom rozdelení svojich zamestnancov a členov riadiacich orgánov a štruktúr vrátane údajov rozčlenených podľa rôznych úrovní zodpovednosti a rôznych druhov zmlúv; vyzýva všetky spoločné podniky, aby zabezpečili zachovanie cieľa uspokojivého geografického rozdelenia na všetkých úrovniach zodpovednosti a aby vysvetlili, ak takéto geografické rozdelenie nie je možné dosiahnuť;</w:t>
      </w:r>
    </w:p>
    <w:p w14:paraId="152AF1B1"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36.</w:t>
      </w:r>
      <w:r w:rsidRPr="000C7927">
        <w:rPr>
          <w:kern w:val="2"/>
          <w14:ligatures w14:val="standardContextual"/>
        </w:rPr>
        <w:tab/>
        <w:t>víta prácu siete agentúr EÚ (EUAN) a jej pracovnej skupiny pre rozmanitosť a začlenenie, ktorej výsledkom bolo vypracovanie Charty EUAN o rozmanitosti a začlenení; vyzýva spoločné podniky, aby túto chartu prijali;</w:t>
      </w:r>
    </w:p>
    <w:p w14:paraId="2B86DDA2" w14:textId="77777777" w:rsidR="000C7927" w:rsidRPr="000C7927" w:rsidRDefault="000C7927" w:rsidP="000C7927">
      <w:pPr>
        <w:spacing w:after="240"/>
        <w:ind w:left="567" w:hanging="567"/>
        <w:rPr>
          <w:b/>
          <w:i/>
          <w:kern w:val="2"/>
          <w14:ligatures w14:val="standardContextual"/>
        </w:rPr>
      </w:pPr>
      <w:r w:rsidRPr="000C7927">
        <w:rPr>
          <w:kern w:val="2"/>
          <w14:ligatures w14:val="standardContextual"/>
        </w:rPr>
        <w:t>37.</w:t>
      </w:r>
      <w:r w:rsidRPr="000C7927">
        <w:rPr>
          <w:b/>
          <w:i/>
          <w:kern w:val="2"/>
          <w14:ligatures w14:val="standardContextual"/>
        </w:rPr>
        <w:tab/>
      </w:r>
      <w:r w:rsidRPr="000C7927">
        <w:rPr>
          <w:kern w:val="2"/>
          <w14:ligatures w14:val="standardContextual"/>
        </w:rPr>
        <w:t>zdôrazňuje, že spoločné podniky zabezpečia, aby financované projekty prispievali k sociálnemu blahobytu a </w:t>
      </w:r>
      <w:proofErr w:type="spellStart"/>
      <w:r w:rsidRPr="000C7927">
        <w:rPr>
          <w:kern w:val="2"/>
          <w14:ligatures w14:val="standardContextual"/>
        </w:rPr>
        <w:t>inkluzívnosti</w:t>
      </w:r>
      <w:proofErr w:type="spellEnd"/>
      <w:r w:rsidRPr="000C7927">
        <w:rPr>
          <w:kern w:val="2"/>
          <w14:ligatures w14:val="standardContextual"/>
        </w:rPr>
        <w:t>, rešpektovali práva pracovníkov a pracovné podmienky a boli v súlade so zásadami spravodlivého prechodu na udržateľné technológie;</w:t>
      </w:r>
    </w:p>
    <w:p w14:paraId="6FF14A85" w14:textId="77777777" w:rsidR="000C7927" w:rsidRPr="000C7927" w:rsidRDefault="000C7927" w:rsidP="000C7927">
      <w:pPr>
        <w:spacing w:after="240"/>
        <w:rPr>
          <w:b/>
          <w:i/>
          <w:kern w:val="2"/>
          <w14:ligatures w14:val="standardContextual"/>
        </w:rPr>
      </w:pPr>
      <w:r w:rsidRPr="000C7927">
        <w:rPr>
          <w:b/>
          <w:i/>
          <w:kern w:val="2"/>
          <w14:ligatures w14:val="standardContextual"/>
        </w:rPr>
        <w:t>Systémy riadenia a kontroly</w:t>
      </w:r>
    </w:p>
    <w:p w14:paraId="16C4B2C6"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38.</w:t>
      </w:r>
      <w:r w:rsidRPr="000C7927">
        <w:rPr>
          <w:kern w:val="2"/>
          <w14:ligatures w14:val="standardContextual"/>
        </w:rPr>
        <w:tab/>
        <w:t>víta úsilie Dvora audítorov preskúmať grantové platby desiatich spoločných podnikov vykonávajúcich výskumné a inovačné projekty, najmä pokiaľ ide o jeho doplnkový audit vzorky grantových platieb na úrovni príjemcov v rámci programu Horizont 2020; vyjadruje znepokojenie nad výsledkami tohto preskúmania, ktoré ukázali, že pretrvávajú systémové chyby, najmä pokiaľ ide o deklarované náklady na zamestnancov a vybavenie;</w:t>
      </w:r>
      <w:r w:rsidRPr="000C7927">
        <w:rPr>
          <w:b/>
          <w:i/>
          <w:kern w:val="2"/>
          <w14:ligatures w14:val="standardContextual"/>
        </w:rPr>
        <w:t xml:space="preserve"> </w:t>
      </w:r>
      <w:r w:rsidRPr="000C7927">
        <w:rPr>
          <w:kern w:val="2"/>
          <w14:ligatures w14:val="standardContextual"/>
        </w:rPr>
        <w:t>vyzýva na opravu systémových chýb;</w:t>
      </w:r>
    </w:p>
    <w:p w14:paraId="130B237C"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39.</w:t>
      </w:r>
      <w:r w:rsidRPr="000C7927">
        <w:rPr>
          <w:kern w:val="2"/>
          <w14:ligatures w14:val="standardContextual"/>
        </w:rPr>
        <w:tab/>
        <w:t>zdôrazňuje, že Dvor audítorov odhalil jeden prípad kvantifikovanej a závažnej chyby v platbách v rámci programu Horizont 2020 v prípade spoločného podniku pre čisté letectvo, spoločného podniku pre iniciatívu Inovatívne zdravotníctvo, spoločného podniku pre čistý vodík, spoločného podniku pre európske obehové hospodárstvo využívajúce biologické materiály, ako aj spoločného podniku pre európske železnice; víta iniciatívy prijaté v tejto súvislosti na zvýšenie informovanosti na úrovni príjemcov; vyzýva všetky spoločné podniky, aby zabezpečili zákonnosť a správnosť operačných výdavkov, a zdôrazňuje, že Dvor audítorov považoval riziko pre priebežné a konečné grantové platby spoločných podnikov za stredné;</w:t>
      </w:r>
    </w:p>
    <w:p w14:paraId="2D5CFF73" w14:textId="77777777" w:rsidR="000C7927" w:rsidRPr="000C7927" w:rsidRDefault="000C7927" w:rsidP="000C7927">
      <w:pPr>
        <w:spacing w:after="240"/>
        <w:ind w:left="567" w:hanging="567"/>
        <w:rPr>
          <w:b/>
          <w:i/>
          <w:kern w:val="2"/>
          <w14:ligatures w14:val="standardContextual"/>
        </w:rPr>
      </w:pPr>
      <w:r w:rsidRPr="000C7927">
        <w:rPr>
          <w:kern w:val="2"/>
          <w14:ligatures w14:val="standardContextual"/>
        </w:rPr>
        <w:t>40.</w:t>
      </w:r>
      <w:r w:rsidRPr="000C7927">
        <w:rPr>
          <w:b/>
          <w:i/>
          <w:kern w:val="2"/>
          <w14:ligatures w14:val="standardContextual"/>
        </w:rPr>
        <w:tab/>
      </w:r>
      <w:r w:rsidRPr="000C7927">
        <w:rPr>
          <w:kern w:val="2"/>
          <w14:ligatures w14:val="standardContextual"/>
        </w:rPr>
        <w:t xml:space="preserve">vyzýva Komisiu, aby zaviedla: i) povinné finančné školenie pre prijímateľov zo spoločných podnikov s cieľom zabrániť opakovaným účtovným chybám; ii) automatizované overovacie nástroje na zvýšenie presnosti vo výpočtoch osobných nákladov; iii) prísnejšie postupy auditu </w:t>
      </w:r>
      <w:r w:rsidRPr="000C7927">
        <w:rPr>
          <w:i/>
          <w:iCs/>
          <w:kern w:val="2"/>
          <w14:ligatures w14:val="standardContextual"/>
        </w:rPr>
        <w:t xml:space="preserve">ex </w:t>
      </w:r>
      <w:proofErr w:type="spellStart"/>
      <w:r w:rsidRPr="000C7927">
        <w:rPr>
          <w:i/>
          <w:iCs/>
          <w:kern w:val="2"/>
          <w14:ligatures w14:val="standardContextual"/>
        </w:rPr>
        <w:t>ante</w:t>
      </w:r>
      <w:proofErr w:type="spellEnd"/>
      <w:r w:rsidRPr="000C7927">
        <w:rPr>
          <w:kern w:val="2"/>
          <w14:ligatures w14:val="standardContextual"/>
        </w:rPr>
        <w:t xml:space="preserve"> s cieľom zabezpečiť riadne využívanie finančných prostriedkov Únie;</w:t>
      </w:r>
    </w:p>
    <w:p w14:paraId="63C0A97B"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41.</w:t>
      </w:r>
      <w:r w:rsidRPr="000C7927">
        <w:rPr>
          <w:kern w:val="2"/>
          <w14:ligatures w14:val="standardContextual"/>
        </w:rPr>
        <w:tab/>
        <w:t xml:space="preserve">víta, že podľa </w:t>
      </w:r>
      <w:proofErr w:type="spellStart"/>
      <w:r w:rsidRPr="000C7927">
        <w:rPr>
          <w:kern w:val="2"/>
          <w14:ligatures w14:val="standardContextual"/>
        </w:rPr>
        <w:t>extrapolácie</w:t>
      </w:r>
      <w:proofErr w:type="spellEnd"/>
      <w:r w:rsidRPr="000C7927">
        <w:rPr>
          <w:kern w:val="2"/>
          <w14:ligatures w14:val="standardContextual"/>
        </w:rPr>
        <w:t xml:space="preserve"> Dvora audítorov pre všetky spoločné podniky je priemerná miera chybovosti tesne pod prahom významnosti vo výške 2 % v prípade grantových výdavkov a že zvyšková chybovosť vypočítaná útvarom Komisie pre spoločný audit bola takisto pod prahom významnosti;</w:t>
      </w:r>
    </w:p>
    <w:p w14:paraId="7132B131"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42.</w:t>
      </w:r>
      <w:r w:rsidRPr="000C7927">
        <w:rPr>
          <w:kern w:val="2"/>
          <w14:ligatures w14:val="standardContextual"/>
        </w:rPr>
        <w:tab/>
        <w:t>berie na vedomie, že počet priebežných platieb v rámci programov Horizont Európa a Digitálna Európa bol príliš malý na to, aby bol uvedený vo vzorke kontrolovanej Dvorom audítorov v roku 2023;</w:t>
      </w:r>
    </w:p>
    <w:p w14:paraId="40C49904"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43.</w:t>
      </w:r>
      <w:r w:rsidRPr="000C7927">
        <w:rPr>
          <w:kern w:val="2"/>
          <w14:ligatures w14:val="standardContextual"/>
        </w:rPr>
        <w:tab/>
        <w:t xml:space="preserve">berie na vedomie niekoľko zmien rámca vnútornej kontroly spoločných podnikov v rámci programu Horizont Európa, najmä to, že Komisia už nemá v úmysle vykonávať osobitné reprezentatívne audity </w:t>
      </w:r>
      <w:r w:rsidRPr="000C7927">
        <w:rPr>
          <w:i/>
          <w:iCs/>
          <w:kern w:val="2"/>
          <w14:ligatures w14:val="standardContextual"/>
        </w:rPr>
        <w:t>ex post</w:t>
      </w:r>
      <w:r w:rsidRPr="000C7927">
        <w:rPr>
          <w:kern w:val="2"/>
          <w14:ligatures w14:val="standardContextual"/>
        </w:rPr>
        <w:t xml:space="preserve"> v mene jednotlivých zainteresovaných strán programu Horizont Európa, ako sú spoločné podniky; ďalej konštatuje, že Komisia plánuje uplatniť rovnakú zmenu na grantové platby v rámci programu Digitálna Európa;</w:t>
      </w:r>
    </w:p>
    <w:p w14:paraId="512EFDCD"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44.</w:t>
      </w:r>
      <w:r w:rsidRPr="000C7927">
        <w:rPr>
          <w:kern w:val="2"/>
          <w14:ligatures w14:val="standardContextual"/>
        </w:rPr>
        <w:tab/>
        <w:t>vyjadruje znepokojenie nad nedostatočnou komunikáciou, spoluprácou a koordináciou medzi riadením rizík Európskeho spoločného podniku pre ITER a rozvoj energie jadrovej syntézy a jeho funkciami vnútorného auditu, ako aj nad absenciou integrovaného procesu riadenia rizík, ktorá s tým súvisí, a skutočnosťou, že spoločný podnik nemohol poskytnúť uspokojivé dôkazy o tom, že pri plánovaní činností vnútorného auditu pravidelne využíva informácie o riadení rizík; opakuje odporúčanie Dvora audítorov na opatrenia v tejto súvislosti, v ktorom sa navrhuje, aby dotknutý spoločný podnik zaviedol do svojho rámca vnútornej kontroly integrovaný proces riadenia rizík, ktorý mu umožní účinne riadiť jeho riziká; víta plány spoločného podniku prijať opatrenia v tejto oblasti;</w:t>
      </w:r>
    </w:p>
    <w:p w14:paraId="12CB8907"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45.</w:t>
      </w:r>
      <w:r w:rsidRPr="000C7927">
        <w:rPr>
          <w:kern w:val="2"/>
          <w14:ligatures w14:val="standardContextual"/>
        </w:rPr>
        <w:tab/>
        <w:t xml:space="preserve">zdôrazňuje význam vykonávania komplexného a aktuálneho plánu na zabezpečenie kontinuity činností a plánu obnovy systému po zlyhaní pre spoločné podniky; v tejto </w:t>
      </w:r>
      <w:r w:rsidRPr="000C7927">
        <w:rPr>
          <w:kern w:val="2"/>
          <w14:ligatures w14:val="standardContextual"/>
        </w:rPr>
        <w:lastRenderedPageBreak/>
        <w:t>súvislosti vyjadruje poľutovanie nad tým, že na konci rozpočtového roka 2023 nemali spoločné podniky s výnimkou Európskeho spoločného podniku pre ITER a rozvoj energie jadrovej syntézy v tejto súvislosti zavedenú uspokojivú politiku; víta plány spoločného podniku prijať opatrenia v tejto oblasti;</w:t>
      </w:r>
    </w:p>
    <w:p w14:paraId="25548612"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46.</w:t>
      </w:r>
      <w:r w:rsidRPr="000C7927">
        <w:rPr>
          <w:kern w:val="2"/>
          <w14:ligatures w14:val="standardContextual"/>
        </w:rPr>
        <w:tab/>
        <w:t>poukazuje na to, že spoločný podnik pre inteligentné siete a služby a spoločný podnik Globálne zdravie EDCTP3 ani naďalej v plnej miere nezaviedli rámec vnútornej kontroly Komisie, a vyzýva oba tieto spoločné podniky, aby tento rámec v plnej miere implementovali;</w:t>
      </w:r>
    </w:p>
    <w:p w14:paraId="36A820AE" w14:textId="77777777" w:rsidR="000C7927" w:rsidRPr="000C7927" w:rsidRDefault="000C7927" w:rsidP="000C7927">
      <w:pPr>
        <w:spacing w:after="240"/>
        <w:rPr>
          <w:b/>
          <w:i/>
          <w:kern w:val="2"/>
          <w14:ligatures w14:val="standardContextual"/>
        </w:rPr>
      </w:pPr>
      <w:r w:rsidRPr="000C7927">
        <w:rPr>
          <w:b/>
          <w:i/>
          <w:kern w:val="2"/>
          <w14:ligatures w14:val="standardContextual"/>
        </w:rPr>
        <w:t>Podvody, etika a konflikty záujmov</w:t>
      </w:r>
    </w:p>
    <w:p w14:paraId="6AFA7944"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47.</w:t>
      </w:r>
      <w:r w:rsidRPr="000C7927">
        <w:rPr>
          <w:kern w:val="2"/>
          <w14:ligatures w14:val="standardContextual"/>
        </w:rPr>
        <w:tab/>
        <w:t>berie na vedomie, že Dvor audítorov počas auditu za rozpočtový rok 2023 podal Európskemu úradu pre boj proti podvodom (ďalej len „OLAF“) jedno oznámenie o podozrení z podvodu; berie na vedomie, že úrad OLAF tento prípad neskôr zamietol, pretože v súvislosti s dotknutou personálnou vecou nebol zistený žiadny podvod; víta úsilie Dvora audítorov a spoluprácu v rámci štruktúry boja proti podvodom;</w:t>
      </w:r>
    </w:p>
    <w:p w14:paraId="260B1F8A"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48.</w:t>
      </w:r>
      <w:r w:rsidRPr="000C7927">
        <w:rPr>
          <w:kern w:val="2"/>
          <w14:ligatures w14:val="standardContextual"/>
        </w:rPr>
        <w:tab/>
        <w:t>zdôrazňuje význam zavedenia politiky vnútornej kontroly pre citlivé funkcie v spoločných podnikoch;</w:t>
      </w:r>
      <w:r w:rsidRPr="000C7927">
        <w:rPr>
          <w:b/>
          <w:i/>
          <w:kern w:val="2"/>
          <w14:ligatures w14:val="standardContextual"/>
        </w:rPr>
        <w:t xml:space="preserve"> </w:t>
      </w:r>
      <w:r w:rsidRPr="000C7927">
        <w:rPr>
          <w:kern w:val="2"/>
          <w14:ligatures w14:val="standardContextual"/>
        </w:rPr>
        <w:t>zdôrazňuje, že takáto politika môže predchádzať riziku nevhodného alebo podvodného konania a zmierňovať ho; vyjadruje poľutovanie nad tým, že na konci rozpočtového roka 2023 spoločný podnik pre výskum manažmentu letovej prevádzky jednotného európskeho neba 3, spoločný podnik pre čistý vodík, spoločný podnik pre čipy, spoločný podnik pre európsku vysokovýkonnú výpočtovú techniku a ani Európsky spoločný podnik pre ITER a rozvoj energie jadrovej syntézy ešte nemali zavedenú politiku v tejto oblasti; zdôrazňuje kritickosť tejto situácie a naliehavo vyzýva spoločné podniky, aby v tejto veci urýchlene konali;</w:t>
      </w:r>
    </w:p>
    <w:p w14:paraId="13C5B219"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49.</w:t>
      </w:r>
      <w:r w:rsidRPr="000C7927">
        <w:rPr>
          <w:kern w:val="2"/>
          <w14:ligatures w14:val="standardContextual"/>
        </w:rPr>
        <w:tab/>
        <w:t>berie na vedomie situáciu v spoločnom podniku pre čipy, na ktorú poukázal Dvor audítorov, keď jeden z bývalých vedúcich zamestnancov, ktorý zo spoločného podniku len nedávno odišiel, začal novú pracovnú činnosť bez toho, aby to predtým oznámil príslušnému spoločnému podniku; vyzýva príslušný spoločný podnik a všetky ostatné spoločné podniky, aby aktívne monitorovali nové pracovné činnosti bývalých vedúcich pracovníkov, ako aj zamestnancov v citlivých funkciách; víta dodatočné informácie, ktoré o tomto konkrétnom prípade poskytol príslušný spoločný podnik;</w:t>
      </w:r>
    </w:p>
    <w:p w14:paraId="224E2F11" w14:textId="77777777" w:rsidR="000C7927" w:rsidRPr="000C7927" w:rsidRDefault="000C7927" w:rsidP="000C7927">
      <w:pPr>
        <w:spacing w:after="240"/>
        <w:ind w:left="567" w:hanging="567"/>
        <w:rPr>
          <w:b/>
          <w:i/>
          <w:kern w:val="2"/>
          <w14:ligatures w14:val="standardContextual"/>
        </w:rPr>
      </w:pPr>
      <w:r w:rsidRPr="000C7927">
        <w:rPr>
          <w:kern w:val="2"/>
          <w14:ligatures w14:val="standardContextual"/>
        </w:rPr>
        <w:t>50.</w:t>
      </w:r>
      <w:r w:rsidRPr="000C7927">
        <w:rPr>
          <w:b/>
          <w:i/>
          <w:kern w:val="2"/>
          <w14:ligatures w14:val="standardContextual"/>
        </w:rPr>
        <w:tab/>
      </w:r>
      <w:r w:rsidRPr="000C7927">
        <w:rPr>
          <w:kern w:val="2"/>
          <w14:ligatures w14:val="standardContextual"/>
        </w:rPr>
        <w:t>vyzýva všetky spoločné podniky, aby posilnili svoje politiky transparentnosti, najmä pokiaľ ide o potenciálne konflikty záujmov; naliehavo vyzýva spoločné podniky, aby zverejňovali vyhlásenia o záujmoch členov svojich správnych rád, vedeckých výborov a externých odborníkov, čím sa zabezpečí zverejnenie všetkých finančných, pracovných alebo osobných väzieb na subjekty, ktoré využívajú finančné prostriedky spoločných podnikov; trvá na zavedení povinného obdobia, počas ktorého sa vedúci pracovníci spoločného podniku musia vyhýbať akýmkoľvek konfliktom záujmov pred tým, ako sa môžu zamestnať v organizáciách, ktoré dostávajú finančné prostriedky spoločného podniku;</w:t>
      </w:r>
    </w:p>
    <w:p w14:paraId="2C706BAE"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51.</w:t>
      </w:r>
      <w:r w:rsidRPr="000C7927">
        <w:rPr>
          <w:kern w:val="2"/>
          <w14:ligatures w14:val="standardContextual"/>
        </w:rPr>
        <w:tab/>
        <w:t xml:space="preserve">berie na vedomie informácie oznámené spoločnými podnikmi o ich činnostiach súvisiacich s predchádzaním podvodom, ich odhaľovaním a nápravou; vyzýva všetky spoločné podniky, aby posilnili svoju úlohu a identifikovali svoje slabé stránky ďalším zapojením sa do diskusií zameraných na boj proti podvodom a aby naďalej podávali správy o týchto skutočnostiach a aby do svojich budúcich správ zahrnuli zrozumiteľnú </w:t>
      </w:r>
      <w:r w:rsidRPr="000C7927">
        <w:rPr>
          <w:kern w:val="2"/>
          <w14:ligatures w14:val="standardContextual"/>
        </w:rPr>
        <w:lastRenderedPageBreak/>
        <w:t>prezentáciu právneho rámca a politík zavedených v tejto súvislosti;</w:t>
      </w:r>
    </w:p>
    <w:p w14:paraId="6FDFB724" w14:textId="77777777" w:rsidR="000C7927" w:rsidRPr="000C7927" w:rsidRDefault="000C7927" w:rsidP="000C7927">
      <w:pPr>
        <w:spacing w:after="240"/>
        <w:rPr>
          <w:b/>
          <w:i/>
          <w:kern w:val="2"/>
          <w14:ligatures w14:val="standardContextual"/>
        </w:rPr>
      </w:pPr>
      <w:r w:rsidRPr="000C7927">
        <w:rPr>
          <w:b/>
          <w:i/>
          <w:kern w:val="2"/>
          <w14:ligatures w14:val="standardContextual"/>
        </w:rPr>
        <w:t>Poznámky k opatreniam prijatým spoločnými podnikmi v nadväznosti na predchádzajúce postupy udelenia absolutória</w:t>
      </w:r>
    </w:p>
    <w:p w14:paraId="7481E479"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52.</w:t>
      </w:r>
      <w:r w:rsidRPr="000C7927">
        <w:rPr>
          <w:kern w:val="2"/>
          <w14:ligatures w14:val="standardContextual"/>
        </w:rPr>
        <w:tab/>
        <w:t>víta, že spoločné podniky vypracovali správu o následných opatreniach k uzneseniam Európskeho parlamentu s poznámkami, ktoré sú neoddeliteľnou súčasťou rozhodnutí o absolutóriu za plnenie rozpočtu spoločných podnikov za rozpočtový rok 2022 konštatuje, že tieto správy tlmočia v dostatočnej miere názory spoločných podnikov na otázky, na ktoré poukázal Európsky parlament;</w:t>
      </w:r>
    </w:p>
    <w:p w14:paraId="3626F4A9"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53.</w:t>
      </w:r>
      <w:r w:rsidRPr="000C7927">
        <w:rPr>
          <w:kern w:val="2"/>
          <w14:ligatures w14:val="standardContextual"/>
        </w:rPr>
        <w:tab/>
        <w:t>víta, že správa Dvora audítorov obsahuje aj analýzu následných opatrení spoločných podnikov na základe predchádzajúcich pripomienok a odporúčaní na opatrenia uverejnených Dvorom audítorov; v tejto súvislosti konštatuje, že z 37 pripomienok, ktoré neboli ku koncu roka 2022 dostatočne vyriešené, bolo na konci roka 2023 16 uzavretých a 21 zostalo otvorených; ďalej konštatuje, že z 15 odporúčaných opatrení vo výročných správach za roky 2021 a 2022 bolo deväť vykonaných v plnom rozsahu, dva vo väčšine ohľadov, tri v niektorých ohľadoch a jedno nebolo vykonané vôbec; chápe, že niektoré odporúčania, ktoré ešte neboli plne vykonané, sa týkajú najmä otázok ľudských zdrojov, ktoré môžu spoločné podniky vyriešiť len v spolupráci s Generálnym riaditeľstvom Komisie pre rozpočet a po tom, ako budú žiadosti pripravené na realizáciu; chápe, že odporúčania, ktoré sa museli vykonať do konca roka 2023, boli vykonané včas;</w:t>
      </w:r>
    </w:p>
    <w:p w14:paraId="0F84D73B"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54.</w:t>
      </w:r>
      <w:r w:rsidRPr="000C7927">
        <w:rPr>
          <w:kern w:val="2"/>
          <w14:ligatures w14:val="standardContextual"/>
        </w:rPr>
        <w:tab/>
        <w:t>víta, že Dvor audítorov už určil lehoty na vykonanie svojich nevykonaných odporúčaní na opatrenia, ktoré boli stanovené v spolupráci so spoločnými podnikmi, aby sa zaistila ich uskutočniteľnosť; vyzýva všetky spoločné podniky, aby o týchto otázkach aj naďalej podávali správy Dvoru audítorov a Európskemu parlamentu;</w:t>
      </w:r>
    </w:p>
    <w:p w14:paraId="7641B21F" w14:textId="77777777" w:rsidR="000C7927" w:rsidRPr="000C7927" w:rsidRDefault="000C7927" w:rsidP="000C7927">
      <w:pPr>
        <w:spacing w:after="240"/>
        <w:ind w:left="567" w:hanging="567"/>
        <w:rPr>
          <w:b/>
          <w:i/>
          <w:kern w:val="2"/>
          <w14:ligatures w14:val="standardContextual"/>
        </w:rPr>
      </w:pPr>
      <w:r w:rsidRPr="000C7927">
        <w:rPr>
          <w:kern w:val="2"/>
          <w14:ligatures w14:val="standardContextual"/>
        </w:rPr>
        <w:t>55.</w:t>
      </w:r>
      <w:r w:rsidRPr="000C7927">
        <w:rPr>
          <w:b/>
          <w:i/>
          <w:kern w:val="2"/>
          <w14:ligatures w14:val="standardContextual"/>
        </w:rPr>
        <w:tab/>
      </w:r>
      <w:r w:rsidRPr="000C7927">
        <w:rPr>
          <w:kern w:val="2"/>
          <w14:ligatures w14:val="standardContextual"/>
        </w:rPr>
        <w:t>so znepokojením berie na vedomie pretrvávajúce výzvy súvisiace s prekročením nákladov, oneskoreniami a problémami v oblasti správy pri vykonávaní projektu ITER; vyzýva na zlepšenie finančného dohľadu a zvýšenie rozpočtovej transparentnosti vrátane podrobnejších verejných správ o vývoji nákladov, efektívnosti výdavkov a pokroku pri dosahovaní kľúčových míľnikov projektu; zdôrazňuje potrebu prísnejších mechanizmov auditu s cieľom zabezpečiť účinné využívanie príspevkov Únie na projekt; naliehavo vyzýva spoločný podnik, aby posilnil vnútorné riadenie zabezpečením pravidelných a nezávislých hodnotení projektových rizík a zvýšením mechanizmov zodpovednosti vrcholového manažmentu;</w:t>
      </w:r>
    </w:p>
    <w:p w14:paraId="515B383C" w14:textId="77777777" w:rsidR="000C7927" w:rsidRPr="000C7927" w:rsidRDefault="000C7927" w:rsidP="000C7927">
      <w:pPr>
        <w:spacing w:after="240"/>
        <w:rPr>
          <w:b/>
          <w:i/>
          <w:kern w:val="2"/>
          <w14:ligatures w14:val="standardContextual"/>
        </w:rPr>
      </w:pPr>
      <w:r w:rsidRPr="000C7927">
        <w:rPr>
          <w:b/>
          <w:i/>
          <w:kern w:val="2"/>
          <w14:ligatures w14:val="standardContextual"/>
        </w:rPr>
        <w:t>Ďalšie priority spoločných podnikov</w:t>
      </w:r>
    </w:p>
    <w:p w14:paraId="33894212"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56.</w:t>
      </w:r>
      <w:r w:rsidRPr="000C7927">
        <w:rPr>
          <w:kern w:val="2"/>
          <w14:ligatures w14:val="standardContextual"/>
        </w:rPr>
        <w:tab/>
        <w:t>uvedomuje si administratívne a rozpočtové obmedzenia spoločných podnikov a v súvislosti s nimi vyzýva spoločné podniky, aby využitím dostupných komunikačných materiálov určených akademickým a výskumným inštitúciám, verejným a súkromným organizáciám a európskym a vnútroštátnym orgánom lepšie šírili informácie o svojom prínose k činnostiam v oblasti výskumu a inovácií; žiada, aby sa týmito dostupnými komunikačnými materiálmi poskytovali informácie o príležitostiach v oblasti verejných zákaziek a grantov ponúkaných spoločnými podnikmi v oblasti výskumu a inovácií;</w:t>
      </w:r>
    </w:p>
    <w:p w14:paraId="33B87213"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57.</w:t>
      </w:r>
      <w:r w:rsidRPr="000C7927">
        <w:rPr>
          <w:kern w:val="2"/>
          <w14:ligatures w14:val="standardContextual"/>
        </w:rPr>
        <w:tab/>
        <w:t xml:space="preserve">vyzýva spoločné podniky, aby sa aktívne zapájali do komunikačných činností </w:t>
      </w:r>
      <w:r w:rsidRPr="000C7927">
        <w:rPr>
          <w:kern w:val="2"/>
          <w14:ligatures w14:val="standardContextual"/>
        </w:rPr>
        <w:lastRenderedPageBreak/>
        <w:t>a oslovovali široký okruh občanov EÚ v rámci pedagogického úsilia prezentovať svoj príspevok k plneniu spoločných cieľov a potrebu inštitucionalizovaných partnerstiev so zapojením súkromných členov;</w:t>
      </w:r>
    </w:p>
    <w:p w14:paraId="45FD0BF5" w14:textId="77777777" w:rsidR="000C7927" w:rsidRPr="000C7927" w:rsidRDefault="000C7927" w:rsidP="000C7927">
      <w:pPr>
        <w:spacing w:after="240"/>
        <w:ind w:left="567" w:hanging="567"/>
        <w:rPr>
          <w:b/>
          <w:i/>
          <w:kern w:val="2"/>
          <w14:ligatures w14:val="standardContextual"/>
        </w:rPr>
      </w:pPr>
      <w:r w:rsidRPr="000C7927">
        <w:rPr>
          <w:kern w:val="2"/>
          <w14:ligatures w14:val="standardContextual"/>
        </w:rPr>
        <w:t>58.</w:t>
      </w:r>
      <w:r w:rsidRPr="000C7927">
        <w:rPr>
          <w:b/>
          <w:i/>
          <w:kern w:val="2"/>
          <w14:ligatures w14:val="standardContextual"/>
        </w:rPr>
        <w:tab/>
      </w:r>
      <w:r w:rsidRPr="000C7927">
        <w:rPr>
          <w:kern w:val="2"/>
          <w14:ligatures w14:val="standardContextual"/>
        </w:rPr>
        <w:t>vyzýva spoločné podniky, aby nadviazali spoluprácu s univerzitami s cieľom osloviť mladých európskych absolventov a posilniť svoje budúce postupy prijímania zamestnancov;</w:t>
      </w:r>
    </w:p>
    <w:p w14:paraId="17C093AB"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59.</w:t>
      </w:r>
      <w:r w:rsidRPr="000C7927">
        <w:rPr>
          <w:kern w:val="2"/>
          <w14:ligatures w14:val="standardContextual"/>
        </w:rPr>
        <w:tab/>
        <w:t xml:space="preserve">vyzýva spoločné podniky, aby aj naďalej účinne a v rozsahu svojich kapacít informovali o svojom prínose k zamestnanosti a ku konkurencieschopnosti európskeho hospodárstva, keďže treba, aby sa všetky dôležité zainteresované strany Európskej únie v oblasti výskumu a inovácií zamerali na </w:t>
      </w:r>
      <w:proofErr w:type="spellStart"/>
      <w:r w:rsidRPr="000C7927">
        <w:rPr>
          <w:kern w:val="2"/>
          <w14:ligatures w14:val="standardContextual"/>
        </w:rPr>
        <w:t>reindustrializáciu</w:t>
      </w:r>
      <w:proofErr w:type="spellEnd"/>
      <w:r w:rsidRPr="000C7927">
        <w:rPr>
          <w:kern w:val="2"/>
          <w14:ligatures w14:val="standardContextual"/>
        </w:rPr>
        <w:t xml:space="preserve"> Európskej únie;</w:t>
      </w:r>
    </w:p>
    <w:p w14:paraId="51EDBC8B"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60.</w:t>
      </w:r>
      <w:r w:rsidRPr="000C7927">
        <w:rPr>
          <w:kern w:val="2"/>
          <w14:ligatures w14:val="standardContextual"/>
        </w:rPr>
        <w:tab/>
        <w:t>vyzýva spoločné podniky, aby aj naďalej zaisťovali dostatočnú účasť súkromných firiem, najmä malých a stredných podnikov, ktoré sú najsilnejším aktívom európskeho hospodárstva;</w:t>
      </w:r>
    </w:p>
    <w:p w14:paraId="28670DE5"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61.</w:t>
      </w:r>
      <w:r w:rsidRPr="000C7927">
        <w:rPr>
          <w:kern w:val="2"/>
          <w14:ligatures w14:val="standardContextual"/>
        </w:rPr>
        <w:tab/>
        <w:t>vyzýva spoločné podniky, aby účinne informovali o svojom prínose k horizontálnym prioritám rozpočtu Európskej únie;</w:t>
      </w:r>
    </w:p>
    <w:p w14:paraId="148CC52A"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62.</w:t>
      </w:r>
      <w:r w:rsidRPr="000C7927">
        <w:rPr>
          <w:kern w:val="2"/>
          <w14:ligatures w14:val="standardContextual"/>
        </w:rPr>
        <w:tab/>
        <w:t>vyzýva všetky spoločné podniky, aby pri rokovaniach s medzinárodnými zainteresovanými stranami aj naďalej postupovali svedomito, najmä s ohľadom na režim reštriktívnych opatrení, ktoré zaviedla Európska únia; podčiarkuje v tejto súvislosti osobitnú situáciu Európskeho spoločného podniku pre ITER a rozvoj energie jadrovej syntézy a víta vysvetlenia k opatreniam zavedeným na predchádzanie akýmkoľvek problémom v rámci projektu ITER poskytnuté počas vypočutia tohto spoločného podniku vo Výbore pre kontrolu rozpočtu;</w:t>
      </w:r>
    </w:p>
    <w:p w14:paraId="77748DDB"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t>63.</w:t>
      </w:r>
      <w:r w:rsidRPr="000C7927">
        <w:rPr>
          <w:kern w:val="2"/>
          <w14:ligatures w14:val="standardContextual"/>
        </w:rPr>
        <w:tab/>
        <w:t>vyzýva všetky spoločné podniky, aby sa postarali o to, aby ich zamestnanci dobre využívali potenciálne synergie s inými subjektmi z Európskej únie, napríklad agentúrami, vo všetkých oblastiach, ktoré pripadajú do úvahy a s cieľom zvýšiť efektívnosť a dosah ich operácií; vyzýva všetky spoločné podniky, aby zaistili, aby ich zamestnanci náležite využívali platformu siete agentúr EÚ (EUAN);</w:t>
      </w:r>
    </w:p>
    <w:p w14:paraId="4D731434" w14:textId="77777777" w:rsidR="000C7927" w:rsidRPr="000C7927" w:rsidRDefault="000C7927" w:rsidP="000C7927">
      <w:pPr>
        <w:spacing w:after="240"/>
        <w:ind w:left="567" w:hanging="567"/>
        <w:rPr>
          <w:b/>
          <w:i/>
          <w:kern w:val="2"/>
          <w14:ligatures w14:val="standardContextual"/>
        </w:rPr>
      </w:pPr>
      <w:r w:rsidRPr="000C7927">
        <w:rPr>
          <w:kern w:val="2"/>
          <w14:ligatures w14:val="standardContextual"/>
        </w:rPr>
        <w:t>64.</w:t>
      </w:r>
      <w:r w:rsidRPr="000C7927">
        <w:rPr>
          <w:b/>
          <w:i/>
          <w:kern w:val="2"/>
          <w14:ligatures w14:val="standardContextual"/>
        </w:rPr>
        <w:tab/>
      </w:r>
      <w:r w:rsidRPr="000C7927">
        <w:rPr>
          <w:kern w:val="2"/>
          <w14:ligatures w14:val="standardContextual"/>
        </w:rPr>
        <w:t>zdôrazňuje potrebu digitálnej suverenity vo výskume financovanom EÚ; v tejto súvislosti kladie osobitný dôraz na spoločný podnik pre čipy, spoločný podnik pre európsku vysokovýkonnú výpočtovú techniku a spoločný podnik pre inteligentné siete a služby, ktoré uprednostňujú projekty, ktoré posilňujú autonómiu Únie v oblasti výroby polovodičov, umelej inteligencie a kybernetickej bezpečnosti; žiada Komisiu, aby zabezpečila, že projekty financované spoločnými podnikmi: i) nie sú nadmerne závislé od dodávateľov kritických technológií z tretích krajín; ii) prispievajú k priemyselnej odolnosti a strategickej nezávislosti Únie; iii) podporujú domáci výskum a vývoj v kľúčových digitálnych odvetviach;</w:t>
      </w:r>
    </w:p>
    <w:p w14:paraId="52DADC4A" w14:textId="77777777" w:rsidR="000C7927" w:rsidRPr="000C7927" w:rsidRDefault="000C7927" w:rsidP="000C7927">
      <w:pPr>
        <w:spacing w:after="240"/>
        <w:rPr>
          <w:b/>
          <w:i/>
          <w:kern w:val="2"/>
          <w14:ligatures w14:val="standardContextual"/>
        </w:rPr>
      </w:pPr>
      <w:r w:rsidRPr="000C7927">
        <w:rPr>
          <w:b/>
          <w:i/>
          <w:kern w:val="2"/>
          <w14:ligatures w14:val="standardContextual"/>
        </w:rPr>
        <w:t>Výzva na prijatie následných opatrení</w:t>
      </w:r>
    </w:p>
    <w:p w14:paraId="3141F513" w14:textId="77777777" w:rsidR="000C7927" w:rsidRPr="000C7927" w:rsidRDefault="000C7927" w:rsidP="000C7927">
      <w:pPr>
        <w:spacing w:after="240"/>
        <w:ind w:left="567" w:hanging="567"/>
        <w:rPr>
          <w:kern w:val="2"/>
          <w:szCs w:val="24"/>
          <w14:ligatures w14:val="standardContextual"/>
        </w:rPr>
      </w:pPr>
      <w:r w:rsidRPr="000C7927">
        <w:rPr>
          <w:kern w:val="2"/>
          <w14:ligatures w14:val="standardContextual"/>
        </w:rPr>
        <w:t>65.</w:t>
      </w:r>
      <w:r w:rsidRPr="000C7927">
        <w:rPr>
          <w:kern w:val="2"/>
          <w14:ligatures w14:val="standardContextual"/>
        </w:rPr>
        <w:tab/>
        <w:t>vyzýva každý spoločný podnik, o ktorom sa uvažuje pri udelení absolutória za rozpočtový rok 2023, aby vypracoval individuálnu správu o následných opatreniach s informáciami o všetkých opatreniach prijatých na riešenie konkrétnych otázok uvedených v tomto uznesení a predložil ju podpísanú (výkonným) riaditeľom spoločného podniku najneskôr do 30. septembra 2025 Európskemu parlamentu;</w:t>
      </w:r>
    </w:p>
    <w:p w14:paraId="4A63ACD9" w14:textId="77777777" w:rsidR="000C7927" w:rsidRPr="000C7927" w:rsidRDefault="000C7927" w:rsidP="000C7927">
      <w:pPr>
        <w:spacing w:after="240"/>
        <w:ind w:left="567" w:hanging="567"/>
        <w:rPr>
          <w:kern w:val="2"/>
          <w14:ligatures w14:val="standardContextual"/>
        </w:rPr>
      </w:pPr>
      <w:r w:rsidRPr="000C7927">
        <w:rPr>
          <w:kern w:val="2"/>
          <w14:ligatures w14:val="standardContextual"/>
        </w:rPr>
        <w:lastRenderedPageBreak/>
        <w:t>66.</w:t>
      </w:r>
      <w:r w:rsidRPr="000C7927">
        <w:rPr>
          <w:kern w:val="2"/>
          <w14:ligatures w14:val="standardContextual"/>
        </w:rPr>
        <w:tab/>
        <w:t>zdôrazňuje, že správy o následných opatreniach môžu obsahovať aj všeobecné stanoviská spoločných podnikov k tomuto uzneseniu a k ďalším záležitostiam relevantným pre orgán udeľujúci absolutórium; očakáva, že spoločné podniky vypracujú túto správu komplexne, že sa dotknú všetkých otázok, ktorými sa v súvislosti s ich činnosťami zaoberá Európsky parlament, a že tak urobia v dobrej viere a v duchu spolupráce.</w:t>
      </w:r>
    </w:p>
    <w:sectPr w:rsidR="000C7927" w:rsidRPr="000C7927">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09EEF" w14:textId="77777777" w:rsidR="006E2584" w:rsidRDefault="000C7927">
      <w:r>
        <w:separator/>
      </w:r>
    </w:p>
  </w:endnote>
  <w:endnote w:type="continuationSeparator" w:id="0">
    <w:p w14:paraId="30646E5E" w14:textId="77777777" w:rsidR="006E2584" w:rsidRDefault="000C7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7ACC6" w14:textId="77777777" w:rsidR="006E2584" w:rsidRDefault="006E25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4E1E1" w14:textId="77777777" w:rsidR="006E2584" w:rsidRDefault="006E258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E9D48" w14:textId="77777777" w:rsidR="006E2584" w:rsidRDefault="006E25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940E6" w14:textId="77777777" w:rsidR="006E2584" w:rsidRDefault="000C7927">
      <w:r>
        <w:separator/>
      </w:r>
    </w:p>
  </w:footnote>
  <w:footnote w:type="continuationSeparator" w:id="0">
    <w:p w14:paraId="379DD354" w14:textId="77777777" w:rsidR="006E2584" w:rsidRDefault="000C7927">
      <w:r>
        <w:continuationSeparator/>
      </w:r>
    </w:p>
  </w:footnote>
  <w:footnote w:id="1">
    <w:p w14:paraId="3E00F8BD"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2">
    <w:p w14:paraId="46534267"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3">
    <w:p w14:paraId="032737C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4">
    <w:p w14:paraId="12944070"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5">
    <w:p w14:paraId="5C78CC6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6">
    <w:p w14:paraId="214743DF"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7">
    <w:p w14:paraId="4603866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8">
    <w:p w14:paraId="1048B0D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9">
    <w:p w14:paraId="4FB5904F"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10">
    <w:p w14:paraId="036DFCDF"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11">
    <w:p w14:paraId="2D8AA625"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12">
    <w:p w14:paraId="3B149695"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13">
    <w:p w14:paraId="1FE1B45D"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14">
    <w:p w14:paraId="30D10C48"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15">
    <w:p w14:paraId="5ED0FE58"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16">
    <w:p w14:paraId="12BA6E28"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17">
    <w:p w14:paraId="1520B57F"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18">
    <w:p w14:paraId="22DF8F1F"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19">
    <w:p w14:paraId="758264C3"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20">
    <w:p w14:paraId="26607824"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 xml:space="preserve">. </w:t>
      </w:r>
    </w:p>
  </w:footnote>
  <w:footnote w:id="21">
    <w:p w14:paraId="5DEDB4C0"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22">
    <w:p w14:paraId="033C0205"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23">
    <w:p w14:paraId="30262C3F"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24">
    <w:p w14:paraId="437C29BB"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25">
    <w:p w14:paraId="0D59C84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26">
    <w:p w14:paraId="4865CB86"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 xml:space="preserve">. </w:t>
      </w:r>
    </w:p>
  </w:footnote>
  <w:footnote w:id="27">
    <w:p w14:paraId="043DAB33"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28">
    <w:p w14:paraId="4CDD7CFF"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29">
    <w:p w14:paraId="681128B0"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30">
    <w:p w14:paraId="7552D0E9"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31">
    <w:p w14:paraId="052566D8"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32">
    <w:p w14:paraId="06E72B0A"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 xml:space="preserve">. </w:t>
      </w:r>
    </w:p>
  </w:footnote>
  <w:footnote w:id="33">
    <w:p w14:paraId="6D6AC571"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34">
    <w:p w14:paraId="342583B3"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35">
    <w:p w14:paraId="1E3A496A"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36">
    <w:p w14:paraId="3D1F23C0"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37">
    <w:p w14:paraId="6EAB5816"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38">
    <w:p w14:paraId="3E5F2DF1"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39">
    <w:p w14:paraId="64724A65"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40">
    <w:p w14:paraId="0F9CE859"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41">
    <w:p w14:paraId="118A6824"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42">
    <w:p w14:paraId="05C9DD56"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43">
    <w:p w14:paraId="2C3CDED2"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44">
    <w:p w14:paraId="363CE912"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45">
    <w:p w14:paraId="59C615A7"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46">
    <w:p w14:paraId="1F3997C3"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47">
    <w:p w14:paraId="7F7FE37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48">
    <w:p w14:paraId="68470F78"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49">
    <w:p w14:paraId="09295F84"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50">
    <w:p w14:paraId="1341F42B"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 xml:space="preserve">. </w:t>
      </w:r>
    </w:p>
  </w:footnote>
  <w:footnote w:id="51">
    <w:p w14:paraId="6440C559"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52">
    <w:p w14:paraId="23DFDC39"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53">
    <w:p w14:paraId="5E1037F8"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256, 19.7.2021, s. 3, ELI: </w:t>
      </w:r>
      <w:r w:rsidR="00F842A3">
        <w:fldChar w:fldCharType="begin"/>
      </w:r>
      <w:r w:rsidR="00F842A3" w:rsidRPr="00F842A3">
        <w:rPr>
          <w:lang w:val="fi-FI"/>
        </w:rPr>
        <w:instrText>HYPERLINK "https://data.europa.eu/eli/reg/2021/1173/oj"</w:instrText>
      </w:r>
      <w:r w:rsidR="00F842A3">
        <w:fldChar w:fldCharType="separate"/>
      </w:r>
      <w:r w:rsidRPr="000C7927">
        <w:rPr>
          <w:rStyle w:val="Hyperlink"/>
          <w:sz w:val="24"/>
          <w:szCs w:val="24"/>
          <w:lang w:val="sk-SK"/>
        </w:rPr>
        <w:t>https://data.europa.eu/eli/reg/2021/1173/oj</w:t>
      </w:r>
      <w:r w:rsidR="00F842A3">
        <w:rPr>
          <w:rStyle w:val="Hyperlink"/>
          <w:sz w:val="24"/>
          <w:szCs w:val="24"/>
          <w:lang w:val="sk-SK"/>
        </w:rPr>
        <w:fldChar w:fldCharType="end"/>
      </w:r>
      <w:r w:rsidRPr="000C7927">
        <w:rPr>
          <w:sz w:val="24"/>
          <w:szCs w:val="24"/>
          <w:lang w:val="sk-SK"/>
        </w:rPr>
        <w:t>.</w:t>
      </w:r>
    </w:p>
  </w:footnote>
  <w:footnote w:id="54">
    <w:p w14:paraId="2F4006F4"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55">
    <w:p w14:paraId="46577AA8"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56">
    <w:p w14:paraId="25096BD4"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57">
    <w:p w14:paraId="757A73F6"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58">
    <w:p w14:paraId="75BF9D4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59">
    <w:p w14:paraId="53027368"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256, 19.7.2021, s. 3, ELI: </w:t>
      </w:r>
      <w:r w:rsidR="00F842A3">
        <w:fldChar w:fldCharType="begin"/>
      </w:r>
      <w:r w:rsidR="00F842A3" w:rsidRPr="00F842A3">
        <w:rPr>
          <w:lang w:val="fi-FI"/>
        </w:rPr>
        <w:instrText>HYPERLINK "https://data.europa.eu/eli/reg/2021/1173/oj"</w:instrText>
      </w:r>
      <w:r w:rsidR="00F842A3">
        <w:fldChar w:fldCharType="separate"/>
      </w:r>
      <w:r w:rsidRPr="000C7927">
        <w:rPr>
          <w:rStyle w:val="Hyperlink"/>
          <w:sz w:val="24"/>
          <w:szCs w:val="24"/>
          <w:lang w:val="sk-SK"/>
        </w:rPr>
        <w:t>https://data.europa.eu/eli/reg/2021/1173/oj</w:t>
      </w:r>
      <w:r w:rsidR="00F842A3">
        <w:rPr>
          <w:rStyle w:val="Hyperlink"/>
          <w:sz w:val="24"/>
          <w:szCs w:val="24"/>
          <w:lang w:val="sk-SK"/>
        </w:rPr>
        <w:fldChar w:fldCharType="end"/>
      </w:r>
      <w:r w:rsidRPr="000C7927">
        <w:rPr>
          <w:sz w:val="24"/>
          <w:szCs w:val="24"/>
          <w:lang w:val="sk-SK"/>
        </w:rPr>
        <w:t>.</w:t>
      </w:r>
    </w:p>
  </w:footnote>
  <w:footnote w:id="60">
    <w:p w14:paraId="20122DEE"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61">
    <w:p w14:paraId="7478D26F"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62">
    <w:p w14:paraId="5A2DD765"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63">
    <w:p w14:paraId="2BAD2D43"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64">
    <w:p w14:paraId="2DAE2893"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65">
    <w:p w14:paraId="0D5762F3"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90, 30.3.2007, s. 58, ELI: </w:t>
      </w:r>
      <w:r w:rsidR="00F842A3">
        <w:fldChar w:fldCharType="begin"/>
      </w:r>
      <w:r w:rsidR="00F842A3" w:rsidRPr="00F842A3">
        <w:rPr>
          <w:lang w:val="fi-FI"/>
        </w:rPr>
        <w:instrText>HYPERLINK "http://data.europa.eu/eli/dec/2007/198/oj"</w:instrText>
      </w:r>
      <w:r w:rsidR="00F842A3">
        <w:fldChar w:fldCharType="separate"/>
      </w:r>
      <w:r w:rsidRPr="000C7927">
        <w:rPr>
          <w:rStyle w:val="Hyperlink"/>
          <w:sz w:val="24"/>
          <w:szCs w:val="24"/>
          <w:lang w:val="sk-SK"/>
        </w:rPr>
        <w:t>http://data.europa.eu/eli/dec/2007/198/oj</w:t>
      </w:r>
      <w:r w:rsidR="00F842A3">
        <w:rPr>
          <w:rStyle w:val="Hyperlink"/>
          <w:sz w:val="24"/>
          <w:szCs w:val="24"/>
          <w:lang w:val="sk-SK"/>
        </w:rPr>
        <w:fldChar w:fldCharType="end"/>
      </w:r>
      <w:r w:rsidRPr="000C7927">
        <w:rPr>
          <w:sz w:val="24"/>
          <w:szCs w:val="24"/>
          <w:lang w:val="sk-SK"/>
        </w:rPr>
        <w:t>.</w:t>
      </w:r>
    </w:p>
  </w:footnote>
  <w:footnote w:id="66">
    <w:p w14:paraId="6C7BCC0E"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122, 10.5.2019, s. 1, ELI: </w:t>
      </w:r>
      <w:r w:rsidR="00F842A3">
        <w:fldChar w:fldCharType="begin"/>
      </w:r>
      <w:r w:rsidR="00F842A3" w:rsidRPr="00F842A3">
        <w:rPr>
          <w:lang w:val="fi-FI"/>
        </w:rPr>
        <w:instrText>HYPERLINK "http://data.europa.eu/eli/reg_del/2019/715/oj"</w:instrText>
      </w:r>
      <w:r w:rsidR="00F842A3">
        <w:fldChar w:fldCharType="separate"/>
      </w:r>
      <w:r w:rsidRPr="000C7927">
        <w:rPr>
          <w:rStyle w:val="Hyperlink"/>
          <w:sz w:val="24"/>
          <w:szCs w:val="24"/>
          <w:lang w:val="sk-SK"/>
        </w:rPr>
        <w:t>http://data.europa.eu/eli/reg_del/2019/715/oj</w:t>
      </w:r>
      <w:r w:rsidR="00F842A3">
        <w:rPr>
          <w:rStyle w:val="Hyperlink"/>
          <w:sz w:val="24"/>
          <w:szCs w:val="24"/>
          <w:lang w:val="sk-SK"/>
        </w:rPr>
        <w:fldChar w:fldCharType="end"/>
      </w:r>
      <w:r w:rsidRPr="000C7927">
        <w:rPr>
          <w:sz w:val="24"/>
          <w:szCs w:val="24"/>
          <w:lang w:val="sk-SK"/>
        </w:rPr>
        <w:t>.</w:t>
      </w:r>
    </w:p>
  </w:footnote>
  <w:footnote w:id="67">
    <w:p w14:paraId="645035B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68">
    <w:p w14:paraId="742A68DA"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69">
    <w:p w14:paraId="1A056131"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70">
    <w:p w14:paraId="5B6E6127"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71">
    <w:p w14:paraId="3491F288"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90, 30.3.2007, s. 58, ELI: </w:t>
      </w:r>
      <w:r w:rsidR="00F842A3">
        <w:fldChar w:fldCharType="begin"/>
      </w:r>
      <w:r w:rsidR="00F842A3" w:rsidRPr="00F842A3">
        <w:rPr>
          <w:lang w:val="fi-FI"/>
        </w:rPr>
        <w:instrText>HYPERLINK "http://data.europa.eu/eli/dec/2007/198/oj"</w:instrText>
      </w:r>
      <w:r w:rsidR="00F842A3">
        <w:fldChar w:fldCharType="separate"/>
      </w:r>
      <w:r w:rsidRPr="000C7927">
        <w:rPr>
          <w:rStyle w:val="Hyperlink"/>
          <w:sz w:val="24"/>
          <w:szCs w:val="24"/>
          <w:lang w:val="sk-SK"/>
        </w:rPr>
        <w:t>http://data.europa.eu/eli/dec/2007/198/oj</w:t>
      </w:r>
      <w:r w:rsidR="00F842A3">
        <w:rPr>
          <w:rStyle w:val="Hyperlink"/>
          <w:sz w:val="24"/>
          <w:szCs w:val="24"/>
          <w:lang w:val="sk-SK"/>
        </w:rPr>
        <w:fldChar w:fldCharType="end"/>
      </w:r>
      <w:r w:rsidRPr="000C7927">
        <w:rPr>
          <w:sz w:val="24"/>
          <w:szCs w:val="24"/>
          <w:lang w:val="sk-SK"/>
        </w:rPr>
        <w:t>.</w:t>
      </w:r>
    </w:p>
  </w:footnote>
  <w:footnote w:id="72">
    <w:p w14:paraId="5E120B52"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122, 10.5.2019, s. 1, ELI: </w:t>
      </w:r>
      <w:r w:rsidR="00F842A3">
        <w:fldChar w:fldCharType="begin"/>
      </w:r>
      <w:r w:rsidR="00F842A3" w:rsidRPr="00F842A3">
        <w:rPr>
          <w:lang w:val="fi-FI"/>
        </w:rPr>
        <w:instrText>HYPERLINK "http://data.europa.eu/eli/reg_del/2019/715/oj"</w:instrText>
      </w:r>
      <w:r w:rsidR="00F842A3">
        <w:fldChar w:fldCharType="separate"/>
      </w:r>
      <w:r w:rsidRPr="000C7927">
        <w:rPr>
          <w:rStyle w:val="Hyperlink"/>
          <w:sz w:val="24"/>
          <w:szCs w:val="24"/>
          <w:lang w:val="sk-SK"/>
        </w:rPr>
        <w:t>http://data.europa.eu/eli/reg_del/2019/715/oj</w:t>
      </w:r>
      <w:r w:rsidR="00F842A3">
        <w:rPr>
          <w:rStyle w:val="Hyperlink"/>
          <w:sz w:val="24"/>
          <w:szCs w:val="24"/>
          <w:lang w:val="sk-SK"/>
        </w:rPr>
        <w:fldChar w:fldCharType="end"/>
      </w:r>
      <w:r w:rsidRPr="000C7927">
        <w:rPr>
          <w:sz w:val="24"/>
          <w:szCs w:val="24"/>
          <w:lang w:val="sk-SK"/>
        </w:rPr>
        <w:t>.</w:t>
      </w:r>
    </w:p>
  </w:footnote>
  <w:footnote w:id="73">
    <w:p w14:paraId="7549204D"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74">
    <w:p w14:paraId="1169302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75">
    <w:p w14:paraId="0B69C7C0"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76">
    <w:p w14:paraId="7420DA54"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77">
    <w:p w14:paraId="2B64B098"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78">
    <w:p w14:paraId="50D7763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79">
    <w:p w14:paraId="74DFAC6B"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80">
    <w:p w14:paraId="43E66FCB"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81">
    <w:p w14:paraId="7A5BA060"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82">
    <w:p w14:paraId="282476B7"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83">
    <w:p w14:paraId="19EB1D6E"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84">
    <w:p w14:paraId="6BD4BB5B"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85">
    <w:p w14:paraId="5B248D50"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86">
    <w:p w14:paraId="244E2EA0"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87">
    <w:p w14:paraId="665F6D90"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88">
    <w:p w14:paraId="75FB2B6A"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89">
    <w:p w14:paraId="3FBD763F"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90">
    <w:p w14:paraId="626E28B9"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91">
    <w:p w14:paraId="371D393E"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92">
    <w:p w14:paraId="7729D8E9"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93">
    <w:p w14:paraId="1B73573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94">
    <w:p w14:paraId="32E6648D"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95">
    <w:p w14:paraId="4BAC4133"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96">
    <w:p w14:paraId="2A4E2269"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97">
    <w:p w14:paraId="128AEAAB"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98">
    <w:p w14:paraId="76595166"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99">
    <w:p w14:paraId="5B94A77F"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100">
    <w:p w14:paraId="70EA8D46"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101">
    <w:p w14:paraId="713AA3F9"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102">
    <w:p w14:paraId="71B176DF"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229, 18.9.2023, s. 55, ELI: </w:t>
      </w:r>
      <w:r w:rsidR="00F842A3">
        <w:fldChar w:fldCharType="begin"/>
      </w:r>
      <w:r w:rsidR="00F842A3" w:rsidRPr="00F842A3">
        <w:rPr>
          <w:lang w:val="fi-FI"/>
        </w:rPr>
        <w:instrText>HYPERLINK "http://data.europa.eu/eli/reg/2023/1782/oj"</w:instrText>
      </w:r>
      <w:r w:rsidR="00F842A3">
        <w:fldChar w:fldCharType="separate"/>
      </w:r>
      <w:r w:rsidRPr="000C7927">
        <w:rPr>
          <w:rStyle w:val="Hyperlink"/>
          <w:sz w:val="24"/>
          <w:szCs w:val="24"/>
          <w:lang w:val="sk-SK"/>
        </w:rPr>
        <w:t>http://data.europa.eu/eli/reg/2023/1782/oj</w:t>
      </w:r>
      <w:r w:rsidR="00F842A3">
        <w:rPr>
          <w:rStyle w:val="Hyperlink"/>
          <w:sz w:val="24"/>
          <w:szCs w:val="24"/>
          <w:lang w:val="sk-SK"/>
        </w:rPr>
        <w:fldChar w:fldCharType="end"/>
      </w:r>
      <w:r w:rsidRPr="000C7927">
        <w:rPr>
          <w:sz w:val="24"/>
          <w:szCs w:val="24"/>
          <w:lang w:val="sk-SK"/>
        </w:rPr>
        <w:t>.</w:t>
      </w:r>
    </w:p>
  </w:footnote>
  <w:footnote w:id="103">
    <w:p w14:paraId="402A4D1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104">
    <w:p w14:paraId="31DD0E01"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105">
    <w:p w14:paraId="086F063F"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106">
    <w:p w14:paraId="264F561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107">
    <w:p w14:paraId="4CA744FE"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108">
    <w:p w14:paraId="480E8F6D"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109">
    <w:p w14:paraId="71A1298D"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229, 18.9.2023, s. 55, ELI: </w:t>
      </w:r>
      <w:r w:rsidR="00F842A3">
        <w:fldChar w:fldCharType="begin"/>
      </w:r>
      <w:r w:rsidR="00F842A3" w:rsidRPr="00F842A3">
        <w:rPr>
          <w:lang w:val="fi-FI"/>
        </w:rPr>
        <w:instrText>HYPERLINK "http://data.europa.eu/eli/reg/2023/1782/oj"</w:instrText>
      </w:r>
      <w:r w:rsidR="00F842A3">
        <w:fldChar w:fldCharType="separate"/>
      </w:r>
      <w:r w:rsidRPr="000C7927">
        <w:rPr>
          <w:sz w:val="24"/>
          <w:szCs w:val="24"/>
          <w:lang w:val="sk-SK"/>
        </w:rPr>
        <w:t>http://data.europa.eu/eli/reg/2023/1782/oj</w:t>
      </w:r>
      <w:r w:rsidR="00F842A3">
        <w:rPr>
          <w:sz w:val="24"/>
          <w:szCs w:val="24"/>
          <w:lang w:val="sk-SK"/>
        </w:rPr>
        <w:fldChar w:fldCharType="end"/>
      </w:r>
      <w:r w:rsidRPr="000C7927">
        <w:rPr>
          <w:sz w:val="24"/>
          <w:szCs w:val="24"/>
          <w:lang w:val="sk-SK"/>
        </w:rPr>
        <w:t>.</w:t>
      </w:r>
    </w:p>
  </w:footnote>
  <w:footnote w:id="110">
    <w:p w14:paraId="4EC40813"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111">
    <w:p w14:paraId="51769280"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112">
    <w:p w14:paraId="4CDF0AE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113">
    <w:p w14:paraId="23B2D215"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114">
    <w:p w14:paraId="1E323B02"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115">
    <w:p w14:paraId="080E8B3B"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116">
    <w:p w14:paraId="30FFFF32"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117">
    <w:p w14:paraId="67EDF3CF"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118">
    <w:p w14:paraId="2EAF3374"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119">
    <w:p w14:paraId="1255A829"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120">
    <w:p w14:paraId="7B20D727"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121">
    <w:p w14:paraId="35EADE17"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122">
    <w:p w14:paraId="0E56F9FE"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123">
    <w:p w14:paraId="39C12C63"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124">
    <w:p w14:paraId="42D0A4C3"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125">
    <w:p w14:paraId="594D9BAA"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126">
    <w:p w14:paraId="1159A5E6"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127">
    <w:p w14:paraId="373E1390"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128">
    <w:p w14:paraId="63815F31"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129">
    <w:p w14:paraId="752DB982"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C/2024/6841, 13.11.2024, ELI: </w:t>
      </w:r>
      <w:r w:rsidR="00F842A3">
        <w:fldChar w:fldCharType="begin"/>
      </w:r>
      <w:r w:rsidR="00F842A3" w:rsidRPr="00F842A3">
        <w:rPr>
          <w:lang w:val="fi-FI"/>
        </w:rPr>
        <w:instrText>HYPERLINK "http://data.europa.eu/eli/C/2024/6841/oj"</w:instrText>
      </w:r>
      <w:r w:rsidR="00F842A3">
        <w:fldChar w:fldCharType="separate"/>
      </w:r>
      <w:r w:rsidRPr="000C7927">
        <w:rPr>
          <w:rStyle w:val="Hyperlink"/>
          <w:sz w:val="24"/>
          <w:szCs w:val="24"/>
          <w:lang w:val="sk-SK"/>
        </w:rPr>
        <w:t>http://data.europa.eu/eli/C/2024/6841/oj</w:t>
      </w:r>
      <w:r w:rsidR="00F842A3">
        <w:rPr>
          <w:rStyle w:val="Hyperlink"/>
          <w:sz w:val="24"/>
          <w:szCs w:val="24"/>
          <w:lang w:val="sk-SK"/>
        </w:rPr>
        <w:fldChar w:fldCharType="end"/>
      </w:r>
      <w:r w:rsidRPr="000C7927">
        <w:rPr>
          <w:sz w:val="24"/>
          <w:szCs w:val="24"/>
          <w:lang w:val="sk-SK"/>
        </w:rPr>
        <w:t>.</w:t>
      </w:r>
    </w:p>
  </w:footnote>
  <w:footnote w:id="130">
    <w:p w14:paraId="7632A0D7"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C, C/2024/6041, 10.10.2024, ELI: </w:t>
      </w:r>
      <w:r w:rsidR="00F842A3">
        <w:fldChar w:fldCharType="begin"/>
      </w:r>
      <w:r w:rsidR="00F842A3" w:rsidRPr="00F842A3">
        <w:rPr>
          <w:lang w:val="fi-FI"/>
        </w:rPr>
        <w:instrText>HYPERLINK "http://data.europa.eu/eli/C/2024/6041/oj"</w:instrText>
      </w:r>
      <w:r w:rsidR="00F842A3">
        <w:fldChar w:fldCharType="separate"/>
      </w:r>
      <w:r w:rsidRPr="000C7927">
        <w:rPr>
          <w:rStyle w:val="Hyperlink"/>
          <w:sz w:val="24"/>
          <w:szCs w:val="24"/>
          <w:lang w:val="sk-SK"/>
        </w:rPr>
        <w:t>http://data.europa.eu/eli/C/2024/6041/oj</w:t>
      </w:r>
      <w:r w:rsidR="00F842A3">
        <w:rPr>
          <w:rStyle w:val="Hyperlink"/>
          <w:sz w:val="24"/>
          <w:szCs w:val="24"/>
          <w:lang w:val="sk-SK"/>
        </w:rPr>
        <w:fldChar w:fldCharType="end"/>
      </w:r>
      <w:r w:rsidRPr="000C7927">
        <w:rPr>
          <w:sz w:val="24"/>
          <w:szCs w:val="24"/>
          <w:lang w:val="sk-SK"/>
        </w:rPr>
        <w:t>.</w:t>
      </w:r>
    </w:p>
  </w:footnote>
  <w:footnote w:id="131">
    <w:p w14:paraId="0F51589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193, 30.7.2018, s. 1, ELI: </w:t>
      </w:r>
      <w:r w:rsidR="00F842A3">
        <w:fldChar w:fldCharType="begin"/>
      </w:r>
      <w:r w:rsidR="00F842A3" w:rsidRPr="00F842A3">
        <w:rPr>
          <w:lang w:val="fi-FI"/>
        </w:rPr>
        <w:instrText>HYPERLINK "http://data.europa.eu/eli/reg/2018/1046/oj"</w:instrText>
      </w:r>
      <w:r w:rsidR="00F842A3">
        <w:fldChar w:fldCharType="separate"/>
      </w:r>
      <w:r w:rsidRPr="000C7927">
        <w:rPr>
          <w:rStyle w:val="Hyperlink"/>
          <w:sz w:val="24"/>
          <w:szCs w:val="24"/>
          <w:lang w:val="sk-SK"/>
        </w:rPr>
        <w:t>http://data.europa.eu/eli/reg/2018/1046/oj</w:t>
      </w:r>
      <w:r w:rsidR="00F842A3">
        <w:rPr>
          <w:rStyle w:val="Hyperlink"/>
          <w:sz w:val="24"/>
          <w:szCs w:val="24"/>
          <w:lang w:val="sk-SK"/>
        </w:rPr>
        <w:fldChar w:fldCharType="end"/>
      </w:r>
      <w:r w:rsidRPr="000C7927">
        <w:rPr>
          <w:sz w:val="24"/>
          <w:szCs w:val="24"/>
          <w:lang w:val="sk-SK"/>
        </w:rPr>
        <w:t>.</w:t>
      </w:r>
    </w:p>
  </w:footnote>
  <w:footnote w:id="132">
    <w:p w14:paraId="3EC11FEE"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2024/2509, 26.9.2024, ELI: </w:t>
      </w:r>
      <w:r w:rsidR="00F842A3">
        <w:fldChar w:fldCharType="begin"/>
      </w:r>
      <w:r w:rsidR="00F842A3" w:rsidRPr="00F842A3">
        <w:rPr>
          <w:lang w:val="fi-FI"/>
        </w:rPr>
        <w:instrText>HYPERLINK "http://data.europa.eu/eli/reg/2024/2509/oj" \t "_blank"</w:instrText>
      </w:r>
      <w:r w:rsidR="00F842A3">
        <w:fldChar w:fldCharType="separate"/>
      </w:r>
      <w:r w:rsidRPr="000C7927">
        <w:rPr>
          <w:rStyle w:val="Hyperlink"/>
          <w:sz w:val="24"/>
          <w:szCs w:val="24"/>
          <w:shd w:val="clear" w:color="auto" w:fill="FFFFFF"/>
          <w:lang w:val="sk-SK"/>
        </w:rPr>
        <w:t>http://data.europa.eu/eli/reg/2024/2509/oj</w:t>
      </w:r>
      <w:r w:rsidR="00F842A3">
        <w:rPr>
          <w:rStyle w:val="Hyperlink"/>
          <w:sz w:val="24"/>
          <w:szCs w:val="24"/>
          <w:shd w:val="clear" w:color="auto" w:fill="FFFFFF"/>
          <w:lang w:val="sk-SK"/>
        </w:rPr>
        <w:fldChar w:fldCharType="end"/>
      </w:r>
      <w:r w:rsidRPr="000C7927">
        <w:rPr>
          <w:sz w:val="24"/>
          <w:szCs w:val="24"/>
          <w:lang w:val="sk-SK"/>
        </w:rPr>
        <w:t>.</w:t>
      </w:r>
    </w:p>
  </w:footnote>
  <w:footnote w:id="133">
    <w:p w14:paraId="11F2BD56"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427, 30.11.2021, s. 17, ELI: </w:t>
      </w:r>
      <w:r w:rsidR="00F842A3">
        <w:fldChar w:fldCharType="begin"/>
      </w:r>
      <w:r w:rsidR="00F842A3" w:rsidRPr="00F842A3">
        <w:rPr>
          <w:lang w:val="fi-FI"/>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134">
    <w:p w14:paraId="285657D9"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 xml:space="preserve"> </w:t>
      </w:r>
      <w:r w:rsidRPr="000C7927">
        <w:rPr>
          <w:sz w:val="24"/>
          <w:szCs w:val="24"/>
          <w:lang w:val="sk-SK"/>
        </w:rPr>
        <w:tab/>
        <w:t xml:space="preserve">Ú. v. EÚ L 142, 29.5.2019, s. 16, ELI: </w:t>
      </w:r>
      <w:r w:rsidR="00F842A3">
        <w:fldChar w:fldCharType="begin"/>
      </w:r>
      <w:r w:rsidR="00F842A3" w:rsidRPr="00F842A3">
        <w:rPr>
          <w:lang w:val="fi-FI"/>
        </w:rPr>
        <w:instrText>HYPERLINK "http://data.europa.eu/eli/reg_del/2019/887/oj"</w:instrText>
      </w:r>
      <w:r w:rsidR="00F842A3">
        <w:fldChar w:fldCharType="separate"/>
      </w:r>
      <w:r w:rsidRPr="000C7927">
        <w:rPr>
          <w:rStyle w:val="Hyperlink"/>
          <w:sz w:val="24"/>
          <w:szCs w:val="24"/>
          <w:lang w:val="sk-SK"/>
        </w:rPr>
        <w:t>http://data.europa.eu/eli/reg_del/2019/887/oj</w:t>
      </w:r>
      <w:r w:rsidR="00F842A3">
        <w:rPr>
          <w:rStyle w:val="Hyperlink"/>
          <w:sz w:val="24"/>
          <w:szCs w:val="24"/>
          <w:lang w:val="sk-SK"/>
        </w:rPr>
        <w:fldChar w:fldCharType="end"/>
      </w:r>
      <w:r w:rsidRPr="000C7927">
        <w:rPr>
          <w:sz w:val="24"/>
          <w:szCs w:val="24"/>
          <w:lang w:val="sk-SK"/>
        </w:rPr>
        <w:t>.</w:t>
      </w:r>
    </w:p>
  </w:footnote>
  <w:footnote w:id="135">
    <w:p w14:paraId="1374DDE0"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Nariadenie Rady (EÚ) 2021/2085 z 19. novembra 2021, ktorým sa zriaďujú spoločné podniky v rámci programu Horizont Európa a zrušujú nariadenia (ES) č. 219/2007, (EÚ) č. 557/2014, (EÚ) č. 558/2014, (EÚ) č. 559/2014, (EÚ) č. 560/2014, (EÚ) č. 561/2014 a (EÚ) č. 642/2014 (Ú. v. EÚ L 427, 30.11.2021, s. 17, ELI: </w:t>
      </w:r>
      <w:r w:rsidR="00F842A3">
        <w:fldChar w:fldCharType="begin"/>
      </w:r>
      <w:r w:rsidR="00F842A3" w:rsidRPr="00F842A3">
        <w:rPr>
          <w:lang w:val="sk-SK"/>
        </w:rPr>
        <w:instrText>HYPERLINK "http://data.europa.eu/eli/reg/2021/2085/oj"</w:instrText>
      </w:r>
      <w:r w:rsidR="00F842A3">
        <w:fldChar w:fldCharType="separate"/>
      </w:r>
      <w:r w:rsidRPr="000C7927">
        <w:rPr>
          <w:rStyle w:val="Hyperlink"/>
          <w:sz w:val="24"/>
          <w:szCs w:val="24"/>
          <w:lang w:val="sk-SK"/>
        </w:rPr>
        <w:t>http://data.europa.eu/eli/reg/2021/2085/oj</w:t>
      </w:r>
      <w:r w:rsidR="00F842A3">
        <w:rPr>
          <w:rStyle w:val="Hyperlink"/>
          <w:sz w:val="24"/>
          <w:szCs w:val="24"/>
          <w:lang w:val="sk-SK"/>
        </w:rPr>
        <w:fldChar w:fldCharType="end"/>
      </w:r>
      <w:r w:rsidRPr="000C7927">
        <w:rPr>
          <w:sz w:val="24"/>
          <w:szCs w:val="24"/>
          <w:lang w:val="sk-SK"/>
        </w:rPr>
        <w:t>).</w:t>
      </w:r>
    </w:p>
  </w:footnote>
  <w:footnote w:id="136">
    <w:p w14:paraId="05709D24"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Nariadenie Rady (EÚ) 2023/1782 z 25. júla 2023, ktorým sa mení nariadenie (EÚ) 2021/2085, ktorým sa zriaďujú spoločné podniky v rámci programu Horizont Európa, pokiaľ ide o spoločný podnik pre čipy (Ú. v. EÚ L 229, 18.9.2023, s. 55, ELI: </w:t>
      </w:r>
      <w:r w:rsidR="00F842A3">
        <w:fldChar w:fldCharType="begin"/>
      </w:r>
      <w:r w:rsidR="00F842A3" w:rsidRPr="00F842A3">
        <w:rPr>
          <w:lang w:val="sk-SK"/>
        </w:rPr>
        <w:instrText>HYPERLINK "http://data.europa.eu/eli/reg/2023/1782/oj"</w:instrText>
      </w:r>
      <w:r w:rsidR="00F842A3">
        <w:fldChar w:fldCharType="separate"/>
      </w:r>
      <w:r w:rsidRPr="000C7927">
        <w:rPr>
          <w:rStyle w:val="Hyperlink"/>
          <w:sz w:val="24"/>
          <w:szCs w:val="24"/>
          <w:lang w:val="sk-SK"/>
        </w:rPr>
        <w:t>http://data.europa.eu/eli/reg/2023/1782/oj</w:t>
      </w:r>
      <w:r w:rsidR="00F842A3">
        <w:rPr>
          <w:rStyle w:val="Hyperlink"/>
          <w:sz w:val="24"/>
          <w:szCs w:val="24"/>
          <w:lang w:val="sk-SK"/>
        </w:rPr>
        <w:fldChar w:fldCharType="end"/>
      </w:r>
      <w:r w:rsidRPr="000C7927">
        <w:rPr>
          <w:sz w:val="24"/>
          <w:szCs w:val="24"/>
          <w:lang w:val="sk-SK"/>
        </w:rPr>
        <w:t>).</w:t>
      </w:r>
    </w:p>
  </w:footnote>
  <w:footnote w:id="137">
    <w:p w14:paraId="4C491B7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Rozhodnutie Rady 2007/198/</w:t>
      </w:r>
      <w:proofErr w:type="spellStart"/>
      <w:r w:rsidRPr="000C7927">
        <w:rPr>
          <w:sz w:val="24"/>
          <w:szCs w:val="24"/>
          <w:lang w:val="sk-SK"/>
        </w:rPr>
        <w:t>Euratom</w:t>
      </w:r>
      <w:proofErr w:type="spellEnd"/>
      <w:r w:rsidRPr="000C7927">
        <w:rPr>
          <w:sz w:val="24"/>
          <w:szCs w:val="24"/>
          <w:lang w:val="sk-SK"/>
        </w:rPr>
        <w:t xml:space="preserve"> z 27. marca 2007, ktorým sa zriaďuje Európsky spoločný podnik pre ITER a rozvoj energie jadrovej syntézy a ktorým sa mu udeľujú výhody (Ú. v. EÚ L 90, 30.3.2007, s. 58, ELI: </w:t>
      </w:r>
      <w:r w:rsidR="00F842A3">
        <w:fldChar w:fldCharType="begin"/>
      </w:r>
      <w:r w:rsidR="00F842A3" w:rsidRPr="00F842A3">
        <w:rPr>
          <w:lang w:val="sk-SK"/>
        </w:rPr>
        <w:instrText>HYPERLINK "http://data.europa.eu/eli/dec/2007/198/oj"</w:instrText>
      </w:r>
      <w:r w:rsidR="00F842A3">
        <w:fldChar w:fldCharType="separate"/>
      </w:r>
      <w:r w:rsidRPr="000C7927">
        <w:rPr>
          <w:rStyle w:val="Hyperlink"/>
          <w:sz w:val="24"/>
          <w:szCs w:val="24"/>
          <w:lang w:val="sk-SK"/>
        </w:rPr>
        <w:t>http://data.europa.eu/eli/dec/2007/198/oj</w:t>
      </w:r>
      <w:r w:rsidR="00F842A3">
        <w:rPr>
          <w:rStyle w:val="Hyperlink"/>
          <w:sz w:val="24"/>
          <w:szCs w:val="24"/>
          <w:lang w:val="sk-SK"/>
        </w:rPr>
        <w:fldChar w:fldCharType="end"/>
      </w:r>
      <w:r w:rsidRPr="000C7927">
        <w:rPr>
          <w:sz w:val="24"/>
          <w:szCs w:val="24"/>
          <w:lang w:val="sk-SK"/>
        </w:rPr>
        <w:t>).</w:t>
      </w:r>
    </w:p>
  </w:footnote>
  <w:footnote w:id="138">
    <w:p w14:paraId="2BB040BC" w14:textId="77777777" w:rsidR="000C7927" w:rsidRPr="000C7927" w:rsidRDefault="000C7927" w:rsidP="000C7927">
      <w:pPr>
        <w:pStyle w:val="FootnoteText"/>
        <w:ind w:left="567" w:hanging="567"/>
        <w:rPr>
          <w:sz w:val="24"/>
          <w:szCs w:val="24"/>
          <w:lang w:val="sk-SK"/>
        </w:rPr>
      </w:pPr>
      <w:r w:rsidRPr="000C7927">
        <w:rPr>
          <w:rStyle w:val="FootnoteReference"/>
          <w:sz w:val="24"/>
          <w:szCs w:val="24"/>
        </w:rPr>
        <w:footnoteRef/>
      </w:r>
      <w:r w:rsidRPr="000C7927">
        <w:rPr>
          <w:sz w:val="24"/>
          <w:szCs w:val="24"/>
          <w:lang w:val="sk-SK"/>
        </w:rPr>
        <w:tab/>
        <w:t xml:space="preserve">Nariadenie Rady (EÚ) 2021/1173 z 13. júla 2021 o zriadení spoločného podniku pre európsku vysokovýkonnú výpočtovú techniku a o zrušení nariadenia (EÚ) 2018/1488 (Ú. v. EÚ L 256, 19.7.2021, s. 3, ELI: </w:t>
      </w:r>
      <w:r w:rsidR="00F842A3">
        <w:fldChar w:fldCharType="begin"/>
      </w:r>
      <w:r w:rsidR="00F842A3" w:rsidRPr="00F842A3">
        <w:rPr>
          <w:lang w:val="sk-SK"/>
        </w:rPr>
        <w:instrText>HYPERLINK "http://data.europa.eu/eli/reg/2021/1173/oj"</w:instrText>
      </w:r>
      <w:r w:rsidR="00F842A3">
        <w:fldChar w:fldCharType="separate"/>
      </w:r>
      <w:r w:rsidRPr="000C7927">
        <w:rPr>
          <w:rStyle w:val="Hyperlink"/>
          <w:sz w:val="24"/>
          <w:szCs w:val="24"/>
          <w:lang w:val="sk-SK"/>
        </w:rPr>
        <w:t>http://data.europa.eu/eli/reg/2021/1173/oj</w:t>
      </w:r>
      <w:r w:rsidR="00F842A3">
        <w:rPr>
          <w:rStyle w:val="Hyperlink"/>
          <w:sz w:val="24"/>
          <w:szCs w:val="24"/>
          <w:lang w:val="sk-SK"/>
        </w:rPr>
        <w:fldChar w:fldCharType="end"/>
      </w:r>
      <w:r w:rsidRPr="000C7927">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7A2FE" w14:textId="77777777" w:rsidR="006E2584" w:rsidRDefault="006E25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D39E2" w14:textId="77777777" w:rsidR="006E2584" w:rsidRDefault="006E258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EA93D" w14:textId="77777777" w:rsidR="006E2584" w:rsidRDefault="006E25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6C3CBBAA">
      <w:start w:val="1"/>
      <w:numFmt w:val="upperLetter"/>
      <w:lvlText w:val="%1."/>
      <w:lvlJc w:val="left"/>
      <w:pPr>
        <w:tabs>
          <w:tab w:val="num" w:pos="360"/>
        </w:tabs>
        <w:ind w:left="360" w:hanging="360"/>
      </w:pPr>
      <w:rPr>
        <w:rFonts w:hint="default"/>
      </w:rPr>
    </w:lvl>
    <w:lvl w:ilvl="1" w:tplc="0670594C" w:tentative="1">
      <w:start w:val="1"/>
      <w:numFmt w:val="lowerLetter"/>
      <w:lvlText w:val="%2."/>
      <w:lvlJc w:val="left"/>
      <w:pPr>
        <w:tabs>
          <w:tab w:val="num" w:pos="1080"/>
        </w:tabs>
        <w:ind w:left="1080" w:hanging="360"/>
      </w:pPr>
    </w:lvl>
    <w:lvl w:ilvl="2" w:tplc="3AB6C0AE" w:tentative="1">
      <w:start w:val="1"/>
      <w:numFmt w:val="lowerRoman"/>
      <w:lvlText w:val="%3."/>
      <w:lvlJc w:val="right"/>
      <w:pPr>
        <w:tabs>
          <w:tab w:val="num" w:pos="1800"/>
        </w:tabs>
        <w:ind w:left="1800" w:hanging="180"/>
      </w:pPr>
    </w:lvl>
    <w:lvl w:ilvl="3" w:tplc="7952C2B4" w:tentative="1">
      <w:start w:val="1"/>
      <w:numFmt w:val="decimal"/>
      <w:lvlText w:val="%4."/>
      <w:lvlJc w:val="left"/>
      <w:pPr>
        <w:tabs>
          <w:tab w:val="num" w:pos="2520"/>
        </w:tabs>
        <w:ind w:left="2520" w:hanging="360"/>
      </w:pPr>
    </w:lvl>
    <w:lvl w:ilvl="4" w:tplc="1DE8CCB2" w:tentative="1">
      <w:start w:val="1"/>
      <w:numFmt w:val="lowerLetter"/>
      <w:lvlText w:val="%5."/>
      <w:lvlJc w:val="left"/>
      <w:pPr>
        <w:tabs>
          <w:tab w:val="num" w:pos="3240"/>
        </w:tabs>
        <w:ind w:left="3240" w:hanging="360"/>
      </w:pPr>
    </w:lvl>
    <w:lvl w:ilvl="5" w:tplc="44609476" w:tentative="1">
      <w:start w:val="1"/>
      <w:numFmt w:val="lowerRoman"/>
      <w:lvlText w:val="%6."/>
      <w:lvlJc w:val="right"/>
      <w:pPr>
        <w:tabs>
          <w:tab w:val="num" w:pos="3960"/>
        </w:tabs>
        <w:ind w:left="3960" w:hanging="180"/>
      </w:pPr>
    </w:lvl>
    <w:lvl w:ilvl="6" w:tplc="002841A0" w:tentative="1">
      <w:start w:val="1"/>
      <w:numFmt w:val="decimal"/>
      <w:lvlText w:val="%7."/>
      <w:lvlJc w:val="left"/>
      <w:pPr>
        <w:tabs>
          <w:tab w:val="num" w:pos="4680"/>
        </w:tabs>
        <w:ind w:left="4680" w:hanging="360"/>
      </w:pPr>
    </w:lvl>
    <w:lvl w:ilvl="7" w:tplc="03EA6BB8" w:tentative="1">
      <w:start w:val="1"/>
      <w:numFmt w:val="lowerLetter"/>
      <w:lvlText w:val="%8."/>
      <w:lvlJc w:val="left"/>
      <w:pPr>
        <w:tabs>
          <w:tab w:val="num" w:pos="5400"/>
        </w:tabs>
        <w:ind w:left="5400" w:hanging="360"/>
      </w:pPr>
    </w:lvl>
    <w:lvl w:ilvl="8" w:tplc="D940EAD4"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96E2DE80">
      <w:start w:val="1"/>
      <w:numFmt w:val="decimal"/>
      <w:lvlText w:val="%1."/>
      <w:lvlJc w:val="left"/>
      <w:pPr>
        <w:tabs>
          <w:tab w:val="num" w:pos="720"/>
        </w:tabs>
        <w:ind w:left="720" w:hanging="360"/>
      </w:pPr>
    </w:lvl>
    <w:lvl w:ilvl="1" w:tplc="974EF190" w:tentative="1">
      <w:start w:val="1"/>
      <w:numFmt w:val="lowerLetter"/>
      <w:lvlText w:val="%2."/>
      <w:lvlJc w:val="left"/>
      <w:pPr>
        <w:tabs>
          <w:tab w:val="num" w:pos="1440"/>
        </w:tabs>
        <w:ind w:left="1440" w:hanging="360"/>
      </w:pPr>
    </w:lvl>
    <w:lvl w:ilvl="2" w:tplc="B5BC8BB8" w:tentative="1">
      <w:start w:val="1"/>
      <w:numFmt w:val="lowerRoman"/>
      <w:lvlText w:val="%3."/>
      <w:lvlJc w:val="right"/>
      <w:pPr>
        <w:tabs>
          <w:tab w:val="num" w:pos="2160"/>
        </w:tabs>
        <w:ind w:left="2160" w:hanging="180"/>
      </w:pPr>
    </w:lvl>
    <w:lvl w:ilvl="3" w:tplc="90D6F852" w:tentative="1">
      <w:start w:val="1"/>
      <w:numFmt w:val="decimal"/>
      <w:lvlText w:val="%4."/>
      <w:lvlJc w:val="left"/>
      <w:pPr>
        <w:tabs>
          <w:tab w:val="num" w:pos="2880"/>
        </w:tabs>
        <w:ind w:left="2880" w:hanging="360"/>
      </w:pPr>
    </w:lvl>
    <w:lvl w:ilvl="4" w:tplc="E6FE5BF2" w:tentative="1">
      <w:start w:val="1"/>
      <w:numFmt w:val="lowerLetter"/>
      <w:lvlText w:val="%5."/>
      <w:lvlJc w:val="left"/>
      <w:pPr>
        <w:tabs>
          <w:tab w:val="num" w:pos="3600"/>
        </w:tabs>
        <w:ind w:left="3600" w:hanging="360"/>
      </w:pPr>
    </w:lvl>
    <w:lvl w:ilvl="5" w:tplc="C17073CA" w:tentative="1">
      <w:start w:val="1"/>
      <w:numFmt w:val="lowerRoman"/>
      <w:lvlText w:val="%6."/>
      <w:lvlJc w:val="right"/>
      <w:pPr>
        <w:tabs>
          <w:tab w:val="num" w:pos="4320"/>
        </w:tabs>
        <w:ind w:left="4320" w:hanging="180"/>
      </w:pPr>
    </w:lvl>
    <w:lvl w:ilvl="6" w:tplc="8ED063CC" w:tentative="1">
      <w:start w:val="1"/>
      <w:numFmt w:val="decimal"/>
      <w:lvlText w:val="%7."/>
      <w:lvlJc w:val="left"/>
      <w:pPr>
        <w:tabs>
          <w:tab w:val="num" w:pos="5040"/>
        </w:tabs>
        <w:ind w:left="5040" w:hanging="360"/>
      </w:pPr>
    </w:lvl>
    <w:lvl w:ilvl="7" w:tplc="E2322A4C" w:tentative="1">
      <w:start w:val="1"/>
      <w:numFmt w:val="lowerLetter"/>
      <w:lvlText w:val="%8."/>
      <w:lvlJc w:val="left"/>
      <w:pPr>
        <w:tabs>
          <w:tab w:val="num" w:pos="5760"/>
        </w:tabs>
        <w:ind w:left="5760" w:hanging="360"/>
      </w:pPr>
    </w:lvl>
    <w:lvl w:ilvl="8" w:tplc="04CC4310" w:tentative="1">
      <w:start w:val="1"/>
      <w:numFmt w:val="lowerRoman"/>
      <w:lvlText w:val="%9."/>
      <w:lvlJc w:val="right"/>
      <w:pPr>
        <w:tabs>
          <w:tab w:val="num" w:pos="6480"/>
        </w:tabs>
        <w:ind w:left="6480" w:hanging="180"/>
      </w:pPr>
    </w:lvl>
  </w:abstractNum>
  <w:num w:numId="1" w16cid:durableId="1248660305">
    <w:abstractNumId w:val="9"/>
  </w:num>
  <w:num w:numId="2" w16cid:durableId="46496044">
    <w:abstractNumId w:val="9"/>
  </w:num>
  <w:num w:numId="3" w16cid:durableId="1617447378">
    <w:abstractNumId w:val="7"/>
  </w:num>
  <w:num w:numId="4" w16cid:durableId="767968855">
    <w:abstractNumId w:val="7"/>
  </w:num>
  <w:num w:numId="5" w16cid:durableId="1489707040">
    <w:abstractNumId w:val="6"/>
  </w:num>
  <w:num w:numId="6" w16cid:durableId="917325944">
    <w:abstractNumId w:val="6"/>
  </w:num>
  <w:num w:numId="7" w16cid:durableId="522520587">
    <w:abstractNumId w:val="5"/>
  </w:num>
  <w:num w:numId="8" w16cid:durableId="1830367465">
    <w:abstractNumId w:val="5"/>
  </w:num>
  <w:num w:numId="9" w16cid:durableId="1601645192">
    <w:abstractNumId w:val="4"/>
  </w:num>
  <w:num w:numId="10" w16cid:durableId="778528362">
    <w:abstractNumId w:val="4"/>
  </w:num>
  <w:num w:numId="11" w16cid:durableId="2124498640">
    <w:abstractNumId w:val="8"/>
  </w:num>
  <w:num w:numId="12" w16cid:durableId="2050185925">
    <w:abstractNumId w:val="8"/>
  </w:num>
  <w:num w:numId="13" w16cid:durableId="453451133">
    <w:abstractNumId w:val="3"/>
  </w:num>
  <w:num w:numId="14" w16cid:durableId="1129855595">
    <w:abstractNumId w:val="3"/>
  </w:num>
  <w:num w:numId="15" w16cid:durableId="1086729637">
    <w:abstractNumId w:val="2"/>
  </w:num>
  <w:num w:numId="16" w16cid:durableId="1680544261">
    <w:abstractNumId w:val="2"/>
  </w:num>
  <w:num w:numId="17" w16cid:durableId="5253436">
    <w:abstractNumId w:val="1"/>
  </w:num>
  <w:num w:numId="18" w16cid:durableId="227620820">
    <w:abstractNumId w:val="1"/>
  </w:num>
  <w:num w:numId="19" w16cid:durableId="1757362863">
    <w:abstractNumId w:val="0"/>
  </w:num>
  <w:num w:numId="20" w16cid:durableId="356152810">
    <w:abstractNumId w:val="0"/>
  </w:num>
  <w:num w:numId="21" w16cid:durableId="763838143">
    <w:abstractNumId w:val="9"/>
  </w:num>
  <w:num w:numId="22" w16cid:durableId="1471825641">
    <w:abstractNumId w:val="7"/>
  </w:num>
  <w:num w:numId="23" w16cid:durableId="897714237">
    <w:abstractNumId w:val="6"/>
  </w:num>
  <w:num w:numId="24" w16cid:durableId="2063140430">
    <w:abstractNumId w:val="5"/>
  </w:num>
  <w:num w:numId="25" w16cid:durableId="58215706">
    <w:abstractNumId w:val="4"/>
  </w:num>
  <w:num w:numId="26" w16cid:durableId="1584683848">
    <w:abstractNumId w:val="8"/>
  </w:num>
  <w:num w:numId="27" w16cid:durableId="1781728962">
    <w:abstractNumId w:val="3"/>
  </w:num>
  <w:num w:numId="28" w16cid:durableId="1140459832">
    <w:abstractNumId w:val="2"/>
  </w:num>
  <w:num w:numId="29" w16cid:durableId="411590791">
    <w:abstractNumId w:val="1"/>
  </w:num>
  <w:num w:numId="30" w16cid:durableId="1938250783">
    <w:abstractNumId w:val="0"/>
  </w:num>
  <w:num w:numId="31" w16cid:durableId="1697390152">
    <w:abstractNumId w:val="9"/>
  </w:num>
  <w:num w:numId="32" w16cid:durableId="1882087613">
    <w:abstractNumId w:val="7"/>
  </w:num>
  <w:num w:numId="33" w16cid:durableId="1565406892">
    <w:abstractNumId w:val="6"/>
  </w:num>
  <w:num w:numId="34" w16cid:durableId="872809330">
    <w:abstractNumId w:val="5"/>
  </w:num>
  <w:num w:numId="35" w16cid:durableId="2110467579">
    <w:abstractNumId w:val="4"/>
  </w:num>
  <w:num w:numId="36" w16cid:durableId="1283000130">
    <w:abstractNumId w:val="8"/>
  </w:num>
  <w:num w:numId="37" w16cid:durableId="1947421636">
    <w:abstractNumId w:val="3"/>
  </w:num>
  <w:num w:numId="38" w16cid:durableId="1169709275">
    <w:abstractNumId w:val="2"/>
  </w:num>
  <w:num w:numId="39" w16cid:durableId="1083644129">
    <w:abstractNumId w:val="1"/>
  </w:num>
  <w:num w:numId="40" w16cid:durableId="2129887065">
    <w:abstractNumId w:val="0"/>
  </w:num>
  <w:num w:numId="41" w16cid:durableId="1165707188">
    <w:abstractNumId w:val="10"/>
  </w:num>
  <w:num w:numId="42" w16cid:durableId="413205684">
    <w:abstractNumId w:val="10"/>
  </w:num>
  <w:num w:numId="43" w16cid:durableId="1866746216">
    <w:abstractNumId w:val="10"/>
  </w:num>
  <w:num w:numId="44" w16cid:durableId="1714574783">
    <w:abstractNumId w:val="12"/>
  </w:num>
  <w:num w:numId="45" w16cid:durableId="76829936">
    <w:abstractNumId w:val="13"/>
  </w:num>
  <w:num w:numId="46" w16cid:durableId="20179250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SK"/>
    <w:docVar w:name="dvnumam" w:val="0"/>
    <w:docVar w:name="dvpe" w:val="765.276"/>
    <w:docVar w:name="dvrapporteur" w:val="Spravodajca: "/>
    <w:docVar w:name="dvtitre" w:val="1. Rozhodnutie Európskeho parlamentu zo 7. mája 2025 o absolutóriu za plnenie rozpočtu spoločných podnikov Európskej únie za rozpočtový rok 2023(2024/2031(DEC))"/>
  </w:docVars>
  <w:rsids>
    <w:rsidRoot w:val="006E2584"/>
    <w:rsid w:val="000C7927"/>
    <w:rsid w:val="006E2584"/>
    <w:rsid w:val="00F842A3"/>
    <w:rsid w:val="00FA0A9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9590E7"/>
  <w15:chartTrackingRefBased/>
  <w15:docId w15:val="{1A96309F-A77E-4FFB-8F2F-2FE00D9F9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pPr>
      <w:keepNext/>
      <w:keepLines/>
      <w:widowControl/>
    </w:pPr>
    <w:rPr>
      <w:b/>
      <w:noProof/>
      <w:lang w:val="fr-FR" w:eastAsia="fr-FR"/>
    </w:rPr>
  </w:style>
  <w:style w:type="paragraph" w:styleId="TOC3">
    <w:name w:val="toc 3"/>
    <w:basedOn w:val="Normal"/>
    <w:next w:val="Normal"/>
    <w:autoRedefine/>
    <w:uiPriority w:val="39"/>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semiHidden/>
    <w:rPr>
      <w:sz w:val="24"/>
      <w:lang w:val="fr-FR" w:eastAsia="fr-FR"/>
    </w:rPr>
  </w:style>
  <w:style w:type="character" w:customStyle="1" w:styleId="Heading3Char">
    <w:name w:val="Heading 3 Char"/>
    <w:basedOn w:val="DefaultParagraphFont"/>
    <w:link w:val="Heading3"/>
    <w:semiHidden/>
    <w:rPr>
      <w:rFonts w:ascii="Arial" w:hAnsi="Arial"/>
      <w:sz w:val="24"/>
      <w:lang w:val="fr-FR" w:eastAsia="fr-FR"/>
    </w:rPr>
  </w:style>
  <w:style w:type="character" w:customStyle="1" w:styleId="Heading4Char">
    <w:name w:val="Heading 4 Char"/>
    <w:basedOn w:val="DefaultParagraphFont"/>
    <w:link w:val="Heading4"/>
    <w:semiHidden/>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TOCPage">
    <w:name w:val="TOC Page"/>
    <w:basedOn w:val="Normal"/>
    <w:next w:val="TOC1"/>
    <w:pPr>
      <w:keepNext/>
      <w:spacing w:after="240"/>
      <w:jc w:val="right"/>
    </w:pPr>
    <w:rPr>
      <w:rFonts w:ascii="Arial" w:hAnsi="Arial"/>
      <w:b/>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Subheading">
    <w:name w:val="Subheading"/>
    <w:basedOn w:val="Normal"/>
    <w:pPr>
      <w:spacing w:before="480" w:after="240"/>
    </w:pPr>
    <w:rPr>
      <w:b/>
      <w:i/>
    </w:r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hAnsi="Arial" w:cs="Arial"/>
      <w:b/>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Pr>
      <w:rFonts w:ascii="Times New Roman" w:hAnsi="Times New Roman"/>
    </w:rPr>
  </w:style>
  <w:style w:type="character" w:customStyle="1" w:styleId="PageHeadingDecChar">
    <w:name w:val="PageHeadingDec Char"/>
    <w:basedOn w:val="DefaultParagraphFont"/>
    <w:link w:val="PageHeadingDec"/>
    <w:rPr>
      <w:rFonts w:cs="Arial"/>
      <w:b/>
      <w:sz w:val="24"/>
      <w:lang w:val="sk-SK"/>
    </w:rPr>
  </w:style>
  <w:style w:type="paragraph" w:customStyle="1" w:styleId="PageHeadingNotTOC">
    <w:name w:val="PageHeadingNotTOC"/>
    <w:basedOn w:val="Normal"/>
    <w:link w:val="PageHeadingNotTOCChar"/>
    <w:pPr>
      <w:keepNext/>
      <w:spacing w:after="480"/>
      <w:jc w:val="center"/>
    </w:pPr>
    <w:rPr>
      <w:rFonts w:ascii="Arial" w:hAnsi="Arial" w:cs="Arial"/>
      <w:b/>
    </w:rPr>
  </w:style>
  <w:style w:type="character" w:customStyle="1" w:styleId="NormalHanging12aChar">
    <w:name w:val="NormalHanging12a Char"/>
    <w:basedOn w:val="DefaultParagraphFont"/>
    <w:link w:val="NormalHanging12a"/>
    <w:rPr>
      <w:sz w:val="24"/>
      <w:lang w:val="sk-SK"/>
    </w:rPr>
  </w:style>
  <w:style w:type="paragraph" w:styleId="TOC8">
    <w:name w:val="toc 8"/>
    <w:basedOn w:val="Normal"/>
    <w:next w:val="Normal"/>
    <w:autoRedefine/>
    <w:uiPriority w:val="39"/>
    <w:pPr>
      <w:spacing w:after="240"/>
    </w:pPr>
    <w:rPr>
      <w:b/>
    </w:rPr>
  </w:style>
  <w:style w:type="paragraph" w:styleId="TOC9">
    <w:name w:val="toc 9"/>
    <w:basedOn w:val="Normal"/>
    <w:next w:val="Normal"/>
    <w:autoRedefine/>
    <w:uiPriority w:val="39"/>
    <w:pPr>
      <w:spacing w:after="100"/>
      <w:jc w:val="center"/>
    </w:pPr>
  </w:style>
  <w:style w:type="paragraph" w:styleId="TOC7">
    <w:name w:val="toc 7"/>
    <w:basedOn w:val="Normal"/>
    <w:next w:val="Normal"/>
    <w:autoRedefine/>
    <w:uiPriority w:val="39"/>
    <w:pPr>
      <w:tabs>
        <w:tab w:val="right" w:leader="dot" w:pos="9060"/>
      </w:tabs>
      <w:spacing w:after="240"/>
      <w:ind w:left="720" w:hanging="720"/>
    </w:pPr>
  </w:style>
  <w:style w:type="character" w:styleId="Hyperlink">
    <w:name w:val="Hyperlink"/>
    <w:basedOn w:val="DefaultParagraphFont"/>
    <w:uiPriority w:val="99"/>
    <w:rPr>
      <w:color w:val="0563C1" w:themeColor="hyperlink"/>
      <w:u w:val="single"/>
    </w:rPr>
  </w:style>
  <w:style w:type="character" w:styleId="FollowedHyperlink">
    <w:name w:val="FollowedHyperlink"/>
    <w:basedOn w:val="DefaultParagraphFont"/>
    <w:rPr>
      <w:color w:val="954F72" w:themeColor="followedHyperlink"/>
      <w:u w:val="single"/>
    </w:rPr>
  </w:style>
  <w:style w:type="paragraph" w:customStyle="1" w:styleId="RollCallSubtitle">
    <w:name w:val="RollCallSubtitle"/>
    <w:basedOn w:val="Normal"/>
    <w:qFormat/>
    <w:pPr>
      <w:snapToGrid w:val="0"/>
      <w:spacing w:after="240"/>
    </w:pPr>
    <w:rPr>
      <w:lang w:eastAsia="en-US"/>
    </w:rPr>
  </w:style>
  <w:style w:type="character" w:customStyle="1" w:styleId="PageHeadingNotTOCChar">
    <w:name w:val="PageHeadingNotTOC Char"/>
    <w:basedOn w:val="DefaultParagraphFont"/>
    <w:link w:val="PageHeadingNotTOC"/>
    <w:rPr>
      <w:rFonts w:ascii="Arial" w:hAnsi="Arial" w:cs="Arial"/>
      <w:b/>
      <w:sz w:val="24"/>
      <w:lang w:val="sk-SK"/>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sk-SK"/>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b/>
      <w:bCs/>
      <w:lang w:val="sk-SK"/>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paragraph" w:styleId="Revision">
    <w:name w:val="Revision"/>
    <w:hidden/>
    <w:uiPriority w:val="99"/>
    <w:semiHidden/>
    <w:rPr>
      <w:sz w:val="24"/>
      <w:lang w:val="sk-SK"/>
    </w:rPr>
  </w:style>
  <w:style w:type="paragraph" w:customStyle="1" w:styleId="Normal6a">
    <w:name w:val="Normal6a"/>
    <w:basedOn w:val="Normal"/>
    <w:pPr>
      <w:spacing w:after="120"/>
    </w:pPr>
    <w:rPr>
      <w:szCs w:val="24"/>
      <w:lang w:eastAsia="en-US"/>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paragraph" w:customStyle="1" w:styleId="Footprint12b">
    <w:name w:val="Footprint12b"/>
    <w:basedOn w:val="Normal"/>
    <w:pPr>
      <w:spacing w:before="240"/>
    </w:pPr>
    <w:rPr>
      <w:szCs w:val="24"/>
    </w:rPr>
  </w:style>
  <w:style w:type="paragraph" w:customStyle="1" w:styleId="NormalSingle">
    <w:name w:val="NormalSingle"/>
    <w:basedOn w:val="Normal"/>
    <w:qFormat/>
    <w:rPr>
      <w:szCs w:val="24"/>
    </w:rPr>
  </w:style>
  <w:style w:type="paragraph" w:customStyle="1" w:styleId="Normal12a">
    <w:name w:val="Normal12a"/>
    <w:basedOn w:val="Normal"/>
    <w:pPr>
      <w:spacing w:after="240"/>
    </w:pPr>
  </w:style>
  <w:style w:type="paragraph" w:customStyle="1" w:styleId="Visa">
    <w:name w:val="Visa"/>
    <w:basedOn w:val="Normal"/>
    <w:pPr>
      <w:tabs>
        <w:tab w:val="left" w:pos="357"/>
      </w:tabs>
      <w:snapToGrid w:val="0"/>
      <w:spacing w:after="240"/>
      <w:ind w:left="357" w:hanging="357"/>
    </w:pPr>
    <w:rPr>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le">
    <w:name w:val="RollCallTable"/>
    <w:basedOn w:val="Normal"/>
    <w:pPr>
      <w:spacing w:before="120" w:after="120"/>
    </w:pPr>
    <w:rPr>
      <w:snapToGrid w:val="0"/>
      <w:sz w:val="16"/>
      <w:lang w:eastAsia="en-US"/>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69D81-6297-40DF-9412-1B74EFDE2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65</Pages>
  <Words>17828</Words>
  <Characters>108061</Characters>
  <Application>Microsoft Office Word</Application>
  <DocSecurity>0</DocSecurity>
  <Lines>900</Lines>
  <Paragraphs>251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SOLTYSOVA Zuzana</cp:lastModifiedBy>
  <cp:revision>2</cp:revision>
  <cp:lastPrinted>2004-11-19T15:42:00Z</cp:lastPrinted>
  <dcterms:created xsi:type="dcterms:W3CDTF">2025-11-27T16:21:00Z</dcterms:created>
  <dcterms:modified xsi:type="dcterms:W3CDTF">2025-11-27T16:21:00Z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P10_TA(2025)0089_</vt:lpwstr>
  </property>
  <property fmtid="{D5CDD505-2E9C-101B-9397-08002B2CF9AE}" pid="4" name="&lt;Type&gt;">
    <vt:lpwstr>RR</vt:lpwstr>
  </property>
</Properties>
</file>