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12E9" w14:paraId="358B8ECF" w14:textId="77777777" w:rsidTr="0010095E">
        <w:trPr>
          <w:trHeight w:hRule="exact" w:val="1418"/>
        </w:trPr>
        <w:tc>
          <w:tcPr>
            <w:tcW w:w="6804" w:type="dxa"/>
            <w:shd w:val="clear" w:color="auto" w:fill="auto"/>
            <w:vAlign w:val="center"/>
          </w:tcPr>
          <w:p w14:paraId="2DAB751E" w14:textId="77777777" w:rsidR="00751A4A" w:rsidRPr="00AE12E9" w:rsidRDefault="004839B9" w:rsidP="0010095E">
            <w:pPr>
              <w:pStyle w:val="EPName"/>
            </w:pPr>
            <w:r w:rsidRPr="00AE12E9">
              <w:t>Evropski parlament</w:t>
            </w:r>
          </w:p>
          <w:p w14:paraId="25B8CAFB" w14:textId="77777777" w:rsidR="00751A4A" w:rsidRPr="00AE12E9" w:rsidRDefault="005F1B17" w:rsidP="005F1B17">
            <w:pPr>
              <w:pStyle w:val="EPTerm"/>
              <w:rPr>
                <w:rStyle w:val="HideTWBExt"/>
                <w:noProof w:val="0"/>
                <w:vanish w:val="0"/>
                <w:color w:val="auto"/>
              </w:rPr>
            </w:pPr>
            <w:r w:rsidRPr="00AE12E9">
              <w:t>2024</w:t>
            </w:r>
            <w:r w:rsidR="00817416" w:rsidRPr="00AE12E9">
              <w:t>-202</w:t>
            </w:r>
            <w:r w:rsidRPr="00AE12E9">
              <w:t>9</w:t>
            </w:r>
          </w:p>
        </w:tc>
        <w:tc>
          <w:tcPr>
            <w:tcW w:w="2268" w:type="dxa"/>
            <w:shd w:val="clear" w:color="auto" w:fill="auto"/>
          </w:tcPr>
          <w:p w14:paraId="3D4FB2CF" w14:textId="77777777" w:rsidR="00751A4A" w:rsidRPr="00AE12E9" w:rsidRDefault="00187494" w:rsidP="0010095E">
            <w:pPr>
              <w:pStyle w:val="EPLogo"/>
            </w:pPr>
            <w:r w:rsidRPr="00AE12E9">
              <w:rPr>
                <w:noProof/>
              </w:rPr>
              <w:drawing>
                <wp:inline distT="0" distB="0" distL="0" distR="0" wp14:anchorId="447B03F9" wp14:editId="3E5433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F26C59" w14:textId="77777777" w:rsidR="00D058B8" w:rsidRPr="00AE12E9" w:rsidRDefault="00D058B8" w:rsidP="004C5D52">
      <w:pPr>
        <w:pStyle w:val="LineTop"/>
      </w:pPr>
    </w:p>
    <w:p w14:paraId="00336150" w14:textId="77777777" w:rsidR="00680577" w:rsidRPr="00AE12E9" w:rsidRDefault="004839B9" w:rsidP="00680577">
      <w:pPr>
        <w:pStyle w:val="EPBodyTA1"/>
      </w:pPr>
      <w:r w:rsidRPr="00AE12E9">
        <w:t>SPREJETA BESEDILA</w:t>
      </w:r>
    </w:p>
    <w:p w14:paraId="4E28D868" w14:textId="77777777" w:rsidR="00D058B8" w:rsidRPr="00AE12E9" w:rsidRDefault="00D058B8" w:rsidP="00D058B8">
      <w:pPr>
        <w:pStyle w:val="LineBottom"/>
      </w:pPr>
    </w:p>
    <w:p w14:paraId="1002FD47" w14:textId="77777777" w:rsidR="004839B9" w:rsidRPr="00AE12E9" w:rsidRDefault="004839B9" w:rsidP="004839B9">
      <w:pPr>
        <w:pStyle w:val="ATHeading1"/>
      </w:pPr>
      <w:bookmarkStart w:id="0" w:name="TANumber"/>
      <w:r w:rsidRPr="00AE12E9">
        <w:t>P10_TA(2025)</w:t>
      </w:r>
      <w:bookmarkEnd w:id="0"/>
      <w:r w:rsidR="002C7E68" w:rsidRPr="00AE12E9">
        <w:t>0089</w:t>
      </w:r>
    </w:p>
    <w:p w14:paraId="5DBB5971" w14:textId="77777777" w:rsidR="004839B9" w:rsidRPr="00AE12E9" w:rsidRDefault="004839B9" w:rsidP="004839B9">
      <w:pPr>
        <w:pStyle w:val="ATHeading2"/>
      </w:pPr>
      <w:bookmarkStart w:id="1" w:name="title"/>
      <w:r w:rsidRPr="00AE12E9">
        <w:t>Razrešnica za leto 2023: skupna podjetja</w:t>
      </w:r>
      <w:bookmarkEnd w:id="1"/>
    </w:p>
    <w:p w14:paraId="77633D48" w14:textId="77777777" w:rsidR="004839B9" w:rsidRPr="00AE12E9" w:rsidRDefault="004839B9" w:rsidP="004839B9">
      <w:pPr>
        <w:rPr>
          <w:i/>
          <w:vanish/>
        </w:rPr>
      </w:pPr>
      <w:r w:rsidRPr="00AE12E9">
        <w:rPr>
          <w:i/>
        </w:rPr>
        <w:fldChar w:fldCharType="begin"/>
      </w:r>
      <w:r w:rsidRPr="00AE12E9">
        <w:rPr>
          <w:i/>
        </w:rPr>
        <w:instrText xml:space="preserve"> TC"(</w:instrText>
      </w:r>
      <w:bookmarkStart w:id="2" w:name="DocNumber"/>
      <w:r w:rsidRPr="00AE12E9">
        <w:rPr>
          <w:i/>
        </w:rPr>
        <w:instrText>A10-0056/2025</w:instrText>
      </w:r>
      <w:bookmarkEnd w:id="2"/>
      <w:r w:rsidRPr="00AE12E9">
        <w:rPr>
          <w:i/>
        </w:rPr>
        <w:instrText xml:space="preserve"> - Poročevalec: Michal Wiezik)"\l3 \n&gt; \* MERGEFORMAT </w:instrText>
      </w:r>
      <w:r w:rsidRPr="00AE12E9">
        <w:rPr>
          <w:i/>
        </w:rPr>
        <w:fldChar w:fldCharType="end"/>
      </w:r>
    </w:p>
    <w:p w14:paraId="3532EF50" w14:textId="77777777" w:rsidR="004839B9" w:rsidRPr="00AE12E9" w:rsidRDefault="004839B9" w:rsidP="004839B9">
      <w:pPr>
        <w:rPr>
          <w:vanish/>
        </w:rPr>
      </w:pPr>
      <w:bookmarkStart w:id="3" w:name="Commission"/>
      <w:r w:rsidRPr="00AE12E9">
        <w:rPr>
          <w:vanish/>
        </w:rPr>
        <w:t>Odbor za proračunski nadzor</w:t>
      </w:r>
      <w:bookmarkEnd w:id="3"/>
    </w:p>
    <w:p w14:paraId="7E13A926" w14:textId="77777777" w:rsidR="004839B9" w:rsidRPr="00AE12E9" w:rsidRDefault="004839B9" w:rsidP="004839B9">
      <w:pPr>
        <w:rPr>
          <w:vanish/>
        </w:rPr>
      </w:pPr>
      <w:bookmarkStart w:id="4" w:name="PE"/>
      <w:r w:rsidRPr="00AE12E9">
        <w:rPr>
          <w:vanish/>
        </w:rPr>
        <w:t>PE765.276</w:t>
      </w:r>
      <w:bookmarkEnd w:id="4"/>
    </w:p>
    <w:p w14:paraId="68BA643F" w14:textId="60A1DA01" w:rsidR="00AE12E9" w:rsidRPr="00AE12E9" w:rsidRDefault="00AE12E9" w:rsidP="00AE12E9">
      <w:pPr>
        <w:pStyle w:val="ATHeading3"/>
      </w:pPr>
      <w:bookmarkStart w:id="5" w:name="Sujet"/>
      <w:r w:rsidRPr="00AE12E9">
        <w:t>1. Sklep Evropskega parlamenta z dne 7. maja 2025 o razrešnici glede izvrševanja proračuna Skupnega podjetja za čisto letalstvo za proračunsko leto 2023 (2024/2031(DEC))</w:t>
      </w:r>
    </w:p>
    <w:p w14:paraId="51A4BBF2" w14:textId="52763A61"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37CB24C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čisto letalstvo za proračunsko leto 2023,</w:t>
      </w:r>
    </w:p>
    <w:p w14:paraId="074FD04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1"/>
      </w:r>
      <w:r w:rsidRPr="00AE12E9">
        <w:rPr>
          <w:kern w:val="2"/>
          <w14:ligatures w14:val="standardContextual"/>
        </w:rPr>
        <w:t>,</w:t>
      </w:r>
    </w:p>
    <w:p w14:paraId="1BF5D45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2"/>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40DED47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3F896CB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161C64A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3"/>
      </w:r>
      <w:r w:rsidRPr="00AE12E9">
        <w:rPr>
          <w:kern w:val="2"/>
          <w14:ligatures w14:val="standardContextual"/>
        </w:rPr>
        <w:t xml:space="preserve"> in zlasti člena 71,</w:t>
      </w:r>
    </w:p>
    <w:p w14:paraId="5A4E08A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 xml:space="preserve">ob upoštevanju Uredbe (EU, Euratom) 2024/2509 Evropskega parlamenta in Sveta z </w:t>
      </w:r>
      <w:r w:rsidRPr="00AE12E9">
        <w:rPr>
          <w:kern w:val="2"/>
          <w14:ligatures w14:val="standardContextual"/>
        </w:rPr>
        <w:lastRenderedPageBreak/>
        <w:t>dne 23. septembra 2024 o finančnih pravilih, ki se uporabljajo za splošni proračun Unije</w:t>
      </w:r>
      <w:r w:rsidRPr="00AE12E9">
        <w:rPr>
          <w:kern w:val="2"/>
          <w:vertAlign w:val="superscript"/>
          <w14:ligatures w14:val="standardContextual"/>
        </w:rPr>
        <w:footnoteReference w:id="4"/>
      </w:r>
      <w:r w:rsidRPr="00AE12E9">
        <w:rPr>
          <w:kern w:val="2"/>
          <w14:ligatures w14:val="standardContextual"/>
        </w:rPr>
        <w:t xml:space="preserve">, zlasti člena 71, </w:t>
      </w:r>
    </w:p>
    <w:p w14:paraId="7EAF9C8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5"/>
      </w:r>
      <w:r w:rsidRPr="00AE12E9">
        <w:rPr>
          <w:kern w:val="2"/>
          <w14:ligatures w14:val="standardContextual"/>
        </w:rPr>
        <w:t xml:space="preserve"> in zlasti člena 26,</w:t>
      </w:r>
    </w:p>
    <w:p w14:paraId="3215C6E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w:t>
      </w:r>
      <w:r w:rsidRPr="00AE12E9">
        <w:rPr>
          <w:kern w:val="2"/>
          <w:vertAlign w:val="superscript"/>
          <w14:ligatures w14:val="standardContextual"/>
        </w:rPr>
        <w:footnoteReference w:id="6"/>
      </w:r>
      <w:r w:rsidRPr="00AE12E9">
        <w:rPr>
          <w:kern w:val="2"/>
          <w14:ligatures w14:val="standardContextual"/>
        </w:rPr>
        <w:t>,</w:t>
      </w:r>
    </w:p>
    <w:p w14:paraId="087C8B8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2D0153F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mnenja Odbora za promet in turizem,</w:t>
      </w:r>
    </w:p>
    <w:p w14:paraId="26FF251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253EAE9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podeli razrešnico izvršnemu direktorju Skupnega podjetja za čisto letalstvo glede izvrševanja proračuna skupnega podjetja za proračunsko leto 2023;</w:t>
      </w:r>
    </w:p>
    <w:p w14:paraId="70BC720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navaja svoje pripombe v spodnji resoluciji;</w:t>
      </w:r>
    </w:p>
    <w:p w14:paraId="08705A7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 xml:space="preserve">naroči svoji predsednici, naj ta sklep in resolucijo, ki je del sklepa, posreduje izvršnemu direktorju Skupnega podjetja za čisto letalstvo,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594AE630"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296D954F" w14:textId="77777777" w:rsidR="00AE12E9" w:rsidRPr="00AE12E9" w:rsidRDefault="00AE12E9" w:rsidP="00AE12E9">
      <w:pPr>
        <w:pStyle w:val="ATHeading3"/>
      </w:pPr>
      <w:r w:rsidRPr="00AE12E9">
        <w:lastRenderedPageBreak/>
        <w:t>2. Sklep Evropskega parlamenta z dne 7. maja 2025 o zaključnem računu Skupnega podjetja za čisto letalstvo za proračunsko leto 2023 (2024/2031(DEC))</w:t>
      </w:r>
    </w:p>
    <w:p w14:paraId="127B8320"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3170646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čisto letalstvo za proračunsko leto 2023,</w:t>
      </w:r>
    </w:p>
    <w:p w14:paraId="3FC9173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 </w:t>
      </w:r>
      <w:r w:rsidRPr="00AE12E9">
        <w:rPr>
          <w:kern w:val="2"/>
          <w:vertAlign w:val="superscript"/>
          <w14:ligatures w14:val="standardContextual"/>
        </w:rPr>
        <w:footnoteReference w:id="7"/>
      </w:r>
      <w:r w:rsidRPr="00AE12E9">
        <w:rPr>
          <w:kern w:val="2"/>
          <w14:ligatures w14:val="standardContextual"/>
        </w:rPr>
        <w:t>,</w:t>
      </w:r>
    </w:p>
    <w:p w14:paraId="208D6C1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 </w:t>
      </w:r>
      <w:r w:rsidRPr="00AE12E9">
        <w:rPr>
          <w:kern w:val="2"/>
          <w:vertAlign w:val="superscript"/>
          <w14:ligatures w14:val="standardContextual"/>
        </w:rPr>
        <w:footnoteReference w:id="8"/>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6C7925B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7EA7E7F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0A7BDC4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AE12E9">
        <w:rPr>
          <w:kern w:val="2"/>
          <w:vertAlign w:val="superscript"/>
          <w14:ligatures w14:val="standardContextual"/>
        </w:rPr>
        <w:footnoteReference w:id="9"/>
      </w:r>
      <w:r w:rsidRPr="00AE12E9">
        <w:rPr>
          <w:kern w:val="2"/>
          <w14:ligatures w14:val="standardContextual"/>
        </w:rPr>
        <w:t xml:space="preserve"> in zlasti člena 71,</w:t>
      </w:r>
    </w:p>
    <w:p w14:paraId="4CBF7ED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 </w:t>
      </w:r>
      <w:r w:rsidRPr="00AE12E9">
        <w:rPr>
          <w:kern w:val="2"/>
          <w:vertAlign w:val="superscript"/>
          <w14:ligatures w14:val="standardContextual"/>
        </w:rPr>
        <w:footnoteReference w:id="10"/>
      </w:r>
      <w:r w:rsidRPr="00AE12E9">
        <w:rPr>
          <w:kern w:val="2"/>
          <w14:ligatures w14:val="standardContextual"/>
        </w:rPr>
        <w:t>, zlasti člena 71,</w:t>
      </w:r>
    </w:p>
    <w:p w14:paraId="6972DF0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 </w:t>
      </w:r>
      <w:r w:rsidRPr="00AE12E9">
        <w:rPr>
          <w:kern w:val="2"/>
          <w:vertAlign w:val="superscript"/>
          <w14:ligatures w14:val="standardContextual"/>
        </w:rPr>
        <w:footnoteReference w:id="11"/>
      </w:r>
      <w:r w:rsidRPr="00AE12E9">
        <w:rPr>
          <w:kern w:val="2"/>
          <w14:ligatures w14:val="standardContextual"/>
        </w:rPr>
        <w:t xml:space="preserve"> in zlasti člena 26,</w:t>
      </w:r>
    </w:p>
    <w:p w14:paraId="76E28A8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 </w:t>
      </w:r>
      <w:r w:rsidRPr="00AE12E9">
        <w:rPr>
          <w:kern w:val="2"/>
          <w:vertAlign w:val="superscript"/>
          <w14:ligatures w14:val="standardContextual"/>
        </w:rPr>
        <w:footnoteReference w:id="12"/>
      </w:r>
      <w:r w:rsidRPr="00AE12E9">
        <w:rPr>
          <w:kern w:val="2"/>
          <w14:ligatures w14:val="standardContextual"/>
        </w:rPr>
        <w:t>,</w:t>
      </w:r>
    </w:p>
    <w:p w14:paraId="6BE909F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66317B3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1351B9E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4155146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odobri zaključni račun Skupnega podjetja za čisto letalstvo za proračunsko leto 2023;</w:t>
      </w:r>
    </w:p>
    <w:p w14:paraId="77FD871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 xml:space="preserve">naroči svoji predsednici, naj ta sklep posreduje izvršnemu direktorju Skupnega podjetja za čisto letalstvo,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54337F7A"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56AE3F2A" w14:textId="3C354157" w:rsidR="00AE12E9" w:rsidRPr="00AE12E9" w:rsidRDefault="00AE12E9" w:rsidP="00AE12E9">
      <w:pPr>
        <w:pStyle w:val="ATHeading3"/>
      </w:pPr>
      <w:r w:rsidRPr="00AE12E9">
        <w:lastRenderedPageBreak/>
        <w:t>3. Sklep Evropskega parlamenta z dne 7. maja 2025 o razrešnici glede izvrševanja proračuna Skupnega podjetja za krožno Evropo na biološki osnovi za proračunsko leto 2023 (2024/2031(DEC))</w:t>
      </w:r>
    </w:p>
    <w:p w14:paraId="27621EA5"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7E4E07C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krožno Evropo na biološki osnovi za proračunsko leto 2023,</w:t>
      </w:r>
    </w:p>
    <w:p w14:paraId="128E8D4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13"/>
      </w:r>
      <w:r w:rsidRPr="00AE12E9">
        <w:rPr>
          <w:kern w:val="2"/>
          <w14:ligatures w14:val="standardContextual"/>
        </w:rPr>
        <w:t>,</w:t>
      </w:r>
    </w:p>
    <w:p w14:paraId="01CDD69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14"/>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0AE793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506CC6F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781AB57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15"/>
      </w:r>
      <w:r w:rsidRPr="00AE12E9">
        <w:rPr>
          <w:kern w:val="2"/>
          <w14:ligatures w14:val="standardContextual"/>
        </w:rPr>
        <w:t xml:space="preserve"> in zlasti člena 71,</w:t>
      </w:r>
    </w:p>
    <w:p w14:paraId="33B19DF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16"/>
      </w:r>
      <w:r w:rsidRPr="00AE12E9">
        <w:rPr>
          <w:kern w:val="2"/>
          <w14:ligatures w14:val="standardContextual"/>
        </w:rPr>
        <w:t xml:space="preserve">, zlasti člena 71, </w:t>
      </w:r>
    </w:p>
    <w:p w14:paraId="40058B2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17"/>
      </w:r>
      <w:r w:rsidRPr="00AE12E9">
        <w:rPr>
          <w:kern w:val="2"/>
          <w14:ligatures w14:val="standardContextual"/>
        </w:rPr>
        <w:t xml:space="preserve"> in zlasti člena 26,</w:t>
      </w:r>
    </w:p>
    <w:p w14:paraId="2FB85E7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w:t>
      </w:r>
      <w:r w:rsidRPr="00AE12E9">
        <w:rPr>
          <w:kern w:val="2"/>
          <w:vertAlign w:val="superscript"/>
          <w14:ligatures w14:val="standardContextual"/>
        </w:rPr>
        <w:footnoteReference w:id="18"/>
      </w:r>
      <w:r w:rsidRPr="00AE12E9">
        <w:rPr>
          <w:kern w:val="2"/>
          <w14:ligatures w14:val="standardContextual"/>
        </w:rPr>
        <w:t>,</w:t>
      </w:r>
    </w:p>
    <w:p w14:paraId="4F0DBCE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5D14951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79A7EBB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3A0AC85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podeli razrešnico izvršnemu direktorju Skupnega podjetja za krožno Evropo na biološki osnovi glede izvrševanja proračuna skupnega podjetja za proračunsko leto 2023;</w:t>
      </w:r>
    </w:p>
    <w:p w14:paraId="4AB3703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navaja svoje pripombe v spodnji resoluciji;</w:t>
      </w:r>
    </w:p>
    <w:p w14:paraId="60E4CEF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 xml:space="preserve">naroči svoji predsednici, naj ta sklep in resolucijo, ki je del sklepa, posreduje izvršnemu direktorju Skupnega podjetja za krožno Evropo na biološki osnovi,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44E3A8AD"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6CCAC65E" w14:textId="77777777" w:rsidR="00AE12E9" w:rsidRPr="00AE12E9" w:rsidRDefault="00AE12E9" w:rsidP="00AE12E9">
      <w:pPr>
        <w:pStyle w:val="ATHeading3"/>
      </w:pPr>
      <w:r w:rsidRPr="00AE12E9">
        <w:lastRenderedPageBreak/>
        <w:t>4. Sklep Evropskega parlamenta z dne 7. maja 2025 o zaključnem računu Skupnega podjetja za krožno Evropo na biološki osnovi za proračunsko leto 2023 (2024/2031(DEC))</w:t>
      </w:r>
    </w:p>
    <w:p w14:paraId="7A3E665F"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5070DB4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krožno Evropo na biološki osnovi za proračunsko leto 2023,</w:t>
      </w:r>
    </w:p>
    <w:p w14:paraId="1498DE6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19"/>
      </w:r>
      <w:r w:rsidRPr="00AE12E9">
        <w:rPr>
          <w:kern w:val="2"/>
          <w14:ligatures w14:val="standardContextual"/>
        </w:rPr>
        <w:t>,</w:t>
      </w:r>
    </w:p>
    <w:p w14:paraId="4798E45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20"/>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4F7BDB8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5DA1BDA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20F5BA4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21"/>
      </w:r>
      <w:r w:rsidRPr="00AE12E9">
        <w:rPr>
          <w:kern w:val="2"/>
          <w14:ligatures w14:val="standardContextual"/>
        </w:rPr>
        <w:t xml:space="preserve"> in zlasti člena 71,</w:t>
      </w:r>
    </w:p>
    <w:p w14:paraId="0DF85DB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22"/>
      </w:r>
      <w:r w:rsidRPr="00AE12E9">
        <w:rPr>
          <w:kern w:val="2"/>
          <w14:ligatures w14:val="standardContextual"/>
        </w:rPr>
        <w:t xml:space="preserve">, zlasti člena 71, </w:t>
      </w:r>
    </w:p>
    <w:p w14:paraId="0C2FC4C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23"/>
      </w:r>
      <w:r w:rsidRPr="00AE12E9">
        <w:rPr>
          <w:kern w:val="2"/>
          <w14:ligatures w14:val="standardContextual"/>
        </w:rPr>
        <w:t xml:space="preserve"> in zlasti člena 26,</w:t>
      </w:r>
    </w:p>
    <w:p w14:paraId="1F9C6F2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w:t>
      </w:r>
      <w:r w:rsidRPr="00AE12E9">
        <w:rPr>
          <w:kern w:val="2"/>
          <w:vertAlign w:val="superscript"/>
          <w14:ligatures w14:val="standardContextual"/>
        </w:rPr>
        <w:footnoteReference w:id="24"/>
      </w:r>
      <w:r w:rsidRPr="00AE12E9">
        <w:rPr>
          <w:kern w:val="2"/>
          <w14:ligatures w14:val="standardContextual"/>
        </w:rPr>
        <w:t>,</w:t>
      </w:r>
    </w:p>
    <w:p w14:paraId="4F608D0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460FDE7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69D5BA7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4760500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odobri zaključni račun Skupnega podjetja za krožno Evropo na biološki osnovi za proračunsko leto 2023;</w:t>
      </w:r>
    </w:p>
    <w:p w14:paraId="54EA4D9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 xml:space="preserve">naroči svoji predsednici, naj ta sklep posreduje izvršnemu direktorju Skupnega podjetja za krožno Evropo na biološki osnovi,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3BAEA2A5"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35A26E28" w14:textId="77777777" w:rsidR="00AE12E9" w:rsidRPr="00AE12E9" w:rsidRDefault="00AE12E9" w:rsidP="00AE12E9">
      <w:pPr>
        <w:pStyle w:val="ATHeading3"/>
      </w:pPr>
      <w:r w:rsidRPr="00AE12E9">
        <w:lastRenderedPageBreak/>
        <w:t>5. Sklep Evropskega parlamenta z dne 7. maja 2025 o razrešnici glede izvrševanja proračuna Skupnega podjetja za čisti vodik za proračunsko leto 2023 (2024/2031(DEC))</w:t>
      </w:r>
    </w:p>
    <w:p w14:paraId="46EA40D3"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5501785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čisti vodik za proračunsko leto 2023,</w:t>
      </w:r>
    </w:p>
    <w:p w14:paraId="3473318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 </w:t>
      </w:r>
      <w:r w:rsidRPr="00AE12E9">
        <w:rPr>
          <w:kern w:val="2"/>
          <w:vertAlign w:val="superscript"/>
          <w14:ligatures w14:val="standardContextual"/>
        </w:rPr>
        <w:footnoteReference w:id="25"/>
      </w:r>
      <w:r w:rsidRPr="00AE12E9">
        <w:rPr>
          <w:kern w:val="2"/>
          <w14:ligatures w14:val="standardContextual"/>
        </w:rPr>
        <w:t>,</w:t>
      </w:r>
    </w:p>
    <w:p w14:paraId="423F9BD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 </w:t>
      </w:r>
      <w:r w:rsidRPr="00AE12E9">
        <w:rPr>
          <w:kern w:val="2"/>
          <w:vertAlign w:val="superscript"/>
          <w14:ligatures w14:val="standardContextual"/>
        </w:rPr>
        <w:footnoteReference w:id="26"/>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D49C5B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3232018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4372476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AE12E9">
        <w:rPr>
          <w:kern w:val="2"/>
          <w:vertAlign w:val="superscript"/>
          <w14:ligatures w14:val="standardContextual"/>
        </w:rPr>
        <w:footnoteReference w:id="27"/>
      </w:r>
      <w:r w:rsidRPr="00AE12E9">
        <w:rPr>
          <w:kern w:val="2"/>
          <w14:ligatures w14:val="standardContextual"/>
        </w:rPr>
        <w:t xml:space="preserve"> in zlasti člena 71,</w:t>
      </w:r>
    </w:p>
    <w:p w14:paraId="122B0C3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 </w:t>
      </w:r>
      <w:r w:rsidRPr="00AE12E9">
        <w:rPr>
          <w:kern w:val="2"/>
          <w:vertAlign w:val="superscript"/>
          <w14:ligatures w14:val="standardContextual"/>
        </w:rPr>
        <w:footnoteReference w:id="28"/>
      </w:r>
      <w:r w:rsidRPr="00AE12E9">
        <w:rPr>
          <w:kern w:val="2"/>
          <w14:ligatures w14:val="standardContextual"/>
        </w:rPr>
        <w:t>, zlasti člena 71,</w:t>
      </w:r>
    </w:p>
    <w:p w14:paraId="187FADB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 </w:t>
      </w:r>
      <w:r w:rsidRPr="00AE12E9">
        <w:rPr>
          <w:kern w:val="2"/>
          <w:vertAlign w:val="superscript"/>
          <w14:ligatures w14:val="standardContextual"/>
        </w:rPr>
        <w:footnoteReference w:id="29"/>
      </w:r>
      <w:r w:rsidRPr="00AE12E9">
        <w:rPr>
          <w:kern w:val="2"/>
          <w14:ligatures w14:val="standardContextual"/>
        </w:rPr>
        <w:t xml:space="preserve"> in zlasti člena 26,</w:t>
      </w:r>
    </w:p>
    <w:p w14:paraId="7537E6E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 </w:t>
      </w:r>
      <w:r w:rsidRPr="00AE12E9">
        <w:rPr>
          <w:kern w:val="2"/>
          <w:vertAlign w:val="superscript"/>
          <w14:ligatures w14:val="standardContextual"/>
        </w:rPr>
        <w:footnoteReference w:id="30"/>
      </w:r>
      <w:r w:rsidRPr="00AE12E9">
        <w:rPr>
          <w:kern w:val="2"/>
          <w14:ligatures w14:val="standardContextual"/>
        </w:rPr>
        <w:t>,</w:t>
      </w:r>
    </w:p>
    <w:p w14:paraId="7CA1DFD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691536A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6DDEDF7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1A2FAB8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podeli razrešnico izvršni direktorici Skupnega podjetja za čisti vodik glede izvrševanja proračuna skupnega podjetja za proračunsko leto 2023;</w:t>
      </w:r>
    </w:p>
    <w:p w14:paraId="31D5197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navaja svoje pripombe v spodnji resoluciji;</w:t>
      </w:r>
    </w:p>
    <w:p w14:paraId="573EAA8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 xml:space="preserve">naroči svoji predsednici, naj ta sklep in resolucijo, ki je del sklepa, posreduje izvršni direktorici Skupnega podjetja za čisti vodik,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1A208450"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6C80BC4A" w14:textId="77777777" w:rsidR="00AE12E9" w:rsidRPr="00AE12E9" w:rsidRDefault="00AE12E9" w:rsidP="00AE12E9">
      <w:pPr>
        <w:pStyle w:val="ATHeading3"/>
      </w:pPr>
      <w:r w:rsidRPr="00AE12E9">
        <w:lastRenderedPageBreak/>
        <w:t>6. Sklep Evropskega parlamenta z dne 7. maja 2025 o zaključnem računu Skupnega podjetja za čisti vodik za proračunsko leto 2023 (2024/2031(DEC))</w:t>
      </w:r>
    </w:p>
    <w:p w14:paraId="23C5B14D"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0276BEA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čisti vodik za proračunsko leto 2023,</w:t>
      </w:r>
    </w:p>
    <w:p w14:paraId="207C727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 </w:t>
      </w:r>
      <w:r w:rsidRPr="00AE12E9">
        <w:rPr>
          <w:kern w:val="2"/>
          <w:vertAlign w:val="superscript"/>
          <w14:ligatures w14:val="standardContextual"/>
        </w:rPr>
        <w:footnoteReference w:id="31"/>
      </w:r>
      <w:r w:rsidRPr="00AE12E9">
        <w:rPr>
          <w:kern w:val="2"/>
          <w14:ligatures w14:val="standardContextual"/>
        </w:rPr>
        <w:t>,</w:t>
      </w:r>
    </w:p>
    <w:p w14:paraId="613F433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 </w:t>
      </w:r>
      <w:r w:rsidRPr="00AE12E9">
        <w:rPr>
          <w:kern w:val="2"/>
          <w:vertAlign w:val="superscript"/>
          <w14:ligatures w14:val="standardContextual"/>
        </w:rPr>
        <w:footnoteReference w:id="32"/>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302E14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308A7A5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4B84A2B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AE12E9">
        <w:rPr>
          <w:kern w:val="2"/>
          <w:vertAlign w:val="superscript"/>
          <w14:ligatures w14:val="standardContextual"/>
        </w:rPr>
        <w:footnoteReference w:id="33"/>
      </w:r>
      <w:r w:rsidRPr="00AE12E9">
        <w:rPr>
          <w:kern w:val="2"/>
          <w14:ligatures w14:val="standardContextual"/>
        </w:rPr>
        <w:t xml:space="preserve"> in zlasti člena 71,</w:t>
      </w:r>
    </w:p>
    <w:p w14:paraId="3A622B8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 </w:t>
      </w:r>
      <w:r w:rsidRPr="00AE12E9">
        <w:rPr>
          <w:kern w:val="2"/>
          <w:vertAlign w:val="superscript"/>
          <w14:ligatures w14:val="standardContextual"/>
        </w:rPr>
        <w:footnoteReference w:id="34"/>
      </w:r>
      <w:r w:rsidRPr="00AE12E9">
        <w:rPr>
          <w:kern w:val="2"/>
          <w14:ligatures w14:val="standardContextual"/>
        </w:rPr>
        <w:t>, zlasti člena 71,</w:t>
      </w:r>
    </w:p>
    <w:p w14:paraId="632CC1F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 </w:t>
      </w:r>
      <w:r w:rsidRPr="00AE12E9">
        <w:rPr>
          <w:kern w:val="2"/>
          <w:vertAlign w:val="superscript"/>
          <w14:ligatures w14:val="standardContextual"/>
        </w:rPr>
        <w:footnoteReference w:id="35"/>
      </w:r>
      <w:r w:rsidRPr="00AE12E9">
        <w:rPr>
          <w:kern w:val="2"/>
          <w14:ligatures w14:val="standardContextual"/>
        </w:rPr>
        <w:t xml:space="preserve"> in zlasti člena 26,</w:t>
      </w:r>
    </w:p>
    <w:p w14:paraId="471A1E7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 </w:t>
      </w:r>
      <w:r w:rsidRPr="00AE12E9">
        <w:rPr>
          <w:kern w:val="2"/>
          <w:vertAlign w:val="superscript"/>
          <w14:ligatures w14:val="standardContextual"/>
        </w:rPr>
        <w:footnoteReference w:id="36"/>
      </w:r>
      <w:r w:rsidRPr="00AE12E9">
        <w:rPr>
          <w:kern w:val="2"/>
          <w14:ligatures w14:val="standardContextual"/>
        </w:rPr>
        <w:t>,</w:t>
      </w:r>
    </w:p>
    <w:p w14:paraId="500F66C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79E6352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0F91419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528D97B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odobri zaključni račun Skupnega podjetja za čisti vodik za proračunsko leto 2023;</w:t>
      </w:r>
    </w:p>
    <w:p w14:paraId="1D02363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 xml:space="preserve">naroči svoji predsednici, naj ta sklep posreduje izvršni direktorici Skupnega podjetja za čisti vodik,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78E71460"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5405A7C0" w14:textId="77777777" w:rsidR="00AE12E9" w:rsidRPr="00AE12E9" w:rsidRDefault="00AE12E9" w:rsidP="00AE12E9">
      <w:pPr>
        <w:pStyle w:val="ATHeading3"/>
      </w:pPr>
      <w:r w:rsidRPr="00AE12E9">
        <w:lastRenderedPageBreak/>
        <w:t>7. Sklep Evropskega parlamenta z dne 7. maja 2025 o razrešnici glede izvrševanja proračuna Skupnega podjetja za evropske železnice za proračunsko leto 2023 (2024/2031(DEC))</w:t>
      </w:r>
    </w:p>
    <w:p w14:paraId="722F97DC"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6704389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evropske železnice za proračunsko leto 2023,</w:t>
      </w:r>
    </w:p>
    <w:p w14:paraId="27FBF0F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 </w:t>
      </w:r>
      <w:r w:rsidRPr="00AE12E9">
        <w:rPr>
          <w:kern w:val="2"/>
          <w:vertAlign w:val="superscript"/>
          <w14:ligatures w14:val="standardContextual"/>
        </w:rPr>
        <w:footnoteReference w:id="37"/>
      </w:r>
      <w:r w:rsidRPr="00AE12E9">
        <w:rPr>
          <w:kern w:val="2"/>
          <w14:ligatures w14:val="standardContextual"/>
        </w:rPr>
        <w:t>,</w:t>
      </w:r>
    </w:p>
    <w:p w14:paraId="0758141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 </w:t>
      </w:r>
      <w:r w:rsidRPr="00AE12E9">
        <w:rPr>
          <w:kern w:val="2"/>
          <w:vertAlign w:val="superscript"/>
          <w14:ligatures w14:val="standardContextual"/>
        </w:rPr>
        <w:footnoteReference w:id="38"/>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907807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0FD7FAF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6BC4D11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AE12E9">
        <w:rPr>
          <w:kern w:val="2"/>
          <w:vertAlign w:val="superscript"/>
          <w14:ligatures w14:val="standardContextual"/>
        </w:rPr>
        <w:footnoteReference w:id="39"/>
      </w:r>
      <w:r w:rsidRPr="00AE12E9">
        <w:rPr>
          <w:kern w:val="2"/>
          <w14:ligatures w14:val="standardContextual"/>
        </w:rPr>
        <w:t xml:space="preserve"> in zlasti člena 71,</w:t>
      </w:r>
    </w:p>
    <w:p w14:paraId="789651F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 </w:t>
      </w:r>
      <w:r w:rsidRPr="00AE12E9">
        <w:rPr>
          <w:kern w:val="2"/>
          <w:vertAlign w:val="superscript"/>
          <w14:ligatures w14:val="standardContextual"/>
        </w:rPr>
        <w:footnoteReference w:id="40"/>
      </w:r>
      <w:r w:rsidRPr="00AE12E9">
        <w:rPr>
          <w:kern w:val="2"/>
          <w14:ligatures w14:val="standardContextual"/>
        </w:rPr>
        <w:t xml:space="preserve">, zlasti člena 71, </w:t>
      </w:r>
    </w:p>
    <w:p w14:paraId="39D47A2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 </w:t>
      </w:r>
      <w:r w:rsidRPr="00AE12E9">
        <w:rPr>
          <w:kern w:val="2"/>
          <w:vertAlign w:val="superscript"/>
          <w14:ligatures w14:val="standardContextual"/>
        </w:rPr>
        <w:footnoteReference w:id="41"/>
      </w:r>
      <w:r w:rsidRPr="00AE12E9">
        <w:rPr>
          <w:kern w:val="2"/>
          <w14:ligatures w14:val="standardContextual"/>
        </w:rPr>
        <w:t xml:space="preserve"> in zlasti člena 26,</w:t>
      </w:r>
    </w:p>
    <w:p w14:paraId="276008C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 </w:t>
      </w:r>
      <w:r w:rsidRPr="00AE12E9">
        <w:rPr>
          <w:kern w:val="2"/>
          <w:vertAlign w:val="superscript"/>
          <w14:ligatures w14:val="standardContextual"/>
        </w:rPr>
        <w:footnoteReference w:id="42"/>
      </w:r>
      <w:r w:rsidRPr="00AE12E9">
        <w:rPr>
          <w:kern w:val="2"/>
          <w14:ligatures w14:val="standardContextual"/>
        </w:rPr>
        <w:t>,</w:t>
      </w:r>
    </w:p>
    <w:p w14:paraId="2A3CD05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7A119FF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1132214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4B330E6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podeli razrešnico izvršnemu direktorju Skupnega podjetja za evropske železnice glede izvrševanja proračuna skupnega podjetja za proračunsko leto 2023;</w:t>
      </w:r>
    </w:p>
    <w:p w14:paraId="00BDA54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navaja svoje pripombe v spodnji resoluciji;</w:t>
      </w:r>
    </w:p>
    <w:p w14:paraId="067A25F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 xml:space="preserve">naroči svoji predsednici, naj ta sklep in resolucijo, ki je del sklepa, posreduje izvršnemu direktorju Skupnega podjetja za evropske železnice,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170ECBF9"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2DB3D5A0" w14:textId="77777777" w:rsidR="00AE12E9" w:rsidRPr="00AE12E9" w:rsidRDefault="00AE12E9" w:rsidP="00AE12E9">
      <w:pPr>
        <w:pStyle w:val="ATHeading3"/>
      </w:pPr>
      <w:r w:rsidRPr="00AE12E9">
        <w:lastRenderedPageBreak/>
        <w:t>8. Sklep Evropskega parlamenta z dne 7. maja 2025 o zaključnem računu Skupnega podjetja za evropske železnice za proračunsko leto 2023 (2024/2031(DEC))</w:t>
      </w:r>
    </w:p>
    <w:p w14:paraId="26E1B84D"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7CF008A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evropske železnice za proračunsko leto 2023,</w:t>
      </w:r>
    </w:p>
    <w:p w14:paraId="1F88466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 </w:t>
      </w:r>
      <w:r w:rsidRPr="00AE12E9">
        <w:rPr>
          <w:kern w:val="2"/>
          <w:vertAlign w:val="superscript"/>
          <w14:ligatures w14:val="standardContextual"/>
        </w:rPr>
        <w:footnoteReference w:id="43"/>
      </w:r>
      <w:r w:rsidRPr="00AE12E9">
        <w:rPr>
          <w:kern w:val="2"/>
          <w14:ligatures w14:val="standardContextual"/>
        </w:rPr>
        <w:t>,</w:t>
      </w:r>
    </w:p>
    <w:p w14:paraId="4A02D57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 </w:t>
      </w:r>
      <w:r w:rsidRPr="00AE12E9">
        <w:rPr>
          <w:kern w:val="2"/>
          <w:vertAlign w:val="superscript"/>
          <w14:ligatures w14:val="standardContextual"/>
        </w:rPr>
        <w:footnoteReference w:id="44"/>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69C4C29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3C6B400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7984267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AE12E9">
        <w:rPr>
          <w:kern w:val="2"/>
          <w:vertAlign w:val="superscript"/>
          <w14:ligatures w14:val="standardContextual"/>
        </w:rPr>
        <w:footnoteReference w:id="45"/>
      </w:r>
      <w:r w:rsidRPr="00AE12E9">
        <w:rPr>
          <w:kern w:val="2"/>
          <w14:ligatures w14:val="standardContextual"/>
        </w:rPr>
        <w:t xml:space="preserve"> in zlasti člena 71,</w:t>
      </w:r>
    </w:p>
    <w:p w14:paraId="5DC42F2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 </w:t>
      </w:r>
      <w:r w:rsidRPr="00AE12E9">
        <w:rPr>
          <w:kern w:val="2"/>
          <w:vertAlign w:val="superscript"/>
          <w14:ligatures w14:val="standardContextual"/>
        </w:rPr>
        <w:footnoteReference w:id="46"/>
      </w:r>
      <w:r w:rsidRPr="00AE12E9">
        <w:rPr>
          <w:kern w:val="2"/>
          <w14:ligatures w14:val="standardContextual"/>
        </w:rPr>
        <w:t>, zlasti člena 71,</w:t>
      </w:r>
    </w:p>
    <w:p w14:paraId="4A5173C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 </w:t>
      </w:r>
      <w:r w:rsidRPr="00AE12E9">
        <w:rPr>
          <w:kern w:val="2"/>
          <w:vertAlign w:val="superscript"/>
          <w14:ligatures w14:val="standardContextual"/>
        </w:rPr>
        <w:footnoteReference w:id="47"/>
      </w:r>
      <w:r w:rsidRPr="00AE12E9">
        <w:rPr>
          <w:kern w:val="2"/>
          <w14:ligatures w14:val="standardContextual"/>
        </w:rPr>
        <w:t xml:space="preserve"> in zlasti člena 26,</w:t>
      </w:r>
    </w:p>
    <w:p w14:paraId="31D3BB9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 </w:t>
      </w:r>
      <w:r w:rsidRPr="00AE12E9">
        <w:rPr>
          <w:kern w:val="2"/>
          <w:vertAlign w:val="superscript"/>
          <w14:ligatures w14:val="standardContextual"/>
        </w:rPr>
        <w:footnoteReference w:id="48"/>
      </w:r>
      <w:r w:rsidRPr="00AE12E9">
        <w:rPr>
          <w:kern w:val="2"/>
          <w14:ligatures w14:val="standardContextual"/>
        </w:rPr>
        <w:t>,</w:t>
      </w:r>
    </w:p>
    <w:p w14:paraId="22D053F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2D3208D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7389FF5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1015814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odobri zaključni račun Skupnega podjetja za evropske železnice za proračunsko leto 2023;</w:t>
      </w:r>
    </w:p>
    <w:p w14:paraId="240D3E2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 xml:space="preserve">naroči svoji predsednici, naj ta sklep posreduje izvršnemu direktorju Skupnega podjetja za evropske železnice,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2B167BAB"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1893219F" w14:textId="77777777" w:rsidR="00AE12E9" w:rsidRPr="00AE12E9" w:rsidRDefault="00AE12E9" w:rsidP="00AE12E9">
      <w:pPr>
        <w:pStyle w:val="ATHeading3"/>
      </w:pPr>
      <w:r w:rsidRPr="00AE12E9">
        <w:lastRenderedPageBreak/>
        <w:t>9. Sklep Evropskega parlamenta z dne 7. maja 2025 o razrešnici glede izvrševanja proračuna Skupnega podjetja za evropsko visokozmogljivostno računalništvo za proračunsko leto 2023 (2024/2031(DEC))</w:t>
      </w:r>
    </w:p>
    <w:p w14:paraId="3C6832AC"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6D32CAB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evropsko visokozmogljivostno računalništvo za proračunsko leto 2023,</w:t>
      </w:r>
    </w:p>
    <w:p w14:paraId="5098848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 </w:t>
      </w:r>
      <w:r w:rsidRPr="00AE12E9">
        <w:rPr>
          <w:kern w:val="2"/>
          <w:vertAlign w:val="superscript"/>
          <w14:ligatures w14:val="standardContextual"/>
        </w:rPr>
        <w:footnoteReference w:id="49"/>
      </w:r>
      <w:r w:rsidRPr="00AE12E9">
        <w:rPr>
          <w:kern w:val="2"/>
          <w14:ligatures w14:val="standardContextual"/>
        </w:rPr>
        <w:t>,</w:t>
      </w:r>
    </w:p>
    <w:p w14:paraId="0621478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 </w:t>
      </w:r>
      <w:r w:rsidRPr="00AE12E9">
        <w:rPr>
          <w:kern w:val="2"/>
          <w:vertAlign w:val="superscript"/>
          <w14:ligatures w14:val="standardContextual"/>
        </w:rPr>
        <w:footnoteReference w:id="50"/>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45C1ABA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31E32CE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733EE18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AE12E9">
        <w:rPr>
          <w:kern w:val="2"/>
          <w:vertAlign w:val="superscript"/>
          <w14:ligatures w14:val="standardContextual"/>
        </w:rPr>
        <w:footnoteReference w:id="51"/>
      </w:r>
      <w:r w:rsidRPr="00AE12E9">
        <w:rPr>
          <w:kern w:val="2"/>
          <w14:ligatures w14:val="standardContextual"/>
        </w:rPr>
        <w:t xml:space="preserve"> in zlasti člena 71,</w:t>
      </w:r>
    </w:p>
    <w:p w14:paraId="4E5ECDA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 </w:t>
      </w:r>
      <w:r w:rsidRPr="00AE12E9">
        <w:rPr>
          <w:kern w:val="2"/>
          <w:vertAlign w:val="superscript"/>
          <w14:ligatures w14:val="standardContextual"/>
        </w:rPr>
        <w:footnoteReference w:id="52"/>
      </w:r>
      <w:r w:rsidRPr="00AE12E9">
        <w:rPr>
          <w:kern w:val="2"/>
          <w14:ligatures w14:val="standardContextual"/>
        </w:rPr>
        <w:t>, zlasti člena 71,</w:t>
      </w:r>
    </w:p>
    <w:p w14:paraId="2605A41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2021/1173 z dne 13. julija 2021 o ustanovitvi Skupnega podjetja za evropsko visokozmogljivostno računalništvo in razveljavitvi Uredbe (EU) 2018/1488 </w:t>
      </w:r>
      <w:r w:rsidRPr="00AE12E9">
        <w:rPr>
          <w:kern w:val="2"/>
          <w:vertAlign w:val="superscript"/>
          <w14:ligatures w14:val="standardContextual"/>
        </w:rPr>
        <w:footnoteReference w:id="53"/>
      </w:r>
      <w:r w:rsidRPr="00AE12E9">
        <w:rPr>
          <w:kern w:val="2"/>
          <w14:ligatures w14:val="standardContextual"/>
        </w:rPr>
        <w:t xml:space="preserve"> in zlasti člena 19,</w:t>
      </w:r>
    </w:p>
    <w:p w14:paraId="4174E75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 </w:t>
      </w:r>
      <w:r w:rsidRPr="00AE12E9">
        <w:rPr>
          <w:kern w:val="2"/>
          <w:vertAlign w:val="superscript"/>
          <w14:ligatures w14:val="standardContextual"/>
        </w:rPr>
        <w:footnoteReference w:id="54"/>
      </w:r>
      <w:r w:rsidRPr="00AE12E9">
        <w:rPr>
          <w:kern w:val="2"/>
          <w14:ligatures w14:val="standardContextual"/>
        </w:rPr>
        <w:t>,</w:t>
      </w:r>
    </w:p>
    <w:p w14:paraId="3CDAC38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2F8CC9B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47246FD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5BE3619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podeli razrešnico izvršnemu direktorju Skupnega podjetja za evropsko visokozmogljivostno računalništvo glede izvrševanja proračuna skupnega podjetja za proračunsko leto 2023;</w:t>
      </w:r>
    </w:p>
    <w:p w14:paraId="3D230F6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navaja svoje pripombe v spodnji resoluciji;</w:t>
      </w:r>
    </w:p>
    <w:p w14:paraId="0512DBC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 xml:space="preserve">naroči svoji predsednici, naj ta sklep in resolucijo, ki je del sklepa, posreduje izvršnemu direktorju Skupnega podjetja za evropsko visokozmogljivostno računalništvo,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3F872B34"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3F913AAA" w14:textId="77777777" w:rsidR="00AE12E9" w:rsidRPr="00AE12E9" w:rsidRDefault="00AE12E9" w:rsidP="00AE12E9">
      <w:pPr>
        <w:pStyle w:val="ATHeading3"/>
      </w:pPr>
      <w:r w:rsidRPr="00AE12E9">
        <w:lastRenderedPageBreak/>
        <w:t>10. Sklep Evropskega parlamenta z dne 7. maja 2025 o zaključnem računu Skupnega podjetja za evropsko visokozmogljivostno računalništvo za proračunsko leto 2023 (2024/2031(DEC))</w:t>
      </w:r>
    </w:p>
    <w:p w14:paraId="046CBC04"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0E20BCE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evropsko visokozmogljivostno računalništvo za proračunsko leto 2023,</w:t>
      </w:r>
    </w:p>
    <w:p w14:paraId="18FCBDB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 </w:t>
      </w:r>
      <w:r w:rsidRPr="00AE12E9">
        <w:rPr>
          <w:kern w:val="2"/>
          <w:vertAlign w:val="superscript"/>
          <w14:ligatures w14:val="standardContextual"/>
        </w:rPr>
        <w:footnoteReference w:id="55"/>
      </w:r>
      <w:r w:rsidRPr="00AE12E9">
        <w:rPr>
          <w:kern w:val="2"/>
          <w14:ligatures w14:val="standardContextual"/>
        </w:rPr>
        <w:t>,</w:t>
      </w:r>
    </w:p>
    <w:p w14:paraId="33070BB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 </w:t>
      </w:r>
      <w:r w:rsidRPr="00AE12E9">
        <w:rPr>
          <w:kern w:val="2"/>
          <w:vertAlign w:val="superscript"/>
          <w14:ligatures w14:val="standardContextual"/>
        </w:rPr>
        <w:footnoteReference w:id="56"/>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30595D7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6F62C2D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3AD8B50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AE12E9">
        <w:rPr>
          <w:kern w:val="2"/>
          <w:vertAlign w:val="superscript"/>
          <w14:ligatures w14:val="standardContextual"/>
        </w:rPr>
        <w:footnoteReference w:id="57"/>
      </w:r>
      <w:r w:rsidRPr="00AE12E9">
        <w:rPr>
          <w:kern w:val="2"/>
          <w14:ligatures w14:val="standardContextual"/>
        </w:rPr>
        <w:t xml:space="preserve"> in zlasti člena 71,</w:t>
      </w:r>
    </w:p>
    <w:p w14:paraId="26A6879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 </w:t>
      </w:r>
      <w:r w:rsidRPr="00AE12E9">
        <w:rPr>
          <w:kern w:val="2"/>
          <w:vertAlign w:val="superscript"/>
          <w14:ligatures w14:val="standardContextual"/>
        </w:rPr>
        <w:footnoteReference w:id="58"/>
      </w:r>
      <w:r w:rsidRPr="00AE12E9">
        <w:rPr>
          <w:kern w:val="2"/>
          <w14:ligatures w14:val="standardContextual"/>
        </w:rPr>
        <w:t>, zlasti člena 71,</w:t>
      </w:r>
    </w:p>
    <w:p w14:paraId="5DABA95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2021/1173 z dne 13. julija 2021 o ustanovitvi Skupnega podjetja za evropsko visokozmogljivostno računalništvo in razveljavitvi Uredbe (EU) 2018/1488 </w:t>
      </w:r>
      <w:r w:rsidRPr="00AE12E9">
        <w:rPr>
          <w:kern w:val="2"/>
          <w:vertAlign w:val="superscript"/>
          <w14:ligatures w14:val="standardContextual"/>
        </w:rPr>
        <w:footnoteReference w:id="59"/>
      </w:r>
      <w:r w:rsidRPr="00AE12E9">
        <w:rPr>
          <w:kern w:val="2"/>
          <w14:ligatures w14:val="standardContextual"/>
        </w:rPr>
        <w:t xml:space="preserve"> in zlasti člena 19,</w:t>
      </w:r>
    </w:p>
    <w:p w14:paraId="1D8BEBB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 </w:t>
      </w:r>
      <w:r w:rsidRPr="00AE12E9">
        <w:rPr>
          <w:kern w:val="2"/>
          <w:vertAlign w:val="superscript"/>
          <w14:ligatures w14:val="standardContextual"/>
        </w:rPr>
        <w:footnoteReference w:id="60"/>
      </w:r>
      <w:r w:rsidRPr="00AE12E9">
        <w:rPr>
          <w:kern w:val="2"/>
          <w14:ligatures w14:val="standardContextual"/>
        </w:rPr>
        <w:t>,</w:t>
      </w:r>
    </w:p>
    <w:p w14:paraId="1BDD6F3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18FF83B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1D6DDAC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1A6FCEF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odobri zaključni račun Skupnega podjetja za evropsko visokozmogljivostno računalništvo za proračunsko leto 2023;</w:t>
      </w:r>
    </w:p>
    <w:p w14:paraId="4E63305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 xml:space="preserve">naroči svoji predsednici, naj ta sklep posreduje izvršnemu direktorju Skupnega podjetja za evropsko visokozmogljivostno računalništvo,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4E437C29"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0DFF0DF5" w14:textId="77777777" w:rsidR="00AE12E9" w:rsidRPr="00AE12E9" w:rsidRDefault="00AE12E9" w:rsidP="00AE12E9">
      <w:pPr>
        <w:pStyle w:val="ATHeading3"/>
      </w:pPr>
      <w:r w:rsidRPr="00AE12E9">
        <w:lastRenderedPageBreak/>
        <w:t>11. Sklep Evropskega parlamenta z dne 7. maja 2025 o razrešnici glede izvrševanja proračuna Evropskega skupnega podjetja za ITER in razvoj fuzijske energije za proračunsko leto 2023 (2024/2031(DEC))</w:t>
      </w:r>
    </w:p>
    <w:p w14:paraId="5A759C86"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52188FC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Evropskega skupnega podjetja za ITER in razvoj fuzijske energije za proračunsko leto 2023,</w:t>
      </w:r>
    </w:p>
    <w:p w14:paraId="1350C9F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 </w:t>
      </w:r>
      <w:r w:rsidRPr="00AE12E9">
        <w:rPr>
          <w:kern w:val="2"/>
          <w:vertAlign w:val="superscript"/>
          <w14:ligatures w14:val="standardContextual"/>
        </w:rPr>
        <w:footnoteReference w:id="61"/>
      </w:r>
      <w:r w:rsidRPr="00AE12E9">
        <w:rPr>
          <w:kern w:val="2"/>
          <w14:ligatures w14:val="standardContextual"/>
        </w:rPr>
        <w:t>,</w:t>
      </w:r>
    </w:p>
    <w:p w14:paraId="1D61E30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 </w:t>
      </w:r>
      <w:r w:rsidRPr="00AE12E9">
        <w:rPr>
          <w:kern w:val="2"/>
          <w:vertAlign w:val="superscript"/>
          <w14:ligatures w14:val="standardContextual"/>
        </w:rPr>
        <w:footnoteReference w:id="62"/>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4F50320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529C1B3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49CE1E8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106a Pogodbe o ustanovitvi Evropske skupnosti za jedrsko energijo,</w:t>
      </w:r>
    </w:p>
    <w:p w14:paraId="0375BDF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AE12E9">
        <w:rPr>
          <w:kern w:val="2"/>
          <w:vertAlign w:val="superscript"/>
          <w14:ligatures w14:val="standardContextual"/>
        </w:rPr>
        <w:footnoteReference w:id="63"/>
      </w:r>
      <w:r w:rsidRPr="00AE12E9">
        <w:rPr>
          <w:kern w:val="2"/>
          <w14:ligatures w14:val="standardContextual"/>
        </w:rPr>
        <w:t xml:space="preserve"> in zlasti člena 70,</w:t>
      </w:r>
    </w:p>
    <w:p w14:paraId="57058AE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 </w:t>
      </w:r>
      <w:r w:rsidRPr="00AE12E9">
        <w:rPr>
          <w:kern w:val="2"/>
          <w:vertAlign w:val="superscript"/>
          <w14:ligatures w14:val="standardContextual"/>
        </w:rPr>
        <w:footnoteReference w:id="64"/>
      </w:r>
      <w:r w:rsidRPr="00AE12E9">
        <w:rPr>
          <w:kern w:val="2"/>
          <w14:ligatures w14:val="standardContextual"/>
        </w:rPr>
        <w:t>, zlasti člena 70,</w:t>
      </w:r>
    </w:p>
    <w:p w14:paraId="0AAF193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Odločbe Sveta 2007/198/Euratom z dne 27. marca 2007 o ustanovitvi Evropskega skupnega podjetja za ITER in razvoj fuzijske energije ter dodelitvi prednosti le-temu </w:t>
      </w:r>
      <w:r w:rsidRPr="00AE12E9">
        <w:rPr>
          <w:kern w:val="2"/>
          <w:vertAlign w:val="superscript"/>
          <w14:ligatures w14:val="standardContextual"/>
        </w:rPr>
        <w:footnoteReference w:id="65"/>
      </w:r>
      <w:r w:rsidRPr="00AE12E9">
        <w:rPr>
          <w:kern w:val="2"/>
          <w14:ligatures w14:val="standardContextual"/>
        </w:rPr>
        <w:t xml:space="preserve"> in zlasti člena 5,</w:t>
      </w:r>
    </w:p>
    <w:p w14:paraId="7A66FD2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AE12E9">
        <w:rPr>
          <w:kern w:val="2"/>
          <w:vertAlign w:val="superscript"/>
          <w14:ligatures w14:val="standardContextual"/>
        </w:rPr>
        <w:footnoteReference w:id="66"/>
      </w:r>
      <w:r w:rsidRPr="00AE12E9">
        <w:rPr>
          <w:kern w:val="2"/>
          <w14:ligatures w14:val="standardContextual"/>
        </w:rPr>
        <w:t>,</w:t>
      </w:r>
    </w:p>
    <w:p w14:paraId="5C0B183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člena 102 in Priloge V Poslovnika,</w:t>
      </w:r>
    </w:p>
    <w:p w14:paraId="30ACB57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mnenja Odbora za promet in turizem,</w:t>
      </w:r>
    </w:p>
    <w:p w14:paraId="6CB9AA7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29CE293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podeli razrešnico direktorju Evropskega skupnega podjetja za ITER in razvoj fuzijske energije glede izvrševanja proračuna skupnega podjetja za proračunsko leto 2023;</w:t>
      </w:r>
    </w:p>
    <w:p w14:paraId="6511136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navaja svoje pripombe v spodnji resoluciji;</w:t>
      </w:r>
    </w:p>
    <w:p w14:paraId="5B22352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 xml:space="preserve">naroči svoji predsednici, naj ta sklep in resolucijo, ki je del sklepa, posreduje direktorju Skupnega podjetja za ITER in razvoj fuzijske energije,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4A5CFD3E"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6C6C0D96" w14:textId="77777777" w:rsidR="00AE12E9" w:rsidRPr="00AE12E9" w:rsidRDefault="00AE12E9" w:rsidP="00AE12E9">
      <w:pPr>
        <w:pStyle w:val="ATHeading3"/>
      </w:pPr>
      <w:r w:rsidRPr="00AE12E9">
        <w:lastRenderedPageBreak/>
        <w:t>12. Sklep Evropskega parlamenta z dne 7. maja 2025 o zaključnem računu Evropskega skupnega podjetja za ITER in razvoj fuzijske energije za proračunsko leto 2023 (2024/2031(DEC))</w:t>
      </w:r>
    </w:p>
    <w:p w14:paraId="6D02ADEC"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50BEF1A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Evropskega skupnega podjetja za ITER in razvoj fuzijske energije za proračunsko leto 2023,</w:t>
      </w:r>
    </w:p>
    <w:p w14:paraId="4848F6E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 </w:t>
      </w:r>
      <w:r w:rsidRPr="00AE12E9">
        <w:rPr>
          <w:kern w:val="2"/>
          <w:vertAlign w:val="superscript"/>
          <w14:ligatures w14:val="standardContextual"/>
        </w:rPr>
        <w:footnoteReference w:id="67"/>
      </w:r>
      <w:r w:rsidRPr="00AE12E9">
        <w:rPr>
          <w:kern w:val="2"/>
          <w14:ligatures w14:val="standardContextual"/>
        </w:rPr>
        <w:t>,</w:t>
      </w:r>
    </w:p>
    <w:p w14:paraId="3234929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 </w:t>
      </w:r>
      <w:r w:rsidRPr="00AE12E9">
        <w:rPr>
          <w:kern w:val="2"/>
          <w:vertAlign w:val="superscript"/>
          <w14:ligatures w14:val="standardContextual"/>
        </w:rPr>
        <w:footnoteReference w:id="68"/>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25E9B90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126BFE2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540242B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106a Pogodbe o ustanovitvi Evropske skupnosti za jedrsko energijo,</w:t>
      </w:r>
    </w:p>
    <w:p w14:paraId="75C6157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AE12E9">
        <w:rPr>
          <w:kern w:val="2"/>
          <w:vertAlign w:val="superscript"/>
          <w14:ligatures w14:val="standardContextual"/>
        </w:rPr>
        <w:footnoteReference w:id="69"/>
      </w:r>
      <w:r w:rsidRPr="00AE12E9">
        <w:rPr>
          <w:kern w:val="2"/>
          <w14:ligatures w14:val="standardContextual"/>
        </w:rPr>
        <w:t xml:space="preserve"> in zlasti člena 70,</w:t>
      </w:r>
    </w:p>
    <w:p w14:paraId="4B32256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 </w:t>
      </w:r>
      <w:r w:rsidRPr="00AE12E9">
        <w:rPr>
          <w:kern w:val="2"/>
          <w:vertAlign w:val="superscript"/>
          <w14:ligatures w14:val="standardContextual"/>
        </w:rPr>
        <w:footnoteReference w:id="70"/>
      </w:r>
      <w:r w:rsidRPr="00AE12E9">
        <w:rPr>
          <w:kern w:val="2"/>
          <w14:ligatures w14:val="standardContextual"/>
        </w:rPr>
        <w:t>, zlasti člena 70,</w:t>
      </w:r>
    </w:p>
    <w:p w14:paraId="5DD2FDF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Odločbe Sveta 2007/198/Euratom z dne 27. marca 2007 o ustanovitvi Evropskega skupnega podjetja za ITER in razvoj fuzijske energije ter dodelitvi prednosti le-temu </w:t>
      </w:r>
      <w:r w:rsidRPr="00AE12E9">
        <w:rPr>
          <w:kern w:val="2"/>
          <w:vertAlign w:val="superscript"/>
          <w14:ligatures w14:val="standardContextual"/>
        </w:rPr>
        <w:footnoteReference w:id="71"/>
      </w:r>
      <w:r w:rsidRPr="00AE12E9">
        <w:rPr>
          <w:kern w:val="2"/>
          <w14:ligatures w14:val="standardContextual"/>
        </w:rPr>
        <w:t xml:space="preserve"> in zlasti člena 5,</w:t>
      </w:r>
    </w:p>
    <w:p w14:paraId="026518F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AE12E9">
        <w:rPr>
          <w:kern w:val="2"/>
          <w:vertAlign w:val="superscript"/>
          <w14:ligatures w14:val="standardContextual"/>
        </w:rPr>
        <w:footnoteReference w:id="72"/>
      </w:r>
      <w:r w:rsidRPr="00AE12E9">
        <w:rPr>
          <w:kern w:val="2"/>
          <w14:ligatures w14:val="standardContextual"/>
        </w:rPr>
        <w:t>,</w:t>
      </w:r>
    </w:p>
    <w:p w14:paraId="7B7B6C5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člena 102 in Priloge V Poslovnika,</w:t>
      </w:r>
    </w:p>
    <w:p w14:paraId="48F8DAD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mnenja Odbora za promet in turizem,</w:t>
      </w:r>
    </w:p>
    <w:p w14:paraId="0DF05DB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5948401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odobri zaključni račun Evropskega skupnega podjetja za ITER in razvoj fuzijske energije za proračunsko leto 2023;</w:t>
      </w:r>
    </w:p>
    <w:p w14:paraId="43CFDA4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 xml:space="preserve">naroči svoji predsednici, naj ta sklep posreduje direktorju Skupnega podjetja za ITER in razvoj fuzijske energije,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17F56515"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3C338C34" w14:textId="62186C70" w:rsidR="00AE12E9" w:rsidRPr="00AE12E9" w:rsidRDefault="00AE12E9" w:rsidP="00AE12E9">
      <w:pPr>
        <w:pStyle w:val="ATHeading3"/>
      </w:pPr>
      <w:r w:rsidRPr="00AE12E9">
        <w:lastRenderedPageBreak/>
        <w:t>13. Sklep Evropskega parlamenta z dne 7. maja 2025 o razrešnici glede izvrševanja proračuna Skupnega podjetja za svetovno zdravje EDCTP3 za proračunsko leto 2023 (2024/2031(DEC))</w:t>
      </w:r>
    </w:p>
    <w:p w14:paraId="1AD7307F"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481A800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svetovno zdravje EDCTP3 za proračunsko leto 2023,</w:t>
      </w:r>
    </w:p>
    <w:p w14:paraId="3BADCBC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73"/>
      </w:r>
      <w:r w:rsidRPr="00AE12E9">
        <w:rPr>
          <w:kern w:val="2"/>
          <w14:ligatures w14:val="standardContextual"/>
        </w:rPr>
        <w:t>,</w:t>
      </w:r>
    </w:p>
    <w:p w14:paraId="15707A1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74"/>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707F56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275D793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47FFC07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75"/>
      </w:r>
      <w:r w:rsidRPr="00AE12E9">
        <w:rPr>
          <w:kern w:val="2"/>
          <w14:ligatures w14:val="standardContextual"/>
        </w:rPr>
        <w:t xml:space="preserve"> in zlasti člena 71,</w:t>
      </w:r>
    </w:p>
    <w:p w14:paraId="398789B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76"/>
      </w:r>
      <w:r w:rsidRPr="00AE12E9">
        <w:rPr>
          <w:kern w:val="2"/>
          <w14:ligatures w14:val="standardContextual"/>
        </w:rPr>
        <w:t xml:space="preserve">, zlasti člena 71, </w:t>
      </w:r>
    </w:p>
    <w:p w14:paraId="1FBC292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77"/>
      </w:r>
      <w:r w:rsidRPr="00AE12E9">
        <w:rPr>
          <w:kern w:val="2"/>
          <w14:ligatures w14:val="standardContextual"/>
        </w:rPr>
        <w:t xml:space="preserve"> in zlasti člena 26,</w:t>
      </w:r>
    </w:p>
    <w:p w14:paraId="10844D1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w:t>
      </w:r>
      <w:r w:rsidRPr="00AE12E9">
        <w:rPr>
          <w:kern w:val="2"/>
          <w:vertAlign w:val="superscript"/>
          <w14:ligatures w14:val="standardContextual"/>
        </w:rPr>
        <w:footnoteReference w:id="78"/>
      </w:r>
      <w:r w:rsidRPr="00AE12E9">
        <w:rPr>
          <w:kern w:val="2"/>
          <w14:ligatures w14:val="standardContextual"/>
        </w:rPr>
        <w:t>,</w:t>
      </w:r>
    </w:p>
    <w:p w14:paraId="3E8DFF2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6881B9C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53C00B5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0980B7F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podeli razrešnico izvršnemu direktorju Skupnega podjetja za svetovno zdravje EDCTP3 glede izvrševanja proračuna skupnega podjetja za proračunsko leto 2023;</w:t>
      </w:r>
    </w:p>
    <w:p w14:paraId="2A1F508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navaja svoje pripombe v spodnji resoluciji;</w:t>
      </w:r>
    </w:p>
    <w:p w14:paraId="0E605EC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 xml:space="preserve">naroči svoji predsednici, naj ta sklep in resolucijo, ki je del sklepa, posreduje izvršnemu direktorju Skupnega podjetja za svetovno zdravje EDCTP3,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222099B7"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57B5B568" w14:textId="5E04E99D" w:rsidR="00AE12E9" w:rsidRPr="00AE12E9" w:rsidRDefault="00AE12E9" w:rsidP="00AE12E9">
      <w:pPr>
        <w:pStyle w:val="ATHeading3"/>
      </w:pPr>
      <w:r w:rsidRPr="00AE12E9">
        <w:lastRenderedPageBreak/>
        <w:t>14. Sklep Evropskega parlamenta z dne 7. maja 2025 o zaključnem računu Skupnega podjetja za svetovno zdravje EDCTP3 za proračunsko leto 2023 (2024/2031(DEC))</w:t>
      </w:r>
    </w:p>
    <w:p w14:paraId="4C6C320E"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3B89FD9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svetovno zdravje EDCTP3 za proračunsko leto 2023,</w:t>
      </w:r>
    </w:p>
    <w:p w14:paraId="37D20DA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79"/>
      </w:r>
      <w:r w:rsidRPr="00AE12E9">
        <w:rPr>
          <w:kern w:val="2"/>
          <w14:ligatures w14:val="standardContextual"/>
        </w:rPr>
        <w:t>,</w:t>
      </w:r>
    </w:p>
    <w:p w14:paraId="106389C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80"/>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5AA632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04AA954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1F2E856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81"/>
      </w:r>
      <w:r w:rsidRPr="00AE12E9">
        <w:rPr>
          <w:kern w:val="2"/>
          <w14:ligatures w14:val="standardContextual"/>
        </w:rPr>
        <w:t xml:space="preserve"> in zlasti člena 71,</w:t>
      </w:r>
    </w:p>
    <w:p w14:paraId="56C0F03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82"/>
      </w:r>
      <w:r w:rsidRPr="00AE12E9">
        <w:rPr>
          <w:kern w:val="2"/>
          <w14:ligatures w14:val="standardContextual"/>
        </w:rPr>
        <w:t xml:space="preserve">, zlasti člena 71, </w:t>
      </w:r>
    </w:p>
    <w:p w14:paraId="42CBB35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83"/>
      </w:r>
      <w:r w:rsidRPr="00AE12E9">
        <w:rPr>
          <w:kern w:val="2"/>
          <w14:ligatures w14:val="standardContextual"/>
        </w:rPr>
        <w:t xml:space="preserve"> in zlasti člena 26,</w:t>
      </w:r>
    </w:p>
    <w:p w14:paraId="1BAAD54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w:t>
      </w:r>
      <w:r w:rsidRPr="00AE12E9">
        <w:rPr>
          <w:kern w:val="2"/>
          <w:vertAlign w:val="superscript"/>
          <w14:ligatures w14:val="standardContextual"/>
        </w:rPr>
        <w:footnoteReference w:id="84"/>
      </w:r>
      <w:r w:rsidRPr="00AE12E9">
        <w:rPr>
          <w:kern w:val="2"/>
          <w14:ligatures w14:val="standardContextual"/>
        </w:rPr>
        <w:t>,</w:t>
      </w:r>
    </w:p>
    <w:p w14:paraId="03C5277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3D87C0D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1BFD01C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543AA9D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odobri zaključni račun Skupnega podjetja za svetovno zdravje EDCTP3 za proračunsko leto 2023;</w:t>
      </w:r>
    </w:p>
    <w:p w14:paraId="6992F99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 xml:space="preserve">naroči svoji predsednici, naj ta sklep posreduje izvršnemu direktorju Skupnega podjetja za svetovno zdravje EDCTP3,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467F120B"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13E3FC34" w14:textId="7D831F92" w:rsidR="00AE12E9" w:rsidRPr="00AE12E9" w:rsidRDefault="00AE12E9" w:rsidP="00AE12E9">
      <w:pPr>
        <w:pStyle w:val="ATHeading3"/>
      </w:pPr>
      <w:r w:rsidRPr="00AE12E9">
        <w:lastRenderedPageBreak/>
        <w:t>15. Sklep Evropskega parlamenta z dne 7. maja 2025 o razrešnici glede izvrševanja proračuna Skupnega podjetja za pobudo za inovativno zdravje za proračunsko leto 2023 (2024/2031(DEC))</w:t>
      </w:r>
    </w:p>
    <w:p w14:paraId="6DC92C95"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6DBDFBC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pobudo za inovativno zdravje za proračunsko leto 2023,</w:t>
      </w:r>
    </w:p>
    <w:p w14:paraId="2C7197E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85"/>
      </w:r>
      <w:r w:rsidRPr="00AE12E9">
        <w:rPr>
          <w:kern w:val="2"/>
          <w14:ligatures w14:val="standardContextual"/>
        </w:rPr>
        <w:t>,</w:t>
      </w:r>
    </w:p>
    <w:p w14:paraId="1CDC536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86"/>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4B7866E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651015D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3521B65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87"/>
      </w:r>
      <w:r w:rsidRPr="00AE12E9">
        <w:rPr>
          <w:kern w:val="2"/>
          <w14:ligatures w14:val="standardContextual"/>
        </w:rPr>
        <w:t xml:space="preserve"> in zlasti člena 71,</w:t>
      </w:r>
    </w:p>
    <w:p w14:paraId="695DD38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88"/>
      </w:r>
      <w:r w:rsidRPr="00AE12E9">
        <w:rPr>
          <w:kern w:val="2"/>
          <w14:ligatures w14:val="standardContextual"/>
        </w:rPr>
        <w:t xml:space="preserve">, zlasti člena 71, </w:t>
      </w:r>
    </w:p>
    <w:p w14:paraId="4F89597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89"/>
      </w:r>
      <w:r w:rsidRPr="00AE12E9">
        <w:rPr>
          <w:kern w:val="2"/>
          <w14:ligatures w14:val="standardContextual"/>
        </w:rPr>
        <w:t xml:space="preserve"> in zlasti člena 26,</w:t>
      </w:r>
    </w:p>
    <w:p w14:paraId="6339AEC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w:t>
      </w:r>
      <w:r w:rsidRPr="00AE12E9">
        <w:rPr>
          <w:kern w:val="2"/>
          <w:vertAlign w:val="superscript"/>
          <w14:ligatures w14:val="standardContextual"/>
        </w:rPr>
        <w:footnoteReference w:id="90"/>
      </w:r>
      <w:r w:rsidRPr="00AE12E9">
        <w:rPr>
          <w:kern w:val="2"/>
          <w14:ligatures w14:val="standardContextual"/>
        </w:rPr>
        <w:t>,</w:t>
      </w:r>
    </w:p>
    <w:p w14:paraId="36F3CB6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41CE516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2316D93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3E977D7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podeli razrešnico izvršnemu direktorju Skupnega podjetja za pobudo za inovativno zdravje glede izvrševanja proračuna skupnega podjetja za proračunsko leto 2023;</w:t>
      </w:r>
    </w:p>
    <w:p w14:paraId="54B5862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navaja svoje pripombe v spodnji resoluciji;</w:t>
      </w:r>
    </w:p>
    <w:p w14:paraId="52E7DE3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 xml:space="preserve">naroči svoji predsednici, naj ta sklep in resolucijo, ki je del sklepa, posreduje izvršnemu direktorju Skupnega podjetja za pobudo za inovativno zdravje,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24455E65"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1442FDD2" w14:textId="2A5F27B1" w:rsidR="00AE12E9" w:rsidRPr="00AE12E9" w:rsidRDefault="00AE12E9" w:rsidP="00AE12E9">
      <w:pPr>
        <w:pStyle w:val="ATHeading3"/>
      </w:pPr>
      <w:r w:rsidRPr="00AE12E9">
        <w:lastRenderedPageBreak/>
        <w:t>16. Sklep Evropskega parlamenta z dne 7. maja 2025 o zaključnem računu Skupnega podjetja za pobudo za inovativno zdravje za proračunsko leto 2023 (2024/2031(DEC))</w:t>
      </w:r>
    </w:p>
    <w:p w14:paraId="59C046BD"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27BA633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pobudo za inovativno zdravje za proračunsko leto 2023,</w:t>
      </w:r>
    </w:p>
    <w:p w14:paraId="347DA4E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91"/>
      </w:r>
      <w:r w:rsidRPr="00AE12E9">
        <w:rPr>
          <w:kern w:val="2"/>
          <w14:ligatures w14:val="standardContextual"/>
        </w:rPr>
        <w:t>,</w:t>
      </w:r>
    </w:p>
    <w:p w14:paraId="532BFCE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92"/>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992BCC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6D601BD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1B18FE3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93"/>
      </w:r>
      <w:r w:rsidRPr="00AE12E9">
        <w:rPr>
          <w:kern w:val="2"/>
          <w14:ligatures w14:val="standardContextual"/>
        </w:rPr>
        <w:t xml:space="preserve"> in zlasti člena 71,</w:t>
      </w:r>
    </w:p>
    <w:p w14:paraId="28DE632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94"/>
      </w:r>
      <w:r w:rsidRPr="00AE12E9">
        <w:rPr>
          <w:kern w:val="2"/>
          <w14:ligatures w14:val="standardContextual"/>
        </w:rPr>
        <w:t xml:space="preserve">, zlasti člena 71, </w:t>
      </w:r>
    </w:p>
    <w:p w14:paraId="768F4FD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95"/>
      </w:r>
      <w:r w:rsidRPr="00AE12E9">
        <w:rPr>
          <w:kern w:val="2"/>
          <w14:ligatures w14:val="standardContextual"/>
        </w:rPr>
        <w:t xml:space="preserve"> in zlasti člena 26,</w:t>
      </w:r>
    </w:p>
    <w:p w14:paraId="72F8036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w:t>
      </w:r>
      <w:r w:rsidRPr="00AE12E9">
        <w:rPr>
          <w:kern w:val="2"/>
          <w:vertAlign w:val="superscript"/>
          <w14:ligatures w14:val="standardContextual"/>
        </w:rPr>
        <w:footnoteReference w:id="96"/>
      </w:r>
      <w:r w:rsidRPr="00AE12E9">
        <w:rPr>
          <w:kern w:val="2"/>
          <w14:ligatures w14:val="standardContextual"/>
        </w:rPr>
        <w:t>,</w:t>
      </w:r>
    </w:p>
    <w:p w14:paraId="2FA6E40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3086AC2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3986EBD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0812A69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odobri zaključni račun Skupnega podjetja za pobudo za inovativno zdravje za proračunsko leto 2023;</w:t>
      </w:r>
    </w:p>
    <w:p w14:paraId="4E8DE8F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 xml:space="preserve">naroči svoji predsednici, naj ta sklep posreduje izvršnemu direktorju Skupnega podjetja za pobudo za inovativno zdravje,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35300E99"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0FACD183" w14:textId="77777777" w:rsidR="00AE12E9" w:rsidRPr="00AE12E9" w:rsidRDefault="00AE12E9" w:rsidP="00AE12E9">
      <w:pPr>
        <w:pStyle w:val="ATHeading3"/>
      </w:pPr>
      <w:r w:rsidRPr="00AE12E9">
        <w:lastRenderedPageBreak/>
        <w:t>17. Sklep Evropskega parlamenta z dne 7. maja 2025 o razrešnici glede izvrševanja proračuna Skupnega podjetja za čipe (pred 21. 9. 2023 Skupno podjetje za ključne digitalne tehnologije) za proračunsko leto 2023 (2024/2031(DEC))</w:t>
      </w:r>
    </w:p>
    <w:p w14:paraId="4066AF2E"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15DF5E0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čipe za proračunsko leto 2023,</w:t>
      </w:r>
    </w:p>
    <w:p w14:paraId="35281E9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97"/>
      </w:r>
      <w:r w:rsidRPr="00AE12E9">
        <w:rPr>
          <w:kern w:val="2"/>
          <w14:ligatures w14:val="standardContextual"/>
        </w:rPr>
        <w:t>,</w:t>
      </w:r>
    </w:p>
    <w:p w14:paraId="5F2B83F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98"/>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237187A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556DAFA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6BF7F33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99"/>
      </w:r>
      <w:r w:rsidRPr="00AE12E9">
        <w:rPr>
          <w:kern w:val="2"/>
          <w14:ligatures w14:val="standardContextual"/>
        </w:rPr>
        <w:t xml:space="preserve"> in zlasti člena 71,</w:t>
      </w:r>
    </w:p>
    <w:p w14:paraId="223AF14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100"/>
      </w:r>
      <w:r w:rsidRPr="00AE12E9">
        <w:rPr>
          <w:kern w:val="2"/>
          <w14:ligatures w14:val="standardContextual"/>
        </w:rPr>
        <w:t>, zlasti člena 71,</w:t>
      </w:r>
    </w:p>
    <w:p w14:paraId="4A48134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101"/>
      </w:r>
      <w:r w:rsidRPr="00AE12E9">
        <w:rPr>
          <w:kern w:val="2"/>
          <w14:ligatures w14:val="standardContextual"/>
        </w:rPr>
        <w:t xml:space="preserve"> in zlasti člena 26,</w:t>
      </w:r>
    </w:p>
    <w:p w14:paraId="4A1871B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2023/1782 z dne 25. julija 2023 o spremembi Uredbe Sveta (EU) 2021/2085 o ustanovitvi skupnih podjetij v okviru Obzorja Evropa v zvezi s Skupnim podjetjem za čipe </w:t>
      </w:r>
      <w:r w:rsidRPr="00AE12E9">
        <w:rPr>
          <w:kern w:val="2"/>
          <w:vertAlign w:val="superscript"/>
          <w14:ligatures w14:val="standardContextual"/>
        </w:rPr>
        <w:footnoteReference w:id="102"/>
      </w:r>
      <w:r w:rsidRPr="00AE12E9">
        <w:rPr>
          <w:kern w:val="2"/>
          <w14:ligatures w14:val="standardContextual"/>
        </w:rPr>
        <w:t>,</w:t>
      </w:r>
    </w:p>
    <w:p w14:paraId="26D075E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 xml:space="preserve">ob upoštevanju Delegirane uredbe Komisije (EU) 2019/887 z dne 13. marca 2019 o vzorčni finančni uredbi za subjekte javno-zasebnega partnerstva iz člena 71 Uredbe </w:t>
      </w:r>
      <w:r w:rsidRPr="00AE12E9">
        <w:rPr>
          <w:kern w:val="2"/>
          <w14:ligatures w14:val="standardContextual"/>
        </w:rPr>
        <w:lastRenderedPageBreak/>
        <w:t>(EU, Euratom) 2018/1046 Evropskega parlamenta in Sveta</w:t>
      </w:r>
      <w:r w:rsidRPr="00AE12E9">
        <w:rPr>
          <w:kern w:val="2"/>
          <w:vertAlign w:val="superscript"/>
          <w14:ligatures w14:val="standardContextual"/>
        </w:rPr>
        <w:footnoteReference w:id="103"/>
      </w:r>
      <w:r w:rsidRPr="00AE12E9">
        <w:rPr>
          <w:kern w:val="2"/>
          <w14:ligatures w14:val="standardContextual"/>
        </w:rPr>
        <w:t>,</w:t>
      </w:r>
    </w:p>
    <w:p w14:paraId="26478CF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21F6964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mnenja Odbora za promet in turizem,</w:t>
      </w:r>
    </w:p>
    <w:p w14:paraId="0BEEDE8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65DBD39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podeli razrešnico izvršnemu direktorju Skupnega podjetja za čipe glede izvrševanja proračuna skupnega podjetja za proračunsko leto 2023;</w:t>
      </w:r>
    </w:p>
    <w:p w14:paraId="3D51D71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navaja svoje pripombe v spodnji resoluciji;</w:t>
      </w:r>
    </w:p>
    <w:p w14:paraId="07B5A23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 xml:space="preserve">naroči svoji predsednici, naj ta sklep in resolucijo, ki je del sklepa, posreduje izvršnemu direktorju Skupnega podjetja za čipe,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5E1DD4ED"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397E6EFA" w14:textId="77777777" w:rsidR="00AE12E9" w:rsidRPr="00AE12E9" w:rsidRDefault="00AE12E9" w:rsidP="00AE12E9">
      <w:pPr>
        <w:pStyle w:val="ATHeading3"/>
      </w:pPr>
      <w:r w:rsidRPr="00AE12E9">
        <w:lastRenderedPageBreak/>
        <w:t>18. Sklep Evropskega parlamenta z dne 7. maja 2025 o zaključnem računu Skupnega podjetja za čipe (pred 21. 9. 2023 Skupno podjetje za ključne digitalne tehnologije) za proračunsko leto 2023 (2024/2031(DEC))</w:t>
      </w:r>
    </w:p>
    <w:p w14:paraId="3E5B4E7A"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7E499B4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čipe za proračunsko leto 2023,</w:t>
      </w:r>
    </w:p>
    <w:p w14:paraId="68D7289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104"/>
      </w:r>
      <w:r w:rsidRPr="00AE12E9">
        <w:rPr>
          <w:kern w:val="2"/>
          <w14:ligatures w14:val="standardContextual"/>
        </w:rPr>
        <w:t>,</w:t>
      </w:r>
    </w:p>
    <w:p w14:paraId="213C35F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105"/>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DF019A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1F15075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04C76F1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106"/>
      </w:r>
      <w:r w:rsidRPr="00AE12E9">
        <w:rPr>
          <w:kern w:val="2"/>
          <w14:ligatures w14:val="standardContextual"/>
        </w:rPr>
        <w:t xml:space="preserve"> in zlasti člena 71,</w:t>
      </w:r>
    </w:p>
    <w:p w14:paraId="71FEBBE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107"/>
      </w:r>
      <w:r w:rsidRPr="00AE12E9">
        <w:rPr>
          <w:kern w:val="2"/>
          <w14:ligatures w14:val="standardContextual"/>
        </w:rPr>
        <w:t xml:space="preserve">, zlasti člena 71, </w:t>
      </w:r>
    </w:p>
    <w:p w14:paraId="547C276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108"/>
      </w:r>
      <w:r w:rsidRPr="00AE12E9">
        <w:rPr>
          <w:kern w:val="2"/>
          <w14:ligatures w14:val="standardContextual"/>
        </w:rPr>
        <w:t xml:space="preserve"> in zlasti člena 26,</w:t>
      </w:r>
    </w:p>
    <w:p w14:paraId="3A0045C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2023/1782 z dne 25. julija 2023 o spremembi Uredbe Sveta (EU) 2021/2085 o ustanovitvi skupnih podjetij v okviru Obzorja Evropa v zvezi s Skupnim podjetjem za čipe </w:t>
      </w:r>
      <w:r w:rsidRPr="00AE12E9">
        <w:rPr>
          <w:kern w:val="2"/>
          <w:vertAlign w:val="superscript"/>
          <w14:ligatures w14:val="standardContextual"/>
        </w:rPr>
        <w:footnoteReference w:id="109"/>
      </w:r>
      <w:r w:rsidRPr="00AE12E9">
        <w:rPr>
          <w:kern w:val="2"/>
          <w14:ligatures w14:val="standardContextual"/>
        </w:rPr>
        <w:t>,</w:t>
      </w:r>
    </w:p>
    <w:p w14:paraId="3782A9D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 xml:space="preserve">ob upoštevanju Delegirane uredbe Komisije (EU) 2019/887 z dne 13. marca 2019 o vzorčni finančni uredbi za subjekte javno-zasebnega partnerstva iz člena 71 Uredbe </w:t>
      </w:r>
      <w:r w:rsidRPr="00AE12E9">
        <w:rPr>
          <w:kern w:val="2"/>
          <w14:ligatures w14:val="standardContextual"/>
        </w:rPr>
        <w:lastRenderedPageBreak/>
        <w:t>(EU, Euratom) 2018/1046 Evropskega parlamenta in Sveta</w:t>
      </w:r>
      <w:r w:rsidRPr="00AE12E9">
        <w:rPr>
          <w:kern w:val="2"/>
          <w:vertAlign w:val="superscript"/>
          <w14:ligatures w14:val="standardContextual"/>
        </w:rPr>
        <w:footnoteReference w:id="110"/>
      </w:r>
      <w:r w:rsidRPr="00AE12E9">
        <w:rPr>
          <w:kern w:val="2"/>
          <w14:ligatures w14:val="standardContextual"/>
        </w:rPr>
        <w:t>,</w:t>
      </w:r>
    </w:p>
    <w:p w14:paraId="2ABA1A7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4096D32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mnenja Odbora za promet in turizem,</w:t>
      </w:r>
    </w:p>
    <w:p w14:paraId="75302DC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545A041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odobri zaključni račun Skupnega podjetja za čipe za proračunsko leto 2023;</w:t>
      </w:r>
    </w:p>
    <w:p w14:paraId="1C5CA31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 xml:space="preserve">naroči svoji predsednici, naj ta sklep posreduje izvršnemu direktorju Skupnega podjetja za čipe,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28E9083D"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0EEDDB10" w14:textId="1F826A53" w:rsidR="00AE12E9" w:rsidRPr="00AE12E9" w:rsidRDefault="00AE12E9" w:rsidP="00AE12E9">
      <w:pPr>
        <w:pStyle w:val="ATHeading3"/>
      </w:pPr>
      <w:r w:rsidRPr="00AE12E9">
        <w:lastRenderedPageBreak/>
        <w:t>19. Sklep Evropskega parlamenta z dne 7. maja 2025 o razrešnici glede izvrševanja proračuna Skupnega podjetja za raziskave o upravljanju zračnega prometa enotnega evropskega neba 3 za proračunsko leto 2023 (2024/2031(DEC))</w:t>
      </w:r>
    </w:p>
    <w:p w14:paraId="4FDE8532"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6743BED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raziskave o upravljanju zračnega prometa enotnega evropskega neba 3 za proračunsko leto 2023,</w:t>
      </w:r>
    </w:p>
    <w:p w14:paraId="2CFCFBF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111"/>
      </w:r>
      <w:r w:rsidRPr="00AE12E9">
        <w:rPr>
          <w:kern w:val="2"/>
          <w14:ligatures w14:val="standardContextual"/>
        </w:rPr>
        <w:t>,</w:t>
      </w:r>
    </w:p>
    <w:p w14:paraId="005C40D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112"/>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6E2FBAA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3818E7B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2E7D7B1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113"/>
      </w:r>
      <w:r w:rsidRPr="00AE12E9">
        <w:rPr>
          <w:kern w:val="2"/>
          <w14:ligatures w14:val="standardContextual"/>
        </w:rPr>
        <w:t xml:space="preserve"> in zlasti člena 71,</w:t>
      </w:r>
    </w:p>
    <w:p w14:paraId="1EE822F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114"/>
      </w:r>
      <w:r w:rsidRPr="00AE12E9">
        <w:rPr>
          <w:kern w:val="2"/>
          <w14:ligatures w14:val="standardContextual"/>
        </w:rPr>
        <w:t xml:space="preserve">, zlasti člena 71, </w:t>
      </w:r>
    </w:p>
    <w:p w14:paraId="4A92DA2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115"/>
      </w:r>
      <w:r w:rsidRPr="00AE12E9">
        <w:rPr>
          <w:kern w:val="2"/>
          <w14:ligatures w14:val="standardContextual"/>
        </w:rPr>
        <w:t xml:space="preserve"> in zlasti člena 26,</w:t>
      </w:r>
    </w:p>
    <w:p w14:paraId="7EC8551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w:t>
      </w:r>
      <w:r w:rsidRPr="00AE12E9">
        <w:rPr>
          <w:kern w:val="2"/>
          <w:vertAlign w:val="superscript"/>
          <w14:ligatures w14:val="standardContextual"/>
        </w:rPr>
        <w:footnoteReference w:id="116"/>
      </w:r>
      <w:r w:rsidRPr="00AE12E9">
        <w:rPr>
          <w:kern w:val="2"/>
          <w14:ligatures w14:val="standardContextual"/>
        </w:rPr>
        <w:t>,</w:t>
      </w:r>
    </w:p>
    <w:p w14:paraId="66748F3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20A8398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70B3E17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3FDE2C0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podeli razrešnico izvršnemu direktorju Skupnega podjetja za raziskave o upravljanju zračnega prometa enotnega evropskega neba 3 glede izvrševanja proračuna skupnega podjetja za proračunsko leto 2023;</w:t>
      </w:r>
    </w:p>
    <w:p w14:paraId="494C34F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navaja svoje pripombe v spodnji resoluciji;</w:t>
      </w:r>
    </w:p>
    <w:p w14:paraId="0B984CC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 xml:space="preserve">naroči svoji predsednici, naj ta sklep in resolucijo, ki je del sklepa, posreduje izvršnemu direktorju Skupnega podjetja za raziskave o upravljanju zračnega prometa enotnega evropskega neba 3,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6CC57954"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6ECC76F6" w14:textId="6935AE64" w:rsidR="00AE12E9" w:rsidRPr="00AE12E9" w:rsidRDefault="00AE12E9" w:rsidP="00AE12E9">
      <w:pPr>
        <w:pStyle w:val="ATHeading3"/>
      </w:pPr>
      <w:r w:rsidRPr="00AE12E9">
        <w:lastRenderedPageBreak/>
        <w:t>20. Sklep Evropskega parlamenta z dne 7. maja 2025 o zaključnem računu Skupnega podjetja za raziskave o upravljanju zračnega prometa enotnega evropskega neba 3 za proračunsko leto 2023 (2024/2031(DEC))</w:t>
      </w:r>
    </w:p>
    <w:p w14:paraId="26A8B811"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5BB2447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raziskave o upravljanju zračnega prometa enotnega evropskega neba 3 za proračunsko leto 2023,</w:t>
      </w:r>
    </w:p>
    <w:p w14:paraId="60F8A1A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117"/>
      </w:r>
      <w:r w:rsidRPr="00AE12E9">
        <w:rPr>
          <w:kern w:val="2"/>
          <w14:ligatures w14:val="standardContextual"/>
        </w:rPr>
        <w:t>,</w:t>
      </w:r>
    </w:p>
    <w:p w14:paraId="3D5F690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118"/>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04C083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4FE39F9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6A6F130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119"/>
      </w:r>
      <w:r w:rsidRPr="00AE12E9">
        <w:rPr>
          <w:kern w:val="2"/>
          <w14:ligatures w14:val="standardContextual"/>
        </w:rPr>
        <w:t xml:space="preserve"> in zlasti člena 71,</w:t>
      </w:r>
    </w:p>
    <w:p w14:paraId="4239572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120"/>
      </w:r>
      <w:r w:rsidRPr="00AE12E9">
        <w:rPr>
          <w:kern w:val="2"/>
          <w14:ligatures w14:val="standardContextual"/>
        </w:rPr>
        <w:t xml:space="preserve">, zlasti člena 71, </w:t>
      </w:r>
    </w:p>
    <w:p w14:paraId="2CD1065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121"/>
      </w:r>
      <w:r w:rsidRPr="00AE12E9">
        <w:rPr>
          <w:kern w:val="2"/>
          <w14:ligatures w14:val="standardContextual"/>
        </w:rPr>
        <w:t xml:space="preserve"> in zlasti člena 26,</w:t>
      </w:r>
    </w:p>
    <w:p w14:paraId="69ED715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w:t>
      </w:r>
      <w:r w:rsidRPr="00AE12E9">
        <w:rPr>
          <w:kern w:val="2"/>
          <w:vertAlign w:val="superscript"/>
          <w14:ligatures w14:val="standardContextual"/>
        </w:rPr>
        <w:footnoteReference w:id="122"/>
      </w:r>
      <w:r w:rsidRPr="00AE12E9">
        <w:rPr>
          <w:kern w:val="2"/>
          <w14:ligatures w14:val="standardContextual"/>
        </w:rPr>
        <w:t>,</w:t>
      </w:r>
    </w:p>
    <w:p w14:paraId="55226E8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24F7DD6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53F6A65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3859431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odobri zaključni račun Skupnega podjetja za raziskave o upravljanju zračnega prometa enotnega evropskega neba 3 za proračunsko leto 2023;</w:t>
      </w:r>
    </w:p>
    <w:p w14:paraId="536F5BC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 xml:space="preserve">naroči svoji predsednici, naj ta sklep posreduje izvršnemu direktorju Skupnega podjetja za raziskave o upravljanju zračnega prometa enotnega evropskega neba 3,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72212215"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7C256754" w14:textId="4B703407" w:rsidR="00AE12E9" w:rsidRPr="00AE12E9" w:rsidRDefault="00AE12E9" w:rsidP="00AE12E9">
      <w:pPr>
        <w:pStyle w:val="ATHeading3"/>
      </w:pPr>
      <w:r w:rsidRPr="00AE12E9">
        <w:lastRenderedPageBreak/>
        <w:t>21. Sklep Evropskega parlamenta z dne 7. maja 2025 o razrešnici glede izvrševanja proračuna Skupnega podjetja za pametna omrežja in storitve za proračunsko leto 2023 (2024/2031(DEC))</w:t>
      </w:r>
    </w:p>
    <w:p w14:paraId="31AA230B"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2B9FE9F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pametna omrežja in storitve za proračunsko leto 2023,</w:t>
      </w:r>
    </w:p>
    <w:p w14:paraId="30DE905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123"/>
      </w:r>
      <w:r w:rsidRPr="00AE12E9">
        <w:rPr>
          <w:kern w:val="2"/>
          <w14:ligatures w14:val="standardContextual"/>
        </w:rPr>
        <w:t>,</w:t>
      </w:r>
    </w:p>
    <w:p w14:paraId="6553AED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124"/>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66692F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3821F8E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0A56C5E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125"/>
      </w:r>
      <w:r w:rsidRPr="00AE12E9">
        <w:rPr>
          <w:kern w:val="2"/>
          <w14:ligatures w14:val="standardContextual"/>
        </w:rPr>
        <w:t xml:space="preserve"> in zlasti člena 71,</w:t>
      </w:r>
    </w:p>
    <w:p w14:paraId="3DF419A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126"/>
      </w:r>
      <w:r w:rsidRPr="00AE12E9">
        <w:rPr>
          <w:kern w:val="2"/>
          <w14:ligatures w14:val="standardContextual"/>
        </w:rPr>
        <w:t xml:space="preserve">, zlasti člena 71, </w:t>
      </w:r>
    </w:p>
    <w:p w14:paraId="5888B52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127"/>
      </w:r>
      <w:r w:rsidRPr="00AE12E9">
        <w:rPr>
          <w:kern w:val="2"/>
          <w14:ligatures w14:val="standardContextual"/>
        </w:rPr>
        <w:t xml:space="preserve"> in zlasti člena 26,</w:t>
      </w:r>
    </w:p>
    <w:p w14:paraId="0F9A1CF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w:t>
      </w:r>
      <w:r w:rsidRPr="00AE12E9">
        <w:rPr>
          <w:kern w:val="2"/>
          <w:vertAlign w:val="superscript"/>
          <w14:ligatures w14:val="standardContextual"/>
        </w:rPr>
        <w:footnoteReference w:id="128"/>
      </w:r>
      <w:r w:rsidRPr="00AE12E9">
        <w:rPr>
          <w:kern w:val="2"/>
          <w14:ligatures w14:val="standardContextual"/>
        </w:rPr>
        <w:t>,</w:t>
      </w:r>
    </w:p>
    <w:p w14:paraId="2656F9D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71BC78F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667961D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59AC35B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podeli razrešnico izvršni direktorici Skupnega podjetja za pametna omrežja in storitve glede izvrševanja proračuna skupnega podjetja za proračunsko leto 2023;</w:t>
      </w:r>
    </w:p>
    <w:p w14:paraId="3E95DD4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navaja svoje pripombe v spodnji resoluciji;</w:t>
      </w:r>
    </w:p>
    <w:p w14:paraId="1656322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 xml:space="preserve">naroči svoji predsednici, naj ta sklep in resolucijo, ki je del sklepa, posreduje izvršni direktorici Skupnega podjetja za pametna omrežja in storitve,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03CDC6DA"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085248C7" w14:textId="2A88DA7E" w:rsidR="00AE12E9" w:rsidRPr="00AE12E9" w:rsidRDefault="00AE12E9" w:rsidP="00AE12E9">
      <w:pPr>
        <w:pStyle w:val="ATHeading3"/>
      </w:pPr>
      <w:r w:rsidRPr="00AE12E9">
        <w:lastRenderedPageBreak/>
        <w:t>22. Sklep Evropskega parlamenta z dne 7. maja 2025 o zaključnem računu Skupnega podjetja za pametna omrežja in storitve za proračunsko leto 2023 (2024/2031(DEC))</w:t>
      </w:r>
    </w:p>
    <w:p w14:paraId="670F1FAE" w14:textId="77777777"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4B14399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končnega zaključnega računa Skupnega podjetja za pametna omrežja in storitve za proračunsko leto 2023,</w:t>
      </w:r>
    </w:p>
    <w:p w14:paraId="61F2D06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letnega poročila Računskega sodišča o skupnih podjetjih EU za proračunsko leto 2023, skupaj z odgovori skupnih podjetij</w:t>
      </w:r>
      <w:r w:rsidRPr="00AE12E9">
        <w:rPr>
          <w:kern w:val="2"/>
          <w:vertAlign w:val="superscript"/>
          <w14:ligatures w14:val="standardContextual"/>
        </w:rPr>
        <w:footnoteReference w:id="129"/>
      </w:r>
      <w:r w:rsidRPr="00AE12E9">
        <w:rPr>
          <w:kern w:val="2"/>
          <w14:ligatures w14:val="standardContextual"/>
        </w:rPr>
        <w:t>,</w:t>
      </w:r>
    </w:p>
    <w:p w14:paraId="3B325BE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izjave o zanesljivosti</w:t>
      </w:r>
      <w:r w:rsidRPr="00AE12E9">
        <w:rPr>
          <w:kern w:val="2"/>
          <w:vertAlign w:val="superscript"/>
          <w14:ligatures w14:val="standardContextual"/>
        </w:rPr>
        <w:footnoteReference w:id="130"/>
      </w:r>
      <w:r w:rsidRPr="00AE12E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5FDA91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priporočila Sveta z dne 17. februarja 2025 o podelitvi razrešnice skupnemu podjetju glede izvrševanja proračuna za proračunsko leto 2023 (05757/2025 – C10</w:t>
      </w:r>
      <w:r w:rsidRPr="00AE12E9">
        <w:rPr>
          <w:kern w:val="2"/>
          <w14:ligatures w14:val="standardContextual"/>
        </w:rPr>
        <w:noBreakHyphen/>
        <w:t>0025/2025),</w:t>
      </w:r>
    </w:p>
    <w:p w14:paraId="3F4D3D0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319 Pogodbe o delovanju Evropske unije,</w:t>
      </w:r>
    </w:p>
    <w:p w14:paraId="112A6B8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E12E9">
        <w:rPr>
          <w:kern w:val="2"/>
          <w:vertAlign w:val="superscript"/>
          <w14:ligatures w14:val="standardContextual"/>
        </w:rPr>
        <w:footnoteReference w:id="131"/>
      </w:r>
      <w:r w:rsidRPr="00AE12E9">
        <w:rPr>
          <w:kern w:val="2"/>
          <w14:ligatures w14:val="standardContextual"/>
        </w:rPr>
        <w:t xml:space="preserve"> in zlasti člena 71,</w:t>
      </w:r>
    </w:p>
    <w:p w14:paraId="236B6F1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(EU, Euratom) 2024/2509 Evropskega parlamenta in Sveta z dne 23. septembra 2024 o finančnih pravilih, ki se uporabljajo za splošni proračun Unije</w:t>
      </w:r>
      <w:r w:rsidRPr="00AE12E9">
        <w:rPr>
          <w:kern w:val="2"/>
          <w:vertAlign w:val="superscript"/>
          <w14:ligatures w14:val="standardContextual"/>
        </w:rPr>
        <w:footnoteReference w:id="132"/>
      </w:r>
      <w:r w:rsidRPr="00AE12E9">
        <w:rPr>
          <w:kern w:val="2"/>
          <w14:ligatures w14:val="standardContextual"/>
        </w:rPr>
        <w:t xml:space="preserve">, zlasti člena 71, </w:t>
      </w:r>
    </w:p>
    <w:p w14:paraId="6B925BF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E12E9">
        <w:rPr>
          <w:kern w:val="2"/>
          <w:vertAlign w:val="superscript"/>
          <w14:ligatures w14:val="standardContextual"/>
        </w:rPr>
        <w:footnoteReference w:id="133"/>
      </w:r>
      <w:r w:rsidRPr="00AE12E9">
        <w:rPr>
          <w:kern w:val="2"/>
          <w14:ligatures w14:val="standardContextual"/>
        </w:rPr>
        <w:t xml:space="preserve"> in zlasti člena 26,</w:t>
      </w:r>
    </w:p>
    <w:p w14:paraId="68DDED1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Delegirane uredbe Komisije (EU) 2019/887 z dne 13. marca 2019 o vzorčni finančni uredbi za subjekte javno-zasebnega partnerstva iz člena 71 Uredbe (EU, Euratom) 2018/1046 Evropskega parlamenta in Sveta</w:t>
      </w:r>
      <w:r w:rsidRPr="00AE12E9">
        <w:rPr>
          <w:kern w:val="2"/>
          <w:vertAlign w:val="superscript"/>
          <w14:ligatures w14:val="standardContextual"/>
        </w:rPr>
        <w:footnoteReference w:id="134"/>
      </w:r>
      <w:r w:rsidRPr="00AE12E9">
        <w:rPr>
          <w:kern w:val="2"/>
          <w14:ligatures w14:val="standardContextual"/>
        </w:rPr>
        <w:t>,</w:t>
      </w:r>
    </w:p>
    <w:p w14:paraId="24DC67C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3686763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lastRenderedPageBreak/>
        <w:t>–</w:t>
      </w:r>
      <w:r w:rsidRPr="00AE12E9">
        <w:rPr>
          <w:kern w:val="2"/>
          <w14:ligatures w14:val="standardContextual"/>
        </w:rPr>
        <w:tab/>
        <w:t>ob upoštevanju mnenja Odbora za promet in turizem,</w:t>
      </w:r>
    </w:p>
    <w:p w14:paraId="5F7200E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w:t>
      </w:r>
      <w:r w:rsidRPr="00AE12E9">
        <w:rPr>
          <w:kern w:val="2"/>
          <w14:ligatures w14:val="standardContextual"/>
        </w:rPr>
        <w:noBreakHyphen/>
        <w:t>0056/2025),</w:t>
      </w:r>
    </w:p>
    <w:p w14:paraId="3399B7D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w:t>
      </w:r>
      <w:r w:rsidRPr="00AE12E9">
        <w:rPr>
          <w:kern w:val="2"/>
          <w14:ligatures w14:val="standardContextual"/>
        </w:rPr>
        <w:tab/>
        <w:t>odobri zaključni račun Skupnega podjetja za pametna omrežja in storitve za proračunsko leto 2023;</w:t>
      </w:r>
    </w:p>
    <w:p w14:paraId="2B2DD09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w:t>
      </w:r>
      <w:r w:rsidRPr="00AE12E9">
        <w:rPr>
          <w:kern w:val="2"/>
          <w14:ligatures w14:val="standardContextual"/>
        </w:rPr>
        <w:tab/>
        <w:t xml:space="preserve">naroči svoji predsednici, naj ta sklep posreduje izvršni direktorici Skupnega podjetja za pametna omrežja in storitve, Svetu, Komisiji in Računskemu sodišču ter poskrbi za objavo v </w:t>
      </w:r>
      <w:r w:rsidRPr="00AE12E9">
        <w:rPr>
          <w:i/>
          <w:kern w:val="2"/>
          <w14:ligatures w14:val="standardContextual"/>
        </w:rPr>
        <w:t>Uradnem listu Evropske unije</w:t>
      </w:r>
      <w:r w:rsidRPr="00AE12E9">
        <w:rPr>
          <w:kern w:val="2"/>
          <w14:ligatures w14:val="standardContextual"/>
        </w:rPr>
        <w:t xml:space="preserve"> (serija L).</w:t>
      </w:r>
    </w:p>
    <w:p w14:paraId="17A776B7" w14:textId="77777777" w:rsidR="00AE12E9" w:rsidRPr="00AE12E9" w:rsidRDefault="00AE12E9" w:rsidP="00AE12E9">
      <w:pPr>
        <w:widowControl/>
        <w:jc w:val="both"/>
        <w:rPr>
          <w:rFonts w:eastAsia="Aptos"/>
          <w:kern w:val="2"/>
          <w:szCs w:val="24"/>
          <w:lang w:eastAsia="en-US"/>
          <w14:ligatures w14:val="standardContextual"/>
        </w:rPr>
        <w:sectPr w:rsidR="00AE12E9" w:rsidRPr="00AE12E9" w:rsidSect="00AE12E9">
          <w:footnotePr>
            <w:numRestart w:val="eachSect"/>
          </w:footnotePr>
          <w:pgSz w:w="11906" w:h="16838"/>
          <w:pgMar w:top="1440" w:right="1440" w:bottom="1440" w:left="1440" w:header="708" w:footer="708" w:gutter="0"/>
          <w:cols w:space="708"/>
          <w:docGrid w:linePitch="360"/>
        </w:sectPr>
      </w:pPr>
    </w:p>
    <w:p w14:paraId="0E81FFC2" w14:textId="77777777" w:rsidR="00AE12E9" w:rsidRPr="00AE12E9" w:rsidRDefault="00AE12E9" w:rsidP="00AE12E9">
      <w:pPr>
        <w:pStyle w:val="ATHeading3"/>
      </w:pPr>
      <w:r w:rsidRPr="00AE12E9">
        <w:lastRenderedPageBreak/>
        <w:t>23. Resolucija Evropskega parlamenta z dne 7. maja 2025 s pripombami, ki so del sklepov o razrešnici glede izvrševanja proračuna skupnih podjetij EU za proračunsko leto 2023 (2024/2031(DEC))</w:t>
      </w:r>
    </w:p>
    <w:p w14:paraId="2C3D6E93" w14:textId="113BDBED" w:rsidR="00AE12E9" w:rsidRPr="00AE12E9" w:rsidRDefault="00AE12E9" w:rsidP="00AE12E9">
      <w:pPr>
        <w:spacing w:before="480" w:after="240"/>
        <w:rPr>
          <w:i/>
          <w:kern w:val="2"/>
          <w14:ligatures w14:val="standardContextual"/>
        </w:rPr>
      </w:pPr>
      <w:r w:rsidRPr="00AE12E9">
        <w:rPr>
          <w:i/>
          <w:kern w:val="2"/>
          <w14:ligatures w14:val="standardContextual"/>
        </w:rPr>
        <w:t>Evropski parlament,</w:t>
      </w:r>
    </w:p>
    <w:p w14:paraId="4BC7C09D"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sklepa o razrešnici glede izvrševanja proračuna Skupnega podjetja za čisto letalstvo za proračunsko leto 2023,</w:t>
      </w:r>
    </w:p>
    <w:p w14:paraId="49351E4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sklepa o razrešnici glede izvrševanja proračuna Skupnega podjetja za krožno Evropo na biološki osnovi za proračunsko leto 2023,</w:t>
      </w:r>
    </w:p>
    <w:p w14:paraId="15D6679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sklepa o razrešnici glede izvrševanja proračuna Skupnega podjetja za čisti vodik za proračunsko leto 2023,</w:t>
      </w:r>
    </w:p>
    <w:p w14:paraId="5D50429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sklepa o razrešnici glede izvrševanja proračuna Skupnega podjetja za evropske železnice za proračunsko leto 2023,</w:t>
      </w:r>
    </w:p>
    <w:p w14:paraId="6B16E8E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sklepa o razrešnici glede izvrševanja proračuna Skupnega podjetja za evropsko visokozmogljivostno računalništvo za proračunsko leto 2023,</w:t>
      </w:r>
    </w:p>
    <w:p w14:paraId="68F0D3A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sklepa o razrešnici glede izvrševanja proračuna Evropskega skupnega podjetja za ITER in razvoj fuzijske energije za proračunsko leto 2023,</w:t>
      </w:r>
    </w:p>
    <w:p w14:paraId="79F4BEA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sklepa o razrešnici glede izvrševanja proračuna Skupnega podjetja za svetovno zdravje EDCTP3 za proračunsko leto 2023,</w:t>
      </w:r>
    </w:p>
    <w:p w14:paraId="3D42F8B7"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sklepa o razrešnici glede izvrševanja proračuna Skupnega podjetja za pobudo za inovativno zdravje za proračunsko leto 2023,</w:t>
      </w:r>
    </w:p>
    <w:p w14:paraId="4D4C5B9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sklepa o razrešnici glede izvrševanja proračuna Skupnega podjetja za čipe za proračunsko leto 2023,</w:t>
      </w:r>
    </w:p>
    <w:p w14:paraId="0563C61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sklepa o razrešnici glede izvrševanja proračuna Skupnega podjetja za raziskave o upravljanju zračnega prometa enotnega evropskega neba 3 za proračunsko leto 2023,</w:t>
      </w:r>
    </w:p>
    <w:p w14:paraId="5FB4413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sklepa o razrešnici glede izvrševanja proračuna Skupnega podjetja za pametna omrežja in storitve za proračunsko leto 2023,</w:t>
      </w:r>
    </w:p>
    <w:p w14:paraId="2135DBE8"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člena 102 in Priloge V Poslovnika,</w:t>
      </w:r>
    </w:p>
    <w:p w14:paraId="2A42045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mnenja Odbora za promet in turizem,</w:t>
      </w:r>
    </w:p>
    <w:p w14:paraId="41AE164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w:t>
      </w:r>
      <w:r w:rsidRPr="00AE12E9">
        <w:rPr>
          <w:kern w:val="2"/>
          <w14:ligatures w14:val="standardContextual"/>
        </w:rPr>
        <w:tab/>
        <w:t>ob upoštevanju poročila Odbora za proračunski nadzor (A10-0056/2025),</w:t>
      </w:r>
    </w:p>
    <w:p w14:paraId="4E99D8B1"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A.</w:t>
      </w:r>
      <w:r w:rsidRPr="00AE12E9">
        <w:rPr>
          <w:kern w:val="2"/>
          <w14:ligatures w14:val="standardContextual"/>
        </w:rPr>
        <w:tab/>
        <w:t xml:space="preserve">ker so bili Skupno podjetje za raziskave o upravljanju zračnega prometa enotnega evropskega neba 3, Skupno podjetje za čisto letalstvo, Skupno podjetje za pobudo za inovativno zdravje, Skupno podjetje za čisti vodik, Skupno podjetje za krožno Evropo na biološki osnovi, Skupno podjetje za evropske železnice, Skupno podjetje za pametna omrežja in storitve ter Skupno podjetje za svetovno zdravje EDCTP3 ustanovljeni z </w:t>
      </w:r>
      <w:r w:rsidRPr="00AE12E9">
        <w:rPr>
          <w:kern w:val="2"/>
          <w14:ligatures w14:val="standardContextual"/>
        </w:rPr>
        <w:lastRenderedPageBreak/>
        <w:t>Uredbo Sveta (EU) 2021/2085 </w:t>
      </w:r>
      <w:r w:rsidRPr="00AE12E9">
        <w:rPr>
          <w:kern w:val="2"/>
          <w:vertAlign w:val="superscript"/>
          <w14:ligatures w14:val="standardContextual"/>
        </w:rPr>
        <w:footnoteReference w:id="135"/>
      </w:r>
      <w:r w:rsidRPr="00AE12E9">
        <w:rPr>
          <w:kern w:val="2"/>
          <w14:ligatures w14:val="standardContextual"/>
        </w:rPr>
        <w:t xml:space="preserve"> o ustanovitvi skupnih podjetij v okviru Obzorja Evropa in razveljavitvi uredb (ES) št. 219/2007, (EU) št. 557/2014, (EU) št. 558/2014, (EU) št. 559/2014, (EU) št. 560/2014, (EU) št. 561/2014 in (EU) št. 642/2014, pri čemer se slednja imenuje enotni temeljni akt;</w:t>
      </w:r>
    </w:p>
    <w:p w14:paraId="7F1AE6E6"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B.</w:t>
      </w:r>
      <w:r w:rsidRPr="00AE12E9">
        <w:rPr>
          <w:kern w:val="2"/>
          <w14:ligatures w14:val="standardContextual"/>
        </w:rPr>
        <w:tab/>
        <w:t>ker je bilo Skupno podjetje za ključne digitalne tehnologije ustanovljeno z Uredbo (EU) 2021/2085; ker je bilo Skupno podjetje za ključne digitalne tehnologije julija 2023 preoblikovano v Skupno podjetje za čipe v skladu z Uredbo Sveta (EU) 2023/1782 </w:t>
      </w:r>
      <w:r w:rsidRPr="00AE12E9">
        <w:rPr>
          <w:kern w:val="2"/>
          <w:vertAlign w:val="superscript"/>
          <w14:ligatures w14:val="standardContextual"/>
        </w:rPr>
        <w:footnoteReference w:id="136"/>
      </w:r>
      <w:r w:rsidRPr="00AE12E9">
        <w:rPr>
          <w:kern w:val="2"/>
          <w14:ligatures w14:val="standardContextual"/>
        </w:rPr>
        <w:t>;</w:t>
      </w:r>
    </w:p>
    <w:p w14:paraId="4618F546"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C.</w:t>
      </w:r>
      <w:r w:rsidRPr="00AE12E9">
        <w:rPr>
          <w:kern w:val="2"/>
          <w14:ligatures w14:val="standardContextual"/>
        </w:rPr>
        <w:tab/>
        <w:t>ker je bilo Evropsko skupno podjetje za ITER in razvoj fuzijske energije ustanovljeno aprila 2007 z Odločbo Sveta 2007/198/Euratom </w:t>
      </w:r>
      <w:r w:rsidRPr="00AE12E9">
        <w:rPr>
          <w:kern w:val="2"/>
          <w:vertAlign w:val="superscript"/>
          <w14:ligatures w14:val="standardContextual"/>
        </w:rPr>
        <w:footnoteReference w:id="137"/>
      </w:r>
      <w:r w:rsidRPr="00AE12E9">
        <w:rPr>
          <w:kern w:val="2"/>
          <w14:ligatures w14:val="standardContextual"/>
        </w:rPr>
        <w:t>;</w:t>
      </w:r>
    </w:p>
    <w:p w14:paraId="468651AD"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D.</w:t>
      </w:r>
      <w:r w:rsidRPr="00AE12E9">
        <w:rPr>
          <w:kern w:val="2"/>
          <w14:ligatures w14:val="standardContextual"/>
        </w:rPr>
        <w:tab/>
        <w:t>ker je bilo Skupno podjetje za evropsko visokozmogljivostno računalništvo ustanovljeno z Uredbo Sveta (EU) 2021/1173 </w:t>
      </w:r>
      <w:r w:rsidRPr="00AE12E9">
        <w:rPr>
          <w:kern w:val="2"/>
          <w:vertAlign w:val="superscript"/>
          <w14:ligatures w14:val="standardContextual"/>
        </w:rPr>
        <w:footnoteReference w:id="138"/>
      </w:r>
      <w:r w:rsidRPr="00AE12E9">
        <w:rPr>
          <w:kern w:val="2"/>
          <w14:ligatures w14:val="standardContextual"/>
        </w:rPr>
        <w:t>,</w:t>
      </w:r>
    </w:p>
    <w:p w14:paraId="29F82C1F"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E.</w:t>
      </w:r>
      <w:r w:rsidRPr="00AE12E9">
        <w:rPr>
          <w:kern w:val="2"/>
          <w14:ligatures w14:val="standardContextual"/>
        </w:rPr>
        <w:tab/>
        <w:t>ker je Skupno podjetje za raziskave o upravljanju zračnega prometa enotnega evropskega neba 3 javno-zasebno partnerstvo za razvoj moderniziranega upravljanja zračnega prometa v Evropi in za pospešitev uresničevanja pobude za digitalno evropsko nebo z raziskavami in inovacijami;</w:t>
      </w:r>
    </w:p>
    <w:p w14:paraId="30C165AC"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F.</w:t>
      </w:r>
      <w:r w:rsidRPr="00AE12E9">
        <w:rPr>
          <w:kern w:val="2"/>
          <w14:ligatures w14:val="standardContextual"/>
        </w:rPr>
        <w:tab/>
        <w:t>ker je Skupno podjetje za čisto letalstvo javno-zasebno partnerstvo s poudarkom na raziskavah in inovacijah, katerega cilj je preoblikovati letalstvo tako, da bo imelo trajnostno in podnebno nevtralno prihodnost;</w:t>
      </w:r>
    </w:p>
    <w:p w14:paraId="06664B1C"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G.</w:t>
      </w:r>
      <w:r w:rsidRPr="00AE12E9">
        <w:rPr>
          <w:kern w:val="2"/>
          <w14:ligatures w14:val="standardContextual"/>
        </w:rPr>
        <w:tab/>
        <w:t>ker je Skupno podjetje za pobudo za inovativno zdravje javno-zasebno partnerstvo, usmerjeno na interdisciplinarne, trajnostne in na paciente osredotočene raziskave in inovacije na področju zdravstva;</w:t>
      </w:r>
    </w:p>
    <w:p w14:paraId="1D5C1990"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H.</w:t>
      </w:r>
      <w:r w:rsidRPr="00AE12E9">
        <w:rPr>
          <w:kern w:val="2"/>
          <w14:ligatures w14:val="standardContextual"/>
        </w:rPr>
        <w:tab/>
        <w:t>ker je Skupno podjetje za čisti vodik javno-zasebno partnerstvo na področju tehnoloških raziskav in inovacij v zvezi z vodikom in gorivnimi celicami;</w:t>
      </w:r>
    </w:p>
    <w:p w14:paraId="714D591D"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I.</w:t>
      </w:r>
      <w:r w:rsidRPr="00AE12E9">
        <w:rPr>
          <w:kern w:val="2"/>
          <w14:ligatures w14:val="standardContextual"/>
        </w:rPr>
        <w:tab/>
        <w:t>ker je Skupno podjetje za čipe javno-zasebno partnerstvo, usmerjeno v raziskave in inovacije na področju ključnih digitalnih tehnologij, ki so bistvene za konkurenčni vodilni položaj Evrope v digitalnem gospodarstvu, zlasti v sektorju elektronskih komponent in sistemov;</w:t>
      </w:r>
    </w:p>
    <w:p w14:paraId="3F60A964"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lastRenderedPageBreak/>
        <w:t>J.</w:t>
      </w:r>
      <w:r w:rsidRPr="00AE12E9">
        <w:rPr>
          <w:kern w:val="2"/>
          <w14:ligatures w14:val="standardContextual"/>
        </w:rPr>
        <w:tab/>
        <w:t>ker je Skupno podjetje za krožno Evropo na biološki osnovi javno-zasebno partnerstvo, usmerjeno v raziskave in inovacije za trajnostni in konkurenčni sektor krožnih industrijskih panog na biološki osnovi;</w:t>
      </w:r>
    </w:p>
    <w:p w14:paraId="7A4F44E8"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K.</w:t>
      </w:r>
      <w:r w:rsidRPr="00AE12E9">
        <w:rPr>
          <w:kern w:val="2"/>
          <w14:ligatures w14:val="standardContextual"/>
        </w:rPr>
        <w:tab/>
        <w:t>ker je Skupno podjetje za evropske železnice javno-zasebno partnerstvo za raziskave in inovacije v železniškem sektorju;</w:t>
      </w:r>
    </w:p>
    <w:p w14:paraId="4E13617B"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L.</w:t>
      </w:r>
      <w:r w:rsidRPr="00AE12E9">
        <w:rPr>
          <w:kern w:val="2"/>
          <w14:ligatures w14:val="standardContextual"/>
        </w:rPr>
        <w:tab/>
        <w:t>ker je Skupno podjetje za evropsko visokozmogljivostno računalništvo javno-zasebno partnerstvo, ki omogoča združevanje virov za razvoj in uvajanje visokozmogljivostnega računalništva v Evropi;</w:t>
      </w:r>
    </w:p>
    <w:p w14:paraId="588F866C"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M.</w:t>
      </w:r>
      <w:r w:rsidRPr="00AE12E9">
        <w:rPr>
          <w:kern w:val="2"/>
          <w14:ligatures w14:val="standardContextual"/>
        </w:rPr>
        <w:tab/>
        <w:t>ker je Skupno podjetje za pametna omrežja in storitve javno-zasebno partnerstvo, ki se osredotoča na krepitev vodilnega položaja Evrope na področju tehnologije in njeno strateško uskladitev s telekomunikacijsko industrijo ter spodbujanje uvajanja digitalnih rešitev;</w:t>
      </w:r>
    </w:p>
    <w:p w14:paraId="1524B5CD"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N.</w:t>
      </w:r>
      <w:r w:rsidRPr="00AE12E9">
        <w:rPr>
          <w:kern w:val="2"/>
          <w14:ligatures w14:val="standardContextual"/>
        </w:rPr>
        <w:tab/>
        <w:t>ker je Skupno podjetje za svetovno zdravje EDCTP3 javno-zasebno partnerstvo, ki se osredotoča na zmanjšanje socialno-ekonomskega bremena nalezljivih bolezni v podsaharski Afriki na podlagi novih in izboljšanih zdravstvenih tehnoloških aplikacij ter izboljšanje pripravljenosti in odzivanja na nalezljive bolezni za globalne namene;</w:t>
      </w:r>
    </w:p>
    <w:p w14:paraId="3C5F47C6"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O.</w:t>
      </w:r>
      <w:r w:rsidRPr="00AE12E9">
        <w:rPr>
          <w:kern w:val="2"/>
          <w14:ligatures w14:val="standardContextual"/>
        </w:rPr>
        <w:tab/>
        <w:t>ker je cilj Skupnega podjetja za ITER in razvoj fuzijske energije zagotavljati prispevek Unije k mednarodnemu projektu za fuzijsko energijo ITER, izvajati sporazum o širšem pristopu med Euratomom in Japonsko ter pripraviti gradnjo demonstracijskega fuzijskega reaktorja in sorodnih naprav;</w:t>
      </w:r>
    </w:p>
    <w:p w14:paraId="2E5149A7" w14:textId="77777777" w:rsidR="00AE12E9" w:rsidRPr="00AE12E9" w:rsidRDefault="00AE12E9" w:rsidP="00AE12E9">
      <w:pPr>
        <w:spacing w:after="240"/>
        <w:rPr>
          <w:b/>
          <w:i/>
          <w:kern w:val="2"/>
          <w14:ligatures w14:val="standardContextual"/>
        </w:rPr>
      </w:pPr>
      <w:r w:rsidRPr="00AE12E9">
        <w:rPr>
          <w:b/>
          <w:i/>
          <w:kern w:val="2"/>
          <w14:ligatures w14:val="standardContextual"/>
        </w:rPr>
        <w:t>Splošno</w:t>
      </w:r>
    </w:p>
    <w:p w14:paraId="7F835385" w14:textId="77777777" w:rsidR="00AE12E9" w:rsidRPr="00AE12E9" w:rsidRDefault="00AE12E9" w:rsidP="00AE12E9">
      <w:pPr>
        <w:spacing w:after="240"/>
        <w:ind w:left="567" w:hanging="567"/>
        <w:rPr>
          <w:kern w:val="2"/>
          <w:szCs w:val="24"/>
          <w:lang w:eastAsia="en-US"/>
          <w14:ligatures w14:val="standardContextual"/>
        </w:rPr>
      </w:pPr>
      <w:r w:rsidRPr="00AE12E9">
        <w:rPr>
          <w:kern w:val="2"/>
          <w:szCs w:val="24"/>
          <w:lang w:eastAsia="en-US"/>
          <w14:ligatures w14:val="standardContextual"/>
        </w:rPr>
        <w:t>1.</w:t>
      </w:r>
      <w:r w:rsidRPr="00AE12E9">
        <w:rPr>
          <w:kern w:val="2"/>
          <w:szCs w:val="24"/>
          <w:lang w:eastAsia="en-US"/>
          <w14:ligatures w14:val="standardContextual"/>
        </w:rPr>
        <w:tab/>
        <w:t>je seznanjen, da bi morala biti vloga skupnih podjetij podpiranje raziskav in inovacij na področjih prometa, energije, zdravja, krožnih industrijskih panog na biološki osnovi, ključnih elektronskih komponent, superračunalništva in omrežnih sistemov; poziva skupna podjetja, naj spodbujajo preoblikovanje znanstvenih spoznanj v tržne inovacije in vzpostavijo mehanizme, s katerimi bi zagotovila, da bo njihova dejavnost privedla do povečanja evropske konkurenčnosti v svetu;</w:t>
      </w:r>
    </w:p>
    <w:p w14:paraId="6C281CEF"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2.</w:t>
      </w:r>
      <w:r w:rsidRPr="00AE12E9">
        <w:rPr>
          <w:kern w:val="2"/>
          <w14:ligatures w14:val="standardContextual"/>
        </w:rPr>
        <w:tab/>
        <w:t>poudarja, da naj bi po navedbah Računskega sodišča skupna podjetja v sedanjem večletnem finančnem okviru prejela skupni proračun v višini 17 milijard EUR iz denarnega prispevka Unije in zbrala 21,1 milijarde EUR prispevkov drugih članov;</w:t>
      </w:r>
    </w:p>
    <w:p w14:paraId="59EAF455"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w:t>
      </w:r>
      <w:r w:rsidRPr="00AE12E9">
        <w:rPr>
          <w:kern w:val="2"/>
          <w14:ligatures w14:val="standardContextual"/>
        </w:rPr>
        <w:tab/>
        <w:t>je seznanjen, da narava skupnih podjetij temelji na javno-zasebnih partnerstvih, ki usmerjajo naložbe ter zbirajo javna in zasebna sredstva za financiranje skupnih ciljev; v zvezi s tem opominja, da morajo prispevki zasebnih članov doseči zastavljene cilje, da bi ta partnerstva ostala vzajemno koristna; poziva skupna podjetja, ki omogočajo stvarne prispevke za dodatne dejavnosti, naj se, kjer je to mogoče, izognejo pretiranemu zanašanju na te prispevke, da bi dosegli zastavljene cilje;</w:t>
      </w:r>
    </w:p>
    <w:p w14:paraId="25AC564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4.</w:t>
      </w:r>
      <w:r w:rsidRPr="00AE12E9">
        <w:rPr>
          <w:kern w:val="2"/>
          <w14:ligatures w14:val="standardContextual"/>
        </w:rPr>
        <w:tab/>
        <w:t>se zaveda, da skupna podjetja pomembno prispevajo k spodbujanju raziskav, inovacij in tehnološkega razvoja v različnih sektorjih, vključno z letalstvom, železnico in upravljanjem zračnega prometa, kar je bistveno za izpolnitev strateških ciljev Unije glede trajnostnosti, digitalne preobrazbe in konkurenčnosti;</w:t>
      </w:r>
    </w:p>
    <w:p w14:paraId="5F7746EC"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5.</w:t>
      </w:r>
      <w:r w:rsidRPr="00AE12E9">
        <w:rPr>
          <w:kern w:val="2"/>
          <w14:ligatures w14:val="standardContextual"/>
        </w:rPr>
        <w:tab/>
        <w:t xml:space="preserve">pozdravlja letno poročilo Računskega sodišča o skupnih podjetjih Evropske unije za </w:t>
      </w:r>
      <w:r w:rsidRPr="00AE12E9">
        <w:rPr>
          <w:kern w:val="2"/>
          <w14:ligatures w14:val="standardContextual"/>
        </w:rPr>
        <w:lastRenderedPageBreak/>
        <w:t>proračunsko leto 2023 (v nadaljnjem besedilu: poročilo Računskega sodišča); poudarja, da je poslanstvo Računskega sodišča ključno za dobro izvrševanje proračuna Unije in nadzor nad njim;</w:t>
      </w:r>
    </w:p>
    <w:p w14:paraId="7DE8B71A"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6.</w:t>
      </w:r>
      <w:r w:rsidRPr="00AE12E9">
        <w:rPr>
          <w:kern w:val="2"/>
          <w14:ligatures w14:val="standardContextual"/>
        </w:rPr>
        <w:tab/>
        <w:t>pozdravlja dejstvo, da je Računsko sodišče organu za podelitev razrešnice predložilo letno poročilo o skupnih podjetjih EU, ki vsebuje posebno izjavo o zanesljivosti za vsako od skupnih podjetij glede njihovih letnih računovodskih izkazov in z njimi povezanih transakcij; se strinja, da mora Računsko sodišče skupnim podjetjem namenjati posebno pozornost, ne le zaradi pravnih določb, ki ga zavezujejo, ampak tudi zaradi institucionalnega okvira skupnih podjetij; poziva k nadaljevanju te dobre prakse; pozdravlja dobro sodelovanje skupnih podjetij z Računskim sodiščem pri pripravi njegovega poročila in pozdravlja pojasnila v zvezi z nekaterimi pripombami in poudarki v odgovorih skupnih podjetij;</w:t>
      </w:r>
    </w:p>
    <w:p w14:paraId="63C56BCF"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7.</w:t>
      </w:r>
      <w:r w:rsidRPr="00AE12E9">
        <w:rPr>
          <w:kern w:val="2"/>
          <w14:ligatures w14:val="standardContextual"/>
        </w:rPr>
        <w:tab/>
        <w:t>pozdravlja dejstvo, da sta dve skupni podjetji v proračunskem letu 2023 dosegli finančno avtonomijo, in sicer Skupno podjetje za pametna omrežja in storitve 24. oktobra 2023, Skupno podjetje za svetovno zdravje EDCTP3 pa 23. novembra 2023; ugotavlja tudi, da je Računsko sodišče zato prvič revidiralo ti dve skupni podjetji, poleg devetih skupnih podjetij, ki jih je Računsko sodišče že revidiralo za proračunsko leto 2022;</w:t>
      </w:r>
    </w:p>
    <w:p w14:paraId="27C5DEB5"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8.</w:t>
      </w:r>
      <w:r w:rsidRPr="00AE12E9">
        <w:rPr>
          <w:kern w:val="2"/>
          <w14:ligatures w14:val="standardContextual"/>
        </w:rPr>
        <w:tab/>
        <w:t>se zaveda, da so na nekatera skupna podjetja v proračunskem letu 2023 znatno vplivali pomembni dogodki, ki bi lahko vplivali na njihovo uspešnost; natančneje poudarja, da:</w:t>
      </w:r>
    </w:p>
    <w:p w14:paraId="6CFD9EEB"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(a)</w:t>
      </w:r>
      <w:r w:rsidRPr="00AE12E9">
        <w:rPr>
          <w:kern w:val="2"/>
          <w14:ligatures w14:val="standardContextual"/>
        </w:rPr>
        <w:tab/>
        <w:t>je ruska vojaška agresija proti Ukrajini močno vplivala na gospodarstvo Unije in dobavne verige, s tem pa na dejavnosti nekaterih skupnih podjetij;</w:t>
      </w:r>
    </w:p>
    <w:p w14:paraId="58C67D0E"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(b)</w:t>
      </w:r>
      <w:r w:rsidRPr="00AE12E9">
        <w:rPr>
          <w:kern w:val="2"/>
          <w14:ligatures w14:val="standardContextual"/>
        </w:rPr>
        <w:tab/>
        <w:t>se posledice pandemije covida-19 še vedno čutijo po vsej Evropi, v proračunskem letu 2023 pa še vedno pomenijo ogromen šok za gospodarske in upravne dejavnosti;</w:t>
      </w:r>
    </w:p>
    <w:p w14:paraId="51B85A47" w14:textId="77777777" w:rsidR="00AE12E9" w:rsidRPr="00AE12E9" w:rsidRDefault="00AE12E9" w:rsidP="00AE12E9">
      <w:pPr>
        <w:spacing w:after="240"/>
        <w:ind w:left="1134" w:hanging="567"/>
        <w:rPr>
          <w:kern w:val="2"/>
          <w14:ligatures w14:val="standardContextual"/>
        </w:rPr>
      </w:pPr>
      <w:r w:rsidRPr="00AE12E9">
        <w:rPr>
          <w:kern w:val="2"/>
          <w14:ligatures w14:val="standardContextual"/>
        </w:rPr>
        <w:t>(c)</w:t>
      </w:r>
      <w:r w:rsidRPr="00AE12E9">
        <w:rPr>
          <w:kern w:val="2"/>
          <w14:ligatures w14:val="standardContextual"/>
        </w:rPr>
        <w:tab/>
        <w:t>so visoke stopnje inflacije, ki sta jih povzročila zgoraj navedena dogodka, vplivale na dobave in dobavne čase za skupna podjetja;</w:t>
      </w:r>
    </w:p>
    <w:p w14:paraId="286C279E"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9.</w:t>
      </w:r>
      <w:r w:rsidRPr="00AE12E9">
        <w:rPr>
          <w:kern w:val="2"/>
          <w14:ligatures w14:val="standardContextual"/>
        </w:rPr>
        <w:tab/>
        <w:t>se zaveda koristi skupnih podjetij, pomena javno-zasebnega sodelovanja pri spodbujanju inovacij, raziskav in razvoja ter gospodarskih koristi partnerstev; je seznanjen, da se lahko skupna podjetja z združevanjem virov in strokovnega znanja iz obeh sektorjev, tako javnega kot zasebnega, učinkoviteje soočijo z izzivi; poudarja pomen preglednosti, odgovornosti in učinkovite uporabe javnih sredstev s strani skupnih podjetij;</w:t>
      </w:r>
    </w:p>
    <w:p w14:paraId="5838995C"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10.</w:t>
      </w:r>
      <w:r w:rsidRPr="00AE12E9">
        <w:rPr>
          <w:kern w:val="2"/>
          <w14:ligatures w14:val="standardContextual"/>
        </w:rPr>
        <w:tab/>
        <w:t>se zaveda, da so pobude, ki spodbujajo sodelovanje in udeležbo deležnikov, kot so javni razpisi za prijavo interesa in skupni razpisi za skupna podjetja, ključnega pomena za izkoriščanje skupnega strokovnega znanja in virov; posebej opozarja na skupni razpis za zbiranje predlogov, ki sta ga objavila Skupno podjetje za evropske železnice in Skupno podjetje za raziskave o upravljanju zračnega prometa enotnega evropskega neba 3 – prvi skupni razpis svoje vrste, namenjen razvoju integriranega letalskega in železniškega omrežja za trajnosten multimodalni prometni sistem;</w:t>
      </w:r>
    </w:p>
    <w:p w14:paraId="0E604AC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11.</w:t>
      </w:r>
      <w:r w:rsidRPr="00AE12E9">
        <w:rPr>
          <w:kern w:val="2"/>
          <w14:ligatures w14:val="standardContextual"/>
        </w:rPr>
        <w:tab/>
        <w:t xml:space="preserve">želi spomniti, da morajo skupna podjetja svoje dejavnosti izvajati v skladu z dobrim finančnim poslovodenjem, s čimer učinkovito prispevajo k ciljem politike Unije in </w:t>
      </w:r>
      <w:r w:rsidRPr="00AE12E9">
        <w:rPr>
          <w:kern w:val="2"/>
          <w14:ligatures w14:val="standardContextual"/>
        </w:rPr>
        <w:lastRenderedPageBreak/>
        <w:t>dobremu izvrševanju proračuna Unije; je kljub temu glede na ugotovitve Računskega sodišča zaskrbljen zaradi vrste elementov, predstavljenih v tej resoluciji;</w:t>
      </w:r>
    </w:p>
    <w:p w14:paraId="1F213412" w14:textId="77777777" w:rsidR="00AE12E9" w:rsidRPr="00AE12E9" w:rsidRDefault="00AE12E9" w:rsidP="00AE12E9">
      <w:pPr>
        <w:spacing w:after="240"/>
        <w:rPr>
          <w:b/>
          <w:i/>
          <w:kern w:val="2"/>
          <w14:ligatures w14:val="standardContextual"/>
        </w:rPr>
      </w:pPr>
      <w:r w:rsidRPr="00AE12E9">
        <w:rPr>
          <w:b/>
          <w:i/>
          <w:kern w:val="2"/>
          <w14:ligatures w14:val="standardContextual"/>
        </w:rPr>
        <w:t>Letni zaključni računi</w:t>
      </w:r>
    </w:p>
    <w:p w14:paraId="57D75B79"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12.</w:t>
      </w:r>
      <w:r w:rsidRPr="00AE12E9">
        <w:rPr>
          <w:kern w:val="2"/>
          <w14:ligatures w14:val="standardContextual"/>
        </w:rPr>
        <w:tab/>
        <w:t>je seznanjen, da je v poročilu Računskega sodišča navedeno, da zaključni račun enajstih revidiranih skupnih podjetij za leto 2023 v vseh pomembnih vidikih pošteno predstavlja njihov finančni položaj na dan 31. decembra 2023 ter njihov poslovni izid in denarne tokove ter spremembe čistih sredstev za končano leto v skladu z njihovimi finančnimi predpisi in računovodskimi pravili, ki jih je sprejel računovodja Komisije; ugotavlja tudi, da je Računsko sodišče zato izdalo revizijska mnenja brez pridržkov o zanesljivosti letnih zaključnih računov skupnih podjetij;</w:t>
      </w:r>
    </w:p>
    <w:p w14:paraId="7BDD0EFD"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13.</w:t>
      </w:r>
      <w:r w:rsidRPr="00AE12E9">
        <w:rPr>
          <w:kern w:val="2"/>
          <w14:ligatures w14:val="standardContextual"/>
        </w:rPr>
        <w:tab/>
        <w:t>na podlagi poročila Računskega sodišča ugotavlja tudi, da so transakcije, povezane z letnim zaključnim računom, v vseh pomembnih pogledih zakonite in pravilne; ugotavlja tudi, da je Računsko sodišče zato izdalo revizijska mnenja brez pridržkov o zakonitosti in pravilnosti prihodkov in plačil, povezanih z zaključnimi računi skupnih podjetij;</w:t>
      </w:r>
    </w:p>
    <w:p w14:paraId="6A94FE89"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14.</w:t>
      </w:r>
      <w:r w:rsidRPr="00AE12E9">
        <w:rPr>
          <w:kern w:val="2"/>
          <w14:ligatures w14:val="standardContextual"/>
        </w:rPr>
        <w:tab/>
        <w:t>je seznanjen z dejstvom, da po mnenju Računskega sodišča Skupnemu podjetju za pametna omrežja in storitve ter Skupnemu podjetju za svetovno zdravje EDCTP3 niso bile zagotovljene zadostne smernice za njuna prva letna zaključna računa, zlasti kar zadeva potrebo po jasnosti pri razlikovanju med finančnimi sredstvi, ki jih pred dosegom samostojnosti upravlja Komisija, in finančnimi sredstvi, ki jih upravljajo skupna podjetja, po tem ko dosežejo samostojnost; se strinja s priporočilom Računskega sodišča glede ukrepanja v zvezi s tem, v katerem priporoča, naj se računovodske smernice oblikujejo na jasen in razumljiv način, da bi določale pravila za predstavitev prvih letnih zaključnih računov novih skupnih podjetij in bi vsebovale navodila o tem, kako ločiti finančna sredstva, ki jih upravlja Komisija, od tistih, ki jih upravlja skupno podjetje, potem ko doseže finančno samostojnost; poudarja, da je bilo tveganje za zanesljivost letnih zaključnih računov ocenjeno kot nizko za vsa skupna podjetja, razen za Skupno podjetje za pametna omrežja in storitve ter Skupno podjetje za svetovno zdravje EDCTP3, pri katerih se je tveganje za zanesljivost štelo za srednje, zaradi zapletenosti, ki jo je povzročil prenos proračunskih odobritev in sredstev iz odgovornosti Komisije na odgovornost skupnega podjetja;</w:t>
      </w:r>
    </w:p>
    <w:p w14:paraId="70F5CD12"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15.</w:t>
      </w:r>
      <w:r w:rsidRPr="00AE12E9">
        <w:rPr>
          <w:kern w:val="2"/>
          <w14:ligatures w14:val="standardContextual"/>
        </w:rPr>
        <w:tab/>
        <w:t>je seznanjen z dejstvom, da so letni zaključni računi Evropskega skupnega podjetja za ITER in razvoj fuzijske energije pripravljeni na podlagi izhodišča projekta ITER, ki je bil vzpostavljen leta 2023, vendar je projekt predmet revizije, ki je v teku in bo verjetno prinesla znatne spremembe za Evropsko skupno podjetje za ITER in razvoj fuzijske energije ter njegove ocenjene skupne stroške ob zaključku; poudarja, da bi moralo zadevno skupno podjetje sprejeti vse potrebne ukrepe in zagotoviti, da prihodnje izhodišče in posledice, ki jih bo to imelo na potrebo po denarnih prispevkih Unije za skupno podjetje, ne bodo pomenile obveznosti za proračun Unije; na podlagi predstavitve zadevnega skupnega podjetja v Odboru za proračunski nadzor ugotavlja, da je bilo v času predstavitve in po navedbah zadevnega skupnega podjetja prezgodaj za oceno finančnega vpliva te revizije; je poleg tega zaskrbljen zaradi zamud, ki vplivajo na projekt ITER, in so posledica dejavnikov, na katere skupno podjetje nima vpliva;</w:t>
      </w:r>
    </w:p>
    <w:p w14:paraId="20C91CAF"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16.</w:t>
      </w:r>
      <w:r w:rsidRPr="00AE12E9">
        <w:rPr>
          <w:kern w:val="2"/>
          <w14:ligatures w14:val="standardContextual"/>
        </w:rPr>
        <w:tab/>
        <w:t xml:space="preserve">je zaskrbljen zaradi morebitnega vpliva, ki ga bo imela reorganizacija Evropskega skupnega podjetja za ITER in razvoj fuzijske energije na njegove dejavnosti, zlasti kratko- do srednjeročne nestabilnosti in operativna tveganja za skupno podjetje; </w:t>
      </w:r>
      <w:r w:rsidRPr="00AE12E9">
        <w:rPr>
          <w:kern w:val="2"/>
          <w14:ligatures w14:val="standardContextual"/>
        </w:rPr>
        <w:lastRenderedPageBreak/>
        <w:t>pozdravlja, da je zadevno skupno podjetje seznanjeno s temi vprašanji in da je v zvezi s tem pojasnilo svoja stališča; pozdravlja dodatne informacije, ki jih je zadevno skupno podjetje predložilo med predstavitvijo v Odboru za proračunski nadzor, zlasti v zvezi z dejstvom, da se je doslej zmanjšalo tveganje za neprekinjeno poslovanje z opiranjem na obstoječe programe in projekte; pozdravlja prožnost, ki jo prinaša nova matrična struktura;</w:t>
      </w:r>
    </w:p>
    <w:p w14:paraId="5E5E23D7"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17.</w:t>
      </w:r>
      <w:r w:rsidRPr="00AE12E9">
        <w:rPr>
          <w:kern w:val="2"/>
          <w14:ligatures w14:val="standardContextual"/>
        </w:rPr>
        <w:tab/>
        <w:t>je seznanjen z dejstvom, da je bilo tveganje za zakonitost in pravilnost prihodkov ocenjeno kot nizko za vsa skupna podjetja;</w:t>
      </w:r>
    </w:p>
    <w:p w14:paraId="5C91C6C5" w14:textId="77777777" w:rsidR="00AE12E9" w:rsidRPr="00AE12E9" w:rsidRDefault="00AE12E9" w:rsidP="00AE12E9">
      <w:pPr>
        <w:spacing w:after="240"/>
        <w:rPr>
          <w:b/>
          <w:i/>
          <w:kern w:val="2"/>
          <w14:ligatures w14:val="standardContextual"/>
        </w:rPr>
      </w:pPr>
      <w:r w:rsidRPr="00AE12E9">
        <w:rPr>
          <w:b/>
          <w:i/>
          <w:kern w:val="2"/>
          <w14:ligatures w14:val="standardContextual"/>
        </w:rPr>
        <w:t>Upravljanje proračuna in finančno poslovodenje</w:t>
      </w:r>
    </w:p>
    <w:p w14:paraId="5F836156"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18.</w:t>
      </w:r>
      <w:r w:rsidRPr="00AE12E9">
        <w:rPr>
          <w:kern w:val="2"/>
          <w14:ligatures w14:val="standardContextual"/>
        </w:rPr>
        <w:tab/>
        <w:t>ugotavlja, da je po podatkih Računskega sodišča skupni razpoložljivi proračun za enajst skupnih podjetij, ki jih je revidiralo Računsko sodišče, v letu 2023 znašal 4,25 milijarde EUR v odobritvah za prevzem obveznosti in 3,87 milijarde EUR v odobritvah plačil, pri čemer Računsko sodišče meni, da skupni razpoložljivi proračun vključuje neporabljena sredstva iz prejšnjih let, ki so jih skupna podjetja ponovno vključila v proračun za tekoče leto, ter namenske prejemke in prerazporeditve v naslednje leto; natančneje ugotavlja naslednje:</w:t>
      </w:r>
    </w:p>
    <w:p w14:paraId="4E39FE0D"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(a)</w:t>
      </w:r>
      <w:r w:rsidRPr="00AE12E9">
        <w:rPr>
          <w:kern w:val="2"/>
          <w14:ligatures w14:val="standardContextual"/>
        </w:rPr>
        <w:tab/>
        <w:t>skupni razpoložljivi proračun za Skupno podjetje za raziskave o upravljanju zračnega prometa enotnega evropskega neba 3 je v letu 2023 znašal 111,2 milijona EUR v odobritvah za prevzem obveznosti (v primerjavi s 158,8 milijona EUR v letu 2022) in 241,5 milijona EUR v odobritvah plačil (v primerjavi s 146,9 milijona EUR v letu 2022); poleg tega ugotavlja, da je glede na poročilo o upravljanju proračuna in finančnem poslovodenju Skupnega podjetja za raziskave o upravljanju zračnega prometa enotnega evropskega neba 3 njegova skupna stopnja izvrševanja proračuna za proračunsko leto 2023 dosegla 92 % za odobritve za prevzem obveznosti in 81 % za odobritve plačil, kar kaže, da ni bilo resnih težav, povezanih s hitrostjo izvrševanja proračuna; kljub temu poudarja nizko stopnjo izvrševanja odobritev plačil, namenjenih infrastrukturnim in operativnim odhodkom, ki je dosegla 55 %; je seznanjen s pojasnilom skupnega podjetja in ga na splošno poziva, naj zagotovi zdravo hitrost izvrševanja za vsak oddelek svojega proračuna;</w:t>
      </w:r>
    </w:p>
    <w:p w14:paraId="21D42273"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(b)</w:t>
      </w:r>
      <w:r w:rsidRPr="00AE12E9">
        <w:rPr>
          <w:kern w:val="2"/>
          <w14:ligatures w14:val="standardContextual"/>
        </w:rPr>
        <w:tab/>
        <w:t>skupni razpoložljivi proračun za Skupno podjetje za čisto letalstvo je v letu 2023 znašal 269 milijonov EUR v odobritvah za prevzem obveznosti (v primerjavi s 411,2 milijona EUR v letu 2022) in 486,4 milijona EUR v odobritvah plačil (v primerjavi s 415,3 milijona EUR v letu 2022); poleg tega ugotavlja, da je glede na poročilo o upravljanju proračuna in finančnem poslovodenju Skupnega podjetja za čisto letalstvo njegova skupna stopnja izvrševanja proračuna za proračunsko leto 2023 dosegla 98,58 % za odobritve za prevzem obveznosti in 51,18 % za odobritve plačil, kar kaže na resne težave, povezane s hitrostjo izvrševanja proračuna; ugotavlja zlasti, da sta stopnji izvrševanja njegovih dveh naslovov odhodkov iz poslovanja znašali 80,50 % oziroma 81,11 % za odobritve plačil; nadalje poudarja njegovo nizko stopnjo izvrševanja odobritev plačil, namenjenih infrastrukturnim odhodkom, ki je znašala 60,52 %; globoko obžaluje, da je bil naslovu 5 v proračunu dodeljen pomemben znesek za neporabljena sredstva za plačila v višini 177 milijonov EUR, pri čemer je tehnična stopnja izvrševanja 0 %; je seznanjen s pojasnilom skupnega podjetja in ga na splošno poziva, naj zagotovi zdravo hitrost izvrševanja za vsak oddelek svojega proračuna;</w:t>
      </w:r>
    </w:p>
    <w:p w14:paraId="623A5491"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lastRenderedPageBreak/>
        <w:t>(c)</w:t>
      </w:r>
      <w:r w:rsidRPr="00AE12E9">
        <w:rPr>
          <w:kern w:val="2"/>
          <w14:ligatures w14:val="standardContextual"/>
        </w:rPr>
        <w:tab/>
        <w:t>skupni razpoložljivi proračun za Skupno podjetje za pobudo za inovativno zdravje je v letu 2023 znašal 223,2 milijona EUR v odobritvah za prevzem obveznosti (v primerjavi z 272,4 milijona EUR v letu 2022) in 225,9 milijona EUR v odobritvah plačil (v primerjavi s 174,8 milijona EUR v letu 2022); poleg tega ugotavlja, da je glede na poročilo o upravljanju proračuna in finančnem poslovodenju Skupnega podjetja za pobudo za inovativno zdravje njegova skupna stopnja izvrševanja proračuna za proračunsko leto 2023 dosegla 92,65 % za odobritve za prevzem obveznosti in 90,29 % za odobritve plačil, kar kaže, da ni bilo resnih težav, povezanih s hitrostjo izvrševanja proračuna; kljub temu poudarja, da sta bili stopnji izvrševanja za prevzem obveznosti in odobritev plačil, namenjenih infrastrukturnim odhodkom, nizki, saj sta znašali 68,67 % oziroma 67,30 %; je seznanjen s pojasnilom skupnega podjetja in ga na splošno poziva, naj zagotovi zdravo hitrost izvrševanja za vsak oddelek svojega proračuna;</w:t>
      </w:r>
    </w:p>
    <w:p w14:paraId="72CB20C1"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(d)</w:t>
      </w:r>
      <w:r w:rsidRPr="00AE12E9">
        <w:rPr>
          <w:kern w:val="2"/>
          <w14:ligatures w14:val="standardContextual"/>
        </w:rPr>
        <w:tab/>
        <w:t>skupni razpoložljivi proračun za Skupno podjetje za čisti vodik je v letu 2023 znašal 268,9 milijona EUR v odobritvah za prevzem obveznosti (v primerjavi s 314,3 milijona EUR v letu 2022) in 327,8 milijona EUR v odobritvah plačil (v primerjavi s 118,3 milijona EUR v letu 2022); poleg tega ugotavlja, da je glede na poročilo o upravljanju proračuna in finančnem poslovodenju Skupnega podjetja za čisti vodik njegova skupna stopnja izvrševanja proračuna za proračunsko leto 2023 dosegla 96,62 % za odobritve za prevzem obveznosti in 85,43 % za odobritve plačil, kar kaže, da ni bilo resnih težav, povezanih s hitrostjo izvrševanja proračuna; kljub temu poudarja, da je bila stopnja izvrševanja odobritev plačil, namenjenih odhodkom iz poslovanja, ki se financirajo v okviru Obzorja 2020, nizka, saj je znašala 69,41 %; nadalje poudarja, da sta bili stopnji izvrševanja odobritev za prevzem obveznosti in odobritev plačil, namenjenih infrastrukturnim odhodkom, nizki, saj sta znašali 71,21 % oziroma 60,60 %; je seznanjen s pojasnili skupnega podjetja in ga na splošno poziva, naj zagotovi zdravo hitrost izvrševanja za vsak oddelek svojega proračuna;</w:t>
      </w:r>
    </w:p>
    <w:p w14:paraId="75B48365"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(e)</w:t>
      </w:r>
      <w:r w:rsidRPr="00AE12E9">
        <w:rPr>
          <w:kern w:val="2"/>
          <w14:ligatures w14:val="standardContextual"/>
        </w:rPr>
        <w:tab/>
        <w:t>skupni razpoložljivi proračun za Skupno podjetje za čipe je v letu 2023 znašal 835,7 milijona EUR v odobritvah za prevzem obveznosti (v primerjavi z 261,4 milijona EUR v letu 2022) in 518,4 milijona EUR v odobritvah plačil (v primerjavi z 222,2 milijona EUR v letu 2022); poleg tega ugotavlja, da je glede na poročilo o upravljanju proračuna in finančnem poslovodenju Skupnega podjetja za čipe njegova skupna stopnja izvrševanja proračuna za proračunsko leto 2023 dosegla 100 % za odobritve za prevzem obveznosti in 37 % za odobritve plačil, kar kaže na resne težave, povezane s hitrostjo izvrševanja proračuna; zlasti poudarja izredno nizko stopnjo izvrševanja odobritev plačil, namenjenih odhodkom iz poslovanja, ki je znašala 36 %; je seznanjen s pojasnilom skupnega podjetja, vendar globoko obžaluje tako nizko stopnjo izvrševanja in ga na splošno poziva, naj zagotovi zdravo hitrost izvrševanja za vsak oddelek svojega proračuna; je seznanjen, da je Računsko sodišče zaradi teh elementov, in sicer v zvezi s povečanim financiranjem, ki ga je Skupno podjetje za čipe prejelo v letu 2023 in ga je moralo izvesti, tveganje za upravljanje proračuna za to skupno podjetje opredelilo kot srednje;</w:t>
      </w:r>
    </w:p>
    <w:p w14:paraId="2921C07D"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(f)</w:t>
      </w:r>
      <w:r w:rsidRPr="00AE12E9">
        <w:rPr>
          <w:kern w:val="2"/>
          <w14:ligatures w14:val="standardContextual"/>
        </w:rPr>
        <w:tab/>
        <w:t xml:space="preserve">skupni razpoložljivi proračun za Skupno podjetje za krožno Evropo na biološki osnovi je v letu 2023 znašal 227,4 milijona EUR v odobritvah za prevzem obveznosti (v primerjavi z 264,2 milijona EUR v letu 2022) in 137,4 milijona EUR v odobritvah plačil (v primerjavi z 80,3 milijona EUR v </w:t>
      </w:r>
      <w:r w:rsidRPr="00AE12E9">
        <w:rPr>
          <w:kern w:val="2"/>
          <w14:ligatures w14:val="standardContextual"/>
        </w:rPr>
        <w:lastRenderedPageBreak/>
        <w:t>letu 2022); poleg tega ugotavlja, da je glede na poročilo o upravljanju proračuna in finančnem poslovodenju Skupnega podjetja za krožno Evropo na biološki osnovi njegova skupna stopnja izvrševanja proračuna za proračunsko leto 2023 dosegla 97,6 % za odobritve za prevzem obveznosti in 90,3 % za odobritve plačil, kar kaže, da ni bilo resnih težav, povezanih s hitrostjo izvrševanja proračuna; kljub temu poudarja, da sta bili stopnji izvrševanja odobritev za prevzem obveznosti in odobritev plačil za del upravnih odhodkov, namenjenih plačam, nizki, saj sta dosegli 64 % oziroma 57 %, prav tako pa je bila nizka tudi stopnja izvrševanja odobritev plačil za del upravnih odhodkov, namenjenih drugim upravnim odhodkom, ki je dosegla 54 %; je seznanjen s pojasnilom skupnega podjetja in ga na splošno poziva, naj zagotovi zdravo hitrost izvrševanja za vsak oddelek svojega proračuna;</w:t>
      </w:r>
    </w:p>
    <w:p w14:paraId="0EE24C90"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(g)</w:t>
      </w:r>
      <w:r w:rsidRPr="00AE12E9">
        <w:rPr>
          <w:kern w:val="2"/>
          <w14:ligatures w14:val="standardContextual"/>
        </w:rPr>
        <w:tab/>
        <w:t xml:space="preserve">skupni razpoložljivi proračun za Skupno podjetje za evropske železnice je v letu 2023 znašal 102,6 milijona EUR v odobritvah za prevzem obveznosti (v primerjavi s 171,4 milijona EUR v letu 2022) in 120,3 milijona EUR v odobritvah plačil (v primerjavi s 180,8 milijona EUR v letu 2022); poleg tega ugotavlja, da je glede na poročilo o upravljanju proračuna in finančnem poslovodenju Skupnega podjetja za evropske železnice njegova skupna stopnja izvrševanja proračuna za proračunsko leto 2023 dosegla 97 % za odobritve za prevzem obveznosti in 82 % za odobritve plačil, kar kaže, da ni bilo resnih težav, povezanih s hitrostjo izvrševanja proračuna; kljub temu poudarja, da je bila stopnja izvrševanja odobritev plačil, namenjenih odhodkom iz poslovanja v okviru programa Obzorje 2020, nizka, saj je znašala 67 %; je seznanjen s pojasnilom skupnega podjetja in ga na splošno poziva, naj zagotovi zdravo hitrost izvrševanja za vsak oddelek svojega proračuna; poudarja, da je Skupno podjetje za evropske železnice odložilo končna plačila na leto 2024 zaradi tehničnih težav upravičencev; je seznanjen, da več projektov ni v celoti uveljavljalo svojega proračuna, zaradi česar se je potreba po operativnih plačilih zmanjšala za približno 4,1 milijona EUR; </w:t>
      </w:r>
      <w:r w:rsidRPr="00AE12E9">
        <w:rPr>
          <w:color w:val="000000"/>
          <w:kern w:val="2"/>
          <w14:ligatures w14:val="standardContextual"/>
        </w:rPr>
        <w:t xml:space="preserve">poziva zadevno skupno podjetje, naj pripravi načrt za izboljšave pri obveznostih računovodskega poročanja; </w:t>
      </w:r>
      <w:r w:rsidRPr="00AE12E9">
        <w:rPr>
          <w:kern w:val="2"/>
          <w14:ligatures w14:val="standardContextual"/>
        </w:rPr>
        <w:t>poudarja, kako pomembno je podpirati skupno podjetje glede na očitne prednosti železniškega prometa, ko gre za okoljsko učinkovitost, rabo zemljišč, porabo energije in varnost;</w:t>
      </w:r>
    </w:p>
    <w:p w14:paraId="1A9FD8ED"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(h)</w:t>
      </w:r>
      <w:r w:rsidRPr="00AE12E9">
        <w:rPr>
          <w:kern w:val="2"/>
          <w14:ligatures w14:val="standardContextual"/>
        </w:rPr>
        <w:tab/>
        <w:t xml:space="preserve">skupni razpoložljivi proračun za Skupno podjetje za evropsko visokozmogljivostno računalništvo je v letu 2023 znašal 1 136 milijonov EUR v odobritvah za prevzem obveznosti (v primerjavi s 1 374,5 milijona EUR v letu 2022) in 1 058 milijonov EUR v odobritvah plačil (v primerjavi s 629,9 milijona EUR v letu 2022); poleg tega ugotavlja, da je glede na poročilo o upravljanju proračuna in finančnem poslovodenju Skupnega podjetja za evropsko visokozmogljivostno računalništvo njegova skupna stopnja izvrševanja proračuna za proračunsko leto 2023 dosegla 83 % za odobritve za prevzem obveznosti in 19 % za odobritve plačil, kar kaže na resne težave, povezane s hitrostjo izvrševanja proračuna; zlasti poudarja izredno nizko stopnjo izvrševanja odobritev plačil, namenjenih odhodkom iz poslovanja, ki je znašala 19 %; je seznanjen s pojasnilom skupnega podjetja, vendar globoko obžaluje tako nizko stopnjo izvrševanja; nadalje poudarja, da sta bili stopnji izvrševanja odobritev za prevzem obveznosti in odobritev plačil, namenjenih upravnim odhodkom, nizki, saj sta znašali 45 % oziroma 42 %; je seznanjen s pojasnilom skupnega podjetja in ga na splošno poziva, naj zagotovi zdravo hitrost izvrševanja za vsak oddelek svojega proračuna; ugotavlja, da je Računsko sodišče zaradi teh elementov, in sicer v </w:t>
      </w:r>
      <w:r w:rsidRPr="00AE12E9">
        <w:rPr>
          <w:kern w:val="2"/>
          <w14:ligatures w14:val="standardContextual"/>
        </w:rPr>
        <w:lastRenderedPageBreak/>
        <w:t>zvezi s povečanim financiranjem, ki ga je Skupno podjetje za evropsko visokozmogljivostno računalništvo prejelo v letu 2023 in ga je moralo izvesti, tveganje za upravljanje proračuna za to skupno podjetje opredelilo kot srednje; pozdravlja, da je zadevno skupno podjetje med predstavitvijo v Odboru za proračunski nadzor posredovalo dodatne informacije o razlogih za počasno stopnjo izvrševanja;</w:t>
      </w:r>
    </w:p>
    <w:p w14:paraId="0151C0D0"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(i)</w:t>
      </w:r>
      <w:r w:rsidRPr="00AE12E9">
        <w:rPr>
          <w:kern w:val="2"/>
          <w14:ligatures w14:val="standardContextual"/>
        </w:rPr>
        <w:tab/>
        <w:t>skupni razpoložljivi proračun za Skupno podjetje za pametna omrežja in storitve je v letu 2023 znašal 134,7 milijona EUR v odobritvah za prevzem obveznosti in 122,9 milijona EUR v odobritvah plačil; poleg tega ugotavlja, da je glede na poročilo o upravljanju proračuna in finančnem poslovodenju Skupnega podjetja za pametna omrežja in storitve njegova skupna stopnja izvrševanja proračuna za proračunsko leto 2023 dosegla 99 % za odobritve za prevzem obveznosti in 89 % za odobritve plačil; meni, da glede na kratko obdobje, v katerem je skupno podjetje v proračunskem letu 2023 doseglo finančno samostojnost, ni zadostnih razlogov, na podlagi katerih bi lahko Evropski parlament v dobri veri izrazil svoje mnenje o kakovosti finančnega poslovodenja skupnega podjetja; kljub temu ugotavlja, da je bilo zaradi tega tveganje za zakonitost in pravilnost upravnih odhodkov skupnega podjetja ocenjeno kot srednje;</w:t>
      </w:r>
    </w:p>
    <w:p w14:paraId="385E8E54"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(j)</w:t>
      </w:r>
      <w:r w:rsidRPr="00AE12E9">
        <w:rPr>
          <w:kern w:val="2"/>
          <w14:ligatures w14:val="standardContextual"/>
        </w:rPr>
        <w:tab/>
        <w:t>skupni razpoložljivi proračun za Skupno podjetje za svetovno zdravje EDCTP3 je v letu 2023 znašal 136,4 milijona EUR v odobritvah za prevzem obveznosti in 2,2 milijona EUR v odobritvah plačil; poleg tega ugotavlja, da je glede na poročilo o upravljanju proračuna in finančnem poslovodenju Skupnega podjetja za svetovno zdravje EDCTP3 njegova skupna stopnja izvrševanja proračuna za proračunsko leto 2023 dosegla 100 % za odobritve za prevzem obveznosti in 47 % za odobritve plačil; meni, da glede na kratko obdobje, v katerem je skupno podjetje v proračunskem letu 2023 doseglo finančno samostojnost, ni zadostnih razlogov, na podlagi katerih bi lahko Evropski parlament v dobri veri izrazil svoje mnenje o kakovosti finančnega poslovodenja skupnega podjetja; kljub temu ugotavlja, da je bilo zaradi tega tveganje za zakonitost in pravilnost upravnih odhodkov skupnega podjetja ocenjeno kot srednje;</w:t>
      </w:r>
    </w:p>
    <w:p w14:paraId="1E871126" w14:textId="77777777" w:rsidR="00AE12E9" w:rsidRPr="00AE12E9" w:rsidRDefault="00AE12E9" w:rsidP="00AE12E9">
      <w:pPr>
        <w:spacing w:after="240"/>
        <w:ind w:left="1134" w:hanging="567"/>
        <w:rPr>
          <w:kern w:val="2"/>
          <w14:ligatures w14:val="standardContextual"/>
        </w:rPr>
      </w:pPr>
      <w:r w:rsidRPr="00AE12E9">
        <w:rPr>
          <w:kern w:val="2"/>
          <w14:ligatures w14:val="standardContextual"/>
        </w:rPr>
        <w:t>(k)</w:t>
      </w:r>
      <w:r w:rsidRPr="00AE12E9">
        <w:rPr>
          <w:kern w:val="2"/>
          <w14:ligatures w14:val="standardContextual"/>
        </w:rPr>
        <w:tab/>
        <w:t>skupni razpoložljivi proračun za Skupno podjetje za ITER in razvoj fuzijske energije je v letu 2023 znašal 807 milijonov EUR v odobritvah za prevzem obveznosti (v primerjavi z 981,2 milijona EUR v letu 2022) in 631,5 milijona EUR v odobritvah plačil (v primerjavi z 844 milijonov EUR v letu 2022); poleg tega ugotavlja, da je glede na poročilo o upravljanju proračuna in finančnem poslovodenju Skupnega podjetja za ITER in razvoj fuzijske energije njegova skupna stopnja izvrševanja proračuna za proračunsko leto 2023 dosegla 73 % za odobritve za prevzem obveznosti in 95 % za odobritve plačil, kar kaže na resne težave, povezane s hitrostjo izvrševanja proračuna; zlasti poudarja nizko stopnjo izvrševanja odobritev za prevzem obveznosti, namenjenih odhodkom iz poslovanja, ki je znašala 70 %; je seznanjen s pojasnilom skupnega podjetja in s tem povezanimi prerazporeditvami sredstev nazaj v prvotno načrtovane prispevke Euratoma in države gostiteljice ITER, in ga na splošno poziva, naj zagotovi zdravo hitrost izvrševanja za vsak oddelek svojega proračuna; je seznanjen z dejstvom, da je Računsko sodišče tveganje za upravljanje proračuna tega skupnega podjetja opredelilo kot srednje, in sicer zaradi elementov, povezanih z zamudami in težavami pri izvrševanju;</w:t>
      </w:r>
    </w:p>
    <w:p w14:paraId="3EA99B92"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lastRenderedPageBreak/>
        <w:t>19.</w:t>
      </w:r>
      <w:r w:rsidRPr="00AE12E9">
        <w:rPr>
          <w:kern w:val="2"/>
          <w14:ligatures w14:val="standardContextual"/>
        </w:rPr>
        <w:tab/>
        <w:t>se strinja s pomisleki Računskega sodišča glede neporabljenih sredstev pri izvajanju programov nekaterih skupnih podjetij in zadevna skupna podjetja poziva, naj preprečijo podobne situacije, saj kopičenje neporabljenih sredstev vodi do denarnih presežkov, ki pa Uniji niso na voljo za financiranje drugih dejavnosti in programov; poudarja, da to ni v skladu z načelom dobrega finančnega poslovodenja in je v proračunskem letu 2023 povzročilo denarni presežek v višini 1,5 milijarde EUR; se strinja s priporočilom Računskega sodišča glede ukrepanja v zvezi s tem, v katerem priporoča, naj zadevna skupna podjetja v sodelovanju s Komisijo razvijejo popravne mehanizme za zmanjšanje svojih denarnih presežkov na razumno raven, nato pa svoje zahtevke za denarna sredstva za vsako proračunsko leto uskladijo z ocenjenimi potrebami glede porabe; se zaveda, da finančna pravila zadevnih skupnih podjetij dopuščajo, da se prejeta neporabljena odobrena sredstva vnesejo v načrt prihodkov in odhodkov za največ naslednja tri proračunska leta; je kljub temu zaskrbljen, natančneje zaradi:</w:t>
      </w:r>
    </w:p>
    <w:p w14:paraId="0BC215CC"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(a)</w:t>
      </w:r>
      <w:r w:rsidRPr="00AE12E9">
        <w:rPr>
          <w:kern w:val="2"/>
          <w14:ligatures w14:val="standardContextual"/>
        </w:rPr>
        <w:tab/>
        <w:t>pomanjkljivosti pri načrtovanju denarnih tokov Skupnega podjetja za čisto letalstvo, ki je sledilo zahtevi za dodatne finančne prispevke Unije v višini 178 milijonov EUR, ki presegajo potrebe po denarnih sredstvih za načrtovano plačilo v letu 2023, zaradi česar je denarni presežek ob koncu leta 2023 znašal 237 milijonov EUR; je seznanjen s pojasnilom skupnega podjetja; kljub temu ga ponovno poziva, naj prepreči nastanek podobnih situacij, in pozdravlja prilagoditve, ki jih je napovedalo za leto 2024;</w:t>
      </w:r>
    </w:p>
    <w:p w14:paraId="2FCAD9D9"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(b)</w:t>
      </w:r>
      <w:r w:rsidRPr="00AE12E9">
        <w:rPr>
          <w:kern w:val="2"/>
          <w14:ligatures w14:val="standardContextual"/>
        </w:rPr>
        <w:tab/>
        <w:t>pomanjkljivosti pri načrtovanju denarnih tokov Skupnega podjetja za čipe, ki je sledilo zahtevi za dodatne finančne prispevke EU v višini 196 milijonov EUR, ki presegajo potrebe po denarnih sredstvih za načrtovano plačilo v letu 2023, zaradi česar je denarni presežek ob koncu leta 2023 znašal 438 milijonov EUR; je seznanjen s pojasnilom skupnega podjetja; kljub temu ga ponovno poziva, naj prepreči nastanek podobnih situacij, in pozdravlja prizadevanja, ki jih je napovedalo za leto 2024;</w:t>
      </w:r>
    </w:p>
    <w:p w14:paraId="14143027"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(c)</w:t>
      </w:r>
      <w:r w:rsidRPr="00AE12E9">
        <w:rPr>
          <w:kern w:val="2"/>
          <w14:ligatures w14:val="standardContextual"/>
        </w:rPr>
        <w:tab/>
        <w:t>pomanjkljivosti pri načrtovanju denarnih tokov Skupnega podjetja za evropsko visokozmogljivostno računalništvo, ki je sledilo zahtevi za dodatne finančne prispevke Unije v višini 488,6 milijona EUR, ki presegajo potrebe po denarnih sredstvih za načrtovano plačilo v letu 2023, zaradi česar je denarni presežek ob koncu leta 2023 znašal 840,7 milijona EUR; razume razmere, ki so privedle do tega presežka, in pozdravlja dodatne informacije, ki jih je skupno podjetje predložilo med predstavitvijo v Odboru za proračunski nadzor, zlasti v zvezi s pričakovanji, da bodo projekti umetne inteligence ponudili priložnost za pomembno denarno izplačilo; kljub temu ponovno poziva Skupno podjetje za evropsko visokozmogljivostno računalništvo, naj prepreči nastanek podobnih situacij;</w:t>
      </w:r>
    </w:p>
    <w:p w14:paraId="6588053C" w14:textId="77777777" w:rsidR="00AE12E9" w:rsidRPr="00AE12E9" w:rsidRDefault="00AE12E9" w:rsidP="00AE12E9">
      <w:pPr>
        <w:spacing w:after="240"/>
        <w:ind w:left="567" w:hanging="567"/>
        <w:rPr>
          <w:b/>
          <w:i/>
          <w:kern w:val="2"/>
          <w14:ligatures w14:val="standardContextual"/>
        </w:rPr>
      </w:pPr>
      <w:r w:rsidRPr="00AE12E9">
        <w:rPr>
          <w:kern w:val="2"/>
          <w14:ligatures w14:val="standardContextual"/>
        </w:rPr>
        <w:t>20.</w:t>
      </w:r>
      <w:r w:rsidRPr="00AE12E9">
        <w:rPr>
          <w:kern w:val="2"/>
          <w14:ligatures w14:val="standardContextual"/>
        </w:rPr>
        <w:tab/>
        <w:t>poudarja, da morajo vsa skupna podjetja izboljšati notranji finančni nadzor in mehanizme javne preglednosti ter tako zagotoviti, da se sredstva razdeljujejo učinkovito in na način, ki je skladen s strateškimi cilji EU;</w:t>
      </w:r>
    </w:p>
    <w:p w14:paraId="2E3DAA1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21.</w:t>
      </w:r>
      <w:r w:rsidRPr="00AE12E9">
        <w:rPr>
          <w:kern w:val="2"/>
          <w14:ligatures w14:val="standardContextual"/>
        </w:rPr>
        <w:tab/>
        <w:t xml:space="preserve">se strinja s pomisleki Računskega sodišča glede prispevka članov k nekaterim skupnim podjetjem, zlasti glede možnosti, da nekatera skupna podjetja ne bi mogla doseči svojih ciljev glede prispevkov ali da bi to storila le z velikim zanašanjem na stvarne prispevke za dodatne dejavnosti, ter poziva zadevna skupna podjetja, naj sprejmejo vse potrebne ukrepe, da bi preprečila take primere; poudarja, da je doseganje ciljev glede prispevkov </w:t>
      </w:r>
      <w:r w:rsidRPr="00AE12E9">
        <w:rPr>
          <w:kern w:val="2"/>
          <w14:ligatures w14:val="standardContextual"/>
        </w:rPr>
        <w:lastRenderedPageBreak/>
        <w:t>odgovornost in obveznost zadevnih skupnih podjetij ter da je neizpolnjevanje teh ciljev v nasprotju z ustanovno idejo skupnih podjetij; izraža zaskrbljenost, natančneje zaradi:</w:t>
      </w:r>
    </w:p>
    <w:p w14:paraId="0EB1E46F"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(a)</w:t>
      </w:r>
      <w:r w:rsidRPr="00AE12E9">
        <w:rPr>
          <w:kern w:val="2"/>
          <w14:ligatures w14:val="standardContextual"/>
        </w:rPr>
        <w:tab/>
        <w:t>položaja Skupnega podjetja za raziskave o upravljanju zračnega prometa enotnega evropskega neba 3, za katerega je operativni prispevek njegovega člana Eurocontrola dosegel le 70 % ciljne ravni, zaradi česar skupno podjetje ni imelo na voljo načrtovanih prispevkov, ki so potrebni, da bi v celoti izvedlo svoj del programa Obzorje 2020; je seznanjen z dejstvom, da Računsko sodišče tveganja za izvajanje programa za to skupno podjetje kljub temu ni opredelilo kot srednje ali visoko, ampak kot nizko;</w:t>
      </w:r>
    </w:p>
    <w:p w14:paraId="599527C7"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(b)</w:t>
      </w:r>
      <w:r w:rsidRPr="00AE12E9">
        <w:rPr>
          <w:kern w:val="2"/>
          <w14:ligatures w14:val="standardContextual"/>
        </w:rPr>
        <w:tab/>
        <w:t>položaja Skupnega podjetja za krožno Evropo na biološki osnovi, ki je uspešno doseglo svoj cilj glede prispevkov v okviru programa Obzorje 2020, vendar je to izvedlo z revizijo izravnave med cilji za stvarne prispevke za operativne dejavnosti in stvarnimi prispevki za dodatne dejavnosti, pri čemer so slednje narasle na 2 444,5 milijona EUR, kar ustreza 90 % skupnega cilja; poudarja, da ta odvisnost od stvarnih prispevkov za dodatne dejavnosti predstavlja tveganje za izvajanje programa Obzorje 2020; poudarja, da ima revizija, ki jo izvaja skupno podjetje, znaten vpliv; se seznanja s pojasnili skupnega podjetja in dejstvom, da dodatne dejavnosti prispevajo k splošnim ciljem skupnega podjetja; kljub temu poudarja, da je to pretirana odvisnost od stvarnih prispevkov za dodatne dejavnosti, da bi dosegli zastavljene cilje, in poziva skupno podjetje, naj prepreči ponovitev takega položaja; je seznanjen z dejstvom, da je Računsko sodišče zaradi teh elementov tveganje za izvedbo programa tega skupnega podjetja opredelilo kot visoko;</w:t>
      </w:r>
    </w:p>
    <w:p w14:paraId="4A23D2A3"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(c)</w:t>
      </w:r>
      <w:r w:rsidRPr="00AE12E9">
        <w:rPr>
          <w:kern w:val="2"/>
          <w14:ligatures w14:val="standardContextual"/>
        </w:rPr>
        <w:tab/>
        <w:t>položaja Skupnega podjetja za evropsko visokozmogljivostno računalništvo, katerega prispevek zasebnih članov v programu Obzorje 2020 je dosegel le prijavljeni znesek 18,4 milijona EUR glede na ciljno vrednost 420 milijonov EUR, kar predstavlja veliko razliko; ugotavlja tudi, da bi se to lahko ponovilo v programih Obzorje Evropa in Digitalna Evropa, saj se je cilj glede prispevkov za zasebne člane znatno povečal na 900 milijonov EUR, medtem ko so ureditve financiranja, ki so zasebnim članom povzročile težave v programu Obzorje 2020, še vedno v veljavi; je seznanjen z dejstvom, da je Računsko sodišče zaradi teh elementov tveganje za izvedbo programa tega skupnega podjetja opredelilo kot visoko; na podlagi dodatnih informacij, ki jih je zadevno skupno podjetje posredovalo med predstavitvijo v Odboru za proračunski nadzor, ugotavlja, da se to vprašanje obravnava v sodelovanju z upravnim odborom; kljub temu ponavlja priporočilo Računskega sodišča o ustreznem ukrepanju, češ naj Skupno podjetje za evropsko visokozmogljivostno računalništvo podpre ponovno oceno sedanjega cilja, ki jo je pripravila Komisija, da bi lahko doseglo svoj cilj glede prispevka zasebnih članov v programih Obzorje Evropa in Digitalna Evropa, ter ponovno poudarja, da se doseganje ciljev glede prispevkov ne bi smelo obravnavati zgolj kot ambicioznost, temveč kot dolžnost;</w:t>
      </w:r>
    </w:p>
    <w:p w14:paraId="5B548CC8"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22.</w:t>
      </w:r>
      <w:r w:rsidRPr="00AE12E9">
        <w:rPr>
          <w:kern w:val="2"/>
          <w14:ligatures w14:val="standardContextual"/>
        </w:rPr>
        <w:tab/>
        <w:t xml:space="preserve">poudarja, da z namenom spodbujanja boljše učinkovitosti enotni temeljni akt določa, da morajo skupna podjetja doseči sinergijo, tako da vzpostavijo zaledne službe, ki bodo delovale na vrsti opredeljenih področij; se zaveda, da so zadevna skupna podjetja prednostno opredelila štiri področja, in sicer računovodske dejavnosti, pravne dejavnosti, informacijske in komunikacijske tehnologije ter človeške vire; v zvezi s tem </w:t>
      </w:r>
      <w:r w:rsidRPr="00AE12E9">
        <w:rPr>
          <w:kern w:val="2"/>
          <w14:ligatures w14:val="standardContextual"/>
        </w:rPr>
        <w:lastRenderedPageBreak/>
        <w:t>zlasti pozdravlja:</w:t>
      </w:r>
    </w:p>
    <w:p w14:paraId="55A9BF21"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(a)</w:t>
      </w:r>
      <w:r w:rsidRPr="00AE12E9">
        <w:rPr>
          <w:kern w:val="2"/>
          <w14:ligatures w14:val="standardContextual"/>
        </w:rPr>
        <w:tab/>
        <w:t>da zaledne službe za računovodske dejavnosti obstajajo od decembra 2022, torej so delovale celotno proračunsko leto 2023, kar je bilo mogoče opaziti pri pripravi zaključnega računa, in da je Skupno podjetje za evropske železnice prevzelo vodilno vlogo pri izvajanju teh zalednih ureditev;</w:t>
      </w:r>
    </w:p>
    <w:p w14:paraId="6C163319"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(b)</w:t>
      </w:r>
      <w:r w:rsidRPr="00AE12E9">
        <w:rPr>
          <w:kern w:val="2"/>
          <w14:ligatures w14:val="standardContextual"/>
        </w:rPr>
        <w:tab/>
        <w:t>da sta Skupno podjetje za krožno Evropo na biološki osnovi in Skupno podjetje za pobudo za inovativno zdravje prevzela vodstvo pri upravljanju zalednih služb za skupno zaposlovanje, pravni okvir in digitalizacijo človeških virov;</w:t>
      </w:r>
    </w:p>
    <w:p w14:paraId="2AB32551"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(c)</w:t>
      </w:r>
      <w:r w:rsidRPr="00AE12E9">
        <w:rPr>
          <w:kern w:val="2"/>
          <w14:ligatures w14:val="standardContextual"/>
        </w:rPr>
        <w:tab/>
        <w:t>da sta Skupno podjetje za čisti vodik in Skupno podjetje za pobudo za inovativno zdravje prevzela vodilno vlogo pri upravljanju zalednih ureditev za informacijsko in komunikacijsko tehnologijo;</w:t>
      </w:r>
    </w:p>
    <w:p w14:paraId="35AB692C"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(d)</w:t>
      </w:r>
      <w:r w:rsidRPr="00AE12E9">
        <w:rPr>
          <w:kern w:val="2"/>
          <w14:ligatures w14:val="standardContextual"/>
        </w:rPr>
        <w:tab/>
        <w:t>da so Skupno podjetje za čisto letalstvo, Skupno podjetje za evropske železnice in Skupno podjetje za evropsko visokozmogljivostno računalništvo prevzeli vodilno vlogo pri upravljanju zalednih služb za upravna naročila;</w:t>
      </w:r>
    </w:p>
    <w:p w14:paraId="0BEE812C"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(e)</w:t>
      </w:r>
      <w:r w:rsidRPr="00AE12E9">
        <w:rPr>
          <w:kern w:val="2"/>
          <w14:ligatures w14:val="standardContextual"/>
        </w:rPr>
        <w:tab/>
        <w:t>da skupna podjetja nadalje izvajajo skupni strateški načrt IKT skupnih podjetij s sedežem v stavbi White Atrium;</w:t>
      </w:r>
    </w:p>
    <w:p w14:paraId="57DE33B3"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23.</w:t>
      </w:r>
      <w:r w:rsidRPr="00AE12E9">
        <w:rPr>
          <w:kern w:val="2"/>
          <w14:ligatures w14:val="standardContextual"/>
        </w:rPr>
        <w:tab/>
        <w:t>poziva skupna podjetja, za katera velja obveznost iz enotnega temeljnega akta, naj še naprej poročajo o vzpostavitvi zalednih služb, posredujejo jasne informacije o tem, katera skupna podjetja opravljajo naloge za druga skupna podjetja na določenih področjih, naj na seznam prednostnih nalog čim prej vključijo komunikacijo, logistiko, prireditve in upravljanje sejnih sob ter podporo revizijskim strategijam in strategijam za boj proti goljufijam in zagotovijo informacije o področjih, ki jih je treba upoštevati pri vzpostavitvi zalednih služb v prihodnosti, ko bodo sklenjeni dogovori na področjih, ki so opredeljena kot prednostna;</w:t>
      </w:r>
    </w:p>
    <w:p w14:paraId="02723525" w14:textId="77777777" w:rsidR="00AE12E9" w:rsidRPr="00AE12E9" w:rsidRDefault="00AE12E9" w:rsidP="00AE12E9">
      <w:pPr>
        <w:spacing w:after="240"/>
        <w:rPr>
          <w:b/>
          <w:i/>
          <w:kern w:val="2"/>
          <w14:ligatures w14:val="standardContextual"/>
        </w:rPr>
      </w:pPr>
      <w:r w:rsidRPr="00AE12E9">
        <w:rPr>
          <w:b/>
          <w:i/>
          <w:kern w:val="2"/>
          <w14:ligatures w14:val="standardContextual"/>
        </w:rPr>
        <w:t>Javna naročila in razpisi</w:t>
      </w:r>
    </w:p>
    <w:p w14:paraId="726D7B1E"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24.</w:t>
      </w:r>
      <w:r w:rsidRPr="00AE12E9">
        <w:rPr>
          <w:kern w:val="2"/>
          <w14:ligatures w14:val="standardContextual"/>
        </w:rPr>
        <w:tab/>
        <w:t>se strinja s pomisleki Računskega sodišča glede postopkov javnega naročanja in poziva skupna podjetja, naj zagotovijo, da skladnost z ustreznimi pravnimi določbami in potrebna zapletenost nekaterih postopkov javnega naročanja ne bosta povzročili večjega tveganja za zakonitost in pravilnost odhodkov iz poslovanja; izraža zaskrbljenost, natančneje zaradi:</w:t>
      </w:r>
    </w:p>
    <w:p w14:paraId="6D193452"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(a)</w:t>
      </w:r>
      <w:r w:rsidRPr="00AE12E9">
        <w:rPr>
          <w:kern w:val="2"/>
          <w14:ligatures w14:val="standardContextual"/>
        </w:rPr>
        <w:tab/>
        <w:t>položaja Skupnega podjetja za pobudo za inovativno zdravje in Skupnega podjetja za čipe, v zvezi s katerima je Računsko sodišče ugotovilo pomanjkljivosti pri zasnovi in ocenjevanju enega pomembnega postopka javnega naročanja; je seznanjen z dejstvom, da Računsko sodišče kljub temu za to skupno podjetje tveganja za operativne odhodke iz poslovanja za nadzor ni opredelilo kot srednje ali visoko; kljub temu poudarja, da lahko takšne pomanjkljivosti privedejo do nepravilnih pogodb in plačil, če ne bodo odpravljene v prihodnjih postopkih javnega naročanja; pozdravlja pripravljenost skupnih podjetij, da sprejmejo ukrepe o teh posebnih primerih in izboljšajo svoje postopke javnih naročil;</w:t>
      </w:r>
    </w:p>
    <w:p w14:paraId="7AF91975"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(b)</w:t>
      </w:r>
      <w:r w:rsidRPr="00AE12E9">
        <w:rPr>
          <w:kern w:val="2"/>
          <w14:ligatures w14:val="standardContextual"/>
        </w:rPr>
        <w:tab/>
        <w:t xml:space="preserve">dejstva, da je Računsko sodišče za Skupno podjetje za evropsko visokozmogljivostno računalništvo in Skupno podjetje za ITER in razvoj fuzijske energije zaradi njunih zapletenih postopkov javnega naročanja pri pogodbah </w:t>
      </w:r>
      <w:r w:rsidRPr="00AE12E9">
        <w:rPr>
          <w:kern w:val="2"/>
          <w14:ligatures w14:val="standardContextual"/>
        </w:rPr>
        <w:lastRenderedPageBreak/>
        <w:t>visoke vrednosti kot srednje ocenilo tveganje, povezano z odhodki za operativne pogodbe;</w:t>
      </w:r>
    </w:p>
    <w:p w14:paraId="41529E75"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25.</w:t>
      </w:r>
      <w:r w:rsidRPr="00AE12E9">
        <w:rPr>
          <w:kern w:val="2"/>
          <w14:ligatures w14:val="standardContextual"/>
        </w:rPr>
        <w:tab/>
        <w:t>poudarja finančno izpostavljenost Skupnega podjetja za evropsko visokozmogljivostno računalništvo do dobavitelja v težavah, za katerega skupno podjetje ocenjuje, da je v razponu morebitnega majhnega učinka v višini 0 EUR do ocenjenega največjega učinka v višini 88 milijonov EUR; na podlagi letnih računovodskih izkazov skupnega podjetja ugotavlja, da se ta situacija skrbno nadzoruje; poziva skupno podjetje, naj sprejme vse potrebne ukrepe za zmanjšanje finančnih obveznosti; pozdravlja dodatne informacije, ki jih je zadevno skupno podjetje predložilo med predstavitvijo v Odboru za proračunski nadzor, zlasti v zvezi z dodatnimi jamstvi, ki jih je zahtevalo za zmanjšanje te finančne odgovornosti, pa tudi pojasnilo o ključni vlogi tega posebnega dobavitelja;</w:t>
      </w:r>
    </w:p>
    <w:p w14:paraId="1995B93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26.</w:t>
      </w:r>
      <w:r w:rsidRPr="00AE12E9">
        <w:rPr>
          <w:kern w:val="2"/>
          <w14:ligatures w14:val="standardContextual"/>
        </w:rPr>
        <w:tab/>
        <w:t>je seznanjen z dejstvom, da se podrobnost in dostopnost kvantitativnih podatkov o uravnoteženi zastopanosti spolov med strokovnjaki, izbranimi za sodelovanje s skupnimi podjetji, med posameznimi podjetji razlikujeta; poziva vsa skupna podjetja, naj povečajo preglednost in v svoja prihodnja letna poročila o dejavnostih vključijo kvantitativne podatke o uravnoteženi zastopanosti spolov med izbranimi strokovnjaki; poziva jih tudi, naj se na vseh ravneh zavzemajo za enakost spolov in uravnoteženo zastopanost spolov ohranijo kot horizontalno prednostno nalogo pri vseh dejavnostih, povezanih z javnimi naročili, nepovratnimi sredstvi in javnimi razpisi, v nasprotnem primeru pa pojasnijo, zakaj uravnotežene zastopanosti spolov ni mogoče doseči;</w:t>
      </w:r>
    </w:p>
    <w:p w14:paraId="1FEF03C4"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27.</w:t>
      </w:r>
      <w:r w:rsidRPr="00AE12E9">
        <w:rPr>
          <w:kern w:val="2"/>
          <w14:ligatures w14:val="standardContextual"/>
        </w:rPr>
        <w:tab/>
        <w:t>je seznanjen z dejstvom, da se podrobnost in dostopnost kvantitativnih podatkov o geografski porazdelitvi med strokovnjaki, izbranimi za sodelovanje s skupnimi podjetji, med posameznimi podjetji razlikujeta; poziva vsa skupna podjetja, naj v svoja prihodnja letna poročila o dejavnostih vključijo kvantitativne podatke o geografski porazdelitvi spolov med izbranimi strokovnjaki; poziva jih tudi, naj zagotovijo, da bo geografska porazdelitev ostala horizontalna prednostna naloga pri vseh dejavnostih, povezanih z javnimi naročili, nepovratnimi sredstvi in javnimi razpisi, v nasprotnem primeru pa pojasnijo, zakaj zadostne geografske porazdelitve ni mogoče doseči;</w:t>
      </w:r>
    </w:p>
    <w:p w14:paraId="2F70440E" w14:textId="77777777" w:rsidR="00AE12E9" w:rsidRPr="00AE12E9" w:rsidRDefault="00AE12E9" w:rsidP="00AE12E9">
      <w:pPr>
        <w:spacing w:after="240"/>
        <w:ind w:left="567" w:hanging="567"/>
        <w:rPr>
          <w:b/>
          <w:i/>
          <w:kern w:val="2"/>
          <w14:ligatures w14:val="standardContextual"/>
        </w:rPr>
      </w:pPr>
      <w:r w:rsidRPr="00AE12E9">
        <w:rPr>
          <w:kern w:val="2"/>
          <w14:ligatures w14:val="standardContextual"/>
        </w:rPr>
        <w:t>28</w:t>
      </w:r>
      <w:r w:rsidRPr="00AE12E9">
        <w:rPr>
          <w:i/>
          <w:kern w:val="2"/>
          <w14:ligatures w14:val="standardContextual"/>
        </w:rPr>
        <w:t>.</w:t>
      </w:r>
      <w:r w:rsidRPr="00AE12E9">
        <w:rPr>
          <w:b/>
          <w:i/>
          <w:kern w:val="2"/>
          <w14:ligatures w14:val="standardContextual"/>
        </w:rPr>
        <w:tab/>
      </w:r>
      <w:r w:rsidRPr="00AE12E9">
        <w:rPr>
          <w:kern w:val="2"/>
          <w14:ligatures w14:val="standardContextual"/>
        </w:rPr>
        <w:t>poziva k pravični geografski porazdelitvi sredstev skupnih podjetij, da bodo regije z manjšo inovacijsko zmogljivostjo ter mala in srednja podjetja prejeli ustrezno podporo;</w:t>
      </w:r>
    </w:p>
    <w:p w14:paraId="00EF9C5D" w14:textId="77777777" w:rsidR="00AE12E9" w:rsidRPr="00AE12E9" w:rsidRDefault="00AE12E9" w:rsidP="00AE12E9">
      <w:pPr>
        <w:spacing w:after="240"/>
        <w:rPr>
          <w:b/>
          <w:i/>
          <w:kern w:val="2"/>
          <w14:ligatures w14:val="standardContextual"/>
        </w:rPr>
      </w:pPr>
      <w:r w:rsidRPr="00AE12E9">
        <w:rPr>
          <w:b/>
          <w:i/>
          <w:kern w:val="2"/>
          <w14:ligatures w14:val="standardContextual"/>
        </w:rPr>
        <w:t>Uslužbenci in zaposlovanje</w:t>
      </w:r>
    </w:p>
    <w:p w14:paraId="034E5602"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29.</w:t>
      </w:r>
      <w:r w:rsidRPr="00AE12E9">
        <w:rPr>
          <w:kern w:val="2"/>
          <w14:ligatures w14:val="standardContextual"/>
        </w:rPr>
        <w:tab/>
        <w:t xml:space="preserve">je zaskrbljen zaradi trenutnega stanja zaposlovanja v Skupnem podjetju za evropsko visokozmogljivostno računalništvo, ki je do konca proračunskega leta 2023 prejelo 39 dodatnih delovnih mest, da bi izvršilo znatna sredstva, dodeljena v sedanjem večletnem finančnem okviru, vendar mu je uspelo zaposliti le 21 dodatnih uslužbencev; je poleg tega zaskrbljen zaradi ocene Računskega sodišča, da postopki zaposlovanja v skupnih podjetjih niso bili dovolj pregledni, ker ni bilo jasnih in predhodno dogovorjenih lestvic za ocenjevanje kandidatov in njihovih kvalifikacij, pa tudi ker ni bilo zadostne dokumentacije o postopku odločanja v zvezi s tem; obžaluje, da je po mnenju Računskega sodišča to stanje morda privedlo do neenake obravnave kandidatov; opozarja, da se je treba med postopkom zaposlovanja nujno izogibati uporabi dvojnih meril, in zahteva, da se v zvezi s tem sprejmejo vsi potrebni ukrepi; se strinja s priporočilom Računskega sodišča za ukrepanje, naj Skupno podjetje za evropsko visokozmogljivostno računalništvo večje število zaposlenih izkoristi za to, da bo do konca leta 2024 doseglo svoj cilj zaposlovanja, ter da bi moralo v predizbirni fazi </w:t>
      </w:r>
      <w:r w:rsidRPr="00AE12E9">
        <w:rPr>
          <w:kern w:val="2"/>
          <w14:ligatures w14:val="standardContextual"/>
        </w:rPr>
        <w:lastRenderedPageBreak/>
        <w:t>v skladu s prakso drugih skupnih podjetij in organov Unije uporabiti vnaprej dogovorjeno lestvico točkovanja, da bi izboljšalo preglednost postopkov zaposlovanja in utemeljilo postopke odločanja v izbirni komisiji; pozdravlja pripravljenost skupnega podjetja, da upošteva priporočila za izboljšave;</w:t>
      </w:r>
    </w:p>
    <w:p w14:paraId="6F46435F" w14:textId="77777777" w:rsidR="00AE12E9" w:rsidRPr="00AE12E9" w:rsidRDefault="00AE12E9" w:rsidP="00AE12E9">
      <w:pPr>
        <w:spacing w:after="240"/>
        <w:ind w:left="567" w:hanging="567"/>
        <w:rPr>
          <w:b/>
          <w:i/>
          <w:kern w:val="2"/>
          <w14:ligatures w14:val="standardContextual"/>
        </w:rPr>
      </w:pPr>
      <w:r w:rsidRPr="00AE12E9">
        <w:rPr>
          <w:kern w:val="2"/>
          <w14:ligatures w14:val="standardContextual"/>
        </w:rPr>
        <w:t>30.</w:t>
      </w:r>
      <w:r w:rsidRPr="00AE12E9">
        <w:rPr>
          <w:b/>
          <w:i/>
          <w:kern w:val="2"/>
          <w14:ligatures w14:val="standardContextual"/>
        </w:rPr>
        <w:tab/>
      </w:r>
      <w:r w:rsidRPr="00AE12E9">
        <w:rPr>
          <w:kern w:val="2"/>
          <w14:ligatures w14:val="standardContextual"/>
        </w:rPr>
        <w:t>poudarja, da je potrebna skladna in pravična kadrovska politika v vseh skupnih podjetjih, da bi zaposlenim zagotovili ustrezne in vključujoče delovne pogoje, možnosti za poklicni razvoj ter usklajevanje poklicnega in zasebnega življenja; poziva k izvedbi ukrepov, ki bodo preprečilo pretirano odvisnost od zaposlovanja za določen čas in prekarnega zaposlovanja; poudarja, da podporne strukture za duševno zdravje, prožna ureditev dela in pravične notranje možnosti napredovanja pomembno prispevajo k dobremu počutju zaposlenih;</w:t>
      </w:r>
    </w:p>
    <w:p w14:paraId="75938523" w14:textId="77777777" w:rsidR="00AE12E9" w:rsidRPr="00AE12E9" w:rsidRDefault="00AE12E9" w:rsidP="00AE12E9">
      <w:pPr>
        <w:spacing w:after="240"/>
        <w:ind w:left="567" w:hanging="567"/>
        <w:rPr>
          <w:b/>
          <w:i/>
          <w:kern w:val="2"/>
          <w14:ligatures w14:val="standardContextual"/>
        </w:rPr>
      </w:pPr>
      <w:r w:rsidRPr="00AE12E9">
        <w:rPr>
          <w:kern w:val="2"/>
          <w14:ligatures w14:val="standardContextual"/>
        </w:rPr>
        <w:t>31.</w:t>
      </w:r>
      <w:r w:rsidRPr="00AE12E9">
        <w:rPr>
          <w:kern w:val="2"/>
          <w14:ligatures w14:val="standardContextual"/>
        </w:rPr>
        <w:tab/>
        <w:t>poziva vsa skupna podjetja, naj sprejmejo konkretne ukrepe za bolj uravnoteženo zastopanost spolov na vodstvenih položajih in v organih odločanja, vključno z določitvijo ciljev in rednim spremljanjem napredka; poudarja, da je treba odpraviti razlike v plačilu med spoloma in zagotoviti enake možnosti za poklicno napredovanje;</w:t>
      </w:r>
    </w:p>
    <w:p w14:paraId="37677757"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32.</w:t>
      </w:r>
      <w:r w:rsidRPr="00AE12E9">
        <w:rPr>
          <w:kern w:val="2"/>
          <w14:ligatures w14:val="standardContextual"/>
        </w:rPr>
        <w:tab/>
        <w:t>je seznanjen z dejstvom, da je Računsko sodišče tveganje za zakonitost in pravilnost upravnih odhodkov ocenilo kot nizko za vsa skupna podjetja, razen za Skupno podjetje za čipe ter za Skupno podjetje za evropsko visokozmogljivostno računalništvo, pri katerih je bilo tveganje za zanesljivost ocenjeno kot srednje zaradi visoke stopnje zaposlovanja, ter za Skupno podjetje za pametna omrežja in storitve in Skupno podjetje za svetovno zdravje EDCTP3, zaradi njune nedavno pridobljene finančne avtonomije;</w:t>
      </w:r>
    </w:p>
    <w:p w14:paraId="175A268A"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33.</w:t>
      </w:r>
      <w:r w:rsidRPr="00AE12E9">
        <w:rPr>
          <w:kern w:val="2"/>
          <w14:ligatures w14:val="standardContextual"/>
        </w:rPr>
        <w:tab/>
        <w:t>je zaskrbljen zaradi položaja Evropskega skupnega podjetja za ITER in razvoj fuzijske energije v zvezi z različnimi vidiki upravljanja človeških virov, ki jih je ugotovilo Računsko sodišče, zlasti kar zadeva uporabo zunanjih ponudnikov storitev, namreč:</w:t>
      </w:r>
    </w:p>
    <w:p w14:paraId="78853F1E" w14:textId="77777777" w:rsidR="00AE12E9" w:rsidRPr="00AE12E9" w:rsidRDefault="00AE12E9" w:rsidP="00AE12E9">
      <w:pPr>
        <w:spacing w:after="240"/>
        <w:ind w:left="1134" w:hanging="567"/>
        <w:rPr>
          <w:kern w:val="2"/>
          <w:szCs w:val="24"/>
          <w14:ligatures w14:val="standardContextual"/>
        </w:rPr>
      </w:pPr>
      <w:r w:rsidRPr="00AE12E9">
        <w:rPr>
          <w:kern w:val="2"/>
          <w14:ligatures w14:val="standardContextual"/>
        </w:rPr>
        <w:t>(a)</w:t>
      </w:r>
      <w:r w:rsidRPr="00AE12E9">
        <w:rPr>
          <w:kern w:val="2"/>
          <w14:ligatures w14:val="standardContextual"/>
        </w:rPr>
        <w:tab/>
        <w:t>skupno podjetje se v veliki meri zanaša na zunanje ponudnike storitev, saj predstavljajo skoraj polovico njegovih delavcev (361 zunanjih ponudnikov in 429 statutarnih uslužbencev v letu 2023), kar je kritična situacija, ki bi lahko močno vplivala na sposobnost podjetja, da trajnostno upravlja svoje človeške vire in hkrati zagotavlja zmogljivost za ohranjanje znanja in institucionalnega spomina, kar dolgoročno prinaša tudi finančne koristi;</w:t>
      </w:r>
    </w:p>
    <w:p w14:paraId="2AD34A93" w14:textId="77777777" w:rsidR="00AE12E9" w:rsidRPr="00AE12E9" w:rsidRDefault="00AE12E9" w:rsidP="00AE12E9">
      <w:pPr>
        <w:spacing w:after="240"/>
        <w:ind w:left="1134" w:hanging="567"/>
        <w:rPr>
          <w:kern w:val="2"/>
          <w14:ligatures w14:val="standardContextual"/>
        </w:rPr>
      </w:pPr>
      <w:r w:rsidRPr="00AE12E9">
        <w:rPr>
          <w:kern w:val="2"/>
          <w14:ligatures w14:val="standardContextual"/>
        </w:rPr>
        <w:t>(b)</w:t>
      </w:r>
      <w:r w:rsidRPr="00AE12E9">
        <w:rPr>
          <w:kern w:val="2"/>
          <w14:ligatures w14:val="standardContextual"/>
        </w:rPr>
        <w:tab/>
        <w:t>dejstvo, da skupno podjetje ni sprejelo enotne formalne opredelitve ponudnikov zunanjih storitev, zaradi česar ocena njihovega vpliva na potrebe statutarnega osebja ni bila dovolj jasna; ugotavlja tudi, da register tveganj skupnega podjetja ni vključeval vseh morebitnih tveganj zaradi velike in dolgoročne odvisnosti od zunanjih ponudnikov storitev, kar bi lahko preprečilo, da bi se v okviru notranjega nadzora skupnega podjetja uvedli ustrezni blažilni ukrepi za ta tveganja;</w:t>
      </w:r>
    </w:p>
    <w:p w14:paraId="06E0B9CE" w14:textId="77777777" w:rsidR="00AE12E9" w:rsidRPr="00AE12E9" w:rsidRDefault="00AE12E9" w:rsidP="00AE12E9">
      <w:pPr>
        <w:spacing w:after="240"/>
        <w:ind w:left="1134" w:hanging="567"/>
        <w:rPr>
          <w:kern w:val="2"/>
          <w14:ligatures w14:val="standardContextual"/>
        </w:rPr>
      </w:pPr>
      <w:r w:rsidRPr="00AE12E9">
        <w:rPr>
          <w:kern w:val="2"/>
          <w14:ligatures w14:val="standardContextual"/>
        </w:rPr>
        <w:t>(c)</w:t>
      </w:r>
      <w:r w:rsidRPr="00AE12E9">
        <w:rPr>
          <w:kern w:val="2"/>
          <w14:ligatures w14:val="standardContextual"/>
        </w:rPr>
        <w:tab/>
        <w:t>ugotovitve revizije, ki jo je v zvezi s tem opravila služba Komisije za notranjo revizijo in ki je pokazala, da skupno podjetje ni vzpostavilo centralizirane funkcije za usklajevanje in upravljanje zunanjih ponudnikov storitev niti ni uvedlo metodologije za ocenjevanje skupnih potreb po človeških virih, zlasti potreb po zunanjih ponudnikih storitev; poudarja, da je bilo opaženo, da je odločitev skupnega podjetja o uporabi zunanjih ponudnikov storitev torej temeljila bolj na proračunskih razlogih kot na potrebah po človeških virih;</w:t>
      </w:r>
    </w:p>
    <w:p w14:paraId="7644C37D" w14:textId="77777777" w:rsidR="00AE12E9" w:rsidRPr="00AE12E9" w:rsidRDefault="00AE12E9" w:rsidP="00AE12E9">
      <w:pPr>
        <w:spacing w:after="240"/>
        <w:ind w:left="1134" w:hanging="567"/>
        <w:rPr>
          <w:kern w:val="2"/>
          <w14:ligatures w14:val="standardContextual"/>
        </w:rPr>
      </w:pPr>
      <w:r w:rsidRPr="00AE12E9">
        <w:rPr>
          <w:kern w:val="2"/>
          <w14:ligatures w14:val="standardContextual"/>
        </w:rPr>
        <w:lastRenderedPageBreak/>
        <w:t>(d)</w:t>
      </w:r>
      <w:r w:rsidRPr="00AE12E9">
        <w:rPr>
          <w:kern w:val="2"/>
          <w14:ligatures w14:val="standardContextual"/>
        </w:rPr>
        <w:tab/>
        <w:t>premajhna preglednost pri poročanju skupnega podjetja o njegovih človeških virih; zlasti kar zadeva predstavitev števila redno in začasno zaposlenih, glede na to, da je imelo 224 od 386 začasnih in pogodbenih uslužbencev dejansko pogodbo za nedoločen čas in bi jih bilo zato s praktičnega vidika mogoče šteti za redno zaposlene; poziva skupno podjetje, naj te vidike v prihodnje poudari v svojih poročilih o človeških virih;</w:t>
      </w:r>
    </w:p>
    <w:p w14:paraId="470C8054" w14:textId="77777777" w:rsidR="00AE12E9" w:rsidRPr="00AE12E9" w:rsidRDefault="00AE12E9" w:rsidP="00AE12E9">
      <w:pPr>
        <w:spacing w:after="240"/>
        <w:ind w:left="1134" w:hanging="567"/>
        <w:rPr>
          <w:kern w:val="2"/>
          <w14:ligatures w14:val="standardContextual"/>
        </w:rPr>
      </w:pPr>
      <w:r w:rsidRPr="00AE12E9">
        <w:rPr>
          <w:kern w:val="2"/>
          <w14:ligatures w14:val="standardContextual"/>
        </w:rPr>
        <w:t>(e)</w:t>
      </w:r>
      <w:r w:rsidRPr="00AE12E9">
        <w:rPr>
          <w:kern w:val="2"/>
          <w14:ligatures w14:val="standardContextual"/>
        </w:rPr>
        <w:tab/>
        <w:t>se strinja s priporočilom Računskega sodišča za ukrepanje, ki Evropskemu skupnemu podjetju za ITER in razvoj fuzijske energije priporoča, naj vzpostavi centralizirano funkcijo usklajevanja in upravljanja za zunanje ponudnike storitev, sprejme celovito metodologijo za redno ocenjevanje skupnih potreb po človeških virih na podlagi pričakovane delovne obremenitve in potrebnih znanj in spretnosti ter svoj register tveganj dopolni z najpomembnejšimi tveganji, ki izhajajo iz njegove obsežne in dolgoročne uporabe zunanjih ponudnikov storitev;</w:t>
      </w:r>
    </w:p>
    <w:p w14:paraId="45A40256" w14:textId="77777777" w:rsidR="00AE12E9" w:rsidRPr="00AE12E9" w:rsidRDefault="00AE12E9" w:rsidP="00AE12E9">
      <w:pPr>
        <w:spacing w:after="240"/>
        <w:ind w:left="1134" w:hanging="567"/>
        <w:rPr>
          <w:kern w:val="2"/>
          <w14:ligatures w14:val="standardContextual"/>
        </w:rPr>
      </w:pPr>
      <w:r w:rsidRPr="00AE12E9">
        <w:rPr>
          <w:kern w:val="2"/>
          <w14:ligatures w14:val="standardContextual"/>
        </w:rPr>
        <w:t>(f)</w:t>
      </w:r>
      <w:r w:rsidRPr="00AE12E9">
        <w:rPr>
          <w:kern w:val="2"/>
          <w14:ligatures w14:val="standardContextual"/>
        </w:rPr>
        <w:tab/>
        <w:t>pozdravlja zaveze skupnega podjetja in njegova pojasnila glede težav, ki so privedle do obsežne uporabe zunanjih ponudnikov storitev; kljub temu je zaskrbljen zaradi te pomembne odvisnosti in povezanih tveganj; poziva skupno podjetje, naj v prihodnosti zagotovi podrobnejše informacije o postopkih odločanja, ki vodijo k uporabi zunanjih ponudnikov storitev;</w:t>
      </w:r>
    </w:p>
    <w:p w14:paraId="3FFA85B1"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34.</w:t>
      </w:r>
      <w:r w:rsidRPr="00AE12E9">
        <w:rPr>
          <w:kern w:val="2"/>
          <w14:ligatures w14:val="standardContextual"/>
        </w:rPr>
        <w:tab/>
        <w:t>je seznanjen z dejstvom, da se podrobnost in dostopnost kvantitativnih podatkov o uravnoteženi zastopanosti spolov med zaposlenimi in v upravnih organih ter strukturah v letnih poročilih o dejavnostih posameznih skupnih podjetij razlikujeta; poziva vsa skupna podjetja, naj v prihodnja letna poročila o dejavnostih vključijo jasen oddelek s kvantitativnimi podatki o uravnoteženi zastopanosti spolov med zaposlenimi ter v upravnih organih in strukturah, vključno z razčlenitvijo podatkov med različnimi ravnmi odgovornosti in različnimi vrstami pogodb; poziva vsa skupna podjetja, naj zagotovijo, da bo uravnotežena zastopanost spolov ostala cilj na vseh ravneh odgovornosti, in jo skušajo še izboljšati, da bi zagotovili pravično zastopanost družbe med zaposlenimi ter spodbujali zdravo in produktivno delovno okolje in pojasnili, kdaj uravnotežene zastopanosti spolov ni mogoče doseči;</w:t>
      </w:r>
    </w:p>
    <w:p w14:paraId="08E7B916"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35.</w:t>
      </w:r>
      <w:r w:rsidRPr="00AE12E9">
        <w:rPr>
          <w:kern w:val="2"/>
          <w14:ligatures w14:val="standardContextual"/>
        </w:rPr>
        <w:tab/>
        <w:t>je seznanjen z dejstvom, da se podrobnost in dostopnost kvantitativnih podatkov o geografski porazdelitvi med uslužbenci ter v upravnih organih in strukturah v letnih poročilih o dejavnostih posameznih skupnih podjetij razlikujeta; poziva vsa skupna podjetja, naj v svoja prihodnja letna poročila o dejavnostih vključijo jasen oddelek s kvantitativnimi podatki o geografski porazdelitvi med zaposlenimi ter znotraj upravnih organov in struktur, vključno z razčlenitvijo podatkov med različnimi ravnmi odgovornosti in različnimi vrstami pogodb; poziva vsa skupna podjetja, naj zagotovijo, da bo zadovoljiva geografska porazdelitev ostala cilj na vseh ravneh odgovornosti, ter pojasnijo, zakaj zadostne geografske porazdelitve morda ni mogoče doseči;</w:t>
      </w:r>
    </w:p>
    <w:p w14:paraId="3CB4360B"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36.</w:t>
      </w:r>
      <w:r w:rsidRPr="00AE12E9">
        <w:rPr>
          <w:kern w:val="2"/>
          <w14:ligatures w14:val="standardContextual"/>
        </w:rPr>
        <w:tab/>
        <w:t>pozdravlja delo mreže agencij EU (EUAN) in njene delovne skupine za raznolikost in vključevanje, katerega rezultat je listina mreže EUAN o raznolikosti in vključevanju; poziva skupna podjetja, naj to listino sprejmejo;</w:t>
      </w:r>
    </w:p>
    <w:p w14:paraId="688A0E8C" w14:textId="77777777" w:rsidR="00AE12E9" w:rsidRPr="00AE12E9" w:rsidRDefault="00AE12E9" w:rsidP="00AE12E9">
      <w:pPr>
        <w:spacing w:after="240"/>
        <w:ind w:left="567" w:hanging="567"/>
        <w:rPr>
          <w:b/>
          <w:i/>
          <w:kern w:val="2"/>
          <w14:ligatures w14:val="standardContextual"/>
        </w:rPr>
      </w:pPr>
      <w:r w:rsidRPr="00AE12E9">
        <w:rPr>
          <w:kern w:val="2"/>
          <w14:ligatures w14:val="standardContextual"/>
        </w:rPr>
        <w:t>37.</w:t>
      </w:r>
      <w:r w:rsidRPr="00AE12E9">
        <w:rPr>
          <w:b/>
          <w:i/>
          <w:kern w:val="2"/>
          <w14:ligatures w14:val="standardContextual"/>
        </w:rPr>
        <w:tab/>
      </w:r>
      <w:r w:rsidRPr="00AE12E9">
        <w:rPr>
          <w:kern w:val="2"/>
          <w14:ligatures w14:val="standardContextual"/>
        </w:rPr>
        <w:t>poudarja, da morajo skupna podjetja poskrbeti, da financirani projekti prispevajo k socialni blaginji in vključevanju, spoštujejo pravice delavcev in delovne pogoje ter so skladni z načeli pravičnega prehoda na trajnostne tehnologije;</w:t>
      </w:r>
    </w:p>
    <w:p w14:paraId="135D06CD" w14:textId="77777777" w:rsidR="00AE12E9" w:rsidRPr="00AE12E9" w:rsidRDefault="00AE12E9" w:rsidP="00AE12E9">
      <w:pPr>
        <w:spacing w:after="240"/>
        <w:rPr>
          <w:b/>
          <w:i/>
          <w:kern w:val="2"/>
          <w14:ligatures w14:val="standardContextual"/>
        </w:rPr>
      </w:pPr>
      <w:r w:rsidRPr="00AE12E9">
        <w:rPr>
          <w:b/>
          <w:i/>
          <w:kern w:val="2"/>
          <w14:ligatures w14:val="standardContextual"/>
        </w:rPr>
        <w:lastRenderedPageBreak/>
        <w:t>Sistemi upravljanja in nadzora</w:t>
      </w:r>
    </w:p>
    <w:p w14:paraId="72DA9633"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38.</w:t>
      </w:r>
      <w:r w:rsidRPr="00AE12E9">
        <w:rPr>
          <w:kern w:val="2"/>
          <w14:ligatures w14:val="standardContextual"/>
        </w:rPr>
        <w:tab/>
        <w:t>pozdravlja delo Računskega sodišča v zvezi s pregledom izplačil nepovratnih sredstev desetih skupnih podjetij, ki izvajajo raziskovalne in inovacijske projekte, zlasti njegovo dopolnilno revizijo vzorca izplačil nepovratnih sredstev na ravni upravičencev v programu Obzorje 2020; je zaskrbljen zaradi rezultatov tega pregleda, ki je pokazal obstoj stalnih sistemskih napak, zlasti v zvezi s prijavljenimi stroški osebja in opreme;</w:t>
      </w:r>
      <w:r w:rsidRPr="00AE12E9">
        <w:rPr>
          <w:b/>
          <w:i/>
          <w:kern w:val="2"/>
          <w14:ligatures w14:val="standardContextual"/>
        </w:rPr>
        <w:t xml:space="preserve"> </w:t>
      </w:r>
      <w:r w:rsidRPr="00AE12E9">
        <w:rPr>
          <w:kern w:val="2"/>
          <w14:ligatures w14:val="standardContextual"/>
        </w:rPr>
        <w:t>poziva k odpravi sistemskih napak;</w:t>
      </w:r>
    </w:p>
    <w:p w14:paraId="46C1176A"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39.</w:t>
      </w:r>
      <w:r w:rsidRPr="00AE12E9">
        <w:rPr>
          <w:kern w:val="2"/>
          <w14:ligatures w14:val="standardContextual"/>
        </w:rPr>
        <w:tab/>
        <w:t>poudarja, da je Računsko sodišče odkrilo en primer količinsko opredeljene in resne napake pri plačilih v programu Obzorje 2020 za Skupno podjetje za čisto letalstvo, Skupno podjetje za pobudo za inovativno zdravje, Skupno podjetje za čisti vodik, Skupno podjetje za krožno Evropo na biološki osnovi in Skupno podjetje za evropske železnice; pozdravlja pobude za ozaveščanje na ravni upravičencev, sprejete v zvezi s tem; poziva vsa skupna podjetja, naj zagotovijo zakonitost in pravilnost odhodkov iz poslovanja, in poudarja, da je Računsko sodišče tveganje za vmesna in končna nepovratna sredstva skupnih podjetij štelo za srednje;</w:t>
      </w:r>
    </w:p>
    <w:p w14:paraId="78AC2521" w14:textId="77777777" w:rsidR="00AE12E9" w:rsidRPr="00AE12E9" w:rsidRDefault="00AE12E9" w:rsidP="00AE12E9">
      <w:pPr>
        <w:spacing w:after="240"/>
        <w:ind w:left="567" w:hanging="567"/>
        <w:rPr>
          <w:b/>
          <w:i/>
          <w:kern w:val="2"/>
          <w14:ligatures w14:val="standardContextual"/>
        </w:rPr>
      </w:pPr>
      <w:r w:rsidRPr="00AE12E9">
        <w:rPr>
          <w:kern w:val="2"/>
          <w14:ligatures w14:val="standardContextual"/>
        </w:rPr>
        <w:t>40.</w:t>
      </w:r>
      <w:r w:rsidRPr="00AE12E9">
        <w:rPr>
          <w:b/>
          <w:i/>
          <w:kern w:val="2"/>
          <w14:ligatures w14:val="standardContextual"/>
        </w:rPr>
        <w:tab/>
      </w:r>
      <w:r w:rsidRPr="00AE12E9">
        <w:rPr>
          <w:kern w:val="2"/>
          <w14:ligatures w14:val="standardContextual"/>
        </w:rPr>
        <w:t>poziva Komisijo, naj uvede: (i) obvezno finančno usposabljanje za upravičence skupnih podjetij, da se preprečijo ponavljajoče se računovodske napake; (ii) orodja za samodejno preverjanje, ki bodo prispevala k točnosti pri izračunu stroškov osebja; (iii) strožje postopke predhodne revizije, da se zagotovi pravilna poraba sredstev Unije;</w:t>
      </w:r>
    </w:p>
    <w:p w14:paraId="7F196B34"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41.</w:t>
      </w:r>
      <w:r w:rsidRPr="00AE12E9">
        <w:rPr>
          <w:kern w:val="2"/>
          <w14:ligatures w14:val="standardContextual"/>
        </w:rPr>
        <w:tab/>
        <w:t>pozdravlja dejstvo, da je glede na ekstrapolacijo Računskega sodišča za vsa skupna podjetja povprečna stopnja napake tik pod 2-odstotnim pragom pomembnosti za nepovratna sredstva, pa tudi dejstvo, da so bile stopnje preostale napake, ki jih je izračunala skupna revizijska služba Komisije, prav tako pod pragom pomembnosti;</w:t>
      </w:r>
    </w:p>
    <w:p w14:paraId="0D32B2CA"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42.</w:t>
      </w:r>
      <w:r w:rsidRPr="00AE12E9">
        <w:rPr>
          <w:kern w:val="2"/>
          <w14:ligatures w14:val="standardContextual"/>
        </w:rPr>
        <w:tab/>
        <w:t>je seznanjen z dejstvom, da je bilo število vmesnih plačil programov Obzorje Evropa in Digitalna Evropa premajhno, da bi jih lahko vključili v vzorec, ki ga je Računsko sodišče revidiralo leta 2023;</w:t>
      </w:r>
    </w:p>
    <w:p w14:paraId="6D019D76"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43.</w:t>
      </w:r>
      <w:r w:rsidRPr="00AE12E9">
        <w:rPr>
          <w:kern w:val="2"/>
          <w14:ligatures w14:val="standardContextual"/>
        </w:rPr>
        <w:tab/>
        <w:t>je seznanjen, da je bil okvir notranje kontrole skupnih podjetij v programu Obzorja Evropa večkrat spremenjen, zlasti da Komisija ne namerava več opravljati posebnih naknadnih vzorčnih revizij v imenu deležnikov Obzorja Evropa, kot so skupna podjetja; poleg tega ugotavlja, da namerava Komisija isto spremembo uporabiti za nepovratna sredstva v programu Digitalna Evropa;</w:t>
      </w:r>
    </w:p>
    <w:p w14:paraId="7202ACE7"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44.</w:t>
      </w:r>
      <w:r w:rsidRPr="00AE12E9">
        <w:rPr>
          <w:kern w:val="2"/>
          <w14:ligatures w14:val="standardContextual"/>
        </w:rPr>
        <w:tab/>
        <w:t>je zaskrbljen zaradi nezadostne komunikacije, sodelovanja in usklajevanja med službo za obvladovanje tveganja Evropskega skupnega podjetja za ITER in razvoj fuzijske energije ter njegovo službo za notranjo revizijo, pa tudi zaradi s tem povezanega neobstoja integriranega postopka obvladovanja tveganja in dejstva, da skupno podjetje ni moglo predložiti zadovoljivih dokazov, da pri načrtovanju notranje revizije redno uporablja informacije o obvladovanju tveganja; se strinja s priporočilom Računskega sodišča za ukrepanje v zvezi s tem, ki priporoča, naj skupno podjetje v okviru notranje kontrole izvaja integriran postopek obvladovanja tveganj, da bi učinkovito obvladovalo svoja tveganja; pozdravlja načrte skupnega podjetja za ukrepanje v zvezi s tem vprašanjem;</w:t>
      </w:r>
    </w:p>
    <w:p w14:paraId="6BB00FA1"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45.</w:t>
      </w:r>
      <w:r w:rsidRPr="00AE12E9">
        <w:rPr>
          <w:kern w:val="2"/>
          <w14:ligatures w14:val="standardContextual"/>
        </w:rPr>
        <w:tab/>
        <w:t xml:space="preserve">poudarja pomen izvajanja celovitega in posodobljenega načrta neprekinjenega poslovanja in sanacijskega načrta za skupna podjetja; v zvezi s tem obžaluje, da skupna </w:t>
      </w:r>
      <w:r w:rsidRPr="00AE12E9">
        <w:rPr>
          <w:kern w:val="2"/>
          <w14:ligatures w14:val="standardContextual"/>
        </w:rPr>
        <w:lastRenderedPageBreak/>
        <w:t>podjetja, razen Evropskega skupnega podjetja za ITER in razvoj fuzijske energije, ob koncu proračunskega leta 2023 v zvezi s tem niso imela zadovoljive politike; pozdravlja načrte skupnega podjetja za ukrepanje v zvezi s tem vprašanjem;</w:t>
      </w:r>
    </w:p>
    <w:p w14:paraId="5C547B1D"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46.</w:t>
      </w:r>
      <w:r w:rsidRPr="00AE12E9">
        <w:rPr>
          <w:kern w:val="2"/>
          <w14:ligatures w14:val="standardContextual"/>
        </w:rPr>
        <w:tab/>
        <w:t>poudarja, da Skupno podjetje za pametna omrežja in storitve ter Skupno podjetje za svetovno zdravje EDCTP3 še vedno nista v celoti uvedla okvira Komisije za notranjo kontrolo, in ju poziva, naj to storita;</w:t>
      </w:r>
    </w:p>
    <w:p w14:paraId="3003E978" w14:textId="77777777" w:rsidR="00AE12E9" w:rsidRPr="00AE12E9" w:rsidRDefault="00AE12E9" w:rsidP="00AE12E9">
      <w:pPr>
        <w:spacing w:after="240"/>
        <w:rPr>
          <w:b/>
          <w:i/>
          <w:kern w:val="2"/>
          <w14:ligatures w14:val="standardContextual"/>
        </w:rPr>
      </w:pPr>
      <w:r w:rsidRPr="00AE12E9">
        <w:rPr>
          <w:b/>
          <w:i/>
          <w:kern w:val="2"/>
          <w14:ligatures w14:val="standardContextual"/>
        </w:rPr>
        <w:t>Goljufije, etika in nasprotje interesov</w:t>
      </w:r>
    </w:p>
    <w:p w14:paraId="21206395"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47.</w:t>
      </w:r>
      <w:r w:rsidRPr="00AE12E9">
        <w:rPr>
          <w:kern w:val="2"/>
          <w14:ligatures w14:val="standardContextual"/>
        </w:rPr>
        <w:tab/>
        <w:t>je seznanjen, da je Računsko sodišče med revizijo za proračunsko leto 2023 o sumu goljufije obvestilo Evropski urad za boj proti goljufijam (OLAF); se zaveda, da je urad OLAF zadevo pozneje zavrnil, saj v zvezi z zadevnimi kadrovskimi zadevami ni bilo opaženih goljufij; pozdravlja skrbnost Računskega sodišča in sodelovanje v strukturi za boj proti goljufijam;</w:t>
      </w:r>
    </w:p>
    <w:p w14:paraId="72990D70"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48.</w:t>
      </w:r>
      <w:r w:rsidRPr="00AE12E9">
        <w:rPr>
          <w:kern w:val="2"/>
          <w14:ligatures w14:val="standardContextual"/>
        </w:rPr>
        <w:tab/>
        <w:t>poudarja pomen sprejetja politike notranjega nadzora občutljivih funkcij za skupna podjetja;</w:t>
      </w:r>
      <w:r w:rsidRPr="00AE12E9">
        <w:rPr>
          <w:b/>
          <w:i/>
          <w:kern w:val="2"/>
          <w14:ligatures w14:val="standardContextual"/>
        </w:rPr>
        <w:t xml:space="preserve"> </w:t>
      </w:r>
      <w:r w:rsidRPr="00AE12E9">
        <w:rPr>
          <w:kern w:val="2"/>
          <w14:ligatures w14:val="standardContextual"/>
        </w:rPr>
        <w:t>poudarja, da lahko takšna politika prepreči in zmanjša tveganje neprimernega ali goljufivega ravnanja; obžaluje, da ob koncu proračunskega leta 2023 Skupno podjetje za raziskave o upravljanju zračnega prometa enotnega evropskega neba 3, Skupno podjetje za čisti vodik, Skupno podjetje za čipe, Skupno podjetje za evropsko visokozmogljivostno računalništvo in Evropsko skupno podjetje za ITER in razvoj fuzijske energije še niso imela politike v zvezi s tem; poudarja kritično naravo te situacije in poziva skupna podjetja, naj ukrepajo brez nepotrebnih zamud;</w:t>
      </w:r>
    </w:p>
    <w:p w14:paraId="74A5785F"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49.</w:t>
      </w:r>
      <w:r w:rsidRPr="00AE12E9">
        <w:rPr>
          <w:kern w:val="2"/>
          <w14:ligatures w14:val="standardContextual"/>
        </w:rPr>
        <w:tab/>
        <w:t>je seznanjen s situacijo v Skupnem podjetju za čipe, ki jo omenja Računsko sodišče, in sicer da je eden od njegovih nekdanjih višjih uslužbencev, ki je prenehal delovno razmerje v skupnem podjetju, nedavno začel opravljati novo poklicno dejavnost, ne da bi skupno podjetje predhodno obvestil; poziva zadevno skupno podjetje in vsa druga skupna podjetja, naj dejavno spremljajo nove poklicne dejavnosti nekdanjih višjih uslužbencev in uslužbencev, ki opravljajo občutljivo funkcijo; pozdravlja dodatne informacije, ki jih je o tem posebnem primeru predložilo zadevno skupno podjetje;</w:t>
      </w:r>
    </w:p>
    <w:p w14:paraId="0B07C9EE" w14:textId="77777777" w:rsidR="00AE12E9" w:rsidRPr="00AE12E9" w:rsidRDefault="00AE12E9" w:rsidP="00AE12E9">
      <w:pPr>
        <w:spacing w:after="240"/>
        <w:ind w:left="567" w:hanging="567"/>
        <w:rPr>
          <w:b/>
          <w:i/>
          <w:kern w:val="2"/>
          <w14:ligatures w14:val="standardContextual"/>
        </w:rPr>
      </w:pPr>
      <w:r w:rsidRPr="00AE12E9">
        <w:rPr>
          <w:kern w:val="2"/>
          <w14:ligatures w14:val="standardContextual"/>
        </w:rPr>
        <w:t>50.</w:t>
      </w:r>
      <w:r w:rsidRPr="00AE12E9">
        <w:rPr>
          <w:b/>
          <w:i/>
          <w:kern w:val="2"/>
          <w14:ligatures w14:val="standardContextual"/>
        </w:rPr>
        <w:tab/>
      </w:r>
      <w:r w:rsidRPr="00AE12E9">
        <w:rPr>
          <w:kern w:val="2"/>
          <w14:ligatures w14:val="standardContextual"/>
        </w:rPr>
        <w:t>poziva vsa skupna podjetja, naj izboljšajo svoje politike preglednosti, zlasti v zvezi z morebitnim nasprotjem interesov; poziva jih, naj objavijo izjave o interesih članov upravnih odborov, znanstvenih odborov in zunanjih strokovnjakov ter poskrbijo, da se razkrijejo vse finančne, strokovne ali osebne povezave s subjekti, ki prejemajo finančna sredstva skupnih podjetij; vztraja, da je treba uvesti obvezno obdobje mirovanja za višje uslužbence skupnih podjetij, preden se lahko zaposlijo v organizacijah, ki prejemajo finančna sredstva skupnih podjetij;</w:t>
      </w:r>
    </w:p>
    <w:p w14:paraId="44DA54DA"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51.</w:t>
      </w:r>
      <w:r w:rsidRPr="00AE12E9">
        <w:rPr>
          <w:kern w:val="2"/>
          <w14:ligatures w14:val="standardContextual"/>
        </w:rPr>
        <w:tab/>
        <w:t>je seznanjen z informacijami, ki so jih sporočila skupna podjetja o svojih dejavnostih preprečevanja, odkrivanja in odprave goljufij; poziva vsa skupna podjetja, naj še naprej poročajo o teh elementih in v svoja prihodnja poročila vključijo jasno predstavitev pravnega okvira in politik, sprejetih v zvezi s tem;</w:t>
      </w:r>
    </w:p>
    <w:p w14:paraId="06F5FB2D" w14:textId="77777777" w:rsidR="00AE12E9" w:rsidRPr="00AE12E9" w:rsidRDefault="00AE12E9" w:rsidP="00AE12E9">
      <w:pPr>
        <w:spacing w:after="240"/>
        <w:rPr>
          <w:b/>
          <w:i/>
          <w:kern w:val="2"/>
          <w14:ligatures w14:val="standardContextual"/>
        </w:rPr>
      </w:pPr>
      <w:r w:rsidRPr="00AE12E9">
        <w:rPr>
          <w:b/>
          <w:i/>
          <w:kern w:val="2"/>
          <w14:ligatures w14:val="standardContextual"/>
        </w:rPr>
        <w:t>Pripombe o nadaljnjem ukrepanju skupnih podjetij na podlagi razrešnice za preteklo obdobje</w:t>
      </w:r>
    </w:p>
    <w:p w14:paraId="25B1A7DE"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52.</w:t>
      </w:r>
      <w:r w:rsidRPr="00AE12E9">
        <w:rPr>
          <w:kern w:val="2"/>
          <w14:ligatures w14:val="standardContextual"/>
        </w:rPr>
        <w:tab/>
        <w:t xml:space="preserve">pozdravlja dejstvo, da so skupna podjetja pripravila poročilo o nadaljnjih ukrepih po resolucijah Evropskega parlamenta s pripombami, ki so del sklepov o razrešnici glede </w:t>
      </w:r>
      <w:r w:rsidRPr="00AE12E9">
        <w:rPr>
          <w:kern w:val="2"/>
          <w14:ligatures w14:val="standardContextual"/>
        </w:rPr>
        <w:lastRenderedPageBreak/>
        <w:t>izvrševanja proračuna skupnih podjetij za proračunsko leto 2022; ugotavlja, da so v teh poročilih v zadovoljivi meri izražena stališča skupnih podjetij o vprašanjih, ki jih je izpostavil Evropski parlament;</w:t>
      </w:r>
    </w:p>
    <w:p w14:paraId="2B81C42B"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53.</w:t>
      </w:r>
      <w:r w:rsidRPr="00AE12E9">
        <w:rPr>
          <w:kern w:val="2"/>
          <w14:ligatures w14:val="standardContextual"/>
        </w:rPr>
        <w:tab/>
        <w:t>pozdravlja dejstvo, da poročilo Računskega sodišča vključuje tudi analizo nadaljnjega ukrepanja skupnih podjetij na podlagi prejšnjih opažanj in priporočil za ukrepe, ki jih je objavilo Računsko sodišče; v zvezi s tem ugotavlja, da je bilo konec leta 2023 od 37 ugotovitev, ki ob koncu leta 2022 niso bile zadostno obravnavane, 16 zaključenih, 21 pa jih je ostalo nerešenih; ugotavlja tudi, da je bilo od 15 ukrepov, priporočenih v letnih poročilih za leti 2021 in 2022, 9 ukrepov v celoti izvedenih, dva večinoma, trije deloma, eden pa sploh ni bil izveden; se zaveda, da se nekatera priporočila, ki jih je treba še uresničiti, nanašajo predvsem na vprašanja v zvezi s človeškimi viri, ki jih lahko skupna podjetja rešijo le v sodelovanju z generalnim direktoratom Komisije za proračun, ko bodo vloge pripravljene za izvedbo; se zaveda, da so bila priporočila, ki jih je bilo treba izvesti pred koncem leta 2023, uresničena pravočasno;</w:t>
      </w:r>
    </w:p>
    <w:p w14:paraId="2C4F7B44"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54.</w:t>
      </w:r>
      <w:r w:rsidRPr="00AE12E9">
        <w:rPr>
          <w:kern w:val="2"/>
          <w14:ligatures w14:val="standardContextual"/>
        </w:rPr>
        <w:tab/>
        <w:t>pozdravlja dejstvo, da je Računsko sodišče določilo rok za izvedbo vseh svojih odprtih priporočil za ukrepanje, ki so bila opredeljena v sodelovanju s skupnimi podjetji, da bi se zagotovila njihova izvedljivost; poziva skupna podjetja, naj o teh vprašanjih poročajo Računskemu sodišču in Evropskemu parlamentu;</w:t>
      </w:r>
    </w:p>
    <w:p w14:paraId="0038AAC9" w14:textId="77777777" w:rsidR="00AE12E9" w:rsidRPr="00AE12E9" w:rsidRDefault="00AE12E9" w:rsidP="00AE12E9">
      <w:pPr>
        <w:spacing w:after="240"/>
        <w:ind w:left="567" w:hanging="567"/>
        <w:rPr>
          <w:b/>
          <w:i/>
          <w:kern w:val="2"/>
          <w14:ligatures w14:val="standardContextual"/>
        </w:rPr>
      </w:pPr>
      <w:r w:rsidRPr="00AE12E9">
        <w:rPr>
          <w:kern w:val="2"/>
          <w14:ligatures w14:val="standardContextual"/>
        </w:rPr>
        <w:t>55.</w:t>
      </w:r>
      <w:r w:rsidRPr="00AE12E9">
        <w:rPr>
          <w:b/>
          <w:i/>
          <w:kern w:val="2"/>
          <w14:ligatures w14:val="standardContextual"/>
        </w:rPr>
        <w:tab/>
      </w:r>
      <w:r w:rsidRPr="00AE12E9">
        <w:rPr>
          <w:kern w:val="2"/>
          <w14:ligatures w14:val="standardContextual"/>
        </w:rPr>
        <w:t>z zaskrbljenostjo ugotavlja, da pri izvajanju projekta ITER še vedno obstajajo izzivi zaradi prekoračitve stroškov, zamud in težav pri upravljanju; poziva k boljšemu finančnemu nadzoru in večji proračunski preglednosti, vključno s podrobnejšim javnim poročanjem o gibanju stroškov, učinkovitosti porabe in napredku pri doseganju ključnih projektnih mejnikov; poudarja, da so potrebni strožji revizijski mehanizmi, da se zagotovi učinkovita uporaba prispevkov Unije k projektu; poziva skupno podjetje, naj izboljša notranje upravljanje z rednimi in neodvisnimi ocenami projektnih tveganj ter z večjo odgovornostjo višjega vodstva;</w:t>
      </w:r>
    </w:p>
    <w:p w14:paraId="18FC94A6" w14:textId="77777777" w:rsidR="00AE12E9" w:rsidRPr="00AE12E9" w:rsidRDefault="00AE12E9" w:rsidP="00AE12E9">
      <w:pPr>
        <w:spacing w:after="240"/>
        <w:rPr>
          <w:b/>
          <w:i/>
          <w:kern w:val="2"/>
          <w14:ligatures w14:val="standardContextual"/>
        </w:rPr>
      </w:pPr>
      <w:r w:rsidRPr="00AE12E9">
        <w:rPr>
          <w:b/>
          <w:i/>
          <w:kern w:val="2"/>
          <w14:ligatures w14:val="standardContextual"/>
        </w:rPr>
        <w:t>Druge prednostne naloge za skupna podjetja</w:t>
      </w:r>
    </w:p>
    <w:p w14:paraId="2CDF5D8E"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56.</w:t>
      </w:r>
      <w:r w:rsidRPr="00AE12E9">
        <w:rPr>
          <w:kern w:val="2"/>
          <w14:ligatures w14:val="standardContextual"/>
        </w:rPr>
        <w:tab/>
        <w:t>se zaveda upravnih in proračunskih omejitev skupnih podjetij in jih v zvezi s temi omejitvami poziva, naj bolje obveščajo o svojem prispevku k raziskovalnim in inovacijskim dejavnostim z dostopnim komunikacijskim gradivom, namenjenim akademskim in raziskovalnim ustanovam, javnim in zasebnim organizacijam ter evropskim in nacionalnim organom; poziva, naj ta dostopni komunikacijski material spodbuja priložnosti za pogodbe o javnih naročilih in nepovratna sredstva, ki jih ponujajo skupna podjetja na področju raziskovanja in inovacij;</w:t>
      </w:r>
    </w:p>
    <w:p w14:paraId="1014C9BE"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57.</w:t>
      </w:r>
      <w:r w:rsidRPr="00AE12E9">
        <w:rPr>
          <w:kern w:val="2"/>
          <w14:ligatures w14:val="standardContextual"/>
        </w:rPr>
        <w:tab/>
        <w:t>poziva skupna podjetja, naj proaktivno sodelujejo v komunikacijskih dejavnostih, da bi dosegla širok krog državljanov EU in na pedagoški način predstavila svoj prispevek k skupnim ciljem in potrebo po institucionaliziranih partnerstvih, ki vključujejo zasebne člane;</w:t>
      </w:r>
    </w:p>
    <w:p w14:paraId="088C29B6" w14:textId="77777777" w:rsidR="00AE12E9" w:rsidRPr="00AE12E9" w:rsidRDefault="00AE12E9" w:rsidP="00AE12E9">
      <w:pPr>
        <w:spacing w:after="240"/>
        <w:ind w:left="567" w:hanging="567"/>
        <w:rPr>
          <w:b/>
          <w:i/>
          <w:kern w:val="2"/>
          <w14:ligatures w14:val="standardContextual"/>
        </w:rPr>
      </w:pPr>
      <w:r w:rsidRPr="00AE12E9">
        <w:rPr>
          <w:kern w:val="2"/>
          <w14:ligatures w14:val="standardContextual"/>
        </w:rPr>
        <w:t>58.</w:t>
      </w:r>
      <w:r w:rsidRPr="00AE12E9">
        <w:rPr>
          <w:b/>
          <w:i/>
          <w:kern w:val="2"/>
          <w14:ligatures w14:val="standardContextual"/>
        </w:rPr>
        <w:tab/>
      </w:r>
      <w:r w:rsidRPr="00AE12E9">
        <w:rPr>
          <w:kern w:val="2"/>
          <w14:ligatures w14:val="standardContextual"/>
        </w:rPr>
        <w:t>poziva skupna podjetja, naj začnejo sodelovati z univerzami, da bi dosegla mlade evropske diplomante in pomagale pri njihovem prihodnjem zaposlovanju;</w:t>
      </w:r>
    </w:p>
    <w:p w14:paraId="0428DAA0"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59.</w:t>
      </w:r>
      <w:r w:rsidRPr="00AE12E9">
        <w:rPr>
          <w:kern w:val="2"/>
          <w14:ligatures w14:val="standardContextual"/>
        </w:rPr>
        <w:tab/>
        <w:t xml:space="preserve">poziva skupna podjetja, naj še naprej učinkovito in v obsegu svojih zmogljivosti poročajo o svojem prispevku k zaposlovanju in konkurenčnosti evropskega gospodarstva, saj se morajo vsi pomembni deležniki Evropske unije na področju </w:t>
      </w:r>
      <w:r w:rsidRPr="00AE12E9">
        <w:rPr>
          <w:kern w:val="2"/>
          <w14:ligatures w14:val="standardContextual"/>
        </w:rPr>
        <w:lastRenderedPageBreak/>
        <w:t>raziskav in inovacij osredotočiti na ponovno industrializacijo Evropske unije;</w:t>
      </w:r>
    </w:p>
    <w:p w14:paraId="2E57E5BF"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60.</w:t>
      </w:r>
      <w:r w:rsidRPr="00AE12E9">
        <w:rPr>
          <w:kern w:val="2"/>
          <w14:ligatures w14:val="standardContextual"/>
        </w:rPr>
        <w:tab/>
        <w:t>poziva skupna podjetja, naj še naprej zagotavljajo zadostno raven udeležbe zasebnih podjetij, zlasti malih in srednje velikih, ki so najmočnejši adut evropskega gospodarstva;</w:t>
      </w:r>
    </w:p>
    <w:p w14:paraId="7D159E02"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61.</w:t>
      </w:r>
      <w:r w:rsidRPr="00AE12E9">
        <w:rPr>
          <w:kern w:val="2"/>
          <w14:ligatures w14:val="standardContextual"/>
        </w:rPr>
        <w:tab/>
        <w:t>poziva skupna podjetja, naj učinkovito poročajo o svojem prispevku k horizontalnim prednostnim nalogam proračuna Evropske unije;</w:t>
      </w:r>
    </w:p>
    <w:p w14:paraId="415BB9D3"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62.</w:t>
      </w:r>
      <w:r w:rsidRPr="00AE12E9">
        <w:rPr>
          <w:kern w:val="2"/>
          <w14:ligatures w14:val="standardContextual"/>
        </w:rPr>
        <w:tab/>
        <w:t>poziva vsa skupna podjetja, naj še naprej skrbno izvajajo svoje dejavnosti v odnosih z mednarodnimi deležniki, zlasti ob upoštevanju režima omejevalnih ukrepov, ki ga je uvedla Evropska unija; v zvezi s tem poudarja poseben položaj Evropskega skupnega podjetja za ITER in razvoj fuzijske energije ter pozdravlja pojasnila, ki so bila podana na njegovi predstavitvi v Odboru za proračunski nadzor o ukrepih, sprejetih za preprečevanje težav v projektu ITER;</w:t>
      </w:r>
    </w:p>
    <w:p w14:paraId="76F49A4F" w14:textId="77777777" w:rsidR="00AE12E9" w:rsidRPr="00AE12E9" w:rsidRDefault="00AE12E9" w:rsidP="00AE12E9">
      <w:pPr>
        <w:spacing w:after="240"/>
        <w:ind w:left="567" w:hanging="567"/>
        <w:rPr>
          <w:kern w:val="2"/>
          <w14:ligatures w14:val="standardContextual"/>
        </w:rPr>
      </w:pPr>
      <w:r w:rsidRPr="00AE12E9">
        <w:rPr>
          <w:kern w:val="2"/>
          <w14:ligatures w14:val="standardContextual"/>
        </w:rPr>
        <w:t>63.</w:t>
      </w:r>
      <w:r w:rsidRPr="00AE12E9">
        <w:rPr>
          <w:kern w:val="2"/>
          <w14:ligatures w14:val="standardContextual"/>
        </w:rPr>
        <w:tab/>
        <w:t>poziva vsa skupna podjetja, naj zagotovijo, da bodo njihovi zaposleni na vseh ustreznih področjih dobro izkoristili morebitne sinergije z drugimi subjekti iz Evropske unije, kot so agencije, da bi povečali učinkovitost ter učinek svojih dejavnosti; poziva vsa skupna podjetja, naj zagotovijo, da vsi njihovi uslužbenci dobro uporabljajo platformo, ki sestavlja mrežo agencij EU (EUAN);</w:t>
      </w:r>
    </w:p>
    <w:p w14:paraId="20D0AD8E" w14:textId="77777777" w:rsidR="00AE12E9" w:rsidRPr="00AE12E9" w:rsidRDefault="00AE12E9" w:rsidP="00AE12E9">
      <w:pPr>
        <w:spacing w:after="240"/>
        <w:ind w:left="567" w:hanging="567"/>
        <w:rPr>
          <w:b/>
          <w:i/>
          <w:kern w:val="2"/>
          <w14:ligatures w14:val="standardContextual"/>
        </w:rPr>
      </w:pPr>
      <w:r w:rsidRPr="00AE12E9">
        <w:rPr>
          <w:kern w:val="2"/>
          <w14:ligatures w14:val="standardContextual"/>
        </w:rPr>
        <w:t>64.</w:t>
      </w:r>
      <w:r w:rsidRPr="00AE12E9">
        <w:rPr>
          <w:b/>
          <w:i/>
          <w:kern w:val="2"/>
          <w14:ligatures w14:val="standardContextual"/>
        </w:rPr>
        <w:tab/>
      </w:r>
      <w:r w:rsidRPr="00AE12E9">
        <w:rPr>
          <w:kern w:val="2"/>
          <w14:ligatures w14:val="standardContextual"/>
        </w:rPr>
        <w:t>poudarja potrebo po digitalni suverenosti pri raziskavah, ki jih financira Unija; v zvezi s tem posebno pozornost namenja Skupnemu podjetju za čipe, Skupnemu podjetju za evropsko visokozmogljivostno računalništvo in Skupnemu podjetju za pametna omrežja in storitve, saj dajejo prednost projektom, ki krepijo avtonomijo Unije na področju proizvodnje polprevodnikov, umetne inteligence in kibernetske varnosti; poziva Komisijo, naj zagotovi, da projekti, ki jih financirajo skupna podjetja: (i) ne bodo preveč odvisni od dobaviteljev ključnih tehnologij iz tretjih držav; (ii) bodo prispevali k industrijski odpornosti in strateški neodvisnosti Uniji; (iii) bodo spodbujali raziskave in razvoj v ključnih digitalnih sektorjih;</w:t>
      </w:r>
    </w:p>
    <w:p w14:paraId="009EE6F3" w14:textId="77777777" w:rsidR="00AE12E9" w:rsidRPr="00AE12E9" w:rsidRDefault="00AE12E9" w:rsidP="00AE12E9">
      <w:pPr>
        <w:spacing w:after="240"/>
        <w:rPr>
          <w:b/>
          <w:i/>
          <w:kern w:val="2"/>
          <w14:ligatures w14:val="standardContextual"/>
        </w:rPr>
      </w:pPr>
      <w:r w:rsidRPr="00AE12E9">
        <w:rPr>
          <w:b/>
          <w:i/>
          <w:kern w:val="2"/>
          <w14:ligatures w14:val="standardContextual"/>
        </w:rPr>
        <w:t>Poziv k nadaljnjim ukrepom</w:t>
      </w:r>
    </w:p>
    <w:p w14:paraId="6B0E9AE4" w14:textId="77777777" w:rsidR="00AE12E9" w:rsidRPr="00AE12E9" w:rsidRDefault="00AE12E9" w:rsidP="00AE12E9">
      <w:pPr>
        <w:spacing w:after="240"/>
        <w:ind w:left="567" w:hanging="567"/>
        <w:rPr>
          <w:kern w:val="2"/>
          <w:szCs w:val="24"/>
          <w14:ligatures w14:val="standardContextual"/>
        </w:rPr>
      </w:pPr>
      <w:r w:rsidRPr="00AE12E9">
        <w:rPr>
          <w:kern w:val="2"/>
          <w14:ligatures w14:val="standardContextual"/>
        </w:rPr>
        <w:t>65.</w:t>
      </w:r>
      <w:r w:rsidRPr="00AE12E9">
        <w:rPr>
          <w:kern w:val="2"/>
          <w14:ligatures w14:val="standardContextual"/>
        </w:rPr>
        <w:tab/>
        <w:t>poziva vsa skupna podjetja, ki so v postopku podelitve razrešnice za proračunsko leto 2023, naj pripravijo individualna poročila o spremljanju o ukrepih, sprejetih v odgovor na specifična vprašanja iz te resolucije, in ta poročila s podpisi svojih (izvršnih) direktorjev Evropskemu parlamentu predložijo najpozneje do 30. septembra 2025;</w:t>
      </w:r>
    </w:p>
    <w:p w14:paraId="2D571654" w14:textId="6DE25DF0" w:rsidR="00AE12E9" w:rsidRPr="00AE12E9" w:rsidRDefault="00AE12E9" w:rsidP="00AE12E9">
      <w:pPr>
        <w:spacing w:after="240"/>
        <w:ind w:left="567" w:hanging="567"/>
      </w:pPr>
      <w:r w:rsidRPr="00AE12E9">
        <w:rPr>
          <w:kern w:val="2"/>
          <w14:ligatures w14:val="standardContextual"/>
        </w:rPr>
        <w:t>66.</w:t>
      </w:r>
      <w:r w:rsidRPr="00AE12E9">
        <w:rPr>
          <w:kern w:val="2"/>
          <w14:ligatures w14:val="standardContextual"/>
        </w:rPr>
        <w:tab/>
        <w:t>poudarja, da poročila o spremljanju lahko vsebujejo splošna stališča skupnih podjetij glede te resolucije in drugih zadev, ki so pomembne za organ za podelitev razrešnice; pričakuje, da bodo skupna podjetja ta poročila pripravila celovito, v dobi veri in v duhu sodelovanja in da se bodo dotaknila vseh vprašanj, ki jih je Evropski parlament omenil v zvezi z njihovimi dejavnostmi.</w:t>
      </w:r>
    </w:p>
    <w:bookmarkEnd w:id="5"/>
    <w:sectPr w:rsidR="00AE12E9" w:rsidRPr="00AE12E9" w:rsidSect="001D2F3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2ECBD" w14:textId="77777777" w:rsidR="004839B9" w:rsidRPr="001D2F38" w:rsidRDefault="004839B9">
      <w:r w:rsidRPr="001D2F38">
        <w:separator/>
      </w:r>
    </w:p>
  </w:endnote>
  <w:endnote w:type="continuationSeparator" w:id="0">
    <w:p w14:paraId="0186B1D2" w14:textId="77777777" w:rsidR="004839B9" w:rsidRPr="001D2F38" w:rsidRDefault="004839B9">
      <w:r w:rsidRPr="001D2F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699FE" w14:textId="77777777" w:rsidR="00064002" w:rsidRPr="001D2F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67DD5" w14:textId="77777777" w:rsidR="00064002" w:rsidRPr="001D2F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AA09" w14:textId="77777777" w:rsidR="00064002" w:rsidRPr="001D2F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2793A" w14:textId="77777777" w:rsidR="004839B9" w:rsidRPr="001D2F38" w:rsidRDefault="004839B9">
      <w:r w:rsidRPr="001D2F38">
        <w:separator/>
      </w:r>
    </w:p>
  </w:footnote>
  <w:footnote w:type="continuationSeparator" w:id="0">
    <w:p w14:paraId="2FCBC354" w14:textId="77777777" w:rsidR="004839B9" w:rsidRPr="001D2F38" w:rsidRDefault="004839B9">
      <w:r w:rsidRPr="001D2F38">
        <w:continuationSeparator/>
      </w:r>
    </w:p>
  </w:footnote>
  <w:footnote w:id="1">
    <w:p w14:paraId="53E598F0"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t xml:space="preserve">UL C, C/2024/6841, 13.11.2024, ELI: </w:t>
      </w:r>
      <w:hyperlink r:id="rId1" w:history="1">
        <w:r w:rsidRPr="00817D8F">
          <w:rPr>
            <w:rStyle w:val="Hyperlink1"/>
            <w:sz w:val="24"/>
            <w:szCs w:val="24"/>
            <w:lang w:val="sl-SI"/>
          </w:rPr>
          <w:t>http://data.europa.eu/eli/C/2024/6841/oj</w:t>
        </w:r>
      </w:hyperlink>
      <w:r w:rsidRPr="00817D8F">
        <w:rPr>
          <w:sz w:val="24"/>
          <w:szCs w:val="24"/>
          <w:lang w:val="sl-SI"/>
        </w:rPr>
        <w:t>.</w:t>
      </w:r>
    </w:p>
  </w:footnote>
  <w:footnote w:id="2">
    <w:p w14:paraId="2A2901AF"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C/2024/6041, 10.10.2024, ELI: </w:t>
      </w:r>
      <w:hyperlink r:id="rId2" w:history="1">
        <w:r w:rsidRPr="00817D8F">
          <w:rPr>
            <w:rStyle w:val="Hyperlink1"/>
            <w:sz w:val="24"/>
            <w:szCs w:val="24"/>
            <w:lang w:val="sl-SI"/>
          </w:rPr>
          <w:t>http://data.europa.eu/eli/C/2024/6041/oj</w:t>
        </w:r>
      </w:hyperlink>
      <w:r w:rsidRPr="00817D8F">
        <w:rPr>
          <w:sz w:val="24"/>
          <w:szCs w:val="24"/>
          <w:lang w:val="sl-SI"/>
        </w:rPr>
        <w:t>.</w:t>
      </w:r>
    </w:p>
  </w:footnote>
  <w:footnote w:id="3">
    <w:p w14:paraId="02326FE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193, 30.7.2018, str. 1, ELI: </w:t>
      </w:r>
      <w:hyperlink r:id="rId3" w:history="1">
        <w:r w:rsidRPr="00817D8F">
          <w:rPr>
            <w:rStyle w:val="Hyperlink1"/>
            <w:sz w:val="24"/>
            <w:szCs w:val="24"/>
            <w:lang w:val="sl-SI"/>
          </w:rPr>
          <w:t>http://data.europa.eu/eli/reg/2018/1046/oj</w:t>
        </w:r>
      </w:hyperlink>
      <w:r w:rsidRPr="00817D8F">
        <w:rPr>
          <w:sz w:val="24"/>
          <w:szCs w:val="24"/>
          <w:lang w:val="sl-SI"/>
        </w:rPr>
        <w:t>.</w:t>
      </w:r>
    </w:p>
  </w:footnote>
  <w:footnote w:id="4">
    <w:p w14:paraId="63FB451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2024/2509, 26.9.2024, ELI: </w:t>
      </w:r>
      <w:hyperlink r:id="rId4"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5">
    <w:p w14:paraId="39962CDE"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427, 30.11.2021, str. 17, ELI: </w:t>
      </w:r>
      <w:hyperlink r:id="rId5" w:history="1">
        <w:r w:rsidRPr="00817D8F">
          <w:rPr>
            <w:rStyle w:val="Hyperlink1"/>
            <w:sz w:val="24"/>
            <w:szCs w:val="24"/>
            <w:lang w:val="sl-SI"/>
          </w:rPr>
          <w:t>http://data.europa.eu/eli/reg/2021/2085/oj</w:t>
        </w:r>
      </w:hyperlink>
      <w:r w:rsidRPr="00817D8F">
        <w:rPr>
          <w:sz w:val="24"/>
          <w:szCs w:val="24"/>
          <w:lang w:val="sl-SI"/>
        </w:rPr>
        <w:t>.</w:t>
      </w:r>
    </w:p>
  </w:footnote>
  <w:footnote w:id="6">
    <w:p w14:paraId="51442341"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142, 29.5.2019, str. 16, ELI: </w:t>
      </w:r>
      <w:hyperlink r:id="rId6" w:history="1">
        <w:r w:rsidRPr="00817D8F">
          <w:rPr>
            <w:rStyle w:val="Hyperlink1"/>
            <w:sz w:val="24"/>
            <w:szCs w:val="24"/>
            <w:lang w:val="sl-SI"/>
          </w:rPr>
          <w:t>http://data.europa.eu/eli/reg_del/2019/887/oj</w:t>
        </w:r>
      </w:hyperlink>
      <w:r w:rsidRPr="00817D8F">
        <w:rPr>
          <w:sz w:val="24"/>
          <w:szCs w:val="24"/>
          <w:lang w:val="sl-SI"/>
        </w:rPr>
        <w:t>.</w:t>
      </w:r>
    </w:p>
  </w:footnote>
  <w:footnote w:id="7">
    <w:p w14:paraId="3E094FF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C/2024/6841, 13.11.2024, ELI: </w:t>
      </w:r>
      <w:hyperlink r:id="rId7" w:history="1">
        <w:r w:rsidRPr="00817D8F">
          <w:rPr>
            <w:rStyle w:val="Hyperlink"/>
            <w:sz w:val="24"/>
            <w:szCs w:val="24"/>
            <w:lang w:val="sl-SI"/>
          </w:rPr>
          <w:t>http://data.europa.eu/eli/C/2024/6841/oj</w:t>
        </w:r>
      </w:hyperlink>
      <w:r w:rsidRPr="00817D8F">
        <w:rPr>
          <w:sz w:val="24"/>
          <w:szCs w:val="24"/>
          <w:lang w:val="sl-SI"/>
        </w:rPr>
        <w:t>.</w:t>
      </w:r>
    </w:p>
  </w:footnote>
  <w:footnote w:id="8">
    <w:p w14:paraId="064D073B"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C/2024/6041, 10.10.2024, ELI: </w:t>
      </w:r>
      <w:hyperlink r:id="rId8" w:history="1">
        <w:r w:rsidRPr="00817D8F">
          <w:rPr>
            <w:rStyle w:val="Hyperlink"/>
            <w:sz w:val="24"/>
            <w:szCs w:val="24"/>
            <w:lang w:val="sl-SI"/>
          </w:rPr>
          <w:t>http://data.europa.eu/eli/C/2024/6041/oj</w:t>
        </w:r>
      </w:hyperlink>
      <w:r w:rsidRPr="00817D8F">
        <w:rPr>
          <w:sz w:val="24"/>
          <w:szCs w:val="24"/>
          <w:lang w:val="sl-SI"/>
        </w:rPr>
        <w:t>.</w:t>
      </w:r>
    </w:p>
  </w:footnote>
  <w:footnote w:id="9">
    <w:p w14:paraId="541B0FC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193, 30.7.2018, str. 1, ELI: </w:t>
      </w:r>
      <w:hyperlink r:id="rId9" w:history="1">
        <w:r w:rsidRPr="00817D8F">
          <w:rPr>
            <w:rStyle w:val="Hyperlink"/>
            <w:sz w:val="24"/>
            <w:szCs w:val="24"/>
            <w:lang w:val="sl-SI"/>
          </w:rPr>
          <w:t>http://data.europa.eu/eli/reg/2018/1046/oj</w:t>
        </w:r>
      </w:hyperlink>
      <w:r w:rsidRPr="00817D8F">
        <w:rPr>
          <w:sz w:val="24"/>
          <w:szCs w:val="24"/>
          <w:lang w:val="sl-SI"/>
        </w:rPr>
        <w:t>.</w:t>
      </w:r>
    </w:p>
  </w:footnote>
  <w:footnote w:id="10">
    <w:p w14:paraId="2D38A7EC"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2024/2509, 26.9.2024, ELI: </w:t>
      </w:r>
      <w:hyperlink r:id="rId10" w:history="1">
        <w:r w:rsidRPr="00817D8F">
          <w:rPr>
            <w:rStyle w:val="Hyperlink"/>
            <w:sz w:val="24"/>
            <w:szCs w:val="24"/>
            <w:shd w:val="clear" w:color="auto" w:fill="FFFFFF"/>
            <w:lang w:val="sl-SI"/>
          </w:rPr>
          <w:t>http://data.europa.eu/eli/reg/2024/2509/oj</w:t>
        </w:r>
      </w:hyperlink>
      <w:r w:rsidRPr="00817D8F">
        <w:rPr>
          <w:sz w:val="24"/>
          <w:szCs w:val="24"/>
          <w:lang w:val="sl-SI"/>
        </w:rPr>
        <w:t>.</w:t>
      </w:r>
    </w:p>
  </w:footnote>
  <w:footnote w:id="11">
    <w:p w14:paraId="718EDAC7"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427, 30.11.2021, str. 17, ELI: </w:t>
      </w:r>
      <w:hyperlink r:id="rId11" w:history="1">
        <w:r w:rsidRPr="00817D8F">
          <w:rPr>
            <w:rStyle w:val="Hyperlink"/>
            <w:sz w:val="24"/>
            <w:szCs w:val="24"/>
            <w:lang w:val="sl-SI"/>
          </w:rPr>
          <w:t>http://data.europa.eu/eli/reg/2021/2085/oj</w:t>
        </w:r>
      </w:hyperlink>
      <w:r w:rsidRPr="00817D8F">
        <w:rPr>
          <w:sz w:val="24"/>
          <w:szCs w:val="24"/>
          <w:lang w:val="sl-SI"/>
        </w:rPr>
        <w:t>.</w:t>
      </w:r>
    </w:p>
  </w:footnote>
  <w:footnote w:id="12">
    <w:p w14:paraId="106C0087"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142, 29.5.2019, str. 16, ELI: </w:t>
      </w:r>
      <w:hyperlink r:id="rId12" w:history="1">
        <w:r w:rsidRPr="00817D8F">
          <w:rPr>
            <w:rStyle w:val="Hyperlink"/>
            <w:sz w:val="24"/>
            <w:szCs w:val="24"/>
            <w:lang w:val="sl-SI"/>
          </w:rPr>
          <w:t>http://data.europa.eu/eli/reg_del/2019/887/oj</w:t>
        </w:r>
      </w:hyperlink>
      <w:r w:rsidRPr="00817D8F">
        <w:rPr>
          <w:sz w:val="24"/>
          <w:szCs w:val="24"/>
          <w:lang w:val="sl-SI"/>
        </w:rPr>
        <w:t>.</w:t>
      </w:r>
    </w:p>
  </w:footnote>
  <w:footnote w:id="13">
    <w:p w14:paraId="1A5CF4D1"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C/2024/6841, 13.11.2024, ELI: </w:t>
      </w:r>
      <w:hyperlink r:id="rId13" w:history="1">
        <w:r w:rsidRPr="00817D8F">
          <w:rPr>
            <w:rStyle w:val="Hyperlink1"/>
            <w:sz w:val="24"/>
            <w:szCs w:val="24"/>
            <w:lang w:val="sl-SI"/>
          </w:rPr>
          <w:t>http://data.europa.eu/eli/C/2024/6841/oj</w:t>
        </w:r>
      </w:hyperlink>
      <w:r w:rsidRPr="00817D8F">
        <w:rPr>
          <w:sz w:val="24"/>
          <w:szCs w:val="24"/>
          <w:lang w:val="sl-SI"/>
        </w:rPr>
        <w:t>.</w:t>
      </w:r>
    </w:p>
  </w:footnote>
  <w:footnote w:id="14">
    <w:p w14:paraId="7B28AB1F"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C/2024/6041, 10.10.2024, ELI: </w:t>
      </w:r>
      <w:hyperlink r:id="rId14" w:history="1">
        <w:r w:rsidRPr="00817D8F">
          <w:rPr>
            <w:rStyle w:val="Hyperlink1"/>
            <w:sz w:val="24"/>
            <w:szCs w:val="24"/>
            <w:lang w:val="sl-SI"/>
          </w:rPr>
          <w:t>http://data.europa.eu/eli/C/2024/6041/oj</w:t>
        </w:r>
      </w:hyperlink>
      <w:r w:rsidRPr="00817D8F">
        <w:rPr>
          <w:sz w:val="24"/>
          <w:szCs w:val="24"/>
          <w:lang w:val="sl-SI"/>
        </w:rPr>
        <w:t>.</w:t>
      </w:r>
    </w:p>
  </w:footnote>
  <w:footnote w:id="15">
    <w:p w14:paraId="6239C31D"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193, 30.7.2018, str. 1, ELI: </w:t>
      </w:r>
      <w:hyperlink r:id="rId15" w:history="1">
        <w:r w:rsidRPr="00817D8F">
          <w:rPr>
            <w:rStyle w:val="Hyperlink1"/>
            <w:sz w:val="24"/>
            <w:szCs w:val="24"/>
            <w:lang w:val="sl-SI"/>
          </w:rPr>
          <w:t>http://data.europa.eu/eli/reg/2018/1046/oj</w:t>
        </w:r>
      </w:hyperlink>
      <w:r w:rsidRPr="00817D8F">
        <w:rPr>
          <w:sz w:val="24"/>
          <w:szCs w:val="24"/>
          <w:lang w:val="sl-SI"/>
        </w:rPr>
        <w:t>.</w:t>
      </w:r>
    </w:p>
  </w:footnote>
  <w:footnote w:id="16">
    <w:p w14:paraId="5CFF1D4E"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2024/2509, 26.9.2024, ELI: </w:t>
      </w:r>
      <w:hyperlink r:id="rId16"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17">
    <w:p w14:paraId="4214172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427, 30.11.2021, str. 17, ELI: </w:t>
      </w:r>
      <w:hyperlink r:id="rId17" w:history="1">
        <w:r w:rsidRPr="00817D8F">
          <w:rPr>
            <w:rStyle w:val="Hyperlink1"/>
            <w:sz w:val="24"/>
            <w:szCs w:val="24"/>
            <w:lang w:val="sl-SI"/>
          </w:rPr>
          <w:t>http://data.europa.eu/eli/reg/2021/2085/oj</w:t>
        </w:r>
      </w:hyperlink>
      <w:r w:rsidRPr="00817D8F">
        <w:rPr>
          <w:sz w:val="24"/>
          <w:szCs w:val="24"/>
          <w:lang w:val="sl-SI"/>
        </w:rPr>
        <w:t>.</w:t>
      </w:r>
    </w:p>
  </w:footnote>
  <w:footnote w:id="18">
    <w:p w14:paraId="17C8D02B"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142, 29.5.2019, str. 16, ELI: </w:t>
      </w:r>
      <w:hyperlink r:id="rId18" w:history="1">
        <w:r w:rsidRPr="00817D8F">
          <w:rPr>
            <w:rStyle w:val="Hyperlink1"/>
            <w:sz w:val="24"/>
            <w:szCs w:val="24"/>
            <w:lang w:val="sl-SI"/>
          </w:rPr>
          <w:t>http://data.europa.eu/eli/reg_del/2019/887/oj</w:t>
        </w:r>
      </w:hyperlink>
      <w:r w:rsidRPr="00817D8F">
        <w:rPr>
          <w:sz w:val="24"/>
          <w:szCs w:val="24"/>
          <w:lang w:val="sl-SI"/>
        </w:rPr>
        <w:t>.</w:t>
      </w:r>
    </w:p>
  </w:footnote>
  <w:footnote w:id="19">
    <w:p w14:paraId="0DE6C06A"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C/2024/6841, 13.11.2024, ELI: </w:t>
      </w:r>
      <w:hyperlink r:id="rId19" w:history="1">
        <w:r w:rsidRPr="00817D8F">
          <w:rPr>
            <w:rStyle w:val="Hyperlink1"/>
            <w:sz w:val="24"/>
            <w:szCs w:val="24"/>
            <w:lang w:val="sl-SI"/>
          </w:rPr>
          <w:t>http://data.europa.eu/eli/C/2024/6841/oj</w:t>
        </w:r>
      </w:hyperlink>
      <w:r w:rsidRPr="00817D8F">
        <w:rPr>
          <w:sz w:val="24"/>
          <w:szCs w:val="24"/>
          <w:lang w:val="sl-SI"/>
        </w:rPr>
        <w:t>.</w:t>
      </w:r>
    </w:p>
  </w:footnote>
  <w:footnote w:id="20">
    <w:p w14:paraId="68705E3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C/2024/6041, 10.10.2024, ELI: </w:t>
      </w:r>
      <w:hyperlink r:id="rId20" w:history="1">
        <w:r w:rsidRPr="00817D8F">
          <w:rPr>
            <w:rStyle w:val="Hyperlink1"/>
            <w:sz w:val="24"/>
            <w:szCs w:val="24"/>
            <w:lang w:val="sl-SI"/>
          </w:rPr>
          <w:t>http://data.europa.eu/eli/C/2024/6041/oj</w:t>
        </w:r>
      </w:hyperlink>
      <w:r w:rsidRPr="00817D8F">
        <w:rPr>
          <w:sz w:val="24"/>
          <w:szCs w:val="24"/>
          <w:lang w:val="sl-SI"/>
        </w:rPr>
        <w:t xml:space="preserve">. </w:t>
      </w:r>
    </w:p>
  </w:footnote>
  <w:footnote w:id="21">
    <w:p w14:paraId="39DBA7FE"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193, 30.7.2018, str. 1, ELI: </w:t>
      </w:r>
      <w:hyperlink r:id="rId21" w:history="1">
        <w:r w:rsidRPr="00817D8F">
          <w:rPr>
            <w:rStyle w:val="Hyperlink1"/>
            <w:sz w:val="24"/>
            <w:szCs w:val="24"/>
            <w:lang w:val="sl-SI"/>
          </w:rPr>
          <w:t>http://data.europa.eu/eli/reg/2018/1046/oj</w:t>
        </w:r>
      </w:hyperlink>
      <w:r w:rsidRPr="00817D8F">
        <w:rPr>
          <w:sz w:val="24"/>
          <w:szCs w:val="24"/>
          <w:lang w:val="sl-SI"/>
        </w:rPr>
        <w:t>.</w:t>
      </w:r>
    </w:p>
  </w:footnote>
  <w:footnote w:id="22">
    <w:p w14:paraId="3AC89BB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2024/2509, 26.9.2024, ELI: </w:t>
      </w:r>
      <w:hyperlink r:id="rId22"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23">
    <w:p w14:paraId="3D0A3FD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427, 30.11.2021, str. 17, ELI: </w:t>
      </w:r>
      <w:hyperlink r:id="rId23" w:history="1">
        <w:r w:rsidRPr="00817D8F">
          <w:rPr>
            <w:rStyle w:val="Hyperlink1"/>
            <w:sz w:val="24"/>
            <w:szCs w:val="24"/>
            <w:lang w:val="sl-SI"/>
          </w:rPr>
          <w:t>http://data.europa.eu/eli/reg/2021/2085/oj</w:t>
        </w:r>
      </w:hyperlink>
      <w:r w:rsidRPr="00817D8F">
        <w:rPr>
          <w:sz w:val="24"/>
          <w:szCs w:val="24"/>
          <w:lang w:val="sl-SI"/>
        </w:rPr>
        <w:t>.</w:t>
      </w:r>
    </w:p>
  </w:footnote>
  <w:footnote w:id="24">
    <w:p w14:paraId="4D3F700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142, 29.5.2019, str. 16, ELI: </w:t>
      </w:r>
      <w:hyperlink r:id="rId24" w:history="1">
        <w:r w:rsidRPr="00817D8F">
          <w:rPr>
            <w:rStyle w:val="Hyperlink1"/>
            <w:sz w:val="24"/>
            <w:szCs w:val="24"/>
            <w:lang w:val="sl-SI"/>
          </w:rPr>
          <w:t>http://data.europa.eu/eli/reg_del/2019/887/oj</w:t>
        </w:r>
      </w:hyperlink>
      <w:r w:rsidRPr="00817D8F">
        <w:rPr>
          <w:sz w:val="24"/>
          <w:szCs w:val="24"/>
          <w:lang w:val="sl-SI"/>
        </w:rPr>
        <w:t>.</w:t>
      </w:r>
    </w:p>
  </w:footnote>
  <w:footnote w:id="25">
    <w:p w14:paraId="15B95F03"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C/2024/6841, 13.11.2024, ELI: </w:t>
      </w:r>
      <w:hyperlink r:id="rId25" w:history="1">
        <w:r w:rsidRPr="00817D8F">
          <w:rPr>
            <w:rStyle w:val="Hyperlink"/>
            <w:sz w:val="24"/>
            <w:szCs w:val="24"/>
            <w:lang w:val="sl-SI"/>
          </w:rPr>
          <w:t>http://data.europa.eu/eli/C/2024/6841/oj</w:t>
        </w:r>
      </w:hyperlink>
      <w:r w:rsidRPr="00817D8F">
        <w:rPr>
          <w:sz w:val="24"/>
          <w:szCs w:val="24"/>
          <w:lang w:val="sl-SI"/>
        </w:rPr>
        <w:t>.</w:t>
      </w:r>
    </w:p>
  </w:footnote>
  <w:footnote w:id="26">
    <w:p w14:paraId="037EBED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C/2024/6041, 10.10.2024, ELI: </w:t>
      </w:r>
      <w:hyperlink r:id="rId26" w:history="1">
        <w:r w:rsidRPr="00817D8F">
          <w:rPr>
            <w:rStyle w:val="Hyperlink"/>
            <w:sz w:val="24"/>
            <w:szCs w:val="24"/>
            <w:lang w:val="sl-SI"/>
          </w:rPr>
          <w:t>http://data.europa.eu/eli/C/2024/6041/oj</w:t>
        </w:r>
      </w:hyperlink>
      <w:r w:rsidRPr="00817D8F">
        <w:rPr>
          <w:sz w:val="24"/>
          <w:szCs w:val="24"/>
          <w:lang w:val="sl-SI"/>
        </w:rPr>
        <w:t>.</w:t>
      </w:r>
    </w:p>
  </w:footnote>
  <w:footnote w:id="27">
    <w:p w14:paraId="306C4C9F"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193, 30.7.2018, str. 1, ELI: </w:t>
      </w:r>
      <w:hyperlink r:id="rId27" w:history="1">
        <w:r w:rsidRPr="00817D8F">
          <w:rPr>
            <w:rStyle w:val="Hyperlink"/>
            <w:sz w:val="24"/>
            <w:szCs w:val="24"/>
            <w:lang w:val="sl-SI"/>
          </w:rPr>
          <w:t>http://data.europa.eu/eli/reg/2018/1046/oj</w:t>
        </w:r>
      </w:hyperlink>
      <w:r w:rsidRPr="00817D8F">
        <w:rPr>
          <w:sz w:val="24"/>
          <w:szCs w:val="24"/>
          <w:lang w:val="sl-SI"/>
        </w:rPr>
        <w:t>.</w:t>
      </w:r>
    </w:p>
  </w:footnote>
  <w:footnote w:id="28">
    <w:p w14:paraId="45C435AB"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2024/2509, 26.9.2024, ELI: </w:t>
      </w:r>
      <w:hyperlink r:id="rId28" w:history="1">
        <w:r w:rsidRPr="00817D8F">
          <w:rPr>
            <w:rStyle w:val="Hyperlink"/>
            <w:sz w:val="24"/>
            <w:szCs w:val="24"/>
            <w:shd w:val="clear" w:color="auto" w:fill="FFFFFF"/>
            <w:lang w:val="sl-SI"/>
          </w:rPr>
          <w:t>http://data.europa.eu/eli/reg/2024/2509/oj</w:t>
        </w:r>
      </w:hyperlink>
      <w:r w:rsidRPr="00817D8F">
        <w:rPr>
          <w:sz w:val="24"/>
          <w:szCs w:val="24"/>
          <w:lang w:val="sl-SI"/>
        </w:rPr>
        <w:t>.</w:t>
      </w:r>
    </w:p>
  </w:footnote>
  <w:footnote w:id="29">
    <w:p w14:paraId="134BCD0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427, 30.11.2021, str. 17, ELI: </w:t>
      </w:r>
      <w:hyperlink r:id="rId29" w:history="1">
        <w:r w:rsidRPr="00817D8F">
          <w:rPr>
            <w:rStyle w:val="Hyperlink"/>
            <w:sz w:val="24"/>
            <w:szCs w:val="24"/>
            <w:lang w:val="sl-SI"/>
          </w:rPr>
          <w:t>http://data.europa.eu/eli/reg/2021/2085/oj</w:t>
        </w:r>
      </w:hyperlink>
      <w:r w:rsidRPr="00817D8F">
        <w:rPr>
          <w:sz w:val="24"/>
          <w:szCs w:val="24"/>
          <w:lang w:val="sl-SI"/>
        </w:rPr>
        <w:t>.</w:t>
      </w:r>
    </w:p>
  </w:footnote>
  <w:footnote w:id="30">
    <w:p w14:paraId="5E0501DF"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142, 29.5.2019, str. 16, ELI: </w:t>
      </w:r>
      <w:hyperlink r:id="rId30" w:history="1">
        <w:r w:rsidRPr="00817D8F">
          <w:rPr>
            <w:rStyle w:val="Hyperlink"/>
            <w:sz w:val="24"/>
            <w:szCs w:val="24"/>
            <w:lang w:val="sl-SI"/>
          </w:rPr>
          <w:t>http://data.europa.eu/eli/reg_del/2019/887/oj</w:t>
        </w:r>
      </w:hyperlink>
      <w:r w:rsidRPr="00817D8F">
        <w:rPr>
          <w:sz w:val="24"/>
          <w:szCs w:val="24"/>
          <w:lang w:val="sl-SI"/>
        </w:rPr>
        <w:t>.</w:t>
      </w:r>
    </w:p>
  </w:footnote>
  <w:footnote w:id="31">
    <w:p w14:paraId="0125A5AD"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C/2024/6841, 13.11.2024, ELI: </w:t>
      </w:r>
      <w:hyperlink r:id="rId31" w:history="1">
        <w:r w:rsidRPr="00817D8F">
          <w:rPr>
            <w:rStyle w:val="Hyperlink"/>
            <w:sz w:val="24"/>
            <w:szCs w:val="24"/>
            <w:lang w:val="sl-SI"/>
          </w:rPr>
          <w:t>http://data.europa.eu/eli/C/2024/6841/oj</w:t>
        </w:r>
      </w:hyperlink>
      <w:r w:rsidRPr="00817D8F">
        <w:rPr>
          <w:sz w:val="24"/>
          <w:szCs w:val="24"/>
          <w:lang w:val="sl-SI"/>
        </w:rPr>
        <w:t>.</w:t>
      </w:r>
    </w:p>
  </w:footnote>
  <w:footnote w:id="32">
    <w:p w14:paraId="1C519346"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C/2024/6041, 10.10.2024, ELI: </w:t>
      </w:r>
      <w:hyperlink r:id="rId32" w:history="1">
        <w:r w:rsidRPr="00817D8F">
          <w:rPr>
            <w:rStyle w:val="Hyperlink"/>
            <w:sz w:val="24"/>
            <w:szCs w:val="24"/>
            <w:lang w:val="sl-SI"/>
          </w:rPr>
          <w:t>http://data.europa.eu/eli/C/2024/6041/oj</w:t>
        </w:r>
      </w:hyperlink>
      <w:r w:rsidRPr="00817D8F">
        <w:rPr>
          <w:sz w:val="24"/>
          <w:szCs w:val="24"/>
          <w:lang w:val="sl-SI"/>
        </w:rPr>
        <w:t>.</w:t>
      </w:r>
    </w:p>
  </w:footnote>
  <w:footnote w:id="33">
    <w:p w14:paraId="008BAB78"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193, 30.7.2018, str. 1, ELI: </w:t>
      </w:r>
      <w:hyperlink r:id="rId33" w:history="1">
        <w:r w:rsidRPr="00817D8F">
          <w:rPr>
            <w:rStyle w:val="Hyperlink"/>
            <w:sz w:val="24"/>
            <w:szCs w:val="24"/>
            <w:lang w:val="sl-SI"/>
          </w:rPr>
          <w:t>http://data.europa.eu/eli/reg/2018/1046/oj</w:t>
        </w:r>
      </w:hyperlink>
      <w:r w:rsidRPr="00817D8F">
        <w:rPr>
          <w:sz w:val="24"/>
          <w:szCs w:val="24"/>
          <w:lang w:val="sl-SI"/>
        </w:rPr>
        <w:t>.</w:t>
      </w:r>
    </w:p>
  </w:footnote>
  <w:footnote w:id="34">
    <w:p w14:paraId="093DBAB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2024/2509, 26.9.2024, ELI: </w:t>
      </w:r>
      <w:hyperlink r:id="rId34" w:history="1">
        <w:r w:rsidRPr="00817D8F">
          <w:rPr>
            <w:rStyle w:val="Hyperlink"/>
            <w:sz w:val="24"/>
            <w:szCs w:val="24"/>
            <w:shd w:val="clear" w:color="auto" w:fill="FFFFFF"/>
            <w:lang w:val="sl-SI"/>
          </w:rPr>
          <w:t>http://data.europa.eu/eli/reg/2024/2509/oj</w:t>
        </w:r>
      </w:hyperlink>
      <w:r w:rsidRPr="00817D8F">
        <w:rPr>
          <w:sz w:val="24"/>
          <w:szCs w:val="24"/>
          <w:lang w:val="sl-SI"/>
        </w:rPr>
        <w:t>.</w:t>
      </w:r>
    </w:p>
  </w:footnote>
  <w:footnote w:id="35">
    <w:p w14:paraId="20304BA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427, 30.11.2021, str. 17, ELI: </w:t>
      </w:r>
      <w:hyperlink r:id="rId35" w:history="1">
        <w:r w:rsidRPr="00817D8F">
          <w:rPr>
            <w:rStyle w:val="Hyperlink"/>
            <w:sz w:val="24"/>
            <w:szCs w:val="24"/>
            <w:lang w:val="sl-SI"/>
          </w:rPr>
          <w:t>http://data.europa.eu/eli/reg/2021/2085/oj</w:t>
        </w:r>
      </w:hyperlink>
      <w:r w:rsidRPr="00817D8F">
        <w:rPr>
          <w:sz w:val="24"/>
          <w:szCs w:val="24"/>
          <w:lang w:val="sl-SI"/>
        </w:rPr>
        <w:t>.</w:t>
      </w:r>
    </w:p>
  </w:footnote>
  <w:footnote w:id="36">
    <w:p w14:paraId="77D2C1C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142, 29.5.2019, str. 16, ELI: </w:t>
      </w:r>
      <w:hyperlink r:id="rId36" w:history="1">
        <w:r w:rsidRPr="00817D8F">
          <w:rPr>
            <w:rStyle w:val="Hyperlink"/>
            <w:sz w:val="24"/>
            <w:szCs w:val="24"/>
            <w:lang w:val="sl-SI"/>
          </w:rPr>
          <w:t>http://data.europa.eu/eli/reg_del/2019/887/oj</w:t>
        </w:r>
      </w:hyperlink>
      <w:r w:rsidRPr="00817D8F">
        <w:rPr>
          <w:sz w:val="24"/>
          <w:szCs w:val="24"/>
          <w:lang w:val="sl-SI"/>
        </w:rPr>
        <w:t>.</w:t>
      </w:r>
    </w:p>
  </w:footnote>
  <w:footnote w:id="37">
    <w:p w14:paraId="6B6091AF"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C/2024/6841, 13.11.2024, ELI: </w:t>
      </w:r>
      <w:hyperlink r:id="rId37" w:history="1">
        <w:r w:rsidRPr="00817D8F">
          <w:rPr>
            <w:rStyle w:val="Hyperlink"/>
            <w:sz w:val="24"/>
            <w:szCs w:val="24"/>
            <w:lang w:val="sl-SI"/>
          </w:rPr>
          <w:t>http://data.europa.eu/eli/C/2024/6841/oj</w:t>
        </w:r>
      </w:hyperlink>
      <w:r w:rsidRPr="00817D8F">
        <w:rPr>
          <w:sz w:val="24"/>
          <w:szCs w:val="24"/>
          <w:lang w:val="sl-SI"/>
        </w:rPr>
        <w:t>.</w:t>
      </w:r>
    </w:p>
  </w:footnote>
  <w:footnote w:id="38">
    <w:p w14:paraId="72C1CECC"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C/2024/6041, 10.10.2024, ELI: </w:t>
      </w:r>
      <w:hyperlink r:id="rId38" w:history="1">
        <w:r w:rsidRPr="00817D8F">
          <w:rPr>
            <w:rStyle w:val="Hyperlink"/>
            <w:sz w:val="24"/>
            <w:szCs w:val="24"/>
            <w:lang w:val="sl-SI"/>
          </w:rPr>
          <w:t>http://data.europa.eu/eli/C/2024/6041/oj</w:t>
        </w:r>
      </w:hyperlink>
      <w:r w:rsidRPr="00817D8F">
        <w:rPr>
          <w:sz w:val="24"/>
          <w:szCs w:val="24"/>
          <w:lang w:val="sl-SI"/>
        </w:rPr>
        <w:t>.</w:t>
      </w:r>
    </w:p>
  </w:footnote>
  <w:footnote w:id="39">
    <w:p w14:paraId="10275B6D"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193, 30.7.2018, str. 1, ELI: </w:t>
      </w:r>
      <w:hyperlink r:id="rId39" w:history="1">
        <w:r w:rsidRPr="00817D8F">
          <w:rPr>
            <w:rStyle w:val="Hyperlink"/>
            <w:sz w:val="24"/>
            <w:szCs w:val="24"/>
            <w:lang w:val="sl-SI"/>
          </w:rPr>
          <w:t>http://data.europa.eu/eli/reg/2018/1046/oj</w:t>
        </w:r>
      </w:hyperlink>
      <w:r w:rsidRPr="00817D8F">
        <w:rPr>
          <w:sz w:val="24"/>
          <w:szCs w:val="24"/>
          <w:lang w:val="sl-SI"/>
        </w:rPr>
        <w:t>.</w:t>
      </w:r>
    </w:p>
  </w:footnote>
  <w:footnote w:id="40">
    <w:p w14:paraId="50EB2D0D"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2024/2509, 26.9.2024, ELI: </w:t>
      </w:r>
      <w:hyperlink r:id="rId40" w:history="1">
        <w:r w:rsidRPr="00817D8F">
          <w:rPr>
            <w:rStyle w:val="Hyperlink"/>
            <w:sz w:val="24"/>
            <w:szCs w:val="24"/>
            <w:shd w:val="clear" w:color="auto" w:fill="FFFFFF"/>
            <w:lang w:val="sl-SI"/>
          </w:rPr>
          <w:t>http://data.europa.eu/eli/reg/2024/2509/oj</w:t>
        </w:r>
      </w:hyperlink>
      <w:r w:rsidRPr="00817D8F">
        <w:rPr>
          <w:sz w:val="24"/>
          <w:szCs w:val="24"/>
          <w:lang w:val="sl-SI"/>
        </w:rPr>
        <w:t>.</w:t>
      </w:r>
    </w:p>
  </w:footnote>
  <w:footnote w:id="41">
    <w:p w14:paraId="692C3E5C"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427, 30.11.2021, str. 17, ELI: </w:t>
      </w:r>
      <w:hyperlink r:id="rId41" w:history="1">
        <w:r w:rsidRPr="00817D8F">
          <w:rPr>
            <w:rStyle w:val="Hyperlink"/>
            <w:sz w:val="24"/>
            <w:szCs w:val="24"/>
            <w:lang w:val="sl-SI"/>
          </w:rPr>
          <w:t>http://data.europa.eu/eli/reg/2021/2085/oj</w:t>
        </w:r>
      </w:hyperlink>
      <w:r w:rsidRPr="00817D8F">
        <w:rPr>
          <w:sz w:val="24"/>
          <w:szCs w:val="24"/>
          <w:lang w:val="sl-SI"/>
        </w:rPr>
        <w:t>.</w:t>
      </w:r>
    </w:p>
  </w:footnote>
  <w:footnote w:id="42">
    <w:p w14:paraId="61614C2D"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142, 29.5.2019, str. 16, ELI: </w:t>
      </w:r>
      <w:hyperlink r:id="rId42" w:history="1">
        <w:r w:rsidRPr="00817D8F">
          <w:rPr>
            <w:rStyle w:val="Hyperlink"/>
            <w:sz w:val="24"/>
            <w:szCs w:val="24"/>
            <w:lang w:val="sl-SI"/>
          </w:rPr>
          <w:t>http://data.europa.eu/eli/reg_del/2019/887/oj</w:t>
        </w:r>
      </w:hyperlink>
      <w:r w:rsidRPr="00817D8F">
        <w:rPr>
          <w:sz w:val="24"/>
          <w:szCs w:val="24"/>
          <w:lang w:val="sl-SI"/>
        </w:rPr>
        <w:t>.</w:t>
      </w:r>
    </w:p>
  </w:footnote>
  <w:footnote w:id="43">
    <w:p w14:paraId="6CB444BE"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C/2024/6841, 13.11.2024, ELI: </w:t>
      </w:r>
      <w:hyperlink r:id="rId43" w:history="1">
        <w:r w:rsidRPr="00817D8F">
          <w:rPr>
            <w:rStyle w:val="Hyperlink"/>
            <w:sz w:val="24"/>
            <w:szCs w:val="24"/>
            <w:lang w:val="sl-SI"/>
          </w:rPr>
          <w:t>http://data.europa.eu/eli/C/2024/6841/oj</w:t>
        </w:r>
      </w:hyperlink>
      <w:r w:rsidRPr="00817D8F">
        <w:rPr>
          <w:sz w:val="24"/>
          <w:szCs w:val="24"/>
          <w:lang w:val="sl-SI"/>
        </w:rPr>
        <w:t>.</w:t>
      </w:r>
    </w:p>
  </w:footnote>
  <w:footnote w:id="44">
    <w:p w14:paraId="5ABE2A87"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C/2024/6041, 10.10.2024, ELI: </w:t>
      </w:r>
      <w:hyperlink r:id="rId44" w:history="1">
        <w:r w:rsidRPr="00817D8F">
          <w:rPr>
            <w:rStyle w:val="Hyperlink"/>
            <w:sz w:val="24"/>
            <w:szCs w:val="24"/>
            <w:lang w:val="sl-SI"/>
          </w:rPr>
          <w:t>http://data.europa.eu/eli/C/2024/6041/oj</w:t>
        </w:r>
      </w:hyperlink>
      <w:r w:rsidRPr="00817D8F">
        <w:rPr>
          <w:sz w:val="24"/>
          <w:szCs w:val="24"/>
          <w:lang w:val="sl-SI"/>
        </w:rPr>
        <w:t>.</w:t>
      </w:r>
    </w:p>
  </w:footnote>
  <w:footnote w:id="45">
    <w:p w14:paraId="4C72607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193, 30.7.2018, str. 1, ELI: </w:t>
      </w:r>
      <w:hyperlink r:id="rId45" w:history="1">
        <w:r w:rsidRPr="00817D8F">
          <w:rPr>
            <w:rStyle w:val="Hyperlink"/>
            <w:sz w:val="24"/>
            <w:szCs w:val="24"/>
            <w:lang w:val="sl-SI"/>
          </w:rPr>
          <w:t>http://data.europa.eu/eli/reg/2018/1046/oj</w:t>
        </w:r>
      </w:hyperlink>
      <w:r w:rsidRPr="00817D8F">
        <w:rPr>
          <w:sz w:val="24"/>
          <w:szCs w:val="24"/>
          <w:lang w:val="sl-SI"/>
        </w:rPr>
        <w:t>.</w:t>
      </w:r>
    </w:p>
  </w:footnote>
  <w:footnote w:id="46">
    <w:p w14:paraId="5AEBDD38"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2024/2509, 26.9.2024, ELI: </w:t>
      </w:r>
      <w:hyperlink r:id="rId46" w:history="1">
        <w:r w:rsidRPr="00817D8F">
          <w:rPr>
            <w:rStyle w:val="Hyperlink"/>
            <w:sz w:val="24"/>
            <w:szCs w:val="24"/>
            <w:shd w:val="clear" w:color="auto" w:fill="FFFFFF"/>
            <w:lang w:val="sl-SI"/>
          </w:rPr>
          <w:t>http://data.europa.eu/eli/reg/2024/2509/oj</w:t>
        </w:r>
      </w:hyperlink>
      <w:r w:rsidRPr="00817D8F">
        <w:rPr>
          <w:sz w:val="24"/>
          <w:szCs w:val="24"/>
          <w:lang w:val="sl-SI"/>
        </w:rPr>
        <w:t>.</w:t>
      </w:r>
    </w:p>
  </w:footnote>
  <w:footnote w:id="47">
    <w:p w14:paraId="25929053"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427, 30.11.2021, str. 17, ELI: </w:t>
      </w:r>
      <w:hyperlink r:id="rId47" w:history="1">
        <w:r w:rsidRPr="00817D8F">
          <w:rPr>
            <w:rStyle w:val="Hyperlink"/>
            <w:sz w:val="24"/>
            <w:szCs w:val="24"/>
            <w:lang w:val="sl-SI"/>
          </w:rPr>
          <w:t>http://data.europa.eu/eli/reg/2021/2085/oj</w:t>
        </w:r>
      </w:hyperlink>
      <w:r w:rsidRPr="00817D8F">
        <w:rPr>
          <w:sz w:val="24"/>
          <w:szCs w:val="24"/>
          <w:lang w:val="sl-SI"/>
        </w:rPr>
        <w:t>.</w:t>
      </w:r>
    </w:p>
  </w:footnote>
  <w:footnote w:id="48">
    <w:p w14:paraId="02B797F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142, 29.5.2019, str. 16, ELI: </w:t>
      </w:r>
      <w:hyperlink r:id="rId48" w:history="1">
        <w:r w:rsidRPr="00817D8F">
          <w:rPr>
            <w:rStyle w:val="Hyperlink"/>
            <w:sz w:val="24"/>
            <w:szCs w:val="24"/>
            <w:lang w:val="sl-SI"/>
          </w:rPr>
          <w:t>http://data.europa.eu/eli/reg_del/2019/887/oj</w:t>
        </w:r>
      </w:hyperlink>
      <w:r w:rsidRPr="00817D8F">
        <w:rPr>
          <w:sz w:val="24"/>
          <w:szCs w:val="24"/>
          <w:lang w:val="sl-SI"/>
        </w:rPr>
        <w:t>.</w:t>
      </w:r>
    </w:p>
  </w:footnote>
  <w:footnote w:id="49">
    <w:p w14:paraId="584DDA70"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C/2024/6841, 13.11.2024, ELI: </w:t>
      </w:r>
      <w:hyperlink r:id="rId49" w:history="1">
        <w:r w:rsidRPr="00817D8F">
          <w:rPr>
            <w:rStyle w:val="Hyperlink"/>
            <w:sz w:val="24"/>
            <w:szCs w:val="24"/>
            <w:lang w:val="sl-SI"/>
          </w:rPr>
          <w:t>http://data.europa.eu/eli/C/2024/6841/oj</w:t>
        </w:r>
      </w:hyperlink>
      <w:r w:rsidRPr="00817D8F">
        <w:rPr>
          <w:sz w:val="24"/>
          <w:szCs w:val="24"/>
          <w:lang w:val="sl-SI"/>
        </w:rPr>
        <w:t>.</w:t>
      </w:r>
    </w:p>
  </w:footnote>
  <w:footnote w:id="50">
    <w:p w14:paraId="3DC1D042"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C/2024/6041, 10.10.2024, ELI: </w:t>
      </w:r>
      <w:hyperlink r:id="rId50" w:history="1">
        <w:r w:rsidRPr="00817D8F">
          <w:rPr>
            <w:rStyle w:val="Hyperlink"/>
            <w:sz w:val="24"/>
            <w:szCs w:val="24"/>
            <w:lang w:val="sl-SI"/>
          </w:rPr>
          <w:t>http://data.europa.eu/eli/C/2024/6041/oj</w:t>
        </w:r>
      </w:hyperlink>
      <w:r w:rsidRPr="00817D8F">
        <w:rPr>
          <w:sz w:val="24"/>
          <w:szCs w:val="24"/>
          <w:lang w:val="sl-SI"/>
        </w:rPr>
        <w:t>.</w:t>
      </w:r>
    </w:p>
  </w:footnote>
  <w:footnote w:id="51">
    <w:p w14:paraId="4F5F4F17"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193, 30.7.2018, str. 1, ELI: </w:t>
      </w:r>
      <w:hyperlink r:id="rId51" w:history="1">
        <w:r w:rsidRPr="00817D8F">
          <w:rPr>
            <w:rStyle w:val="Hyperlink"/>
            <w:sz w:val="24"/>
            <w:szCs w:val="24"/>
            <w:lang w:val="sl-SI"/>
          </w:rPr>
          <w:t>http://data.europa.eu/eli/reg/2018/1046/oj</w:t>
        </w:r>
      </w:hyperlink>
      <w:r w:rsidRPr="00817D8F">
        <w:rPr>
          <w:sz w:val="24"/>
          <w:szCs w:val="24"/>
          <w:lang w:val="sl-SI"/>
        </w:rPr>
        <w:t>.</w:t>
      </w:r>
    </w:p>
  </w:footnote>
  <w:footnote w:id="52">
    <w:p w14:paraId="1669FA67"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2024/2509, 26.9.2024, ELI: </w:t>
      </w:r>
      <w:hyperlink r:id="rId52" w:history="1">
        <w:r w:rsidRPr="00817D8F">
          <w:rPr>
            <w:rStyle w:val="Hyperlink"/>
            <w:sz w:val="24"/>
            <w:szCs w:val="24"/>
            <w:shd w:val="clear" w:color="auto" w:fill="FFFFFF"/>
            <w:lang w:val="sl-SI"/>
          </w:rPr>
          <w:t>http://data.europa.eu/eli/reg/2024/2509/oj</w:t>
        </w:r>
      </w:hyperlink>
      <w:r w:rsidRPr="00817D8F">
        <w:rPr>
          <w:sz w:val="24"/>
          <w:szCs w:val="24"/>
          <w:lang w:val="sl-SI"/>
        </w:rPr>
        <w:t>.</w:t>
      </w:r>
    </w:p>
  </w:footnote>
  <w:footnote w:id="53">
    <w:p w14:paraId="7AB7FB1C"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256, 19.7.2021, str. 3, ELI: </w:t>
      </w:r>
      <w:hyperlink r:id="rId53" w:history="1">
        <w:r w:rsidRPr="00817D8F">
          <w:rPr>
            <w:rStyle w:val="Hyperlink"/>
            <w:sz w:val="24"/>
            <w:szCs w:val="24"/>
            <w:lang w:val="sl-SI"/>
          </w:rPr>
          <w:t>http://data.europa.eu/eli/reg/2021/1173/oj</w:t>
        </w:r>
      </w:hyperlink>
      <w:r w:rsidRPr="00817D8F">
        <w:rPr>
          <w:sz w:val="24"/>
          <w:szCs w:val="24"/>
          <w:lang w:val="sl-SI"/>
        </w:rPr>
        <w:t>.</w:t>
      </w:r>
    </w:p>
  </w:footnote>
  <w:footnote w:id="54">
    <w:p w14:paraId="7F295C20"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142, 29.5.2019, str. 16, ELI: </w:t>
      </w:r>
      <w:hyperlink r:id="rId54" w:history="1">
        <w:r w:rsidRPr="00817D8F">
          <w:rPr>
            <w:rStyle w:val="Hyperlink"/>
            <w:sz w:val="24"/>
            <w:szCs w:val="24"/>
            <w:lang w:val="sl-SI"/>
          </w:rPr>
          <w:t>http://data.europa.eu/eli/reg_del/2019/887/oj</w:t>
        </w:r>
      </w:hyperlink>
      <w:r w:rsidRPr="00817D8F">
        <w:rPr>
          <w:sz w:val="24"/>
          <w:szCs w:val="24"/>
          <w:lang w:val="sl-SI"/>
        </w:rPr>
        <w:t>.</w:t>
      </w:r>
    </w:p>
  </w:footnote>
  <w:footnote w:id="55">
    <w:p w14:paraId="70C03AAC"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C/2024/6841, 13.11.2024, ELI: </w:t>
      </w:r>
      <w:hyperlink r:id="rId55" w:history="1">
        <w:r w:rsidRPr="00817D8F">
          <w:rPr>
            <w:rStyle w:val="Hyperlink"/>
            <w:sz w:val="24"/>
            <w:szCs w:val="24"/>
            <w:lang w:val="sl-SI"/>
          </w:rPr>
          <w:t>http://data.europa.eu/eli/C/2024/6841/oj</w:t>
        </w:r>
      </w:hyperlink>
      <w:r w:rsidRPr="00817D8F">
        <w:rPr>
          <w:sz w:val="24"/>
          <w:szCs w:val="24"/>
          <w:lang w:val="sl-SI"/>
        </w:rPr>
        <w:t>.</w:t>
      </w:r>
    </w:p>
  </w:footnote>
  <w:footnote w:id="56">
    <w:p w14:paraId="1997CCDA"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C/2024/6041, 10.10.2024, ELI: </w:t>
      </w:r>
      <w:hyperlink r:id="rId56" w:history="1">
        <w:r w:rsidRPr="00817D8F">
          <w:rPr>
            <w:rStyle w:val="Hyperlink"/>
            <w:sz w:val="24"/>
            <w:szCs w:val="24"/>
            <w:lang w:val="sl-SI"/>
          </w:rPr>
          <w:t>http://data.europa.eu/eli/C/2024/6041/oj</w:t>
        </w:r>
      </w:hyperlink>
      <w:r w:rsidRPr="00817D8F">
        <w:rPr>
          <w:sz w:val="24"/>
          <w:szCs w:val="24"/>
          <w:lang w:val="sl-SI"/>
        </w:rPr>
        <w:t>.</w:t>
      </w:r>
    </w:p>
  </w:footnote>
  <w:footnote w:id="57">
    <w:p w14:paraId="6F9A7E1D"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193, 30.7.2018, str. 1, ELI: </w:t>
      </w:r>
      <w:hyperlink r:id="rId57" w:history="1">
        <w:r w:rsidRPr="00817D8F">
          <w:rPr>
            <w:rStyle w:val="Hyperlink"/>
            <w:sz w:val="24"/>
            <w:szCs w:val="24"/>
            <w:lang w:val="sl-SI"/>
          </w:rPr>
          <w:t>http://data.europa.eu/eli/reg/2018/1046/oj</w:t>
        </w:r>
      </w:hyperlink>
      <w:r w:rsidRPr="00817D8F">
        <w:rPr>
          <w:sz w:val="24"/>
          <w:szCs w:val="24"/>
          <w:lang w:val="sl-SI"/>
        </w:rPr>
        <w:t>.</w:t>
      </w:r>
    </w:p>
  </w:footnote>
  <w:footnote w:id="58">
    <w:p w14:paraId="14E52436"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2024/2509, 26.9.2024, ELI: </w:t>
      </w:r>
      <w:hyperlink r:id="rId58" w:history="1">
        <w:r w:rsidRPr="00817D8F">
          <w:rPr>
            <w:rStyle w:val="Hyperlink"/>
            <w:sz w:val="24"/>
            <w:szCs w:val="24"/>
            <w:shd w:val="clear" w:color="auto" w:fill="FFFFFF"/>
            <w:lang w:val="sl-SI"/>
          </w:rPr>
          <w:t>http://data.europa.eu/eli/reg/2024/2509/oj</w:t>
        </w:r>
      </w:hyperlink>
      <w:r w:rsidRPr="00817D8F">
        <w:rPr>
          <w:sz w:val="24"/>
          <w:szCs w:val="24"/>
          <w:lang w:val="sl-SI"/>
        </w:rPr>
        <w:t>.</w:t>
      </w:r>
    </w:p>
  </w:footnote>
  <w:footnote w:id="59">
    <w:p w14:paraId="35AAE0E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256, 19.7.2021, str. 3, ELI: </w:t>
      </w:r>
      <w:hyperlink r:id="rId59" w:history="1">
        <w:r w:rsidRPr="00817D8F">
          <w:rPr>
            <w:rStyle w:val="Hyperlink"/>
            <w:sz w:val="24"/>
            <w:szCs w:val="24"/>
            <w:lang w:val="sl-SI"/>
          </w:rPr>
          <w:t>http://data.europa.eu/eli/reg/2021/1173/oj</w:t>
        </w:r>
      </w:hyperlink>
      <w:r w:rsidRPr="00817D8F">
        <w:rPr>
          <w:sz w:val="24"/>
          <w:szCs w:val="24"/>
          <w:lang w:val="sl-SI"/>
        </w:rPr>
        <w:t>.</w:t>
      </w:r>
    </w:p>
  </w:footnote>
  <w:footnote w:id="60">
    <w:p w14:paraId="77826A4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142, 29.5.2019, str. 16, ELI: </w:t>
      </w:r>
      <w:hyperlink r:id="rId60" w:history="1">
        <w:r w:rsidRPr="00817D8F">
          <w:rPr>
            <w:rStyle w:val="Hyperlink"/>
            <w:sz w:val="24"/>
            <w:szCs w:val="24"/>
            <w:lang w:val="sl-SI"/>
          </w:rPr>
          <w:t>http://data.europa.eu/eli/reg_del/2019/887/oj</w:t>
        </w:r>
      </w:hyperlink>
      <w:r w:rsidRPr="00817D8F">
        <w:rPr>
          <w:sz w:val="24"/>
          <w:szCs w:val="24"/>
          <w:lang w:val="sl-SI"/>
        </w:rPr>
        <w:t>.</w:t>
      </w:r>
    </w:p>
  </w:footnote>
  <w:footnote w:id="61">
    <w:p w14:paraId="61345C18"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C/2024/6841, 13.11.2024, ELI: </w:t>
      </w:r>
      <w:hyperlink r:id="rId61" w:history="1">
        <w:r w:rsidRPr="00817D8F">
          <w:rPr>
            <w:rStyle w:val="Hyperlink"/>
            <w:sz w:val="24"/>
            <w:szCs w:val="24"/>
            <w:lang w:val="sl-SI"/>
          </w:rPr>
          <w:t>http://data.europa.eu/eli/C/2024/6841/oj</w:t>
        </w:r>
      </w:hyperlink>
      <w:r w:rsidRPr="00817D8F">
        <w:rPr>
          <w:sz w:val="24"/>
          <w:szCs w:val="24"/>
          <w:lang w:val="sl-SI"/>
        </w:rPr>
        <w:t>.</w:t>
      </w:r>
    </w:p>
  </w:footnote>
  <w:footnote w:id="62">
    <w:p w14:paraId="30BDDC03"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C/2024/6041, 10.10.2024, ELI: </w:t>
      </w:r>
      <w:hyperlink r:id="rId62" w:history="1">
        <w:r w:rsidRPr="00817D8F">
          <w:rPr>
            <w:rStyle w:val="Hyperlink"/>
            <w:sz w:val="24"/>
            <w:szCs w:val="24"/>
            <w:lang w:val="sl-SI"/>
          </w:rPr>
          <w:t>http://data.europa.eu/eli/C/2024/6041/oj</w:t>
        </w:r>
      </w:hyperlink>
      <w:r w:rsidRPr="00817D8F">
        <w:rPr>
          <w:sz w:val="24"/>
          <w:szCs w:val="24"/>
          <w:lang w:val="sl-SI"/>
        </w:rPr>
        <w:t>.</w:t>
      </w:r>
    </w:p>
  </w:footnote>
  <w:footnote w:id="63">
    <w:p w14:paraId="7EAE2A0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193, 30.7.2018, str. 1, ELI: </w:t>
      </w:r>
      <w:hyperlink r:id="rId63" w:history="1">
        <w:r w:rsidRPr="00817D8F">
          <w:rPr>
            <w:rStyle w:val="Hyperlink"/>
            <w:sz w:val="24"/>
            <w:szCs w:val="24"/>
            <w:lang w:val="sl-SI"/>
          </w:rPr>
          <w:t>http://data.europa.eu/eli/reg/2018/1046/oj</w:t>
        </w:r>
      </w:hyperlink>
      <w:r w:rsidRPr="00817D8F">
        <w:rPr>
          <w:sz w:val="24"/>
          <w:szCs w:val="24"/>
          <w:lang w:val="sl-SI"/>
        </w:rPr>
        <w:t>.</w:t>
      </w:r>
    </w:p>
  </w:footnote>
  <w:footnote w:id="64">
    <w:p w14:paraId="7A8ECDDE"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2024/2509, 26.9.2024, ELI: </w:t>
      </w:r>
      <w:hyperlink r:id="rId64"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65">
    <w:p w14:paraId="537CA593"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90, 30.3.2007, str. 58, ELI: </w:t>
      </w:r>
      <w:hyperlink r:id="rId65" w:history="1">
        <w:r w:rsidRPr="00817D8F">
          <w:rPr>
            <w:rStyle w:val="Hyperlink"/>
            <w:sz w:val="24"/>
            <w:szCs w:val="24"/>
            <w:lang w:val="sl-SI"/>
          </w:rPr>
          <w:t>http://data.europa.eu/eli/dec/2007/198/oj</w:t>
        </w:r>
      </w:hyperlink>
      <w:r w:rsidRPr="00817D8F">
        <w:rPr>
          <w:sz w:val="24"/>
          <w:szCs w:val="24"/>
          <w:lang w:val="sl-SI"/>
        </w:rPr>
        <w:t>.</w:t>
      </w:r>
    </w:p>
  </w:footnote>
  <w:footnote w:id="66">
    <w:p w14:paraId="6FE8CFD7"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122, 10.5.2019, str. 1, ELI: </w:t>
      </w:r>
      <w:hyperlink r:id="rId66" w:history="1">
        <w:r w:rsidRPr="00817D8F">
          <w:rPr>
            <w:rStyle w:val="Hyperlink"/>
            <w:sz w:val="24"/>
            <w:szCs w:val="24"/>
            <w:lang w:val="sl-SI"/>
          </w:rPr>
          <w:t>http://data.europa.eu/eli/reg_del/2019/715/oj</w:t>
        </w:r>
      </w:hyperlink>
      <w:r w:rsidRPr="00817D8F">
        <w:rPr>
          <w:sz w:val="24"/>
          <w:szCs w:val="24"/>
          <w:lang w:val="sl-SI"/>
        </w:rPr>
        <w:t>.</w:t>
      </w:r>
    </w:p>
  </w:footnote>
  <w:footnote w:id="67">
    <w:p w14:paraId="517A6A5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C/2024/6841, 13.11.2024, ELI: </w:t>
      </w:r>
      <w:hyperlink r:id="rId67" w:history="1">
        <w:r w:rsidRPr="00817D8F">
          <w:rPr>
            <w:rStyle w:val="Hyperlink"/>
            <w:sz w:val="24"/>
            <w:szCs w:val="24"/>
            <w:lang w:val="sl-SI"/>
          </w:rPr>
          <w:t>http://data.europa.eu/eli/C/2024/6841/oj</w:t>
        </w:r>
      </w:hyperlink>
      <w:r w:rsidRPr="00817D8F">
        <w:rPr>
          <w:sz w:val="24"/>
          <w:szCs w:val="24"/>
          <w:lang w:val="sl-SI"/>
        </w:rPr>
        <w:t>.</w:t>
      </w:r>
    </w:p>
  </w:footnote>
  <w:footnote w:id="68">
    <w:p w14:paraId="604E2933"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C/2024/6041, 10.10.2024, ELI: </w:t>
      </w:r>
      <w:hyperlink r:id="rId68" w:history="1">
        <w:r w:rsidRPr="00817D8F">
          <w:rPr>
            <w:rStyle w:val="Hyperlink"/>
            <w:sz w:val="24"/>
            <w:szCs w:val="24"/>
            <w:lang w:val="sl-SI"/>
          </w:rPr>
          <w:t>http://data.europa.eu/eli/C/2024/6041/oj</w:t>
        </w:r>
      </w:hyperlink>
      <w:r w:rsidRPr="00817D8F">
        <w:rPr>
          <w:sz w:val="24"/>
          <w:szCs w:val="24"/>
          <w:lang w:val="sl-SI"/>
        </w:rPr>
        <w:t>.</w:t>
      </w:r>
    </w:p>
  </w:footnote>
  <w:footnote w:id="69">
    <w:p w14:paraId="318F8011"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193, 30.7.2018, str. 1, ELI: </w:t>
      </w:r>
      <w:hyperlink r:id="rId69" w:history="1">
        <w:r w:rsidRPr="00817D8F">
          <w:rPr>
            <w:rStyle w:val="Hyperlink"/>
            <w:sz w:val="24"/>
            <w:szCs w:val="24"/>
            <w:lang w:val="sl-SI"/>
          </w:rPr>
          <w:t>http://data.europa.eu/eli/reg/2018/1046/oj</w:t>
        </w:r>
      </w:hyperlink>
      <w:r w:rsidRPr="00817D8F">
        <w:rPr>
          <w:sz w:val="24"/>
          <w:szCs w:val="24"/>
          <w:lang w:val="sl-SI"/>
        </w:rPr>
        <w:t>.</w:t>
      </w:r>
    </w:p>
  </w:footnote>
  <w:footnote w:id="70">
    <w:p w14:paraId="6930CD4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2024/2509, 26.9.2024, ELI: </w:t>
      </w:r>
      <w:hyperlink r:id="rId70"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71">
    <w:p w14:paraId="104063CE"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90, 30.3.2007, str. 58, ELI: </w:t>
      </w:r>
      <w:hyperlink r:id="rId71" w:history="1">
        <w:r w:rsidRPr="00817D8F">
          <w:rPr>
            <w:rStyle w:val="Hyperlink"/>
            <w:sz w:val="24"/>
            <w:szCs w:val="24"/>
            <w:lang w:val="sl-SI"/>
          </w:rPr>
          <w:t>http://data.europa.eu/eli/dec/2007/198/oj</w:t>
        </w:r>
      </w:hyperlink>
      <w:r w:rsidRPr="00817D8F">
        <w:rPr>
          <w:sz w:val="24"/>
          <w:szCs w:val="24"/>
          <w:lang w:val="sl-SI"/>
        </w:rPr>
        <w:t>.</w:t>
      </w:r>
    </w:p>
  </w:footnote>
  <w:footnote w:id="72">
    <w:p w14:paraId="11419A1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122, 10.5.2019, str. 1, ELI: </w:t>
      </w:r>
      <w:hyperlink r:id="rId72" w:history="1">
        <w:r w:rsidRPr="00817D8F">
          <w:rPr>
            <w:rStyle w:val="Hyperlink"/>
            <w:sz w:val="24"/>
            <w:szCs w:val="24"/>
            <w:lang w:val="sl-SI"/>
          </w:rPr>
          <w:t>http://data.europa.eu/eli/reg_del/2019/715/oj</w:t>
        </w:r>
      </w:hyperlink>
      <w:r w:rsidRPr="00817D8F">
        <w:rPr>
          <w:sz w:val="24"/>
          <w:szCs w:val="24"/>
          <w:lang w:val="sl-SI"/>
        </w:rPr>
        <w:t>.</w:t>
      </w:r>
    </w:p>
  </w:footnote>
  <w:footnote w:id="73">
    <w:p w14:paraId="1CC176C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C/2024/6841, 13.11.2024, ELI: </w:t>
      </w:r>
      <w:hyperlink r:id="rId73" w:history="1">
        <w:r w:rsidRPr="00817D8F">
          <w:rPr>
            <w:rStyle w:val="Hyperlink1"/>
            <w:sz w:val="24"/>
            <w:szCs w:val="24"/>
            <w:lang w:val="sl-SI"/>
          </w:rPr>
          <w:t>http://data.europa.eu/eli/C/2024/6841/oj</w:t>
        </w:r>
      </w:hyperlink>
      <w:r w:rsidRPr="00817D8F">
        <w:rPr>
          <w:sz w:val="24"/>
          <w:szCs w:val="24"/>
          <w:lang w:val="sl-SI"/>
        </w:rPr>
        <w:t>.</w:t>
      </w:r>
    </w:p>
  </w:footnote>
  <w:footnote w:id="74">
    <w:p w14:paraId="44F61432"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C/2024/6041, 10.10.2024, ELI: </w:t>
      </w:r>
      <w:hyperlink r:id="rId74" w:history="1">
        <w:r w:rsidRPr="00817D8F">
          <w:rPr>
            <w:rStyle w:val="Hyperlink1"/>
            <w:sz w:val="24"/>
            <w:szCs w:val="24"/>
            <w:lang w:val="sl-SI"/>
          </w:rPr>
          <w:t>http://data.europa.eu/eli/C/2024/6041/oj</w:t>
        </w:r>
      </w:hyperlink>
      <w:r w:rsidRPr="00817D8F">
        <w:rPr>
          <w:sz w:val="24"/>
          <w:szCs w:val="24"/>
          <w:lang w:val="sl-SI"/>
        </w:rPr>
        <w:t>.</w:t>
      </w:r>
    </w:p>
  </w:footnote>
  <w:footnote w:id="75">
    <w:p w14:paraId="2F71979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193, 30.7.2018, str. 1, ELI: </w:t>
      </w:r>
      <w:hyperlink r:id="rId75" w:history="1">
        <w:r w:rsidRPr="00817D8F">
          <w:rPr>
            <w:rStyle w:val="Hyperlink1"/>
            <w:sz w:val="24"/>
            <w:szCs w:val="24"/>
            <w:lang w:val="sl-SI"/>
          </w:rPr>
          <w:t>http://data.europa.eu/eli/reg/2018/1046/oj</w:t>
        </w:r>
      </w:hyperlink>
      <w:r w:rsidRPr="00817D8F">
        <w:rPr>
          <w:sz w:val="24"/>
          <w:szCs w:val="24"/>
          <w:lang w:val="sl-SI"/>
        </w:rPr>
        <w:t>.</w:t>
      </w:r>
    </w:p>
  </w:footnote>
  <w:footnote w:id="76">
    <w:p w14:paraId="33D10BAB"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2024/2509, 26.9.2024, ELI: </w:t>
      </w:r>
      <w:hyperlink r:id="rId76"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77">
    <w:p w14:paraId="75B95F1B"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427, 30.11.2021, str. 17, ELI: </w:t>
      </w:r>
      <w:hyperlink r:id="rId77" w:history="1">
        <w:r w:rsidRPr="00817D8F">
          <w:rPr>
            <w:rStyle w:val="Hyperlink1"/>
            <w:sz w:val="24"/>
            <w:szCs w:val="24"/>
            <w:lang w:val="sl-SI"/>
          </w:rPr>
          <w:t>http://data.europa.eu/eli/reg/2021/2085/oj</w:t>
        </w:r>
      </w:hyperlink>
      <w:r w:rsidRPr="00817D8F">
        <w:rPr>
          <w:sz w:val="24"/>
          <w:szCs w:val="24"/>
          <w:lang w:val="sl-SI"/>
        </w:rPr>
        <w:t>.</w:t>
      </w:r>
    </w:p>
  </w:footnote>
  <w:footnote w:id="78">
    <w:p w14:paraId="638293A8"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142, 29.5.2019, str. 16, ELI: </w:t>
      </w:r>
      <w:hyperlink r:id="rId78" w:history="1">
        <w:r w:rsidRPr="00817D8F">
          <w:rPr>
            <w:rStyle w:val="Hyperlink1"/>
            <w:sz w:val="24"/>
            <w:szCs w:val="24"/>
            <w:lang w:val="sl-SI"/>
          </w:rPr>
          <w:t>http://data.europa.eu/eli/reg_del/2019/887/oj</w:t>
        </w:r>
      </w:hyperlink>
      <w:r w:rsidRPr="00817D8F">
        <w:rPr>
          <w:sz w:val="24"/>
          <w:szCs w:val="24"/>
          <w:lang w:val="sl-SI"/>
        </w:rPr>
        <w:t>.</w:t>
      </w:r>
    </w:p>
  </w:footnote>
  <w:footnote w:id="79">
    <w:p w14:paraId="23676FD2"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C/2024/6841, 13.11.2024, ELI: </w:t>
      </w:r>
      <w:hyperlink r:id="rId79" w:history="1">
        <w:r w:rsidRPr="00817D8F">
          <w:rPr>
            <w:rStyle w:val="Hyperlink1"/>
            <w:sz w:val="24"/>
            <w:szCs w:val="24"/>
            <w:lang w:val="sl-SI"/>
          </w:rPr>
          <w:t>http://data.europa.eu/eli/C/2024/6841/oj</w:t>
        </w:r>
      </w:hyperlink>
      <w:r w:rsidRPr="00817D8F">
        <w:rPr>
          <w:sz w:val="24"/>
          <w:szCs w:val="24"/>
          <w:lang w:val="sl-SI"/>
        </w:rPr>
        <w:t>.</w:t>
      </w:r>
    </w:p>
  </w:footnote>
  <w:footnote w:id="80">
    <w:p w14:paraId="52399252"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C/2024/6041, 10.10.2024, ELI: </w:t>
      </w:r>
      <w:hyperlink r:id="rId80" w:history="1">
        <w:r w:rsidRPr="00817D8F">
          <w:rPr>
            <w:rStyle w:val="Hyperlink1"/>
            <w:sz w:val="24"/>
            <w:szCs w:val="24"/>
            <w:lang w:val="sl-SI"/>
          </w:rPr>
          <w:t>http://data.europa.eu/eli/C/2024/6041/oj</w:t>
        </w:r>
      </w:hyperlink>
      <w:r w:rsidRPr="00817D8F">
        <w:rPr>
          <w:sz w:val="24"/>
          <w:szCs w:val="24"/>
          <w:lang w:val="sl-SI"/>
        </w:rPr>
        <w:t>.</w:t>
      </w:r>
    </w:p>
  </w:footnote>
  <w:footnote w:id="81">
    <w:p w14:paraId="05AF3520"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193, 30.7.2018, str. 1, ELI: </w:t>
      </w:r>
      <w:hyperlink r:id="rId81" w:history="1">
        <w:r w:rsidRPr="00817D8F">
          <w:rPr>
            <w:rStyle w:val="Hyperlink1"/>
            <w:sz w:val="24"/>
            <w:szCs w:val="24"/>
            <w:lang w:val="sl-SI"/>
          </w:rPr>
          <w:t>http://data.europa.eu/eli/reg/2018/1046/oj</w:t>
        </w:r>
      </w:hyperlink>
      <w:r w:rsidRPr="00817D8F">
        <w:rPr>
          <w:sz w:val="24"/>
          <w:szCs w:val="24"/>
          <w:lang w:val="sl-SI"/>
        </w:rPr>
        <w:t>.</w:t>
      </w:r>
    </w:p>
  </w:footnote>
  <w:footnote w:id="82">
    <w:p w14:paraId="2D95BE3B"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2024/2509, 26.9.2024, ELI: </w:t>
      </w:r>
      <w:hyperlink r:id="rId82"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83">
    <w:p w14:paraId="64AF9A5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427, 30.11.2021, str. 17, ELI: </w:t>
      </w:r>
      <w:hyperlink r:id="rId83" w:history="1">
        <w:r w:rsidRPr="00817D8F">
          <w:rPr>
            <w:rStyle w:val="Hyperlink1"/>
            <w:sz w:val="24"/>
            <w:szCs w:val="24"/>
            <w:lang w:val="sl-SI"/>
          </w:rPr>
          <w:t>http://data.europa.eu/eli/reg/2021/2085/oj</w:t>
        </w:r>
      </w:hyperlink>
      <w:r w:rsidRPr="00817D8F">
        <w:rPr>
          <w:sz w:val="24"/>
          <w:szCs w:val="24"/>
          <w:lang w:val="sl-SI"/>
        </w:rPr>
        <w:t>.</w:t>
      </w:r>
    </w:p>
  </w:footnote>
  <w:footnote w:id="84">
    <w:p w14:paraId="3FC13C06"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142, 29.5.2019, str. 16, ELI: </w:t>
      </w:r>
      <w:hyperlink r:id="rId84" w:history="1">
        <w:r w:rsidRPr="00817D8F">
          <w:rPr>
            <w:rStyle w:val="Hyperlink1"/>
            <w:sz w:val="24"/>
            <w:szCs w:val="24"/>
            <w:lang w:val="sl-SI"/>
          </w:rPr>
          <w:t>http://data.europa.eu/eli/reg_del/2019/887/oj</w:t>
        </w:r>
      </w:hyperlink>
      <w:r w:rsidRPr="00817D8F">
        <w:rPr>
          <w:sz w:val="24"/>
          <w:szCs w:val="24"/>
          <w:lang w:val="sl-SI"/>
        </w:rPr>
        <w:t>.</w:t>
      </w:r>
    </w:p>
  </w:footnote>
  <w:footnote w:id="85">
    <w:p w14:paraId="7328770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C/2024/6841, 13.11.2024, ELI: </w:t>
      </w:r>
      <w:hyperlink r:id="rId85" w:history="1">
        <w:r w:rsidRPr="00817D8F">
          <w:rPr>
            <w:rStyle w:val="Hyperlink1"/>
            <w:sz w:val="24"/>
            <w:szCs w:val="24"/>
            <w:lang w:val="sl-SI"/>
          </w:rPr>
          <w:t>http://data.europa.eu/eli/C/2024/6841/oj</w:t>
        </w:r>
      </w:hyperlink>
      <w:r w:rsidRPr="00817D8F">
        <w:rPr>
          <w:sz w:val="24"/>
          <w:szCs w:val="24"/>
          <w:lang w:val="sl-SI"/>
        </w:rPr>
        <w:t>.</w:t>
      </w:r>
    </w:p>
  </w:footnote>
  <w:footnote w:id="86">
    <w:p w14:paraId="726B91B2"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C/2024/6041, 10.10.2024, ELI: </w:t>
      </w:r>
      <w:hyperlink r:id="rId86" w:history="1">
        <w:r w:rsidRPr="00817D8F">
          <w:rPr>
            <w:rStyle w:val="Hyperlink1"/>
            <w:sz w:val="24"/>
            <w:szCs w:val="24"/>
            <w:lang w:val="sl-SI"/>
          </w:rPr>
          <w:t>http://data.europa.eu/eli/C/2024/6041/oj</w:t>
        </w:r>
      </w:hyperlink>
      <w:r w:rsidRPr="00817D8F">
        <w:rPr>
          <w:sz w:val="24"/>
          <w:szCs w:val="24"/>
          <w:lang w:val="sl-SI"/>
        </w:rPr>
        <w:t>.</w:t>
      </w:r>
    </w:p>
  </w:footnote>
  <w:footnote w:id="87">
    <w:p w14:paraId="23C15C91"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193, 30.7.2018, str. 1, ELI: </w:t>
      </w:r>
      <w:hyperlink r:id="rId87" w:history="1">
        <w:r w:rsidRPr="00817D8F">
          <w:rPr>
            <w:rStyle w:val="Hyperlink1"/>
            <w:sz w:val="24"/>
            <w:szCs w:val="24"/>
            <w:lang w:val="sl-SI"/>
          </w:rPr>
          <w:t>http://data.europa.eu/eli/reg/2018/1046/oj</w:t>
        </w:r>
      </w:hyperlink>
      <w:r w:rsidRPr="00817D8F">
        <w:rPr>
          <w:sz w:val="24"/>
          <w:szCs w:val="24"/>
          <w:lang w:val="sl-SI"/>
        </w:rPr>
        <w:t>.</w:t>
      </w:r>
    </w:p>
  </w:footnote>
  <w:footnote w:id="88">
    <w:p w14:paraId="4C08E6BD"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2024/2509, 26.9.2024, ELI: </w:t>
      </w:r>
      <w:hyperlink r:id="rId88"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89">
    <w:p w14:paraId="0C88C61E"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427, 30.11.2021, str. 17, ELI: </w:t>
      </w:r>
      <w:hyperlink r:id="rId89" w:history="1">
        <w:r w:rsidRPr="00817D8F">
          <w:rPr>
            <w:rStyle w:val="Hyperlink1"/>
            <w:sz w:val="24"/>
            <w:szCs w:val="24"/>
            <w:lang w:val="sl-SI"/>
          </w:rPr>
          <w:t>http://data.europa.eu/eli/reg/2021/2085/oj</w:t>
        </w:r>
      </w:hyperlink>
      <w:r w:rsidRPr="00817D8F">
        <w:rPr>
          <w:sz w:val="24"/>
          <w:szCs w:val="24"/>
          <w:lang w:val="sl-SI"/>
        </w:rPr>
        <w:t>.</w:t>
      </w:r>
    </w:p>
  </w:footnote>
  <w:footnote w:id="90">
    <w:p w14:paraId="76251E20"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142, 29.5.2019, str. 16, ELI: </w:t>
      </w:r>
      <w:hyperlink r:id="rId90" w:history="1">
        <w:r w:rsidRPr="00817D8F">
          <w:rPr>
            <w:rStyle w:val="Hyperlink1"/>
            <w:sz w:val="24"/>
            <w:szCs w:val="24"/>
            <w:lang w:val="sl-SI"/>
          </w:rPr>
          <w:t>http://data.europa.eu/eli/reg_del/2019/887/oj</w:t>
        </w:r>
      </w:hyperlink>
      <w:r w:rsidRPr="00817D8F">
        <w:rPr>
          <w:sz w:val="24"/>
          <w:szCs w:val="24"/>
          <w:lang w:val="sl-SI"/>
        </w:rPr>
        <w:t>.</w:t>
      </w:r>
    </w:p>
  </w:footnote>
  <w:footnote w:id="91">
    <w:p w14:paraId="0901986E"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C/2024/6841, 13.11.2024, ELI: </w:t>
      </w:r>
      <w:hyperlink r:id="rId91" w:history="1">
        <w:r w:rsidRPr="00817D8F">
          <w:rPr>
            <w:rStyle w:val="Hyperlink1"/>
            <w:sz w:val="24"/>
            <w:szCs w:val="24"/>
            <w:lang w:val="sl-SI"/>
          </w:rPr>
          <w:t>http://data.europa.eu/eli/C/2024/6841/oj</w:t>
        </w:r>
      </w:hyperlink>
      <w:r w:rsidRPr="00817D8F">
        <w:rPr>
          <w:sz w:val="24"/>
          <w:szCs w:val="24"/>
          <w:lang w:val="sl-SI"/>
        </w:rPr>
        <w:t>.</w:t>
      </w:r>
    </w:p>
  </w:footnote>
  <w:footnote w:id="92">
    <w:p w14:paraId="1D416F88"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C/2024/6041, 10.10.2024, ELI: </w:t>
      </w:r>
      <w:hyperlink r:id="rId92" w:history="1">
        <w:r w:rsidRPr="00817D8F">
          <w:rPr>
            <w:rStyle w:val="Hyperlink1"/>
            <w:sz w:val="24"/>
            <w:szCs w:val="24"/>
            <w:lang w:val="sl-SI"/>
          </w:rPr>
          <w:t>http://data.europa.eu/eli/C/2024/6041/oj</w:t>
        </w:r>
      </w:hyperlink>
      <w:r w:rsidRPr="00817D8F">
        <w:rPr>
          <w:sz w:val="24"/>
          <w:szCs w:val="24"/>
          <w:lang w:val="sl-SI"/>
        </w:rPr>
        <w:t>.</w:t>
      </w:r>
    </w:p>
  </w:footnote>
  <w:footnote w:id="93">
    <w:p w14:paraId="7260776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193, 30.7.2018, str. 1, ELI: </w:t>
      </w:r>
      <w:hyperlink r:id="rId93" w:history="1">
        <w:r w:rsidRPr="00817D8F">
          <w:rPr>
            <w:rStyle w:val="Hyperlink1"/>
            <w:sz w:val="24"/>
            <w:szCs w:val="24"/>
            <w:lang w:val="sl-SI"/>
          </w:rPr>
          <w:t>http://data.europa.eu/eli/reg/2018/1046/oj</w:t>
        </w:r>
      </w:hyperlink>
      <w:r w:rsidRPr="00817D8F">
        <w:rPr>
          <w:sz w:val="24"/>
          <w:szCs w:val="24"/>
          <w:lang w:val="sl-SI"/>
        </w:rPr>
        <w:t>.</w:t>
      </w:r>
    </w:p>
  </w:footnote>
  <w:footnote w:id="94">
    <w:p w14:paraId="79D12000"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2024/2509, 26.9.2024, ELI: </w:t>
      </w:r>
      <w:hyperlink r:id="rId94"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95">
    <w:p w14:paraId="66C596C2"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427, 30.11.2021, str. 17, ELI: </w:t>
      </w:r>
      <w:hyperlink r:id="rId95" w:history="1">
        <w:r w:rsidRPr="00817D8F">
          <w:rPr>
            <w:rStyle w:val="Hyperlink1"/>
            <w:sz w:val="24"/>
            <w:szCs w:val="24"/>
            <w:lang w:val="sl-SI"/>
          </w:rPr>
          <w:t>http://data.europa.eu/eli/reg/2021/2085/oj</w:t>
        </w:r>
      </w:hyperlink>
      <w:r w:rsidRPr="00817D8F">
        <w:rPr>
          <w:sz w:val="24"/>
          <w:szCs w:val="24"/>
          <w:lang w:val="sl-SI"/>
        </w:rPr>
        <w:t>.</w:t>
      </w:r>
    </w:p>
  </w:footnote>
  <w:footnote w:id="96">
    <w:p w14:paraId="45358CEF"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142, 29.5.2019, str. 16, ELI: </w:t>
      </w:r>
      <w:hyperlink r:id="rId96" w:history="1">
        <w:r w:rsidRPr="00817D8F">
          <w:rPr>
            <w:rStyle w:val="Hyperlink1"/>
            <w:sz w:val="24"/>
            <w:szCs w:val="24"/>
            <w:lang w:val="sl-SI"/>
          </w:rPr>
          <w:t>http://data.europa.eu/eli/reg_del/2019/887/oj</w:t>
        </w:r>
      </w:hyperlink>
      <w:r w:rsidRPr="00817D8F">
        <w:rPr>
          <w:sz w:val="24"/>
          <w:szCs w:val="24"/>
          <w:lang w:val="sl-SI"/>
        </w:rPr>
        <w:t>.</w:t>
      </w:r>
    </w:p>
  </w:footnote>
  <w:footnote w:id="97">
    <w:p w14:paraId="326C7B5A"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C/2024/6841, 13.11.2024, ELI: </w:t>
      </w:r>
      <w:hyperlink r:id="rId97" w:history="1">
        <w:r w:rsidRPr="00817D8F">
          <w:rPr>
            <w:rStyle w:val="Hyperlink1"/>
            <w:sz w:val="24"/>
            <w:szCs w:val="24"/>
            <w:lang w:val="sl-SI"/>
          </w:rPr>
          <w:t>http://data.europa.eu/eli/C/2024/6841/oj</w:t>
        </w:r>
      </w:hyperlink>
      <w:r w:rsidRPr="00817D8F">
        <w:rPr>
          <w:sz w:val="24"/>
          <w:szCs w:val="24"/>
          <w:lang w:val="sl-SI"/>
        </w:rPr>
        <w:t>.</w:t>
      </w:r>
    </w:p>
  </w:footnote>
  <w:footnote w:id="98">
    <w:p w14:paraId="06C4ECF6"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C/2024/6041, 10.10.2024, ELI: </w:t>
      </w:r>
      <w:hyperlink r:id="rId98" w:history="1">
        <w:r w:rsidRPr="00817D8F">
          <w:rPr>
            <w:rStyle w:val="Hyperlink"/>
            <w:sz w:val="24"/>
            <w:szCs w:val="24"/>
            <w:lang w:val="sl-SI"/>
          </w:rPr>
          <w:t>http://data.europa.eu/eli/C/2024/6041/oj</w:t>
        </w:r>
      </w:hyperlink>
      <w:r w:rsidRPr="00817D8F">
        <w:rPr>
          <w:sz w:val="24"/>
          <w:szCs w:val="24"/>
          <w:lang w:val="sl-SI"/>
        </w:rPr>
        <w:t>.</w:t>
      </w:r>
    </w:p>
  </w:footnote>
  <w:footnote w:id="99">
    <w:p w14:paraId="4BC354DC"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193, 30.7.2018, str. 1, ELI: </w:t>
      </w:r>
      <w:hyperlink r:id="rId99" w:history="1">
        <w:r w:rsidRPr="00817D8F">
          <w:rPr>
            <w:rStyle w:val="Hyperlink"/>
            <w:sz w:val="24"/>
            <w:szCs w:val="24"/>
            <w:lang w:val="sl-SI"/>
          </w:rPr>
          <w:t>http://data.europa.eu/eli/reg/2018/1046/oj</w:t>
        </w:r>
      </w:hyperlink>
      <w:r w:rsidRPr="00817D8F">
        <w:rPr>
          <w:sz w:val="24"/>
          <w:szCs w:val="24"/>
          <w:lang w:val="sl-SI"/>
        </w:rPr>
        <w:t>.</w:t>
      </w:r>
    </w:p>
  </w:footnote>
  <w:footnote w:id="100">
    <w:p w14:paraId="1F9B5E4E"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2024/2509, 26.9.2024, ELI: </w:t>
      </w:r>
      <w:hyperlink r:id="rId100"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101">
    <w:p w14:paraId="267D9CC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427, 30.11.2021, str. 17, ELI: </w:t>
      </w:r>
      <w:hyperlink r:id="rId101" w:history="1">
        <w:r w:rsidRPr="00817D8F">
          <w:rPr>
            <w:rStyle w:val="Hyperlink"/>
            <w:sz w:val="24"/>
            <w:szCs w:val="24"/>
            <w:lang w:val="sl-SI"/>
          </w:rPr>
          <w:t>http://data.europa.eu/eli/reg/2021/2085/oj</w:t>
        </w:r>
      </w:hyperlink>
      <w:r w:rsidRPr="00817D8F">
        <w:rPr>
          <w:sz w:val="24"/>
          <w:szCs w:val="24"/>
          <w:lang w:val="sl-SI"/>
        </w:rPr>
        <w:t>.</w:t>
      </w:r>
    </w:p>
  </w:footnote>
  <w:footnote w:id="102">
    <w:p w14:paraId="3BF4018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229, 18.9.2023, str. 55, ELI: </w:t>
      </w:r>
      <w:hyperlink r:id="rId102" w:tooltip="Gives access to this document through its ELI URI." w:history="1">
        <w:r w:rsidRPr="00817D8F">
          <w:rPr>
            <w:rStyle w:val="Hyperlink"/>
            <w:sz w:val="24"/>
            <w:szCs w:val="24"/>
            <w:lang w:val="sl-SI"/>
          </w:rPr>
          <w:t>http://data.europa.eu/eli/reg/2023/1782/oj</w:t>
        </w:r>
      </w:hyperlink>
      <w:r w:rsidRPr="00817D8F">
        <w:rPr>
          <w:sz w:val="24"/>
          <w:szCs w:val="24"/>
          <w:lang w:val="sl-SI"/>
        </w:rPr>
        <w:t>.</w:t>
      </w:r>
    </w:p>
  </w:footnote>
  <w:footnote w:id="103">
    <w:p w14:paraId="1AEAF787"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142, 29.5.2019, str. 16, ELI: </w:t>
      </w:r>
      <w:hyperlink r:id="rId103" w:history="1">
        <w:r w:rsidRPr="00817D8F">
          <w:rPr>
            <w:rStyle w:val="Hyperlink1"/>
            <w:sz w:val="24"/>
            <w:szCs w:val="24"/>
            <w:lang w:val="sl-SI"/>
          </w:rPr>
          <w:t>http://data.europa.eu/eli/reg_del/2019/887/oj</w:t>
        </w:r>
      </w:hyperlink>
      <w:r w:rsidRPr="00817D8F">
        <w:rPr>
          <w:sz w:val="24"/>
          <w:szCs w:val="24"/>
          <w:lang w:val="sl-SI"/>
        </w:rPr>
        <w:t>.</w:t>
      </w:r>
    </w:p>
  </w:footnote>
  <w:footnote w:id="104">
    <w:p w14:paraId="4326AFF6"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C/2024/6841, 13.11.2024, ELI: </w:t>
      </w:r>
      <w:hyperlink r:id="rId104" w:history="1">
        <w:r w:rsidRPr="00817D8F">
          <w:rPr>
            <w:rStyle w:val="Hyperlink1"/>
            <w:sz w:val="24"/>
            <w:szCs w:val="24"/>
            <w:lang w:val="sl-SI"/>
          </w:rPr>
          <w:t>http://data.europa.eu/eli/C/2024/6841/oj</w:t>
        </w:r>
      </w:hyperlink>
      <w:r w:rsidRPr="00817D8F">
        <w:rPr>
          <w:sz w:val="24"/>
          <w:szCs w:val="24"/>
          <w:lang w:val="sl-SI"/>
        </w:rPr>
        <w:t>.</w:t>
      </w:r>
    </w:p>
  </w:footnote>
  <w:footnote w:id="105">
    <w:p w14:paraId="3E3959DE"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C, C/2024/6041, 10.10.2024, ELI: </w:t>
      </w:r>
      <w:hyperlink r:id="rId105" w:history="1">
        <w:r w:rsidRPr="00817D8F">
          <w:rPr>
            <w:rStyle w:val="Hyperlink"/>
            <w:sz w:val="24"/>
            <w:szCs w:val="24"/>
            <w:lang w:val="sl-SI"/>
          </w:rPr>
          <w:t>http://data.europa.eu/eli/C/2024/6041/oj</w:t>
        </w:r>
      </w:hyperlink>
      <w:r w:rsidRPr="00817D8F">
        <w:rPr>
          <w:sz w:val="24"/>
          <w:szCs w:val="24"/>
          <w:lang w:val="sl-SI"/>
        </w:rPr>
        <w:t>.</w:t>
      </w:r>
    </w:p>
  </w:footnote>
  <w:footnote w:id="106">
    <w:p w14:paraId="393969E6"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193, 30.7.2018, str. 1, ELI: </w:t>
      </w:r>
      <w:hyperlink r:id="rId106" w:history="1">
        <w:r w:rsidRPr="00817D8F">
          <w:rPr>
            <w:rStyle w:val="Hyperlink"/>
            <w:sz w:val="24"/>
            <w:szCs w:val="24"/>
            <w:lang w:val="sl-SI"/>
          </w:rPr>
          <w:t>http://data.europa.eu/eli/reg/2018/1046/oj</w:t>
        </w:r>
      </w:hyperlink>
      <w:r w:rsidRPr="00817D8F">
        <w:rPr>
          <w:sz w:val="24"/>
          <w:szCs w:val="24"/>
          <w:lang w:val="sl-SI"/>
        </w:rPr>
        <w:t>.</w:t>
      </w:r>
    </w:p>
  </w:footnote>
  <w:footnote w:id="107">
    <w:p w14:paraId="6AA064A2"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2024/2509, 26.9.2024, ELI: </w:t>
      </w:r>
      <w:hyperlink r:id="rId107" w:history="1">
        <w:r w:rsidRPr="00817D8F">
          <w:rPr>
            <w:rStyle w:val="Hyperlink"/>
            <w:sz w:val="24"/>
            <w:szCs w:val="24"/>
            <w:shd w:val="clear" w:color="auto" w:fill="FFFFFF"/>
            <w:lang w:val="sl-SI"/>
          </w:rPr>
          <w:t>http://data.europa.eu/eli/reg/2024/2509/oj</w:t>
        </w:r>
      </w:hyperlink>
      <w:r w:rsidRPr="00817D8F">
        <w:rPr>
          <w:sz w:val="24"/>
          <w:szCs w:val="24"/>
          <w:lang w:val="sl-SI"/>
        </w:rPr>
        <w:t>.</w:t>
      </w:r>
    </w:p>
  </w:footnote>
  <w:footnote w:id="108">
    <w:p w14:paraId="2641910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427, 30.11.2021, str. 17, ELI: </w:t>
      </w:r>
      <w:hyperlink r:id="rId108" w:history="1">
        <w:r w:rsidRPr="00817D8F">
          <w:rPr>
            <w:rStyle w:val="Hyperlink"/>
            <w:sz w:val="24"/>
            <w:szCs w:val="24"/>
            <w:lang w:val="sl-SI"/>
          </w:rPr>
          <w:t>http://data.europa.eu/eli/reg/2021/2085/oj</w:t>
        </w:r>
      </w:hyperlink>
      <w:r w:rsidRPr="00817D8F">
        <w:rPr>
          <w:sz w:val="24"/>
          <w:szCs w:val="24"/>
          <w:lang w:val="sl-SI"/>
        </w:rPr>
        <w:t>.</w:t>
      </w:r>
    </w:p>
  </w:footnote>
  <w:footnote w:id="109">
    <w:p w14:paraId="3C650B17"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229, 18.9.2023, str. 55, ELI: </w:t>
      </w:r>
      <w:hyperlink r:id="rId109" w:tooltip="Gives access to this document through its ELI URI." w:history="1">
        <w:r w:rsidRPr="00817D8F">
          <w:rPr>
            <w:rStyle w:val="Hyperlink"/>
            <w:sz w:val="24"/>
            <w:szCs w:val="24"/>
            <w:lang w:val="sl-SI"/>
          </w:rPr>
          <w:t>http://data.europa.eu/eli/reg/2023/1782/oj</w:t>
        </w:r>
      </w:hyperlink>
      <w:r w:rsidRPr="00817D8F">
        <w:rPr>
          <w:sz w:val="24"/>
          <w:szCs w:val="24"/>
          <w:lang w:val="sl-SI"/>
        </w:rPr>
        <w:t>.</w:t>
      </w:r>
    </w:p>
  </w:footnote>
  <w:footnote w:id="110">
    <w:p w14:paraId="0B67338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UL L 142, 29.5.2019, str. 16, ELI: </w:t>
      </w:r>
      <w:hyperlink r:id="rId110" w:history="1">
        <w:r w:rsidRPr="00817D8F">
          <w:rPr>
            <w:rStyle w:val="Hyperlink"/>
            <w:sz w:val="24"/>
            <w:szCs w:val="24"/>
            <w:lang w:val="sl-SI"/>
          </w:rPr>
          <w:t>http://data.europa.eu/eli/reg_del/2019/887/oj</w:t>
        </w:r>
      </w:hyperlink>
      <w:r w:rsidRPr="00817D8F">
        <w:rPr>
          <w:sz w:val="24"/>
          <w:szCs w:val="24"/>
          <w:lang w:val="sl-SI"/>
        </w:rPr>
        <w:t>.</w:t>
      </w:r>
    </w:p>
  </w:footnote>
  <w:footnote w:id="111">
    <w:p w14:paraId="113037B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C/2024/6841, 13.11.2024, ELI: </w:t>
      </w:r>
      <w:hyperlink r:id="rId111" w:history="1">
        <w:r w:rsidRPr="00817D8F">
          <w:rPr>
            <w:rStyle w:val="Hyperlink1"/>
            <w:sz w:val="24"/>
            <w:szCs w:val="24"/>
            <w:lang w:val="sl-SI"/>
          </w:rPr>
          <w:t>http://data.europa.eu/eli/C/2024/6841/oj</w:t>
        </w:r>
      </w:hyperlink>
      <w:r w:rsidRPr="00817D8F">
        <w:rPr>
          <w:sz w:val="24"/>
          <w:szCs w:val="24"/>
          <w:lang w:val="sl-SI"/>
        </w:rPr>
        <w:t>.</w:t>
      </w:r>
    </w:p>
  </w:footnote>
  <w:footnote w:id="112">
    <w:p w14:paraId="01D5CBB0"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C/2024/6041, 10.10.2024, ELI: </w:t>
      </w:r>
      <w:hyperlink r:id="rId112" w:history="1">
        <w:r w:rsidRPr="00817D8F">
          <w:rPr>
            <w:rStyle w:val="Hyperlink1"/>
            <w:sz w:val="24"/>
            <w:szCs w:val="24"/>
            <w:lang w:val="sl-SI"/>
          </w:rPr>
          <w:t>http://data.europa.eu/eli/C/2024/6041/oj</w:t>
        </w:r>
      </w:hyperlink>
      <w:r w:rsidRPr="00817D8F">
        <w:rPr>
          <w:sz w:val="24"/>
          <w:szCs w:val="24"/>
          <w:lang w:val="sl-SI"/>
        </w:rPr>
        <w:t>.</w:t>
      </w:r>
    </w:p>
  </w:footnote>
  <w:footnote w:id="113">
    <w:p w14:paraId="01F3C382"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193, 30.7.2018, str. 1, ELI: </w:t>
      </w:r>
      <w:hyperlink r:id="rId113" w:history="1">
        <w:r w:rsidRPr="00817D8F">
          <w:rPr>
            <w:rStyle w:val="Hyperlink1"/>
            <w:sz w:val="24"/>
            <w:szCs w:val="24"/>
            <w:lang w:val="sl-SI"/>
          </w:rPr>
          <w:t>http://data.europa.eu/eli/reg/2018/1046/oj</w:t>
        </w:r>
      </w:hyperlink>
      <w:r w:rsidRPr="00817D8F">
        <w:rPr>
          <w:sz w:val="24"/>
          <w:szCs w:val="24"/>
          <w:lang w:val="sl-SI"/>
        </w:rPr>
        <w:t>.</w:t>
      </w:r>
    </w:p>
  </w:footnote>
  <w:footnote w:id="114">
    <w:p w14:paraId="7F9FF7EA"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2024/2509, 26.9.2024, ELI: </w:t>
      </w:r>
      <w:hyperlink r:id="rId114"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115">
    <w:p w14:paraId="36F6CADC"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427, 30.11.2021, str. 17, ELI: </w:t>
      </w:r>
      <w:hyperlink r:id="rId115" w:history="1">
        <w:r w:rsidRPr="00817D8F">
          <w:rPr>
            <w:rStyle w:val="Hyperlink1"/>
            <w:sz w:val="24"/>
            <w:szCs w:val="24"/>
            <w:lang w:val="sl-SI"/>
          </w:rPr>
          <w:t>http://data.europa.eu/eli/reg/2021/2085/oj</w:t>
        </w:r>
      </w:hyperlink>
      <w:r w:rsidRPr="00817D8F">
        <w:rPr>
          <w:sz w:val="24"/>
          <w:szCs w:val="24"/>
          <w:lang w:val="sl-SI"/>
        </w:rPr>
        <w:t>.</w:t>
      </w:r>
    </w:p>
  </w:footnote>
  <w:footnote w:id="116">
    <w:p w14:paraId="34D119B0"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142, 29.5.2019, str. 16, ELI: </w:t>
      </w:r>
      <w:hyperlink r:id="rId116" w:history="1">
        <w:r w:rsidRPr="00817D8F">
          <w:rPr>
            <w:rStyle w:val="Hyperlink1"/>
            <w:sz w:val="24"/>
            <w:szCs w:val="24"/>
            <w:lang w:val="sl-SI"/>
          </w:rPr>
          <w:t>http://data.europa.eu/eli/reg_del/2019/887/oj</w:t>
        </w:r>
      </w:hyperlink>
      <w:r w:rsidRPr="00817D8F">
        <w:rPr>
          <w:sz w:val="24"/>
          <w:szCs w:val="24"/>
          <w:lang w:val="sl-SI"/>
        </w:rPr>
        <w:t>.</w:t>
      </w:r>
    </w:p>
  </w:footnote>
  <w:footnote w:id="117">
    <w:p w14:paraId="54D33E8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C/2024/6841, 13.11.2024, ELI: </w:t>
      </w:r>
      <w:hyperlink r:id="rId117" w:history="1">
        <w:r w:rsidRPr="00817D8F">
          <w:rPr>
            <w:rStyle w:val="Hyperlink1"/>
            <w:sz w:val="24"/>
            <w:szCs w:val="24"/>
            <w:lang w:val="sl-SI"/>
          </w:rPr>
          <w:t>http://data.europa.eu/eli/C/2024/6841/oj</w:t>
        </w:r>
      </w:hyperlink>
      <w:r w:rsidRPr="00817D8F">
        <w:rPr>
          <w:sz w:val="24"/>
          <w:szCs w:val="24"/>
          <w:lang w:val="sl-SI"/>
        </w:rPr>
        <w:t>.</w:t>
      </w:r>
    </w:p>
  </w:footnote>
  <w:footnote w:id="118">
    <w:p w14:paraId="47123607"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C/2024/6041, 10.10.2024, ELI: </w:t>
      </w:r>
      <w:hyperlink r:id="rId118" w:history="1">
        <w:r w:rsidRPr="00817D8F">
          <w:rPr>
            <w:rStyle w:val="Hyperlink1"/>
            <w:sz w:val="24"/>
            <w:szCs w:val="24"/>
            <w:lang w:val="sl-SI"/>
          </w:rPr>
          <w:t>http://data.europa.eu/eli/C/2024/6041/oj</w:t>
        </w:r>
      </w:hyperlink>
      <w:r w:rsidRPr="00817D8F">
        <w:rPr>
          <w:sz w:val="24"/>
          <w:szCs w:val="24"/>
          <w:lang w:val="sl-SI"/>
        </w:rPr>
        <w:t>.</w:t>
      </w:r>
    </w:p>
  </w:footnote>
  <w:footnote w:id="119">
    <w:p w14:paraId="20AF8FD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193, 30.7.2018, str. 1, ELI: </w:t>
      </w:r>
      <w:hyperlink r:id="rId119" w:history="1">
        <w:r w:rsidRPr="00817D8F">
          <w:rPr>
            <w:rStyle w:val="Hyperlink1"/>
            <w:sz w:val="24"/>
            <w:szCs w:val="24"/>
            <w:lang w:val="sl-SI"/>
          </w:rPr>
          <w:t>http://data.europa.eu/eli/reg/2018/1046/oj</w:t>
        </w:r>
      </w:hyperlink>
      <w:r w:rsidRPr="00817D8F">
        <w:rPr>
          <w:sz w:val="24"/>
          <w:szCs w:val="24"/>
          <w:lang w:val="sl-SI"/>
        </w:rPr>
        <w:t>.</w:t>
      </w:r>
    </w:p>
  </w:footnote>
  <w:footnote w:id="120">
    <w:p w14:paraId="0A2E417D"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2024/2509, 26.9.2024, ELI: </w:t>
      </w:r>
      <w:hyperlink r:id="rId120"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121">
    <w:p w14:paraId="2B932118"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427, 30.11.2021, str. 17, ELI: </w:t>
      </w:r>
      <w:hyperlink r:id="rId121" w:history="1">
        <w:r w:rsidRPr="00817D8F">
          <w:rPr>
            <w:rStyle w:val="Hyperlink1"/>
            <w:sz w:val="24"/>
            <w:szCs w:val="24"/>
            <w:lang w:val="sl-SI"/>
          </w:rPr>
          <w:t>http://data.europa.eu/eli/reg/2021/2085/oj</w:t>
        </w:r>
      </w:hyperlink>
      <w:r w:rsidRPr="00817D8F">
        <w:rPr>
          <w:sz w:val="24"/>
          <w:szCs w:val="24"/>
          <w:lang w:val="sl-SI"/>
        </w:rPr>
        <w:t>.</w:t>
      </w:r>
    </w:p>
  </w:footnote>
  <w:footnote w:id="122">
    <w:p w14:paraId="4669508A"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142, 29.5.2019, str. 16, ELI: </w:t>
      </w:r>
      <w:hyperlink r:id="rId122" w:history="1">
        <w:r w:rsidRPr="00817D8F">
          <w:rPr>
            <w:rStyle w:val="Hyperlink1"/>
            <w:sz w:val="24"/>
            <w:szCs w:val="24"/>
            <w:lang w:val="sl-SI"/>
          </w:rPr>
          <w:t>http://data.europa.eu/eli/reg_del/2019/887/oj</w:t>
        </w:r>
      </w:hyperlink>
      <w:r w:rsidRPr="00817D8F">
        <w:rPr>
          <w:sz w:val="24"/>
          <w:szCs w:val="24"/>
          <w:lang w:val="sl-SI"/>
        </w:rPr>
        <w:t>.</w:t>
      </w:r>
    </w:p>
  </w:footnote>
  <w:footnote w:id="123">
    <w:p w14:paraId="5143882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C/2024/6841, 13.11.2024, ELI: </w:t>
      </w:r>
      <w:hyperlink r:id="rId123" w:history="1">
        <w:r w:rsidRPr="00817D8F">
          <w:rPr>
            <w:rStyle w:val="Hyperlink1"/>
            <w:sz w:val="24"/>
            <w:szCs w:val="24"/>
            <w:lang w:val="sl-SI"/>
          </w:rPr>
          <w:t>http://data.europa.eu/eli/C/2024/6841/oj</w:t>
        </w:r>
      </w:hyperlink>
      <w:r w:rsidRPr="00817D8F">
        <w:rPr>
          <w:sz w:val="24"/>
          <w:szCs w:val="24"/>
          <w:lang w:val="sl-SI"/>
        </w:rPr>
        <w:t>.</w:t>
      </w:r>
    </w:p>
  </w:footnote>
  <w:footnote w:id="124">
    <w:p w14:paraId="26CB786B"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C/2024/6041, 10.10.2024, ELI: </w:t>
      </w:r>
      <w:hyperlink r:id="rId124" w:history="1">
        <w:r w:rsidRPr="00817D8F">
          <w:rPr>
            <w:rStyle w:val="Hyperlink1"/>
            <w:sz w:val="24"/>
            <w:szCs w:val="24"/>
            <w:lang w:val="sl-SI"/>
          </w:rPr>
          <w:t>http://data.europa.eu/eli/C/2024/6041/oj</w:t>
        </w:r>
      </w:hyperlink>
      <w:r w:rsidRPr="00817D8F">
        <w:rPr>
          <w:sz w:val="24"/>
          <w:szCs w:val="24"/>
          <w:lang w:val="sl-SI"/>
        </w:rPr>
        <w:t>.</w:t>
      </w:r>
    </w:p>
  </w:footnote>
  <w:footnote w:id="125">
    <w:p w14:paraId="66D76D72"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193, 30.7.2018, str. 1, ELI: </w:t>
      </w:r>
      <w:hyperlink r:id="rId125" w:history="1">
        <w:r w:rsidRPr="00817D8F">
          <w:rPr>
            <w:rStyle w:val="Hyperlink1"/>
            <w:sz w:val="24"/>
            <w:szCs w:val="24"/>
            <w:lang w:val="sl-SI"/>
          </w:rPr>
          <w:t>http://data.europa.eu/eli/reg/2018/1046/oj</w:t>
        </w:r>
      </w:hyperlink>
      <w:r w:rsidRPr="00817D8F">
        <w:rPr>
          <w:sz w:val="24"/>
          <w:szCs w:val="24"/>
          <w:lang w:val="sl-SI"/>
        </w:rPr>
        <w:t>.</w:t>
      </w:r>
    </w:p>
  </w:footnote>
  <w:footnote w:id="126">
    <w:p w14:paraId="718EA0AD"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2024/2509, 26.9.2024, ELI: </w:t>
      </w:r>
      <w:hyperlink r:id="rId126"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127">
    <w:p w14:paraId="07B70D21"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427, 30.11.2021, str. 17, ELI: </w:t>
      </w:r>
      <w:hyperlink r:id="rId127" w:history="1">
        <w:r w:rsidRPr="00817D8F">
          <w:rPr>
            <w:rStyle w:val="Hyperlink1"/>
            <w:sz w:val="24"/>
            <w:szCs w:val="24"/>
            <w:lang w:val="sl-SI"/>
          </w:rPr>
          <w:t>http://data.europa.eu/eli/reg/2021/2085/oj</w:t>
        </w:r>
      </w:hyperlink>
      <w:r w:rsidRPr="00817D8F">
        <w:rPr>
          <w:sz w:val="24"/>
          <w:szCs w:val="24"/>
          <w:lang w:val="sl-SI"/>
        </w:rPr>
        <w:t>.</w:t>
      </w:r>
    </w:p>
  </w:footnote>
  <w:footnote w:id="128">
    <w:p w14:paraId="147F5D45"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142, 29.5.2019, str. 16, ELI: </w:t>
      </w:r>
      <w:hyperlink r:id="rId128" w:history="1">
        <w:r w:rsidRPr="00817D8F">
          <w:rPr>
            <w:rStyle w:val="Hyperlink1"/>
            <w:sz w:val="24"/>
            <w:szCs w:val="24"/>
            <w:lang w:val="sl-SI"/>
          </w:rPr>
          <w:t>http://data.europa.eu/eli/reg_del/2019/887/oj</w:t>
        </w:r>
      </w:hyperlink>
      <w:r w:rsidRPr="00817D8F">
        <w:rPr>
          <w:sz w:val="24"/>
          <w:szCs w:val="24"/>
          <w:lang w:val="sl-SI"/>
        </w:rPr>
        <w:t>.</w:t>
      </w:r>
    </w:p>
  </w:footnote>
  <w:footnote w:id="129">
    <w:p w14:paraId="7529CEF8"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C/2024/6841, 13.11.2024, ELI: </w:t>
      </w:r>
      <w:hyperlink r:id="rId129" w:history="1">
        <w:r w:rsidRPr="00817D8F">
          <w:rPr>
            <w:rStyle w:val="Hyperlink1"/>
            <w:sz w:val="24"/>
            <w:szCs w:val="24"/>
            <w:lang w:val="sl-SI"/>
          </w:rPr>
          <w:t>http://data.europa.eu/eli/C/2024/6841/oj</w:t>
        </w:r>
      </w:hyperlink>
      <w:r w:rsidRPr="00817D8F">
        <w:rPr>
          <w:sz w:val="24"/>
          <w:szCs w:val="24"/>
          <w:lang w:val="sl-SI"/>
        </w:rPr>
        <w:t>.</w:t>
      </w:r>
    </w:p>
  </w:footnote>
  <w:footnote w:id="130">
    <w:p w14:paraId="5FF5F50E"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C, C/2024/6041, 10.10.2024, ELI: </w:t>
      </w:r>
      <w:hyperlink r:id="rId130" w:history="1">
        <w:r w:rsidRPr="00817D8F">
          <w:rPr>
            <w:rStyle w:val="Hyperlink1"/>
            <w:sz w:val="24"/>
            <w:szCs w:val="24"/>
            <w:lang w:val="sl-SI"/>
          </w:rPr>
          <w:t>http://data.europa.eu/eli/C/2024/6041/oj</w:t>
        </w:r>
      </w:hyperlink>
      <w:r w:rsidRPr="00817D8F">
        <w:rPr>
          <w:sz w:val="24"/>
          <w:szCs w:val="24"/>
          <w:lang w:val="sl-SI"/>
        </w:rPr>
        <w:t>.</w:t>
      </w:r>
    </w:p>
  </w:footnote>
  <w:footnote w:id="131">
    <w:p w14:paraId="79C708C0"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193, 30.7.2018, str. 1, ELI: </w:t>
      </w:r>
      <w:hyperlink r:id="rId131" w:history="1">
        <w:r w:rsidRPr="00817D8F">
          <w:rPr>
            <w:rStyle w:val="Hyperlink1"/>
            <w:sz w:val="24"/>
            <w:szCs w:val="24"/>
            <w:lang w:val="sl-SI"/>
          </w:rPr>
          <w:t>http://data.europa.eu/eli/reg/2018/1046/oj</w:t>
        </w:r>
      </w:hyperlink>
      <w:r w:rsidRPr="00817D8F">
        <w:rPr>
          <w:sz w:val="24"/>
          <w:szCs w:val="24"/>
          <w:lang w:val="sl-SI"/>
        </w:rPr>
        <w:t>.</w:t>
      </w:r>
    </w:p>
  </w:footnote>
  <w:footnote w:id="132">
    <w:p w14:paraId="63A7B8D1"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2024/2509, 26.9.2024, ELI: </w:t>
      </w:r>
      <w:hyperlink r:id="rId132" w:tgtFrame="_blank" w:history="1">
        <w:r w:rsidRPr="00817D8F">
          <w:rPr>
            <w:rStyle w:val="Hyperlink1"/>
            <w:sz w:val="24"/>
            <w:szCs w:val="24"/>
            <w:shd w:val="clear" w:color="auto" w:fill="FFFFFF"/>
            <w:lang w:val="sl-SI"/>
          </w:rPr>
          <w:t>http://data.europa.eu/eli/reg/2024/2509/oj</w:t>
        </w:r>
      </w:hyperlink>
      <w:r w:rsidRPr="00817D8F">
        <w:rPr>
          <w:sz w:val="24"/>
          <w:szCs w:val="24"/>
          <w:lang w:val="sl-SI"/>
        </w:rPr>
        <w:t>.</w:t>
      </w:r>
    </w:p>
  </w:footnote>
  <w:footnote w:id="133">
    <w:p w14:paraId="346A0890"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427, 30.11.2021, str. 17, ELI: </w:t>
      </w:r>
      <w:hyperlink r:id="rId133" w:history="1">
        <w:r w:rsidRPr="00817D8F">
          <w:rPr>
            <w:rStyle w:val="Hyperlink1"/>
            <w:sz w:val="24"/>
            <w:szCs w:val="24"/>
            <w:lang w:val="sl-SI"/>
          </w:rPr>
          <w:t>http://data.europa.eu/eli/reg/2021/2085/oj</w:t>
        </w:r>
      </w:hyperlink>
      <w:r w:rsidRPr="00817D8F">
        <w:rPr>
          <w:sz w:val="24"/>
          <w:szCs w:val="24"/>
          <w:lang w:val="sl-SI"/>
        </w:rPr>
        <w:t>.</w:t>
      </w:r>
    </w:p>
  </w:footnote>
  <w:footnote w:id="134">
    <w:p w14:paraId="62D73F9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 xml:space="preserve"> </w:t>
      </w:r>
      <w:r w:rsidRPr="00817D8F">
        <w:rPr>
          <w:sz w:val="24"/>
          <w:szCs w:val="24"/>
          <w:lang w:val="sl-SI"/>
        </w:rPr>
        <w:tab/>
      </w:r>
      <w:r w:rsidRPr="00817D8F">
        <w:rPr>
          <w:sz w:val="24"/>
          <w:szCs w:val="24"/>
          <w:lang w:val="sl-SI"/>
        </w:rPr>
        <w:t xml:space="preserve">UL L 142, 29.5.2019, str. 16, ELI: </w:t>
      </w:r>
      <w:hyperlink r:id="rId134" w:history="1">
        <w:r w:rsidRPr="00817D8F">
          <w:rPr>
            <w:rStyle w:val="Hyperlink1"/>
            <w:sz w:val="24"/>
            <w:szCs w:val="24"/>
            <w:lang w:val="sl-SI"/>
          </w:rPr>
          <w:t>http://data.europa.eu/eli/reg_del/2019/887/oj</w:t>
        </w:r>
      </w:hyperlink>
      <w:r w:rsidRPr="00817D8F">
        <w:rPr>
          <w:sz w:val="24"/>
          <w:szCs w:val="24"/>
          <w:lang w:val="sl-SI"/>
        </w:rPr>
        <w:t>.</w:t>
      </w:r>
    </w:p>
  </w:footnote>
  <w:footnote w:id="135">
    <w:p w14:paraId="76AFAEC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Uredba Sveta (EU) 2021/2085 z dne 19. novembra 2021 o ustanovitvi skupnih podjetij v okviru Obzorja Evropa ter o razveljavitvi uredb (ES) št. 219/2007, (EU) št. 557/2014, (EU) št. 558/2014, (EU) št. 559/2014, (EU) št. 560/2014, (EU) št. 561/2014 in (EU) št. 642/2014 (UL L 427, 30.11.2021, str. 17, ELI: </w:t>
      </w:r>
      <w:hyperlink r:id="rId135" w:history="1">
        <w:r w:rsidRPr="00817D8F">
          <w:rPr>
            <w:rStyle w:val="Hyperlink"/>
            <w:sz w:val="24"/>
            <w:szCs w:val="24"/>
            <w:lang w:val="sl-SI"/>
          </w:rPr>
          <w:t>http://data.europa.eu/eli/reg/2021/2085/oj</w:t>
        </w:r>
      </w:hyperlink>
      <w:r w:rsidRPr="00817D8F">
        <w:rPr>
          <w:sz w:val="24"/>
          <w:szCs w:val="24"/>
          <w:lang w:val="sl-SI"/>
        </w:rPr>
        <w:t>).</w:t>
      </w:r>
    </w:p>
  </w:footnote>
  <w:footnote w:id="136">
    <w:p w14:paraId="4CD07B68"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Uredba Sveta (EU) 2023/1782 z dne 25. julija 2023 o spremembi Uredbe Sveta (EU) 2021/2085 o ustanovitvi skupnih podjetij v okviru Obzorja Evropa v zvezi s Skupnim podjetjem za čipe (UL L 229, 18.9.2023, str. 55, ELI: </w:t>
      </w:r>
      <w:hyperlink r:id="rId136" w:history="1">
        <w:r w:rsidRPr="00817D8F">
          <w:rPr>
            <w:rStyle w:val="Hyperlink"/>
            <w:sz w:val="24"/>
            <w:szCs w:val="24"/>
            <w:lang w:val="sl-SI"/>
          </w:rPr>
          <w:t>http://data.europa.eu/eli/reg/2023/1782/oj</w:t>
        </w:r>
      </w:hyperlink>
      <w:r w:rsidRPr="00817D8F">
        <w:rPr>
          <w:sz w:val="24"/>
          <w:szCs w:val="24"/>
          <w:lang w:val="sl-SI"/>
        </w:rPr>
        <w:t>).</w:t>
      </w:r>
    </w:p>
  </w:footnote>
  <w:footnote w:id="137">
    <w:p w14:paraId="751B1554"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Odločba Sveta 2007/198/Euratom z dne 27. marca 2007 o ustanovitvi Evropskega skupnega podjetja za ITER in razvoj fuzijske energije ter dodelitvi prednosti le-temu (UL L 90, 30.3.2007, str. 58, ELI: </w:t>
      </w:r>
      <w:hyperlink r:id="rId137" w:history="1">
        <w:r w:rsidRPr="00817D8F">
          <w:rPr>
            <w:rStyle w:val="Hyperlink"/>
            <w:sz w:val="24"/>
            <w:szCs w:val="24"/>
            <w:lang w:val="sl-SI"/>
          </w:rPr>
          <w:t>http://data.europa.eu/eli/dec/2007/198/oj</w:t>
        </w:r>
      </w:hyperlink>
      <w:r w:rsidRPr="00817D8F">
        <w:rPr>
          <w:sz w:val="24"/>
          <w:szCs w:val="24"/>
          <w:lang w:val="sl-SI"/>
        </w:rPr>
        <w:t>).</w:t>
      </w:r>
    </w:p>
  </w:footnote>
  <w:footnote w:id="138">
    <w:p w14:paraId="2B0E1B79" w14:textId="77777777" w:rsidR="00AE12E9" w:rsidRPr="00817D8F" w:rsidRDefault="00AE12E9" w:rsidP="00AE12E9">
      <w:pPr>
        <w:pStyle w:val="FootnoteText"/>
        <w:ind w:left="567" w:hanging="567"/>
        <w:rPr>
          <w:sz w:val="24"/>
          <w:szCs w:val="24"/>
          <w:lang w:val="sl-SI"/>
        </w:rPr>
      </w:pPr>
      <w:r w:rsidRPr="00817D8F">
        <w:rPr>
          <w:rStyle w:val="FootnoteReference"/>
          <w:sz w:val="24"/>
          <w:szCs w:val="24"/>
          <w:lang w:val="sl-SI"/>
        </w:rPr>
        <w:footnoteRef/>
      </w:r>
      <w:r w:rsidRPr="00817D8F">
        <w:rPr>
          <w:sz w:val="24"/>
          <w:szCs w:val="24"/>
          <w:lang w:val="sl-SI"/>
        </w:rPr>
        <w:tab/>
      </w:r>
      <w:r w:rsidRPr="00817D8F">
        <w:rPr>
          <w:sz w:val="24"/>
          <w:szCs w:val="24"/>
          <w:lang w:val="sl-SI"/>
        </w:rPr>
        <w:t>Uredba Sveta (EU) 2021/1173 z dne 13. julija 2021 o ustanovitvi Skupnega podjetja za evropsko visokozmogljivostno računalništvo in razveljavitvi Uredbe (EU) 2018/1488 (UL L 256, 19.7.2021, str. 3, ELI: </w:t>
      </w:r>
      <w:hyperlink r:id="rId138" w:history="1">
        <w:r w:rsidRPr="00817D8F">
          <w:rPr>
            <w:rStyle w:val="Hyperlink"/>
            <w:sz w:val="24"/>
            <w:szCs w:val="24"/>
            <w:lang w:val="sl-SI"/>
          </w:rPr>
          <w:t>http://data.europa.eu/eli/reg/2021/1173/oj</w:t>
        </w:r>
      </w:hyperlink>
      <w:r w:rsidRPr="00817D8F">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36791" w14:textId="77777777" w:rsidR="00064002" w:rsidRPr="001D2F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ABC1B" w14:textId="77777777" w:rsidR="00064002" w:rsidRPr="001D2F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592ED" w14:textId="77777777" w:rsidR="00064002" w:rsidRPr="001D2F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1411540918">
    <w:abstractNumId w:val="9"/>
  </w:num>
  <w:num w:numId="2" w16cid:durableId="9138819">
    <w:abstractNumId w:val="9"/>
  </w:num>
  <w:num w:numId="3" w16cid:durableId="617489629">
    <w:abstractNumId w:val="7"/>
  </w:num>
  <w:num w:numId="4" w16cid:durableId="1013414344">
    <w:abstractNumId w:val="7"/>
  </w:num>
  <w:num w:numId="5" w16cid:durableId="190579051">
    <w:abstractNumId w:val="6"/>
  </w:num>
  <w:num w:numId="6" w16cid:durableId="1505515718">
    <w:abstractNumId w:val="6"/>
  </w:num>
  <w:num w:numId="7" w16cid:durableId="558631443">
    <w:abstractNumId w:val="5"/>
  </w:num>
  <w:num w:numId="8" w16cid:durableId="1761414142">
    <w:abstractNumId w:val="5"/>
  </w:num>
  <w:num w:numId="9" w16cid:durableId="2100058632">
    <w:abstractNumId w:val="4"/>
  </w:num>
  <w:num w:numId="10" w16cid:durableId="555511518">
    <w:abstractNumId w:val="4"/>
  </w:num>
  <w:num w:numId="11" w16cid:durableId="1643147690">
    <w:abstractNumId w:val="8"/>
  </w:num>
  <w:num w:numId="12" w16cid:durableId="45447755">
    <w:abstractNumId w:val="8"/>
  </w:num>
  <w:num w:numId="13" w16cid:durableId="820774942">
    <w:abstractNumId w:val="3"/>
  </w:num>
  <w:num w:numId="14" w16cid:durableId="1637221442">
    <w:abstractNumId w:val="3"/>
  </w:num>
  <w:num w:numId="15" w16cid:durableId="1513494355">
    <w:abstractNumId w:val="2"/>
  </w:num>
  <w:num w:numId="16" w16cid:durableId="1129203417">
    <w:abstractNumId w:val="2"/>
  </w:num>
  <w:num w:numId="17" w16cid:durableId="247883341">
    <w:abstractNumId w:val="1"/>
  </w:num>
  <w:num w:numId="18" w16cid:durableId="1892692268">
    <w:abstractNumId w:val="1"/>
  </w:num>
  <w:num w:numId="19" w16cid:durableId="1229263144">
    <w:abstractNumId w:val="0"/>
  </w:num>
  <w:num w:numId="20" w16cid:durableId="1703937866">
    <w:abstractNumId w:val="0"/>
  </w:num>
  <w:num w:numId="21" w16cid:durableId="1402097373">
    <w:abstractNumId w:val="9"/>
  </w:num>
  <w:num w:numId="22" w16cid:durableId="1903636348">
    <w:abstractNumId w:val="7"/>
  </w:num>
  <w:num w:numId="23" w16cid:durableId="12077232">
    <w:abstractNumId w:val="6"/>
  </w:num>
  <w:num w:numId="24" w16cid:durableId="44917680">
    <w:abstractNumId w:val="5"/>
  </w:num>
  <w:num w:numId="25" w16cid:durableId="970862546">
    <w:abstractNumId w:val="4"/>
  </w:num>
  <w:num w:numId="26" w16cid:durableId="1408721303">
    <w:abstractNumId w:val="8"/>
  </w:num>
  <w:num w:numId="27" w16cid:durableId="2082366260">
    <w:abstractNumId w:val="3"/>
  </w:num>
  <w:num w:numId="28" w16cid:durableId="247543791">
    <w:abstractNumId w:val="2"/>
  </w:num>
  <w:num w:numId="29" w16cid:durableId="547381471">
    <w:abstractNumId w:val="1"/>
  </w:num>
  <w:num w:numId="30" w16cid:durableId="1115559474">
    <w:abstractNumId w:val="0"/>
  </w:num>
  <w:num w:numId="31" w16cid:durableId="391467960">
    <w:abstractNumId w:val="9"/>
  </w:num>
  <w:num w:numId="32" w16cid:durableId="2044285868">
    <w:abstractNumId w:val="7"/>
  </w:num>
  <w:num w:numId="33" w16cid:durableId="1039624495">
    <w:abstractNumId w:val="6"/>
  </w:num>
  <w:num w:numId="34" w16cid:durableId="720979209">
    <w:abstractNumId w:val="5"/>
  </w:num>
  <w:num w:numId="35" w16cid:durableId="802892817">
    <w:abstractNumId w:val="4"/>
  </w:num>
  <w:num w:numId="36" w16cid:durableId="1900943188">
    <w:abstractNumId w:val="8"/>
  </w:num>
  <w:num w:numId="37" w16cid:durableId="1023939140">
    <w:abstractNumId w:val="3"/>
  </w:num>
  <w:num w:numId="38" w16cid:durableId="1834761322">
    <w:abstractNumId w:val="2"/>
  </w:num>
  <w:num w:numId="39" w16cid:durableId="133455182">
    <w:abstractNumId w:val="1"/>
  </w:num>
  <w:num w:numId="40" w16cid:durableId="404381082">
    <w:abstractNumId w:val="0"/>
  </w:num>
  <w:num w:numId="41" w16cid:durableId="475342279">
    <w:abstractNumId w:val="10"/>
  </w:num>
  <w:num w:numId="42" w16cid:durableId="1838105992">
    <w:abstractNumId w:val="10"/>
  </w:num>
  <w:num w:numId="43" w16cid:durableId="531963667">
    <w:abstractNumId w:val="10"/>
  </w:num>
  <w:num w:numId="44" w16cid:durableId="1242831386">
    <w:abstractNumId w:val="12"/>
  </w:num>
  <w:num w:numId="45" w16cid:durableId="175971352">
    <w:abstractNumId w:val="13"/>
  </w:num>
  <w:num w:numId="46" w16cid:durableId="16928732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SL"/>
    <w:docVar w:name="dvnumam" w:val="0"/>
    <w:docVar w:name="dvpe" w:val="765.276"/>
    <w:docVar w:name="dvrapporteur" w:val="Poročevalec: "/>
    <w:docVar w:name="dvtitre" w:val="Sklep Evropskega parlamenta z dne … 2025 o razrešnici glede izvrševanja proračuna skupnih podjetij EU za proračunsko leto 2023(2024/2031(DEC))"/>
  </w:docVars>
  <w:rsids>
    <w:rsidRoot w:val="004839B9"/>
    <w:rsid w:val="00002272"/>
    <w:rsid w:val="00064002"/>
    <w:rsid w:val="000677B9"/>
    <w:rsid w:val="000831BA"/>
    <w:rsid w:val="000A42CC"/>
    <w:rsid w:val="000E7DD9"/>
    <w:rsid w:val="0010095E"/>
    <w:rsid w:val="00125B37"/>
    <w:rsid w:val="00185F16"/>
    <w:rsid w:val="00187494"/>
    <w:rsid w:val="001B5FA3"/>
    <w:rsid w:val="001C2030"/>
    <w:rsid w:val="001D2F38"/>
    <w:rsid w:val="001F32AE"/>
    <w:rsid w:val="002767FF"/>
    <w:rsid w:val="002B18FE"/>
    <w:rsid w:val="002B5493"/>
    <w:rsid w:val="002C7E68"/>
    <w:rsid w:val="0032192A"/>
    <w:rsid w:val="00343214"/>
    <w:rsid w:val="003537CE"/>
    <w:rsid w:val="00361C00"/>
    <w:rsid w:val="0037284E"/>
    <w:rsid w:val="00395FA1"/>
    <w:rsid w:val="003E15D4"/>
    <w:rsid w:val="003F1E59"/>
    <w:rsid w:val="00411CCE"/>
    <w:rsid w:val="0041666E"/>
    <w:rsid w:val="00421060"/>
    <w:rsid w:val="00471C19"/>
    <w:rsid w:val="004839B9"/>
    <w:rsid w:val="004867E3"/>
    <w:rsid w:val="00494A28"/>
    <w:rsid w:val="004C0004"/>
    <w:rsid w:val="004C12AA"/>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4690"/>
    <w:rsid w:val="007E22AD"/>
    <w:rsid w:val="00817416"/>
    <w:rsid w:val="00817D8F"/>
    <w:rsid w:val="00842779"/>
    <w:rsid w:val="00864B42"/>
    <w:rsid w:val="00865F67"/>
    <w:rsid w:val="00881A7B"/>
    <w:rsid w:val="008840E5"/>
    <w:rsid w:val="00887B3E"/>
    <w:rsid w:val="008C2AC6"/>
    <w:rsid w:val="00930C23"/>
    <w:rsid w:val="0093193B"/>
    <w:rsid w:val="00937C32"/>
    <w:rsid w:val="009509D8"/>
    <w:rsid w:val="00950B64"/>
    <w:rsid w:val="00981893"/>
    <w:rsid w:val="00A1687D"/>
    <w:rsid w:val="00A43E52"/>
    <w:rsid w:val="00A4678D"/>
    <w:rsid w:val="00A778C7"/>
    <w:rsid w:val="00AA672C"/>
    <w:rsid w:val="00AB441E"/>
    <w:rsid w:val="00AB6293"/>
    <w:rsid w:val="00AE0928"/>
    <w:rsid w:val="00AE12E9"/>
    <w:rsid w:val="00AE75B6"/>
    <w:rsid w:val="00AF3B82"/>
    <w:rsid w:val="00B12E95"/>
    <w:rsid w:val="00B22876"/>
    <w:rsid w:val="00B23FB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2E9"/>
    <w:rsid w:val="00DA7FCD"/>
    <w:rsid w:val="00E365E1"/>
    <w:rsid w:val="00E820A4"/>
    <w:rsid w:val="00EB006A"/>
    <w:rsid w:val="00EB4772"/>
    <w:rsid w:val="00ED169E"/>
    <w:rsid w:val="00ED4235"/>
    <w:rsid w:val="00F04346"/>
    <w:rsid w:val="00F075DC"/>
    <w:rsid w:val="00F149E9"/>
    <w:rsid w:val="00F5134D"/>
    <w:rsid w:val="00F74202"/>
    <w:rsid w:val="00F74E0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F33E9"/>
  <w15:chartTrackingRefBased/>
  <w15:docId w15:val="{5E5B4EC7-0107-4791-B2A0-1691C273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B23FB5"/>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A672C"/>
    <w:rPr>
      <w:b/>
      <w:kern w:val="28"/>
      <w:sz w:val="28"/>
      <w:lang w:val="fr-FR" w:eastAsia="fr-FR"/>
    </w:rPr>
  </w:style>
  <w:style w:type="character" w:customStyle="1" w:styleId="Heading2Char">
    <w:name w:val="Heading 2 Char"/>
    <w:basedOn w:val="DefaultParagraphFont"/>
    <w:link w:val="Heading2"/>
    <w:semiHidden/>
    <w:rsid w:val="00AA672C"/>
    <w:rPr>
      <w:sz w:val="24"/>
      <w:lang w:val="fr-FR" w:eastAsia="fr-FR"/>
    </w:rPr>
  </w:style>
  <w:style w:type="character" w:customStyle="1" w:styleId="Heading3Char">
    <w:name w:val="Heading 3 Char"/>
    <w:basedOn w:val="DefaultParagraphFont"/>
    <w:link w:val="Heading3"/>
    <w:semiHidden/>
    <w:rsid w:val="00AA672C"/>
    <w:rPr>
      <w:rFonts w:ascii="Arial" w:hAnsi="Arial"/>
      <w:sz w:val="24"/>
      <w:lang w:val="fr-FR" w:eastAsia="fr-FR"/>
    </w:rPr>
  </w:style>
  <w:style w:type="character" w:customStyle="1" w:styleId="Heading4Char">
    <w:name w:val="Heading 4 Char"/>
    <w:basedOn w:val="DefaultParagraphFont"/>
    <w:link w:val="Heading4"/>
    <w:semiHidden/>
    <w:rsid w:val="00AA672C"/>
    <w:rPr>
      <w:sz w:val="24"/>
      <w:lang w:val="en-US" w:eastAsia="fr-FR"/>
    </w:rPr>
  </w:style>
  <w:style w:type="character" w:customStyle="1" w:styleId="Heading5Char">
    <w:name w:val="Heading 5 Char"/>
    <w:basedOn w:val="DefaultParagraphFont"/>
    <w:link w:val="Heading5"/>
    <w:semiHidden/>
    <w:rsid w:val="00AA672C"/>
    <w:rPr>
      <w:sz w:val="24"/>
      <w:lang w:val="en-US" w:eastAsia="fr-FR"/>
    </w:rPr>
  </w:style>
  <w:style w:type="character" w:customStyle="1" w:styleId="Heading6Char">
    <w:name w:val="Heading 6 Char"/>
    <w:basedOn w:val="DefaultParagraphFont"/>
    <w:link w:val="Heading6"/>
    <w:semiHidden/>
    <w:rsid w:val="00AA672C"/>
    <w:rPr>
      <w:i/>
      <w:sz w:val="22"/>
      <w:lang w:val="sl-SI"/>
    </w:rPr>
  </w:style>
  <w:style w:type="character" w:customStyle="1" w:styleId="Heading7Char">
    <w:name w:val="Heading 7 Char"/>
    <w:basedOn w:val="DefaultParagraphFont"/>
    <w:link w:val="Heading7"/>
    <w:semiHidden/>
    <w:rsid w:val="00AA672C"/>
    <w:rPr>
      <w:rFonts w:ascii="Arial" w:hAnsi="Arial"/>
      <w:sz w:val="24"/>
      <w:lang w:val="sl-SI"/>
    </w:rPr>
  </w:style>
  <w:style w:type="character" w:customStyle="1" w:styleId="Heading8Char">
    <w:name w:val="Heading 8 Char"/>
    <w:basedOn w:val="DefaultParagraphFont"/>
    <w:link w:val="Heading8"/>
    <w:semiHidden/>
    <w:rsid w:val="00AA672C"/>
    <w:rPr>
      <w:rFonts w:ascii="Arial" w:hAnsi="Arial"/>
      <w:i/>
      <w:sz w:val="24"/>
      <w:lang w:val="sl-SI"/>
    </w:rPr>
  </w:style>
  <w:style w:type="character" w:customStyle="1" w:styleId="Heading9Char">
    <w:name w:val="Heading 9 Char"/>
    <w:basedOn w:val="DefaultParagraphFont"/>
    <w:link w:val="Heading9"/>
    <w:semiHidden/>
    <w:rsid w:val="00AA672C"/>
    <w:rPr>
      <w:rFonts w:ascii="Arial" w:hAnsi="Arial"/>
      <w:b/>
      <w:i/>
      <w:sz w:val="18"/>
      <w:lang w:val="sl-SI"/>
    </w:rPr>
  </w:style>
  <w:style w:type="paragraph" w:styleId="TOCHeading">
    <w:name w:val="TOC Heading"/>
    <w:basedOn w:val="Normal"/>
    <w:next w:val="Normal"/>
    <w:unhideWhenUsed/>
    <w:qFormat/>
    <w:rsid w:val="00AA672C"/>
    <w:pPr>
      <w:widowControl/>
      <w:spacing w:after="240"/>
    </w:pPr>
    <w:rPr>
      <w:lang w:val="en-GB"/>
    </w:rPr>
  </w:style>
  <w:style w:type="paragraph" w:customStyle="1" w:styleId="EPFooter2">
    <w:name w:val="EPFooter2"/>
    <w:basedOn w:val="Normal"/>
    <w:next w:val="Normal"/>
    <w:rsid w:val="00AA672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A672C"/>
    <w:pPr>
      <w:spacing w:before="480" w:after="240"/>
    </w:pPr>
  </w:style>
  <w:style w:type="paragraph" w:customStyle="1" w:styleId="TOCPage">
    <w:name w:val="TOC Page"/>
    <w:basedOn w:val="Normal"/>
    <w:next w:val="TOC1"/>
    <w:rsid w:val="00AA672C"/>
    <w:pPr>
      <w:keepNext/>
      <w:spacing w:after="240"/>
      <w:jc w:val="right"/>
    </w:pPr>
    <w:rPr>
      <w:rFonts w:ascii="Arial" w:hAnsi="Arial"/>
      <w:b/>
    </w:rPr>
  </w:style>
  <w:style w:type="paragraph" w:customStyle="1" w:styleId="PageHeading">
    <w:name w:val="PageHeading"/>
    <w:basedOn w:val="Normal"/>
    <w:rsid w:val="00AA672C"/>
    <w:pPr>
      <w:keepNext/>
      <w:spacing w:after="480"/>
      <w:jc w:val="center"/>
    </w:pPr>
    <w:rPr>
      <w:rFonts w:ascii="Arial" w:hAnsi="Arial" w:cs="Arial"/>
      <w:b/>
    </w:rPr>
  </w:style>
  <w:style w:type="paragraph" w:customStyle="1" w:styleId="NormalBold">
    <w:name w:val="NormalBold"/>
    <w:basedOn w:val="Normal"/>
    <w:rsid w:val="00AA672C"/>
    <w:rPr>
      <w:b/>
    </w:rPr>
  </w:style>
  <w:style w:type="paragraph" w:customStyle="1" w:styleId="NormalHanging12a">
    <w:name w:val="NormalHanging12a"/>
    <w:basedOn w:val="Normal"/>
    <w:link w:val="NormalHanging12aChar"/>
    <w:rsid w:val="00AA672C"/>
    <w:pPr>
      <w:spacing w:after="240"/>
      <w:ind w:left="567" w:hanging="567"/>
    </w:pPr>
  </w:style>
  <w:style w:type="paragraph" w:customStyle="1" w:styleId="Subheading">
    <w:name w:val="Subheading"/>
    <w:basedOn w:val="Normal"/>
    <w:rsid w:val="00AA672C"/>
    <w:pPr>
      <w:spacing w:before="480" w:after="240"/>
    </w:pPr>
    <w:rPr>
      <w:b/>
      <w:i/>
    </w:rPr>
  </w:style>
  <w:style w:type="paragraph" w:customStyle="1" w:styleId="CoverNormal24a">
    <w:name w:val="CoverNormal24a"/>
    <w:basedOn w:val="Normal"/>
    <w:rsid w:val="00AA672C"/>
    <w:pPr>
      <w:spacing w:after="480"/>
      <w:ind w:left="1417"/>
    </w:pPr>
  </w:style>
  <w:style w:type="paragraph" w:customStyle="1" w:styleId="CoverNormal">
    <w:name w:val="CoverNormal"/>
    <w:basedOn w:val="Normal"/>
    <w:rsid w:val="00AA672C"/>
    <w:pPr>
      <w:ind w:left="1418"/>
    </w:pPr>
  </w:style>
  <w:style w:type="paragraph" w:customStyle="1" w:styleId="CoverReference">
    <w:name w:val="CoverReference"/>
    <w:basedOn w:val="Normal"/>
    <w:rsid w:val="00AA672C"/>
    <w:pPr>
      <w:spacing w:before="1080"/>
      <w:jc w:val="right"/>
    </w:pPr>
    <w:rPr>
      <w:rFonts w:ascii="Arial" w:hAnsi="Arial" w:cs="Arial"/>
      <w:b/>
    </w:rPr>
  </w:style>
  <w:style w:type="paragraph" w:customStyle="1" w:styleId="CoverDocType24a">
    <w:name w:val="CoverDocType24a"/>
    <w:basedOn w:val="Normal"/>
    <w:rsid w:val="00AA672C"/>
    <w:pPr>
      <w:spacing w:after="480"/>
      <w:ind w:left="1418"/>
    </w:pPr>
    <w:rPr>
      <w:rFonts w:ascii="Arial" w:hAnsi="Arial"/>
      <w:b/>
      <w:sz w:val="48"/>
    </w:rPr>
  </w:style>
  <w:style w:type="paragraph" w:customStyle="1" w:styleId="CoverDate">
    <w:name w:val="CoverDate"/>
    <w:basedOn w:val="Normal"/>
    <w:rsid w:val="00AA672C"/>
    <w:pPr>
      <w:spacing w:before="240" w:after="1200"/>
    </w:pPr>
  </w:style>
  <w:style w:type="paragraph" w:styleId="Header">
    <w:name w:val="header"/>
    <w:basedOn w:val="Normal"/>
    <w:link w:val="HeaderChar"/>
    <w:rsid w:val="00AA672C"/>
    <w:pPr>
      <w:tabs>
        <w:tab w:val="center" w:pos="4513"/>
        <w:tab w:val="right" w:pos="9026"/>
      </w:tabs>
    </w:pPr>
  </w:style>
  <w:style w:type="character" w:customStyle="1" w:styleId="HeaderChar">
    <w:name w:val="Header Char"/>
    <w:basedOn w:val="DefaultParagraphFont"/>
    <w:link w:val="Header"/>
    <w:rsid w:val="00AA672C"/>
    <w:rPr>
      <w:sz w:val="24"/>
      <w:lang w:val="sl-SI"/>
    </w:rPr>
  </w:style>
  <w:style w:type="paragraph" w:customStyle="1" w:styleId="EPBody">
    <w:name w:val="EPBody"/>
    <w:basedOn w:val="Normal"/>
    <w:rsid w:val="00AA672C"/>
    <w:pPr>
      <w:jc w:val="center"/>
    </w:pPr>
    <w:rPr>
      <w:rFonts w:ascii="Arial" w:hAnsi="Arial" w:cs="Arial"/>
      <w:i/>
      <w:sz w:val="22"/>
      <w:szCs w:val="22"/>
    </w:rPr>
  </w:style>
  <w:style w:type="paragraph" w:customStyle="1" w:styleId="EPFooter">
    <w:name w:val="EPFooter"/>
    <w:basedOn w:val="Normal"/>
    <w:rsid w:val="00AA672C"/>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AA672C"/>
    <w:rPr>
      <w:rFonts w:ascii="Times New Roman" w:hAnsi="Times New Roman"/>
    </w:rPr>
  </w:style>
  <w:style w:type="character" w:customStyle="1" w:styleId="PageHeadingDecChar">
    <w:name w:val="PageHeadingDec Char"/>
    <w:basedOn w:val="DefaultParagraphFont"/>
    <w:link w:val="PageHeadingDec"/>
    <w:rsid w:val="00AA672C"/>
    <w:rPr>
      <w:rFonts w:cs="Arial"/>
      <w:b/>
      <w:sz w:val="24"/>
      <w:lang w:val="sl-SI"/>
    </w:rPr>
  </w:style>
  <w:style w:type="paragraph" w:customStyle="1" w:styleId="PageHeadingNotTOC">
    <w:name w:val="PageHeadingNotTOC"/>
    <w:basedOn w:val="Normal"/>
    <w:link w:val="PageHeadingNotTOCChar"/>
    <w:rsid w:val="00AA672C"/>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AA672C"/>
    <w:rPr>
      <w:sz w:val="24"/>
      <w:lang w:val="sl-SI"/>
    </w:rPr>
  </w:style>
  <w:style w:type="paragraph" w:styleId="TOC8">
    <w:name w:val="toc 8"/>
    <w:basedOn w:val="Normal"/>
    <w:next w:val="Normal"/>
    <w:autoRedefine/>
    <w:uiPriority w:val="39"/>
    <w:rsid w:val="00AA672C"/>
    <w:pPr>
      <w:spacing w:after="240"/>
    </w:pPr>
    <w:rPr>
      <w:b/>
    </w:rPr>
  </w:style>
  <w:style w:type="paragraph" w:styleId="TOC9">
    <w:name w:val="toc 9"/>
    <w:basedOn w:val="Normal"/>
    <w:next w:val="Normal"/>
    <w:autoRedefine/>
    <w:uiPriority w:val="39"/>
    <w:rsid w:val="00AA672C"/>
    <w:pPr>
      <w:spacing w:after="100"/>
      <w:jc w:val="center"/>
    </w:pPr>
  </w:style>
  <w:style w:type="paragraph" w:styleId="TOC7">
    <w:name w:val="toc 7"/>
    <w:basedOn w:val="Normal"/>
    <w:next w:val="Normal"/>
    <w:autoRedefine/>
    <w:uiPriority w:val="39"/>
    <w:rsid w:val="00AA672C"/>
    <w:pPr>
      <w:tabs>
        <w:tab w:val="right" w:leader="dot" w:pos="9060"/>
      </w:tabs>
      <w:spacing w:after="240"/>
      <w:ind w:left="720" w:hanging="720"/>
    </w:pPr>
  </w:style>
  <w:style w:type="character" w:styleId="Hyperlink">
    <w:name w:val="Hyperlink"/>
    <w:basedOn w:val="DefaultParagraphFont"/>
    <w:uiPriority w:val="99"/>
    <w:rsid w:val="00AA672C"/>
    <w:rPr>
      <w:color w:val="0563C1" w:themeColor="hyperlink"/>
      <w:u w:val="single"/>
    </w:rPr>
  </w:style>
  <w:style w:type="character" w:styleId="FollowedHyperlink">
    <w:name w:val="FollowedHyperlink"/>
    <w:basedOn w:val="DefaultParagraphFont"/>
    <w:rsid w:val="00AA672C"/>
    <w:rPr>
      <w:color w:val="954F72" w:themeColor="followedHyperlink"/>
      <w:u w:val="single"/>
    </w:rPr>
  </w:style>
  <w:style w:type="paragraph" w:customStyle="1" w:styleId="RollCallSubtitle">
    <w:name w:val="RollCallSubtitle"/>
    <w:basedOn w:val="Normal"/>
    <w:qFormat/>
    <w:rsid w:val="00AA672C"/>
    <w:pPr>
      <w:snapToGrid w:val="0"/>
      <w:spacing w:after="240"/>
    </w:pPr>
    <w:rPr>
      <w:lang w:eastAsia="en-US"/>
    </w:rPr>
  </w:style>
  <w:style w:type="character" w:customStyle="1" w:styleId="PageHeadingNotTOCChar">
    <w:name w:val="PageHeadingNotTOC Char"/>
    <w:basedOn w:val="DefaultParagraphFont"/>
    <w:link w:val="PageHeadingNotTOC"/>
    <w:rsid w:val="00AA672C"/>
    <w:rPr>
      <w:rFonts w:ascii="Arial" w:hAnsi="Arial" w:cs="Arial"/>
      <w:b/>
      <w:sz w:val="24"/>
      <w:lang w:val="sl-SI"/>
    </w:rPr>
  </w:style>
  <w:style w:type="character" w:styleId="CommentReference">
    <w:name w:val="annotation reference"/>
    <w:basedOn w:val="DefaultParagraphFont"/>
    <w:uiPriority w:val="99"/>
    <w:rsid w:val="00AA672C"/>
    <w:rPr>
      <w:sz w:val="16"/>
      <w:szCs w:val="16"/>
    </w:rPr>
  </w:style>
  <w:style w:type="paragraph" w:styleId="CommentText">
    <w:name w:val="annotation text"/>
    <w:basedOn w:val="Normal"/>
    <w:link w:val="CommentTextChar"/>
    <w:rsid w:val="00AA672C"/>
    <w:rPr>
      <w:sz w:val="20"/>
    </w:rPr>
  </w:style>
  <w:style w:type="character" w:customStyle="1" w:styleId="CommentTextChar">
    <w:name w:val="Comment Text Char"/>
    <w:basedOn w:val="DefaultParagraphFont"/>
    <w:link w:val="CommentText"/>
    <w:rsid w:val="00AA672C"/>
    <w:rPr>
      <w:lang w:val="sl-SI"/>
    </w:rPr>
  </w:style>
  <w:style w:type="paragraph" w:styleId="CommentSubject">
    <w:name w:val="annotation subject"/>
    <w:basedOn w:val="CommentText"/>
    <w:next w:val="CommentText"/>
    <w:link w:val="CommentSubjectChar"/>
    <w:unhideWhenUsed/>
    <w:rsid w:val="00AA672C"/>
    <w:rPr>
      <w:b/>
      <w:bCs/>
    </w:rPr>
  </w:style>
  <w:style w:type="character" w:customStyle="1" w:styleId="CommentSubjectChar">
    <w:name w:val="Comment Subject Char"/>
    <w:basedOn w:val="CommentTextChar"/>
    <w:link w:val="CommentSubject"/>
    <w:rsid w:val="00AA672C"/>
    <w:rPr>
      <w:b/>
      <w:bCs/>
      <w:lang w:val="sl-SI"/>
    </w:rPr>
  </w:style>
  <w:style w:type="paragraph" w:styleId="BalloonText">
    <w:name w:val="Balloon Text"/>
    <w:basedOn w:val="Normal"/>
    <w:link w:val="BalloonTextChar"/>
    <w:unhideWhenUsed/>
    <w:rsid w:val="00AA672C"/>
    <w:rPr>
      <w:rFonts w:ascii="Segoe UI" w:hAnsi="Segoe UI" w:cs="Segoe UI"/>
      <w:sz w:val="18"/>
      <w:szCs w:val="18"/>
    </w:rPr>
  </w:style>
  <w:style w:type="character" w:customStyle="1" w:styleId="BalloonTextChar">
    <w:name w:val="Balloon Text Char"/>
    <w:basedOn w:val="DefaultParagraphFont"/>
    <w:link w:val="BalloonText"/>
    <w:rsid w:val="00AA672C"/>
    <w:rPr>
      <w:rFonts w:ascii="Segoe UI" w:hAnsi="Segoe UI" w:cs="Segoe UI"/>
      <w:sz w:val="18"/>
      <w:szCs w:val="18"/>
      <w:lang w:val="sl-SI"/>
    </w:rPr>
  </w:style>
  <w:style w:type="paragraph" w:styleId="Revision">
    <w:name w:val="Revision"/>
    <w:hidden/>
    <w:uiPriority w:val="99"/>
    <w:semiHidden/>
    <w:rsid w:val="00AA672C"/>
    <w:rPr>
      <w:sz w:val="24"/>
      <w:lang w:val="sl-SI"/>
    </w:rPr>
  </w:style>
  <w:style w:type="paragraph" w:customStyle="1" w:styleId="Normal6a">
    <w:name w:val="Normal6a"/>
    <w:basedOn w:val="Normal"/>
    <w:rsid w:val="00AA672C"/>
    <w:pPr>
      <w:spacing w:after="120"/>
    </w:pPr>
    <w:rPr>
      <w:szCs w:val="24"/>
      <w:lang w:eastAsia="en-US"/>
    </w:rPr>
  </w:style>
  <w:style w:type="paragraph" w:customStyle="1" w:styleId="Normal24a">
    <w:name w:val="Normal24a"/>
    <w:basedOn w:val="Normal"/>
    <w:rsid w:val="00AA672C"/>
    <w:pPr>
      <w:spacing w:after="480"/>
    </w:pPr>
  </w:style>
  <w:style w:type="paragraph" w:customStyle="1" w:styleId="NormalBoldCenter">
    <w:name w:val="NormalBoldCenter"/>
    <w:basedOn w:val="Normal"/>
    <w:rsid w:val="00AA672C"/>
    <w:pPr>
      <w:jc w:val="center"/>
    </w:pPr>
    <w:rPr>
      <w:b/>
    </w:rPr>
  </w:style>
  <w:style w:type="paragraph" w:customStyle="1" w:styleId="Footprint12b">
    <w:name w:val="Footprint12b"/>
    <w:basedOn w:val="Normal"/>
    <w:rsid w:val="00AA672C"/>
    <w:pPr>
      <w:spacing w:before="240"/>
    </w:pPr>
    <w:rPr>
      <w:szCs w:val="24"/>
    </w:rPr>
  </w:style>
  <w:style w:type="paragraph" w:customStyle="1" w:styleId="NormalSingle">
    <w:name w:val="NormalSingle"/>
    <w:basedOn w:val="Normal"/>
    <w:qFormat/>
    <w:rsid w:val="00AA672C"/>
    <w:rPr>
      <w:szCs w:val="24"/>
    </w:rPr>
  </w:style>
  <w:style w:type="paragraph" w:customStyle="1" w:styleId="Normal12a">
    <w:name w:val="Normal12a"/>
    <w:basedOn w:val="Normal"/>
    <w:rsid w:val="00AA672C"/>
    <w:pPr>
      <w:spacing w:after="240"/>
    </w:pPr>
  </w:style>
  <w:style w:type="paragraph" w:customStyle="1" w:styleId="Visa">
    <w:name w:val="Visa"/>
    <w:basedOn w:val="Normal"/>
    <w:rsid w:val="00AA672C"/>
    <w:pPr>
      <w:tabs>
        <w:tab w:val="left" w:pos="357"/>
      </w:tabs>
      <w:snapToGrid w:val="0"/>
      <w:spacing w:after="240"/>
      <w:ind w:left="357" w:hanging="357"/>
    </w:pPr>
    <w:rPr>
      <w:lang w:eastAsia="en-US"/>
    </w:rPr>
  </w:style>
  <w:style w:type="paragraph" w:customStyle="1" w:styleId="RollCallSymbols14pt">
    <w:name w:val="RollCallSymbols14pt"/>
    <w:basedOn w:val="Normal"/>
    <w:rsid w:val="00AA672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A672C"/>
    <w:pPr>
      <w:tabs>
        <w:tab w:val="center" w:pos="284"/>
        <w:tab w:val="left" w:pos="426"/>
      </w:tabs>
    </w:pPr>
    <w:rPr>
      <w:snapToGrid w:val="0"/>
      <w:lang w:eastAsia="en-US"/>
    </w:rPr>
  </w:style>
  <w:style w:type="paragraph" w:customStyle="1" w:styleId="RollCallVotes">
    <w:name w:val="RollCallVotes"/>
    <w:basedOn w:val="Normal"/>
    <w:rsid w:val="00AA672C"/>
    <w:pPr>
      <w:spacing w:before="120" w:after="120"/>
      <w:jc w:val="center"/>
    </w:pPr>
    <w:rPr>
      <w:b/>
      <w:bCs/>
      <w:snapToGrid w:val="0"/>
      <w:sz w:val="16"/>
      <w:lang w:eastAsia="en-US"/>
    </w:rPr>
  </w:style>
  <w:style w:type="paragraph" w:customStyle="1" w:styleId="RollCallTable">
    <w:name w:val="RollCallTable"/>
    <w:basedOn w:val="Normal"/>
    <w:rsid w:val="00AA672C"/>
    <w:pPr>
      <w:spacing w:before="120" w:after="120"/>
    </w:pPr>
    <w:rPr>
      <w:snapToGrid w:val="0"/>
      <w:sz w:val="16"/>
      <w:lang w:eastAsia="en-US"/>
    </w:rPr>
  </w:style>
  <w:style w:type="paragraph" w:styleId="Footer">
    <w:name w:val="footer"/>
    <w:basedOn w:val="Normal"/>
    <w:link w:val="FooterChar"/>
    <w:rsid w:val="00AA672C"/>
    <w:pPr>
      <w:tabs>
        <w:tab w:val="center" w:pos="4513"/>
        <w:tab w:val="right" w:pos="9026"/>
      </w:tabs>
    </w:pPr>
  </w:style>
  <w:style w:type="character" w:customStyle="1" w:styleId="FooterChar">
    <w:name w:val="Footer Char"/>
    <w:basedOn w:val="DefaultParagraphFont"/>
    <w:link w:val="Footer"/>
    <w:rsid w:val="00AA672C"/>
    <w:rPr>
      <w:sz w:val="24"/>
      <w:lang w:val="sl-SI"/>
    </w:rPr>
  </w:style>
  <w:style w:type="character" w:customStyle="1" w:styleId="Hyperlink1">
    <w:name w:val="Hyperlink1"/>
    <w:basedOn w:val="DefaultParagraphFont"/>
    <w:uiPriority w:val="99"/>
    <w:rsid w:val="00AE12E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025B5-7068-4ABB-8A93-A0E57CD01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17349</Words>
  <Characters>103806</Characters>
  <Application>Microsoft Office Word</Application>
  <DocSecurity>0</DocSecurity>
  <Lines>865</Lines>
  <Paragraphs>241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2025-12-04T09:04:00Z</dcterms:created>
  <dcterms:modified xsi:type="dcterms:W3CDTF">2025-12-04T09:04:00Z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P10_TA(2025)0089_</vt:lpwstr>
  </property>
  <property fmtid="{D5CDD505-2E9C-101B-9397-08002B2CF9AE}" pid="4" name="&lt;Type&gt;">
    <vt:lpwstr>RR</vt:lpwstr>
  </property>
</Properties>
</file>