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51D7" w14:paraId="27D10FC9" w14:textId="77777777" w:rsidTr="0010095E">
        <w:trPr>
          <w:trHeight w:hRule="exact" w:val="1418"/>
        </w:trPr>
        <w:tc>
          <w:tcPr>
            <w:tcW w:w="6804" w:type="dxa"/>
            <w:shd w:val="clear" w:color="auto" w:fill="auto"/>
            <w:vAlign w:val="center"/>
          </w:tcPr>
          <w:p w14:paraId="5C6F3376" w14:textId="77777777" w:rsidR="00751A4A" w:rsidRPr="003B51D7" w:rsidRDefault="000B6A49" w:rsidP="0010095E">
            <w:pPr>
              <w:pStyle w:val="EPName"/>
            </w:pPr>
            <w:r w:rsidRPr="003B51D7">
              <w:t>Europaparlamentet</w:t>
            </w:r>
          </w:p>
          <w:p w14:paraId="31161088" w14:textId="77777777" w:rsidR="00751A4A" w:rsidRPr="003B51D7" w:rsidRDefault="005F1B17" w:rsidP="005F1B17">
            <w:pPr>
              <w:pStyle w:val="EPTerm"/>
              <w:rPr>
                <w:rStyle w:val="HideTWBExt"/>
                <w:noProof w:val="0"/>
                <w:vanish w:val="0"/>
                <w:color w:val="auto"/>
              </w:rPr>
            </w:pPr>
            <w:r w:rsidRPr="003B51D7">
              <w:t>2024</w:t>
            </w:r>
            <w:r w:rsidR="00817416" w:rsidRPr="003B51D7">
              <w:t>-202</w:t>
            </w:r>
            <w:r w:rsidRPr="003B51D7">
              <w:t>9</w:t>
            </w:r>
          </w:p>
        </w:tc>
        <w:tc>
          <w:tcPr>
            <w:tcW w:w="2268" w:type="dxa"/>
            <w:shd w:val="clear" w:color="auto" w:fill="auto"/>
          </w:tcPr>
          <w:p w14:paraId="36850301" w14:textId="77777777" w:rsidR="00751A4A" w:rsidRPr="003B51D7" w:rsidRDefault="00187494" w:rsidP="0010095E">
            <w:pPr>
              <w:pStyle w:val="EPLogo"/>
            </w:pPr>
            <w:r w:rsidRPr="003B51D7">
              <w:rPr>
                <w:noProof/>
                <w:lang w:val="en-GB"/>
              </w:rPr>
              <w:drawing>
                <wp:inline distT="0" distB="0" distL="0" distR="0" wp14:anchorId="628D6564" wp14:editId="6577A8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57645E" w14:textId="77777777" w:rsidR="00D058B8" w:rsidRPr="003B51D7" w:rsidRDefault="00D058B8" w:rsidP="004C5D52">
      <w:pPr>
        <w:pStyle w:val="LineTop"/>
      </w:pPr>
    </w:p>
    <w:p w14:paraId="25B23587" w14:textId="77777777" w:rsidR="00680577" w:rsidRPr="003B51D7" w:rsidRDefault="000B6A49" w:rsidP="00680577">
      <w:pPr>
        <w:pStyle w:val="EPBodyTA1"/>
      </w:pPr>
      <w:r w:rsidRPr="003B51D7">
        <w:t>ANTAGNA TEXTER</w:t>
      </w:r>
    </w:p>
    <w:p w14:paraId="40BC4B8B" w14:textId="77777777" w:rsidR="00D058B8" w:rsidRPr="003B51D7" w:rsidRDefault="00D058B8" w:rsidP="00D058B8">
      <w:pPr>
        <w:pStyle w:val="LineBottom"/>
      </w:pPr>
    </w:p>
    <w:p w14:paraId="12AAE2A0" w14:textId="454442BC" w:rsidR="000B6A49" w:rsidRPr="003B51D7" w:rsidRDefault="000B6A49" w:rsidP="000B6A49">
      <w:pPr>
        <w:pStyle w:val="ATHeading1"/>
      </w:pPr>
      <w:bookmarkStart w:id="0" w:name="TANumber"/>
      <w:r w:rsidRPr="003B51D7">
        <w:t>P10_TA(2025)</w:t>
      </w:r>
      <w:bookmarkEnd w:id="0"/>
      <w:r w:rsidR="00B734F4" w:rsidRPr="003B51D7">
        <w:t>00</w:t>
      </w:r>
      <w:r w:rsidR="00B734F4">
        <w:t>89</w:t>
      </w:r>
    </w:p>
    <w:p w14:paraId="40C4C068" w14:textId="472C44C3" w:rsidR="000B6A49" w:rsidRPr="003B51D7" w:rsidRDefault="000B6A49" w:rsidP="000B6A49">
      <w:pPr>
        <w:pStyle w:val="ATHeading2"/>
      </w:pPr>
      <w:bookmarkStart w:id="1" w:name="title"/>
      <w:r w:rsidRPr="003B51D7">
        <w:t>Ansvarsfrihet 2023: Gemensamma företag</w:t>
      </w:r>
      <w:bookmarkEnd w:id="1"/>
    </w:p>
    <w:p w14:paraId="57163D08" w14:textId="77777777" w:rsidR="000B6A49" w:rsidRPr="003B51D7" w:rsidRDefault="000B6A49" w:rsidP="00C122C8">
      <w:pPr>
        <w:rPr>
          <w:i/>
          <w:vanish/>
        </w:rPr>
      </w:pPr>
      <w:r w:rsidRPr="003B51D7">
        <w:rPr>
          <w:i/>
        </w:rPr>
        <w:fldChar w:fldCharType="begin"/>
      </w:r>
      <w:r w:rsidRPr="003B51D7">
        <w:rPr>
          <w:i/>
        </w:rPr>
        <w:instrText xml:space="preserve"> TC"(</w:instrText>
      </w:r>
      <w:bookmarkStart w:id="2" w:name="DocNumber"/>
      <w:r w:rsidRPr="003B51D7">
        <w:rPr>
          <w:i/>
        </w:rPr>
        <w:instrText>A10-0056/2025</w:instrText>
      </w:r>
      <w:bookmarkEnd w:id="2"/>
      <w:r w:rsidRPr="003B51D7">
        <w:rPr>
          <w:i/>
        </w:rPr>
        <w:instrText xml:space="preserve"> - Föredragande: Michal Wiezik)"\l3 \n&gt; \* MERGEFORMAT </w:instrText>
      </w:r>
      <w:r w:rsidRPr="003B51D7">
        <w:rPr>
          <w:i/>
        </w:rPr>
        <w:fldChar w:fldCharType="end"/>
      </w:r>
    </w:p>
    <w:p w14:paraId="0B30414A" w14:textId="77777777" w:rsidR="000B6A49" w:rsidRPr="003B51D7" w:rsidRDefault="000B6A49" w:rsidP="00C122C8">
      <w:pPr>
        <w:rPr>
          <w:vanish/>
        </w:rPr>
      </w:pPr>
      <w:bookmarkStart w:id="3" w:name="Commission"/>
      <w:r w:rsidRPr="003B51D7">
        <w:rPr>
          <w:vanish/>
        </w:rPr>
        <w:t>Budgetkontrollutskottet</w:t>
      </w:r>
      <w:bookmarkEnd w:id="3"/>
    </w:p>
    <w:p w14:paraId="55455E24" w14:textId="77777777" w:rsidR="000B6A49" w:rsidRPr="003B51D7" w:rsidRDefault="000B6A49" w:rsidP="00C122C8">
      <w:pPr>
        <w:rPr>
          <w:vanish/>
        </w:rPr>
      </w:pPr>
      <w:bookmarkStart w:id="4" w:name="PE"/>
      <w:r w:rsidRPr="003B51D7">
        <w:rPr>
          <w:vanish/>
        </w:rPr>
        <w:t>PE765.276</w:t>
      </w:r>
      <w:bookmarkEnd w:id="4"/>
    </w:p>
    <w:p w14:paraId="635352D2" w14:textId="77777777" w:rsidR="00C122C8" w:rsidRPr="00C122C8" w:rsidRDefault="00C122C8" w:rsidP="00B03AB5">
      <w:pPr>
        <w:pStyle w:val="ATHeading3"/>
      </w:pPr>
      <w:r w:rsidRPr="00C122C8">
        <w:t>1. Europaparlamentets beslut av den 7 maj 2025 om ansvarsfrihet för genomförandet av budgeten för det gemensamma företaget för ren luftfart för budgetåret 2023  (2024/2031(DEC))</w:t>
      </w:r>
    </w:p>
    <w:p w14:paraId="0E9D3874" w14:textId="3A789DC9"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408B7EC6" w14:textId="648099D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ren luftfart för budgetåret 2023,</w:t>
      </w:r>
    </w:p>
    <w:p w14:paraId="428B5A74" w14:textId="52F4231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1"/>
      </w:r>
      <w:r w:rsidRPr="00C122C8">
        <w:rPr>
          <w:kern w:val="2"/>
          <w14:ligatures w14:val="standardContextual"/>
        </w:rPr>
        <w:t>,</w:t>
      </w:r>
    </w:p>
    <w:p w14:paraId="7719FCE3" w14:textId="4EE40D8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2"/>
      </w:r>
      <w:r w:rsidRPr="00C122C8">
        <w:rPr>
          <w:kern w:val="2"/>
          <w14:ligatures w14:val="standardContextual"/>
        </w:rPr>
        <w:t>, som avgetts av revisionsrätten för budgetåret 2023 i enlighet med artikel 287 i fördraget om Europeiska unionens funktionssätt,</w:t>
      </w:r>
    </w:p>
    <w:p w14:paraId="3B078E1F" w14:textId="3B46AC3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2BE40644" w14:textId="3A3D89A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65D131B9" w14:textId="61E0CC8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3"/>
      </w:r>
      <w:r w:rsidRPr="00C122C8">
        <w:rPr>
          <w:kern w:val="2"/>
          <w14:ligatures w14:val="standardContextual"/>
        </w:rPr>
        <w:t>, särskilt artikel 71,</w:t>
      </w:r>
    </w:p>
    <w:p w14:paraId="256D69F0" w14:textId="2894450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4"/>
      </w:r>
      <w:r w:rsidRPr="00C122C8">
        <w:rPr>
          <w:kern w:val="2"/>
          <w14:ligatures w14:val="standardContextual"/>
        </w:rPr>
        <w:t xml:space="preserve">, särskilt artikel 71, </w:t>
      </w:r>
    </w:p>
    <w:p w14:paraId="7185ECF5" w14:textId="27ECEECF"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5"/>
      </w:r>
      <w:r w:rsidRPr="00C122C8">
        <w:rPr>
          <w:kern w:val="2"/>
          <w14:ligatures w14:val="standardContextual"/>
        </w:rPr>
        <w:t>, särskilt artikel 26,</w:t>
      </w:r>
    </w:p>
    <w:p w14:paraId="39E06BDD" w14:textId="5367F73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6"/>
      </w:r>
      <w:r w:rsidRPr="00C122C8">
        <w:rPr>
          <w:kern w:val="2"/>
          <w14:ligatures w14:val="standardContextual"/>
        </w:rPr>
        <w:t>,</w:t>
      </w:r>
    </w:p>
    <w:p w14:paraId="7196D6AC" w14:textId="2062CD1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102 och bilaga V i arbetsordningen,</w:t>
      </w:r>
    </w:p>
    <w:p w14:paraId="42B67913" w14:textId="2DE618D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6D4F99A7" w14:textId="5BDB922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21C68E03"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beviljar verkställande direktören för det gemensamma företaget för ren luftfart ansvarsfrihet för genomförandet av det gemensamma företagets budget för budgetåret 2023.</w:t>
      </w:r>
    </w:p>
    <w:p w14:paraId="5942C3C2"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Europaparlamentet redovisar sina iakttagelser i resolutionen nedan.</w:t>
      </w:r>
    </w:p>
    <w:p w14:paraId="715CCBEE"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 xml:space="preserve">Europaparlamentet uppdrar åt talmannen att översända detta beslut och den resolution som utgör en del av beslutet till verkställande direktören för det gemensamma företaget för ren luftfart, rådet, kommissionen och revisionsrätten, och att se till att de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10085D3A" w14:textId="77777777" w:rsidR="00C122C8" w:rsidRPr="00C122C8" w:rsidRDefault="00C122C8" w:rsidP="00C122C8">
      <w:pPr>
        <w:tabs>
          <w:tab w:val="left" w:pos="5386"/>
        </w:tabs>
        <w:ind w:left="567" w:hanging="567"/>
        <w:rPr>
          <w:i/>
          <w:kern w:val="2"/>
          <w14:ligatures w14:val="standardContextual"/>
        </w:rPr>
      </w:pPr>
    </w:p>
    <w:p w14:paraId="2BED45F9" w14:textId="77777777" w:rsidR="00C122C8" w:rsidRPr="00C122C8" w:rsidRDefault="00C122C8" w:rsidP="00C122C8">
      <w:pPr>
        <w:tabs>
          <w:tab w:val="left" w:pos="5386"/>
        </w:tabs>
        <w:ind w:left="567" w:hanging="567"/>
        <w:rPr>
          <w:i/>
          <w:kern w:val="2"/>
          <w14:ligatures w14:val="standardContextual"/>
        </w:rPr>
      </w:pPr>
    </w:p>
    <w:p w14:paraId="48A23B5F" w14:textId="77777777" w:rsidR="00C122C8" w:rsidRPr="00C122C8" w:rsidRDefault="00C122C8" w:rsidP="00C122C8">
      <w:pPr>
        <w:tabs>
          <w:tab w:val="left" w:pos="5386"/>
        </w:tabs>
        <w:ind w:left="567" w:hanging="567"/>
        <w:rPr>
          <w:i/>
          <w:kern w:val="2"/>
          <w14:ligatures w14:val="standardContextual"/>
        </w:rPr>
      </w:pPr>
    </w:p>
    <w:p w14:paraId="12CC8428"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4AF6A170"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729C1449" w14:textId="77777777" w:rsidR="00C122C8" w:rsidRPr="00C122C8" w:rsidRDefault="00C122C8" w:rsidP="00B03AB5">
      <w:pPr>
        <w:pStyle w:val="ATHeading3"/>
      </w:pPr>
      <w:r w:rsidRPr="00C122C8">
        <w:lastRenderedPageBreak/>
        <w:t>2. Europaparlamentets beslut av den 7 maj 2025 om avslutande av räkenskaperna för det gemensamma företaget för ren luftfart för budgetåret 2023  (2024/2031(DEC))</w:t>
      </w:r>
    </w:p>
    <w:p w14:paraId="68C3231D" w14:textId="2333D763"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2126ED46" w14:textId="5963303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ren luftfart för budgetåret 2023,</w:t>
      </w:r>
    </w:p>
    <w:p w14:paraId="6D6952D2" w14:textId="69494A2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7"/>
      </w:r>
      <w:r w:rsidRPr="00C122C8">
        <w:rPr>
          <w:kern w:val="2"/>
          <w14:ligatures w14:val="standardContextual"/>
        </w:rPr>
        <w:t>,</w:t>
      </w:r>
    </w:p>
    <w:p w14:paraId="7C9B2B8F" w14:textId="291C596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8"/>
      </w:r>
      <w:r w:rsidRPr="00C122C8">
        <w:rPr>
          <w:kern w:val="2"/>
          <w14:ligatures w14:val="standardContextual"/>
        </w:rPr>
        <w:t>, som avgetts av revisionsrätten för budgetåret 2023 i enlighet med artikel 287 i fördraget om Europeiska unionens funktionssätt,</w:t>
      </w:r>
    </w:p>
    <w:p w14:paraId="67E31518" w14:textId="32760D9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0DAD1536" w14:textId="319F3E0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441363C7" w14:textId="7285ABA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9"/>
      </w:r>
      <w:r w:rsidRPr="00C122C8">
        <w:rPr>
          <w:kern w:val="2"/>
          <w14:ligatures w14:val="standardContextual"/>
        </w:rPr>
        <w:t>, särskilt artikel 71,</w:t>
      </w:r>
    </w:p>
    <w:p w14:paraId="36E794BF" w14:textId="73D1842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10"/>
      </w:r>
      <w:r w:rsidRPr="00C122C8">
        <w:rPr>
          <w:kern w:val="2"/>
          <w14:ligatures w14:val="standardContextual"/>
        </w:rPr>
        <w:t xml:space="preserve">, särskilt artikel 71, </w:t>
      </w:r>
    </w:p>
    <w:p w14:paraId="6D4239DA" w14:textId="4C89C27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11"/>
      </w:r>
      <w:r w:rsidRPr="00C122C8">
        <w:rPr>
          <w:kern w:val="2"/>
          <w14:ligatures w14:val="standardContextual"/>
        </w:rPr>
        <w:t>, särskilt artikel 26,</w:t>
      </w:r>
    </w:p>
    <w:p w14:paraId="20B25190" w14:textId="1FA938D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12"/>
      </w:r>
      <w:r w:rsidRPr="00C122C8">
        <w:rPr>
          <w:kern w:val="2"/>
          <w14:ligatures w14:val="standardContextual"/>
        </w:rPr>
        <w:t>,</w:t>
      </w:r>
    </w:p>
    <w:p w14:paraId="73EFD468" w14:textId="6524CF9B"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52B4847A" w14:textId="5E2C3CF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724B2F55" w14:textId="22734D0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4963C91D"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ren luftfart för budgetåret 2023.</w:t>
      </w:r>
    </w:p>
    <w:p w14:paraId="1427337B"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för ren luftfart,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3EEEB646" w14:textId="77777777" w:rsidR="00C122C8" w:rsidRPr="00C122C8" w:rsidRDefault="00C122C8" w:rsidP="00C122C8">
      <w:pPr>
        <w:tabs>
          <w:tab w:val="left" w:pos="5386"/>
        </w:tabs>
        <w:ind w:left="567" w:hanging="567"/>
        <w:rPr>
          <w:i/>
          <w:kern w:val="2"/>
          <w14:ligatures w14:val="standardContextual"/>
        </w:rPr>
      </w:pPr>
    </w:p>
    <w:p w14:paraId="66D364EF" w14:textId="77777777" w:rsidR="00C122C8" w:rsidRPr="00C122C8" w:rsidRDefault="00C122C8" w:rsidP="00C122C8">
      <w:pPr>
        <w:tabs>
          <w:tab w:val="left" w:pos="5386"/>
        </w:tabs>
        <w:ind w:left="567" w:hanging="567"/>
        <w:rPr>
          <w:i/>
          <w:kern w:val="2"/>
          <w14:ligatures w14:val="standardContextual"/>
        </w:rPr>
      </w:pPr>
    </w:p>
    <w:p w14:paraId="56D405EE" w14:textId="77777777" w:rsidR="00C122C8" w:rsidRPr="00C122C8" w:rsidRDefault="00C122C8" w:rsidP="00C122C8">
      <w:pPr>
        <w:tabs>
          <w:tab w:val="left" w:pos="5386"/>
        </w:tabs>
        <w:ind w:left="567" w:hanging="567"/>
        <w:rPr>
          <w:i/>
          <w:kern w:val="2"/>
          <w14:ligatures w14:val="standardContextual"/>
        </w:rPr>
      </w:pPr>
    </w:p>
    <w:p w14:paraId="1EF464E3" w14:textId="77777777" w:rsidR="00C122C8" w:rsidRPr="00C122C8" w:rsidRDefault="00C122C8" w:rsidP="00C122C8">
      <w:pPr>
        <w:tabs>
          <w:tab w:val="left" w:pos="5386"/>
        </w:tabs>
        <w:ind w:left="567" w:hanging="567"/>
        <w:rPr>
          <w:i/>
          <w:kern w:val="2"/>
          <w14:ligatures w14:val="standardContextual"/>
        </w:rPr>
      </w:pPr>
    </w:p>
    <w:p w14:paraId="20CF21BF" w14:textId="77777777" w:rsidR="00C122C8" w:rsidRPr="00C122C8" w:rsidRDefault="00C122C8" w:rsidP="00C122C8">
      <w:pPr>
        <w:tabs>
          <w:tab w:val="left" w:pos="5386"/>
        </w:tabs>
        <w:ind w:left="567" w:hanging="567"/>
        <w:rPr>
          <w:i/>
          <w:kern w:val="2"/>
          <w14:ligatures w14:val="standardContextual"/>
        </w:rPr>
      </w:pPr>
    </w:p>
    <w:p w14:paraId="454E6897" w14:textId="77777777" w:rsidR="00C122C8" w:rsidRPr="00C122C8" w:rsidRDefault="00C122C8" w:rsidP="00C122C8">
      <w:pPr>
        <w:tabs>
          <w:tab w:val="left" w:pos="5386"/>
        </w:tabs>
        <w:ind w:left="567" w:hanging="567"/>
        <w:rPr>
          <w:kern w:val="2"/>
          <w14:ligatures w14:val="standardContextual"/>
        </w:rPr>
      </w:pPr>
    </w:p>
    <w:p w14:paraId="6C0F3847"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1EEEEA51"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4E9FD5E7" w14:textId="77777777" w:rsidR="00C122C8" w:rsidRPr="00C122C8" w:rsidRDefault="00C122C8" w:rsidP="00B03AB5">
      <w:pPr>
        <w:pStyle w:val="ATHeading3"/>
      </w:pPr>
      <w:r w:rsidRPr="00C122C8">
        <w:lastRenderedPageBreak/>
        <w:t>3. Europaparlamentets beslut av den 7 maj 2025 om ansvarsfrihet för genomförandet av budgeten för det gemensamma företaget för ett cirkulärt, biobaserat Europa för budgetåret 2023  (2024/2031(DEC))</w:t>
      </w:r>
    </w:p>
    <w:p w14:paraId="64DDECC3" w14:textId="33C2C40B"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30D0D99F" w14:textId="7928D45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ett cirkulärt, biobaserat Europa för budgetåret 2023,</w:t>
      </w:r>
    </w:p>
    <w:p w14:paraId="57396800" w14:textId="4D5F731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13"/>
      </w:r>
      <w:r w:rsidRPr="00C122C8">
        <w:rPr>
          <w:kern w:val="2"/>
          <w14:ligatures w14:val="standardContextual"/>
        </w:rPr>
        <w:t>,</w:t>
      </w:r>
    </w:p>
    <w:p w14:paraId="5057AD87" w14:textId="45418C5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14"/>
      </w:r>
      <w:r w:rsidRPr="00C122C8">
        <w:rPr>
          <w:kern w:val="2"/>
          <w14:ligatures w14:val="standardContextual"/>
        </w:rPr>
        <w:t>, som avgetts av revisionsrätten för budgetåret 2023 i enlighet med artikel 287 i fördraget om Europeiska unionens funktionssätt,</w:t>
      </w:r>
    </w:p>
    <w:p w14:paraId="4EA8F29A" w14:textId="7FA675F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w:t>
      </w:r>
      <w:r>
        <w:rPr>
          <w:kern w:val="2"/>
          <w14:ligatures w14:val="standardContextual"/>
        </w:rPr>
        <w:t xml:space="preserve"> </w:t>
      </w:r>
      <w:r w:rsidRPr="00C122C8">
        <w:rPr>
          <w:kern w:val="2"/>
          <w14:ligatures w14:val="standardContextual"/>
        </w:rPr>
        <w:t>C10</w:t>
      </w:r>
      <w:r w:rsidRPr="00C122C8">
        <w:rPr>
          <w:kern w:val="2"/>
          <w14:ligatures w14:val="standardContextual"/>
        </w:rPr>
        <w:noBreakHyphen/>
        <w:t>0025/2025),</w:t>
      </w:r>
    </w:p>
    <w:p w14:paraId="426FE0A0" w14:textId="3F9E11C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59093C6E" w14:textId="4358B33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15"/>
      </w:r>
      <w:r w:rsidRPr="00C122C8">
        <w:rPr>
          <w:kern w:val="2"/>
          <w14:ligatures w14:val="standardContextual"/>
        </w:rPr>
        <w:t>, särskilt artikel 71,</w:t>
      </w:r>
    </w:p>
    <w:p w14:paraId="52602DCA" w14:textId="12F353A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16"/>
      </w:r>
      <w:r w:rsidRPr="00C122C8">
        <w:rPr>
          <w:kern w:val="2"/>
          <w14:ligatures w14:val="standardContextual"/>
        </w:rPr>
        <w:t xml:space="preserve">, särskilt artikel 71, </w:t>
      </w:r>
    </w:p>
    <w:p w14:paraId="4EC97274" w14:textId="004F214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17"/>
      </w:r>
      <w:r w:rsidRPr="00C122C8">
        <w:rPr>
          <w:kern w:val="2"/>
          <w14:ligatures w14:val="standardContextual"/>
        </w:rPr>
        <w:t>, särskilt artikel 26,</w:t>
      </w:r>
    </w:p>
    <w:p w14:paraId="21389E57" w14:textId="578E9BE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18"/>
      </w:r>
      <w:r w:rsidRPr="00C122C8">
        <w:rPr>
          <w:kern w:val="2"/>
          <w14:ligatures w14:val="standardContextual"/>
        </w:rPr>
        <w:t>,</w:t>
      </w:r>
    </w:p>
    <w:p w14:paraId="141F2D0D" w14:textId="1B7726A6"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0B0FFD1B" w14:textId="7103DBD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7F6D9CD1" w14:textId="57EEA8B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2B25FDFB"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beviljar verkställande direktören för det gemensamma företaget för ett cirkulärt, biobaserat Europa ansvarsfrihet för genomförandet av det gemensamma företagets budget för budgetåret 2023.</w:t>
      </w:r>
    </w:p>
    <w:p w14:paraId="6B8D49FE"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Europaparlamentet redovisar sina iakttagelser i resolutionen nedan.</w:t>
      </w:r>
    </w:p>
    <w:p w14:paraId="265C7DE0"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 xml:space="preserve">Europaparlamentet uppdrar åt talmannen att översända detta beslut och den resolution som utgör en del av beslutet till verkställande direktören för det gemensamma företaget för ett cirkulärt, biobaserat Europa, rådet, kommissionen och revisionsrätten, och att se till att de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4555C3BB"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0642B01C" w14:textId="77777777" w:rsidR="00C122C8" w:rsidRPr="00C122C8" w:rsidRDefault="00C122C8" w:rsidP="00B03AB5">
      <w:pPr>
        <w:pStyle w:val="ATHeading3"/>
      </w:pPr>
      <w:r w:rsidRPr="00C122C8">
        <w:lastRenderedPageBreak/>
        <w:t>4. Europaparlamentets beslut av den 7 maj 2025 om avslutande av räkenskaperna för det gemensamma företaget för ett cirkulärt, biobaserat Europa för budgetåret 2023  (2024/2031(DEC))</w:t>
      </w:r>
    </w:p>
    <w:p w14:paraId="476AC71D" w14:textId="291DD47E"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66656C10" w14:textId="019D959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ett cirkulärt, biobaserat Europa för budgetåret 2023,</w:t>
      </w:r>
    </w:p>
    <w:p w14:paraId="5BEF9B6B" w14:textId="27D5983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19"/>
      </w:r>
      <w:r w:rsidRPr="00C122C8">
        <w:rPr>
          <w:kern w:val="2"/>
          <w14:ligatures w14:val="standardContextual"/>
        </w:rPr>
        <w:t>,</w:t>
      </w:r>
    </w:p>
    <w:p w14:paraId="122A5082" w14:textId="74557F9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20"/>
      </w:r>
      <w:r w:rsidRPr="00C122C8">
        <w:rPr>
          <w:kern w:val="2"/>
          <w14:ligatures w14:val="standardContextual"/>
        </w:rPr>
        <w:t>, som avgetts av revisionsrätten för budgetåret 2023 i enlighet med artikel 287 i fördraget om Europeiska unionens funktionssätt,</w:t>
      </w:r>
    </w:p>
    <w:p w14:paraId="7C5F4FA2" w14:textId="6D437B3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6F7EF3D5" w14:textId="323CCFB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745D277D" w14:textId="42CE52F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21"/>
      </w:r>
      <w:r w:rsidRPr="00C122C8">
        <w:rPr>
          <w:kern w:val="2"/>
          <w14:ligatures w14:val="standardContextual"/>
        </w:rPr>
        <w:t>, särskilt artikel 71,</w:t>
      </w:r>
    </w:p>
    <w:p w14:paraId="34C0E304" w14:textId="4DF12CC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22"/>
      </w:r>
      <w:r w:rsidRPr="00C122C8">
        <w:rPr>
          <w:kern w:val="2"/>
          <w14:ligatures w14:val="standardContextual"/>
        </w:rPr>
        <w:t xml:space="preserve">, särskilt artikel 71, </w:t>
      </w:r>
    </w:p>
    <w:p w14:paraId="66D1ECFD" w14:textId="06F481A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23"/>
      </w:r>
      <w:r w:rsidRPr="00C122C8">
        <w:rPr>
          <w:kern w:val="2"/>
          <w14:ligatures w14:val="standardContextual"/>
        </w:rPr>
        <w:t>, särskilt artikel 26,</w:t>
      </w:r>
    </w:p>
    <w:p w14:paraId="1E7D8C44" w14:textId="5CEC398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24"/>
      </w:r>
      <w:r w:rsidRPr="00C122C8">
        <w:rPr>
          <w:kern w:val="2"/>
          <w14:ligatures w14:val="standardContextual"/>
        </w:rPr>
        <w:t>,</w:t>
      </w:r>
    </w:p>
    <w:p w14:paraId="517AC4D3" w14:textId="59642427"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6DDDAE5D" w14:textId="349CE83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6C770C36" w14:textId="28FD222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2E1C5925"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ett cirkulärt, biobaserat Europa för budgetåret 2023.</w:t>
      </w:r>
    </w:p>
    <w:p w14:paraId="1094BF14"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för ett cirkulärt, biobaserat Europa,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3573258D" w14:textId="77777777" w:rsidR="00C122C8" w:rsidRPr="00C122C8" w:rsidRDefault="00C122C8" w:rsidP="00C122C8">
      <w:pPr>
        <w:tabs>
          <w:tab w:val="left" w:pos="5386"/>
        </w:tabs>
        <w:ind w:left="567" w:hanging="567"/>
        <w:rPr>
          <w:i/>
          <w:kern w:val="2"/>
          <w14:ligatures w14:val="standardContextual"/>
        </w:rPr>
      </w:pPr>
    </w:p>
    <w:p w14:paraId="1D747069" w14:textId="77777777" w:rsidR="00C122C8" w:rsidRPr="00C122C8" w:rsidRDefault="00C122C8" w:rsidP="00C122C8">
      <w:pPr>
        <w:tabs>
          <w:tab w:val="left" w:pos="5386"/>
        </w:tabs>
        <w:ind w:left="567" w:hanging="567"/>
        <w:rPr>
          <w:kern w:val="2"/>
          <w14:ligatures w14:val="standardContextual"/>
        </w:rPr>
      </w:pPr>
    </w:p>
    <w:p w14:paraId="17092BFC"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55E93318"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6E5A03AC" w14:textId="77777777" w:rsidR="00C122C8" w:rsidRPr="00C122C8" w:rsidRDefault="00C122C8" w:rsidP="00B03AB5">
      <w:pPr>
        <w:pStyle w:val="ATHeading3"/>
      </w:pPr>
      <w:r w:rsidRPr="00C122C8">
        <w:lastRenderedPageBreak/>
        <w:t>5. Europaparlamentets beslut av den 7 maj 2025 om ansvarsfrihet för genomförandet av budgeten för det gemensamma företaget för förnybar vätgas för budgetåret 2023  (2024/2031(DEC))</w:t>
      </w:r>
    </w:p>
    <w:p w14:paraId="0E4BC32A" w14:textId="10092335"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0B8AE878" w14:textId="2A39A21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förnybar vätgas för budgetåret 2023,</w:t>
      </w:r>
    </w:p>
    <w:p w14:paraId="6B04FEA3" w14:textId="4D24AE4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25"/>
      </w:r>
      <w:r w:rsidRPr="00C122C8">
        <w:rPr>
          <w:kern w:val="2"/>
          <w14:ligatures w14:val="standardContextual"/>
        </w:rPr>
        <w:t>,</w:t>
      </w:r>
    </w:p>
    <w:p w14:paraId="39A99226" w14:textId="732E868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26"/>
      </w:r>
      <w:r w:rsidRPr="00C122C8">
        <w:rPr>
          <w:kern w:val="2"/>
          <w14:ligatures w14:val="standardContextual"/>
        </w:rPr>
        <w:t>, som avgetts av revisionsrätten för budgetåret 2023 i enlighet med artikel 287 i fördraget om Europeiska unionens funktionssätt,</w:t>
      </w:r>
    </w:p>
    <w:p w14:paraId="39589B0A" w14:textId="7BCC7EB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1740A34E" w14:textId="4602B0C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25C5A48E" w14:textId="74B014E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27"/>
      </w:r>
      <w:r w:rsidRPr="00C122C8">
        <w:rPr>
          <w:kern w:val="2"/>
          <w14:ligatures w14:val="standardContextual"/>
        </w:rPr>
        <w:t>, särskilt artikel 71,</w:t>
      </w:r>
    </w:p>
    <w:p w14:paraId="2A469E6C" w14:textId="75C9C21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28"/>
      </w:r>
      <w:r w:rsidRPr="00C122C8">
        <w:rPr>
          <w:kern w:val="2"/>
          <w14:ligatures w14:val="standardContextual"/>
        </w:rPr>
        <w:t xml:space="preserve">, särskilt artikel 71, </w:t>
      </w:r>
    </w:p>
    <w:p w14:paraId="72386FF8" w14:textId="1E7D256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29"/>
      </w:r>
      <w:r w:rsidRPr="00C122C8">
        <w:rPr>
          <w:kern w:val="2"/>
          <w14:ligatures w14:val="standardContextual"/>
        </w:rPr>
        <w:t>, särskilt artikel 26,</w:t>
      </w:r>
    </w:p>
    <w:p w14:paraId="7A2C7C05" w14:textId="14A7001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30"/>
      </w:r>
      <w:r w:rsidRPr="00C122C8">
        <w:rPr>
          <w:kern w:val="2"/>
          <w14:ligatures w14:val="standardContextual"/>
        </w:rPr>
        <w:t>,</w:t>
      </w:r>
    </w:p>
    <w:p w14:paraId="179EC0A2" w14:textId="5F133891"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4050C139" w14:textId="36FD76C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75116E49" w14:textId="373A083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38C0EAC5"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beviljar verkställande direktören för det gemensamma företaget för förnybar vätgas ansvarsfrihet för genomförandet av det gemensamma företagets budget för budgetåret 2023.</w:t>
      </w:r>
    </w:p>
    <w:p w14:paraId="5BFB51F8"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Europaparlamentet redovisar sina iakttagelser i resolutionen nedan.</w:t>
      </w:r>
    </w:p>
    <w:p w14:paraId="53847F18"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 xml:space="preserve">Europaparlamentet uppdrar åt talmannen att översända detta beslut och den resolution som utgör en del av beslutet till verkställande direktören för det gemensamma företaget för förnybar vätgas, rådet, kommissionen och revisionsrätten, och att se till att de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1D0C9A0E" w14:textId="77777777" w:rsidR="00C122C8" w:rsidRPr="00C122C8" w:rsidRDefault="00C122C8" w:rsidP="00C122C8">
      <w:pPr>
        <w:tabs>
          <w:tab w:val="left" w:pos="5386"/>
        </w:tabs>
        <w:ind w:left="567" w:hanging="567"/>
        <w:rPr>
          <w:i/>
          <w:kern w:val="2"/>
          <w14:ligatures w14:val="standardContextual"/>
        </w:rPr>
      </w:pPr>
    </w:p>
    <w:p w14:paraId="077ED8DE" w14:textId="77777777" w:rsidR="00C122C8" w:rsidRPr="00C122C8" w:rsidRDefault="00C122C8" w:rsidP="00C122C8">
      <w:pPr>
        <w:tabs>
          <w:tab w:val="left" w:pos="5386"/>
        </w:tabs>
        <w:ind w:left="567" w:hanging="567"/>
        <w:rPr>
          <w:kern w:val="2"/>
          <w14:ligatures w14:val="standardContextual"/>
        </w:rPr>
      </w:pPr>
    </w:p>
    <w:p w14:paraId="28525E98"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7B03AB8E"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56D96B95" w14:textId="6276C9F9" w:rsidR="00C122C8" w:rsidRPr="00C122C8" w:rsidRDefault="00C122C8" w:rsidP="00B03AB5">
      <w:pPr>
        <w:pStyle w:val="ATHeading3"/>
      </w:pPr>
      <w:r w:rsidRPr="00C122C8">
        <w:lastRenderedPageBreak/>
        <w:t>6. Europaparlamentets beslut av den 7 maj 2025 om avslutande av räkenskaperna för det gemensamma företaget för förnybar vätgas för budgetåret 2023 (2024/2031(DEC))</w:t>
      </w:r>
    </w:p>
    <w:p w14:paraId="6E011CDA" w14:textId="6CDC8211"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3BBCBC59" w14:textId="4D3CD14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förnybar vätgas för budgetåret 2023,</w:t>
      </w:r>
    </w:p>
    <w:p w14:paraId="52928490" w14:textId="44CA7ED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31"/>
      </w:r>
      <w:r w:rsidRPr="00C122C8">
        <w:rPr>
          <w:kern w:val="2"/>
          <w14:ligatures w14:val="standardContextual"/>
        </w:rPr>
        <w:t>,</w:t>
      </w:r>
    </w:p>
    <w:p w14:paraId="59F4672C" w14:textId="243AADC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32"/>
      </w:r>
      <w:r w:rsidRPr="00C122C8">
        <w:rPr>
          <w:kern w:val="2"/>
          <w14:ligatures w14:val="standardContextual"/>
        </w:rPr>
        <w:t>, som avgetts av revisionsrätten för budgetåret 2023 i enlighet med artikel 287 i fördraget om Europeiska unionens funktionssätt,</w:t>
      </w:r>
    </w:p>
    <w:p w14:paraId="1026DB2E" w14:textId="50667DB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3DB31F2B" w14:textId="508FB4B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1BBF9BF3" w14:textId="783849A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33"/>
      </w:r>
      <w:r w:rsidRPr="00C122C8">
        <w:rPr>
          <w:kern w:val="2"/>
          <w14:ligatures w14:val="standardContextual"/>
        </w:rPr>
        <w:t>, särskilt artikel 71,</w:t>
      </w:r>
    </w:p>
    <w:p w14:paraId="20CE7F43" w14:textId="71C8644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34"/>
      </w:r>
      <w:r w:rsidRPr="00C122C8">
        <w:rPr>
          <w:kern w:val="2"/>
          <w14:ligatures w14:val="standardContextual"/>
        </w:rPr>
        <w:t xml:space="preserve">, särskilt artikel 71, </w:t>
      </w:r>
    </w:p>
    <w:p w14:paraId="2CF4F9D8" w14:textId="60B44C4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35"/>
      </w:r>
      <w:r w:rsidRPr="00C122C8">
        <w:rPr>
          <w:kern w:val="2"/>
          <w14:ligatures w14:val="standardContextual"/>
        </w:rPr>
        <w:t>, särskilt artikel 26,</w:t>
      </w:r>
    </w:p>
    <w:p w14:paraId="4D219867" w14:textId="2564240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36"/>
      </w:r>
      <w:r w:rsidRPr="00C122C8">
        <w:rPr>
          <w:kern w:val="2"/>
          <w14:ligatures w14:val="standardContextual"/>
        </w:rPr>
        <w:t>,</w:t>
      </w:r>
    </w:p>
    <w:p w14:paraId="1CE08575" w14:textId="3BAA93FC"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6C6C8B67" w14:textId="73E51FC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1B2CED93" w14:textId="1395A32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25A2DD52"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förnybar vätgas för budgetåret 2023.</w:t>
      </w:r>
    </w:p>
    <w:p w14:paraId="7411601D"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för förnybar vätgas,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59A123C2" w14:textId="77777777" w:rsidR="00C122C8" w:rsidRPr="00C122C8" w:rsidRDefault="00C122C8" w:rsidP="00C122C8">
      <w:pPr>
        <w:tabs>
          <w:tab w:val="left" w:pos="5386"/>
        </w:tabs>
        <w:ind w:left="567" w:hanging="567"/>
        <w:rPr>
          <w:i/>
          <w:kern w:val="2"/>
          <w14:ligatures w14:val="standardContextual"/>
        </w:rPr>
      </w:pPr>
    </w:p>
    <w:p w14:paraId="15E5A09F" w14:textId="77777777" w:rsidR="00C122C8" w:rsidRPr="00C122C8" w:rsidRDefault="00C122C8" w:rsidP="00C122C8">
      <w:pPr>
        <w:tabs>
          <w:tab w:val="left" w:pos="5386"/>
        </w:tabs>
        <w:ind w:left="567" w:hanging="567"/>
        <w:rPr>
          <w:kern w:val="2"/>
          <w14:ligatures w14:val="standardContextual"/>
        </w:rPr>
      </w:pPr>
    </w:p>
    <w:p w14:paraId="254FB0C1"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7D3CB067"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1C486CE3" w14:textId="77777777" w:rsidR="00C122C8" w:rsidRPr="00C122C8" w:rsidRDefault="00C122C8" w:rsidP="00B03AB5">
      <w:pPr>
        <w:pStyle w:val="ATHeading3"/>
        <w:rPr>
          <w:lang w:val="en-GB"/>
        </w:rPr>
      </w:pPr>
      <w:r w:rsidRPr="00C122C8">
        <w:rPr>
          <w:lang w:val="en-GB"/>
        </w:rPr>
        <w:lastRenderedPageBreak/>
        <w:t>7. Europaparlamentets beslut av den 7 maj 2025 om ansvarsfrihet för genomförandet av budgeten för det gemensamma företaget för Europas järnvägar för budgetåret 2023 (2024/2031(DEC))</w:t>
      </w:r>
    </w:p>
    <w:p w14:paraId="2185F18C" w14:textId="57E2AFE2" w:rsidR="00C122C8" w:rsidRPr="00C122C8" w:rsidRDefault="00B03AB5" w:rsidP="00B03AB5">
      <w:pPr>
        <w:spacing w:before="480" w:after="240"/>
        <w:ind w:firstLine="567"/>
        <w:rPr>
          <w:i/>
          <w:kern w:val="2"/>
          <w:lang w:val="en-GB"/>
          <w14:ligatures w14:val="standardContextual"/>
        </w:rPr>
      </w:pPr>
      <w:r w:rsidRPr="00B03AB5">
        <w:rPr>
          <w:i/>
          <w:kern w:val="2"/>
          <w:lang w:val="en-GB"/>
          <w14:ligatures w14:val="standardContextual"/>
        </w:rPr>
        <w:t>Europaparlamentet fattar detta beslut</w:t>
      </w:r>
    </w:p>
    <w:p w14:paraId="2A903A5D" w14:textId="7EACC58A"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den slutliga årsredovisningen för det gemensamma företaget för Europas järnvägar för budgetåret 2023,</w:t>
      </w:r>
    </w:p>
    <w:p w14:paraId="7A1BC598" w14:textId="7225304D"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revisionsrättens årsrapport om EU:s gemensamma företag för budgetåret 2023, med de gemensamma företagens svar</w:t>
      </w:r>
      <w:r w:rsidRPr="00C122C8">
        <w:rPr>
          <w:kern w:val="2"/>
          <w:vertAlign w:val="superscript"/>
          <w:lang w:val="en-GB"/>
          <w14:ligatures w14:val="standardContextual"/>
        </w:rPr>
        <w:footnoteReference w:id="37"/>
      </w:r>
      <w:r w:rsidRPr="00C122C8">
        <w:rPr>
          <w:kern w:val="2"/>
          <w:lang w:val="en-GB"/>
          <w14:ligatures w14:val="standardContextual"/>
        </w:rPr>
        <w:t>,</w:t>
      </w:r>
    </w:p>
    <w:p w14:paraId="167840D2" w14:textId="77762C32"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förklaringen om räkenskapernas tillförlitlighet och de underliggande transaktionernas laglighet och korrekthet</w:t>
      </w:r>
      <w:r w:rsidRPr="00C122C8">
        <w:rPr>
          <w:kern w:val="2"/>
          <w:vertAlign w:val="superscript"/>
          <w:lang w:val="en-GB"/>
          <w14:ligatures w14:val="standardContextual"/>
        </w:rPr>
        <w:footnoteReference w:id="38"/>
      </w:r>
      <w:r w:rsidRPr="00C122C8">
        <w:rPr>
          <w:kern w:val="2"/>
          <w:lang w:val="en-GB"/>
          <w14:ligatures w14:val="standardContextual"/>
        </w:rPr>
        <w:t>, som avgetts av revisionsrätten för budgetåret 2023 i enlighet med artikel 287 i fördraget om Europeiska unionens funktionssätt,</w:t>
      </w:r>
    </w:p>
    <w:p w14:paraId="1E5B81A5" w14:textId="2C7C3829"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 xml:space="preserve">med beaktande av rådets rekommendation av den 17 februari 2025 om att bevilja det gemensamma företaget ansvarsfrihet för genomförandet av budgeten för budgetåret 2023 (05757/2025 </w:t>
      </w:r>
      <w:r w:rsidRPr="00C122C8">
        <w:rPr>
          <w:kern w:val="2"/>
          <w14:ligatures w14:val="standardContextual"/>
        </w:rPr>
        <w:t>–</w:t>
      </w:r>
      <w:r w:rsidRPr="00C122C8">
        <w:rPr>
          <w:kern w:val="2"/>
          <w:lang w:val="en-GB"/>
          <w14:ligatures w14:val="standardContextual"/>
        </w:rPr>
        <w:t xml:space="preserve"> C10</w:t>
      </w:r>
      <w:r w:rsidRPr="00C122C8">
        <w:rPr>
          <w:kern w:val="2"/>
          <w:lang w:val="en-GB"/>
          <w14:ligatures w14:val="standardContextual"/>
        </w:rPr>
        <w:noBreakHyphen/>
        <w:t>0025/2025),</w:t>
      </w:r>
    </w:p>
    <w:p w14:paraId="37896A1D" w14:textId="03821D03"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artikel 319 i fördraget om Europeiska unionens funktionssätt,</w:t>
      </w:r>
    </w:p>
    <w:p w14:paraId="2DB8A5D7" w14:textId="53C93A3F"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lang w:val="en-GB"/>
          <w14:ligatures w14:val="standardContextual"/>
        </w:rPr>
        <w:footnoteReference w:id="39"/>
      </w:r>
      <w:r w:rsidRPr="00C122C8">
        <w:rPr>
          <w:kern w:val="2"/>
          <w:lang w:val="en-GB"/>
          <w14:ligatures w14:val="standardContextual"/>
        </w:rPr>
        <w:t>, särskilt artikel 71,</w:t>
      </w:r>
    </w:p>
    <w:p w14:paraId="1FBEF1A3" w14:textId="61F6C741"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Europaparlamentets och rådets förordning (EU, Euratom) 2024/2509 av den 23 september 2024 om finansiella regler för unionens allmänna budget</w:t>
      </w:r>
      <w:r w:rsidRPr="00C122C8">
        <w:rPr>
          <w:kern w:val="2"/>
          <w:vertAlign w:val="superscript"/>
          <w:lang w:val="en-GB"/>
          <w14:ligatures w14:val="standardContextual"/>
        </w:rPr>
        <w:footnoteReference w:id="40"/>
      </w:r>
      <w:r w:rsidRPr="00C122C8">
        <w:rPr>
          <w:kern w:val="2"/>
          <w:lang w:val="en-GB"/>
          <w14:ligatures w14:val="standardContextual"/>
        </w:rPr>
        <w:t xml:space="preserve">, särskilt artikel 71, </w:t>
      </w:r>
    </w:p>
    <w:p w14:paraId="7B48CD75" w14:textId="65979DB4"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lang w:val="en-GB"/>
          <w14:ligatures w14:val="standardContextual"/>
        </w:rPr>
        <w:footnoteReference w:id="41"/>
      </w:r>
      <w:r w:rsidRPr="00C122C8">
        <w:rPr>
          <w:kern w:val="2"/>
          <w:lang w:val="en-GB"/>
          <w14:ligatures w14:val="standardContextual"/>
        </w:rPr>
        <w:t>, särskilt artikel 26,</w:t>
      </w:r>
    </w:p>
    <w:p w14:paraId="32FEFA24" w14:textId="37FAD34C"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lang w:val="en-GB"/>
          <w14:ligatures w14:val="standardContextual"/>
        </w:rPr>
        <w:footnoteReference w:id="42"/>
      </w:r>
      <w:r w:rsidRPr="00C122C8">
        <w:rPr>
          <w:kern w:val="2"/>
          <w:lang w:val="en-GB"/>
          <w14:ligatures w14:val="standardContextual"/>
        </w:rPr>
        <w:t>,</w:t>
      </w:r>
    </w:p>
    <w:p w14:paraId="7ACEFBA2" w14:textId="17BA0398" w:rsidR="00C122C8" w:rsidRPr="00C122C8" w:rsidRDefault="00C122C8" w:rsidP="00C122C8">
      <w:pPr>
        <w:spacing w:after="240"/>
        <w:ind w:left="567" w:hanging="567"/>
        <w:rPr>
          <w:kern w:val="2"/>
          <w:lang w:val="en-GB"/>
          <w14:ligatures w14:val="standardContextual"/>
        </w:rPr>
      </w:pPr>
      <w:r>
        <w:rPr>
          <w:kern w:val="2"/>
          <w:lang w:val="en-GB"/>
          <w14:ligatures w14:val="standardContextual"/>
        </w:rPr>
        <w:lastRenderedPageBreak/>
        <w:t>-</w:t>
      </w:r>
      <w:r w:rsidRPr="00C122C8">
        <w:rPr>
          <w:kern w:val="2"/>
          <w:lang w:val="en-GB"/>
          <w14:ligatures w14:val="standardContextual"/>
        </w:rPr>
        <w:tab/>
        <w:t>med beaktande av artikel 102 och bilaga V i arbetsordningen,</w:t>
      </w:r>
    </w:p>
    <w:p w14:paraId="71987DC5" w14:textId="6F69D450"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yttrandet från utskottet för transport och turism,</w:t>
      </w:r>
    </w:p>
    <w:p w14:paraId="021DDB97" w14:textId="6F90E83E"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betänkandet från budgetkontrollutskottet (A10-0056/2025).</w:t>
      </w:r>
    </w:p>
    <w:p w14:paraId="4E7DEE6C" w14:textId="77777777" w:rsidR="00C122C8" w:rsidRPr="00C122C8" w:rsidRDefault="00C122C8" w:rsidP="00C122C8">
      <w:pPr>
        <w:spacing w:after="240"/>
        <w:ind w:left="567" w:hanging="567"/>
        <w:rPr>
          <w:kern w:val="2"/>
          <w:lang w:val="en-GB"/>
          <w14:ligatures w14:val="standardContextual"/>
        </w:rPr>
      </w:pPr>
      <w:r w:rsidRPr="00C122C8">
        <w:rPr>
          <w:kern w:val="2"/>
          <w:lang w:val="en-GB"/>
          <w14:ligatures w14:val="standardContextual"/>
        </w:rPr>
        <w:t>1.</w:t>
      </w:r>
      <w:r w:rsidRPr="00C122C8">
        <w:rPr>
          <w:kern w:val="2"/>
          <w:lang w:val="en-GB"/>
          <w14:ligatures w14:val="standardContextual"/>
        </w:rPr>
        <w:tab/>
        <w:t>Europaparlamentet beviljar verkställande direktören för det gemensamma företaget för Europas järnvägar ansvarsfrihet för genomförandet av det gemensamma företagets budget för budgetåret 2023.</w:t>
      </w:r>
    </w:p>
    <w:p w14:paraId="5030726A" w14:textId="77777777" w:rsidR="00C122C8" w:rsidRPr="00C122C8" w:rsidRDefault="00C122C8" w:rsidP="00C122C8">
      <w:pPr>
        <w:spacing w:after="240"/>
        <w:ind w:left="567" w:hanging="567"/>
        <w:rPr>
          <w:kern w:val="2"/>
          <w:lang w:val="en-GB"/>
          <w14:ligatures w14:val="standardContextual"/>
        </w:rPr>
      </w:pPr>
      <w:r w:rsidRPr="00C122C8">
        <w:rPr>
          <w:kern w:val="2"/>
          <w:lang w:val="en-GB"/>
          <w14:ligatures w14:val="standardContextual"/>
        </w:rPr>
        <w:t>2.</w:t>
      </w:r>
      <w:r w:rsidRPr="00C122C8">
        <w:rPr>
          <w:kern w:val="2"/>
          <w:lang w:val="en-GB"/>
          <w14:ligatures w14:val="standardContextual"/>
        </w:rPr>
        <w:tab/>
        <w:t>Europaparlamentet redovisar sina iakttagelser i resolutionen nedan.</w:t>
      </w:r>
    </w:p>
    <w:p w14:paraId="6DA21A6E" w14:textId="77777777" w:rsidR="00C122C8" w:rsidRPr="00C122C8" w:rsidRDefault="00C122C8" w:rsidP="00C122C8">
      <w:pPr>
        <w:spacing w:after="240"/>
        <w:ind w:left="567" w:hanging="567"/>
        <w:rPr>
          <w:kern w:val="2"/>
          <w:lang w:val="en-GB"/>
          <w14:ligatures w14:val="standardContextual"/>
        </w:rPr>
      </w:pPr>
      <w:r w:rsidRPr="00C122C8">
        <w:rPr>
          <w:kern w:val="2"/>
          <w:lang w:val="en-GB"/>
          <w14:ligatures w14:val="standardContextual"/>
        </w:rPr>
        <w:t>3.</w:t>
      </w:r>
      <w:r w:rsidRPr="00C122C8">
        <w:rPr>
          <w:kern w:val="2"/>
          <w:lang w:val="en-GB"/>
          <w14:ligatures w14:val="standardContextual"/>
        </w:rPr>
        <w:tab/>
        <w:t xml:space="preserve">Europaparlamentet uppdrar åt talmannen att översända detta beslut och den resolution som utgör en del av beslutet till verkställande direktören för det gemensamma företaget för Europas järnvägar, rådet, kommissionen och revisionsrätten, och att se till att de offentliggörs i </w:t>
      </w:r>
      <w:r w:rsidRPr="00C122C8">
        <w:rPr>
          <w:i/>
          <w:iCs/>
          <w:kern w:val="2"/>
          <w:lang w:val="en-GB"/>
          <w14:ligatures w14:val="standardContextual"/>
        </w:rPr>
        <w:t>Europeiska unionens officiella tidning</w:t>
      </w:r>
      <w:r w:rsidRPr="00C122C8">
        <w:rPr>
          <w:kern w:val="2"/>
          <w:lang w:val="en-GB"/>
          <w14:ligatures w14:val="standardContextual"/>
        </w:rPr>
        <w:t xml:space="preserve"> (L-serien).</w:t>
      </w:r>
    </w:p>
    <w:p w14:paraId="7EDCEA90"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7C1F9935" w14:textId="77777777" w:rsidR="00C122C8" w:rsidRPr="00C122C8" w:rsidRDefault="00C122C8" w:rsidP="00B03AB5">
      <w:pPr>
        <w:pStyle w:val="ATHeading3"/>
      </w:pPr>
      <w:r w:rsidRPr="00C122C8">
        <w:lastRenderedPageBreak/>
        <w:t>8. Europaparlamentets beslut av den 7 maj 2025 om avslutande av räkenskaperna för det gemensamma företaget för Europas järnvägar för budgetåret 2023  (2024/2031(DEC))</w:t>
      </w:r>
    </w:p>
    <w:p w14:paraId="6345930B" w14:textId="77777777" w:rsidR="00C122C8" w:rsidRPr="00C122C8" w:rsidRDefault="00C122C8" w:rsidP="00C122C8">
      <w:pPr>
        <w:spacing w:before="480" w:after="240"/>
        <w:rPr>
          <w:kern w:val="2"/>
          <w14:ligatures w14:val="standardContextual"/>
        </w:rPr>
      </w:pPr>
      <w:r w:rsidRPr="00C122C8">
        <w:rPr>
          <w:i/>
          <w:kern w:val="2"/>
          <w14:ligatures w14:val="standardContextual"/>
        </w:rPr>
        <w:t>Europaparlamentet fattar detta beslut</w:t>
      </w:r>
    </w:p>
    <w:p w14:paraId="7F26F285" w14:textId="6A467E2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Europas järnvägar för budgetåret 2023,</w:t>
      </w:r>
    </w:p>
    <w:p w14:paraId="1432DD3E" w14:textId="5F4DF67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43"/>
      </w:r>
      <w:r w:rsidRPr="00C122C8">
        <w:rPr>
          <w:kern w:val="2"/>
          <w14:ligatures w14:val="standardContextual"/>
        </w:rPr>
        <w:t>,</w:t>
      </w:r>
    </w:p>
    <w:p w14:paraId="7E5E4FFD" w14:textId="77BFC41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44"/>
      </w:r>
      <w:r w:rsidRPr="00C122C8">
        <w:rPr>
          <w:kern w:val="2"/>
          <w14:ligatures w14:val="standardContextual"/>
        </w:rPr>
        <w:t>, som avgetts av revisionsrätten för budgetåret 2023 i enlighet med artikel 287 i fördraget om Europeiska unionens funktionssätt,</w:t>
      </w:r>
    </w:p>
    <w:p w14:paraId="032F8D28" w14:textId="2C448BB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5246EEE7" w14:textId="4684E4A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0647F6AE" w14:textId="19893A5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45"/>
      </w:r>
      <w:r w:rsidRPr="00C122C8">
        <w:rPr>
          <w:kern w:val="2"/>
          <w14:ligatures w14:val="standardContextual"/>
        </w:rPr>
        <w:t>, särskilt artikel 71,</w:t>
      </w:r>
    </w:p>
    <w:p w14:paraId="11CF24C4" w14:textId="61A1B40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 (omarbetning)</w:t>
      </w:r>
      <w:r w:rsidRPr="00C122C8">
        <w:rPr>
          <w:kern w:val="2"/>
          <w:vertAlign w:val="superscript"/>
          <w14:ligatures w14:val="standardContextual"/>
        </w:rPr>
        <w:footnoteReference w:id="46"/>
      </w:r>
      <w:r w:rsidRPr="00C122C8">
        <w:rPr>
          <w:kern w:val="2"/>
          <w14:ligatures w14:val="standardContextual"/>
        </w:rPr>
        <w:t xml:space="preserve">, särskilt artikel 71, </w:t>
      </w:r>
    </w:p>
    <w:p w14:paraId="52C2257B" w14:textId="45291B6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47"/>
      </w:r>
      <w:r w:rsidRPr="00C122C8">
        <w:rPr>
          <w:kern w:val="2"/>
          <w14:ligatures w14:val="standardContextual"/>
        </w:rPr>
        <w:t>, särskilt artikel 26,</w:t>
      </w:r>
    </w:p>
    <w:p w14:paraId="7D24B4F3" w14:textId="20271EC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48"/>
      </w:r>
      <w:r w:rsidRPr="00C122C8">
        <w:rPr>
          <w:kern w:val="2"/>
          <w14:ligatures w14:val="standardContextual"/>
        </w:rPr>
        <w:t>,</w:t>
      </w:r>
    </w:p>
    <w:p w14:paraId="043EC33F" w14:textId="4D3C9EF6"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76D4E9D4" w14:textId="228CA2F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611B4EB8" w14:textId="18F5718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6FA7C77A"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Europas järnvägar för budgetåret 2023.</w:t>
      </w:r>
    </w:p>
    <w:p w14:paraId="129C7CF9"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för Europas järnvägar,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1873146E" w14:textId="77777777" w:rsidR="00C122C8" w:rsidRPr="00C122C8" w:rsidRDefault="00C122C8" w:rsidP="00C122C8">
      <w:pPr>
        <w:tabs>
          <w:tab w:val="left" w:pos="5386"/>
        </w:tabs>
        <w:ind w:left="567" w:hanging="567"/>
        <w:rPr>
          <w:i/>
          <w:kern w:val="2"/>
          <w14:ligatures w14:val="standardContextual"/>
        </w:rPr>
      </w:pPr>
    </w:p>
    <w:p w14:paraId="11E38DBD" w14:textId="77777777" w:rsidR="00C122C8" w:rsidRPr="00C122C8" w:rsidRDefault="00C122C8" w:rsidP="00C122C8">
      <w:pPr>
        <w:tabs>
          <w:tab w:val="left" w:pos="5386"/>
        </w:tabs>
        <w:ind w:left="567" w:hanging="567"/>
        <w:rPr>
          <w:kern w:val="2"/>
          <w14:ligatures w14:val="standardContextual"/>
        </w:rPr>
      </w:pPr>
    </w:p>
    <w:p w14:paraId="61C153F7"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50BF0F6F"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4CBFF3F5" w14:textId="77777777" w:rsidR="00C122C8" w:rsidRPr="00C122C8" w:rsidRDefault="00C122C8" w:rsidP="00B03AB5">
      <w:pPr>
        <w:pStyle w:val="ATHeading3"/>
        <w:rPr>
          <w:lang w:val="en-GB"/>
        </w:rPr>
      </w:pPr>
      <w:r w:rsidRPr="00C122C8">
        <w:rPr>
          <w:lang w:val="en-GB"/>
        </w:rPr>
        <w:lastRenderedPageBreak/>
        <w:t>9. Europaparlamentets beslut av den 7 maj 2025 om ansvarsfrihet för genomförandet av budgeten för det gemensamma företaget för ett europeiskt högpresterande datorsystem för budgetåret 2023 (2024/2031(DEC))</w:t>
      </w:r>
    </w:p>
    <w:p w14:paraId="7AFEE7A6" w14:textId="1E8FA47D" w:rsidR="00C122C8" w:rsidRPr="00C122C8" w:rsidRDefault="00B03AB5" w:rsidP="00C122C8">
      <w:pPr>
        <w:spacing w:before="480" w:after="240"/>
        <w:rPr>
          <w:iCs/>
          <w:kern w:val="2"/>
          <w:lang w:val="en-GB"/>
          <w14:ligatures w14:val="standardContextual"/>
        </w:rPr>
      </w:pPr>
      <w:r>
        <w:rPr>
          <w:iCs/>
          <w:kern w:val="2"/>
          <w:lang w:val="en-GB"/>
          <w14:ligatures w14:val="standardContextual"/>
        </w:rPr>
        <w:t>E</w:t>
      </w:r>
      <w:r w:rsidRPr="00C122C8">
        <w:rPr>
          <w:iCs/>
          <w:kern w:val="2"/>
          <w:lang w:val="en-GB"/>
          <w14:ligatures w14:val="standardContextual"/>
        </w:rPr>
        <w:t>uropaparlamentet fattar detta beslut</w:t>
      </w:r>
    </w:p>
    <w:p w14:paraId="2009CFDB" w14:textId="122465BA"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den slutliga årsredovisningen för det gemensamma företaget för ett europeiskt högpresterande datorsystem för budgetåret 2023,</w:t>
      </w:r>
    </w:p>
    <w:p w14:paraId="3377C479" w14:textId="7996B170"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revisionsrättens årsrapport om EU:s gemensamma företag för budgetåret 2023, med de gemensamma företagens svar</w:t>
      </w:r>
      <w:r w:rsidRPr="00C122C8">
        <w:rPr>
          <w:kern w:val="2"/>
          <w:vertAlign w:val="superscript"/>
          <w:lang w:val="en-GB"/>
          <w14:ligatures w14:val="standardContextual"/>
        </w:rPr>
        <w:footnoteReference w:id="49"/>
      </w:r>
      <w:r w:rsidRPr="00C122C8">
        <w:rPr>
          <w:kern w:val="2"/>
          <w:lang w:val="en-GB"/>
          <w14:ligatures w14:val="standardContextual"/>
        </w:rPr>
        <w:t>,</w:t>
      </w:r>
    </w:p>
    <w:p w14:paraId="14B92D7A" w14:textId="2735E302"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förklaringen om räkenskapernas tillförlitlighet och de underliggande transaktionernas laglighet och korrekthet</w:t>
      </w:r>
      <w:r w:rsidRPr="00C122C8">
        <w:rPr>
          <w:kern w:val="2"/>
          <w:vertAlign w:val="superscript"/>
          <w:lang w:val="en-GB"/>
          <w14:ligatures w14:val="standardContextual"/>
        </w:rPr>
        <w:footnoteReference w:id="50"/>
      </w:r>
      <w:r w:rsidRPr="00C122C8">
        <w:rPr>
          <w:kern w:val="2"/>
          <w:lang w:val="en-GB"/>
          <w14:ligatures w14:val="standardContextual"/>
        </w:rPr>
        <w:t>, som avgetts av revisionsrätten för budgetåret 2023 i enlighet med artikel 287 i fördraget om Europeiska unionens funktionssätt,</w:t>
      </w:r>
    </w:p>
    <w:p w14:paraId="1F125ACB" w14:textId="33169489"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 xml:space="preserve">med beaktande av rådets rekommendation av den 17 februari 2025 om att bevilja det gemensamma företaget ansvarsfrihet för genomförandet av budgeten för budgetåret 2023 (05757/2025 </w:t>
      </w:r>
      <w:r w:rsidRPr="00C122C8">
        <w:rPr>
          <w:kern w:val="2"/>
          <w14:ligatures w14:val="standardContextual"/>
        </w:rPr>
        <w:t>–</w:t>
      </w:r>
      <w:r w:rsidRPr="00C122C8">
        <w:rPr>
          <w:kern w:val="2"/>
          <w:lang w:val="en-GB"/>
          <w14:ligatures w14:val="standardContextual"/>
        </w:rPr>
        <w:t xml:space="preserve"> C10</w:t>
      </w:r>
      <w:r w:rsidRPr="00C122C8">
        <w:rPr>
          <w:kern w:val="2"/>
          <w:lang w:val="en-GB"/>
          <w14:ligatures w14:val="standardContextual"/>
        </w:rPr>
        <w:noBreakHyphen/>
        <w:t>0025/2025),</w:t>
      </w:r>
    </w:p>
    <w:p w14:paraId="1E31DD70" w14:textId="0AFFB67F"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artikel 319 i fördraget om Europeiska unionens funktionssätt,</w:t>
      </w:r>
    </w:p>
    <w:p w14:paraId="7A08D44C" w14:textId="62DBBED5"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lang w:val="en-GB"/>
          <w14:ligatures w14:val="standardContextual"/>
        </w:rPr>
        <w:footnoteReference w:id="51"/>
      </w:r>
      <w:r w:rsidRPr="00C122C8">
        <w:rPr>
          <w:kern w:val="2"/>
          <w:lang w:val="en-GB"/>
          <w14:ligatures w14:val="standardContextual"/>
        </w:rPr>
        <w:t>, särskilt artikel 71,</w:t>
      </w:r>
    </w:p>
    <w:p w14:paraId="3FC553CE" w14:textId="3F0B2AFC"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Europaparlamentets och rådets förordning (EU, Euratom) 2024/2509 av den 23 september 2024 om finansiella regler för unionens allmänna budget</w:t>
      </w:r>
      <w:r w:rsidRPr="00C122C8">
        <w:rPr>
          <w:kern w:val="2"/>
          <w:vertAlign w:val="superscript"/>
          <w:lang w:val="en-GB"/>
          <w14:ligatures w14:val="standardContextual"/>
        </w:rPr>
        <w:footnoteReference w:id="52"/>
      </w:r>
      <w:r w:rsidRPr="00C122C8">
        <w:rPr>
          <w:kern w:val="2"/>
          <w:lang w:val="en-GB"/>
          <w14:ligatures w14:val="standardContextual"/>
        </w:rPr>
        <w:t xml:space="preserve">, särskilt artikel 71, </w:t>
      </w:r>
    </w:p>
    <w:p w14:paraId="102CEAC5" w14:textId="1402C599"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rådets förordning (EU) 2021/1173 av den 13 juli 2021 om bildande av det gemensamma företaget för ett europeiskt högpresterande datorsystem och om upphävande av förordning (EU) 2018/1488</w:t>
      </w:r>
      <w:r w:rsidRPr="00C122C8">
        <w:rPr>
          <w:kern w:val="2"/>
          <w:vertAlign w:val="superscript"/>
          <w:lang w:val="en-GB"/>
          <w14:ligatures w14:val="standardContextual"/>
        </w:rPr>
        <w:footnoteReference w:id="53"/>
      </w:r>
      <w:r w:rsidRPr="00C122C8">
        <w:rPr>
          <w:kern w:val="2"/>
          <w:lang w:val="en-GB"/>
          <w14:ligatures w14:val="standardContextual"/>
        </w:rPr>
        <w:t>, särskilt artikel 19,</w:t>
      </w:r>
    </w:p>
    <w:p w14:paraId="26372E62" w14:textId="7C5C2870"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lang w:val="en-GB"/>
          <w14:ligatures w14:val="standardContextual"/>
        </w:rPr>
        <w:footnoteReference w:id="54"/>
      </w:r>
      <w:r w:rsidRPr="00C122C8">
        <w:rPr>
          <w:kern w:val="2"/>
          <w:lang w:val="en-GB"/>
          <w14:ligatures w14:val="standardContextual"/>
        </w:rPr>
        <w:t>,</w:t>
      </w:r>
    </w:p>
    <w:p w14:paraId="2DFB1C87" w14:textId="66E1A928"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artikel 102 och bilaga V i arbetsordningen,</w:t>
      </w:r>
    </w:p>
    <w:p w14:paraId="15821FFE" w14:textId="3791192E" w:rsidR="00C122C8" w:rsidRPr="00C122C8" w:rsidRDefault="00C122C8" w:rsidP="00C122C8">
      <w:pPr>
        <w:spacing w:after="240"/>
        <w:ind w:left="567" w:hanging="567"/>
        <w:rPr>
          <w:kern w:val="2"/>
          <w:lang w:val="en-GB"/>
          <w14:ligatures w14:val="standardContextual"/>
        </w:rPr>
      </w:pPr>
      <w:r>
        <w:rPr>
          <w:kern w:val="2"/>
          <w:lang w:val="en-GB"/>
          <w14:ligatures w14:val="standardContextual"/>
        </w:rPr>
        <w:lastRenderedPageBreak/>
        <w:t>-</w:t>
      </w:r>
      <w:r w:rsidRPr="00C122C8">
        <w:rPr>
          <w:kern w:val="2"/>
          <w:lang w:val="en-GB"/>
          <w14:ligatures w14:val="standardContextual"/>
        </w:rPr>
        <w:tab/>
        <w:t>med beaktande av yttrandet från utskottet för transport och turism,</w:t>
      </w:r>
    </w:p>
    <w:p w14:paraId="3C12088C" w14:textId="474B153D" w:rsidR="00C122C8" w:rsidRPr="00C122C8" w:rsidRDefault="00C122C8" w:rsidP="00C122C8">
      <w:pPr>
        <w:spacing w:after="240"/>
        <w:ind w:left="567" w:hanging="567"/>
        <w:rPr>
          <w:kern w:val="2"/>
          <w:lang w:val="en-GB"/>
          <w14:ligatures w14:val="standardContextual"/>
        </w:rPr>
      </w:pPr>
      <w:r>
        <w:rPr>
          <w:kern w:val="2"/>
          <w:lang w:val="en-GB"/>
          <w14:ligatures w14:val="standardContextual"/>
        </w:rPr>
        <w:t>-</w:t>
      </w:r>
      <w:r w:rsidRPr="00C122C8">
        <w:rPr>
          <w:kern w:val="2"/>
          <w:lang w:val="en-GB"/>
          <w14:ligatures w14:val="standardContextual"/>
        </w:rPr>
        <w:tab/>
        <w:t>med beaktande av betänkandet från budgetkontrollutskottet (A10-0056/2025).</w:t>
      </w:r>
    </w:p>
    <w:p w14:paraId="1ADEC252" w14:textId="77777777" w:rsidR="00C122C8" w:rsidRPr="00C122C8" w:rsidRDefault="00C122C8" w:rsidP="00C122C8">
      <w:pPr>
        <w:spacing w:after="240"/>
        <w:ind w:left="567" w:hanging="567"/>
        <w:rPr>
          <w:kern w:val="2"/>
          <w:lang w:val="en-GB"/>
          <w14:ligatures w14:val="standardContextual"/>
        </w:rPr>
      </w:pPr>
      <w:r w:rsidRPr="00C122C8">
        <w:rPr>
          <w:kern w:val="2"/>
          <w:lang w:val="en-GB"/>
          <w14:ligatures w14:val="standardContextual"/>
        </w:rPr>
        <w:t>1.</w:t>
      </w:r>
      <w:r w:rsidRPr="00C122C8">
        <w:rPr>
          <w:kern w:val="2"/>
          <w:lang w:val="en-GB"/>
          <w14:ligatures w14:val="standardContextual"/>
        </w:rPr>
        <w:tab/>
        <w:t>Europaparlamentet beviljar verkställande direktören för det gemensamma företaget för ett europeiskt högpresterande datorsystem ansvarsfrihet för genomförandet av det gemensamma företagets budget för budgetåret 2023.</w:t>
      </w:r>
    </w:p>
    <w:p w14:paraId="6ED186FF" w14:textId="77777777" w:rsidR="00C122C8" w:rsidRPr="00C122C8" w:rsidRDefault="00C122C8" w:rsidP="00C122C8">
      <w:pPr>
        <w:spacing w:after="240"/>
        <w:ind w:left="567" w:hanging="567"/>
        <w:rPr>
          <w:kern w:val="2"/>
          <w:lang w:val="en-GB"/>
          <w14:ligatures w14:val="standardContextual"/>
        </w:rPr>
      </w:pPr>
      <w:r w:rsidRPr="00C122C8">
        <w:rPr>
          <w:kern w:val="2"/>
          <w:lang w:val="en-GB"/>
          <w14:ligatures w14:val="standardContextual"/>
        </w:rPr>
        <w:t>2.</w:t>
      </w:r>
      <w:r w:rsidRPr="00C122C8">
        <w:rPr>
          <w:kern w:val="2"/>
          <w:lang w:val="en-GB"/>
          <w14:ligatures w14:val="standardContextual"/>
        </w:rPr>
        <w:tab/>
        <w:t>Europaparlamentet redovisar sina iakttagelser i resolutionen nedan.</w:t>
      </w:r>
    </w:p>
    <w:p w14:paraId="7734E237" w14:textId="77777777" w:rsidR="00C122C8" w:rsidRPr="00C122C8" w:rsidRDefault="00C122C8" w:rsidP="00C122C8">
      <w:pPr>
        <w:spacing w:after="240"/>
        <w:ind w:left="567" w:hanging="567"/>
        <w:rPr>
          <w:kern w:val="2"/>
          <w:lang w:val="en-GB"/>
          <w14:ligatures w14:val="standardContextual"/>
        </w:rPr>
      </w:pPr>
      <w:r w:rsidRPr="00C122C8">
        <w:rPr>
          <w:kern w:val="2"/>
          <w:lang w:val="en-GB"/>
          <w14:ligatures w14:val="standardContextual"/>
        </w:rPr>
        <w:t>3.</w:t>
      </w:r>
      <w:r w:rsidRPr="00C122C8">
        <w:rPr>
          <w:kern w:val="2"/>
          <w:lang w:val="en-GB"/>
          <w14:ligatures w14:val="standardContextual"/>
        </w:rPr>
        <w:tab/>
        <w:t xml:space="preserve">Europaparlamentet uppdrar åt talmannen att översända detta beslut och den resolution som utgör en del av beslutet till verkställande direktören för det gemensamma företaget för ett europeiskt högpresterande datorsystem, rådet, kommissionen och revisionsrätten, och att se till att de offentliggörs i </w:t>
      </w:r>
      <w:r w:rsidRPr="00C122C8">
        <w:rPr>
          <w:i/>
          <w:iCs/>
          <w:kern w:val="2"/>
          <w:lang w:val="en-GB"/>
          <w14:ligatures w14:val="standardContextual"/>
        </w:rPr>
        <w:t>Europeiska unionens officiella tidning</w:t>
      </w:r>
      <w:r w:rsidRPr="00C122C8">
        <w:rPr>
          <w:kern w:val="2"/>
          <w:lang w:val="en-GB"/>
          <w14:ligatures w14:val="standardContextual"/>
        </w:rPr>
        <w:t xml:space="preserve"> (L-serien).</w:t>
      </w:r>
    </w:p>
    <w:p w14:paraId="42D7424E"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57177A95" w14:textId="684ED73E" w:rsidR="00C122C8" w:rsidRPr="00C122C8" w:rsidRDefault="00C122C8" w:rsidP="00B03AB5">
      <w:pPr>
        <w:pStyle w:val="ATHeading3"/>
      </w:pPr>
      <w:r w:rsidRPr="00C122C8">
        <w:lastRenderedPageBreak/>
        <w:t>10. Europaparlamentets beslut av den 7 maj 2025 om avslutande av räkenskaperna för det gemensamma företaget för ett europeiskt högpresterande datorsystem för budgetåret 2023 (2024/2031(DEC))</w:t>
      </w:r>
    </w:p>
    <w:p w14:paraId="3AC69493" w14:textId="60BA5B56"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6F3E9B33" w14:textId="49E4CCA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ett europeiskt högpresterande datorsystem för budgetåret 2023,</w:t>
      </w:r>
    </w:p>
    <w:p w14:paraId="4FD4DE86" w14:textId="3C45C32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55"/>
      </w:r>
      <w:r w:rsidRPr="00C122C8">
        <w:rPr>
          <w:kern w:val="2"/>
          <w14:ligatures w14:val="standardContextual"/>
        </w:rPr>
        <w:t>,</w:t>
      </w:r>
    </w:p>
    <w:p w14:paraId="3469A335" w14:textId="24695C3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56"/>
      </w:r>
      <w:r w:rsidRPr="00C122C8">
        <w:rPr>
          <w:kern w:val="2"/>
          <w14:ligatures w14:val="standardContextual"/>
        </w:rPr>
        <w:t>, som avgetts av revisionsrätten för budgetåret 2023 i enlighet med artikel 287 i fördraget om Europeiska unionens funktionssätt,</w:t>
      </w:r>
    </w:p>
    <w:p w14:paraId="53A6EAA4" w14:textId="1DB16E7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45846CDF" w14:textId="1152A06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045171F2" w14:textId="4543BB4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57"/>
      </w:r>
      <w:r w:rsidRPr="00C122C8">
        <w:rPr>
          <w:kern w:val="2"/>
          <w14:ligatures w14:val="standardContextual"/>
        </w:rPr>
        <w:t>, särskilt artikel 71,</w:t>
      </w:r>
    </w:p>
    <w:p w14:paraId="438CF69A" w14:textId="34AF252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58"/>
      </w:r>
      <w:r w:rsidRPr="00C122C8">
        <w:rPr>
          <w:kern w:val="2"/>
          <w14:ligatures w14:val="standardContextual"/>
        </w:rPr>
        <w:t xml:space="preserve">, särskilt artikel 71, </w:t>
      </w:r>
    </w:p>
    <w:p w14:paraId="11DD59CD" w14:textId="1F55569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2021/1173 av den 13 juli 2021 om bildande av det gemensamma företaget för ett europeiskt högpresterande datorsystem och om upphävande av förordning (EU) 2018/1488</w:t>
      </w:r>
      <w:r w:rsidRPr="00C122C8">
        <w:rPr>
          <w:kern w:val="2"/>
          <w:vertAlign w:val="superscript"/>
          <w14:ligatures w14:val="standardContextual"/>
        </w:rPr>
        <w:footnoteReference w:id="59"/>
      </w:r>
      <w:r w:rsidRPr="00C122C8">
        <w:rPr>
          <w:kern w:val="2"/>
          <w14:ligatures w14:val="standardContextual"/>
        </w:rPr>
        <w:t>, särskilt artikel 19,</w:t>
      </w:r>
    </w:p>
    <w:p w14:paraId="73CAB781" w14:textId="0581D2D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60"/>
      </w:r>
      <w:r w:rsidRPr="00C122C8">
        <w:rPr>
          <w:kern w:val="2"/>
          <w14:ligatures w14:val="standardContextual"/>
        </w:rPr>
        <w:t>,</w:t>
      </w:r>
    </w:p>
    <w:p w14:paraId="42EECC3F" w14:textId="725070E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102 och bilaga V i arbetsordningen,</w:t>
      </w:r>
    </w:p>
    <w:p w14:paraId="5E1E5471" w14:textId="56051708"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yttrandet från utskottet för transport och turism,</w:t>
      </w:r>
    </w:p>
    <w:p w14:paraId="4C9A5ECC" w14:textId="792E45C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59339997"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ett europeiskt högpresterande datorsystem för budgetåret 2023.</w:t>
      </w:r>
    </w:p>
    <w:p w14:paraId="2B981BC2"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för ett europeiskt högpresterande datorsystem,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056DBC85" w14:textId="77777777" w:rsidR="00C122C8" w:rsidRPr="00C122C8" w:rsidRDefault="00C122C8" w:rsidP="00C122C8">
      <w:pPr>
        <w:tabs>
          <w:tab w:val="left" w:pos="5386"/>
        </w:tabs>
        <w:ind w:left="567" w:hanging="567"/>
        <w:rPr>
          <w:kern w:val="2"/>
          <w14:ligatures w14:val="standardContextual"/>
        </w:rPr>
      </w:pPr>
    </w:p>
    <w:p w14:paraId="5DE5E207"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571D0AB9"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10312F6E" w14:textId="12DDE0CA" w:rsidR="00C122C8" w:rsidRPr="00C122C8" w:rsidRDefault="00C122C8" w:rsidP="00525100">
      <w:pPr>
        <w:pStyle w:val="ATHeading3"/>
      </w:pPr>
      <w:r w:rsidRPr="00C122C8">
        <w:lastRenderedPageBreak/>
        <w:t>11. Europaparlamentets beslut av den 7 maj 2025 om ansvarsfrihet för genomförandet av budgeten för det europeiska gemensamma företaget för Iter och utveckling av fusionsenergi för budgetåret 2023</w:t>
      </w:r>
      <w:r w:rsidR="00525100">
        <w:t xml:space="preserve"> </w:t>
      </w:r>
      <w:r w:rsidRPr="00C122C8">
        <w:t>(2024/2031(DEC))</w:t>
      </w:r>
    </w:p>
    <w:p w14:paraId="49F548BB" w14:textId="32B0D17C" w:rsidR="00C122C8" w:rsidRPr="00C122C8" w:rsidRDefault="00525100" w:rsidP="00C122C8">
      <w:pPr>
        <w:spacing w:before="480" w:after="240"/>
        <w:rPr>
          <w:i/>
          <w:kern w:val="2"/>
          <w14:ligatures w14:val="standardContextual"/>
        </w:rPr>
      </w:pPr>
      <w:r w:rsidRPr="00525100">
        <w:rPr>
          <w:i/>
          <w:kern w:val="2"/>
          <w14:ligatures w14:val="standardContextual"/>
        </w:rPr>
        <w:t>Europaparlamentet fattar detta beslut</w:t>
      </w:r>
    </w:p>
    <w:p w14:paraId="61F4097F" w14:textId="7BE2FB4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europeiska gemensamma företaget för Iter och utveckling av fusionsenergi för budgetåret 2023,</w:t>
      </w:r>
    </w:p>
    <w:p w14:paraId="6A1D25A0" w14:textId="06555E9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61"/>
      </w:r>
      <w:r w:rsidRPr="00C122C8">
        <w:rPr>
          <w:kern w:val="2"/>
          <w14:ligatures w14:val="standardContextual"/>
        </w:rPr>
        <w:t>,</w:t>
      </w:r>
    </w:p>
    <w:p w14:paraId="7B3958D1" w14:textId="435E60A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62"/>
      </w:r>
      <w:r w:rsidRPr="00C122C8">
        <w:rPr>
          <w:kern w:val="2"/>
          <w14:ligatures w14:val="standardContextual"/>
        </w:rPr>
        <w:t>, som avgetts av revisionsrätten för budgetåret 2023 i enlighet med artikel 287 i fördraget om Europeiska unionens funktionssätt,</w:t>
      </w:r>
    </w:p>
    <w:p w14:paraId="62114721" w14:textId="6501E63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4BE2AAE8" w14:textId="523ED5A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51C37207" w14:textId="6726544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106a i fördraget om upprättandet av Europeiska atomenergigemenskapen,</w:t>
      </w:r>
    </w:p>
    <w:p w14:paraId="51FA5806" w14:textId="7BEEC5C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63"/>
      </w:r>
      <w:r w:rsidRPr="00C122C8">
        <w:rPr>
          <w:kern w:val="2"/>
          <w14:ligatures w14:val="standardContextual"/>
        </w:rPr>
        <w:t>, särskilt artikel 70,</w:t>
      </w:r>
    </w:p>
    <w:p w14:paraId="0C0FC416" w14:textId="0FB40DE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64"/>
      </w:r>
      <w:r w:rsidRPr="00C122C8">
        <w:rPr>
          <w:kern w:val="2"/>
          <w14:ligatures w14:val="standardContextual"/>
        </w:rPr>
        <w:t xml:space="preserve">, särskilt artikel 70, </w:t>
      </w:r>
    </w:p>
    <w:p w14:paraId="53E234AA" w14:textId="1F485E3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beslut 2007/198/Euratom av den 27 mars 2007 om inrättande av ett europeiskt gemensamt företag för ITER och utveckling av fusionsenergi samt om beviljande av förmåner till detta företag</w:t>
      </w:r>
      <w:r w:rsidRPr="00C122C8">
        <w:rPr>
          <w:kern w:val="2"/>
          <w:vertAlign w:val="superscript"/>
          <w14:ligatures w14:val="standardContextual"/>
        </w:rPr>
        <w:footnoteReference w:id="65"/>
      </w:r>
      <w:r w:rsidRPr="00C122C8">
        <w:rPr>
          <w:kern w:val="2"/>
          <w14:ligatures w14:val="standardContextual"/>
        </w:rPr>
        <w:t>, särskilt artikel 5,</w:t>
      </w:r>
    </w:p>
    <w:p w14:paraId="280B5233" w14:textId="14852BE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Europaparlamentets och </w:t>
      </w:r>
      <w:r w:rsidRPr="00C122C8">
        <w:rPr>
          <w:kern w:val="2"/>
          <w14:ligatures w14:val="standardContextual"/>
        </w:rPr>
        <w:lastRenderedPageBreak/>
        <w:t>rådets förordning (EU, Euratom) 2018/1046</w:t>
      </w:r>
      <w:r w:rsidRPr="00C122C8">
        <w:rPr>
          <w:kern w:val="2"/>
          <w:vertAlign w:val="superscript"/>
          <w14:ligatures w14:val="standardContextual"/>
        </w:rPr>
        <w:footnoteReference w:id="66"/>
      </w:r>
      <w:r w:rsidRPr="00C122C8">
        <w:rPr>
          <w:kern w:val="2"/>
          <w14:ligatures w14:val="standardContextual"/>
        </w:rPr>
        <w:t>,</w:t>
      </w:r>
    </w:p>
    <w:p w14:paraId="555D2C58" w14:textId="5E27F3E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102 och bilaga V i arbetsordningen,</w:t>
      </w:r>
    </w:p>
    <w:p w14:paraId="727B002F" w14:textId="5F3360F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73C31191" w14:textId="0D898BB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1D85E9AE"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beviljar direktören för det gemensamma företaget för Iter och utveckling av fusionsenergi ansvarsfrihet för genomförandet av det gemensamma företagets budget för budgetåret 2023.</w:t>
      </w:r>
    </w:p>
    <w:p w14:paraId="35627162"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Europaparlamentet redovisar sina iakttagelser i resolutionen nedan.</w:t>
      </w:r>
    </w:p>
    <w:p w14:paraId="1CA486C8"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 xml:space="preserve">Europaparlamentet uppdrar åt talmannen att översända detta beslut och den resolution som utgör en del av beslutet till direktören för det gemensamma företaget för Iter och utveckling av fusionsenergi, rådet, kommissionen och revisionsrätten, och att se till att de offentliggörs i </w:t>
      </w:r>
      <w:r w:rsidRPr="00C122C8">
        <w:rPr>
          <w:i/>
          <w:iCs/>
          <w:kern w:val="2"/>
          <w14:ligatures w14:val="standardContextual"/>
        </w:rPr>
        <w:t>Europeiska unionens officiella tidning</w:t>
      </w:r>
      <w:r w:rsidRPr="00C122C8">
        <w:rPr>
          <w:kern w:val="2"/>
          <w14:ligatures w14:val="standardContextual"/>
        </w:rPr>
        <w:t xml:space="preserve"> (L serien).</w:t>
      </w:r>
    </w:p>
    <w:p w14:paraId="6ED379C0"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41F2A573" w14:textId="62DFCFCC" w:rsidR="00C122C8" w:rsidRPr="00C122C8" w:rsidRDefault="00C122C8" w:rsidP="00525100">
      <w:pPr>
        <w:pStyle w:val="ATHeading3"/>
      </w:pPr>
      <w:r w:rsidRPr="00C122C8">
        <w:lastRenderedPageBreak/>
        <w:t>12. Europaparlamentets beslut av den 7 maj 2025 om avslutande av räkenskaperna för det europeiska gemensamma företaget för Iter och utveckling av fusionsenergi för budgetåret 2023 (2024/2031(DEC))</w:t>
      </w:r>
    </w:p>
    <w:p w14:paraId="14C1F96F" w14:textId="51D32646" w:rsidR="00C122C8" w:rsidRPr="00C122C8" w:rsidRDefault="00525100" w:rsidP="00C122C8">
      <w:pPr>
        <w:spacing w:before="480" w:after="240"/>
        <w:rPr>
          <w:i/>
          <w:kern w:val="2"/>
          <w14:ligatures w14:val="standardContextual"/>
        </w:rPr>
      </w:pPr>
      <w:r w:rsidRPr="00525100">
        <w:rPr>
          <w:i/>
          <w:kern w:val="2"/>
          <w14:ligatures w14:val="standardContextual"/>
        </w:rPr>
        <w:t>Europaparlamentet fattar detta beslut</w:t>
      </w:r>
    </w:p>
    <w:p w14:paraId="708AC3D4" w14:textId="5622FC4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europeiska gemensamma företaget för Iter och utveckling av fusionsenergi för budgetåret 2023,</w:t>
      </w:r>
    </w:p>
    <w:p w14:paraId="1687982D" w14:textId="02FA2F6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67"/>
      </w:r>
      <w:r w:rsidRPr="00C122C8">
        <w:rPr>
          <w:kern w:val="2"/>
          <w14:ligatures w14:val="standardContextual"/>
        </w:rPr>
        <w:t>,</w:t>
      </w:r>
    </w:p>
    <w:p w14:paraId="6AE5A912" w14:textId="5A9ED56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68"/>
      </w:r>
      <w:r w:rsidRPr="00C122C8">
        <w:rPr>
          <w:kern w:val="2"/>
          <w14:ligatures w14:val="standardContextual"/>
        </w:rPr>
        <w:t>, som avgetts av revisionsrätten för budgetåret 2023 i enlighet med artikel 287 i fördraget om Europeiska unionens funktionssätt,</w:t>
      </w:r>
    </w:p>
    <w:p w14:paraId="0794169F" w14:textId="5A13DC7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573487A2" w14:textId="3E812B7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154442B2" w14:textId="24CCDDF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106a i fördraget om upprättandet av Europeiska atomenergigemenskapen,</w:t>
      </w:r>
    </w:p>
    <w:p w14:paraId="76BF6F44" w14:textId="679DDCE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69"/>
      </w:r>
      <w:r w:rsidRPr="00C122C8">
        <w:rPr>
          <w:kern w:val="2"/>
          <w14:ligatures w14:val="standardContextual"/>
        </w:rPr>
        <w:t>, särskilt artikel 70,</w:t>
      </w:r>
    </w:p>
    <w:p w14:paraId="291C8448" w14:textId="13C5C04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70"/>
      </w:r>
      <w:r w:rsidRPr="00C122C8">
        <w:rPr>
          <w:kern w:val="2"/>
          <w14:ligatures w14:val="standardContextual"/>
        </w:rPr>
        <w:t xml:space="preserve">, särskilt artikel 70, </w:t>
      </w:r>
    </w:p>
    <w:p w14:paraId="460B8C4E" w14:textId="09F5E89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beslut 2007/198/Euratom av den 27 mars 2007 om inrättande av ett europeiskt gemensamt företag för ITER och utveckling av fusionsenergi samt om beviljande av förmåner till detta företag</w:t>
      </w:r>
      <w:r w:rsidRPr="00C122C8">
        <w:rPr>
          <w:kern w:val="2"/>
          <w:vertAlign w:val="superscript"/>
          <w14:ligatures w14:val="standardContextual"/>
        </w:rPr>
        <w:footnoteReference w:id="71"/>
      </w:r>
      <w:r w:rsidRPr="00C122C8">
        <w:rPr>
          <w:kern w:val="2"/>
          <w14:ligatures w14:val="standardContextual"/>
        </w:rPr>
        <w:t>, särskilt artikel 5,</w:t>
      </w:r>
    </w:p>
    <w:p w14:paraId="4412777C" w14:textId="0C5D242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Europaparlamentets och </w:t>
      </w:r>
      <w:r w:rsidRPr="00C122C8">
        <w:rPr>
          <w:kern w:val="2"/>
          <w14:ligatures w14:val="standardContextual"/>
        </w:rPr>
        <w:lastRenderedPageBreak/>
        <w:t>rådets förordning (EU, Euratom) 2018/1046</w:t>
      </w:r>
      <w:r w:rsidRPr="00C122C8">
        <w:rPr>
          <w:kern w:val="2"/>
          <w:vertAlign w:val="superscript"/>
          <w14:ligatures w14:val="standardContextual"/>
        </w:rPr>
        <w:footnoteReference w:id="72"/>
      </w:r>
      <w:r w:rsidRPr="00C122C8">
        <w:rPr>
          <w:kern w:val="2"/>
          <w14:ligatures w14:val="standardContextual"/>
        </w:rPr>
        <w:t>,</w:t>
      </w:r>
    </w:p>
    <w:p w14:paraId="137EA026" w14:textId="026DBA5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102 och bilaga V i arbetsordningen,</w:t>
      </w:r>
    </w:p>
    <w:p w14:paraId="7BD28BF2" w14:textId="66665D4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574FC151" w14:textId="5E010EA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29B82AC0"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Iter och utveckling av fusionsenergi för budgetåret 2023.</w:t>
      </w:r>
    </w:p>
    <w:p w14:paraId="194CD7ED"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direktören för det europeiska gemensamma företaget för Iter och utveckling av fusionsenergi,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34046036"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26EBCB8A" w14:textId="0B37C739" w:rsidR="00C122C8" w:rsidRPr="00C122C8" w:rsidRDefault="00C122C8" w:rsidP="00525100">
      <w:pPr>
        <w:pStyle w:val="ATHeading3"/>
      </w:pPr>
      <w:r w:rsidRPr="00C122C8">
        <w:lastRenderedPageBreak/>
        <w:t>13. Europaparlamentets beslut av den 7 maj 2025 om ansvarsfrihet för genomförandet av budgeten för det gemensamma företaget för global hälsa EDCTP3 för budgetåret 2023 (2024/2031(DEC))</w:t>
      </w:r>
    </w:p>
    <w:p w14:paraId="3EEC3165" w14:textId="2F93659D" w:rsidR="00C122C8" w:rsidRPr="00C122C8" w:rsidRDefault="00525100" w:rsidP="00C122C8">
      <w:pPr>
        <w:spacing w:before="480" w:after="240"/>
        <w:rPr>
          <w:i/>
          <w:kern w:val="2"/>
          <w14:ligatures w14:val="standardContextual"/>
        </w:rPr>
      </w:pPr>
      <w:r w:rsidRPr="00525100">
        <w:rPr>
          <w:i/>
          <w:kern w:val="2"/>
          <w14:ligatures w14:val="standardContextual"/>
        </w:rPr>
        <w:t>Europaparlamentet fattar detta beslut</w:t>
      </w:r>
    </w:p>
    <w:p w14:paraId="062FB561" w14:textId="45D31CD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global hälsa EDCTP3 för budgetåret 2023,</w:t>
      </w:r>
    </w:p>
    <w:p w14:paraId="6F4DFADD" w14:textId="1DCACBE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73"/>
      </w:r>
      <w:r w:rsidRPr="00C122C8">
        <w:rPr>
          <w:kern w:val="2"/>
          <w14:ligatures w14:val="standardContextual"/>
        </w:rPr>
        <w:t>,</w:t>
      </w:r>
    </w:p>
    <w:p w14:paraId="1D9DEC12" w14:textId="4306748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74"/>
      </w:r>
      <w:r w:rsidRPr="00C122C8">
        <w:rPr>
          <w:kern w:val="2"/>
          <w14:ligatures w14:val="standardContextual"/>
        </w:rPr>
        <w:t>, som avgetts av revisionsrätten för budgetåret 2023 i enlighet med artikel 287 i fördraget om Europeiska unionens funktionssätt,</w:t>
      </w:r>
    </w:p>
    <w:p w14:paraId="4E7624B6" w14:textId="159B4FD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256B4079" w14:textId="4554D8C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1E951A15" w14:textId="3357040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75"/>
      </w:r>
      <w:r w:rsidRPr="00C122C8">
        <w:rPr>
          <w:kern w:val="2"/>
          <w14:ligatures w14:val="standardContextual"/>
        </w:rPr>
        <w:t>, särskilt artikel 71,</w:t>
      </w:r>
    </w:p>
    <w:p w14:paraId="59164CFA" w14:textId="2137B76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76"/>
      </w:r>
      <w:r w:rsidRPr="00C122C8">
        <w:rPr>
          <w:kern w:val="2"/>
          <w14:ligatures w14:val="standardContextual"/>
        </w:rPr>
        <w:t xml:space="preserve">, särskilt artikel 71, </w:t>
      </w:r>
    </w:p>
    <w:p w14:paraId="4793F93F" w14:textId="682F3C9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77"/>
      </w:r>
      <w:r w:rsidRPr="00C122C8">
        <w:rPr>
          <w:kern w:val="2"/>
          <w14:ligatures w14:val="standardContextual"/>
        </w:rPr>
        <w:t>, särskilt artikel 26,</w:t>
      </w:r>
    </w:p>
    <w:p w14:paraId="12CDCB58" w14:textId="2698253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78"/>
      </w:r>
      <w:r w:rsidRPr="00C122C8">
        <w:rPr>
          <w:kern w:val="2"/>
          <w14:ligatures w14:val="standardContextual"/>
        </w:rPr>
        <w:t>,</w:t>
      </w:r>
    </w:p>
    <w:p w14:paraId="7BFEA031" w14:textId="72FF9399"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725484F7" w14:textId="727DC17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2F7DD9AA" w14:textId="1A2CA18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0A1411D2"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beviljar verkställande direktören för det gemensamma företaget för global hälsa EDCTP3 ansvarsfrihet för genomförandet av det gemensamma företagets budget för budgetåret 2023.</w:t>
      </w:r>
    </w:p>
    <w:p w14:paraId="3EFC6E92"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Europaparlamentet redovisar sina iakttagelser i resolutionen nedan.</w:t>
      </w:r>
    </w:p>
    <w:p w14:paraId="752AA33D"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 xml:space="preserve">Europaparlamentet uppdrar åt talmannen att översända detta beslut och den resolution som utgör en del av beslutet till verkställande direktören för det gemensamma företaget för global hälsa EDCTP3, rådet, kommissionen och revisionsrätten, och att se till att de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7FC550F2"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4FBF426F" w14:textId="0482BD31" w:rsidR="00C122C8" w:rsidRPr="00C122C8" w:rsidRDefault="00C122C8" w:rsidP="00525100">
      <w:pPr>
        <w:pStyle w:val="ATHeading3"/>
      </w:pPr>
      <w:r w:rsidRPr="00C122C8">
        <w:lastRenderedPageBreak/>
        <w:t>14. Europaparlamentets beslut av den 7 maj 2025 om avslutande av räkenskaperna för det gemensamma företaget för global hälsa EDCTP3 för budgetåret 2023</w:t>
      </w:r>
      <w:r w:rsidR="00525100">
        <w:t xml:space="preserve"> </w:t>
      </w:r>
      <w:r w:rsidRPr="00C122C8">
        <w:t>(2024/2031(DEC))</w:t>
      </w:r>
    </w:p>
    <w:p w14:paraId="7764732A" w14:textId="4C8BBC45" w:rsidR="00C122C8" w:rsidRPr="00C122C8" w:rsidRDefault="00525100" w:rsidP="00C122C8">
      <w:pPr>
        <w:spacing w:before="480" w:after="240"/>
        <w:rPr>
          <w:i/>
          <w:kern w:val="2"/>
          <w14:ligatures w14:val="standardContextual"/>
        </w:rPr>
      </w:pPr>
      <w:r w:rsidRPr="00525100">
        <w:rPr>
          <w:i/>
          <w:kern w:val="2"/>
          <w14:ligatures w14:val="standardContextual"/>
        </w:rPr>
        <w:t>Europaparlamentet fattar detta beslut</w:t>
      </w:r>
    </w:p>
    <w:p w14:paraId="63A3001A" w14:textId="18BD49A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global hälsa EDCTP3 för budgetåret 2023,</w:t>
      </w:r>
    </w:p>
    <w:p w14:paraId="7F47CA5F" w14:textId="109BB69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79"/>
      </w:r>
      <w:r w:rsidRPr="00C122C8">
        <w:rPr>
          <w:kern w:val="2"/>
          <w14:ligatures w14:val="standardContextual"/>
        </w:rPr>
        <w:t>,</w:t>
      </w:r>
    </w:p>
    <w:p w14:paraId="002B920E" w14:textId="7CD0B20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80"/>
      </w:r>
      <w:r w:rsidRPr="00C122C8">
        <w:rPr>
          <w:kern w:val="2"/>
          <w14:ligatures w14:val="standardContextual"/>
        </w:rPr>
        <w:t>, som avgetts av revisionsrätten för budgetåret 2023 i enlighet med artikel 287 i fördraget om Europeiska unionens funktionssätt,</w:t>
      </w:r>
    </w:p>
    <w:p w14:paraId="228EDA29" w14:textId="18FBA0F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5D541DC7" w14:textId="1C16161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7F073D12" w14:textId="4788F47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81"/>
      </w:r>
      <w:r w:rsidRPr="00C122C8">
        <w:rPr>
          <w:kern w:val="2"/>
          <w14:ligatures w14:val="standardContextual"/>
        </w:rPr>
        <w:t>, särskilt artikel 71,</w:t>
      </w:r>
    </w:p>
    <w:p w14:paraId="53BEDD50" w14:textId="2DC4B8E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82"/>
      </w:r>
      <w:r w:rsidRPr="00C122C8">
        <w:rPr>
          <w:kern w:val="2"/>
          <w14:ligatures w14:val="standardContextual"/>
        </w:rPr>
        <w:t xml:space="preserve">, särskilt artikel 71, </w:t>
      </w:r>
    </w:p>
    <w:p w14:paraId="5C3D36FA" w14:textId="7D27771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83"/>
      </w:r>
      <w:r w:rsidRPr="00C122C8">
        <w:rPr>
          <w:kern w:val="2"/>
          <w14:ligatures w14:val="standardContextual"/>
        </w:rPr>
        <w:t>, särskilt artikel 26,</w:t>
      </w:r>
    </w:p>
    <w:p w14:paraId="33730AC2" w14:textId="7625CC7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84"/>
      </w:r>
      <w:r w:rsidRPr="00C122C8">
        <w:rPr>
          <w:kern w:val="2"/>
          <w14:ligatures w14:val="standardContextual"/>
        </w:rPr>
        <w:t>,</w:t>
      </w:r>
    </w:p>
    <w:p w14:paraId="5F708A91" w14:textId="09C4FEA6"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7B80D190" w14:textId="29F1328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17F468F1" w14:textId="29BDC09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166AA11F"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global hälsa EDCTP3 för budgetåret 2023.</w:t>
      </w:r>
    </w:p>
    <w:p w14:paraId="13B3E540"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för global hälsa EDCTP3,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776E8A8F"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66C686A2" w14:textId="77777777" w:rsidR="00C122C8" w:rsidRPr="00C122C8" w:rsidRDefault="00C122C8" w:rsidP="004A0297">
      <w:pPr>
        <w:pStyle w:val="ATHeading3"/>
      </w:pPr>
      <w:r w:rsidRPr="00C122C8">
        <w:lastRenderedPageBreak/>
        <w:t>15. Europaparlamentets beslut av den 7 maj 2025 om ansvarsfrihet för genomförandet av budgeten för det gemensamma företaget för initiativet för innovativ hälsa för budgetåret 2023  (2024/2031(DEC))</w:t>
      </w:r>
    </w:p>
    <w:p w14:paraId="6927EA43" w14:textId="125FC787" w:rsidR="00C122C8" w:rsidRPr="00C122C8" w:rsidRDefault="004A0297" w:rsidP="00C122C8">
      <w:pPr>
        <w:spacing w:before="480" w:after="240"/>
        <w:rPr>
          <w:i/>
          <w:kern w:val="2"/>
          <w14:ligatures w14:val="standardContextual"/>
        </w:rPr>
      </w:pPr>
      <w:r w:rsidRPr="004A0297">
        <w:rPr>
          <w:i/>
          <w:kern w:val="2"/>
          <w14:ligatures w14:val="standardContextual"/>
        </w:rPr>
        <w:t>Europaparlamentet fattar detta beslut</w:t>
      </w:r>
    </w:p>
    <w:p w14:paraId="3B52FE62" w14:textId="49C552E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initiativet för innovativ hälsa för budgetåret 2023,</w:t>
      </w:r>
    </w:p>
    <w:p w14:paraId="79F5BA9B" w14:textId="48E6821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85"/>
      </w:r>
      <w:r w:rsidRPr="00C122C8">
        <w:rPr>
          <w:kern w:val="2"/>
          <w14:ligatures w14:val="standardContextual"/>
        </w:rPr>
        <w:t>,</w:t>
      </w:r>
    </w:p>
    <w:p w14:paraId="6304D7AC" w14:textId="2700CE9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86"/>
      </w:r>
      <w:r w:rsidRPr="00C122C8">
        <w:rPr>
          <w:kern w:val="2"/>
          <w14:ligatures w14:val="standardContextual"/>
        </w:rPr>
        <w:t>, som avgetts av revisionsrätten för budgetåret 2023 i enlighet med artikel 287 i fördraget om Europeiska unionens funktionssätt,</w:t>
      </w:r>
    </w:p>
    <w:p w14:paraId="4BD2DBFE" w14:textId="221B5C9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734E786F" w14:textId="39FEA9B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246F405F" w14:textId="4424A51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87"/>
      </w:r>
      <w:r w:rsidRPr="00C122C8">
        <w:rPr>
          <w:kern w:val="2"/>
          <w14:ligatures w14:val="standardContextual"/>
        </w:rPr>
        <w:t>, särskilt artikel 71,</w:t>
      </w:r>
    </w:p>
    <w:p w14:paraId="5B0554B3" w14:textId="32C5682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88"/>
      </w:r>
      <w:r w:rsidRPr="00C122C8">
        <w:rPr>
          <w:kern w:val="2"/>
          <w14:ligatures w14:val="standardContextual"/>
        </w:rPr>
        <w:t xml:space="preserve">, särskilt artikel 71, </w:t>
      </w:r>
    </w:p>
    <w:p w14:paraId="768F4F36" w14:textId="692A3A7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89"/>
      </w:r>
      <w:r w:rsidRPr="00C122C8">
        <w:rPr>
          <w:kern w:val="2"/>
          <w14:ligatures w14:val="standardContextual"/>
        </w:rPr>
        <w:t>, särskilt artikel 26,</w:t>
      </w:r>
    </w:p>
    <w:p w14:paraId="72DEB1F1" w14:textId="2703BDD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90"/>
      </w:r>
      <w:r w:rsidRPr="00C122C8">
        <w:rPr>
          <w:kern w:val="2"/>
          <w14:ligatures w14:val="standardContextual"/>
        </w:rPr>
        <w:t>,</w:t>
      </w:r>
    </w:p>
    <w:p w14:paraId="645D56F8" w14:textId="7A5EFE27"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6BDE6200" w14:textId="71871DA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4D628825" w14:textId="0F84349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580DCDE1"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beviljar verkställande direktören för det gemensamma företaget för initiativet för innovativ hälsa ansvarsfrihet för genomförandet av det gemensamma företagets budget för budgetåret 2023.</w:t>
      </w:r>
    </w:p>
    <w:p w14:paraId="24A013CC"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Europaparlamentet redovisar sina iakttagelser i resolutionen nedan.</w:t>
      </w:r>
    </w:p>
    <w:p w14:paraId="2C243188"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 xml:space="preserve">Europaparlamentet uppdrar åt talmannen att översända detta beslut och den resolution som utgör en del av beslutet till verkställande direktören för det gemensamma företaget för initiativet för innovativ hälsa, rådet, kommissionen och revisionsrätten, och att se till att de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038CFFA2" w14:textId="77777777" w:rsidR="00C122C8" w:rsidRPr="00C122C8" w:rsidRDefault="00C122C8" w:rsidP="00C122C8">
      <w:pPr>
        <w:tabs>
          <w:tab w:val="left" w:pos="5386"/>
        </w:tabs>
        <w:ind w:left="567" w:hanging="567"/>
        <w:rPr>
          <w:i/>
          <w:kern w:val="2"/>
          <w14:ligatures w14:val="standardContextual"/>
        </w:rPr>
      </w:pPr>
    </w:p>
    <w:p w14:paraId="5337996E" w14:textId="77777777" w:rsidR="00C122C8" w:rsidRPr="00C122C8" w:rsidRDefault="00C122C8" w:rsidP="00C122C8">
      <w:pPr>
        <w:tabs>
          <w:tab w:val="left" w:pos="5386"/>
        </w:tabs>
        <w:ind w:left="567" w:hanging="567"/>
        <w:rPr>
          <w:kern w:val="2"/>
          <w14:ligatures w14:val="standardContextual"/>
        </w:rPr>
      </w:pPr>
    </w:p>
    <w:p w14:paraId="1705F7EA"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5B049583"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59E8A3B2" w14:textId="77777777" w:rsidR="00C122C8" w:rsidRPr="00C122C8" w:rsidRDefault="00C122C8" w:rsidP="004A0297">
      <w:pPr>
        <w:pStyle w:val="ATHeading3"/>
      </w:pPr>
      <w:r w:rsidRPr="00C122C8">
        <w:lastRenderedPageBreak/>
        <w:t>16. Europaparlamentets beslut av den 7 maj 2025 om avslutande av räkenskaperna för det gemensamma företaget för initiativet för innovativ hälsa för budgetåret 2023  (2024/2031(DEC))</w:t>
      </w:r>
    </w:p>
    <w:p w14:paraId="4CDCCD16" w14:textId="08AD2B6D" w:rsidR="00C122C8" w:rsidRPr="00C122C8" w:rsidRDefault="004A0297" w:rsidP="00C122C8">
      <w:pPr>
        <w:spacing w:before="480" w:after="240"/>
        <w:rPr>
          <w:i/>
          <w:kern w:val="2"/>
          <w14:ligatures w14:val="standardContextual"/>
        </w:rPr>
      </w:pPr>
      <w:r w:rsidRPr="004A0297">
        <w:rPr>
          <w:i/>
          <w:kern w:val="2"/>
          <w14:ligatures w14:val="standardContextual"/>
        </w:rPr>
        <w:t>Europaparlamentet fattar detta beslut</w:t>
      </w:r>
    </w:p>
    <w:p w14:paraId="4DB4B4A3" w14:textId="6F46E00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initiativet för innovativ hälsa för budgetåret 2023,</w:t>
      </w:r>
    </w:p>
    <w:p w14:paraId="28829D6B" w14:textId="688D43B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91"/>
      </w:r>
      <w:r w:rsidRPr="00C122C8">
        <w:rPr>
          <w:kern w:val="2"/>
          <w14:ligatures w14:val="standardContextual"/>
        </w:rPr>
        <w:t>,</w:t>
      </w:r>
    </w:p>
    <w:p w14:paraId="35DDE14C" w14:textId="38F65F0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92"/>
      </w:r>
      <w:r w:rsidRPr="00C122C8">
        <w:rPr>
          <w:kern w:val="2"/>
          <w14:ligatures w14:val="standardContextual"/>
        </w:rPr>
        <w:t>, som avgetts av revisionsrätten för budgetåret 2023 i enlighet med artikel 287 i fördraget om Europeiska unionens funktionssätt,</w:t>
      </w:r>
    </w:p>
    <w:p w14:paraId="1C18E8C5" w14:textId="7F3FBA2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02A67DF9" w14:textId="6085762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483B79F8" w14:textId="11149AF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93"/>
      </w:r>
      <w:r w:rsidRPr="00C122C8">
        <w:rPr>
          <w:kern w:val="2"/>
          <w14:ligatures w14:val="standardContextual"/>
        </w:rPr>
        <w:t>, särskilt artikel 71,</w:t>
      </w:r>
    </w:p>
    <w:p w14:paraId="2CC307FF" w14:textId="47CA17D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94"/>
      </w:r>
      <w:r w:rsidRPr="00C122C8">
        <w:rPr>
          <w:kern w:val="2"/>
          <w14:ligatures w14:val="standardContextual"/>
        </w:rPr>
        <w:t xml:space="preserve">, särskilt artikel 71, </w:t>
      </w:r>
    </w:p>
    <w:p w14:paraId="51169781" w14:textId="6735B52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95"/>
      </w:r>
      <w:r w:rsidRPr="00C122C8">
        <w:rPr>
          <w:kern w:val="2"/>
          <w14:ligatures w14:val="standardContextual"/>
        </w:rPr>
        <w:t>, särskilt artikel 26,</w:t>
      </w:r>
    </w:p>
    <w:p w14:paraId="6ABF0FD8" w14:textId="575C58E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96"/>
      </w:r>
      <w:r w:rsidRPr="00C122C8">
        <w:rPr>
          <w:kern w:val="2"/>
          <w14:ligatures w14:val="standardContextual"/>
        </w:rPr>
        <w:t>,</w:t>
      </w:r>
    </w:p>
    <w:p w14:paraId="3ECFC575" w14:textId="240D0876"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43D6FA3D" w14:textId="6225665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294ABCBF" w14:textId="1149EF6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3337A2E9"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initiativet för innovativ hälsa för budgetåret 2023.</w:t>
      </w:r>
    </w:p>
    <w:p w14:paraId="78718EF8"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för initiativet för innovativ hälsa,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3786C77D" w14:textId="77777777" w:rsidR="00C122C8" w:rsidRPr="00C122C8" w:rsidRDefault="00C122C8" w:rsidP="00C122C8">
      <w:pPr>
        <w:tabs>
          <w:tab w:val="left" w:pos="5386"/>
        </w:tabs>
        <w:ind w:left="567" w:hanging="567"/>
        <w:rPr>
          <w:i/>
          <w:kern w:val="2"/>
          <w14:ligatures w14:val="standardContextual"/>
        </w:rPr>
      </w:pPr>
    </w:p>
    <w:p w14:paraId="489FE8F1" w14:textId="77777777" w:rsidR="00C122C8" w:rsidRPr="00C122C8" w:rsidRDefault="00C122C8" w:rsidP="00C122C8">
      <w:pPr>
        <w:tabs>
          <w:tab w:val="left" w:pos="5386"/>
        </w:tabs>
        <w:ind w:left="567" w:hanging="567"/>
        <w:rPr>
          <w:kern w:val="2"/>
          <w14:ligatures w14:val="standardContextual"/>
        </w:rPr>
      </w:pPr>
    </w:p>
    <w:p w14:paraId="39B839EC"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6B92DA70"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7BD2F45E" w14:textId="77777777" w:rsidR="00C122C8" w:rsidRPr="00C122C8" w:rsidRDefault="00C122C8" w:rsidP="004A0297">
      <w:pPr>
        <w:pStyle w:val="ATHeading3"/>
      </w:pPr>
      <w:r w:rsidRPr="00C122C8">
        <w:lastRenderedPageBreak/>
        <w:t>17. Europaparlamentets beslut av den 7 maj 2025 om ansvarsfrihet för genomförandet av budgeten för det gemensamma företaget för halvledare (före 21.9.2023 det gemensamma företaget för viktig digital teknik) för budgetåret 2023  (2024/2031(DEC))</w:t>
      </w:r>
    </w:p>
    <w:p w14:paraId="66F5B9C0" w14:textId="774FBE6E" w:rsidR="00C122C8" w:rsidRPr="00C122C8" w:rsidRDefault="004A0297" w:rsidP="00C122C8">
      <w:pPr>
        <w:spacing w:before="480" w:after="240"/>
        <w:rPr>
          <w:i/>
          <w:kern w:val="2"/>
          <w14:ligatures w14:val="standardContextual"/>
        </w:rPr>
      </w:pPr>
      <w:r w:rsidRPr="004A0297">
        <w:rPr>
          <w:i/>
          <w:kern w:val="2"/>
          <w14:ligatures w14:val="standardContextual"/>
        </w:rPr>
        <w:t>Europaparlamentet fattar detta beslut</w:t>
      </w:r>
    </w:p>
    <w:p w14:paraId="7BE3E179" w14:textId="49A34A2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halvledare för budgetåret 2023,</w:t>
      </w:r>
    </w:p>
    <w:p w14:paraId="704DE048" w14:textId="25BF9C2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97"/>
      </w:r>
      <w:r w:rsidRPr="00C122C8">
        <w:rPr>
          <w:kern w:val="2"/>
          <w14:ligatures w14:val="standardContextual"/>
        </w:rPr>
        <w:t>,</w:t>
      </w:r>
    </w:p>
    <w:p w14:paraId="76A217C6" w14:textId="57097AF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98"/>
      </w:r>
      <w:r w:rsidRPr="00C122C8">
        <w:rPr>
          <w:kern w:val="2"/>
          <w14:ligatures w14:val="standardContextual"/>
        </w:rPr>
        <w:t>, som avgetts av revisionsrätten för budgetåret 2023 i enlighet med artikel 287 i fördraget om Europeiska unionens funktionssätt,</w:t>
      </w:r>
    </w:p>
    <w:p w14:paraId="4376FD3E" w14:textId="288185E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46DE062B" w14:textId="3FCD51A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4E9F86DF" w14:textId="300529D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99"/>
      </w:r>
      <w:r w:rsidRPr="00C122C8">
        <w:rPr>
          <w:kern w:val="2"/>
          <w14:ligatures w14:val="standardContextual"/>
        </w:rPr>
        <w:t>, särskilt artikel 71,</w:t>
      </w:r>
    </w:p>
    <w:p w14:paraId="5905FE63" w14:textId="55CD36C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100"/>
      </w:r>
      <w:r w:rsidRPr="00C122C8">
        <w:rPr>
          <w:kern w:val="2"/>
          <w14:ligatures w14:val="standardContextual"/>
        </w:rPr>
        <w:t xml:space="preserve">, särskilt artikel 71, </w:t>
      </w:r>
    </w:p>
    <w:p w14:paraId="55FD12F3" w14:textId="6D78865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101"/>
      </w:r>
      <w:r w:rsidRPr="00C122C8">
        <w:rPr>
          <w:kern w:val="2"/>
          <w14:ligatures w14:val="standardContextual"/>
        </w:rPr>
        <w:t>, särskilt artikel 26,</w:t>
      </w:r>
    </w:p>
    <w:p w14:paraId="68CCDF33" w14:textId="59C5DE8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2023/1782 av den 25 juli 2023 om ändring av förordning (EU) 2021/2085 om bildande av gemensamma företag inom ramen för Horisont Europa, vad gäller det gemensamma företaget för halvledare</w:t>
      </w:r>
      <w:r w:rsidRPr="00C122C8">
        <w:rPr>
          <w:kern w:val="2"/>
          <w:vertAlign w:val="superscript"/>
          <w14:ligatures w14:val="standardContextual"/>
        </w:rPr>
        <w:footnoteReference w:id="102"/>
      </w:r>
      <w:r w:rsidRPr="00C122C8">
        <w:rPr>
          <w:kern w:val="2"/>
          <w14:ligatures w14:val="standardContextual"/>
        </w:rPr>
        <w:t>,</w:t>
      </w:r>
    </w:p>
    <w:p w14:paraId="169B8916" w14:textId="0AAFBAE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 xml:space="preserve">med beaktande av kommissionens delegerade förordning (EU) 2019/887 av den </w:t>
      </w:r>
      <w:r w:rsidRPr="00C122C8">
        <w:rPr>
          <w:kern w:val="2"/>
          <w14:ligatures w14:val="standardContextual"/>
        </w:rPr>
        <w:lastRenderedPageBreak/>
        <w:t>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103"/>
      </w:r>
      <w:r w:rsidRPr="00C122C8">
        <w:rPr>
          <w:kern w:val="2"/>
          <w14:ligatures w14:val="standardContextual"/>
        </w:rPr>
        <w:t>,</w:t>
      </w:r>
    </w:p>
    <w:p w14:paraId="67E6D77F" w14:textId="4AE1964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102 och bilaga V i arbetsordningen,</w:t>
      </w:r>
    </w:p>
    <w:p w14:paraId="1DE6206B" w14:textId="5D66DDB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20767753" w14:textId="7DA8D7E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7BCC6571"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beviljar verkställande direktören för det gemensamma företaget för halvledare ansvarsfrihet för genomförandet av det gemensamma företagets budget för budgetåret 2023.</w:t>
      </w:r>
    </w:p>
    <w:p w14:paraId="6B5CAC64"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Europaparlamentet redovisar sina iakttagelser i resolutionen nedan.</w:t>
      </w:r>
    </w:p>
    <w:p w14:paraId="5D4E5A68"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 xml:space="preserve">Europaparlamentet uppdrar åt talmannen att översända detta beslut och den resolution som utgör en del av beslutet till verkställande direktören för det gemensamma företaget för halvledare, rådet, kommissionen och revisionsrätten, och att se till att de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21EF3F25"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72562F7A" w14:textId="3616E893" w:rsidR="00C122C8" w:rsidRPr="00C122C8" w:rsidRDefault="00C122C8" w:rsidP="004A0297">
      <w:pPr>
        <w:pStyle w:val="ATHeading3"/>
      </w:pPr>
      <w:r w:rsidRPr="00C122C8">
        <w:lastRenderedPageBreak/>
        <w:t>18. Europaparlamentets beslut av den 7 maj 2025 om avslutande av räkenskaperna för det gemensamma företaget för halvledare (före 21.9.2023 det gemensamma företaget för viktig digital teknik) för budgetåret 2023 (2024/2031(DEC))</w:t>
      </w:r>
    </w:p>
    <w:p w14:paraId="6F684EA2" w14:textId="792641D3" w:rsidR="00C122C8" w:rsidRPr="00C122C8" w:rsidRDefault="004A0297" w:rsidP="00C122C8">
      <w:pPr>
        <w:spacing w:before="480" w:after="240"/>
        <w:rPr>
          <w:i/>
          <w:kern w:val="2"/>
          <w14:ligatures w14:val="standardContextual"/>
        </w:rPr>
      </w:pPr>
      <w:r w:rsidRPr="004A0297">
        <w:rPr>
          <w:i/>
          <w:kern w:val="2"/>
          <w14:ligatures w14:val="standardContextual"/>
        </w:rPr>
        <w:t>Europaparlamentet fattar detta beslut</w:t>
      </w:r>
    </w:p>
    <w:p w14:paraId="0F9D8BAC" w14:textId="6432719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halvledare för budgetåret 2023,</w:t>
      </w:r>
    </w:p>
    <w:p w14:paraId="2A0411D7" w14:textId="1EB1343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104"/>
      </w:r>
      <w:r w:rsidRPr="00C122C8">
        <w:rPr>
          <w:kern w:val="2"/>
          <w14:ligatures w14:val="standardContextual"/>
        </w:rPr>
        <w:t>,</w:t>
      </w:r>
    </w:p>
    <w:p w14:paraId="792D1C1A" w14:textId="3339D3A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105"/>
      </w:r>
      <w:r w:rsidRPr="00C122C8">
        <w:rPr>
          <w:kern w:val="2"/>
          <w14:ligatures w14:val="standardContextual"/>
        </w:rPr>
        <w:t>, som avgetts av revisionsrätten för budgetåret 2023 i enlighet med artikel 287 i fördraget om Europeiska unionens funktionssätt,</w:t>
      </w:r>
    </w:p>
    <w:p w14:paraId="529BF7B9" w14:textId="3F3F707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447B4BCC" w14:textId="14EE820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4917B7E9" w14:textId="7FC4213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106"/>
      </w:r>
      <w:r w:rsidRPr="00C122C8">
        <w:rPr>
          <w:kern w:val="2"/>
          <w14:ligatures w14:val="standardContextual"/>
        </w:rPr>
        <w:t>, särskilt artikel 71,</w:t>
      </w:r>
    </w:p>
    <w:p w14:paraId="2DF74794" w14:textId="529A0B9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107"/>
      </w:r>
      <w:r w:rsidRPr="00C122C8">
        <w:rPr>
          <w:kern w:val="2"/>
          <w14:ligatures w14:val="standardContextual"/>
        </w:rPr>
        <w:t xml:space="preserve">, särskilt artikel 71, </w:t>
      </w:r>
    </w:p>
    <w:p w14:paraId="0281BBC1" w14:textId="77D32D9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108"/>
      </w:r>
      <w:r w:rsidRPr="00C122C8">
        <w:rPr>
          <w:kern w:val="2"/>
          <w14:ligatures w14:val="standardContextual"/>
        </w:rPr>
        <w:t>, särskilt artikel 26,</w:t>
      </w:r>
    </w:p>
    <w:p w14:paraId="460C9D6D" w14:textId="7A00CA1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2023/1782 av den 25 juli 2023 om ändring av förordning (EU) 2021/2085 om bildande av gemensamma företag inom ramen för Horisont Europa, vad gäller det gemensamma företaget för halvledare </w:t>
      </w:r>
      <w:r w:rsidRPr="00C122C8">
        <w:rPr>
          <w:kern w:val="2"/>
          <w:vertAlign w:val="superscript"/>
          <w14:ligatures w14:val="standardContextual"/>
        </w:rPr>
        <w:footnoteReference w:id="109"/>
      </w:r>
      <w:r w:rsidRPr="00C122C8">
        <w:rPr>
          <w:kern w:val="2"/>
          <w14:ligatures w14:val="standardContextual"/>
        </w:rPr>
        <w:t>,</w:t>
      </w:r>
    </w:p>
    <w:p w14:paraId="6D002EEC" w14:textId="204E257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 xml:space="preserve">med beaktande av kommissionens delegerade förordning (EU) 2019/887 av den </w:t>
      </w:r>
      <w:r w:rsidRPr="00C122C8">
        <w:rPr>
          <w:kern w:val="2"/>
          <w14:ligatures w14:val="standardContextual"/>
        </w:rPr>
        <w:lastRenderedPageBreak/>
        <w:t>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110"/>
      </w:r>
      <w:r w:rsidRPr="00C122C8">
        <w:rPr>
          <w:kern w:val="2"/>
          <w14:ligatures w14:val="standardContextual"/>
        </w:rPr>
        <w:t>,</w:t>
      </w:r>
    </w:p>
    <w:p w14:paraId="3B14F9CA" w14:textId="156C121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102 och bilaga V i arbetsordningen,</w:t>
      </w:r>
    </w:p>
    <w:p w14:paraId="2EBF7D25" w14:textId="07F2F4A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0330C837" w14:textId="39E97BDF"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017D9C4F"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halvledare för budgetåret 2023.</w:t>
      </w:r>
    </w:p>
    <w:p w14:paraId="4AE22A43"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för halvledare,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617C3994"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75B9C96A" w14:textId="77777777" w:rsidR="00C122C8" w:rsidRPr="00C122C8" w:rsidRDefault="00C122C8" w:rsidP="00B03AB5">
      <w:pPr>
        <w:pStyle w:val="ATHeading3"/>
      </w:pPr>
      <w:r w:rsidRPr="00C122C8">
        <w:lastRenderedPageBreak/>
        <w:t>19. Europaparlamentets beslut av den 7 maj 2025 om ansvarsfrihet för genomförandet av budgeten för det gemensamma företaget Sesar 3 för budgetåret 2023  (2024/2031(DEC))</w:t>
      </w:r>
    </w:p>
    <w:p w14:paraId="7370E1DD" w14:textId="46924F08" w:rsidR="00C122C8" w:rsidRPr="00C122C8" w:rsidRDefault="00B03AB5" w:rsidP="00C122C8">
      <w:pPr>
        <w:spacing w:before="480" w:after="240"/>
        <w:rPr>
          <w:i/>
          <w:kern w:val="2"/>
          <w14:ligatures w14:val="standardContextual"/>
        </w:rPr>
      </w:pPr>
      <w:r>
        <w:rPr>
          <w:i/>
          <w:kern w:val="2"/>
          <w14:ligatures w14:val="standardContextual"/>
        </w:rPr>
        <w:t>E</w:t>
      </w:r>
      <w:r w:rsidRPr="00C122C8">
        <w:rPr>
          <w:i/>
          <w:kern w:val="2"/>
          <w14:ligatures w14:val="standardContextual"/>
        </w:rPr>
        <w:t>uropaparlamentet fattar detta beslut</w:t>
      </w:r>
    </w:p>
    <w:p w14:paraId="4C95CCF3" w14:textId="760C85A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Sesar 3 för budgetåret 2023,</w:t>
      </w:r>
    </w:p>
    <w:p w14:paraId="29E4753F" w14:textId="657AEC1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111"/>
      </w:r>
      <w:r w:rsidRPr="00C122C8">
        <w:rPr>
          <w:kern w:val="2"/>
          <w14:ligatures w14:val="standardContextual"/>
        </w:rPr>
        <w:t>,</w:t>
      </w:r>
    </w:p>
    <w:p w14:paraId="3C72CC1A" w14:textId="63598F0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112"/>
      </w:r>
      <w:r w:rsidRPr="00C122C8">
        <w:rPr>
          <w:kern w:val="2"/>
          <w14:ligatures w14:val="standardContextual"/>
        </w:rPr>
        <w:t>, som avgetts av revisionsrätten för budgetåret 2023 i enlighet med artikel 287 i fördraget om Europeiska unionens funktionssätt,</w:t>
      </w:r>
    </w:p>
    <w:p w14:paraId="1B0CCF99" w14:textId="405B4D9B"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5584E55D" w14:textId="60FDE37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6660173F" w14:textId="2075618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113"/>
      </w:r>
      <w:r w:rsidRPr="00C122C8">
        <w:rPr>
          <w:kern w:val="2"/>
          <w14:ligatures w14:val="standardContextual"/>
        </w:rPr>
        <w:t>, särskilt artikel 71,</w:t>
      </w:r>
    </w:p>
    <w:p w14:paraId="0F68AC66" w14:textId="7A0FB27D"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114"/>
      </w:r>
      <w:r w:rsidRPr="00C122C8">
        <w:rPr>
          <w:kern w:val="2"/>
          <w14:ligatures w14:val="standardContextual"/>
        </w:rPr>
        <w:t xml:space="preserve">, särskilt artikel 71, </w:t>
      </w:r>
    </w:p>
    <w:p w14:paraId="3DAA76BC" w14:textId="650D768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115"/>
      </w:r>
      <w:r w:rsidRPr="00C122C8">
        <w:rPr>
          <w:kern w:val="2"/>
          <w14:ligatures w14:val="standardContextual"/>
        </w:rPr>
        <w:t>, särskilt artikel 26,</w:t>
      </w:r>
    </w:p>
    <w:p w14:paraId="4F99CE2E" w14:textId="17B0DB9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116"/>
      </w:r>
      <w:r w:rsidRPr="00C122C8">
        <w:rPr>
          <w:kern w:val="2"/>
          <w14:ligatures w14:val="standardContextual"/>
        </w:rPr>
        <w:t>,</w:t>
      </w:r>
    </w:p>
    <w:p w14:paraId="5A87AA47" w14:textId="4FD6739D"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219C5164" w14:textId="2EF1F6C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04EB3CE1" w14:textId="4A39273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4F8B2528"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beviljar verkställande direktören för det gemensamma företaget Sesar 3 ansvarsfrihet för genomförandet av det gemensamma företagets budget för budgetåret 2023.</w:t>
      </w:r>
    </w:p>
    <w:p w14:paraId="281D49D2"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Europaparlamentet redovisar sina iakttagelser i resolutionen nedan.</w:t>
      </w:r>
    </w:p>
    <w:p w14:paraId="06A5D269"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 xml:space="preserve">Europaparlamentet uppdrar åt talmannen att översända detta beslut och den resolution som utgör en del av beslutet till verkställande direktören för det gemensamma företaget Sesar 3, rådet, kommissionen och revisionsrätten, och att se till att de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2285C6CF"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0128C3AD" w14:textId="1068C27C" w:rsidR="00C122C8" w:rsidRPr="00C122C8" w:rsidRDefault="00C122C8" w:rsidP="00B03AB5">
      <w:pPr>
        <w:pStyle w:val="ATHeading3"/>
      </w:pPr>
      <w:r w:rsidRPr="00C122C8">
        <w:lastRenderedPageBreak/>
        <w:t>20. Europaparlamentets beslut av den 7 maj 2025 om avslutande av räkenskaperna för det gemensamma företaget Sesar 3 för budgetåret 2023 (2024/2031(DEC))</w:t>
      </w:r>
    </w:p>
    <w:p w14:paraId="13E77A79" w14:textId="5B95C5C2"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32523765" w14:textId="244F0AF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Sesar 3 för budgetåret 2023,</w:t>
      </w:r>
    </w:p>
    <w:p w14:paraId="1723EEF4" w14:textId="1789AEC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117"/>
      </w:r>
      <w:r w:rsidRPr="00C122C8">
        <w:rPr>
          <w:kern w:val="2"/>
          <w14:ligatures w14:val="standardContextual"/>
        </w:rPr>
        <w:t>,</w:t>
      </w:r>
    </w:p>
    <w:p w14:paraId="5892CCE2" w14:textId="1CCFEC7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118"/>
      </w:r>
      <w:r w:rsidRPr="00C122C8">
        <w:rPr>
          <w:kern w:val="2"/>
          <w14:ligatures w14:val="standardContextual"/>
        </w:rPr>
        <w:t>, som avgetts av revisionsrätten för budgetåret 2023 i enlighet med artikel 287 i fördraget om Europeiska unionens funktionssätt,</w:t>
      </w:r>
    </w:p>
    <w:p w14:paraId="12CAF22D" w14:textId="317261B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0EB97215" w14:textId="709CAAB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7B5A38E9" w14:textId="6042A546"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119"/>
      </w:r>
      <w:r w:rsidRPr="00C122C8">
        <w:rPr>
          <w:kern w:val="2"/>
          <w14:ligatures w14:val="standardContextual"/>
        </w:rPr>
        <w:t>, särskilt artikel 71,</w:t>
      </w:r>
    </w:p>
    <w:p w14:paraId="4F464611" w14:textId="4CD12E8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120"/>
      </w:r>
      <w:r w:rsidRPr="00C122C8">
        <w:rPr>
          <w:kern w:val="2"/>
          <w14:ligatures w14:val="standardContextual"/>
        </w:rPr>
        <w:t xml:space="preserve">, särskilt artikel 71, </w:t>
      </w:r>
    </w:p>
    <w:p w14:paraId="55FAEB17" w14:textId="028EC04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121"/>
      </w:r>
      <w:r w:rsidRPr="00C122C8">
        <w:rPr>
          <w:kern w:val="2"/>
          <w14:ligatures w14:val="standardContextual"/>
        </w:rPr>
        <w:t>, särskilt artikel 26,</w:t>
      </w:r>
    </w:p>
    <w:p w14:paraId="1619C74C" w14:textId="039D4A8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122"/>
      </w:r>
      <w:r w:rsidRPr="00C122C8">
        <w:rPr>
          <w:kern w:val="2"/>
          <w14:ligatures w14:val="standardContextual"/>
        </w:rPr>
        <w:t>,</w:t>
      </w:r>
    </w:p>
    <w:p w14:paraId="75FF5E56" w14:textId="604D9CF6"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60D2FE21" w14:textId="2C2D05A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196C1F9E" w14:textId="10E3C37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6405ABE4"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Sesar 3 för budgetåret 2023.</w:t>
      </w:r>
    </w:p>
    <w:p w14:paraId="48A02C35"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Sesar 3,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43CCDA0D" w14:textId="77777777" w:rsidR="00C122C8" w:rsidRPr="00C122C8" w:rsidRDefault="00C122C8" w:rsidP="00C122C8">
      <w:pPr>
        <w:tabs>
          <w:tab w:val="left" w:pos="5386"/>
        </w:tabs>
        <w:ind w:left="567" w:hanging="567"/>
        <w:rPr>
          <w:kern w:val="2"/>
          <w14:ligatures w14:val="standardContextual"/>
        </w:rPr>
      </w:pPr>
    </w:p>
    <w:p w14:paraId="24D5F4AC"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3F183D0E"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1FEB225F" w14:textId="77777777" w:rsidR="00C122C8" w:rsidRPr="00C122C8" w:rsidRDefault="00C122C8" w:rsidP="00B03AB5">
      <w:pPr>
        <w:pStyle w:val="ATHeading3"/>
      </w:pPr>
      <w:r w:rsidRPr="00C122C8">
        <w:lastRenderedPageBreak/>
        <w:t>21. Europaparlamentets beslut av den 7 maj 2025 om ansvarsfrihet för genomförandet av budgeten för det gemensamma företaget för smarta nät och tjänster för budgetåret 2023  (2024/2031(DEC))</w:t>
      </w:r>
    </w:p>
    <w:p w14:paraId="1A9259A6" w14:textId="7C65F7D7"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7B86058D" w14:textId="70FEC16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smarta nät och tjänster för budgetåret 2023,</w:t>
      </w:r>
    </w:p>
    <w:p w14:paraId="5F8FE0AA" w14:textId="5519B8D4"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123"/>
      </w:r>
      <w:r w:rsidRPr="00C122C8">
        <w:rPr>
          <w:kern w:val="2"/>
          <w14:ligatures w14:val="standardContextual"/>
        </w:rPr>
        <w:t>,</w:t>
      </w:r>
    </w:p>
    <w:p w14:paraId="2DAAD012" w14:textId="337857D9"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124"/>
      </w:r>
      <w:r w:rsidRPr="00C122C8">
        <w:rPr>
          <w:kern w:val="2"/>
          <w14:ligatures w14:val="standardContextual"/>
        </w:rPr>
        <w:t>, som avgetts av revisionsrätten för budgetåret 2023 i enlighet med artikel 287 i fördraget om Europeiska unionens funktionssätt,</w:t>
      </w:r>
    </w:p>
    <w:p w14:paraId="0CFD151D" w14:textId="219BF2F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rekommendation av den 17 februari 2025 om att bevilja det gemensamma företaget ansvarsfrihet för genomförandet av budgeten för budgetåret 2023 (05757/2025 – C10</w:t>
      </w:r>
      <w:r w:rsidRPr="00C122C8">
        <w:rPr>
          <w:kern w:val="2"/>
          <w14:ligatures w14:val="standardContextual"/>
        </w:rPr>
        <w:noBreakHyphen/>
        <w:t>0025/2025),</w:t>
      </w:r>
    </w:p>
    <w:p w14:paraId="641FB374" w14:textId="5E23A9C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2F3452A4" w14:textId="0FD6FDB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125"/>
      </w:r>
      <w:r w:rsidRPr="00C122C8">
        <w:rPr>
          <w:kern w:val="2"/>
          <w14:ligatures w14:val="standardContextual"/>
        </w:rPr>
        <w:t>, särskilt artikel 71,</w:t>
      </w:r>
    </w:p>
    <w:p w14:paraId="05532DD5" w14:textId="04D0378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126"/>
      </w:r>
      <w:r w:rsidRPr="00C122C8">
        <w:rPr>
          <w:kern w:val="2"/>
          <w14:ligatures w14:val="standardContextual"/>
        </w:rPr>
        <w:t xml:space="preserve">, särskilt artikel 71, </w:t>
      </w:r>
    </w:p>
    <w:p w14:paraId="6311E618" w14:textId="6A8B886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127"/>
      </w:r>
      <w:r w:rsidRPr="00C122C8">
        <w:rPr>
          <w:kern w:val="2"/>
          <w14:ligatures w14:val="standardContextual"/>
        </w:rPr>
        <w:t>, särskilt artikel 26,</w:t>
      </w:r>
    </w:p>
    <w:p w14:paraId="40B51CE2" w14:textId="3957046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128"/>
      </w:r>
      <w:r w:rsidRPr="00C122C8">
        <w:rPr>
          <w:kern w:val="2"/>
          <w14:ligatures w14:val="standardContextual"/>
        </w:rPr>
        <w:t>,</w:t>
      </w:r>
    </w:p>
    <w:p w14:paraId="7F21CEBB" w14:textId="4370F225"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4F04EAD2" w14:textId="10F1054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0AB1631E" w14:textId="4BA43703"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52342DCB"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beviljar verkställande direktören för det gemensamma företaget för smarta nät och tjänster ansvarsfrihet för genomförandet av det gemensamma företagets budget för budgetåret 2023.</w:t>
      </w:r>
    </w:p>
    <w:p w14:paraId="36CDB1EB"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Europaparlamentet redovisar sina iakttagelser i resolutionen nedan.</w:t>
      </w:r>
    </w:p>
    <w:p w14:paraId="0C2F50CD"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 xml:space="preserve">Europaparlamentet uppdrar åt talmannen att översända detta beslut och den resolution som utgör en del av beslutet till verkställande direktören för det gemensamma företaget för smarta nät och tjänster, rådet, kommissionen och revisionsrätten, och att se till att de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0E3B8671"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1CA158D9" w14:textId="77777777" w:rsidR="00C122C8" w:rsidRPr="00C122C8" w:rsidRDefault="00C122C8" w:rsidP="00B03AB5">
      <w:pPr>
        <w:pStyle w:val="ATHeading3"/>
      </w:pPr>
      <w:r w:rsidRPr="00C122C8">
        <w:lastRenderedPageBreak/>
        <w:t>22. Europaparlamentets beslut av den 7 maj 2025 om avslutande av räkenskaperna för det gemensamma företaget för smarta nät och tjänster för budgetåret 2023  (2024/2031(DEC))</w:t>
      </w:r>
    </w:p>
    <w:p w14:paraId="74DA2E5B" w14:textId="34A9DF0C" w:rsidR="00C122C8" w:rsidRPr="00C122C8" w:rsidRDefault="00B03AB5" w:rsidP="00C122C8">
      <w:pPr>
        <w:spacing w:before="480" w:after="240"/>
        <w:rPr>
          <w:i/>
          <w:kern w:val="2"/>
          <w14:ligatures w14:val="standardContextual"/>
        </w:rPr>
      </w:pPr>
      <w:r w:rsidRPr="00B03AB5">
        <w:rPr>
          <w:i/>
          <w:kern w:val="2"/>
          <w14:ligatures w14:val="standardContextual"/>
        </w:rPr>
        <w:t>Europaparlamentet fattar detta beslut</w:t>
      </w:r>
    </w:p>
    <w:p w14:paraId="71315BBB" w14:textId="10EB91B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den slutliga årsredovisningen för det gemensamma företaget för smarta nät och tjänster för budgetåret 2023,</w:t>
      </w:r>
    </w:p>
    <w:p w14:paraId="0D990CBF" w14:textId="7673E29E"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revisionsrättens årsrapport om EU:s gemensamma företag för budgetåret 2023, med de gemensamma företagens svar</w:t>
      </w:r>
      <w:r w:rsidRPr="00C122C8">
        <w:rPr>
          <w:kern w:val="2"/>
          <w:vertAlign w:val="superscript"/>
          <w14:ligatures w14:val="standardContextual"/>
        </w:rPr>
        <w:footnoteReference w:id="129"/>
      </w:r>
      <w:r w:rsidRPr="00C122C8">
        <w:rPr>
          <w:kern w:val="2"/>
          <w14:ligatures w14:val="standardContextual"/>
        </w:rPr>
        <w:t>,</w:t>
      </w:r>
    </w:p>
    <w:p w14:paraId="438ABFF2" w14:textId="16E6E61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förklaringen om räkenskapernas tillförlitlighet och de underliggande transaktionernas laglighet och korrekthet</w:t>
      </w:r>
      <w:r w:rsidRPr="00C122C8">
        <w:rPr>
          <w:kern w:val="2"/>
          <w:vertAlign w:val="superscript"/>
          <w14:ligatures w14:val="standardContextual"/>
        </w:rPr>
        <w:footnoteReference w:id="130"/>
      </w:r>
      <w:r w:rsidRPr="00C122C8">
        <w:rPr>
          <w:kern w:val="2"/>
          <w14:ligatures w14:val="standardContextual"/>
        </w:rPr>
        <w:t>, som avgetts av revisionsrätten för budgetåret 2023 i enlighet med artikel 287 i fördraget om Europeiska unionens funktionssätt,</w:t>
      </w:r>
    </w:p>
    <w:p w14:paraId="3CF28879" w14:textId="7A314DD5"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 xml:space="preserve">med beaktande av rådets rekommendation av den 17 februari 2025 om att bevilja det gemensamma företaget ansvarsfrihet för genomförandet av budgeten för budgetåret 2023 (05757/2025 </w:t>
      </w:r>
      <w:r w:rsidR="00B03AB5" w:rsidRPr="00C122C8">
        <w:rPr>
          <w:kern w:val="2"/>
          <w14:ligatures w14:val="standardContextual"/>
        </w:rPr>
        <w:t>–</w:t>
      </w:r>
      <w:r w:rsidRPr="00C122C8">
        <w:rPr>
          <w:kern w:val="2"/>
          <w14:ligatures w14:val="standardContextual"/>
        </w:rPr>
        <w:t xml:space="preserve"> C10</w:t>
      </w:r>
      <w:r w:rsidRPr="00C122C8">
        <w:rPr>
          <w:kern w:val="2"/>
          <w14:ligatures w14:val="standardContextual"/>
        </w:rPr>
        <w:noBreakHyphen/>
        <w:t>0025/2025),</w:t>
      </w:r>
    </w:p>
    <w:p w14:paraId="3F6A5077" w14:textId="3A3316C2"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artikel 319 i fördraget om Europeiska unionens funktionssätt,</w:t>
      </w:r>
    </w:p>
    <w:p w14:paraId="6C9DBC25" w14:textId="0656EFDC"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122C8">
        <w:rPr>
          <w:kern w:val="2"/>
          <w:vertAlign w:val="superscript"/>
          <w14:ligatures w14:val="standardContextual"/>
        </w:rPr>
        <w:footnoteReference w:id="131"/>
      </w:r>
      <w:r w:rsidRPr="00C122C8">
        <w:rPr>
          <w:kern w:val="2"/>
          <w14:ligatures w14:val="standardContextual"/>
        </w:rPr>
        <w:t>, särskilt artikel 71,</w:t>
      </w:r>
    </w:p>
    <w:p w14:paraId="7A47CC40" w14:textId="3BA1A28A"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Europaparlamentets och rådets förordning (EU, Euratom) 2024/2509 av den 23 september 2024 om finansiella regler för unionens allmänna budget</w:t>
      </w:r>
      <w:r w:rsidRPr="00C122C8">
        <w:rPr>
          <w:kern w:val="2"/>
          <w:vertAlign w:val="superscript"/>
          <w14:ligatures w14:val="standardContextual"/>
        </w:rPr>
        <w:footnoteReference w:id="132"/>
      </w:r>
      <w:r w:rsidRPr="00C122C8">
        <w:rPr>
          <w:kern w:val="2"/>
          <w14:ligatures w14:val="standardContextual"/>
        </w:rPr>
        <w:t xml:space="preserve">, särskilt artikel 71, </w:t>
      </w:r>
    </w:p>
    <w:p w14:paraId="2F73BA59" w14:textId="720100C0"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C122C8">
        <w:rPr>
          <w:kern w:val="2"/>
          <w:vertAlign w:val="superscript"/>
          <w14:ligatures w14:val="standardContextual"/>
        </w:rPr>
        <w:footnoteReference w:id="133"/>
      </w:r>
      <w:r w:rsidRPr="00C122C8">
        <w:rPr>
          <w:kern w:val="2"/>
          <w14:ligatures w14:val="standardContextual"/>
        </w:rPr>
        <w:t>, särskilt artikel 26,</w:t>
      </w:r>
    </w:p>
    <w:p w14:paraId="05C0AEFE" w14:textId="6BEC38D1"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kommissionens delegerade förordning (EU) 2019/887 av den 13 mars 2019 om den modellbudgetförordning för offentlig-privata partnerskap som avses i artikel 71 i Europaparlamentets och rådets förordning (EU, Euratom) 2018/1046</w:t>
      </w:r>
      <w:r w:rsidRPr="00C122C8">
        <w:rPr>
          <w:kern w:val="2"/>
          <w:vertAlign w:val="superscript"/>
          <w14:ligatures w14:val="standardContextual"/>
        </w:rPr>
        <w:footnoteReference w:id="134"/>
      </w:r>
      <w:r w:rsidRPr="00C122C8">
        <w:rPr>
          <w:kern w:val="2"/>
          <w14:ligatures w14:val="standardContextual"/>
        </w:rPr>
        <w:t>,</w:t>
      </w:r>
    </w:p>
    <w:p w14:paraId="4C0604C3" w14:textId="7652FABD" w:rsidR="00C122C8" w:rsidRPr="00C122C8" w:rsidRDefault="00C122C8" w:rsidP="00C122C8">
      <w:pPr>
        <w:spacing w:after="240"/>
        <w:ind w:left="567" w:hanging="567"/>
        <w:rPr>
          <w:kern w:val="2"/>
          <w14:ligatures w14:val="standardContextual"/>
        </w:rPr>
      </w:pPr>
      <w:r>
        <w:rPr>
          <w:kern w:val="2"/>
          <w14:ligatures w14:val="standardContextual"/>
        </w:rPr>
        <w:lastRenderedPageBreak/>
        <w:t>-</w:t>
      </w:r>
      <w:r w:rsidRPr="00C122C8">
        <w:rPr>
          <w:kern w:val="2"/>
          <w14:ligatures w14:val="standardContextual"/>
        </w:rPr>
        <w:tab/>
        <w:t>med beaktande av artikel 102 och bilaga V i arbetsordningen,</w:t>
      </w:r>
    </w:p>
    <w:p w14:paraId="1DF1996A" w14:textId="48324558"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yttrandet från utskottet för transport och turism,</w:t>
      </w:r>
    </w:p>
    <w:p w14:paraId="5897328D" w14:textId="1823EB97" w:rsidR="00C122C8" w:rsidRPr="00C122C8" w:rsidRDefault="00C122C8" w:rsidP="00C122C8">
      <w:pPr>
        <w:spacing w:after="240"/>
        <w:ind w:left="567" w:hanging="567"/>
        <w:rPr>
          <w:kern w:val="2"/>
          <w14:ligatures w14:val="standardContextual"/>
        </w:rPr>
      </w:pPr>
      <w:r>
        <w:rPr>
          <w:kern w:val="2"/>
          <w14:ligatures w14:val="standardContextual"/>
        </w:rPr>
        <w:t>-</w:t>
      </w:r>
      <w:r w:rsidRPr="00C122C8">
        <w:rPr>
          <w:kern w:val="2"/>
          <w14:ligatures w14:val="standardContextual"/>
        </w:rPr>
        <w:tab/>
        <w:t>med beaktande av betänkandet från budgetkontrollutskottet (A10-0056/2025).</w:t>
      </w:r>
    </w:p>
    <w:p w14:paraId="3B7B2A28"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w:t>
      </w:r>
      <w:r w:rsidRPr="00C122C8">
        <w:rPr>
          <w:kern w:val="2"/>
          <w14:ligatures w14:val="standardContextual"/>
        </w:rPr>
        <w:tab/>
        <w:t>Europaparlamentet godkänner avslutandet av räkenskaperna för det gemensamma företaget för smarta nät och tjänster för budgetåret 2023.</w:t>
      </w:r>
    </w:p>
    <w:p w14:paraId="7F0D1FB0"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w:t>
      </w:r>
      <w:r w:rsidRPr="00C122C8">
        <w:rPr>
          <w:kern w:val="2"/>
          <w14:ligatures w14:val="standardContextual"/>
        </w:rPr>
        <w:tab/>
        <w:t xml:space="preserve">Europaparlamentet uppdrar åt talmannen att översända detta beslut till verkställande direktören för det gemensamma företaget för smarta nät och tjänster, rådet, kommissionen och revisionsrätten, och att se till att det offentliggörs i </w:t>
      </w:r>
      <w:r w:rsidRPr="00C122C8">
        <w:rPr>
          <w:i/>
          <w:iCs/>
          <w:kern w:val="2"/>
          <w14:ligatures w14:val="standardContextual"/>
        </w:rPr>
        <w:t>Europeiska unionens officiella tidning</w:t>
      </w:r>
      <w:r w:rsidRPr="00C122C8">
        <w:rPr>
          <w:kern w:val="2"/>
          <w14:ligatures w14:val="standardContextual"/>
        </w:rPr>
        <w:t xml:space="preserve"> (L-serien).</w:t>
      </w:r>
    </w:p>
    <w:p w14:paraId="35859701" w14:textId="77777777" w:rsidR="00C122C8" w:rsidRPr="00C122C8" w:rsidRDefault="00C122C8" w:rsidP="00C122C8">
      <w:pPr>
        <w:tabs>
          <w:tab w:val="left" w:pos="5386"/>
        </w:tabs>
        <w:ind w:left="567" w:hanging="567"/>
        <w:rPr>
          <w:i/>
          <w:kern w:val="2"/>
          <w14:ligatures w14:val="standardContextual"/>
        </w:rPr>
      </w:pPr>
    </w:p>
    <w:p w14:paraId="60FEC2C6" w14:textId="77777777" w:rsidR="00C122C8" w:rsidRPr="00C122C8" w:rsidRDefault="00C122C8" w:rsidP="00C122C8">
      <w:pPr>
        <w:tabs>
          <w:tab w:val="left" w:pos="5386"/>
        </w:tabs>
        <w:ind w:left="567" w:hanging="567"/>
        <w:rPr>
          <w:kern w:val="2"/>
          <w14:ligatures w14:val="standardContextual"/>
        </w:rPr>
      </w:pPr>
    </w:p>
    <w:p w14:paraId="288315B9"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47E53458"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3F160184" w14:textId="77777777" w:rsidR="00C122C8" w:rsidRPr="00C122C8" w:rsidRDefault="00C122C8" w:rsidP="00B03AB5">
      <w:pPr>
        <w:pStyle w:val="ATHeading3"/>
      </w:pPr>
      <w:r w:rsidRPr="00C122C8">
        <w:lastRenderedPageBreak/>
        <w:t>23. Europaparlamentets resolution av den 7 maj 2025 med de iakttagelser som utgör en del av besluten om ansvarsfrihet för genomförandet av budgeten för Europeiska unionens gemensamma företag för budgetåret 2023 (2024/2031(DEC))</w:t>
      </w:r>
    </w:p>
    <w:p w14:paraId="4A44EDDC" w14:textId="5993E086" w:rsidR="00C122C8" w:rsidRPr="00C122C8" w:rsidRDefault="00B03AB5" w:rsidP="00C122C8">
      <w:pPr>
        <w:spacing w:before="480" w:after="240"/>
        <w:rPr>
          <w:i/>
          <w:kern w:val="2"/>
          <w14:ligatures w14:val="standardContextual"/>
        </w:rPr>
      </w:pPr>
      <w:r w:rsidRPr="00B03AB5">
        <w:rPr>
          <w:i/>
          <w:kern w:val="2"/>
          <w14:ligatures w14:val="standardContextual"/>
        </w:rPr>
        <w:t>Europaparlamentet utfärdar denna resolution</w:t>
      </w:r>
    </w:p>
    <w:p w14:paraId="5165E0A5" w14:textId="64506F46"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för ren luftfart för budgetåret 2023,</w:t>
      </w:r>
    </w:p>
    <w:p w14:paraId="4C67FDF8" w14:textId="63925CD3"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för ett cirkulärt, biobaserat Europa för budgetåret 2023,</w:t>
      </w:r>
    </w:p>
    <w:p w14:paraId="4C86FFBD" w14:textId="78D88ECC"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för förnybar vätgas för budgetåret 2023,</w:t>
      </w:r>
    </w:p>
    <w:p w14:paraId="720DDE08" w14:textId="261A667D"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för Europas järnvägar för budgetåret 2023,</w:t>
      </w:r>
    </w:p>
    <w:p w14:paraId="190BDA16" w14:textId="254B9BBB"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för ett europeiskt högpresterande datorsystem för budgetåret 2023,</w:t>
      </w:r>
    </w:p>
    <w:p w14:paraId="76BA3729" w14:textId="43A51041"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europeiska gemensamma företaget för Iter och utveckling av fusionsenergi för budgetåret 2023,</w:t>
      </w:r>
    </w:p>
    <w:p w14:paraId="60E3106F" w14:textId="3845E65F"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för global hälsa EDCTP3 för budgetåret 2023,</w:t>
      </w:r>
    </w:p>
    <w:p w14:paraId="01FA6BF0" w14:textId="5B161730"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för initiativet för innovativ hälsa för budgetåret 2023,</w:t>
      </w:r>
    </w:p>
    <w:p w14:paraId="7F0B8218" w14:textId="68F83095"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för halvledare för budgetåret 2023,</w:t>
      </w:r>
    </w:p>
    <w:p w14:paraId="778ABD7E" w14:textId="27B57098"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Sesar 3 för budgetåret 2023,</w:t>
      </w:r>
    </w:p>
    <w:p w14:paraId="20947566" w14:textId="6D9EF113"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sitt beslut om ansvarsfrihet för genomförandet av budgeten för det gemensamma företaget för smarta nät och tjänster för budgetåret 2023,</w:t>
      </w:r>
    </w:p>
    <w:p w14:paraId="7A688FCF" w14:textId="7ECD1913"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artikel 102 och bilaga V i arbetsordningen,</w:t>
      </w:r>
    </w:p>
    <w:p w14:paraId="1861FC86" w14:textId="6B6C74CB"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yttrandet från utskottet för transport och turism,</w:t>
      </w:r>
    </w:p>
    <w:p w14:paraId="02217221" w14:textId="5DB8FC3B" w:rsidR="00C122C8" w:rsidRPr="00C122C8" w:rsidRDefault="00B03AB5" w:rsidP="00C122C8">
      <w:pPr>
        <w:spacing w:after="240"/>
        <w:ind w:left="567" w:hanging="567"/>
        <w:rPr>
          <w:kern w:val="2"/>
          <w14:ligatures w14:val="standardContextual"/>
        </w:rPr>
      </w:pPr>
      <w:r>
        <w:rPr>
          <w:kern w:val="2"/>
          <w14:ligatures w14:val="standardContextual"/>
        </w:rPr>
        <w:t>-</w:t>
      </w:r>
      <w:r w:rsidR="00C122C8" w:rsidRPr="00C122C8">
        <w:rPr>
          <w:kern w:val="2"/>
          <w14:ligatures w14:val="standardContextual"/>
        </w:rPr>
        <w:tab/>
        <w:t>med beaktande av betänkandet från budgetkontrollutskottet (A10-0056/2025), och av följande skäl:</w:t>
      </w:r>
    </w:p>
    <w:p w14:paraId="58242079"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A.</w:t>
      </w:r>
      <w:r w:rsidRPr="00C122C8">
        <w:rPr>
          <w:kern w:val="2"/>
          <w14:ligatures w14:val="standardContextual"/>
        </w:rPr>
        <w:tab/>
        <w:t xml:space="preserve">Det gemensamma företaget Sesar 3, det gemensamma företaget för ren luftfart, det gemensamma företaget för initiativet för innovativ hälsa, det gemensamma företaget för förnybar vätgas, det gemensamma företaget för ett cirkulärt, biobaserat Europa, det </w:t>
      </w:r>
      <w:r w:rsidRPr="00C122C8">
        <w:rPr>
          <w:kern w:val="2"/>
          <w14:ligatures w14:val="standardContextual"/>
        </w:rPr>
        <w:lastRenderedPageBreak/>
        <w:t>gemensamma företaget för Europas järnvägar, det gemensamma företaget för smarta nät och tjänster och det gemensamma företaget för global hälsa EDCTP3 inrättades genom rådets förordning (EU) 2021/2085 </w:t>
      </w:r>
      <w:r w:rsidRPr="00C122C8">
        <w:rPr>
          <w:kern w:val="2"/>
          <w:vertAlign w:val="superscript"/>
          <w14:ligatures w14:val="standardContextual"/>
        </w:rPr>
        <w:footnoteReference w:id="135"/>
      </w:r>
      <w:r w:rsidRPr="00C122C8">
        <w:rPr>
          <w:kern w:val="2"/>
          <w14:ligatures w14:val="standardContextual"/>
        </w:rPr>
        <w:t xml:space="preserve"> om bildande av gemensamma företag inom ramen för Horisont Europa och om upphävande av förordningarna (EG) nr 219/2007, (EU) nr 557/2014, (EU) nr 558/2014, (EU) nr 559/2014, (EU) nr 560/2014, (EU) nr 561/2014 och (EU) nr 642/2014, den senare kallad </w:t>
      </w:r>
      <w:r w:rsidRPr="00C122C8">
        <w:rPr>
          <w:i/>
          <w:iCs/>
          <w:kern w:val="2"/>
          <w14:ligatures w14:val="standardContextual"/>
        </w:rPr>
        <w:t>den gemensamma grundläggande rättsakten</w:t>
      </w:r>
      <w:r w:rsidRPr="00C122C8">
        <w:rPr>
          <w:kern w:val="2"/>
          <w14:ligatures w14:val="standardContextual"/>
        </w:rPr>
        <w:t>.</w:t>
      </w:r>
    </w:p>
    <w:p w14:paraId="7CFE9C8B"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B.</w:t>
      </w:r>
      <w:r w:rsidRPr="00C122C8">
        <w:rPr>
          <w:kern w:val="2"/>
          <w14:ligatures w14:val="standardContextual"/>
        </w:rPr>
        <w:tab/>
        <w:t>Det gemensamma företaget för viktig digital teknik inrättades genom förordning (EU) 2021/2085. Det gemensamma företaget för viktig digital teknik omvandlades till det gemensamma företaget för halvledare i juli 2023 i enlighet med rådets förordning (EU) 2023/1782 </w:t>
      </w:r>
      <w:r w:rsidRPr="00C122C8">
        <w:rPr>
          <w:kern w:val="2"/>
          <w:vertAlign w:val="superscript"/>
          <w14:ligatures w14:val="standardContextual"/>
        </w:rPr>
        <w:footnoteReference w:id="136"/>
      </w:r>
      <w:r w:rsidRPr="00C122C8">
        <w:rPr>
          <w:kern w:val="2"/>
          <w14:ligatures w14:val="standardContextual"/>
        </w:rPr>
        <w:t>.</w:t>
      </w:r>
    </w:p>
    <w:p w14:paraId="4EC8887E"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C.</w:t>
      </w:r>
      <w:r w:rsidRPr="00C122C8">
        <w:rPr>
          <w:kern w:val="2"/>
          <w14:ligatures w14:val="standardContextual"/>
        </w:rPr>
        <w:tab/>
        <w:t>Det europeiska gemensamma företaget för Iter och utveckling av fusionsenergi inrättades i april 2007 genom rådets beslut 2007/198/Euratom </w:t>
      </w:r>
      <w:r w:rsidRPr="00C122C8">
        <w:rPr>
          <w:kern w:val="2"/>
          <w:vertAlign w:val="superscript"/>
          <w14:ligatures w14:val="standardContextual"/>
        </w:rPr>
        <w:footnoteReference w:id="137"/>
      </w:r>
      <w:r w:rsidRPr="00C122C8">
        <w:rPr>
          <w:kern w:val="2"/>
          <w14:ligatures w14:val="standardContextual"/>
        </w:rPr>
        <w:t>.</w:t>
      </w:r>
    </w:p>
    <w:p w14:paraId="7E291752"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D.</w:t>
      </w:r>
      <w:r w:rsidRPr="00C122C8">
        <w:rPr>
          <w:kern w:val="2"/>
          <w14:ligatures w14:val="standardContextual"/>
        </w:rPr>
        <w:tab/>
        <w:t>Det gemensamma företaget för ett europeiskt högpresterande datorsystem inrättades genom rådets förordning (EU) 2021/1173 </w:t>
      </w:r>
      <w:r w:rsidRPr="00C122C8">
        <w:rPr>
          <w:kern w:val="2"/>
          <w:vertAlign w:val="superscript"/>
          <w14:ligatures w14:val="standardContextual"/>
        </w:rPr>
        <w:footnoteReference w:id="138"/>
      </w:r>
      <w:r w:rsidRPr="00C122C8">
        <w:rPr>
          <w:kern w:val="2"/>
          <w14:ligatures w14:val="standardContextual"/>
        </w:rPr>
        <w:t>.</w:t>
      </w:r>
    </w:p>
    <w:p w14:paraId="0970A4EC" w14:textId="0480E564"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E.</w:t>
      </w:r>
      <w:r w:rsidRPr="00C122C8">
        <w:rPr>
          <w:kern w:val="2"/>
          <w14:ligatures w14:val="standardContextual"/>
        </w:rPr>
        <w:tab/>
        <w:t>Det gemensamma företaget Sesar 3 är ett offentlig</w:t>
      </w:r>
      <w:r>
        <w:rPr>
          <w:kern w:val="2"/>
          <w14:ligatures w14:val="standardContextual"/>
        </w:rPr>
        <w:t>-</w:t>
      </w:r>
      <w:r w:rsidRPr="00C122C8">
        <w:rPr>
          <w:kern w:val="2"/>
          <w14:ligatures w14:val="standardContextual"/>
        </w:rPr>
        <w:t>privat partnerskap för att utveckla en moderniserad europeisk flygledningstjänst (ATM) och för att genom forskning och innovation främja uppnåendet av ett digitalt europeiskt luftrum.</w:t>
      </w:r>
    </w:p>
    <w:p w14:paraId="4173963A" w14:textId="1AF24D9C"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F.</w:t>
      </w:r>
      <w:r w:rsidRPr="00C122C8">
        <w:rPr>
          <w:kern w:val="2"/>
          <w14:ligatures w14:val="standardContextual"/>
        </w:rPr>
        <w:tab/>
        <w:t>Det gemensamma företaget för ren luftfart är ett offentlig</w:t>
      </w:r>
      <w:r>
        <w:rPr>
          <w:kern w:val="2"/>
          <w14:ligatures w14:val="standardContextual"/>
        </w:rPr>
        <w:t>-</w:t>
      </w:r>
      <w:r w:rsidRPr="00C122C8">
        <w:rPr>
          <w:kern w:val="2"/>
          <w14:ligatures w14:val="standardContextual"/>
        </w:rPr>
        <w:t>privat partnerskap med inriktning på forskning och innovation med syftet att omvandla luftfarten mot en hållbar och klimatneutral framtid.</w:t>
      </w:r>
    </w:p>
    <w:p w14:paraId="0A56F428" w14:textId="51261200"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G.</w:t>
      </w:r>
      <w:r w:rsidRPr="00C122C8">
        <w:rPr>
          <w:kern w:val="2"/>
          <w14:ligatures w14:val="standardContextual"/>
        </w:rPr>
        <w:tab/>
        <w:t>Det gemensamma företaget för initiativet för innovativ hälsa är ett offentlig</w:t>
      </w:r>
      <w:r>
        <w:rPr>
          <w:kern w:val="2"/>
          <w14:ligatures w14:val="standardContextual"/>
        </w:rPr>
        <w:t>-</w:t>
      </w:r>
      <w:r w:rsidRPr="00C122C8">
        <w:rPr>
          <w:kern w:val="2"/>
          <w14:ligatures w14:val="standardContextual"/>
        </w:rPr>
        <w:t>privat partnerskap med inriktning på tvärvetenskaplig, hållbar och patientcentrerad forskning och innovation på hälsoområdet.</w:t>
      </w:r>
    </w:p>
    <w:p w14:paraId="44E16824" w14:textId="18E28DC5"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H.</w:t>
      </w:r>
      <w:r w:rsidRPr="00C122C8">
        <w:rPr>
          <w:kern w:val="2"/>
          <w14:ligatures w14:val="standardContextual"/>
        </w:rPr>
        <w:tab/>
        <w:t>Det gemensamma företaget för förnybar vätgas är ett offentlig</w:t>
      </w:r>
      <w:r>
        <w:rPr>
          <w:kern w:val="2"/>
          <w14:ligatures w14:val="standardContextual"/>
        </w:rPr>
        <w:t>-</w:t>
      </w:r>
      <w:r w:rsidRPr="00C122C8">
        <w:rPr>
          <w:kern w:val="2"/>
          <w14:ligatures w14:val="standardContextual"/>
        </w:rPr>
        <w:t>privat partnerskap för forskning och innovation inom vätgas- och bränslecellsteknik.</w:t>
      </w:r>
    </w:p>
    <w:p w14:paraId="1664FD1B" w14:textId="3DF7349B" w:rsidR="00C122C8" w:rsidRPr="00C122C8" w:rsidRDefault="00C122C8" w:rsidP="00C122C8">
      <w:pPr>
        <w:spacing w:after="240"/>
        <w:ind w:left="567" w:hanging="567"/>
        <w:rPr>
          <w:kern w:val="2"/>
          <w:szCs w:val="24"/>
          <w14:ligatures w14:val="standardContextual"/>
        </w:rPr>
      </w:pPr>
      <w:r w:rsidRPr="00C122C8">
        <w:rPr>
          <w:kern w:val="2"/>
          <w14:ligatures w14:val="standardContextual"/>
        </w:rPr>
        <w:lastRenderedPageBreak/>
        <w:t>I.</w:t>
      </w:r>
      <w:r w:rsidRPr="00C122C8">
        <w:rPr>
          <w:kern w:val="2"/>
          <w14:ligatures w14:val="standardContextual"/>
        </w:rPr>
        <w:tab/>
        <w:t>Det gemensamma företaget för halvledare är ett offentlig</w:t>
      </w:r>
      <w:r>
        <w:rPr>
          <w:kern w:val="2"/>
          <w14:ligatures w14:val="standardContextual"/>
        </w:rPr>
        <w:t>-</w:t>
      </w:r>
      <w:r w:rsidRPr="00C122C8">
        <w:rPr>
          <w:kern w:val="2"/>
          <w14:ligatures w14:val="standardContextual"/>
        </w:rPr>
        <w:t>privat partnerskap med inriktning på forskning och innovation inom viktig digital teknik som är avgörande för att säkra Europas ledande konkurrenskraft inom den digitala ekonomin, särskilt inom sektorn för elektroniska komponenter och system.</w:t>
      </w:r>
    </w:p>
    <w:p w14:paraId="3B4EA7FC" w14:textId="476DB24B"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J.</w:t>
      </w:r>
      <w:r w:rsidRPr="00C122C8">
        <w:rPr>
          <w:kern w:val="2"/>
          <w14:ligatures w14:val="standardContextual"/>
        </w:rPr>
        <w:tab/>
        <w:t>Det gemensamma företaget för ett cirkulärt, biobaserat Europa är ett offentlig</w:t>
      </w:r>
      <w:r>
        <w:rPr>
          <w:kern w:val="2"/>
          <w14:ligatures w14:val="standardContextual"/>
        </w:rPr>
        <w:t>-</w:t>
      </w:r>
      <w:r w:rsidRPr="00C122C8">
        <w:rPr>
          <w:kern w:val="2"/>
          <w14:ligatures w14:val="standardContextual"/>
        </w:rPr>
        <w:t>privat partnerskap med inriktning på forskning och innovation för en hållbar och konkurrenskraftig cirkulär sektor för biobaserade industrier.</w:t>
      </w:r>
    </w:p>
    <w:p w14:paraId="538F4AB5" w14:textId="67D902BD"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K.</w:t>
      </w:r>
      <w:r w:rsidRPr="00C122C8">
        <w:rPr>
          <w:kern w:val="2"/>
          <w14:ligatures w14:val="standardContextual"/>
        </w:rPr>
        <w:tab/>
        <w:t>Det gemensamma företaget för Europas järnvägar är ett offentlig</w:t>
      </w:r>
      <w:r>
        <w:rPr>
          <w:kern w:val="2"/>
          <w14:ligatures w14:val="standardContextual"/>
        </w:rPr>
        <w:t>-</w:t>
      </w:r>
      <w:r w:rsidRPr="00C122C8">
        <w:rPr>
          <w:kern w:val="2"/>
          <w14:ligatures w14:val="standardContextual"/>
        </w:rPr>
        <w:t>privat partnerskap inom järnvägssektorn.</w:t>
      </w:r>
    </w:p>
    <w:p w14:paraId="3B31EBA1" w14:textId="5423268A"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L.</w:t>
      </w:r>
      <w:r w:rsidRPr="00C122C8">
        <w:rPr>
          <w:kern w:val="2"/>
          <w14:ligatures w14:val="standardContextual"/>
        </w:rPr>
        <w:tab/>
        <w:t>Det gemensamma företaget för ett europeiskt högpresterande datorsystem är ett offentlig</w:t>
      </w:r>
      <w:r>
        <w:rPr>
          <w:kern w:val="2"/>
          <w14:ligatures w14:val="standardContextual"/>
        </w:rPr>
        <w:t>-</w:t>
      </w:r>
      <w:r w:rsidRPr="00C122C8">
        <w:rPr>
          <w:kern w:val="2"/>
          <w14:ligatures w14:val="standardContextual"/>
        </w:rPr>
        <w:t>privat partnerskap som möjliggör sammanslagning av resurser för utveckling och utbyggnad av ett högpresterande datorsystem i Europa.</w:t>
      </w:r>
    </w:p>
    <w:p w14:paraId="05294C38" w14:textId="50CE3810"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M.</w:t>
      </w:r>
      <w:r w:rsidRPr="00C122C8">
        <w:rPr>
          <w:kern w:val="2"/>
          <w14:ligatures w14:val="standardContextual"/>
        </w:rPr>
        <w:tab/>
        <w:t>Det gemensamma företaget för smarta nät och tjänster är ett offentlig</w:t>
      </w:r>
      <w:r>
        <w:rPr>
          <w:kern w:val="2"/>
          <w14:ligatures w14:val="standardContextual"/>
        </w:rPr>
        <w:t>-</w:t>
      </w:r>
      <w:r w:rsidRPr="00C122C8">
        <w:rPr>
          <w:kern w:val="2"/>
          <w14:ligatures w14:val="standardContextual"/>
        </w:rPr>
        <w:t>privat partnerskap med inriktning på att stärka Europas tekniska ledarskap och dess strategiska anpassning till telekommunikationsindustrin och främja införandet av digitala lösningar.</w:t>
      </w:r>
    </w:p>
    <w:p w14:paraId="1C5DB3D2" w14:textId="2D8AC4FC"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N.</w:t>
      </w:r>
      <w:r w:rsidRPr="00C122C8">
        <w:rPr>
          <w:kern w:val="2"/>
          <w14:ligatures w14:val="standardContextual"/>
        </w:rPr>
        <w:tab/>
        <w:t>Det gemensamma företaget för global hälsa EDCTP3 är ett offentlig</w:t>
      </w:r>
      <w:r>
        <w:rPr>
          <w:kern w:val="2"/>
          <w14:ligatures w14:val="standardContextual"/>
        </w:rPr>
        <w:t>-</w:t>
      </w:r>
      <w:r w:rsidRPr="00C122C8">
        <w:rPr>
          <w:kern w:val="2"/>
          <w14:ligatures w14:val="standardContextual"/>
        </w:rPr>
        <w:t>privat partnerskap med inriktning på att minska den socioekonomiska bördan av infektionssjukdomar i Afrika söder om Sahara tack vare nya och förbättrade hälsotekniska tillämpningar samt att förbättra beredskapen för och insatserna mot infektionssjukdomar för globala ändamål.</w:t>
      </w:r>
    </w:p>
    <w:p w14:paraId="51C850F6"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O.</w:t>
      </w:r>
      <w:r w:rsidRPr="00C122C8">
        <w:rPr>
          <w:kern w:val="2"/>
          <w14:ligatures w14:val="standardContextual"/>
        </w:rPr>
        <w:tab/>
        <w:t>Målen för det europeiska gemensamma företaget för Iter och utveckling av fusionsenergi är att förmedla unionens bidrag till det internationella Iterprojektet för fusionsenergi, att genomföra avtalet om verksamhet enligt strategin med bredare inriktning mellan Europa och Japan samt att förbereda uppförandet av en fusionsreaktor för demonstrationsändamål och tillhörande anläggningar.</w:t>
      </w:r>
    </w:p>
    <w:p w14:paraId="0CD6C6C3" w14:textId="77777777" w:rsidR="00C122C8" w:rsidRPr="00C122C8" w:rsidRDefault="00C122C8" w:rsidP="00C122C8">
      <w:pPr>
        <w:spacing w:after="240"/>
        <w:ind w:left="567" w:hanging="567"/>
        <w:rPr>
          <w:b/>
          <w:iCs/>
          <w:kern w:val="2"/>
          <w14:ligatures w14:val="standardContextual"/>
        </w:rPr>
      </w:pPr>
      <w:r w:rsidRPr="00C122C8">
        <w:rPr>
          <w:b/>
          <w:iCs/>
          <w:kern w:val="2"/>
          <w14:ligatures w14:val="standardContextual"/>
        </w:rPr>
        <w:t>Allmänt</w:t>
      </w:r>
    </w:p>
    <w:p w14:paraId="2693CEB4" w14:textId="77777777" w:rsidR="00C122C8" w:rsidRPr="00C122C8" w:rsidRDefault="00C122C8" w:rsidP="00C122C8">
      <w:pPr>
        <w:spacing w:after="240"/>
        <w:ind w:left="567" w:hanging="567"/>
        <w:rPr>
          <w:kern w:val="2"/>
          <w:szCs w:val="24"/>
          <w:lang w:eastAsia="en-US"/>
          <w14:ligatures w14:val="standardContextual"/>
        </w:rPr>
      </w:pPr>
      <w:r w:rsidRPr="00C122C8">
        <w:rPr>
          <w:kern w:val="2"/>
          <w:szCs w:val="24"/>
          <w:lang w:eastAsia="en-US"/>
          <w14:ligatures w14:val="standardContextual"/>
        </w:rPr>
        <w:t>1.</w:t>
      </w:r>
      <w:r w:rsidRPr="00C122C8">
        <w:rPr>
          <w:kern w:val="2"/>
          <w:szCs w:val="24"/>
          <w:lang w:eastAsia="en-US"/>
          <w14:ligatures w14:val="standardContextual"/>
        </w:rPr>
        <w:tab/>
        <w:t>Europaparlamentet noterar att de gemensamma företagens roll bör vara att stödja forsknings- och innovationsverksamhet på områdena transport, energi, hälsa, cirkulära biobaserade industrier, viktiga elektroniska komponenter, superdatorer och nätverkssystem. Parlamentet uppmanar de gemensamma företagen att främja omvandlingen av vetenskaplig kunskap till marknadsmässiga innovationer och att inrätta mekanismer för att se till att deras verksamhet leder till ökad europeisk konkurrenskraft i världen.</w:t>
      </w:r>
    </w:p>
    <w:p w14:paraId="0F6D9B25"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2.</w:t>
      </w:r>
      <w:r w:rsidRPr="00C122C8">
        <w:rPr>
          <w:kern w:val="2"/>
          <w14:ligatures w14:val="standardContextual"/>
        </w:rPr>
        <w:tab/>
        <w:t>Europaparlamentet understryker att enligt den nuvarande fleråriga budgetramen förväntas de gemensamma företagen enligt revisionsrätten få en kombinerad budget på 17 miljarder EUR från unionens kontantbidrag och mobilisera 21,1 miljarder EUR i bidrag från andra medlemmar.</w:t>
      </w:r>
    </w:p>
    <w:p w14:paraId="7AE5A66A" w14:textId="70D3705E" w:rsidR="00C122C8" w:rsidRPr="00C122C8" w:rsidRDefault="00C122C8" w:rsidP="00C122C8">
      <w:pPr>
        <w:spacing w:after="240"/>
        <w:ind w:left="567" w:hanging="567"/>
        <w:rPr>
          <w:kern w:val="2"/>
          <w14:ligatures w14:val="standardContextual"/>
        </w:rPr>
      </w:pPr>
      <w:r w:rsidRPr="00C122C8">
        <w:rPr>
          <w:kern w:val="2"/>
          <w14:ligatures w14:val="standardContextual"/>
        </w:rPr>
        <w:t>3.</w:t>
      </w:r>
      <w:r w:rsidRPr="00C122C8">
        <w:rPr>
          <w:kern w:val="2"/>
          <w14:ligatures w14:val="standardContextual"/>
        </w:rPr>
        <w:tab/>
        <w:t>Europaparlamentet noterar att karaktären hos gemensamma företag bygger på offentlig</w:t>
      </w:r>
      <w:r>
        <w:rPr>
          <w:kern w:val="2"/>
          <w14:ligatures w14:val="standardContextual"/>
        </w:rPr>
        <w:t>-</w:t>
      </w:r>
      <w:r w:rsidRPr="00C122C8">
        <w:rPr>
          <w:kern w:val="2"/>
          <w14:ligatures w14:val="standardContextual"/>
        </w:rPr>
        <w:t xml:space="preserve">privata partnerskap som styr investeringar och utnyttjar offentliga och privata medel för att finansiera gemensamma mål. Parlamentet påminner i detta avseende om att bidragen från privata medlemmar måste uppfylla fastställda mål för att sådana partnerskap ska </w:t>
      </w:r>
      <w:r w:rsidRPr="00C122C8">
        <w:rPr>
          <w:kern w:val="2"/>
          <w14:ligatures w14:val="standardContextual"/>
        </w:rPr>
        <w:lastRenderedPageBreak/>
        <w:t>förbli ömsesidigt fördelaktiga. Parlamentet uppmanar gemensamma företag som tillåter naturabidrag till kompletterande verksamhet att om möjligt undvika ett alltför stort beroende av sådana bidrag för att uppfylla fastställda mål.</w:t>
      </w:r>
    </w:p>
    <w:p w14:paraId="572E37C1"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4.</w:t>
      </w:r>
      <w:r w:rsidRPr="00C122C8">
        <w:rPr>
          <w:kern w:val="2"/>
          <w14:ligatures w14:val="standardContextual"/>
        </w:rPr>
        <w:tab/>
        <w:t>Europaparlamentet erkänner de gemensamma företagens betydande bidrag till att föra forskning, innovation och teknisk utveckling framåt inom olika sektorer, däribland luftfart, järnväg och flygledningstjänst, som en integrerad del av förutsättningarna för att uppnå unionens strategiska mål om hållbarhet, digital omställning och konkurrenskraft.</w:t>
      </w:r>
    </w:p>
    <w:p w14:paraId="231DBBB6"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5.</w:t>
      </w:r>
      <w:r w:rsidRPr="00C122C8">
        <w:rPr>
          <w:kern w:val="2"/>
          <w14:ligatures w14:val="standardContextual"/>
        </w:rPr>
        <w:tab/>
        <w:t>Europaparlamentet välkomnar revisionsrättens årsrapport om Europeiska unionens gemensamma företag för budgetåret 2023, och understryker att revisionsrättens uppdrag är avgörande för ett sunt genomförande av unionens budget och för tillsynen över budgeten.</w:t>
      </w:r>
    </w:p>
    <w:p w14:paraId="46B6EB5D"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6.</w:t>
      </w:r>
      <w:r w:rsidRPr="00C122C8">
        <w:rPr>
          <w:kern w:val="2"/>
          <w14:ligatures w14:val="standardContextual"/>
        </w:rPr>
        <w:tab/>
        <w:t>Europaparlamentet välkomnar att revisionsrätten har försett den ansvarsfrihetsbeviljande myndigheten med en årsrapport om EU:s gemensamma företag som innehåller en särskild revisionsförklaring för vart och ett av de gemensamma företagen när det gäller deras årsredovisning och underliggande transaktioner. Parlamentet delar uppfattningen att den institutionella ramen för gemensamma företag, utöver de rättsliga bestämmelser som är bindande för revisionsrätten, gör att dessa företag är värda särskild uppmärksamhet från revisionsrättens sida. Parlamentet vill se en fortsatt tillämpning av denna goda praxis. Parlamentet välkomnar de gemensamma företagens goda samarbete med revisionsrätten under utarbetandet av revisionsrättens rapport, och välkomnar de förklaringar som lämnats till vissa av de iakttagelser och påpekanden som gjorts i de gemensamma företagens svar.</w:t>
      </w:r>
    </w:p>
    <w:p w14:paraId="72703C1A"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7.</w:t>
      </w:r>
      <w:r w:rsidRPr="00C122C8">
        <w:rPr>
          <w:kern w:val="2"/>
          <w14:ligatures w14:val="standardContextual"/>
        </w:rPr>
        <w:tab/>
        <w:t>Europaparlamentet välkomnar det faktum att två gemensamma företag blev finansiellt självbestämmande under budgetåret 2023, dvs. det gemensamma företaget för smarta nät och tjänster den 24 oktober 2023 och det gemensamma företaget för global hälsa EDCTP3 den 23 november 2023. Parlamentet noterar vidare att revisionsrätten till följd av detta granskade dessa två gemensamma företag för första gången, utöver de nio gemensamma företag som revisionsrätten redan hade granskat för budgetåret 2022.</w:t>
      </w:r>
    </w:p>
    <w:p w14:paraId="56BEB22C"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8.</w:t>
      </w:r>
      <w:r w:rsidRPr="00C122C8">
        <w:rPr>
          <w:kern w:val="2"/>
          <w14:ligatures w14:val="standardContextual"/>
        </w:rPr>
        <w:tab/>
        <w:t>Europaparlamentet betonar att det är medvetet om att vissa gemensamma företag under budgetåret 2023 påverkades avsevärt av viktiga händelser med en inverkan som sannolikt kommer att förändra deras resultat. Parlamentet betonar närmare bestämt följande:</w:t>
      </w:r>
    </w:p>
    <w:p w14:paraId="6CC61E38"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a)</w:t>
      </w:r>
      <w:r w:rsidRPr="00C122C8">
        <w:rPr>
          <w:kern w:val="2"/>
          <w14:ligatures w14:val="standardContextual"/>
        </w:rPr>
        <w:tab/>
        <w:t>Rysslands anfallskrig mot Ukraina har haft en betydande inverkan på unionens ekonomi och på leveranskedjorna, vilket i hög grad påverkat verksamheten i vissa gemensamma företag.</w:t>
      </w:r>
    </w:p>
    <w:p w14:paraId="07823B31"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b)</w:t>
      </w:r>
      <w:r w:rsidRPr="00C122C8">
        <w:rPr>
          <w:kern w:val="2"/>
          <w14:ligatures w14:val="standardContextual"/>
        </w:rPr>
        <w:tab/>
        <w:t>Efterverkningarna av covid-19-pandemin är fortfarande kännbara i hela Europa och utgjorde under budgetåret 2023 fortfarande en massiv chock för den ekonomiska och administrativa verksamheten.</w:t>
      </w:r>
    </w:p>
    <w:p w14:paraId="2A256932" w14:textId="77777777" w:rsidR="00C122C8" w:rsidRPr="00C122C8" w:rsidRDefault="00C122C8" w:rsidP="00C122C8">
      <w:pPr>
        <w:spacing w:after="240"/>
        <w:ind w:left="1134" w:hanging="567"/>
        <w:rPr>
          <w:kern w:val="2"/>
          <w14:ligatures w14:val="standardContextual"/>
        </w:rPr>
      </w:pPr>
      <w:r w:rsidRPr="00C122C8">
        <w:rPr>
          <w:kern w:val="2"/>
          <w14:ligatures w14:val="standardContextual"/>
        </w:rPr>
        <w:t>c)</w:t>
      </w:r>
      <w:r w:rsidRPr="00C122C8">
        <w:rPr>
          <w:kern w:val="2"/>
          <w14:ligatures w14:val="standardContextual"/>
        </w:rPr>
        <w:tab/>
        <w:t>De höga inflationsnivåer som orsakades av de två ovannämnda omständigheterna påverkade anskaffnings- och leveranstiderna för de gemensamma företagen.</w:t>
      </w:r>
    </w:p>
    <w:p w14:paraId="784164F3" w14:textId="35B50160" w:rsidR="00C122C8" w:rsidRPr="00C122C8" w:rsidRDefault="00C122C8" w:rsidP="00C122C8">
      <w:pPr>
        <w:spacing w:after="240"/>
        <w:ind w:left="567" w:hanging="567"/>
        <w:rPr>
          <w:kern w:val="2"/>
          <w14:ligatures w14:val="standardContextual"/>
        </w:rPr>
      </w:pPr>
      <w:r w:rsidRPr="00C122C8">
        <w:rPr>
          <w:kern w:val="2"/>
          <w14:ligatures w14:val="standardContextual"/>
        </w:rPr>
        <w:lastRenderedPageBreak/>
        <w:t>9.</w:t>
      </w:r>
      <w:r w:rsidRPr="00C122C8">
        <w:rPr>
          <w:kern w:val="2"/>
          <w14:ligatures w14:val="standardContextual"/>
        </w:rPr>
        <w:tab/>
        <w:t>Europaparlamentet inser fördelarna med gemensamma företag, vikten av offentlig</w:t>
      </w:r>
      <w:r>
        <w:rPr>
          <w:kern w:val="2"/>
          <w14:ligatures w14:val="standardContextual"/>
        </w:rPr>
        <w:t>-</w:t>
      </w:r>
      <w:r w:rsidRPr="00C122C8">
        <w:rPr>
          <w:kern w:val="2"/>
          <w14:ligatures w14:val="standardContextual"/>
        </w:rPr>
        <w:t>privat samarbete för att gynna innovation och främja forskning och utveckling samt de ekonomiska fördelarna med partnerskapen. Parlamentet noterar att de gemensamma företagen, genom att slå samman resurser och expertis från båda sektorerna, både offentliga och privata, förmår möta utmaningar mer effektivt. Parlamentet understryker vikten av transparens, ansvarsskyldighet och effektiv användning av offentliga medel från de gemensamma företagens sida.</w:t>
      </w:r>
    </w:p>
    <w:p w14:paraId="7FCAAA8C" w14:textId="0AA1D53A" w:rsidR="00C122C8" w:rsidRPr="00C122C8" w:rsidRDefault="00C122C8" w:rsidP="00C122C8">
      <w:pPr>
        <w:spacing w:after="240"/>
        <w:ind w:left="567" w:hanging="567"/>
        <w:rPr>
          <w:kern w:val="2"/>
          <w14:ligatures w14:val="standardContextual"/>
        </w:rPr>
      </w:pPr>
      <w:r w:rsidRPr="00C122C8">
        <w:rPr>
          <w:kern w:val="2"/>
          <w14:ligatures w14:val="standardContextual"/>
        </w:rPr>
        <w:t>10.</w:t>
      </w:r>
      <w:r w:rsidRPr="00C122C8">
        <w:rPr>
          <w:kern w:val="2"/>
          <w14:ligatures w14:val="standardContextual"/>
        </w:rPr>
        <w:tab/>
        <w:t xml:space="preserve">Europaparlamentet erkänner värdet av initiativ som främjar intressenternas engagemang och deltagande, såsom öppna inbjudningar att anmäla intresse och gemensamma ansökningsomgångar i de gemensamma företagen, som avgörande för att utnyttja kollektiv expertis och resurser. Parlamentet uppmärksammar särskilt den gemensamma ansökningsomgång som utlysts av det gemensamma företaget för Europas järnvägar och det gemensamma företaget Sesar 3 </w:t>
      </w:r>
      <w:r>
        <w:rPr>
          <w:kern w:val="2"/>
          <w14:ligatures w14:val="standardContextual"/>
        </w:rPr>
        <w:t>-</w:t>
      </w:r>
      <w:r w:rsidRPr="00C122C8">
        <w:rPr>
          <w:kern w:val="2"/>
          <w14:ligatures w14:val="standardContextual"/>
        </w:rPr>
        <w:t xml:space="preserve"> den första gemensamma ansökningsomgången någonsin från gemensamma företag i syfte att utveckla ett integrerat luft- och järnvägsnät för ett hållbart multimodalt transportsystem.</w:t>
      </w:r>
    </w:p>
    <w:p w14:paraId="1CFDA8D5"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11.</w:t>
      </w:r>
      <w:r w:rsidRPr="00C122C8">
        <w:rPr>
          <w:kern w:val="2"/>
          <w14:ligatures w14:val="standardContextual"/>
        </w:rPr>
        <w:tab/>
        <w:t>Europaparlamentet påminner om att de gemensamma företagen måste bedriva sin verksamhet i enlighet med sund ekonomisk förvaltning och därigenom på ett ändamålsenligt sätt bidra till unionens politiska mål och till ett sunt genomförande av unionens budget. Mot bakgrund av revisionsrättens iakttagelser, som redovisas i denna resolution, är parlamentet dock bekymrat över en rad faktorer.</w:t>
      </w:r>
    </w:p>
    <w:p w14:paraId="4A42C37A" w14:textId="77777777" w:rsidR="00C122C8" w:rsidRPr="00C122C8" w:rsidRDefault="00C122C8" w:rsidP="00C122C8">
      <w:pPr>
        <w:spacing w:after="240"/>
        <w:ind w:left="567" w:hanging="567"/>
        <w:rPr>
          <w:b/>
          <w:iCs/>
          <w:kern w:val="2"/>
          <w14:ligatures w14:val="standardContextual"/>
        </w:rPr>
      </w:pPr>
      <w:r w:rsidRPr="00C122C8">
        <w:rPr>
          <w:b/>
          <w:iCs/>
          <w:kern w:val="2"/>
          <w14:ligatures w14:val="standardContextual"/>
        </w:rPr>
        <w:t>Årsredovisning</w:t>
      </w:r>
    </w:p>
    <w:p w14:paraId="7E51FFD3"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12.</w:t>
      </w:r>
      <w:r w:rsidRPr="00C122C8">
        <w:rPr>
          <w:kern w:val="2"/>
          <w14:ligatures w14:val="standardContextual"/>
        </w:rPr>
        <w:tab/>
        <w:t>Europaparlamentet noterar att revisionsrätten i sin rapport konstaterar att årsredovisningen för 2023 för de elva gemensamma företag som granskats ger en i alla väsentliga avseenden rättvisande bild av deras finansiella ställning per den 31 december 2023, av det finansiella resultatet och kassaflödena och av förändringar i nettotillgångarna för det budgetår som slutade detta datum, i enlighet med deras budgetförordningar och de redovisningsregler som antagits av kommissionens räkenskapsförare. Parlamentet noterar vidare att revisionsrätten därför avgav revisionsuttalanden utan reservation om tillförlitligheten i de gemensamma företagens årsredovisningar.</w:t>
      </w:r>
    </w:p>
    <w:p w14:paraId="2AD0400F"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13.</w:t>
      </w:r>
      <w:r w:rsidRPr="00C122C8">
        <w:rPr>
          <w:kern w:val="2"/>
          <w14:ligatures w14:val="standardContextual"/>
        </w:rPr>
        <w:tab/>
        <w:t>Europaparlamentet noterar att revisionsrätten i sin rapport konstaterar att de transaktioner som ligger till grund för årsredovisningen i alla väsentliga avseenden är lagliga och korrekta. Parlamentet noterar vidare att revisionsrätten till följd av detta har avgett revisionsuttalanden utan reservation om lagligheten och korrektheten i både de intäkter och de betalningar som ligger till grund för de gemensamma företagens räkenskaper.</w:t>
      </w:r>
    </w:p>
    <w:p w14:paraId="1236436A"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14.</w:t>
      </w:r>
      <w:r w:rsidRPr="00C122C8">
        <w:rPr>
          <w:kern w:val="2"/>
          <w14:ligatures w14:val="standardContextual"/>
        </w:rPr>
        <w:tab/>
        <w:t xml:space="preserve">Europaparlamentet noterar att revisionsrätten anser att det gemensamma företaget för smarta nät och tjänster och det gemensamma företaget för global hälsa EDCTP3 inte fick tillräcklig vägledning för utarbetandet av sina första årsredovisningar, särskilt när det gäller behovet av klarhet i åtskillnaden mellan de finansiella resurser som förvaltades av kommissionen innan de blev finansiellt självbestämmande och av de gemensamma företagen efter att de blivit finansiellt självbestämmande. Parlamentet instämmer i revisionsrättens rekommendation om åtgärder i detta avseende, enligt vilken riktlinjer för redovisning bör utarbetas på ett tydligt och begripligt sätt där man anger vilka regler som ska gälla för framläggandet av den första årsredovisningen för </w:t>
      </w:r>
      <w:r w:rsidRPr="00C122C8">
        <w:rPr>
          <w:kern w:val="2"/>
          <w14:ligatures w14:val="standardContextual"/>
        </w:rPr>
        <w:lastRenderedPageBreak/>
        <w:t>nya gemensamma företag, och att dessa riktlinjer bör innehålla instruktioner om hur man ska skilja mellan de finansiella resurser som förvaltas av kommissionen och de som förvaltas av ett gemensamt företag efter det att det blivit finansiellt självbestämmande. Parlamentet konstaterar att risken när det gäller årsredovisningarnas tillförlitlighet bedömdes vara låg för alla gemensamma företag utom för det gemensamma företaget för smarta nät och tjänster och det gemensamma företaget för global hälsa EDCTP3, för vilka risken när det gäller tillförlitligheten bedömdes vara medelhög på grund av den komplexitet som överföringen av budgetanslag och tillgångar från kommissionens ansvar till det gemensamma företagets ansvar medförde.</w:t>
      </w:r>
    </w:p>
    <w:p w14:paraId="46C4E351"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15.</w:t>
      </w:r>
      <w:r w:rsidRPr="00C122C8">
        <w:rPr>
          <w:kern w:val="2"/>
          <w14:ligatures w14:val="standardContextual"/>
        </w:rPr>
        <w:tab/>
        <w:t>Europaparlamentet noterar att årsredovisningen för det europeiska gemensamma företaget för Iter och utveckling av fusionsenergi upprättats på grundval av det grundscenario för Iterprojektet som gäller 2023, men att detta grundscenario är föremål för en pågående översyn, vars resultat sannolikt kommer att leda till betydande förändringar för det europeiska gemensamma företaget för Iter och utveckling av fusionsenergi och dess beräknade totalkostnad fram till slutförandet. Parlamentet framhåller att det berörda gemensamma företaget bör vidta alla nödvändiga åtgärder för att säkerställa att det framtida grundscenariot och dess konsekvenser för behovet av kontantbidrag från unionen till det gemensamma företaget inte skapar en ansvarsförbindelse för unionens budget. Parlamentet noterar från utfrågningen av det berörda gemensamma företaget i budgetkontrollutskottet att det vid tidpunkten för utfrågningen och enligt det berörda gemensamma företaget var för tidigt att göra en uppskattning av de finansiella konsekvenserna av denna översyn. Parlamentet är vidare oroat över de förseningar som drabbat Iterprojektet på grund av faktorer som ligger utanför det gemensamma företagets kontroll.</w:t>
      </w:r>
    </w:p>
    <w:p w14:paraId="0A5181E8"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16.</w:t>
      </w:r>
      <w:r w:rsidRPr="00C122C8">
        <w:rPr>
          <w:kern w:val="2"/>
          <w14:ligatures w14:val="standardContextual"/>
        </w:rPr>
        <w:tab/>
        <w:t>Europaparlamentet är oroat över den potentiella inverkan som omorganisationen av det europeiska gemensamma företaget för Iter och utveckling av fusionsenergi kommer att ha på dess verksamhet, särskilt instabiliteten på kort till medellång sikt och de operativa riskerna för det gemensamma företaget. Parlamentet välkomnar det berörda gemensamma företagets medvetenhet om dessa frågor och den förklaring som lämnats om dess syn på situationen. Parlamentet välkomnar den ytterligare information som lämnades under utfrågningen av det berörda gemensamma företaget i budgetkontrollutskottet, särskilt när det gäller det faktum att risken för driftskontinuiteten hittills har begränsats tack vare en stark förlitan på befintliga program och projekt. Parlamentet välkomnar den flexibilitet som den nya matrisstrukturen medför.</w:t>
      </w:r>
    </w:p>
    <w:p w14:paraId="73F14ED6"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17.</w:t>
      </w:r>
      <w:r w:rsidRPr="00C122C8">
        <w:rPr>
          <w:kern w:val="2"/>
          <w14:ligatures w14:val="standardContextual"/>
        </w:rPr>
        <w:tab/>
        <w:t>Europaparlamentet noterar att risken när det gäller lagligheten och korrektheten i intäkterna bedömdes vara låg för alla gemensamma företag.</w:t>
      </w:r>
    </w:p>
    <w:p w14:paraId="0B6A525E" w14:textId="77777777" w:rsidR="00C122C8" w:rsidRPr="00C122C8" w:rsidRDefault="00C122C8" w:rsidP="00C122C8">
      <w:pPr>
        <w:spacing w:after="240"/>
        <w:ind w:left="567" w:hanging="567"/>
        <w:rPr>
          <w:b/>
          <w:iCs/>
          <w:kern w:val="2"/>
          <w14:ligatures w14:val="standardContextual"/>
        </w:rPr>
      </w:pPr>
      <w:r w:rsidRPr="00C122C8">
        <w:rPr>
          <w:b/>
          <w:iCs/>
          <w:kern w:val="2"/>
          <w14:ligatures w14:val="standardContextual"/>
        </w:rPr>
        <w:t>Budgetförvaltning och ekonomisk förvaltning</w:t>
      </w:r>
    </w:p>
    <w:p w14:paraId="08E6A5E9"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18.</w:t>
      </w:r>
      <w:r w:rsidRPr="00C122C8">
        <w:rPr>
          <w:kern w:val="2"/>
          <w14:ligatures w14:val="standardContextual"/>
        </w:rPr>
        <w:tab/>
        <w:t>Europaparlamentet konstaterar att den totala tillgängliga budgeten 2023 för de elva gemensamma företag som revisionsrätten har granskat uppgick till 4,25 miljarder EUR i åtagandebemyndiganden och 3,87 miljarder EUR i betalningsbemyndiganden enligt revisionsrätten, som bedömer att den totala tillgängliga budgeten omfattar outnyttjade anslag från tidigare år, som de gemensamma företagen förde in på nytt i budgeten för innevarande år och inkomster avsatta för särskilda ändamål och omfördelningar till nästa år. Parlamentet noterar närmare bestämt följande:</w:t>
      </w:r>
    </w:p>
    <w:p w14:paraId="1377933F"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lastRenderedPageBreak/>
        <w:t>a)</w:t>
      </w:r>
      <w:r w:rsidRPr="00C122C8">
        <w:rPr>
          <w:kern w:val="2"/>
          <w14:ligatures w14:val="standardContextual"/>
        </w:rPr>
        <w:tab/>
        <w:t>Den totala tillgängliga budgeten 2023 för det gemensamma företaget Sesar 3 uppgick till 111,2 miljoner EUR i åtagandebemyndiganden (jämfört med 158,8 miljoner EUR 2022) och 241,5 miljoner EUR i betalningsbemyndiganden (jämfört med 146,9 miljoner EUR 2022). Parlamentet förstår vidare att enligt det gemensamma företagets rapport om budgetförvaltningen och den ekonomiska förvaltningen uppgick företagets totala budgetgenomförandegrad för budgetåret 2023 till 92 % för åtagandebemyndiganden och 81 % för betalningsbemyndiganden, vilket tyder på att det inte fanns några allvarliga problem med takten i genomförandet av budgeten. Parlamentet betonar dock den låga genomförandegraden för betalningsbemyndiganden för infrastrukturutgifter och driftsutgifter, som uppgick till 55 %. Parlamentet noterar det gemensamma företagets förklaring, och uppmanar generellt det gemensamma företaget att säkerställa en sund genomförandetakt för varje avsnitt i sin budget.</w:t>
      </w:r>
    </w:p>
    <w:p w14:paraId="6D5882D1"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b)</w:t>
      </w:r>
      <w:r w:rsidRPr="00C122C8">
        <w:rPr>
          <w:kern w:val="2"/>
          <w14:ligatures w14:val="standardContextual"/>
        </w:rPr>
        <w:tab/>
        <w:t>Den totala tillgängliga budgeten 2023 för det gemensamma företaget för ren luftfart uppgick till 269 miljoner EUR i åtagandebemyndiganden (jämfört med 411,2 miljoner EUR 2022) och 486,4 miljoner EUR i betalningsbemyndiganden (jämfört med 415,3 miljoner EUR 2022). Parlamentet förstår vidare att enligt det gemensamma företagets rapport om budgetförvaltningen och den ekonomiska förvaltningen uppgick företagets totala budgetgenomförandegrad för budgetåret 2023 till 98,58 % för åtagandebemyndiganden och 51,18 % för betalningsbemyndiganden, vilket tyder på att det fanns allvarliga problem med takten i genomförandet av budgeten. Parlamentet noterar särskilt att genomförandegraden för de två avdelningarna för driftsutgifter ligger på 80,50 % respektive 81,11 % för betalningsbemyndiganden. Parlamentet betonar vidare den låga genomförandegraden för betalningsbemyndiganden för infrastrukturutgifter, som uppgick till 60,52 %. Parlamentet beklagar djupt det betydande belopp som anslagits till avdelning 5 i dess budget för outnyttjade betalningsbemyndiganden på 177 miljoner EUR, som har en teknisk genomförandegrad på 0 %. Parlamentet noterar det gemensamma företagets förklaring, och uppmanar generellt det gemensamma företaget att säkerställa en sund genomförandetakt för varje avsnitt i sin budget.</w:t>
      </w:r>
    </w:p>
    <w:p w14:paraId="779F8F32"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c)</w:t>
      </w:r>
      <w:r w:rsidRPr="00C122C8">
        <w:rPr>
          <w:kern w:val="2"/>
          <w14:ligatures w14:val="standardContextual"/>
        </w:rPr>
        <w:tab/>
        <w:t>Den totala tillgängliga budgeten 2023 för det gemensamma företaget för initiativet för innovativ hälsa uppgick till 223,2 miljoner EUR i åtagandebemyndiganden (jämfört med 272,4 miljoner EUR 2022) och 225,9 miljoner EUR i betalningsbemyndiganden (jämfört med 174,8 miljoner EUR 2022). Parlamentet förstår vidare att enligt det gemensamma företagets rapport om budgetförvaltningen och den ekonomiska förvaltningen uppgick företagets totala budgetgenomförandegrad för budgetåret 2023 till 92,65 % för åtagandebemyndiganden och 90,29 % för betalningsbemyndiganden, vilket tyder på att det inte fanns några allvarliga problem med takten i genomförandet av budgeten. Parlamentet betonar dock den låga genomförandegraden för åtagande- och betalningsbemyndiganden för infrastrukturutgifter, som uppgick till 68,67 % respektive 67,30 %. Parlamentet noterar det gemensamma företagets förklaring och uppmanar generellt det gemensamma företaget att säkerställa en sund genomförandetakt för varje avsnitt i sin budget.</w:t>
      </w:r>
    </w:p>
    <w:p w14:paraId="3F457A5C"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d)</w:t>
      </w:r>
      <w:r w:rsidRPr="00C122C8">
        <w:rPr>
          <w:kern w:val="2"/>
          <w14:ligatures w14:val="standardContextual"/>
        </w:rPr>
        <w:tab/>
        <w:t xml:space="preserve">Den totala tillgängliga budgeten 2023 för det gemensamma företaget för förnybar vätgas uppgick till 268,9 miljoner EUR i åtagandebemyndiganden (jämfört med </w:t>
      </w:r>
      <w:r w:rsidRPr="00C122C8">
        <w:rPr>
          <w:kern w:val="2"/>
          <w14:ligatures w14:val="standardContextual"/>
        </w:rPr>
        <w:lastRenderedPageBreak/>
        <w:t>314,3 miljoner EUR 2022) och 327,8 miljoner EUR i betalningsbemyndiganden (jämfört med 118,3 miljoner EUR 2022). Parlamentet förstår vidare att enligt det gemensamma företagets rapport om budgetförvaltningen och den ekonomiska förvaltningen uppgick företagets totala budgetgenomförandegrad för budgetåret 2023 till 96,62 % för åtagandebemyndiganden och 85,43 % för betalningsbemyndiganden, vilket tyder på att det inte fanns några allvarliga problem med takten i genomförandet av budgeten. Parlamentet betonar dock den låga genomförandegraden för betalningsbemyndiganden för driftsutgifter som finansieras genom Horisont 2020, som uppgick till 69,41 %. Parlamentet betonar dessutom den låga genomförandegraden för åtagande- och betalningsbemyndiganden för infrastrukturutgifter, som uppgick till 71,21 % respektive 60,60 %. Parlamentet noterar det gemensamma företagets förklaringar, och uppmanar generellt det gemensamma företaget att säkerställa en sund genomförandetakt för varje avsnitt i sin budget.</w:t>
      </w:r>
    </w:p>
    <w:p w14:paraId="6773E560"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e)</w:t>
      </w:r>
      <w:r w:rsidRPr="00C122C8">
        <w:rPr>
          <w:kern w:val="2"/>
          <w14:ligatures w14:val="standardContextual"/>
        </w:rPr>
        <w:tab/>
        <w:t>Den totala tillgängliga budgeten 2023 för det gemensamma företaget för halvledare uppgick till 835,7 miljoner EUR i åtagandebemyndiganden (jämfört med 261,4 miljoner EUR 2022) och 518,4 miljoner EUR i betalningsbemyndiganden (jämfört med 222,2 miljoner EUR 2022). Parlamentet förstår vidare att enligt det gemensamma företagets rapport om budgetförvaltningen och den ekonomiska förvaltningen uppgick företagets totala budgetgenomförandegrad för budgetåret 2023 till 100 % för åtagandebemyndiganden och 37 % för betalningsbemyndiganden, vilket tyder på att det fanns allvarliga problem med takten i genomförandet av budgeten. Parlamentet betonar särskilt den ytterst låga genomförandegraden för betalningsbemyndiganden för driftsutgifter, som uppgick till 36 %. Parlamentet noterar det gemensamma företagets förklaring, men beklagar djupt en så låg genomförandegrad, och uppmanar generellt det gemensamma företaget att säkerställa en sund genomförandetakt för varje avsnitt i sin budget. Parlamentet noterar att dessa faktorer, i förhållande till den ökade finansiering som det gemensamma företaget för halvledare drog nytta av 2023 och som företaget var tvunget att genomföra, fick revisionsrätten att anse att risken när det gäller budgetförvaltningen var medelhög för detta gemensamma företag.</w:t>
      </w:r>
    </w:p>
    <w:p w14:paraId="6433786D"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f)</w:t>
      </w:r>
      <w:r w:rsidRPr="00C122C8">
        <w:rPr>
          <w:kern w:val="2"/>
          <w14:ligatures w14:val="standardContextual"/>
        </w:rPr>
        <w:tab/>
        <w:t xml:space="preserve">Den totala tillgängliga budgeten 2023 för det gemensamma företaget för ett cirkulärt, biobaserat Europa uppgick till 227,4 miljoner EUR i åtagandebemyndiganden (jämfört med 264,2 miljoner EUR 2022) och 137,4 miljoner EUR i betalningsbemyndiganden (jämfört med 80,3 miljoner EUR 2022). Parlamentet förstår vidare att enligt det gemensamma företagets rapport om budgetförvaltningen och den ekonomiska förvaltningen uppgick företagets totala budgetgenomförandegrad för budgetåret 2023 till 97,6 % för åtagandebemyndiganden och 90,3 % för betalningsbemyndiganden, vilket tyder på att det inte fanns några allvarliga problem med takten i genomförandet av budgeten. Parlamentet betonar dock den låga genomförandegraden för åtagande- och betalningsbemyndiganden för den del av de administrativa utgifterna som avser löner, som uppgick till 64 % respektive 57 %, samt den låga genomförandegraden för betalningsbemyndiganden för den del av de administrativa utgifterna som avser övriga administrativa utgifter, som uppgick till 54 %. Parlamentet noterar det gemensamma företagets förklaring och uppmanar generellt det gemensamma företaget att säkerställa en sund </w:t>
      </w:r>
      <w:r w:rsidRPr="00C122C8">
        <w:rPr>
          <w:kern w:val="2"/>
          <w14:ligatures w14:val="standardContextual"/>
        </w:rPr>
        <w:lastRenderedPageBreak/>
        <w:t>genomförandetakt för varje avsnitt i sin budget.</w:t>
      </w:r>
    </w:p>
    <w:p w14:paraId="259FE4A9"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g)</w:t>
      </w:r>
      <w:r w:rsidRPr="00C122C8">
        <w:rPr>
          <w:kern w:val="2"/>
          <w14:ligatures w14:val="standardContextual"/>
        </w:rPr>
        <w:tab/>
        <w:t xml:space="preserve">Den totala tillgängliga budgeten 2023 för det gemensamma företaget för Europas järnvägar uppgick till 102,6 miljoner EUR i åtagandebemyndiganden (jämfört med 171,4 miljoner EUR 2022) och 120,3 miljoner EUR i betalningsbemyndiganden (jämfört med 180,8 miljoner EUR 2022). Parlamentet förstår vidare att enligt det gemensamma företagets rapport om budgetförvaltningen och den ekonomiska förvaltningen uppgick företagets totala budgetgenomförandegrad för budgetåret 2023 till 97 % för åtagandebemyndiganden och 82 % för betalningsbemyndiganden, vilket tyder på att det inte fanns några allvarliga problem med takten i genomförandet av budgeten. Parlamentet betonar dock den låga genomförandegraden för betalningsbemyndiganden för den del av driftsutgifterna som finansieras genom Horisont 2020, som uppgick till 67 %. Parlamentet noterar det gemensamma företagets förklaring, och uppmanar generellt det gemensamma företaget att säkerställa en sund genomförandetakt för varje avsnitt i sin budget. Parlamentet påpekar att det gemensamma företaget för Europas järnvägar sköt upp slutbetalningarna till 2024 på grund av tekniska problem som mottagarna upplevt. Parlamentet noterar de många projekt som inte till fullo utnyttjade sina budgetar, vilket minskade behovet av driftsbetalningar med cirka 4,1 miljoner EUR. </w:t>
      </w:r>
      <w:r w:rsidRPr="00C122C8">
        <w:rPr>
          <w:color w:val="000000"/>
          <w:kern w:val="2"/>
          <w14:ligatures w14:val="standardContextual"/>
        </w:rPr>
        <w:t xml:space="preserve">Parlamentet uppmanar det berörda gemensamma företaget att utarbeta en plan för att förbättra redovisningsskyldigheterna. </w:t>
      </w:r>
      <w:r w:rsidRPr="00C122C8">
        <w:rPr>
          <w:kern w:val="2"/>
          <w14:ligatures w14:val="standardContextual"/>
        </w:rPr>
        <w:t>Parlamentet betonar vikten av att stödja det gemensamma företaget med tanke på järnvägens naturliga fördelar när det gäller miljöprestanda, markanvändning, energiförbrukning och säkerhet.</w:t>
      </w:r>
    </w:p>
    <w:p w14:paraId="0213F2ED"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h)</w:t>
      </w:r>
      <w:r w:rsidRPr="00C122C8">
        <w:rPr>
          <w:kern w:val="2"/>
          <w14:ligatures w14:val="standardContextual"/>
        </w:rPr>
        <w:tab/>
        <w:t>Den totala tillgängliga budgeten 2023 för det gemensamma företaget för ett europeiskt högpresterande datorsystem uppgick till 1 136 miljoner EUR i åtagandebemyndiganden (jämfört med 1 374,5 miljoner EUR 2022) och 1 058 miljoner EUR i betalningsbemyndiganden (jämfört med 629,9 miljoner EUR 2022). Parlamentet förstår vidare att enligt det gemensamma företagets rapport om budgetförvaltningen och den ekonomiska förvaltningen uppgick företagets totala budgetgenomförandegrad för budgetåret 2023 till 83 % för åtagandebemyndiganden och 19 % för betalningsbemyndiganden, vilket tyder på att det fanns allvarliga problem med takten i genomförandet av budgeten. Parlamentet betonar särskilt den ytterst låga genomförandegraden för betalningsbemyndiganden för driftsutgifter, som uppgick till 19 %. Parlamentet noterar det gemensamma företagets förklaring, men beklagar djupt en så låg genomförandegrad. Parlamentet betonar dessutom den låga genomförandegraden för åtagande- och betalningsbemyndiganden för administrativa utgifter, som uppgick till 45 % respektive 42 %. Parlamentet noterar det gemensamma företagets förklaring, och uppmanar generellt det gemensamma företaget att säkerställa en sund genomförandetakt för varje avsnitt i sin budget. Parlamentet noterar att dessa faktorer, i förhållande till den ökade finansiering som det gemensamma företaget för ett europeiskt högpresterande datorsystem drog nytta av 2023 och som företaget var tvunget att genomföra, fick revisionsrätten att anse att risken när det gäller budgetförvaltningen var medelhög för detta gemensamma företag. Parlamentet välkomnar den ytterligare information som lämnades under utfrågningen av det berörda gemensamma företaget i budgetkontrollutskottet om orsakerna till denna långsamma genomförandegrad.</w:t>
      </w:r>
    </w:p>
    <w:p w14:paraId="525B252B"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lastRenderedPageBreak/>
        <w:t>i)</w:t>
      </w:r>
      <w:r w:rsidRPr="00C122C8">
        <w:rPr>
          <w:kern w:val="2"/>
          <w14:ligatures w14:val="standardContextual"/>
        </w:rPr>
        <w:tab/>
        <w:t>Den totala tillgängliga budgeten 2023 för det gemensamma företaget för smarta nät och tjänster uppgick till 134,7 miljoner EUR i åtagandebemyndiganden och 122,9 miljoner EUR i betalningsbemyndiganden. Parlamentet förstår vidare att enligt det gemensamma företagets rapport om budgetförvaltningen och den ekonomiska förvaltningen uppgick företagets totala budgetgenomförandegrad för budgetåret 2023 till 99 % för åtagandebemyndiganden och 89 % för betalningsbemyndiganden. Med tanke på den korta tidsperiod under vilken det gemensamma företaget blev finansiellt självbestämmande under budgetåret 2023 anser parlamentet att det inte har tillräckliga underlag för att uttrycka sin åsikt om kvaliteten på det gemensamma företagets ekonomiska förvaltning och samtidigt göra detta i god tro. Parlamentet noterar dock att risken när det gäller lagligheten och korrektheten i de administrativa utgifterna på grund av denna situation bedömdes som medelhög för det gemensamma företaget.</w:t>
      </w:r>
    </w:p>
    <w:p w14:paraId="0DADCFDF"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j)</w:t>
      </w:r>
      <w:r w:rsidRPr="00C122C8">
        <w:rPr>
          <w:kern w:val="2"/>
          <w14:ligatures w14:val="standardContextual"/>
        </w:rPr>
        <w:tab/>
        <w:t>Den totala tillgängliga budgeten 2023 för det gemensamma företaget för global hälsa EDCTP3 uppgick till 136,4 miljoner EUR i åtagandebemyndiganden och 2,2 miljoner EUR i betalningsbemyndiganden. Parlamentet förstår vidare att enligt det gemensamma företagets rapport om budgetförvaltningen och den ekonomiska förvaltningen uppgick företagets totala budgetgenomförandegrad för budgetåret 2023 till 100 % för åtagandebemyndiganden och 47 % för betalningsbemyndiganden. Med tanke på den korta tidsperiod under vilken det gemensamma företaget blev finansiellt självbestämmande under budgetåret 2023 anser parlamentet att det inte har tillräckliga underlag för att uttrycka sin åsikt om kvaliteten på det gemensamma företagets ekonomiska förvaltning och samtidigt göra detta i god tro. Parlamentet noterar dock att risken när det gäller lagligheten och korrektheten i de administrativa utgifterna på grund av denna situation bedömdes som medelhög för det gemensamma företaget.</w:t>
      </w:r>
    </w:p>
    <w:p w14:paraId="600C620C"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k)</w:t>
      </w:r>
      <w:r w:rsidRPr="00C122C8">
        <w:rPr>
          <w:kern w:val="2"/>
          <w14:ligatures w14:val="standardContextual"/>
        </w:rPr>
        <w:tab/>
        <w:t>Den totala tillgängliga budgeten 2023 för det europeiska gemensamma företaget för Iter och utveckling av fusionsenergi uppgick till 807 miljoner EUR i åtagandebemyndiganden (jämfört med 981,2 miljoner EUR 2022) och 631,5 miljoner EUR i betalningsbemyndiganden (jämfört med 844 miljoner EUR 2022). Parlamentet förstår vidare att enligt det gemensamma företagets rapport om budgetförvaltningen och den ekonomiska förvaltningen uppgick företagets totala budgetgenomförandegrad för budgetåret 2023 till 73 % för åtagandebemyndiganden och 95 % för betalningsbemyndiganden, vilket tyder på att det fanns allvarliga problem med takten i genomförandet av budgeten. Parlamentet betonar särskilt den låga genomförandegraden för åtagandebemyndiganden för driftsutgifter, som uppgick till 70 %. Parlamentet noterar det gemensamma företagets förklaring och de resulterande överföringarna tillbaka till de ursprungligen planerade bidragsandelarna från Euratoms och Iters värdstater, och uppmanar generellt det gemensamma företaget att säkerställa en sund genomförandetakt för varje avsnitt i sin budget. Parlamentet noterar att dessa faktorer, som rör förseningar och svårigheter med genomförandet, fick revisionsrätten att anse att risken när det gäller budgetförvaltningen var medelhög för detta gemensamma företag.</w:t>
      </w:r>
    </w:p>
    <w:p w14:paraId="561A3D80"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19.</w:t>
      </w:r>
      <w:r w:rsidRPr="00C122C8">
        <w:rPr>
          <w:kern w:val="2"/>
          <w14:ligatures w14:val="standardContextual"/>
        </w:rPr>
        <w:tab/>
        <w:t xml:space="preserve">Europaparlamentet delar revisionsrättens oro när det gäller outnyttjade anslag vid genomförandet av program i vissa gemensamma företag, och uppmanar de berörda gemensamma företagen att undvika att liknande situationer uppstår igen, eftersom </w:t>
      </w:r>
      <w:r w:rsidRPr="00C122C8">
        <w:rPr>
          <w:kern w:val="2"/>
          <w14:ligatures w14:val="standardContextual"/>
        </w:rPr>
        <w:lastRenderedPageBreak/>
        <w:t>ackumulering av outnyttjade anslag leder till överskott i likvida medel som därför inte är tillgängliga för unionen för finansiering av andra verksamheter och program. Parlamentet understryker att detta inte är förenligt med principen om sund ekonomisk förvaltning och ledde till ett överskott i likvida medel på totalt 1,5 miljarder EUR för budgetåret 2023. Parlamentet instämmer i revisionsrättens rekommendation om åtgärder i detta avseende, enligt vilken de berörda gemensamma företagen bör utveckla korrigerande mekanismer för att minska sina överskott i likvida medel till en rimlig nivå och därefter anpassa sina ansökningar om likvida medel för varje budgetår till sina beräknade utgiftsbehov, i samordning med kommissionen. Parlamentet är medvetet om att det enligt de berörda gemensamma företagens budgetförordningar finns möjligheter att ta upp outnyttjade anslag i beräkningen av inkomster och utgifter för upp till tre budgetår efter det att de tagits emot. Parlamentet är dock mer specifikt oroat över följande:</w:t>
      </w:r>
    </w:p>
    <w:p w14:paraId="47B63ADB"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a)</w:t>
      </w:r>
      <w:r w:rsidRPr="00C122C8">
        <w:rPr>
          <w:kern w:val="2"/>
          <w14:ligatures w14:val="standardContextual"/>
        </w:rPr>
        <w:tab/>
        <w:t>Bristerna i planeringen av likvida medel för det gemensamma företaget för ren luftfart, efter en begäran om ytterligare finansiella bidrag från unionen på 178 miljoner EUR för planerade betalningar 2023, vilket överskred likviditetsbehoven och därmed resulterade i ett överskott av likvida medel på 237 miljoner EUR i slutet av 2023. Parlamentet noterar dock det gemensamma företagets förklaring. Parlamentet upprepar emellertid sin uppmaning till det gemensamma företaget för ren luftfart att undvika att liknande situationer uppstår igen, och välkomnar de justeringar som det gemensamma företaget har aviserat för 2024.</w:t>
      </w:r>
    </w:p>
    <w:p w14:paraId="34FCB7DB"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b)</w:t>
      </w:r>
      <w:r w:rsidRPr="00C122C8">
        <w:rPr>
          <w:kern w:val="2"/>
          <w14:ligatures w14:val="standardContextual"/>
        </w:rPr>
        <w:tab/>
        <w:t>Bristerna i planeringen av likvida medel för det gemensamma företaget för halvledare, efter en begäran om ytterligare finansiella bidrag från unionen på 196 miljoner EUR för planerade betalningar 2023, vilket överskred likviditetsbehoven och därmed resulterade i ett överskott av likvida medel på 438 miljoner EUR i slutet av 2023. Parlamentet noterar dock det gemensamma företagets förklaring. Parlamentet upprepar emellertid sin uppmaning till det gemensamma företaget för halvledare att undvika att liknande situationer uppstår igen och välkomnar den ambition som det gemensamma företaget har aviserat för 2024.</w:t>
      </w:r>
    </w:p>
    <w:p w14:paraId="5E260D4C"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c)</w:t>
      </w:r>
      <w:r w:rsidRPr="00C122C8">
        <w:rPr>
          <w:kern w:val="2"/>
          <w14:ligatures w14:val="standardContextual"/>
        </w:rPr>
        <w:tab/>
        <w:t>Bristerna i planeringen av likvida medel för det gemensamma företaget för ett europeiskt högpresterande datorsystem, efter en begäran om ytterligare finansiella bidrag från unionen på 488,6 miljoner EUR för planerade betalningar 2023, vilket överskred likviditetsbehoven och därmed resulterade i ett överskott av likvida medel på 840,7 miljoner EUR i slutet av 2023. Parlamentet förstår den situation som det gemensamma företaget befann sig i och som ledde till detta överskott, och välkomnar den ytterligare information som lämnades under utfrågningen av det berörda gemensamma företaget i budgetkontrollutskottet, särskilt när det gäller förväntningarna på att projekt som rör artificiell intelligens ska ge möjlighet till en betydande utbetalning. Parlamentet upprepar emellertid sin uppmaning till det gemensamma företaget för ett europeiskt högpresterande datorsystem att undvika att liknande situationer uppstår igen.</w:t>
      </w:r>
    </w:p>
    <w:p w14:paraId="74D8F40C"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20.</w:t>
      </w:r>
      <w:r w:rsidRPr="00C122C8">
        <w:rPr>
          <w:kern w:val="2"/>
          <w14:ligatures w14:val="standardContextual"/>
        </w:rPr>
        <w:tab/>
        <w:t>Europaparlamentet betonar att alla gemensamma företag ska stärka interna finansiella kontroller och mekanismer för offentlig transparens och se till att medlen fördelas effektivt och på ett sätt som är förenligt med EU:s strategiska mål.</w:t>
      </w:r>
    </w:p>
    <w:p w14:paraId="42176F96"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21.</w:t>
      </w:r>
      <w:r w:rsidRPr="00C122C8">
        <w:rPr>
          <w:kern w:val="2"/>
          <w14:ligatures w14:val="standardContextual"/>
        </w:rPr>
        <w:tab/>
        <w:t xml:space="preserve">Europaparlamentet delar revisionsrättens oro när det gäller medlemmarnas bidrag till vissa gemensamma företag, särskilt när det gäller möjligheten att vissa gemensamma </w:t>
      </w:r>
      <w:r w:rsidRPr="00C122C8">
        <w:rPr>
          <w:kern w:val="2"/>
          <w14:ligatures w14:val="standardContextual"/>
        </w:rPr>
        <w:lastRenderedPageBreak/>
        <w:t>företag inte skulle kunna uppnå sina bidragsmål eller endast skulle kunna göra det genom att i hög grad förlita sig på naturabidrag till kompletterande verksamhet, och uppmanar de berörda gemensamma företagen att vidta alla nödvändiga åtgärder för att förhindra att sådana situationer uppstår i framtiden. Parlamentet understryker att de berörda gemensamma företagen är ansvariga för och skyldiga att uppfylla bidragsmålen och att ett misslyckande med att uppfylla dessa mål strider mot grundtanken med gemensamma företag. Parlamentet är mer specifikt oroat över följande:</w:t>
      </w:r>
    </w:p>
    <w:p w14:paraId="1820B7D1"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a)</w:t>
      </w:r>
      <w:r w:rsidRPr="00C122C8">
        <w:rPr>
          <w:kern w:val="2"/>
          <w14:ligatures w14:val="standardContextual"/>
        </w:rPr>
        <w:tab/>
        <w:t>Situationen för det gemensamma företaget Sesar 3, vars operativa bidragsmål från dess medlem Eurocontrol endast nådde 70 %, vilket ledde till att det gemensamma företaget inte hade de planerade bidragen till sitt förfogande för att fullt ut genomföra sin del av Horisont 2020. Parlamentet noterar att denna faktor dock inte fick revisionsrätten att anse att risken när det gäller programgenomförande var medelhög eller hög för detta gemensamma företag, utan den bedömdes vara låg.</w:t>
      </w:r>
    </w:p>
    <w:p w14:paraId="3A389D1A"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b)</w:t>
      </w:r>
      <w:r w:rsidRPr="00C122C8">
        <w:rPr>
          <w:kern w:val="2"/>
          <w14:ligatures w14:val="standardContextual"/>
        </w:rPr>
        <w:tab/>
        <w:t>Situationen för det gemensamma företaget för ett cirkulärt, biobaserat Europa, som gjorde goda resultat när det gällde att uppnå sitt bidragsmål inom Horisont 2020, men som framför allt gjorde detta genom en revidering av balansen mellan målen för naturabidrag till operativ verksamhet och naturabidrag till kompletterande verksamhet, där det senare målet höjdes till 2 444,5 miljoner EUR, vilket motsvarar 90 % av det övergripande målet. Parlamentet understryker att ett sådant beroende av naturabidrag till kompletterande verksamhet utgör en risk för genomförandet av Horisont 2020-programmet. Parlamentet understryker den betydande inverkan av den översyn som utförts av det gemensamma företaget. Parlamentet noterar det gemensamma företagets förklaring och det faktum att kompletterande verksamhet bidrar till det gemensamma företagets övergripande mål, men betonar ändå att detta utgör ett orimligt stort beroende av naturabidrag till kompletterande verksamhet för att uppnå fastställda mål och uppmanar det gemensamma företaget att undvika att en sådan situation uppstår igen. Parlamentet noterar att dessa faktorer fick revisionsrätten att anse att risken när det gäller programgenomförande var hög för detta gemensamma företag.</w:t>
      </w:r>
    </w:p>
    <w:p w14:paraId="28EFAF8F"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c)</w:t>
      </w:r>
      <w:r w:rsidRPr="00C122C8">
        <w:rPr>
          <w:kern w:val="2"/>
          <w14:ligatures w14:val="standardContextual"/>
        </w:rPr>
        <w:tab/>
        <w:t xml:space="preserve">Situationen för det gemensamma företaget för ett europeiskt högpresterande datorsystem, vars bidrag från privata medlemmar inom Horisont 2020 endast uppgick till ett rapporterat belopp på 18,4 miljoner EUR jämfört med ett mål på 420 miljoner EUR, vilket utgör en allvarlig skillnad. Parlamentet noterar vidare att en sådan situation kan uppstå igen inom Horisont Europa och Ett digitalt Europa, eftersom bidragsmålet för privata medlemmar har ökat avsevärt till 900 miljoner EUR samtidigt som de finansieringsarrangemang som orsakade svårigheter för privata medlemmar inom Horisont 2020 kvarstår. Parlamentet noterar att dessa faktorer fick revisionsrätten att anse att risken när det gäller programgenomförande var hög för detta gemensamma företag. Parlamentet uppfattar av den ytterligare information som lämnades under utfrågningen av det berörda gemensamma företaget i budgetkontrollutskottet att denna fråga hanteras i samarbete med styrelsen. Parlamentet instämmer dock i revisionsrättens rekommendation om åtgärder i detta avseende, enligt vilken det gemensamma företaget för ett europeiskt högpresterande datorsystem bör stödja kommissionens omprövning av det nuvarande målet för att säkerställa att det kan uppnå sitt bidragsmål för privata medlemmar inom Horisont Europa och Ett digitalt Europa, </w:t>
      </w:r>
      <w:r w:rsidRPr="00C122C8">
        <w:rPr>
          <w:kern w:val="2"/>
          <w14:ligatures w14:val="standardContextual"/>
        </w:rPr>
        <w:lastRenderedPageBreak/>
        <w:t>och betonar än en gång att uppnåendet av bidragsmål inte bara bör betraktas som en ambition utan även som en skyldighet.</w:t>
      </w:r>
    </w:p>
    <w:p w14:paraId="0E2ED4DF"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22.</w:t>
      </w:r>
      <w:r w:rsidRPr="00C122C8">
        <w:rPr>
          <w:kern w:val="2"/>
          <w14:ligatures w14:val="standardContextual"/>
        </w:rPr>
        <w:tab/>
        <w:t>Europaparlamentet understryker att för att främja bättre effektivitet föreskriver den gemensamma grundläggande rättsakten för de gemensamma företagen en skyldighet för de gemensamma företagen att uppnå synergier genom att inrätta back office-arrangemang som är verksamma inom en rad identifierade områden. Parlamentet uppfattar att fyra områden har identifierats som prioriterade av de berörda gemensamma företagen, nämligen redovisningsverksamhet, juridisk verksamhet, informations- och kommunikationsteknik samt personalresurser. Parlamentet välkomnar särskilt i detta avseende</w:t>
      </w:r>
    </w:p>
    <w:p w14:paraId="35A93346"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a)</w:t>
      </w:r>
      <w:r w:rsidRPr="00C122C8">
        <w:rPr>
          <w:kern w:val="2"/>
          <w14:ligatures w14:val="standardContextual"/>
        </w:rPr>
        <w:tab/>
        <w:t>att de back office-arrangemang som är avsedda för redovisningsverksamhet har varit i drift sedan december 2022 och därför var i drift under hela budgetåret 2023, vilket kunde observeras vid utarbetandet av årsredovisningen, samt att det gemensamma företaget för Europas järnvägar var ledande i driften av dessa back office-arrangemang,</w:t>
      </w:r>
    </w:p>
    <w:p w14:paraId="3720CA1D"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b)</w:t>
      </w:r>
      <w:r w:rsidRPr="00C122C8">
        <w:rPr>
          <w:kern w:val="2"/>
          <w14:ligatures w14:val="standardContextual"/>
        </w:rPr>
        <w:tab/>
        <w:t>att det gemensamma företaget för ett cirkulärt, biobaserat Europa och det gemensamma företaget för initiativet för innovativ hälsa var ledande i driften av back office-arrangemang för förvaltningen av gemensam rekrytering, den rättsliga ramen för personalresurser och digitaliseringen av personalresurser,</w:t>
      </w:r>
    </w:p>
    <w:p w14:paraId="7FF69186"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c)</w:t>
      </w:r>
      <w:r w:rsidRPr="00C122C8">
        <w:rPr>
          <w:kern w:val="2"/>
          <w14:ligatures w14:val="standardContextual"/>
        </w:rPr>
        <w:tab/>
        <w:t>att det gemensamma företaget för förnybar vätgas och det gemensamma företaget för initiativet för innovativ hälsa var ledande i driften av back office-arrangemang för förvaltningen av tjänster inom informations- och kommunikationsteknik,</w:t>
      </w:r>
    </w:p>
    <w:p w14:paraId="3139BD76"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d)</w:t>
      </w:r>
      <w:r w:rsidRPr="00C122C8">
        <w:rPr>
          <w:kern w:val="2"/>
          <w14:ligatures w14:val="standardContextual"/>
        </w:rPr>
        <w:tab/>
        <w:t>att det gemensamma företaget för ren luftfart, det gemensamma företaget för Europas järnvägar och det gemensamma företaget för ett europeiskt högpresterande datorsystem var ledande i driften av back office-arrangemang för förvaltningen av administrativa upphandlingar,</w:t>
      </w:r>
    </w:p>
    <w:p w14:paraId="0F263468"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e)</w:t>
      </w:r>
      <w:r w:rsidRPr="00C122C8">
        <w:rPr>
          <w:kern w:val="2"/>
          <w14:ligatures w14:val="standardContextual"/>
        </w:rPr>
        <w:tab/>
        <w:t>att de gemensamma företagen fortsätter att genomföra den gemensamma strategiska IKT-planen för de gemensamma företag som är belägna i White Atrium-byggnaden.</w:t>
      </w:r>
    </w:p>
    <w:p w14:paraId="47B539C5"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23.</w:t>
      </w:r>
      <w:r w:rsidRPr="00C122C8">
        <w:rPr>
          <w:kern w:val="2"/>
          <w14:ligatures w14:val="standardContextual"/>
        </w:rPr>
        <w:tab/>
        <w:t>Europaparlamentet uppmanar de gemensamma företag som berörs av skyldigheten enligt den gemensamma grundläggande rättsakten att fortsätta att rapportera om inrättandet av back office-arrangemang, att tillhandahålla tydlig information om vilka gemensamma företag som utför uppgifter för andra gemensamma företag inom vissa områden, att så snart som möjligt inkludera kommunikation, logistik, evenemang och mötesrumshantering samt stöd för revisionsstrategier och strategier mot skattebedrägeri i förteckningen över prioriteringar och att tillhandahålla information om de områden som ska övervägas för inrättande av back office-arrangemang i framtiden, när arrangemang inom de områden som identifierats som prioriterade har slutförts.</w:t>
      </w:r>
    </w:p>
    <w:p w14:paraId="0E76190E" w14:textId="77777777" w:rsidR="00C122C8" w:rsidRPr="00C122C8" w:rsidRDefault="00C122C8" w:rsidP="00C122C8">
      <w:pPr>
        <w:spacing w:after="240"/>
        <w:ind w:left="567" w:hanging="567"/>
        <w:rPr>
          <w:b/>
          <w:iCs/>
          <w:kern w:val="2"/>
          <w14:ligatures w14:val="standardContextual"/>
        </w:rPr>
      </w:pPr>
      <w:r w:rsidRPr="00C122C8">
        <w:rPr>
          <w:b/>
          <w:iCs/>
          <w:kern w:val="2"/>
          <w14:ligatures w14:val="standardContextual"/>
        </w:rPr>
        <w:t>Upphandling och anbudsförfaranden</w:t>
      </w:r>
    </w:p>
    <w:p w14:paraId="63ABE36F"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24.</w:t>
      </w:r>
      <w:r w:rsidRPr="00C122C8">
        <w:rPr>
          <w:kern w:val="2"/>
          <w14:ligatures w14:val="standardContextual"/>
        </w:rPr>
        <w:tab/>
        <w:t xml:space="preserve">Europaparlamentet delar revisionsrättens oro när det gäller upphandlingsförfaranden och uppmanar de gemensamma företagen att säkerställa att efterlevnaden av relevanta rättsliga bestämmelser och den nödvändiga komplexiteten i vissa </w:t>
      </w:r>
      <w:r w:rsidRPr="00C122C8">
        <w:rPr>
          <w:kern w:val="2"/>
          <w14:ligatures w14:val="standardContextual"/>
        </w:rPr>
        <w:lastRenderedPageBreak/>
        <w:t>upphandlingsförfaranden inte medför en ökad risk när det gäller lagligheten och korrektheten i driftsutgifterna. Parlamentet är mer specifikt oroat över följande:</w:t>
      </w:r>
    </w:p>
    <w:p w14:paraId="5440FFC0"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a)</w:t>
      </w:r>
      <w:r w:rsidRPr="00C122C8">
        <w:rPr>
          <w:kern w:val="2"/>
          <w14:ligatures w14:val="standardContextual"/>
        </w:rPr>
        <w:tab/>
        <w:t>Situationen för det gemensamma företaget för initiativet för innovativ hälsa och det gemensamma företaget för halvledare, där revisionsrätten i båda fallen konstaterade brister i utformningen och utvärderingen av ett viktigt upphandlingsförfarande. Parlamentet noterar att denna faktor dock inte fick revisionsrätten att anse att risken i samband med kostnader för kontrakt för operativ verksamhet var medelhög eller hög för detta gemensamma företag. Parlamentet betonar emellertid att sådana brister kan leda till felaktiga kontrakt och felaktiga utbetalningar om de inte åtgärdas i framtida upphandlingsförfaranden, och välkomnar de gemensamma företagens beredvillighet att vidta åtgärder i dessa specifika fall och förbättra sina upphandlingsförfaranden.</w:t>
      </w:r>
    </w:p>
    <w:p w14:paraId="5CA04E34"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b)</w:t>
      </w:r>
      <w:r w:rsidRPr="00C122C8">
        <w:rPr>
          <w:kern w:val="2"/>
          <w14:ligatures w14:val="standardContextual"/>
        </w:rPr>
        <w:tab/>
        <w:t>Det faktum att revisionsrätten har bedömt att risken i samband med kostnader för kontrakt för operativ verksamhet är medelhög för det gemensamma företaget för ett europeiskt högpresterande datorsystem och det europeiska gemensamma företaget för Iter och utveckling av fusionsenergi på grund av deras komplexa upphandlingsförfaranden för kontrakt av högt värde.</w:t>
      </w:r>
    </w:p>
    <w:p w14:paraId="0CE4F87C"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25.</w:t>
      </w:r>
      <w:r w:rsidRPr="00C122C8">
        <w:rPr>
          <w:kern w:val="2"/>
          <w14:ligatures w14:val="standardContextual"/>
        </w:rPr>
        <w:tab/>
        <w:t>Europaparlamentet understryker den finansiella exponeringen för det gemensamma företaget för ett europeiskt högpresterande datorsystem mot en leverantör som har svårigheter, vilken av det gemensamma företaget bedöms variera från en potentiell låg påverkan på 0 EUR till en uppskattad maximal påverkan på 88 miljoner EUR. Parlamentet uppfattar av det gemensamma företagets årsredovisning att denna situation granskas noggrant. Parlamentet uppmanar det gemensamma företaget att vidta alla nödvändiga åtgärder för att minimera betalningsansvaret. Parlamentet välkomnar den ytterligare information som lämnades under utfrågningen av det berörda gemensamma företaget i budgetkontrollutskottet, särskilt när det gäller de ytterligare garantier som det berörda gemensamma företaget begärt för att minimera detta betalningsansvar samt den förklaring som lämnats om denna specifika leverantörs nyckelroll.</w:t>
      </w:r>
    </w:p>
    <w:p w14:paraId="471D6D7C"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26.</w:t>
      </w:r>
      <w:r w:rsidRPr="00C122C8">
        <w:rPr>
          <w:kern w:val="2"/>
          <w14:ligatures w14:val="standardContextual"/>
        </w:rPr>
        <w:tab/>
        <w:t>Europaparlamentet noterar att detaljnivån och tillgängligheten varierar när det gäller de kvantitativa uppgifter som de gemensamma företagen lämnar om könsbalansen bland de experter som valts ut för att arbeta med de gemensamma företagen. Parlamentet uppmanar alla gemensamma företag att öka transparensen och inkludera tydliga kvantitativa uppgifter om könsbalansen bland de experter som valts ut i sina framtida årliga verksamhetsrapporter. Parlamentet uppmanar alla gemensamma företag att intensifiera sina insatser för att främja jämställdhet på alla nivåer och säkerställa att könsbalansen förblir en övergripande prioritering i all verksamhet som rör upphandling, bidrag och anbudsförfaranden och att förklara när könsbalansen inte kan uppnås.</w:t>
      </w:r>
    </w:p>
    <w:p w14:paraId="4EFE0FFA"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27.</w:t>
      </w:r>
      <w:r w:rsidRPr="00C122C8">
        <w:rPr>
          <w:kern w:val="2"/>
          <w14:ligatures w14:val="standardContextual"/>
        </w:rPr>
        <w:tab/>
        <w:t xml:space="preserve">Europaparlamentet noterar att detaljnivån och tillgängligheten varierar när det gäller de kvantitativa uppgifter som de gemensamma företagen lämnar om den geografiska fördelningen bland de experter som valts ut för att arbeta med de gemensamma företagen. Parlamentet uppmanar alla gemensamma företag att inkludera tydliga kvantitativa uppgifter om den geografiska fördelningen bland de experter som valts ut i sina framtida årliga verksamhetsrapporter. Parlamentet uppmanar alla gemensamma företag att säkerställa att den geografiska fördelningen förblir en övergripande prioritering i all verksamhet som rör upphandling, bidrag och anbudsförfaranden och att </w:t>
      </w:r>
      <w:r w:rsidRPr="00C122C8">
        <w:rPr>
          <w:kern w:val="2"/>
          <w14:ligatures w14:val="standardContextual"/>
        </w:rPr>
        <w:lastRenderedPageBreak/>
        <w:t>förklara när tillräcklig geografisk fördelning inte kan uppnås.</w:t>
      </w:r>
    </w:p>
    <w:p w14:paraId="03B7D32C"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28</w:t>
      </w:r>
      <w:r w:rsidRPr="00C122C8">
        <w:rPr>
          <w:i/>
          <w:kern w:val="2"/>
          <w14:ligatures w14:val="standardContextual"/>
        </w:rPr>
        <w:t>.</w:t>
      </w:r>
      <w:r w:rsidRPr="00C122C8">
        <w:rPr>
          <w:b/>
          <w:i/>
          <w:kern w:val="2"/>
          <w14:ligatures w14:val="standardContextual"/>
        </w:rPr>
        <w:tab/>
      </w:r>
      <w:r w:rsidRPr="00C122C8">
        <w:rPr>
          <w:kern w:val="2"/>
          <w14:ligatures w14:val="standardContextual"/>
        </w:rPr>
        <w:t>Europaparlamentet efterlyser en rättvis och skälig geografisk fördelning av finansieringen från gemensamma företag, för att säkerställa att regioner med lägre innovationskapacitet och små och medelstora företag får tillräckligt stöd.</w:t>
      </w:r>
    </w:p>
    <w:p w14:paraId="3E2D014C" w14:textId="77777777" w:rsidR="00C122C8" w:rsidRPr="00C122C8" w:rsidRDefault="00C122C8" w:rsidP="00C122C8">
      <w:pPr>
        <w:spacing w:after="240"/>
        <w:ind w:left="567" w:hanging="567"/>
        <w:rPr>
          <w:b/>
          <w:iCs/>
          <w:kern w:val="2"/>
          <w14:ligatures w14:val="standardContextual"/>
        </w:rPr>
      </w:pPr>
      <w:r w:rsidRPr="00C122C8">
        <w:rPr>
          <w:b/>
          <w:iCs/>
          <w:kern w:val="2"/>
          <w14:ligatures w14:val="standardContextual"/>
        </w:rPr>
        <w:t>Personal och rekrytering</w:t>
      </w:r>
    </w:p>
    <w:p w14:paraId="5F9790EE" w14:textId="0642D912" w:rsidR="00C122C8" w:rsidRPr="00C122C8" w:rsidRDefault="00C122C8" w:rsidP="00C122C8">
      <w:pPr>
        <w:spacing w:after="240"/>
        <w:ind w:left="567" w:hanging="567"/>
        <w:rPr>
          <w:kern w:val="2"/>
          <w14:ligatures w14:val="standardContextual"/>
        </w:rPr>
      </w:pPr>
      <w:r w:rsidRPr="00C122C8">
        <w:rPr>
          <w:kern w:val="2"/>
          <w14:ligatures w14:val="standardContextual"/>
        </w:rPr>
        <w:t>29.</w:t>
      </w:r>
      <w:r w:rsidRPr="00C122C8">
        <w:rPr>
          <w:kern w:val="2"/>
          <w14:ligatures w14:val="standardContextual"/>
        </w:rPr>
        <w:tab/>
        <w:t xml:space="preserve">Europaparlamentet är oroat över läget i fråga om rekryteringen inom det gemensamma företaget för ett europeiskt högpresterande datorsystem, som fick 39 ytterligare tjänster som skulle tillsättas före utgången av budgetåret 2023 för att genomföra de betydande medel som erhållits inom ramen för den nuvarande fleråriga budgetramen, men som endast lyckades rekrytera 21 ytterligare anställda. Parlamentet är vidare oroat över revisionsrättens bedömning, som fastställde att de gemensamma företagens rekryteringsförfaranden inte var tillräckligt transparenta på grund av avsaknaden av tydliga och i förväg överenskomna poängsystem för att bedöma kandidater och deras kvalifikationer samt på grund av avsaknaden av tillräcklig dokumentation om den underliggande beslutsprocessen. Parlamentet beklagar att denna situation enligt revisionsrättens uppfattning kan ha lett till bristande likabehandling av kandidaterna. Parlamentet påminner om att det är ytterst viktigt att undvika dubbla måttstockar under rekryteringsprocessen och begär att alla nödvändiga åtgärder vidtas i detta avseende. Parlamentet instämmer i revisionsrättens rekommendation om åtgärder i detta avseende, enligt vilken det gemensamma företaget för ett europeiskt högpresterande datorsystem bör använda sin ökade personalstyrka effektivt för att uppnå sitt rekryteringsmål senast i slutet av 2024, och att det gemensamma företaget för ett europeiskt högpresterande datorsystem </w:t>
      </w:r>
      <w:r>
        <w:rPr>
          <w:kern w:val="2"/>
          <w14:ligatures w14:val="standardContextual"/>
        </w:rPr>
        <w:t>-</w:t>
      </w:r>
      <w:r w:rsidRPr="00C122C8">
        <w:rPr>
          <w:kern w:val="2"/>
          <w14:ligatures w14:val="standardContextual"/>
        </w:rPr>
        <w:t xml:space="preserve"> för att öka transparensen i sina rekryteringsförfaranden och för att underbygga urvalskommitténs beslutsprocesser </w:t>
      </w:r>
      <w:r>
        <w:rPr>
          <w:kern w:val="2"/>
          <w14:ligatures w14:val="standardContextual"/>
        </w:rPr>
        <w:t>-</w:t>
      </w:r>
      <w:r w:rsidRPr="00C122C8">
        <w:rPr>
          <w:kern w:val="2"/>
          <w14:ligatures w14:val="standardContextual"/>
        </w:rPr>
        <w:t xml:space="preserve"> bör använda ett i förväg överenskommet poängsystem under urvalsfasen, i linje med praxis i andra gemensamma företag och unionsorgan. Parlamentet välkomnar det gemensamma företagets beredskap att integrera rekommendationer om förbättringar.</w:t>
      </w:r>
    </w:p>
    <w:p w14:paraId="549FEFDF"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30.</w:t>
      </w:r>
      <w:r w:rsidRPr="00C122C8">
        <w:rPr>
          <w:b/>
          <w:i/>
          <w:kern w:val="2"/>
          <w14:ligatures w14:val="standardContextual"/>
        </w:rPr>
        <w:tab/>
      </w:r>
      <w:r w:rsidRPr="00C122C8">
        <w:rPr>
          <w:kern w:val="2"/>
          <w14:ligatures w14:val="standardContextual"/>
        </w:rPr>
        <w:t>Europaparlamentet betonar behovet av en enhetlig och rättvis personalpolitik i alla gemensamma företag för att säkerställa lämpliga och inkluderande arbetsvillkor, möjligheter till karriärutveckling och balans mellan arbete och privatliv för personal. Parlamentet efterlyser åtgärder för att förhindra ett alltför stort beroende av visstidsanställningar och otrygga anställningsformer. Parlamentet understryker vikten av strukturer för stöd till psykisk hälsa, flexibla arbetsformer och rättvisa möjligheter till intern befordran för att förbättra personalens välbefinnande.</w:t>
      </w:r>
    </w:p>
    <w:p w14:paraId="16C2300E"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31.</w:t>
      </w:r>
      <w:r w:rsidRPr="00C122C8">
        <w:rPr>
          <w:kern w:val="2"/>
          <w14:ligatures w14:val="standardContextual"/>
        </w:rPr>
        <w:tab/>
        <w:t>Europaparlamentet uppmanar alla gemensamma företag att genomföra konkreta åtgärder för att uppnå en jämnare könsfördelning i ledande befattningar och beslutsfattande organ, inbegripet att fastställa mål för könsbalans och regelbundet övervaka framstegen. Parlamentet betonar behovet av att ta itu med löneklyftan mellan könen och säkerställa lika möjligheter till karriärutveckling.</w:t>
      </w:r>
    </w:p>
    <w:p w14:paraId="32BA4E19"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32.</w:t>
      </w:r>
      <w:r w:rsidRPr="00C122C8">
        <w:rPr>
          <w:kern w:val="2"/>
          <w14:ligatures w14:val="standardContextual"/>
        </w:rPr>
        <w:tab/>
        <w:t xml:space="preserve">Europaparlamentet noterar att revisionsrätten ansåg att risken när det gäller lagligheten och korrektheten i de administrativa utgifterna var låg för alla gemensamma företag utom för det gemensamma företaget för halvledare och det gemensamma företaget för ett europeiskt högpresterande datorsystem, för vilka den ansågs vara medelhög på grund av deras höga rekryteringsnivå, samt för det gemensamma företaget för smarta nät och tjänster och det gemensamma företaget för global hälsa EDCTP3, på grund av </w:t>
      </w:r>
      <w:r w:rsidRPr="00C122C8">
        <w:rPr>
          <w:kern w:val="2"/>
          <w14:ligatures w14:val="standardContextual"/>
        </w:rPr>
        <w:lastRenderedPageBreak/>
        <w:t>deras nyligen erhållna finansiella självbestämmande.</w:t>
      </w:r>
    </w:p>
    <w:p w14:paraId="3052D3B9"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33.</w:t>
      </w:r>
      <w:r w:rsidRPr="00C122C8">
        <w:rPr>
          <w:kern w:val="2"/>
          <w14:ligatures w14:val="standardContextual"/>
        </w:rPr>
        <w:tab/>
        <w:t>Europaparlamentet är oroat över situationen för det europeiska gemensamma företaget för Iter och utveckling av fusionsenergi i fråga om olika aspekter som rör förvaltningen av personalresurser som revisionsrätten har iakttagit, särskilt vad gäller användningen av externa tjänsteleverantörer, i synnerhet följande:</w:t>
      </w:r>
    </w:p>
    <w:p w14:paraId="74913459" w14:textId="77777777" w:rsidR="00C122C8" w:rsidRPr="00C122C8" w:rsidRDefault="00C122C8" w:rsidP="00C122C8">
      <w:pPr>
        <w:spacing w:after="240"/>
        <w:ind w:left="1134" w:hanging="567"/>
        <w:rPr>
          <w:kern w:val="2"/>
          <w:szCs w:val="24"/>
          <w14:ligatures w14:val="standardContextual"/>
        </w:rPr>
      </w:pPr>
      <w:r w:rsidRPr="00C122C8">
        <w:rPr>
          <w:kern w:val="2"/>
          <w14:ligatures w14:val="standardContextual"/>
        </w:rPr>
        <w:t>a)</w:t>
      </w:r>
      <w:r w:rsidRPr="00C122C8">
        <w:rPr>
          <w:kern w:val="2"/>
          <w14:ligatures w14:val="standardContextual"/>
        </w:rPr>
        <w:tab/>
        <w:t>Det gemensamma företagets stora beroende av externa tjänsteleverantörer, eftersom det konstaterades att nästan hälften av det gemensamma företagets personal bestod av externa tjänsteleverantörer (361 externa tjänsteleverantörer och 429 ordinarie anställda 2023), vilket gör situationen till en kritisk fråga med en potentiell storskalig inverkan på det gemensamma företagets förmåga att förvalta sina personalresurser på ett hållbart sätt och samtidigt säkerställa en förmåga att bevara kunskap och institutionellt minne, vilket också möjliggör ekonomiska vinster på lång sikt.</w:t>
      </w:r>
    </w:p>
    <w:p w14:paraId="019239DD" w14:textId="77777777" w:rsidR="00C122C8" w:rsidRPr="00C122C8" w:rsidRDefault="00C122C8" w:rsidP="00C122C8">
      <w:pPr>
        <w:spacing w:after="240"/>
        <w:ind w:left="1134" w:hanging="567"/>
        <w:rPr>
          <w:kern w:val="2"/>
          <w14:ligatures w14:val="standardContextual"/>
        </w:rPr>
      </w:pPr>
      <w:r w:rsidRPr="00C122C8">
        <w:rPr>
          <w:kern w:val="2"/>
          <w14:ligatures w14:val="standardContextual"/>
        </w:rPr>
        <w:t>b)</w:t>
      </w:r>
      <w:r w:rsidRPr="00C122C8">
        <w:rPr>
          <w:kern w:val="2"/>
          <w14:ligatures w14:val="standardContextual"/>
        </w:rPr>
        <w:tab/>
        <w:t>Det faktum att det gemensamma företaget inte antog en unik formell definition av externa tjänsteleverantörer, vilket ledde till en brist på tydlighet i företagets bedömning av leverantörernas inverkan på behovet av ordinarie personal. Parlamentet noterar vidare att det gemensamma företagets riskregister inte omfattade alla potentiella risker som är förknippade med ett stort beroende av externa tjänsteleverantörer på lång sikt, vilket skulle kunna hindra det gemensamma företagets interna kontroll från att ha lämpliga begränsande åtgärder för att hantera dessa risker.</w:t>
      </w:r>
    </w:p>
    <w:p w14:paraId="61C28CC1" w14:textId="77777777" w:rsidR="00C122C8" w:rsidRPr="00C122C8" w:rsidRDefault="00C122C8" w:rsidP="00C122C8">
      <w:pPr>
        <w:spacing w:after="240"/>
        <w:ind w:left="1134" w:hanging="567"/>
        <w:rPr>
          <w:kern w:val="2"/>
          <w14:ligatures w14:val="standardContextual"/>
        </w:rPr>
      </w:pPr>
      <w:r w:rsidRPr="00C122C8">
        <w:rPr>
          <w:kern w:val="2"/>
          <w14:ligatures w14:val="standardContextual"/>
        </w:rPr>
        <w:t>c)</w:t>
      </w:r>
      <w:r w:rsidRPr="00C122C8">
        <w:rPr>
          <w:kern w:val="2"/>
          <w14:ligatures w14:val="standardContextual"/>
        </w:rPr>
        <w:tab/>
        <w:t>Resultaten av den revision som kommissionens tjänst för internrevision genomförde i detta ärende och som visade att det gemensamma företaget inte hade inrättat en centraliserad funktion för samordning och förvaltning av externa tjänsteleverantörer, och inte heller hade inrättat en metod för att bedöma sina samlade personalbehov, och i synnerhet sina behov av externa tjänsteleverantörer. Parlamentet understryker att det har konstaterats att det gemensamma företagets beslut om att anlita externa tjänsteleverantörer därför grundades på budgethänsyn snarare än på personalbehov.</w:t>
      </w:r>
    </w:p>
    <w:p w14:paraId="7F9EAE2A" w14:textId="77777777" w:rsidR="00C122C8" w:rsidRPr="00C122C8" w:rsidRDefault="00C122C8" w:rsidP="00C122C8">
      <w:pPr>
        <w:spacing w:after="240"/>
        <w:ind w:left="1134" w:hanging="567"/>
        <w:rPr>
          <w:kern w:val="2"/>
          <w14:ligatures w14:val="standardContextual"/>
        </w:rPr>
      </w:pPr>
      <w:r w:rsidRPr="00C122C8">
        <w:rPr>
          <w:kern w:val="2"/>
          <w14:ligatures w14:val="standardContextual"/>
        </w:rPr>
        <w:t>d)</w:t>
      </w:r>
      <w:r w:rsidRPr="00C122C8">
        <w:rPr>
          <w:kern w:val="2"/>
          <w14:ligatures w14:val="standardContextual"/>
        </w:rPr>
        <w:tab/>
        <w:t>Bristen på transparens i det gemensamma företagets rapportering om dess personalresurser, särskilt vad gäller presentationen av siffrorna för fast och icke-fast anställda, med tanke på att 224 av de 386 tillfälligt anställda och kontraktsanställda i själva verket hade ett avtal om tillsvidareanställning och därför kunde ha betraktats som fast anställda ur praktisk synvinkel. Parlamentet uppmanar det gemensamma företaget att i fortsättningen framhålla sådana nyanser i sin rapportering om personalresurser.</w:t>
      </w:r>
    </w:p>
    <w:p w14:paraId="058C75B3" w14:textId="77777777" w:rsidR="00C122C8" w:rsidRPr="00C122C8" w:rsidRDefault="00C122C8" w:rsidP="00C122C8">
      <w:pPr>
        <w:spacing w:after="240"/>
        <w:ind w:left="1134" w:hanging="567"/>
        <w:rPr>
          <w:kern w:val="2"/>
          <w14:ligatures w14:val="standardContextual"/>
        </w:rPr>
      </w:pPr>
      <w:r w:rsidRPr="00C122C8">
        <w:rPr>
          <w:kern w:val="2"/>
          <w14:ligatures w14:val="standardContextual"/>
        </w:rPr>
        <w:t>e)</w:t>
      </w:r>
      <w:r w:rsidRPr="00C122C8">
        <w:rPr>
          <w:kern w:val="2"/>
          <w14:ligatures w14:val="standardContextual"/>
        </w:rPr>
        <w:tab/>
        <w:t>Parlamentet instämmer i revisionsrättens rekommendation om åtgärder, enligt vilken det europeiska gemensamma företaget för Iter och utveckling av fusionsenergi bör inrätta en centraliserad samordnings- och förvaltningsfunktion för externa tjänsteleverantörer och anta en heltäckande metod för att regelbundet bedöma sina totala personalbehov på grundval av den förväntade arbetsbelastningen och de färdigheter som krävs, och att det berörda gemensamma företaget också bör komplettera sitt riskregister med de viktigaste risker som följer av dess höga grad av användning av externa tjänsteleverantörer på lång sikt.</w:t>
      </w:r>
    </w:p>
    <w:p w14:paraId="788C11FD" w14:textId="77777777" w:rsidR="00C122C8" w:rsidRPr="00C122C8" w:rsidRDefault="00C122C8" w:rsidP="00C122C8">
      <w:pPr>
        <w:spacing w:after="240"/>
        <w:ind w:left="1134" w:hanging="567"/>
        <w:rPr>
          <w:kern w:val="2"/>
          <w14:ligatures w14:val="standardContextual"/>
        </w:rPr>
      </w:pPr>
      <w:r w:rsidRPr="00C122C8">
        <w:rPr>
          <w:kern w:val="2"/>
          <w14:ligatures w14:val="standardContextual"/>
        </w:rPr>
        <w:lastRenderedPageBreak/>
        <w:t>f)</w:t>
      </w:r>
      <w:r w:rsidRPr="00C122C8">
        <w:rPr>
          <w:kern w:val="2"/>
          <w14:ligatures w14:val="standardContextual"/>
        </w:rPr>
        <w:tab/>
        <w:t>Parlamentet välkomnar de åtaganden som det gemensamma företaget har gjort och välkomnar dess förklaring av de utmaningar som leder till en omfattande användning av externa tjänsteleverantörer, men är ändå oroat över detta stora beroende och de därmed sammanhängande riskerna. Parlamentet uppmanar det gemensamma företaget att i fortsättningen lämna mer detaljerad information om de beslutsprocesser som leder till användningen av externa tjänsteleverantörer.</w:t>
      </w:r>
    </w:p>
    <w:p w14:paraId="309B1F6E"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34.</w:t>
      </w:r>
      <w:r w:rsidRPr="00C122C8">
        <w:rPr>
          <w:kern w:val="2"/>
          <w14:ligatures w14:val="standardContextual"/>
        </w:rPr>
        <w:tab/>
        <w:t>Europaparlamentet noterar att detaljnivån och tillgängligheten varierar när det gäller de kvantitativa uppgifter som de gemensamma företagen lämnar i sina årliga verksamhetsrapporter om könsbalansen bland personalen och inom de styrande organen och strukturerna. Parlamentet uppmanar alla gemensamma företag att i sina framtida årliga verksamhetsrapporter inkludera ett tydligt avsnitt med kvantitativa uppgifter om könsfördelningen bland personalen och inom de styrande organen och strukturerna, inbegripet uppdelning av uppgifterna mellan olika ansvarsnivåer och olika typer av kontrakt. Parlamentet uppmanar alla gemensamma företag att säkerställa att en jämn könsfördelning förblir ett mål på alla ansvarsnivåer och fortsätta sina ansträngningar på detta område, för att säkerställa en rättvis representation av samhället bland personalen och främja en sund och produktiv arbetsmiljö samt att förklara när en jämn könsfördelning inte kan uppnås.</w:t>
      </w:r>
    </w:p>
    <w:p w14:paraId="4A119700"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35.</w:t>
      </w:r>
      <w:r w:rsidRPr="00C122C8">
        <w:rPr>
          <w:kern w:val="2"/>
          <w14:ligatures w14:val="standardContextual"/>
        </w:rPr>
        <w:tab/>
        <w:t>Europaparlamentet noterar att detaljnivån och tillgängligheten varierar när det gäller de kvantitativa uppgifter som de gemensamma företagen lämnar i sina årliga verksamhetsrapporter om den geografiska fördelningen bland personalen och inom de styrande organen och strukturerna. Parlamentet uppmanar alla gemensamma företag att i sina framtida årliga verksamhetsrapporter inkludera ett tydligt avsnitt med kvantitativa uppgifter om den geografiska fördelningen bland personalen och inom de styrande organen och strukturerna, inbegripet uppdelning av uppgifterna mellan olika ansvarsnivåer och olika typer av kontrakt. Parlamentet uppmanar alla gemensamma företag att säkerställa att en tillfredsställande geografisk fördelning förblir ett mål på alla ansvarsnivåer och att förklara när en tillräcklig geografisk fördelning inte kan uppnås.</w:t>
      </w:r>
    </w:p>
    <w:p w14:paraId="1FDAC540"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36.</w:t>
      </w:r>
      <w:r w:rsidRPr="00C122C8">
        <w:rPr>
          <w:kern w:val="2"/>
          <w14:ligatures w14:val="standardContextual"/>
        </w:rPr>
        <w:tab/>
        <w:t>Europaparlamentet välkomnar det arbete som utförts av EU-byråernas nätverk (EUAN) och dess arbetsgrupp för mångfald och inkludering, vilket ledde till EUAN-stadgan om mångfald och inkludering, och uppmanar de gemensamma företagen att anta denna stadga.</w:t>
      </w:r>
    </w:p>
    <w:p w14:paraId="26CDF175"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37.</w:t>
      </w:r>
      <w:r w:rsidRPr="00C122C8">
        <w:rPr>
          <w:b/>
          <w:i/>
          <w:kern w:val="2"/>
          <w14:ligatures w14:val="standardContextual"/>
        </w:rPr>
        <w:tab/>
      </w:r>
      <w:r w:rsidRPr="00C122C8">
        <w:rPr>
          <w:kern w:val="2"/>
          <w14:ligatures w14:val="standardContextual"/>
        </w:rPr>
        <w:t>Europaparlamentet understryker att de gemensamma företagen ska säkerställa att finansierade projekt bidrar till socialt välbefinnande och social delaktighet och är förenliga med arbetstagarnas rättigheter och arbetsvillkor och med principerna om en rättvis omställning till hållbar teknik.</w:t>
      </w:r>
    </w:p>
    <w:p w14:paraId="45B4DABD" w14:textId="77777777" w:rsidR="00C122C8" w:rsidRPr="00C122C8" w:rsidRDefault="00C122C8" w:rsidP="00C122C8">
      <w:pPr>
        <w:spacing w:after="240"/>
        <w:ind w:left="567" w:hanging="567"/>
        <w:rPr>
          <w:b/>
          <w:iCs/>
          <w:kern w:val="2"/>
          <w14:ligatures w14:val="standardContextual"/>
        </w:rPr>
      </w:pPr>
      <w:r w:rsidRPr="00C122C8">
        <w:rPr>
          <w:b/>
          <w:iCs/>
          <w:kern w:val="2"/>
          <w14:ligatures w14:val="standardContextual"/>
        </w:rPr>
        <w:t>Förvaltnings- och kontrollsystem</w:t>
      </w:r>
    </w:p>
    <w:p w14:paraId="46385835"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38.</w:t>
      </w:r>
      <w:r w:rsidRPr="00C122C8">
        <w:rPr>
          <w:kern w:val="2"/>
          <w14:ligatures w14:val="standardContextual"/>
        </w:rPr>
        <w:tab/>
        <w:t>Europaparlamentet välkomnar revisionsrättens arbete med att granska bidragsutbetalningar som gjorts av de tio gemensamma företag som genomför forsknings- och innovationsprojekt, särskilt när det gäller dess kompletterande revision av ett urval av bidragsutbetalningar på mottagarnivå inom Horisont 2020. Parlamentet är bekymrat över resultaten av denna granskning som visade att det fanns kvarstående systemfel, särskilt i fråga om deklarerade personal- och utrustningskostnader.</w:t>
      </w:r>
      <w:r w:rsidRPr="00C122C8">
        <w:rPr>
          <w:b/>
          <w:i/>
          <w:kern w:val="2"/>
          <w14:ligatures w14:val="standardContextual"/>
        </w:rPr>
        <w:t xml:space="preserve"> </w:t>
      </w:r>
      <w:r w:rsidRPr="00C122C8">
        <w:rPr>
          <w:kern w:val="2"/>
          <w14:ligatures w14:val="standardContextual"/>
        </w:rPr>
        <w:t>Parlamentet efterlyser korrigering av systemfelen.</w:t>
      </w:r>
    </w:p>
    <w:p w14:paraId="7A9CB108"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lastRenderedPageBreak/>
        <w:t>39.</w:t>
      </w:r>
      <w:r w:rsidRPr="00C122C8">
        <w:rPr>
          <w:kern w:val="2"/>
          <w14:ligatures w14:val="standardContextual"/>
        </w:rPr>
        <w:tab/>
        <w:t>Europaparlamentet understryker att revisionsrätten fann ett fall med kvantifierade och allvarliga fel i utbetalningarna inom ramen för Horisont 2020 till det gemensamma företaget för ren luftfart, det gemensamma företaget för initiativet för innovativ hälsa, det gemensamma företaget för förnybar vätgas, det gemensamma företaget för ett cirkulärt, biobaserat Europa samt det gemensamma företaget för Europas järnvägar. Parlamentet välkomnar de initiativ som tagits i detta avseende för att öka medvetenheten på mottagarnivå. Parlamentet uppmanar alla gemensamma företag att säkerställa lagligheten och korrektheten i driftsutgifterna och understryker att revisionsrätten ansåg att risken när det gäller de gemensamma företagens mellanliggande och slutliga bidragsutbetalningar var medelhög.</w:t>
      </w:r>
    </w:p>
    <w:p w14:paraId="6840808E"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40.</w:t>
      </w:r>
      <w:r w:rsidRPr="00C122C8">
        <w:rPr>
          <w:b/>
          <w:i/>
          <w:kern w:val="2"/>
          <w14:ligatures w14:val="standardContextual"/>
        </w:rPr>
        <w:tab/>
      </w:r>
      <w:r w:rsidRPr="00C122C8">
        <w:rPr>
          <w:kern w:val="2"/>
          <w14:ligatures w14:val="standardContextual"/>
        </w:rPr>
        <w:t>Parlamentet uppmanar kommissionen att genomföra i) obligatorisk finansiell utbildning för de gemensamma företagens stödmottagare för att förhindra återkommande redovisningsfel, ii) automatiserade verifieringsverktyg för att öka noggrannheten i beräkningarna av personalkostnader och iii) starkare förfaranden för förhandsrevision för att säkerställa en korrekt användning av EU-medel.</w:t>
      </w:r>
    </w:p>
    <w:p w14:paraId="0D90C325"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41.</w:t>
      </w:r>
      <w:r w:rsidRPr="00C122C8">
        <w:rPr>
          <w:kern w:val="2"/>
          <w14:ligatures w14:val="standardContextual"/>
        </w:rPr>
        <w:tab/>
        <w:t>Europaparlamentet välkomnar att den genomsnittliga felfrekvensen enligt revisionsrättens extrapolering för alla gemensamma företag ligger strax under väsentlighetströskeln på 2 % för bidragsutgifter, liksom att de kvarstående felfrekvenser som beräknats av kommissionens gemensamma revisionstjänst också låg under väsentlighetströskeln.</w:t>
      </w:r>
    </w:p>
    <w:p w14:paraId="059B2A14"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42.</w:t>
      </w:r>
      <w:r w:rsidRPr="00C122C8">
        <w:rPr>
          <w:kern w:val="2"/>
          <w14:ligatures w14:val="standardContextual"/>
        </w:rPr>
        <w:tab/>
        <w:t>Europaparlamentet noterar att antalet mellanliggande betalningar inom Horisont Europa och Ett digitalt Europa var för litet för att ingå i det urval som revisionsrätten granskade 2023.</w:t>
      </w:r>
    </w:p>
    <w:p w14:paraId="2CA9E741"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43.</w:t>
      </w:r>
      <w:r w:rsidRPr="00C122C8">
        <w:rPr>
          <w:kern w:val="2"/>
          <w14:ligatures w14:val="standardContextual"/>
        </w:rPr>
        <w:tab/>
        <w:t>Europaparlamentet noterar att det gjordes flera ändringar av ramen för intern kontroll av gemensamma företag inom Horisont Europa, särskilt att kommissionen inte längre avser att göra specifika representativa efterhandsrevisioner på uppdrag av enskilda intressenter i Horisont Europa, såsom gemensamma företag, och noterar vidare att kommissionen planerar att tillämpa samma ändring på bidragsutbetalningar inom ramen för Ett digitalt Europa.</w:t>
      </w:r>
    </w:p>
    <w:p w14:paraId="0D1985FA"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44.</w:t>
      </w:r>
      <w:r w:rsidRPr="00C122C8">
        <w:rPr>
          <w:kern w:val="2"/>
          <w14:ligatures w14:val="standardContextual"/>
        </w:rPr>
        <w:tab/>
        <w:t>Europaparlamentet är oroat över bristen på kommunikation, samarbete och samordning mellan riskhanteringen inom det europeiska gemensamma företaget för Iter och utveckling av fusionsenergi och dess internrevisionsfunktioner, liksom över den därmed sammanhängande bristen på en integrerad riskhanteringsprocess och det faktum att det gemensamma företaget inte kunde ge tillfredsställande bevis för att det regelbundet använder riskhanteringsinformation när det planerar internrevisionsverksamhet. Parlamentet instämmer i revisionsrättens rekommendation om åtgärder i detta avseende, enligt vilken det berörda gemensamma företaget bör införa en integrerad riskhanteringsprocess i sin ram för intern kontroll för att kunna hantera sina risker på ett ändamålsenligt sätt. Parlamentet välkomnar det gemensamma företagets planer på att vidta åtgärder i denna fråga.</w:t>
      </w:r>
    </w:p>
    <w:p w14:paraId="273587BC"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45.</w:t>
      </w:r>
      <w:r w:rsidRPr="00C122C8">
        <w:rPr>
          <w:kern w:val="2"/>
          <w14:ligatures w14:val="standardContextual"/>
        </w:rPr>
        <w:tab/>
        <w:t xml:space="preserve">Europaparlamentet understryker vikten av att genomföra en heltäckande och uppdaterad kontinuitetsplan och katastrofplan för de gemensamma företagen. Parlamentet beklagar i detta avseende att de gemensamma företagen, med undantag för det europeiska gemensamma företaget för Iter och utveckling av fusionsenergi, vid utgången av budgetåret 2023 inte hade någon tillfredsställande policy i detta avseende. </w:t>
      </w:r>
      <w:r w:rsidRPr="00C122C8">
        <w:rPr>
          <w:kern w:val="2"/>
          <w14:ligatures w14:val="standardContextual"/>
        </w:rPr>
        <w:lastRenderedPageBreak/>
        <w:t>Parlamentet välkomnar det gemensamma företagets planer på att vidta åtgärder i denna fråga.</w:t>
      </w:r>
    </w:p>
    <w:p w14:paraId="4BA50ED0"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46.</w:t>
      </w:r>
      <w:r w:rsidRPr="00C122C8">
        <w:rPr>
          <w:kern w:val="2"/>
          <w14:ligatures w14:val="standardContextual"/>
        </w:rPr>
        <w:tab/>
        <w:t>Europaparlamentet påpekar att det gemensamma företaget för smarta nät och tjänster och det gemensamma företaget för global hälsa EDCTP3 fortfarande inte fullt ut hade genomfört kommissionens ram för intern kontroll och uppmanar dessa två gemensamma företag att fullt ut genomföra denna ram.</w:t>
      </w:r>
    </w:p>
    <w:p w14:paraId="16362166" w14:textId="77777777" w:rsidR="00C122C8" w:rsidRPr="00C122C8" w:rsidRDefault="00C122C8" w:rsidP="00C122C8">
      <w:pPr>
        <w:spacing w:after="240"/>
        <w:ind w:left="567" w:hanging="567"/>
        <w:rPr>
          <w:b/>
          <w:iCs/>
          <w:kern w:val="2"/>
          <w14:ligatures w14:val="standardContextual"/>
        </w:rPr>
      </w:pPr>
      <w:r w:rsidRPr="00C122C8">
        <w:rPr>
          <w:b/>
          <w:iCs/>
          <w:kern w:val="2"/>
          <w14:ligatures w14:val="standardContextual"/>
        </w:rPr>
        <w:t>Bedrägeri, etik och intressekonflikter</w:t>
      </w:r>
    </w:p>
    <w:p w14:paraId="35AC05BF"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47.</w:t>
      </w:r>
      <w:r w:rsidRPr="00C122C8">
        <w:rPr>
          <w:kern w:val="2"/>
          <w14:ligatures w14:val="standardContextual"/>
        </w:rPr>
        <w:tab/>
        <w:t>Europaparlamentet noterar att revisionsrätten gjorde en anmälan om misstänkt bedrägeri till Europeiska byrån för bedrägeribekämpning (Olaf) under sin revision av budgetåret 2023. Parlamentet uppfattar att ärendet senare avskrevs av Olaf eftersom inget bedrägeri hade konstaterats i samband med det berörda personalärendet. Parlamentet välkomnar revisionsrättens omsorg och samarbetet inom strukturen för bedrägeribekämpning.</w:t>
      </w:r>
    </w:p>
    <w:p w14:paraId="23653300"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48.</w:t>
      </w:r>
      <w:r w:rsidRPr="00C122C8">
        <w:rPr>
          <w:kern w:val="2"/>
          <w14:ligatures w14:val="standardContextual"/>
        </w:rPr>
        <w:tab/>
        <w:t>Europaparlamentet understryker vikten av att genomföra en policy för intern kontroll av känsliga funktioner för de gemensamma företagen.</w:t>
      </w:r>
      <w:r w:rsidRPr="00C122C8">
        <w:rPr>
          <w:b/>
          <w:i/>
          <w:kern w:val="2"/>
          <w14:ligatures w14:val="standardContextual"/>
        </w:rPr>
        <w:t xml:space="preserve"> </w:t>
      </w:r>
      <w:r w:rsidRPr="00C122C8">
        <w:rPr>
          <w:kern w:val="2"/>
          <w14:ligatures w14:val="standardContextual"/>
        </w:rPr>
        <w:t>Parlamentet betonar att en sådan policy kan förebygga och minska risken för olämpliga eller bedrägliga handlingar. Parlamentet beklagar att vid utgången av budgetåret 2023 hade det gemensamma företaget Sesar 3, det gemensamma företaget för förnybar vätgas, det gemensamma företaget för halvledare, det gemensamma företaget för ett europeiskt högpresterande datorsystem samt det europeiska gemensamma företaget för Iter och utveckling av fusionsenergi ännu inte någon policy i detta avseende. Parlamentet betonar att situationen är kritisk och uppmanar de gemensamma företagen att vidta åtgärder utan onödiga dröjsmål.</w:t>
      </w:r>
    </w:p>
    <w:p w14:paraId="7C624CD4"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49.</w:t>
      </w:r>
      <w:r w:rsidRPr="00C122C8">
        <w:rPr>
          <w:kern w:val="2"/>
          <w14:ligatures w14:val="standardContextual"/>
        </w:rPr>
        <w:tab/>
        <w:t>Europaparlamentet noterar situationen i det gemensamma företaget för halvledare som revisionsrätten hänvisar till, där en av de tidigare högre tjänstemännen som nyligen hade lämnat det gemensamma företaget började en ny yrkesverksamhet utan att i förväg meddela det berörda gemensamma företaget. Parlamentet uppmanar det berörda gemensamma företaget och alla andra gemensamma företag att aktivt övervaka de nya yrkesverksamheterna för tidigare högre tjänstemän och för tjänstemän som har en känslig funktion. Parlamentet välkomnar den ytterligare information som det berörda gemensamma företaget har lämnat i detta specifika fall.</w:t>
      </w:r>
    </w:p>
    <w:p w14:paraId="622A6C4E"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50.</w:t>
      </w:r>
      <w:r w:rsidRPr="00C122C8">
        <w:rPr>
          <w:b/>
          <w:i/>
          <w:kern w:val="2"/>
          <w14:ligatures w14:val="standardContextual"/>
        </w:rPr>
        <w:tab/>
      </w:r>
      <w:r w:rsidRPr="00C122C8">
        <w:rPr>
          <w:kern w:val="2"/>
          <w14:ligatures w14:val="standardContextual"/>
        </w:rPr>
        <w:t>Europaparlamentet uppmanar alla gemensamma företag att förbättra sin transparenspolitik, särskilt när det gäller potentiella intressekonflikter. Parlamentet uppmanar med kraft de gemensamma företagen att offentliggöra intresseförklaringar från sina styrelseledamöter, vetenskapliga kommittéer och externa experter för att säkerställa att alla ekonomiska, yrkesmässiga eller personliga band till enheter som får finansiering från gemensamma företag offentliggörs. Parlamentet insisterar på införandet av en obligatorisk karenstid för det gemensamma företagets högre tjänstemän innan de kan börja arbeta i organisationer som får finansiering från det gemensamma företaget.</w:t>
      </w:r>
    </w:p>
    <w:p w14:paraId="1089DFF4"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51.</w:t>
      </w:r>
      <w:r w:rsidRPr="00C122C8">
        <w:rPr>
          <w:kern w:val="2"/>
          <w14:ligatures w14:val="standardContextual"/>
        </w:rPr>
        <w:tab/>
        <w:t xml:space="preserve">Europaparlamentet noterar den information som de gemensamma företagen har rapporterat om sin verksamhet för att förebygga, upptäcka och korrigera bedrägerier. Parlamentet uppmanar alla gemensamma företag att stärka sin roll och identifiera sina svagheter genom att delta ytterligare i diskussioner om bedrägeribekämpning och att </w:t>
      </w:r>
      <w:r w:rsidRPr="00C122C8">
        <w:rPr>
          <w:kern w:val="2"/>
          <w14:ligatures w14:val="standardContextual"/>
        </w:rPr>
        <w:lastRenderedPageBreak/>
        <w:t>rapportera om sådana aspekter och att i sina framtida rapporter tydligt redogöra för den rättsliga ramen och den policy som införts i detta avseende.</w:t>
      </w:r>
    </w:p>
    <w:p w14:paraId="14615189" w14:textId="77777777" w:rsidR="00C122C8" w:rsidRPr="00C122C8" w:rsidRDefault="00C122C8" w:rsidP="00C122C8">
      <w:pPr>
        <w:spacing w:after="240"/>
        <w:rPr>
          <w:b/>
          <w:iCs/>
          <w:kern w:val="2"/>
          <w14:ligatures w14:val="standardContextual"/>
        </w:rPr>
      </w:pPr>
      <w:r w:rsidRPr="00C122C8">
        <w:rPr>
          <w:b/>
          <w:iCs/>
          <w:kern w:val="2"/>
          <w14:ligatures w14:val="standardContextual"/>
        </w:rPr>
        <w:t>Anmärkningar om uppföljningen av de gemensamma företagen i samband med det föregående ansvarsfrihetsförfarandet</w:t>
      </w:r>
    </w:p>
    <w:p w14:paraId="7481A997"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52.</w:t>
      </w:r>
      <w:r w:rsidRPr="00C122C8">
        <w:rPr>
          <w:kern w:val="2"/>
          <w14:ligatures w14:val="standardContextual"/>
        </w:rPr>
        <w:tab/>
        <w:t>Europaparlamentet välkomnar att de gemensamma företagen har utarbetat en uppföljningsrapport till Europaparlamentets resolutioner med iakttagelser som utgör en del av besluten om ansvarsfrihet för genomförandet av de gemensamma företagens budget för budgetåret 2022. Parlamentet konstaterar att dessa rapporter i tillfredsställande utsträckning innehåller de gemensamma företagens synpunkter på de frågor som Europaparlamentet har betonat.</w:t>
      </w:r>
    </w:p>
    <w:p w14:paraId="2D54083B"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53.</w:t>
      </w:r>
      <w:r w:rsidRPr="00C122C8">
        <w:rPr>
          <w:kern w:val="2"/>
          <w14:ligatures w14:val="standardContextual"/>
        </w:rPr>
        <w:tab/>
        <w:t>Europaparlamentet välkomnar att revisionsrättens rapport också innehåller en analys av de gemensamma företagens uppföljning av tidigare iakttagelser och rekommendationer om åtgärder som offentliggjorts av revisionsrätten. Parlamentet noterar i detta avseende att av 37 iakttagelser som inte hade åtgärdats i tillräcklig utsträckning i slutet av 2022 hade 16 avslutats och 21 var fortfarande öppna i slutet av 2023. Parlamentet noterar vidare att av de 15 rekommenderade åtgärderna i årsredovisningarna för 2021 och 2022 hade nio genomförts fullt ut, två i de flesta avseenden, tre i vissa avseenden och en inte alls. Parlamentet uppfattar att vissa rekommendationer som behöver genomföras ytterligare främst rör personalfrågor som de gemensamma företagen endast kan genomföra i samarbete med kommissionens generaldirektorat för budget och när ansökningarna är redo att genomföras. Parlamentet uppfattar att de rekommendationer som skulle genomföras före utgången av 2023 genomfördes i tid.</w:t>
      </w:r>
    </w:p>
    <w:p w14:paraId="0BCC9B60"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54.</w:t>
      </w:r>
      <w:r w:rsidRPr="00C122C8">
        <w:rPr>
          <w:kern w:val="2"/>
          <w14:ligatures w14:val="standardContextual"/>
        </w:rPr>
        <w:tab/>
        <w:t>Europaparlamentet välkomnar att revisionsrätten nu har angett en tidsfrist för genomförandet av var och en av sina öppna rekommendationer om åtgärder, vilka har fastställts i samarbete med de gemensamma företagen för att säkerställa att de är genomförbara. Parlamentet uppmanar alla gemensamma företag att fortsätta att rapportera tillbaka till revisionsrätten och Europaparlamentet i dessa frågor.</w:t>
      </w:r>
    </w:p>
    <w:p w14:paraId="4371607B"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55.</w:t>
      </w:r>
      <w:r w:rsidRPr="00C122C8">
        <w:rPr>
          <w:b/>
          <w:i/>
          <w:kern w:val="2"/>
          <w14:ligatures w14:val="standardContextual"/>
        </w:rPr>
        <w:tab/>
      </w:r>
      <w:r w:rsidRPr="00C122C8">
        <w:rPr>
          <w:kern w:val="2"/>
          <w14:ligatures w14:val="standardContextual"/>
        </w:rPr>
        <w:t>Europaparlamentet noterar med oro de ihållande utmaningarna med kostnadsöverskridanden, förseningar och styrningsfrågor vid genomförandet av Iterprojektet. Parlamentet efterlyser förbättrad finansiell tillsyn och ökad budgettransparens, inklusive mer detaljerad offentlig rapportering om kostnadsutveckling, utgiftseffektivitet och framsteg mot viktiga projektdelmål. Parlamentet betonar behovet av striktare revisionsmekanismer för att säkerställa att unionens bidrag till projektet utnyttjas effektivt. Parlamentet uppmanar med kraft det gemensamma företaget att stärka den interna styrningen genom att säkerställa regelbundna och oberoende utvärderingar av projektrisker och genom att öka mekanismerna för ansvarsskyldighet för den högsta ledningen.</w:t>
      </w:r>
    </w:p>
    <w:p w14:paraId="6F8F27C5" w14:textId="77777777" w:rsidR="00C122C8" w:rsidRPr="00C122C8" w:rsidRDefault="00C122C8" w:rsidP="00C122C8">
      <w:pPr>
        <w:spacing w:after="240"/>
        <w:ind w:left="567" w:hanging="567"/>
        <w:rPr>
          <w:b/>
          <w:iCs/>
          <w:kern w:val="2"/>
          <w14:ligatures w14:val="standardContextual"/>
        </w:rPr>
      </w:pPr>
      <w:r w:rsidRPr="00C122C8">
        <w:rPr>
          <w:b/>
          <w:iCs/>
          <w:kern w:val="2"/>
          <w14:ligatures w14:val="standardContextual"/>
        </w:rPr>
        <w:t>Andra prioriteringar för de gemensamma företagen</w:t>
      </w:r>
    </w:p>
    <w:p w14:paraId="61F5AFA5"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56.</w:t>
      </w:r>
      <w:r w:rsidRPr="00C122C8">
        <w:rPr>
          <w:kern w:val="2"/>
          <w14:ligatures w14:val="standardContextual"/>
        </w:rPr>
        <w:tab/>
        <w:t xml:space="preserve">Europaparlamentet är medvetet om de gemensamma företagens administrativa och budgetmässiga begränsningar och uppmanar med hänsyn till dessa begränsningar de gemensamma företagen att bättre sprida sitt bidrag till forsknings- och innovationsverksamhet genom tillgängligt kommunikationsmaterial som är avsett för akademiska institutioner och forskningsinstitutioner, offentliga och privata organisationer samt europeiska och nationella myndigheter. Parlamentet efterlyser att </w:t>
      </w:r>
      <w:r w:rsidRPr="00C122C8">
        <w:rPr>
          <w:kern w:val="2"/>
          <w14:ligatures w14:val="standardContextual"/>
        </w:rPr>
        <w:lastRenderedPageBreak/>
        <w:t>detta tillgängliga kommunikationsmaterial ska främja de möjligheter till upphandlingskontrakt och bidrag som de gemensamma företagen erbjuder på området för forsknings- och innovationsverksamhet.</w:t>
      </w:r>
    </w:p>
    <w:p w14:paraId="2960292E"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57.</w:t>
      </w:r>
      <w:r w:rsidRPr="00C122C8">
        <w:rPr>
          <w:kern w:val="2"/>
          <w14:ligatures w14:val="standardContextual"/>
        </w:rPr>
        <w:tab/>
        <w:t>Europaparlamentet uppmanar de gemensamma företagen att proaktivt delta i kommunikationsverksamhet för att nå ut till ett brett spektrum av EU-medborgare i en pedagogisk insats för att presentera deras bidrag till gemensamma mål och behovet av institutionaliserade partnerskap som involverar privata medlemmar.</w:t>
      </w:r>
    </w:p>
    <w:p w14:paraId="69189430"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58.</w:t>
      </w:r>
      <w:r w:rsidRPr="00C122C8">
        <w:rPr>
          <w:b/>
          <w:i/>
          <w:kern w:val="2"/>
          <w14:ligatures w14:val="standardContextual"/>
        </w:rPr>
        <w:tab/>
      </w:r>
      <w:r w:rsidRPr="00C122C8">
        <w:rPr>
          <w:kern w:val="2"/>
          <w14:ligatures w14:val="standardContextual"/>
        </w:rPr>
        <w:t>Europaparlamentet uppmanar de gemensamma företagen att inleda samarbete med universiteten i syfte att nå ut till unga europeiska högskoleutbildade för att stärka de framtida rekryteringsprocesserna.</w:t>
      </w:r>
    </w:p>
    <w:p w14:paraId="6EF9E467"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59.</w:t>
      </w:r>
      <w:r w:rsidRPr="00C122C8">
        <w:rPr>
          <w:kern w:val="2"/>
          <w14:ligatures w14:val="standardContextual"/>
        </w:rPr>
        <w:tab/>
        <w:t>Europaparlamentet uppmanar de gemensamma företagen att fortsätta att på ett ändamålsenligt sätt och i den utsträckning som deras kapacitet tillåter rapportera om sitt bidrag till sysselsättningen och den europeiska ekonomins konkurrenskraft, mot bakgrund av att alla viktiga intressenter i Europeiska unionen på det europeiska forskningsområdet måste fokusera på återindustrialiseringen av Europeiska unionen.</w:t>
      </w:r>
    </w:p>
    <w:p w14:paraId="03BC4400"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60.</w:t>
      </w:r>
      <w:r w:rsidRPr="00C122C8">
        <w:rPr>
          <w:kern w:val="2"/>
          <w14:ligatures w14:val="standardContextual"/>
        </w:rPr>
        <w:tab/>
        <w:t>Europaparlamentet uppmanar de gemensamma företagen att fortsätta att säkerställa en tillräcklig nivå av deltagande från privata företag, särskilt små och medelstora företag, som utgör den europeiska ekonomins starkaste tillgång.</w:t>
      </w:r>
    </w:p>
    <w:p w14:paraId="68895BC9"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61.</w:t>
      </w:r>
      <w:r w:rsidRPr="00C122C8">
        <w:rPr>
          <w:kern w:val="2"/>
          <w14:ligatures w14:val="standardContextual"/>
        </w:rPr>
        <w:tab/>
        <w:t>Europaparlamentet uppmanar de gemensamma företagen att på ett ändamålsenligt sätt rapportera om sitt bidrag till de övergripande prioriteringarna i Europeiska unionens budget.</w:t>
      </w:r>
    </w:p>
    <w:p w14:paraId="7893192A"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62.</w:t>
      </w:r>
      <w:r w:rsidRPr="00C122C8">
        <w:rPr>
          <w:kern w:val="2"/>
          <w14:ligatures w14:val="standardContextual"/>
        </w:rPr>
        <w:tab/>
        <w:t>Europaparlamentet uppmanar alla gemensamma företag att fortsätta att agera med omsorg i sin verksamhet när de har att göra med internationella intressenter, särskilt mot bakgrund av det system med restriktiva åtgärder som införts av Europeiska unionen. Parlamentet understryker den särskilda situationen för det europeiska gemensamma företaget för Iter och utveckling av fusionsenergi i detta avseende och välkomnar de förklaringar som lämnades under utfrågningen av det berörda gemensamma företaget i budgetkontrollutskottet om de åtgärder som vidtagits för att förhindra eventuella problem inom ramen för Iterprojektet.</w:t>
      </w:r>
    </w:p>
    <w:p w14:paraId="3E3956B8"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63.</w:t>
      </w:r>
      <w:r w:rsidRPr="00C122C8">
        <w:rPr>
          <w:kern w:val="2"/>
          <w14:ligatures w14:val="standardContextual"/>
        </w:rPr>
        <w:tab/>
        <w:t>Europaparlamentet uppmanar alla gemensamma företag att säkerställa att deras personal på ett lämpligt sätt utnyttjar möjliga synergier med andra enheter från Europeiska unionen, såsom byråer, inom alla relevanta områden och för att öka verksamhetens effektivitet och genomslagskraft. Parlamentet uppmanar alla gemensamma företag att säkerställa att deras personal på lämpligt sätt utnyttjar den plattform som EU-byråernas nätverk (EUAN) utgör.</w:t>
      </w:r>
    </w:p>
    <w:p w14:paraId="38C0B16D" w14:textId="77777777" w:rsidR="00C122C8" w:rsidRPr="00C122C8" w:rsidRDefault="00C122C8" w:rsidP="00C122C8">
      <w:pPr>
        <w:spacing w:after="240"/>
        <w:ind w:left="567" w:hanging="567"/>
        <w:rPr>
          <w:b/>
          <w:i/>
          <w:kern w:val="2"/>
          <w14:ligatures w14:val="standardContextual"/>
        </w:rPr>
      </w:pPr>
      <w:r w:rsidRPr="00C122C8">
        <w:rPr>
          <w:kern w:val="2"/>
          <w14:ligatures w14:val="standardContextual"/>
        </w:rPr>
        <w:t>64.</w:t>
      </w:r>
      <w:r w:rsidRPr="00C122C8">
        <w:rPr>
          <w:b/>
          <w:i/>
          <w:kern w:val="2"/>
          <w14:ligatures w14:val="standardContextual"/>
        </w:rPr>
        <w:tab/>
      </w:r>
      <w:r w:rsidRPr="00C122C8">
        <w:rPr>
          <w:kern w:val="2"/>
          <w14:ligatures w14:val="standardContextual"/>
        </w:rPr>
        <w:t xml:space="preserve">Europaparlamentet framhåller behovet av digital suveränitet inom unionsfinansierad forskning. Parlamentet betonar i detta sammanhang särskilt det gemensamma företaget för halvledare, det gemensamma företaget för ett europeiskt högpresterande datorsystem och det gemensamma företaget för smarta nät och tjänster som ska prioritera projekt som stärker unionens autonomi inom halvledartillverkning, artificiell intelligens och cybersäkerhet. Europaparlamentet uppmanar kommissionen att se till att projekt som finansieras av gemensamma företag i) inte är i alltför stor utsträckning beroende av leverantörer från tredjeländer för kritisk teknik, ii) bidrar till EU:s </w:t>
      </w:r>
      <w:r w:rsidRPr="00C122C8">
        <w:rPr>
          <w:kern w:val="2"/>
          <w14:ligatures w14:val="standardContextual"/>
        </w:rPr>
        <w:lastRenderedPageBreak/>
        <w:t>industriella motståndskraft och strategiska oberoende och iii) främjar inhemsk forskning och utveckling inom viktiga digitala sektorer.</w:t>
      </w:r>
    </w:p>
    <w:p w14:paraId="5363819B" w14:textId="77777777" w:rsidR="00C122C8" w:rsidRPr="00C122C8" w:rsidRDefault="00C122C8" w:rsidP="00C122C8">
      <w:pPr>
        <w:spacing w:after="240"/>
        <w:ind w:left="567" w:hanging="567"/>
        <w:rPr>
          <w:b/>
          <w:iCs/>
          <w:kern w:val="2"/>
          <w14:ligatures w14:val="standardContextual"/>
        </w:rPr>
      </w:pPr>
      <w:r w:rsidRPr="00C122C8">
        <w:rPr>
          <w:b/>
          <w:iCs/>
          <w:kern w:val="2"/>
          <w14:ligatures w14:val="standardContextual"/>
        </w:rPr>
        <w:t>Begäran om uppföljning</w:t>
      </w:r>
    </w:p>
    <w:p w14:paraId="2B6FFD70" w14:textId="77777777" w:rsidR="00C122C8" w:rsidRPr="00C122C8" w:rsidRDefault="00C122C8" w:rsidP="00C122C8">
      <w:pPr>
        <w:spacing w:after="240"/>
        <w:ind w:left="567" w:hanging="567"/>
        <w:rPr>
          <w:kern w:val="2"/>
          <w:szCs w:val="24"/>
          <w14:ligatures w14:val="standardContextual"/>
        </w:rPr>
      </w:pPr>
      <w:r w:rsidRPr="00C122C8">
        <w:rPr>
          <w:kern w:val="2"/>
          <w14:ligatures w14:val="standardContextual"/>
        </w:rPr>
        <w:t>65.</w:t>
      </w:r>
      <w:r w:rsidRPr="00C122C8">
        <w:rPr>
          <w:kern w:val="2"/>
          <w14:ligatures w14:val="standardContextual"/>
        </w:rPr>
        <w:tab/>
        <w:t>Europaparlamentet uppmanar varje gemensamt företag som övervägs för beviljande av ansvarsfrihet för budgetåret 2023 att utarbeta en individuell uppföljningsrapport om alla åtgärder som vidtagits för att ta itu med de specifika frågor som nämns i denna resolution och att överlämna denna uppföljningsrapport, undertecknad av det gemensamma företagets (verkställande) direktör, till Europaparlamentet senast den 30 september 2025.</w:t>
      </w:r>
    </w:p>
    <w:p w14:paraId="025A7B45" w14:textId="77777777" w:rsidR="00C122C8" w:rsidRPr="00C122C8" w:rsidRDefault="00C122C8" w:rsidP="00C122C8">
      <w:pPr>
        <w:spacing w:after="240"/>
        <w:ind w:left="567" w:hanging="567"/>
        <w:rPr>
          <w:kern w:val="2"/>
          <w14:ligatures w14:val="standardContextual"/>
        </w:rPr>
      </w:pPr>
      <w:r w:rsidRPr="00C122C8">
        <w:rPr>
          <w:kern w:val="2"/>
          <w14:ligatures w14:val="standardContextual"/>
        </w:rPr>
        <w:t>66.</w:t>
      </w:r>
      <w:r w:rsidRPr="00C122C8">
        <w:rPr>
          <w:kern w:val="2"/>
          <w14:ligatures w14:val="standardContextual"/>
        </w:rPr>
        <w:tab/>
        <w:t>Europaparlamentet understryker att uppföljningsrapporterna också kan innehålla de gemensamma företagens allmänna synpunkter på denna resolution och på andra frågor som är relevanta för den myndighet som beviljar ansvarsfrihet. Parlamentet förväntar sig att de gemensamma företagen utarbetar detta betänkande med en övergripande strategi, att de tar upp alla frågor som Europaparlamentet behandlar rörande deras verksamhet och att de gör detta i god tro och i samarbete.</w:t>
      </w:r>
    </w:p>
    <w:p w14:paraId="6437C7C7" w14:textId="77777777" w:rsidR="00C122C8" w:rsidRPr="00C122C8" w:rsidRDefault="00C122C8" w:rsidP="00C122C8">
      <w:pPr>
        <w:widowControl/>
        <w:jc w:val="both"/>
        <w:rPr>
          <w:rFonts w:eastAsia="Aptos"/>
          <w:kern w:val="2"/>
          <w:szCs w:val="24"/>
          <w:lang w:val="en-GB" w:eastAsia="en-US"/>
          <w14:ligatures w14:val="standardContextual"/>
        </w:rPr>
      </w:pPr>
      <w:r w:rsidRPr="00C122C8">
        <w:rPr>
          <w:rFonts w:eastAsia="Aptos"/>
          <w:kern w:val="2"/>
          <w:szCs w:val="24"/>
          <w:lang w:val="en-GB" w:eastAsia="en-US"/>
          <w14:ligatures w14:val="standardContextual"/>
        </w:rPr>
        <w:br w:type="page"/>
      </w:r>
    </w:p>
    <w:p w14:paraId="4AF80299" w14:textId="77777777" w:rsidR="00C122C8" w:rsidRPr="00C122C8" w:rsidRDefault="00C122C8" w:rsidP="00C122C8">
      <w:pPr>
        <w:widowControl/>
        <w:jc w:val="both"/>
        <w:rPr>
          <w:rFonts w:eastAsia="Aptos"/>
          <w:kern w:val="2"/>
          <w:szCs w:val="24"/>
          <w:lang w:val="en-GB" w:eastAsia="en-US"/>
          <w14:ligatures w14:val="standardContextual"/>
        </w:rPr>
        <w:sectPr w:rsidR="00C122C8" w:rsidRPr="00C122C8" w:rsidSect="00C122C8">
          <w:footnotePr>
            <w:numRestart w:val="eachSect"/>
          </w:footnotePr>
          <w:pgSz w:w="11906" w:h="16838"/>
          <w:pgMar w:top="1440" w:right="1440" w:bottom="1440" w:left="1440" w:header="708" w:footer="708" w:gutter="0"/>
          <w:cols w:space="708"/>
          <w:docGrid w:linePitch="360"/>
        </w:sectPr>
      </w:pPr>
    </w:p>
    <w:p w14:paraId="2788883E" w14:textId="77777777" w:rsidR="00C122C8" w:rsidRPr="00C122C8" w:rsidRDefault="00C122C8" w:rsidP="00C122C8">
      <w:pPr>
        <w:widowControl/>
        <w:jc w:val="both"/>
        <w:rPr>
          <w:rFonts w:eastAsia="Aptos"/>
          <w:kern w:val="2"/>
          <w:szCs w:val="24"/>
          <w:lang w:val="en-GB" w:eastAsia="en-US"/>
          <w14:ligatures w14:val="standardContextual"/>
        </w:rPr>
      </w:pPr>
    </w:p>
    <w:p w14:paraId="0A330682" w14:textId="1C46CDD6" w:rsidR="006F7786" w:rsidRPr="003B51D7" w:rsidRDefault="006F7786" w:rsidP="00C122C8"/>
    <w:sectPr w:rsidR="006F7786" w:rsidRPr="003B51D7" w:rsidSect="00C122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37C2C" w14:textId="77777777" w:rsidR="00E364FA" w:rsidRPr="003B51D7" w:rsidRDefault="00E364FA">
      <w:r w:rsidRPr="003B51D7">
        <w:separator/>
      </w:r>
    </w:p>
  </w:endnote>
  <w:endnote w:type="continuationSeparator" w:id="0">
    <w:p w14:paraId="0C0E8672" w14:textId="77777777" w:rsidR="00E364FA" w:rsidRPr="003B51D7" w:rsidRDefault="00E364FA">
      <w:r w:rsidRPr="003B51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CE19" w14:textId="77777777" w:rsidR="00E364FA" w:rsidRPr="003B51D7" w:rsidRDefault="00E364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630AC" w14:textId="77777777" w:rsidR="00E364FA" w:rsidRPr="003B51D7" w:rsidRDefault="00E364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6D9F1" w14:textId="77777777" w:rsidR="00E364FA" w:rsidRPr="003B51D7" w:rsidRDefault="00E364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D207D" w14:textId="77777777" w:rsidR="00E364FA" w:rsidRPr="003B51D7" w:rsidRDefault="00E364FA">
      <w:r w:rsidRPr="003B51D7">
        <w:separator/>
      </w:r>
    </w:p>
  </w:footnote>
  <w:footnote w:type="continuationSeparator" w:id="0">
    <w:p w14:paraId="5E4AF17A" w14:textId="77777777" w:rsidR="00E364FA" w:rsidRPr="003B51D7" w:rsidRDefault="00E364FA">
      <w:r w:rsidRPr="003B51D7">
        <w:continuationSeparator/>
      </w:r>
    </w:p>
  </w:footnote>
  <w:footnote w:id="1">
    <w:p w14:paraId="4B2BD4C0" w14:textId="77777777" w:rsidR="00C122C8" w:rsidRPr="00FA12AC" w:rsidRDefault="00C122C8" w:rsidP="00C122C8">
      <w:pPr>
        <w:pStyle w:val="FootnoteText"/>
        <w:ind w:left="567" w:hanging="567"/>
        <w:rPr>
          <w:sz w:val="24"/>
          <w:szCs w:val="24"/>
          <w:lang w:val="fi-FI"/>
        </w:rPr>
      </w:pPr>
      <w:r w:rsidRPr="00FA12AC">
        <w:rPr>
          <w:rStyle w:val="FootnoteReference"/>
          <w:sz w:val="24"/>
        </w:rPr>
        <w:footnoteRef/>
      </w:r>
      <w:r w:rsidRPr="00FA12AC">
        <w:rPr>
          <w:sz w:val="24"/>
          <w:lang w:val="fi-FI"/>
        </w:rPr>
        <w:t xml:space="preserve"> </w:t>
      </w:r>
      <w:r w:rsidRPr="00CD15A8">
        <w:rPr>
          <w:sz w:val="24"/>
          <w:lang w:val="fi-FI"/>
        </w:rPr>
        <w:tab/>
        <w:t xml:space="preserve">EUT C, C/2024/6841, 13.11.2024, ELI: </w:t>
      </w:r>
      <w:hyperlink r:id="rId1" w:history="1">
        <w:r w:rsidRPr="00CD15A8">
          <w:rPr>
            <w:rStyle w:val="Hyperlink1"/>
            <w:sz w:val="24"/>
            <w:lang w:val="fi-FI"/>
          </w:rPr>
          <w:t>http://data.europa.eu/eli/C/2024/6841/oj</w:t>
        </w:r>
      </w:hyperlink>
      <w:r w:rsidRPr="00CD15A8">
        <w:rPr>
          <w:sz w:val="24"/>
          <w:lang w:val="fi-FI"/>
        </w:rPr>
        <w:t>.</w:t>
      </w:r>
    </w:p>
  </w:footnote>
  <w:footnote w:id="2">
    <w:p w14:paraId="6B8D981F" w14:textId="77777777" w:rsidR="00C122C8" w:rsidRPr="00FA12AC" w:rsidRDefault="00C122C8" w:rsidP="00C122C8">
      <w:pPr>
        <w:pStyle w:val="FootnoteText"/>
        <w:ind w:left="567" w:hanging="567"/>
        <w:rPr>
          <w:sz w:val="24"/>
          <w:szCs w:val="24"/>
          <w:lang w:val="fi-FI"/>
        </w:rPr>
      </w:pPr>
      <w:r w:rsidRPr="00FA12AC">
        <w:rPr>
          <w:rStyle w:val="FootnoteReference"/>
          <w:sz w:val="24"/>
        </w:rPr>
        <w:footnoteRef/>
      </w:r>
      <w:r w:rsidRPr="00FA12AC">
        <w:rPr>
          <w:sz w:val="24"/>
          <w:lang w:val="fi-FI"/>
        </w:rPr>
        <w:t xml:space="preserve"> </w:t>
      </w:r>
      <w:r w:rsidRPr="00CD15A8">
        <w:rPr>
          <w:sz w:val="24"/>
          <w:lang w:val="fi-FI"/>
        </w:rPr>
        <w:tab/>
        <w:t xml:space="preserve">EUT C, C/2024/6041, 10.10.2024, ELI: </w:t>
      </w:r>
      <w:hyperlink r:id="rId2" w:history="1">
        <w:r w:rsidRPr="00CD15A8">
          <w:rPr>
            <w:rStyle w:val="Hyperlink1"/>
            <w:sz w:val="24"/>
            <w:lang w:val="fi-FI"/>
          </w:rPr>
          <w:t>http://data.europa.eu/eli/C/2024/6041/oj</w:t>
        </w:r>
      </w:hyperlink>
      <w:r w:rsidRPr="00CD15A8">
        <w:rPr>
          <w:sz w:val="24"/>
          <w:lang w:val="fi-FI"/>
        </w:rPr>
        <w:t>.</w:t>
      </w:r>
    </w:p>
  </w:footnote>
  <w:footnote w:id="3">
    <w:p w14:paraId="3211DD51" w14:textId="77777777" w:rsidR="00C122C8" w:rsidRPr="00FA12AC" w:rsidRDefault="00C122C8" w:rsidP="00C122C8">
      <w:pPr>
        <w:pStyle w:val="FootnoteText"/>
        <w:ind w:left="567" w:hanging="567"/>
        <w:rPr>
          <w:sz w:val="24"/>
          <w:szCs w:val="24"/>
          <w:lang w:val="fi-FI"/>
        </w:rPr>
      </w:pPr>
      <w:r w:rsidRPr="00FA12AC">
        <w:rPr>
          <w:rStyle w:val="FootnoteReference"/>
          <w:sz w:val="24"/>
        </w:rPr>
        <w:footnoteRef/>
      </w:r>
      <w:r w:rsidRPr="00FA12AC">
        <w:rPr>
          <w:sz w:val="24"/>
          <w:lang w:val="fi-FI"/>
        </w:rPr>
        <w:t xml:space="preserve"> </w:t>
      </w:r>
      <w:r w:rsidRPr="00CD15A8">
        <w:rPr>
          <w:sz w:val="24"/>
          <w:lang w:val="fi-FI"/>
        </w:rPr>
        <w:tab/>
        <w:t xml:space="preserve">EUT L 193, 30.7.2018, s. 1, ELI: </w:t>
      </w:r>
      <w:hyperlink r:id="rId3" w:history="1">
        <w:r w:rsidRPr="00CD15A8">
          <w:rPr>
            <w:rStyle w:val="Hyperlink1"/>
            <w:sz w:val="24"/>
            <w:lang w:val="fi-FI"/>
          </w:rPr>
          <w:t>http://data.europa.eu/eli/reg/2018/1046/oj</w:t>
        </w:r>
      </w:hyperlink>
      <w:r w:rsidRPr="00CD15A8">
        <w:rPr>
          <w:sz w:val="24"/>
          <w:lang w:val="fi-FI"/>
        </w:rPr>
        <w:t>.</w:t>
      </w:r>
    </w:p>
  </w:footnote>
  <w:footnote w:id="4">
    <w:p w14:paraId="7264303C" w14:textId="77777777" w:rsidR="00C122C8" w:rsidRPr="00FA12AC" w:rsidRDefault="00C122C8" w:rsidP="00C122C8">
      <w:pPr>
        <w:pStyle w:val="FootnoteText"/>
        <w:ind w:left="567" w:hanging="567"/>
        <w:rPr>
          <w:sz w:val="24"/>
          <w:szCs w:val="24"/>
          <w:lang w:val="fi-FI"/>
        </w:rPr>
      </w:pPr>
      <w:r w:rsidRPr="00FA12AC">
        <w:rPr>
          <w:rStyle w:val="FootnoteReference"/>
          <w:sz w:val="24"/>
        </w:rPr>
        <w:footnoteRef/>
      </w:r>
      <w:r w:rsidRPr="00FA12AC">
        <w:rPr>
          <w:sz w:val="24"/>
          <w:lang w:val="fi-FI"/>
        </w:rPr>
        <w:t xml:space="preserve"> </w:t>
      </w:r>
      <w:r w:rsidRPr="00CD15A8">
        <w:rPr>
          <w:sz w:val="24"/>
          <w:lang w:val="fi-FI"/>
        </w:rPr>
        <w:tab/>
        <w:t xml:space="preserve">EUT L, 2024/2509, 26.9.2024, ELI: </w:t>
      </w:r>
      <w:hyperlink r:id="rId4"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5">
    <w:p w14:paraId="089B5667" w14:textId="77777777" w:rsidR="00C122C8" w:rsidRPr="00FA12AC" w:rsidRDefault="00C122C8" w:rsidP="00C122C8">
      <w:pPr>
        <w:pStyle w:val="FootnoteText"/>
        <w:ind w:left="567" w:hanging="567"/>
        <w:rPr>
          <w:sz w:val="24"/>
          <w:szCs w:val="24"/>
          <w:lang w:val="fi-FI"/>
        </w:rPr>
      </w:pPr>
      <w:r w:rsidRPr="00FA12AC">
        <w:rPr>
          <w:rStyle w:val="FootnoteReference"/>
          <w:sz w:val="24"/>
        </w:rPr>
        <w:footnoteRef/>
      </w:r>
      <w:r w:rsidRPr="00FA12AC">
        <w:rPr>
          <w:sz w:val="24"/>
          <w:lang w:val="fi-FI"/>
        </w:rPr>
        <w:t xml:space="preserve"> </w:t>
      </w:r>
      <w:r w:rsidRPr="00CD15A8">
        <w:rPr>
          <w:sz w:val="24"/>
          <w:lang w:val="fi-FI"/>
        </w:rPr>
        <w:tab/>
        <w:t xml:space="preserve">EUT L 427, 30.11.2021, s. 17, ELI: </w:t>
      </w:r>
      <w:hyperlink r:id="rId5" w:history="1">
        <w:r w:rsidRPr="00CD15A8">
          <w:rPr>
            <w:rStyle w:val="Hyperlink1"/>
            <w:sz w:val="24"/>
            <w:lang w:val="fi-FI"/>
          </w:rPr>
          <w:t>http://data.europa.eu/eli/reg/2021/2085/oj</w:t>
        </w:r>
      </w:hyperlink>
      <w:r w:rsidRPr="00CD15A8">
        <w:rPr>
          <w:sz w:val="24"/>
          <w:lang w:val="fi-FI"/>
        </w:rPr>
        <w:t>.</w:t>
      </w:r>
    </w:p>
  </w:footnote>
  <w:footnote w:id="6">
    <w:p w14:paraId="4A4E5069" w14:textId="77777777" w:rsidR="00C122C8" w:rsidRPr="00FA12AC" w:rsidRDefault="00C122C8" w:rsidP="00C122C8">
      <w:pPr>
        <w:pStyle w:val="FootnoteText"/>
        <w:ind w:left="567" w:hanging="567"/>
        <w:rPr>
          <w:sz w:val="24"/>
          <w:szCs w:val="24"/>
          <w:lang w:val="fi-FI"/>
        </w:rPr>
      </w:pPr>
      <w:r w:rsidRPr="00FA12AC">
        <w:rPr>
          <w:rStyle w:val="FootnoteReference"/>
          <w:sz w:val="24"/>
        </w:rPr>
        <w:footnoteRef/>
      </w:r>
      <w:r w:rsidRPr="00FA12AC">
        <w:rPr>
          <w:sz w:val="24"/>
          <w:lang w:val="fi-FI"/>
        </w:rPr>
        <w:t xml:space="preserve"> </w:t>
      </w:r>
      <w:r w:rsidRPr="00CD15A8">
        <w:rPr>
          <w:sz w:val="24"/>
          <w:lang w:val="fi-FI"/>
        </w:rPr>
        <w:tab/>
        <w:t xml:space="preserve">EUT L 142, 29.5.2019, s. 16, ELI: </w:t>
      </w:r>
      <w:hyperlink r:id="rId6" w:history="1">
        <w:r w:rsidRPr="00CD15A8">
          <w:rPr>
            <w:rStyle w:val="Hyperlink1"/>
            <w:sz w:val="24"/>
            <w:lang w:val="fi-FI"/>
          </w:rPr>
          <w:t>http://data.europa.eu/eli/reg_del/2019/887/oj</w:t>
        </w:r>
      </w:hyperlink>
      <w:r w:rsidRPr="00CD15A8">
        <w:rPr>
          <w:sz w:val="24"/>
          <w:lang w:val="fi-FI"/>
        </w:rPr>
        <w:t>.</w:t>
      </w:r>
    </w:p>
  </w:footnote>
  <w:footnote w:id="7">
    <w:p w14:paraId="396F9F51" w14:textId="77777777" w:rsidR="00C122C8" w:rsidRPr="00D714BD" w:rsidRDefault="00C122C8" w:rsidP="00C122C8">
      <w:pPr>
        <w:pStyle w:val="FootnoteText"/>
        <w:ind w:left="567" w:hanging="567"/>
        <w:rPr>
          <w:sz w:val="24"/>
          <w:szCs w:val="24"/>
          <w:lang w:val="fi-FI"/>
        </w:rPr>
      </w:pPr>
      <w:r w:rsidRPr="00D714BD">
        <w:rPr>
          <w:rStyle w:val="FootnoteReference"/>
          <w:sz w:val="24"/>
        </w:rPr>
        <w:footnoteRef/>
      </w:r>
      <w:r w:rsidRPr="00D714BD">
        <w:rPr>
          <w:sz w:val="24"/>
          <w:lang w:val="fi-FI"/>
        </w:rPr>
        <w:t xml:space="preserve"> </w:t>
      </w:r>
      <w:r w:rsidRPr="00CD15A8">
        <w:rPr>
          <w:sz w:val="24"/>
          <w:lang w:val="fi-FI"/>
        </w:rPr>
        <w:tab/>
        <w:t xml:space="preserve">EUT C, C/2024/6841, 13.11.2024, ELI: </w:t>
      </w:r>
      <w:hyperlink r:id="rId7" w:history="1">
        <w:r w:rsidRPr="00CD15A8">
          <w:rPr>
            <w:rStyle w:val="Hyperlink1"/>
            <w:sz w:val="24"/>
            <w:lang w:val="fi-FI"/>
          </w:rPr>
          <w:t>http://data.europa.eu/eli/C/2024/6841/oj</w:t>
        </w:r>
      </w:hyperlink>
      <w:r w:rsidRPr="00CD15A8">
        <w:rPr>
          <w:sz w:val="24"/>
          <w:lang w:val="fi-FI"/>
        </w:rPr>
        <w:t>.</w:t>
      </w:r>
    </w:p>
  </w:footnote>
  <w:footnote w:id="8">
    <w:p w14:paraId="0A3FB1BB" w14:textId="77777777" w:rsidR="00C122C8" w:rsidRPr="00D714BD" w:rsidRDefault="00C122C8" w:rsidP="00C122C8">
      <w:pPr>
        <w:pStyle w:val="FootnoteText"/>
        <w:ind w:left="567" w:hanging="567"/>
        <w:rPr>
          <w:sz w:val="24"/>
          <w:szCs w:val="24"/>
          <w:lang w:val="fi-FI"/>
        </w:rPr>
      </w:pPr>
      <w:r w:rsidRPr="00D714BD">
        <w:rPr>
          <w:rStyle w:val="FootnoteReference"/>
          <w:sz w:val="24"/>
        </w:rPr>
        <w:footnoteRef/>
      </w:r>
      <w:r w:rsidRPr="00D714BD">
        <w:rPr>
          <w:sz w:val="24"/>
          <w:lang w:val="fi-FI"/>
        </w:rPr>
        <w:t xml:space="preserve"> </w:t>
      </w:r>
      <w:r w:rsidRPr="00CD15A8">
        <w:rPr>
          <w:sz w:val="24"/>
          <w:lang w:val="fi-FI"/>
        </w:rPr>
        <w:tab/>
        <w:t xml:space="preserve">EUT C, C/2024/6041, 10.10.2024, ELI: </w:t>
      </w:r>
      <w:hyperlink r:id="rId8" w:history="1">
        <w:r w:rsidRPr="00CD15A8">
          <w:rPr>
            <w:rStyle w:val="Hyperlink1"/>
            <w:sz w:val="24"/>
            <w:lang w:val="fi-FI"/>
          </w:rPr>
          <w:t>http://data.europa.eu/eli/C/2024/6041/oj</w:t>
        </w:r>
      </w:hyperlink>
      <w:r w:rsidRPr="00CD15A8">
        <w:rPr>
          <w:sz w:val="24"/>
          <w:lang w:val="fi-FI"/>
        </w:rPr>
        <w:t>.</w:t>
      </w:r>
    </w:p>
  </w:footnote>
  <w:footnote w:id="9">
    <w:p w14:paraId="48921B77" w14:textId="77777777" w:rsidR="00C122C8" w:rsidRPr="00D714BD" w:rsidRDefault="00C122C8" w:rsidP="00C122C8">
      <w:pPr>
        <w:pStyle w:val="FootnoteText"/>
        <w:ind w:left="567" w:hanging="567"/>
        <w:rPr>
          <w:sz w:val="24"/>
          <w:szCs w:val="24"/>
          <w:lang w:val="fi-FI"/>
        </w:rPr>
      </w:pPr>
      <w:r w:rsidRPr="00D714BD">
        <w:rPr>
          <w:rStyle w:val="FootnoteReference"/>
          <w:sz w:val="24"/>
        </w:rPr>
        <w:footnoteRef/>
      </w:r>
      <w:r w:rsidRPr="00D714BD">
        <w:rPr>
          <w:sz w:val="24"/>
          <w:lang w:val="fi-FI"/>
        </w:rPr>
        <w:t xml:space="preserve"> </w:t>
      </w:r>
      <w:r w:rsidRPr="00CD15A8">
        <w:rPr>
          <w:sz w:val="24"/>
          <w:lang w:val="fi-FI"/>
        </w:rPr>
        <w:tab/>
        <w:t xml:space="preserve">EUT L 193, 30.7.2018, s. 1, ELI: </w:t>
      </w:r>
      <w:hyperlink r:id="rId9" w:history="1">
        <w:r w:rsidRPr="00CD15A8">
          <w:rPr>
            <w:rStyle w:val="Hyperlink1"/>
            <w:sz w:val="24"/>
            <w:lang w:val="fi-FI"/>
          </w:rPr>
          <w:t>http://data.europa.eu/eli/reg/2018/1046/oj</w:t>
        </w:r>
      </w:hyperlink>
      <w:r w:rsidRPr="00CD15A8">
        <w:rPr>
          <w:sz w:val="24"/>
          <w:lang w:val="fi-FI"/>
        </w:rPr>
        <w:t>.</w:t>
      </w:r>
    </w:p>
  </w:footnote>
  <w:footnote w:id="10">
    <w:p w14:paraId="2834777A" w14:textId="77777777" w:rsidR="00C122C8" w:rsidRPr="00D714BD" w:rsidRDefault="00C122C8" w:rsidP="00C122C8">
      <w:pPr>
        <w:pStyle w:val="FootnoteText"/>
        <w:ind w:left="567" w:hanging="567"/>
        <w:rPr>
          <w:sz w:val="24"/>
          <w:szCs w:val="24"/>
          <w:lang w:val="fi-FI"/>
        </w:rPr>
      </w:pPr>
      <w:r w:rsidRPr="00D714BD">
        <w:rPr>
          <w:rStyle w:val="FootnoteReference"/>
          <w:sz w:val="24"/>
        </w:rPr>
        <w:footnoteRef/>
      </w:r>
      <w:r w:rsidRPr="00D714BD">
        <w:rPr>
          <w:sz w:val="24"/>
          <w:lang w:val="fi-FI"/>
        </w:rPr>
        <w:t xml:space="preserve"> </w:t>
      </w:r>
      <w:r w:rsidRPr="00CD15A8">
        <w:rPr>
          <w:sz w:val="24"/>
          <w:lang w:val="fi-FI"/>
        </w:rPr>
        <w:tab/>
        <w:t xml:space="preserve">EUT L, 2024/2509, 26.9.2024, ELI: </w:t>
      </w:r>
      <w:hyperlink r:id="rId10"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11">
    <w:p w14:paraId="7FD85597" w14:textId="77777777" w:rsidR="00C122C8" w:rsidRPr="00D714BD" w:rsidRDefault="00C122C8" w:rsidP="00C122C8">
      <w:pPr>
        <w:pStyle w:val="FootnoteText"/>
        <w:ind w:left="567" w:hanging="567"/>
        <w:rPr>
          <w:sz w:val="24"/>
          <w:szCs w:val="24"/>
          <w:lang w:val="fi-FI"/>
        </w:rPr>
      </w:pPr>
      <w:r w:rsidRPr="00D714BD">
        <w:rPr>
          <w:rStyle w:val="FootnoteReference"/>
          <w:sz w:val="24"/>
        </w:rPr>
        <w:footnoteRef/>
      </w:r>
      <w:r w:rsidRPr="00D714BD">
        <w:rPr>
          <w:sz w:val="24"/>
          <w:lang w:val="fi-FI"/>
        </w:rPr>
        <w:t xml:space="preserve"> </w:t>
      </w:r>
      <w:r w:rsidRPr="00CD15A8">
        <w:rPr>
          <w:sz w:val="24"/>
          <w:lang w:val="fi-FI"/>
        </w:rPr>
        <w:tab/>
        <w:t xml:space="preserve">EUT L 427, 30.11.2021, s. 17, ELI: </w:t>
      </w:r>
      <w:hyperlink r:id="rId11" w:history="1">
        <w:r w:rsidRPr="00CD15A8">
          <w:rPr>
            <w:rStyle w:val="Hyperlink1"/>
            <w:sz w:val="24"/>
            <w:lang w:val="fi-FI"/>
          </w:rPr>
          <w:t>http://data.europa.eu/eli/reg/2021/2085/oj</w:t>
        </w:r>
      </w:hyperlink>
      <w:r w:rsidRPr="00CD15A8">
        <w:rPr>
          <w:sz w:val="24"/>
          <w:lang w:val="fi-FI"/>
        </w:rPr>
        <w:t>.</w:t>
      </w:r>
    </w:p>
  </w:footnote>
  <w:footnote w:id="12">
    <w:p w14:paraId="29586CA1" w14:textId="77777777" w:rsidR="00C122C8" w:rsidRPr="00D714BD" w:rsidRDefault="00C122C8" w:rsidP="00C122C8">
      <w:pPr>
        <w:pStyle w:val="FootnoteText"/>
        <w:ind w:left="567" w:hanging="567"/>
        <w:rPr>
          <w:sz w:val="24"/>
          <w:szCs w:val="24"/>
          <w:lang w:val="fi-FI"/>
        </w:rPr>
      </w:pPr>
      <w:r w:rsidRPr="00D714BD">
        <w:rPr>
          <w:rStyle w:val="FootnoteReference"/>
          <w:sz w:val="24"/>
        </w:rPr>
        <w:footnoteRef/>
      </w:r>
      <w:r w:rsidRPr="00D714BD">
        <w:rPr>
          <w:sz w:val="24"/>
          <w:lang w:val="fi-FI"/>
        </w:rPr>
        <w:t xml:space="preserve"> </w:t>
      </w:r>
      <w:r w:rsidRPr="00CD15A8">
        <w:rPr>
          <w:sz w:val="24"/>
          <w:lang w:val="fi-FI"/>
        </w:rPr>
        <w:tab/>
        <w:t xml:space="preserve">EUT L 142, 29.5.2019, s. 16, ELI: </w:t>
      </w:r>
      <w:hyperlink r:id="rId12" w:history="1">
        <w:r w:rsidRPr="00CD15A8">
          <w:rPr>
            <w:rStyle w:val="Hyperlink1"/>
            <w:sz w:val="24"/>
            <w:lang w:val="fi-FI"/>
          </w:rPr>
          <w:t>http://data.europa.eu/eli/reg_del/2019/887/oj</w:t>
        </w:r>
      </w:hyperlink>
      <w:r w:rsidRPr="00CD15A8">
        <w:rPr>
          <w:sz w:val="24"/>
          <w:lang w:val="fi-FI"/>
        </w:rPr>
        <w:t>.</w:t>
      </w:r>
    </w:p>
  </w:footnote>
  <w:footnote w:id="13">
    <w:p w14:paraId="404C302F" w14:textId="77777777" w:rsidR="00C122C8" w:rsidRPr="00BC3962" w:rsidRDefault="00C122C8" w:rsidP="00C122C8">
      <w:pPr>
        <w:pStyle w:val="FootnoteText"/>
        <w:ind w:left="567" w:hanging="567"/>
        <w:rPr>
          <w:sz w:val="24"/>
          <w:szCs w:val="24"/>
          <w:lang w:val="fi-FI"/>
        </w:rPr>
      </w:pPr>
      <w:r w:rsidRPr="00BC3962">
        <w:rPr>
          <w:rStyle w:val="FootnoteReference"/>
          <w:sz w:val="24"/>
        </w:rPr>
        <w:footnoteRef/>
      </w:r>
      <w:r w:rsidRPr="00BC3962">
        <w:rPr>
          <w:sz w:val="24"/>
          <w:lang w:val="fi-FI"/>
        </w:rPr>
        <w:t xml:space="preserve"> </w:t>
      </w:r>
      <w:r w:rsidRPr="00CD15A8">
        <w:rPr>
          <w:sz w:val="24"/>
          <w:lang w:val="fi-FI"/>
        </w:rPr>
        <w:tab/>
        <w:t xml:space="preserve">EUT C, C/2024/6841, 13.11.2024, ELI: </w:t>
      </w:r>
      <w:hyperlink r:id="rId13" w:history="1">
        <w:r w:rsidRPr="00CD15A8">
          <w:rPr>
            <w:rStyle w:val="Hyperlink1"/>
            <w:sz w:val="24"/>
            <w:lang w:val="fi-FI"/>
          </w:rPr>
          <w:t>http://data.europa.eu/eli/C/2024/6841/oj</w:t>
        </w:r>
      </w:hyperlink>
      <w:r w:rsidRPr="00CD15A8">
        <w:rPr>
          <w:sz w:val="24"/>
          <w:lang w:val="fi-FI"/>
        </w:rPr>
        <w:t>.</w:t>
      </w:r>
    </w:p>
  </w:footnote>
  <w:footnote w:id="14">
    <w:p w14:paraId="45E150CB" w14:textId="77777777" w:rsidR="00C122C8" w:rsidRPr="00BC3962" w:rsidRDefault="00C122C8" w:rsidP="00C122C8">
      <w:pPr>
        <w:pStyle w:val="FootnoteText"/>
        <w:ind w:left="567" w:hanging="567"/>
        <w:rPr>
          <w:sz w:val="24"/>
          <w:szCs w:val="24"/>
          <w:lang w:val="fi-FI"/>
        </w:rPr>
      </w:pPr>
      <w:r w:rsidRPr="00BC3962">
        <w:rPr>
          <w:rStyle w:val="FootnoteReference"/>
          <w:sz w:val="24"/>
        </w:rPr>
        <w:footnoteRef/>
      </w:r>
      <w:r w:rsidRPr="00BC3962">
        <w:rPr>
          <w:sz w:val="24"/>
          <w:lang w:val="fi-FI"/>
        </w:rPr>
        <w:t xml:space="preserve"> </w:t>
      </w:r>
      <w:r w:rsidRPr="00CD15A8">
        <w:rPr>
          <w:sz w:val="24"/>
          <w:lang w:val="fi-FI"/>
        </w:rPr>
        <w:tab/>
        <w:t xml:space="preserve">EUT C, C/2024/6041, 10.10.2024, ELI: </w:t>
      </w:r>
      <w:hyperlink r:id="rId14" w:history="1">
        <w:r w:rsidRPr="00CD15A8">
          <w:rPr>
            <w:rStyle w:val="Hyperlink1"/>
            <w:sz w:val="24"/>
            <w:lang w:val="fi-FI"/>
          </w:rPr>
          <w:t>http://data.europa.eu/eli/C/2024/6041/oj</w:t>
        </w:r>
      </w:hyperlink>
      <w:r w:rsidRPr="00CD15A8">
        <w:rPr>
          <w:sz w:val="24"/>
          <w:lang w:val="fi-FI"/>
        </w:rPr>
        <w:t>.</w:t>
      </w:r>
    </w:p>
  </w:footnote>
  <w:footnote w:id="15">
    <w:p w14:paraId="6FE54DCA" w14:textId="77777777" w:rsidR="00C122C8" w:rsidRPr="00BC3962" w:rsidRDefault="00C122C8" w:rsidP="00C122C8">
      <w:pPr>
        <w:pStyle w:val="FootnoteText"/>
        <w:ind w:left="567" w:hanging="567"/>
        <w:rPr>
          <w:sz w:val="24"/>
          <w:szCs w:val="24"/>
          <w:lang w:val="fi-FI"/>
        </w:rPr>
      </w:pPr>
      <w:r w:rsidRPr="00BC3962">
        <w:rPr>
          <w:rStyle w:val="FootnoteReference"/>
          <w:sz w:val="24"/>
        </w:rPr>
        <w:footnoteRef/>
      </w:r>
      <w:r w:rsidRPr="00BC3962">
        <w:rPr>
          <w:sz w:val="24"/>
          <w:lang w:val="fi-FI"/>
        </w:rPr>
        <w:t xml:space="preserve"> </w:t>
      </w:r>
      <w:r w:rsidRPr="00CD15A8">
        <w:rPr>
          <w:sz w:val="24"/>
          <w:lang w:val="fi-FI"/>
        </w:rPr>
        <w:tab/>
        <w:t xml:space="preserve">EUT L 193, 30.7.2018, s. 1, ELI: </w:t>
      </w:r>
      <w:hyperlink r:id="rId15" w:history="1">
        <w:r w:rsidRPr="00CD15A8">
          <w:rPr>
            <w:rStyle w:val="Hyperlink1"/>
            <w:sz w:val="24"/>
            <w:lang w:val="fi-FI"/>
          </w:rPr>
          <w:t>http://data.europa.eu/eli/reg/2018/1046/oj</w:t>
        </w:r>
      </w:hyperlink>
      <w:r w:rsidRPr="00CD15A8">
        <w:rPr>
          <w:sz w:val="24"/>
          <w:lang w:val="fi-FI"/>
        </w:rPr>
        <w:t>.</w:t>
      </w:r>
    </w:p>
  </w:footnote>
  <w:footnote w:id="16">
    <w:p w14:paraId="4AE63A9D" w14:textId="77777777" w:rsidR="00C122C8" w:rsidRPr="00BC3962" w:rsidRDefault="00C122C8" w:rsidP="00C122C8">
      <w:pPr>
        <w:pStyle w:val="FootnoteText"/>
        <w:ind w:left="567" w:hanging="567"/>
        <w:rPr>
          <w:sz w:val="24"/>
          <w:szCs w:val="24"/>
          <w:lang w:val="fi-FI"/>
        </w:rPr>
      </w:pPr>
      <w:r w:rsidRPr="00BC3962">
        <w:rPr>
          <w:rStyle w:val="FootnoteReference"/>
          <w:sz w:val="24"/>
        </w:rPr>
        <w:footnoteRef/>
      </w:r>
      <w:r w:rsidRPr="00BC3962">
        <w:rPr>
          <w:sz w:val="24"/>
          <w:lang w:val="fi-FI"/>
        </w:rPr>
        <w:t xml:space="preserve"> </w:t>
      </w:r>
      <w:r w:rsidRPr="00CD15A8">
        <w:rPr>
          <w:sz w:val="24"/>
          <w:lang w:val="fi-FI"/>
        </w:rPr>
        <w:tab/>
        <w:t xml:space="preserve">EUT L, 2024/2509, 26.9.2024, ELI: </w:t>
      </w:r>
      <w:hyperlink r:id="rId16"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17">
    <w:p w14:paraId="7D63792A" w14:textId="77777777" w:rsidR="00C122C8" w:rsidRPr="00BC3962" w:rsidRDefault="00C122C8" w:rsidP="00C122C8">
      <w:pPr>
        <w:pStyle w:val="FootnoteText"/>
        <w:ind w:left="567" w:hanging="567"/>
        <w:rPr>
          <w:sz w:val="24"/>
          <w:szCs w:val="24"/>
          <w:lang w:val="fi-FI"/>
        </w:rPr>
      </w:pPr>
      <w:r w:rsidRPr="00BC3962">
        <w:rPr>
          <w:rStyle w:val="FootnoteReference"/>
          <w:sz w:val="24"/>
        </w:rPr>
        <w:footnoteRef/>
      </w:r>
      <w:r w:rsidRPr="00BC3962">
        <w:rPr>
          <w:sz w:val="24"/>
          <w:lang w:val="fi-FI"/>
        </w:rPr>
        <w:t xml:space="preserve"> </w:t>
      </w:r>
      <w:r w:rsidRPr="00CD15A8">
        <w:rPr>
          <w:sz w:val="24"/>
          <w:lang w:val="fi-FI"/>
        </w:rPr>
        <w:tab/>
        <w:t xml:space="preserve">EUT L 427, 30.11.2021, s. 17, ELI: </w:t>
      </w:r>
      <w:hyperlink r:id="rId17" w:history="1">
        <w:r w:rsidRPr="00CD15A8">
          <w:rPr>
            <w:rStyle w:val="Hyperlink1"/>
            <w:sz w:val="24"/>
            <w:lang w:val="fi-FI"/>
          </w:rPr>
          <w:t>http://data.europa.eu/eli/reg/2021/2085/oj</w:t>
        </w:r>
      </w:hyperlink>
      <w:r w:rsidRPr="00CD15A8">
        <w:rPr>
          <w:sz w:val="24"/>
          <w:lang w:val="fi-FI"/>
        </w:rPr>
        <w:t>.</w:t>
      </w:r>
    </w:p>
  </w:footnote>
  <w:footnote w:id="18">
    <w:p w14:paraId="6C2C422E" w14:textId="77777777" w:rsidR="00C122C8" w:rsidRPr="00BC3962" w:rsidRDefault="00C122C8" w:rsidP="00C122C8">
      <w:pPr>
        <w:pStyle w:val="FootnoteText"/>
        <w:ind w:left="567" w:hanging="567"/>
        <w:rPr>
          <w:sz w:val="24"/>
          <w:szCs w:val="24"/>
          <w:lang w:val="fi-FI"/>
        </w:rPr>
      </w:pPr>
      <w:r w:rsidRPr="00BC3962">
        <w:rPr>
          <w:rStyle w:val="FootnoteReference"/>
          <w:sz w:val="24"/>
        </w:rPr>
        <w:footnoteRef/>
      </w:r>
      <w:r w:rsidRPr="00BC3962">
        <w:rPr>
          <w:sz w:val="24"/>
          <w:lang w:val="fi-FI"/>
        </w:rPr>
        <w:t xml:space="preserve"> </w:t>
      </w:r>
      <w:r w:rsidRPr="00CD15A8">
        <w:rPr>
          <w:sz w:val="24"/>
          <w:lang w:val="fi-FI"/>
        </w:rPr>
        <w:tab/>
        <w:t xml:space="preserve">EUT L 142, 29.5.2019, s. 16, ELI: </w:t>
      </w:r>
      <w:hyperlink r:id="rId18" w:history="1">
        <w:r w:rsidRPr="00CD15A8">
          <w:rPr>
            <w:rStyle w:val="Hyperlink1"/>
            <w:sz w:val="24"/>
            <w:lang w:val="fi-FI"/>
          </w:rPr>
          <w:t>http://data.europa.eu/eli/reg_del/2019/887/oj</w:t>
        </w:r>
      </w:hyperlink>
      <w:r w:rsidRPr="00CD15A8">
        <w:rPr>
          <w:sz w:val="24"/>
          <w:lang w:val="fi-FI"/>
        </w:rPr>
        <w:t>.</w:t>
      </w:r>
    </w:p>
  </w:footnote>
  <w:footnote w:id="19">
    <w:p w14:paraId="78F3DDB6" w14:textId="77777777" w:rsidR="00C122C8" w:rsidRPr="009C5687" w:rsidRDefault="00C122C8" w:rsidP="00C122C8">
      <w:pPr>
        <w:pStyle w:val="FootnoteText"/>
        <w:ind w:left="567" w:hanging="567"/>
        <w:rPr>
          <w:sz w:val="24"/>
          <w:szCs w:val="24"/>
          <w:lang w:val="fi-FI"/>
        </w:rPr>
      </w:pPr>
      <w:r w:rsidRPr="009C5687">
        <w:rPr>
          <w:rStyle w:val="FootnoteReference"/>
          <w:sz w:val="24"/>
        </w:rPr>
        <w:footnoteRef/>
      </w:r>
      <w:r w:rsidRPr="009C5687">
        <w:rPr>
          <w:sz w:val="24"/>
          <w:lang w:val="fi-FI"/>
        </w:rPr>
        <w:t xml:space="preserve"> </w:t>
      </w:r>
      <w:r w:rsidRPr="00CD15A8">
        <w:rPr>
          <w:sz w:val="24"/>
          <w:lang w:val="fi-FI"/>
        </w:rPr>
        <w:tab/>
        <w:t xml:space="preserve">EUT C, C/2024/6841, 13.11.2024, ELI: </w:t>
      </w:r>
      <w:hyperlink r:id="rId19" w:history="1">
        <w:r w:rsidRPr="00CD15A8">
          <w:rPr>
            <w:rStyle w:val="Hyperlink1"/>
            <w:sz w:val="24"/>
            <w:lang w:val="fi-FI"/>
          </w:rPr>
          <w:t>http://data.europa.eu/eli/C/2024/6841/oj</w:t>
        </w:r>
      </w:hyperlink>
      <w:r w:rsidRPr="00CD15A8">
        <w:rPr>
          <w:sz w:val="24"/>
          <w:lang w:val="fi-FI"/>
        </w:rPr>
        <w:t>.</w:t>
      </w:r>
    </w:p>
  </w:footnote>
  <w:footnote w:id="20">
    <w:p w14:paraId="3E8D8AD3" w14:textId="77777777" w:rsidR="00C122C8" w:rsidRPr="009C5687" w:rsidRDefault="00C122C8" w:rsidP="00C122C8">
      <w:pPr>
        <w:pStyle w:val="FootnoteText"/>
        <w:ind w:left="567" w:hanging="567"/>
        <w:rPr>
          <w:sz w:val="24"/>
          <w:szCs w:val="24"/>
          <w:lang w:val="fi-FI"/>
        </w:rPr>
      </w:pPr>
      <w:r w:rsidRPr="009C5687">
        <w:rPr>
          <w:rStyle w:val="FootnoteReference"/>
          <w:sz w:val="24"/>
        </w:rPr>
        <w:footnoteRef/>
      </w:r>
      <w:r w:rsidRPr="009C5687">
        <w:rPr>
          <w:sz w:val="24"/>
          <w:lang w:val="fi-FI"/>
        </w:rPr>
        <w:t xml:space="preserve"> </w:t>
      </w:r>
      <w:r w:rsidRPr="00CD15A8">
        <w:rPr>
          <w:sz w:val="24"/>
          <w:lang w:val="fi-FI"/>
        </w:rPr>
        <w:tab/>
        <w:t xml:space="preserve">EUT C, C/2024/6041, 10.10.2024, ELI: </w:t>
      </w:r>
      <w:hyperlink r:id="rId20" w:history="1">
        <w:r w:rsidRPr="00CD15A8">
          <w:rPr>
            <w:rStyle w:val="Hyperlink1"/>
            <w:sz w:val="24"/>
            <w:lang w:val="fi-FI"/>
          </w:rPr>
          <w:t>http://data.europa.eu/eli/C/2024/6041/oj</w:t>
        </w:r>
      </w:hyperlink>
      <w:r w:rsidRPr="00CD15A8">
        <w:rPr>
          <w:sz w:val="24"/>
          <w:lang w:val="fi-FI"/>
        </w:rPr>
        <w:t xml:space="preserve">. </w:t>
      </w:r>
    </w:p>
  </w:footnote>
  <w:footnote w:id="21">
    <w:p w14:paraId="5713964B" w14:textId="77777777" w:rsidR="00C122C8" w:rsidRPr="009C5687" w:rsidRDefault="00C122C8" w:rsidP="00C122C8">
      <w:pPr>
        <w:pStyle w:val="FootnoteText"/>
        <w:ind w:left="567" w:hanging="567"/>
        <w:rPr>
          <w:sz w:val="24"/>
          <w:szCs w:val="24"/>
          <w:lang w:val="fi-FI"/>
        </w:rPr>
      </w:pPr>
      <w:r w:rsidRPr="009C5687">
        <w:rPr>
          <w:rStyle w:val="FootnoteReference"/>
          <w:sz w:val="24"/>
        </w:rPr>
        <w:footnoteRef/>
      </w:r>
      <w:r w:rsidRPr="009C5687">
        <w:rPr>
          <w:sz w:val="24"/>
          <w:lang w:val="fi-FI"/>
        </w:rPr>
        <w:t xml:space="preserve"> </w:t>
      </w:r>
      <w:r w:rsidRPr="00CD15A8">
        <w:rPr>
          <w:sz w:val="24"/>
          <w:lang w:val="fi-FI"/>
        </w:rPr>
        <w:tab/>
        <w:t xml:space="preserve">EUT L 193, 30.7.2018, s. 1, ELI: </w:t>
      </w:r>
      <w:hyperlink r:id="rId21" w:history="1">
        <w:r w:rsidRPr="00CD15A8">
          <w:rPr>
            <w:rStyle w:val="Hyperlink1"/>
            <w:sz w:val="24"/>
            <w:lang w:val="fi-FI"/>
          </w:rPr>
          <w:t>http://data.europa.eu/eli/reg/2018/1046/oj</w:t>
        </w:r>
      </w:hyperlink>
      <w:r w:rsidRPr="00CD15A8">
        <w:rPr>
          <w:sz w:val="24"/>
          <w:lang w:val="fi-FI"/>
        </w:rPr>
        <w:t>.</w:t>
      </w:r>
    </w:p>
  </w:footnote>
  <w:footnote w:id="22">
    <w:p w14:paraId="2579ACB1" w14:textId="77777777" w:rsidR="00C122C8" w:rsidRPr="009C5687" w:rsidRDefault="00C122C8" w:rsidP="00C122C8">
      <w:pPr>
        <w:pStyle w:val="FootnoteText"/>
        <w:ind w:left="567" w:hanging="567"/>
        <w:rPr>
          <w:sz w:val="24"/>
          <w:szCs w:val="24"/>
          <w:lang w:val="fi-FI"/>
        </w:rPr>
      </w:pPr>
      <w:r w:rsidRPr="009C5687">
        <w:rPr>
          <w:rStyle w:val="FootnoteReference"/>
          <w:sz w:val="24"/>
        </w:rPr>
        <w:footnoteRef/>
      </w:r>
      <w:r w:rsidRPr="009C5687">
        <w:rPr>
          <w:sz w:val="24"/>
          <w:lang w:val="fi-FI"/>
        </w:rPr>
        <w:t xml:space="preserve"> </w:t>
      </w:r>
      <w:r w:rsidRPr="00CD15A8">
        <w:rPr>
          <w:sz w:val="24"/>
          <w:lang w:val="fi-FI"/>
        </w:rPr>
        <w:tab/>
        <w:t xml:space="preserve">EUT L, 2024/2509, 26.9.2024, ELI: </w:t>
      </w:r>
      <w:hyperlink r:id="rId22"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23">
    <w:p w14:paraId="47E2B5ED" w14:textId="77777777" w:rsidR="00C122C8" w:rsidRPr="009C5687" w:rsidRDefault="00C122C8" w:rsidP="00C122C8">
      <w:pPr>
        <w:pStyle w:val="FootnoteText"/>
        <w:ind w:left="567" w:hanging="567"/>
        <w:rPr>
          <w:sz w:val="24"/>
          <w:szCs w:val="24"/>
          <w:lang w:val="fi-FI"/>
        </w:rPr>
      </w:pPr>
      <w:r w:rsidRPr="009C5687">
        <w:rPr>
          <w:rStyle w:val="FootnoteReference"/>
          <w:sz w:val="24"/>
        </w:rPr>
        <w:footnoteRef/>
      </w:r>
      <w:r w:rsidRPr="009C5687">
        <w:rPr>
          <w:sz w:val="24"/>
          <w:lang w:val="fi-FI"/>
        </w:rPr>
        <w:t xml:space="preserve"> </w:t>
      </w:r>
      <w:r w:rsidRPr="00CD15A8">
        <w:rPr>
          <w:sz w:val="24"/>
          <w:lang w:val="fi-FI"/>
        </w:rPr>
        <w:tab/>
        <w:t xml:space="preserve">EUT L 427, 30.11.2021, s. 17, ELI: </w:t>
      </w:r>
      <w:hyperlink r:id="rId23" w:history="1">
        <w:r w:rsidRPr="00CD15A8">
          <w:rPr>
            <w:rStyle w:val="Hyperlink1"/>
            <w:sz w:val="24"/>
            <w:lang w:val="fi-FI"/>
          </w:rPr>
          <w:t>http://data.europa.eu/eli/reg/2021/2085/oj</w:t>
        </w:r>
      </w:hyperlink>
      <w:r w:rsidRPr="00CD15A8">
        <w:rPr>
          <w:sz w:val="24"/>
          <w:lang w:val="fi-FI"/>
        </w:rPr>
        <w:t>.</w:t>
      </w:r>
    </w:p>
  </w:footnote>
  <w:footnote w:id="24">
    <w:p w14:paraId="5F6A24B4" w14:textId="77777777" w:rsidR="00C122C8" w:rsidRPr="009C5687" w:rsidRDefault="00C122C8" w:rsidP="00C122C8">
      <w:pPr>
        <w:pStyle w:val="FootnoteText"/>
        <w:ind w:left="567" w:hanging="567"/>
        <w:rPr>
          <w:sz w:val="24"/>
          <w:szCs w:val="24"/>
          <w:lang w:val="fi-FI"/>
        </w:rPr>
      </w:pPr>
      <w:r w:rsidRPr="009C5687">
        <w:rPr>
          <w:rStyle w:val="FootnoteReference"/>
          <w:sz w:val="24"/>
        </w:rPr>
        <w:footnoteRef/>
      </w:r>
      <w:r w:rsidRPr="009C5687">
        <w:rPr>
          <w:sz w:val="24"/>
          <w:lang w:val="fi-FI"/>
        </w:rPr>
        <w:t xml:space="preserve"> </w:t>
      </w:r>
      <w:r w:rsidRPr="00CD15A8">
        <w:rPr>
          <w:sz w:val="24"/>
          <w:lang w:val="fi-FI"/>
        </w:rPr>
        <w:tab/>
        <w:t xml:space="preserve">EUT L 142, 29.5.2019, s. 16, ELI: </w:t>
      </w:r>
      <w:hyperlink r:id="rId24" w:history="1">
        <w:r w:rsidRPr="00CD15A8">
          <w:rPr>
            <w:rStyle w:val="Hyperlink1"/>
            <w:sz w:val="24"/>
            <w:lang w:val="fi-FI"/>
          </w:rPr>
          <w:t>http://data.europa.eu/eli/reg_del/2019/887/oj</w:t>
        </w:r>
      </w:hyperlink>
      <w:r w:rsidRPr="00CD15A8">
        <w:rPr>
          <w:sz w:val="24"/>
          <w:lang w:val="fi-FI"/>
        </w:rPr>
        <w:t>.</w:t>
      </w:r>
    </w:p>
  </w:footnote>
  <w:footnote w:id="25">
    <w:p w14:paraId="060F04E8" w14:textId="77777777" w:rsidR="00C122C8" w:rsidRPr="00291704" w:rsidRDefault="00C122C8" w:rsidP="00C122C8">
      <w:pPr>
        <w:pStyle w:val="FootnoteText"/>
        <w:ind w:left="567" w:hanging="567"/>
        <w:rPr>
          <w:sz w:val="24"/>
          <w:szCs w:val="24"/>
          <w:lang w:val="fi-FI"/>
        </w:rPr>
      </w:pPr>
      <w:r w:rsidRPr="00291704">
        <w:rPr>
          <w:rStyle w:val="FootnoteReference"/>
          <w:sz w:val="24"/>
        </w:rPr>
        <w:footnoteRef/>
      </w:r>
      <w:r w:rsidRPr="00291704">
        <w:rPr>
          <w:sz w:val="24"/>
          <w:lang w:val="fi-FI"/>
        </w:rPr>
        <w:t xml:space="preserve"> </w:t>
      </w:r>
      <w:r w:rsidRPr="00CD15A8">
        <w:rPr>
          <w:sz w:val="24"/>
          <w:lang w:val="fi-FI"/>
        </w:rPr>
        <w:tab/>
        <w:t xml:space="preserve">EUT C, C/2024/6841, 13.11.2024, ELI: </w:t>
      </w:r>
      <w:hyperlink r:id="rId25" w:history="1">
        <w:r w:rsidRPr="00CD15A8">
          <w:rPr>
            <w:rStyle w:val="Hyperlink1"/>
            <w:sz w:val="24"/>
            <w:lang w:val="fi-FI"/>
          </w:rPr>
          <w:t>http://data.europa.eu/eli/C/2024/6841/oj</w:t>
        </w:r>
      </w:hyperlink>
      <w:r w:rsidRPr="00CD15A8">
        <w:rPr>
          <w:sz w:val="24"/>
          <w:lang w:val="fi-FI"/>
        </w:rPr>
        <w:t>.</w:t>
      </w:r>
    </w:p>
  </w:footnote>
  <w:footnote w:id="26">
    <w:p w14:paraId="093BE0E5" w14:textId="77777777" w:rsidR="00C122C8" w:rsidRPr="00291704" w:rsidRDefault="00C122C8" w:rsidP="00C122C8">
      <w:pPr>
        <w:pStyle w:val="FootnoteText"/>
        <w:ind w:left="567" w:hanging="567"/>
        <w:rPr>
          <w:sz w:val="24"/>
          <w:szCs w:val="24"/>
          <w:lang w:val="fi-FI"/>
        </w:rPr>
      </w:pPr>
      <w:r w:rsidRPr="00291704">
        <w:rPr>
          <w:rStyle w:val="FootnoteReference"/>
          <w:sz w:val="24"/>
        </w:rPr>
        <w:footnoteRef/>
      </w:r>
      <w:r w:rsidRPr="00291704">
        <w:rPr>
          <w:sz w:val="24"/>
          <w:lang w:val="fi-FI"/>
        </w:rPr>
        <w:t xml:space="preserve"> </w:t>
      </w:r>
      <w:r w:rsidRPr="00CD15A8">
        <w:rPr>
          <w:sz w:val="24"/>
          <w:lang w:val="fi-FI"/>
        </w:rPr>
        <w:tab/>
        <w:t xml:space="preserve">EUT C, C/2024/6041, 10.10.2024, ELI: </w:t>
      </w:r>
      <w:hyperlink r:id="rId26" w:history="1">
        <w:r w:rsidRPr="00CD15A8">
          <w:rPr>
            <w:rStyle w:val="Hyperlink1"/>
            <w:sz w:val="24"/>
            <w:lang w:val="fi-FI"/>
          </w:rPr>
          <w:t>http://data.europa.eu/eli/C/2024/6041/oj</w:t>
        </w:r>
      </w:hyperlink>
      <w:r w:rsidRPr="00CD15A8">
        <w:rPr>
          <w:sz w:val="24"/>
          <w:lang w:val="fi-FI"/>
        </w:rPr>
        <w:t xml:space="preserve">. </w:t>
      </w:r>
    </w:p>
  </w:footnote>
  <w:footnote w:id="27">
    <w:p w14:paraId="592F75E6" w14:textId="77777777" w:rsidR="00C122C8" w:rsidRPr="00291704" w:rsidRDefault="00C122C8" w:rsidP="00C122C8">
      <w:pPr>
        <w:pStyle w:val="FootnoteText"/>
        <w:ind w:left="567" w:hanging="567"/>
        <w:rPr>
          <w:sz w:val="24"/>
          <w:szCs w:val="24"/>
          <w:lang w:val="fi-FI"/>
        </w:rPr>
      </w:pPr>
      <w:r w:rsidRPr="00291704">
        <w:rPr>
          <w:rStyle w:val="FootnoteReference"/>
          <w:sz w:val="24"/>
        </w:rPr>
        <w:footnoteRef/>
      </w:r>
      <w:r w:rsidRPr="00291704">
        <w:rPr>
          <w:sz w:val="24"/>
          <w:lang w:val="fi-FI"/>
        </w:rPr>
        <w:t xml:space="preserve"> </w:t>
      </w:r>
      <w:r w:rsidRPr="00CD15A8">
        <w:rPr>
          <w:sz w:val="24"/>
          <w:lang w:val="fi-FI"/>
        </w:rPr>
        <w:tab/>
        <w:t xml:space="preserve">EUT L 193, 30.7.2018, s. 1, ELI: </w:t>
      </w:r>
      <w:hyperlink r:id="rId27" w:history="1">
        <w:r w:rsidRPr="00CD15A8">
          <w:rPr>
            <w:rStyle w:val="Hyperlink1"/>
            <w:sz w:val="24"/>
            <w:lang w:val="fi-FI"/>
          </w:rPr>
          <w:t>http://data.europa.eu/eli/reg/2018/1046/oj</w:t>
        </w:r>
      </w:hyperlink>
      <w:r w:rsidRPr="00CD15A8">
        <w:rPr>
          <w:sz w:val="24"/>
          <w:lang w:val="fi-FI"/>
        </w:rPr>
        <w:t>.</w:t>
      </w:r>
    </w:p>
  </w:footnote>
  <w:footnote w:id="28">
    <w:p w14:paraId="0CCAE80D" w14:textId="77777777" w:rsidR="00C122C8" w:rsidRPr="00291704" w:rsidRDefault="00C122C8" w:rsidP="00C122C8">
      <w:pPr>
        <w:pStyle w:val="FootnoteText"/>
        <w:ind w:left="567" w:hanging="567"/>
        <w:rPr>
          <w:sz w:val="24"/>
          <w:szCs w:val="24"/>
          <w:lang w:val="fi-FI"/>
        </w:rPr>
      </w:pPr>
      <w:r w:rsidRPr="00291704">
        <w:rPr>
          <w:rStyle w:val="FootnoteReference"/>
          <w:sz w:val="24"/>
        </w:rPr>
        <w:footnoteRef/>
      </w:r>
      <w:r w:rsidRPr="00291704">
        <w:rPr>
          <w:sz w:val="24"/>
          <w:lang w:val="fi-FI"/>
        </w:rPr>
        <w:t xml:space="preserve"> </w:t>
      </w:r>
      <w:r w:rsidRPr="00CD15A8">
        <w:rPr>
          <w:sz w:val="24"/>
          <w:lang w:val="fi-FI"/>
        </w:rPr>
        <w:tab/>
        <w:t xml:space="preserve">EUT L, 2024/2509, 26.9.2024, ELI: </w:t>
      </w:r>
      <w:hyperlink r:id="rId28"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29">
    <w:p w14:paraId="5F34F8FD" w14:textId="77777777" w:rsidR="00C122C8" w:rsidRPr="00291704" w:rsidRDefault="00C122C8" w:rsidP="00C122C8">
      <w:pPr>
        <w:pStyle w:val="FootnoteText"/>
        <w:ind w:left="567" w:hanging="567"/>
        <w:rPr>
          <w:sz w:val="24"/>
          <w:szCs w:val="24"/>
          <w:lang w:val="fi-FI"/>
        </w:rPr>
      </w:pPr>
      <w:r w:rsidRPr="00291704">
        <w:rPr>
          <w:rStyle w:val="FootnoteReference"/>
          <w:sz w:val="24"/>
        </w:rPr>
        <w:footnoteRef/>
      </w:r>
      <w:r w:rsidRPr="00291704">
        <w:rPr>
          <w:sz w:val="24"/>
          <w:lang w:val="fi-FI"/>
        </w:rPr>
        <w:t xml:space="preserve"> </w:t>
      </w:r>
      <w:r w:rsidRPr="00CD15A8">
        <w:rPr>
          <w:sz w:val="24"/>
          <w:lang w:val="fi-FI"/>
        </w:rPr>
        <w:tab/>
        <w:t xml:space="preserve">EUT L 427, 30.11.2021, s. 17, ELI: </w:t>
      </w:r>
      <w:hyperlink r:id="rId29" w:history="1">
        <w:r w:rsidRPr="00CD15A8">
          <w:rPr>
            <w:rStyle w:val="Hyperlink1"/>
            <w:sz w:val="24"/>
            <w:lang w:val="fi-FI"/>
          </w:rPr>
          <w:t>http://data.europa.eu/eli/reg/2021/2085/oj</w:t>
        </w:r>
      </w:hyperlink>
      <w:r w:rsidRPr="00CD15A8">
        <w:rPr>
          <w:sz w:val="24"/>
          <w:lang w:val="fi-FI"/>
        </w:rPr>
        <w:t>.</w:t>
      </w:r>
    </w:p>
  </w:footnote>
  <w:footnote w:id="30">
    <w:p w14:paraId="0E40D994" w14:textId="77777777" w:rsidR="00C122C8" w:rsidRPr="00291704" w:rsidRDefault="00C122C8" w:rsidP="00C122C8">
      <w:pPr>
        <w:pStyle w:val="FootnoteText"/>
        <w:ind w:left="567" w:hanging="567"/>
        <w:rPr>
          <w:sz w:val="24"/>
          <w:szCs w:val="24"/>
          <w:lang w:val="fi-FI"/>
        </w:rPr>
      </w:pPr>
      <w:r w:rsidRPr="00291704">
        <w:rPr>
          <w:rStyle w:val="FootnoteReference"/>
          <w:sz w:val="24"/>
        </w:rPr>
        <w:footnoteRef/>
      </w:r>
      <w:r w:rsidRPr="00291704">
        <w:rPr>
          <w:sz w:val="24"/>
          <w:lang w:val="fi-FI"/>
        </w:rPr>
        <w:t xml:space="preserve"> </w:t>
      </w:r>
      <w:r w:rsidRPr="00CD15A8">
        <w:rPr>
          <w:sz w:val="24"/>
          <w:lang w:val="fi-FI"/>
        </w:rPr>
        <w:tab/>
        <w:t xml:space="preserve">EUT L 142, 29.5.2019, s. 16, ELI: </w:t>
      </w:r>
      <w:hyperlink r:id="rId30" w:history="1">
        <w:r w:rsidRPr="00CD15A8">
          <w:rPr>
            <w:rStyle w:val="Hyperlink1"/>
            <w:sz w:val="24"/>
            <w:lang w:val="fi-FI"/>
          </w:rPr>
          <w:t>http://data.europa.eu/eli/reg_del/2019/887/oj</w:t>
        </w:r>
      </w:hyperlink>
      <w:r w:rsidRPr="00CD15A8">
        <w:rPr>
          <w:sz w:val="24"/>
          <w:lang w:val="fi-FI"/>
        </w:rPr>
        <w:t>.</w:t>
      </w:r>
    </w:p>
  </w:footnote>
  <w:footnote w:id="31">
    <w:p w14:paraId="68E7CA2C" w14:textId="77777777" w:rsidR="00C122C8" w:rsidRPr="00351F64" w:rsidRDefault="00C122C8" w:rsidP="00C122C8">
      <w:pPr>
        <w:pStyle w:val="FootnoteText"/>
        <w:ind w:left="567" w:hanging="567"/>
        <w:rPr>
          <w:sz w:val="24"/>
          <w:szCs w:val="24"/>
          <w:lang w:val="fi-FI"/>
        </w:rPr>
      </w:pPr>
      <w:r w:rsidRPr="00351F64">
        <w:rPr>
          <w:rStyle w:val="FootnoteReference"/>
          <w:sz w:val="24"/>
        </w:rPr>
        <w:footnoteRef/>
      </w:r>
      <w:r w:rsidRPr="00351F64">
        <w:rPr>
          <w:sz w:val="24"/>
          <w:lang w:val="fi-FI"/>
        </w:rPr>
        <w:t xml:space="preserve"> </w:t>
      </w:r>
      <w:r w:rsidRPr="00CD15A8">
        <w:rPr>
          <w:sz w:val="24"/>
          <w:lang w:val="fi-FI"/>
        </w:rPr>
        <w:tab/>
        <w:t xml:space="preserve">EUT C, C/2024/6841, 13.11.2024, ELI: </w:t>
      </w:r>
      <w:hyperlink r:id="rId31" w:history="1">
        <w:r w:rsidRPr="00CD15A8">
          <w:rPr>
            <w:rStyle w:val="Hyperlink1"/>
            <w:sz w:val="24"/>
            <w:lang w:val="fi-FI"/>
          </w:rPr>
          <w:t>http://data.europa.eu/eli/C/2024/6841/oj</w:t>
        </w:r>
      </w:hyperlink>
      <w:r w:rsidRPr="00CD15A8">
        <w:rPr>
          <w:sz w:val="24"/>
          <w:lang w:val="fi-FI"/>
        </w:rPr>
        <w:t>.</w:t>
      </w:r>
    </w:p>
  </w:footnote>
  <w:footnote w:id="32">
    <w:p w14:paraId="1F43D7CC" w14:textId="77777777" w:rsidR="00C122C8" w:rsidRPr="00351F64" w:rsidRDefault="00C122C8" w:rsidP="00C122C8">
      <w:pPr>
        <w:pStyle w:val="FootnoteText"/>
        <w:ind w:left="567" w:hanging="567"/>
        <w:rPr>
          <w:sz w:val="24"/>
          <w:szCs w:val="24"/>
          <w:lang w:val="fi-FI"/>
        </w:rPr>
      </w:pPr>
      <w:r w:rsidRPr="00351F64">
        <w:rPr>
          <w:rStyle w:val="FootnoteReference"/>
          <w:sz w:val="24"/>
        </w:rPr>
        <w:footnoteRef/>
      </w:r>
      <w:r w:rsidRPr="00351F64">
        <w:rPr>
          <w:sz w:val="24"/>
          <w:lang w:val="fi-FI"/>
        </w:rPr>
        <w:t xml:space="preserve"> </w:t>
      </w:r>
      <w:r w:rsidRPr="00CD15A8">
        <w:rPr>
          <w:sz w:val="24"/>
          <w:lang w:val="fi-FI"/>
        </w:rPr>
        <w:tab/>
        <w:t xml:space="preserve">EUT C, C/2024/6041, 10.10.2024, ELI: </w:t>
      </w:r>
      <w:hyperlink r:id="rId32" w:history="1">
        <w:r w:rsidRPr="00CD15A8">
          <w:rPr>
            <w:rStyle w:val="Hyperlink1"/>
            <w:sz w:val="24"/>
            <w:lang w:val="fi-FI"/>
          </w:rPr>
          <w:t>http://data.europa.eu/eli/C/2024/6041/oj</w:t>
        </w:r>
      </w:hyperlink>
      <w:r w:rsidRPr="00CD15A8">
        <w:rPr>
          <w:sz w:val="24"/>
          <w:lang w:val="fi-FI"/>
        </w:rPr>
        <w:t xml:space="preserve">. </w:t>
      </w:r>
    </w:p>
  </w:footnote>
  <w:footnote w:id="33">
    <w:p w14:paraId="08BA7079" w14:textId="77777777" w:rsidR="00C122C8" w:rsidRPr="00351F64" w:rsidRDefault="00C122C8" w:rsidP="00C122C8">
      <w:pPr>
        <w:pStyle w:val="FootnoteText"/>
        <w:ind w:left="567" w:hanging="567"/>
        <w:rPr>
          <w:sz w:val="24"/>
          <w:szCs w:val="24"/>
          <w:lang w:val="fi-FI"/>
        </w:rPr>
      </w:pPr>
      <w:r w:rsidRPr="00351F64">
        <w:rPr>
          <w:rStyle w:val="FootnoteReference"/>
          <w:sz w:val="24"/>
        </w:rPr>
        <w:footnoteRef/>
      </w:r>
      <w:r w:rsidRPr="00351F64">
        <w:rPr>
          <w:sz w:val="24"/>
          <w:lang w:val="fi-FI"/>
        </w:rPr>
        <w:t xml:space="preserve"> </w:t>
      </w:r>
      <w:r w:rsidRPr="00CD15A8">
        <w:rPr>
          <w:sz w:val="24"/>
          <w:lang w:val="fi-FI"/>
        </w:rPr>
        <w:tab/>
        <w:t xml:space="preserve">EUT L 193, 30.7.2018, s. 1, ELI: </w:t>
      </w:r>
      <w:hyperlink r:id="rId33" w:history="1">
        <w:r w:rsidRPr="00CD15A8">
          <w:rPr>
            <w:rStyle w:val="Hyperlink1"/>
            <w:sz w:val="24"/>
            <w:lang w:val="fi-FI"/>
          </w:rPr>
          <w:t>http://data.europa.eu/eli/reg/2018/1046/oj</w:t>
        </w:r>
      </w:hyperlink>
      <w:r w:rsidRPr="00CD15A8">
        <w:rPr>
          <w:sz w:val="24"/>
          <w:lang w:val="fi-FI"/>
        </w:rPr>
        <w:t>.</w:t>
      </w:r>
    </w:p>
  </w:footnote>
  <w:footnote w:id="34">
    <w:p w14:paraId="737990BE" w14:textId="77777777" w:rsidR="00C122C8" w:rsidRPr="00351F64" w:rsidRDefault="00C122C8" w:rsidP="00C122C8">
      <w:pPr>
        <w:pStyle w:val="FootnoteText"/>
        <w:ind w:left="567" w:hanging="567"/>
        <w:rPr>
          <w:sz w:val="24"/>
          <w:szCs w:val="24"/>
          <w:lang w:val="fi-FI"/>
        </w:rPr>
      </w:pPr>
      <w:r w:rsidRPr="00351F64">
        <w:rPr>
          <w:rStyle w:val="FootnoteReference"/>
          <w:sz w:val="24"/>
        </w:rPr>
        <w:footnoteRef/>
      </w:r>
      <w:r w:rsidRPr="00351F64">
        <w:rPr>
          <w:sz w:val="24"/>
          <w:lang w:val="fi-FI"/>
        </w:rPr>
        <w:t xml:space="preserve"> </w:t>
      </w:r>
      <w:r w:rsidRPr="00CD15A8">
        <w:rPr>
          <w:sz w:val="24"/>
          <w:lang w:val="fi-FI"/>
        </w:rPr>
        <w:tab/>
        <w:t xml:space="preserve">EUT L, 2024/2509, 26.9.2024, ELI: </w:t>
      </w:r>
      <w:hyperlink r:id="rId34"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35">
    <w:p w14:paraId="19B2D178" w14:textId="77777777" w:rsidR="00C122C8" w:rsidRPr="00351F64" w:rsidRDefault="00C122C8" w:rsidP="00C122C8">
      <w:pPr>
        <w:pStyle w:val="FootnoteText"/>
        <w:ind w:left="567" w:hanging="567"/>
        <w:rPr>
          <w:sz w:val="24"/>
          <w:szCs w:val="24"/>
          <w:lang w:val="fi-FI"/>
        </w:rPr>
      </w:pPr>
      <w:r w:rsidRPr="00351F64">
        <w:rPr>
          <w:rStyle w:val="FootnoteReference"/>
          <w:sz w:val="24"/>
        </w:rPr>
        <w:footnoteRef/>
      </w:r>
      <w:r w:rsidRPr="00351F64">
        <w:rPr>
          <w:sz w:val="24"/>
          <w:lang w:val="fi-FI"/>
        </w:rPr>
        <w:t xml:space="preserve"> </w:t>
      </w:r>
      <w:r w:rsidRPr="00CD15A8">
        <w:rPr>
          <w:sz w:val="24"/>
          <w:lang w:val="fi-FI"/>
        </w:rPr>
        <w:tab/>
        <w:t xml:space="preserve">EUT L 427, 30.11.2021, s. 17, ELI: </w:t>
      </w:r>
      <w:hyperlink r:id="rId35" w:history="1">
        <w:r w:rsidRPr="00CD15A8">
          <w:rPr>
            <w:rStyle w:val="Hyperlink1"/>
            <w:sz w:val="24"/>
            <w:lang w:val="fi-FI"/>
          </w:rPr>
          <w:t>http://data.europa.eu/eli/reg/2021/2085/oj</w:t>
        </w:r>
      </w:hyperlink>
      <w:r w:rsidRPr="00CD15A8">
        <w:rPr>
          <w:sz w:val="24"/>
          <w:lang w:val="fi-FI"/>
        </w:rPr>
        <w:t>.</w:t>
      </w:r>
    </w:p>
  </w:footnote>
  <w:footnote w:id="36">
    <w:p w14:paraId="7C1AB997" w14:textId="77777777" w:rsidR="00C122C8" w:rsidRPr="00351F64" w:rsidRDefault="00C122C8" w:rsidP="00C122C8">
      <w:pPr>
        <w:pStyle w:val="FootnoteText"/>
        <w:ind w:left="567" w:hanging="567"/>
        <w:rPr>
          <w:sz w:val="24"/>
          <w:szCs w:val="24"/>
          <w:lang w:val="fi-FI"/>
        </w:rPr>
      </w:pPr>
      <w:r w:rsidRPr="00351F64">
        <w:rPr>
          <w:rStyle w:val="FootnoteReference"/>
          <w:sz w:val="24"/>
        </w:rPr>
        <w:footnoteRef/>
      </w:r>
      <w:r w:rsidRPr="00351F64">
        <w:rPr>
          <w:sz w:val="24"/>
          <w:lang w:val="fi-FI"/>
        </w:rPr>
        <w:t xml:space="preserve"> </w:t>
      </w:r>
      <w:r w:rsidRPr="00CD15A8">
        <w:rPr>
          <w:sz w:val="24"/>
          <w:lang w:val="fi-FI"/>
        </w:rPr>
        <w:tab/>
        <w:t xml:space="preserve">EUT L 142, 29.5.2019, s. 16, ELI: </w:t>
      </w:r>
      <w:hyperlink r:id="rId36" w:history="1">
        <w:r w:rsidRPr="00CD15A8">
          <w:rPr>
            <w:rStyle w:val="Hyperlink1"/>
            <w:sz w:val="24"/>
            <w:lang w:val="fi-FI"/>
          </w:rPr>
          <w:t>http://data.europa.eu/eli/reg_del/2019/887/oj</w:t>
        </w:r>
      </w:hyperlink>
      <w:r w:rsidRPr="00CD15A8">
        <w:rPr>
          <w:sz w:val="24"/>
          <w:lang w:val="fi-FI"/>
        </w:rPr>
        <w:t>.</w:t>
      </w:r>
    </w:p>
  </w:footnote>
  <w:footnote w:id="37">
    <w:p w14:paraId="284EBD42" w14:textId="77777777" w:rsidR="00C122C8" w:rsidRPr="002A7E8E" w:rsidRDefault="00C122C8" w:rsidP="00C122C8">
      <w:pPr>
        <w:pStyle w:val="FootnoteText"/>
        <w:ind w:left="567" w:hanging="567"/>
        <w:rPr>
          <w:sz w:val="24"/>
          <w:szCs w:val="24"/>
          <w:lang w:val="fi-FI"/>
        </w:rPr>
      </w:pPr>
      <w:r w:rsidRPr="002A7E8E">
        <w:rPr>
          <w:rStyle w:val="FootnoteReference"/>
          <w:sz w:val="24"/>
        </w:rPr>
        <w:footnoteRef/>
      </w:r>
      <w:r w:rsidRPr="002A7E8E">
        <w:rPr>
          <w:sz w:val="24"/>
          <w:lang w:val="fi-FI"/>
        </w:rPr>
        <w:t xml:space="preserve"> </w:t>
      </w:r>
      <w:r w:rsidRPr="00CD15A8">
        <w:rPr>
          <w:sz w:val="24"/>
          <w:lang w:val="fi-FI"/>
        </w:rPr>
        <w:tab/>
        <w:t xml:space="preserve">EUT C, C/2024/6841, 13.11.2024, ELI: </w:t>
      </w:r>
      <w:hyperlink r:id="rId37" w:history="1">
        <w:r w:rsidRPr="00CD15A8">
          <w:rPr>
            <w:rStyle w:val="Hyperlink1"/>
            <w:sz w:val="24"/>
            <w:lang w:val="fi-FI"/>
          </w:rPr>
          <w:t>http://data.europa.eu/eli/C/2024/6841/oj</w:t>
        </w:r>
      </w:hyperlink>
      <w:r w:rsidRPr="00CD15A8">
        <w:rPr>
          <w:sz w:val="24"/>
          <w:lang w:val="fi-FI"/>
        </w:rPr>
        <w:t>.</w:t>
      </w:r>
    </w:p>
  </w:footnote>
  <w:footnote w:id="38">
    <w:p w14:paraId="6FBF59ED" w14:textId="77777777" w:rsidR="00C122C8" w:rsidRPr="002A7E8E" w:rsidRDefault="00C122C8" w:rsidP="00C122C8">
      <w:pPr>
        <w:pStyle w:val="FootnoteText"/>
        <w:ind w:left="567" w:hanging="567"/>
        <w:rPr>
          <w:sz w:val="24"/>
          <w:szCs w:val="24"/>
          <w:lang w:val="fi-FI"/>
        </w:rPr>
      </w:pPr>
      <w:r w:rsidRPr="002A7E8E">
        <w:rPr>
          <w:rStyle w:val="FootnoteReference"/>
          <w:sz w:val="24"/>
        </w:rPr>
        <w:footnoteRef/>
      </w:r>
      <w:r w:rsidRPr="002A7E8E">
        <w:rPr>
          <w:sz w:val="24"/>
          <w:lang w:val="fi-FI"/>
        </w:rPr>
        <w:t xml:space="preserve"> </w:t>
      </w:r>
      <w:r w:rsidRPr="00CD15A8">
        <w:rPr>
          <w:sz w:val="24"/>
          <w:lang w:val="fi-FI"/>
        </w:rPr>
        <w:tab/>
        <w:t xml:space="preserve">EUT C, C/2024/6041, 10.10.2024, ELI: </w:t>
      </w:r>
      <w:hyperlink r:id="rId38" w:history="1">
        <w:r w:rsidRPr="00CD15A8">
          <w:rPr>
            <w:rStyle w:val="Hyperlink1"/>
            <w:sz w:val="24"/>
            <w:lang w:val="fi-FI"/>
          </w:rPr>
          <w:t>http://data.europa.eu/eli/C/2024/6041/oj</w:t>
        </w:r>
      </w:hyperlink>
      <w:r w:rsidRPr="00CD15A8">
        <w:rPr>
          <w:sz w:val="24"/>
          <w:lang w:val="fi-FI"/>
        </w:rPr>
        <w:t>.</w:t>
      </w:r>
    </w:p>
  </w:footnote>
  <w:footnote w:id="39">
    <w:p w14:paraId="1AE9C7D8" w14:textId="77777777" w:rsidR="00C122C8" w:rsidRPr="002A7E8E" w:rsidRDefault="00C122C8" w:rsidP="00C122C8">
      <w:pPr>
        <w:pStyle w:val="FootnoteText"/>
        <w:ind w:left="567" w:hanging="567"/>
        <w:rPr>
          <w:sz w:val="24"/>
          <w:szCs w:val="24"/>
          <w:lang w:val="fi-FI"/>
        </w:rPr>
      </w:pPr>
      <w:r w:rsidRPr="002A7E8E">
        <w:rPr>
          <w:rStyle w:val="FootnoteReference"/>
          <w:sz w:val="24"/>
        </w:rPr>
        <w:footnoteRef/>
      </w:r>
      <w:r w:rsidRPr="002A7E8E">
        <w:rPr>
          <w:sz w:val="24"/>
          <w:lang w:val="fi-FI"/>
        </w:rPr>
        <w:t xml:space="preserve"> </w:t>
      </w:r>
      <w:r w:rsidRPr="00CD15A8">
        <w:rPr>
          <w:sz w:val="24"/>
          <w:lang w:val="fi-FI"/>
        </w:rPr>
        <w:tab/>
        <w:t xml:space="preserve">EUT L 193, 30.7.2018, s. 1, ELI: </w:t>
      </w:r>
      <w:hyperlink r:id="rId39" w:history="1">
        <w:r w:rsidRPr="00CD15A8">
          <w:rPr>
            <w:rStyle w:val="Hyperlink1"/>
            <w:sz w:val="24"/>
            <w:lang w:val="fi-FI"/>
          </w:rPr>
          <w:t>http://data.europa.eu/eli/reg/2018/1046/oj</w:t>
        </w:r>
      </w:hyperlink>
      <w:r w:rsidRPr="00CD15A8">
        <w:rPr>
          <w:sz w:val="24"/>
          <w:lang w:val="fi-FI"/>
        </w:rPr>
        <w:t>.</w:t>
      </w:r>
    </w:p>
  </w:footnote>
  <w:footnote w:id="40">
    <w:p w14:paraId="15A46EEE" w14:textId="77777777" w:rsidR="00C122C8" w:rsidRPr="002A7E8E" w:rsidRDefault="00C122C8" w:rsidP="00C122C8">
      <w:pPr>
        <w:pStyle w:val="FootnoteText"/>
        <w:ind w:left="567" w:hanging="567"/>
        <w:rPr>
          <w:sz w:val="24"/>
          <w:szCs w:val="24"/>
          <w:lang w:val="fi-FI"/>
        </w:rPr>
      </w:pPr>
      <w:r w:rsidRPr="002A7E8E">
        <w:rPr>
          <w:rStyle w:val="FootnoteReference"/>
          <w:sz w:val="24"/>
        </w:rPr>
        <w:footnoteRef/>
      </w:r>
      <w:r w:rsidRPr="002A7E8E">
        <w:rPr>
          <w:sz w:val="24"/>
          <w:lang w:val="fi-FI"/>
        </w:rPr>
        <w:t xml:space="preserve"> </w:t>
      </w:r>
      <w:r w:rsidRPr="00CD15A8">
        <w:rPr>
          <w:sz w:val="24"/>
          <w:lang w:val="fi-FI"/>
        </w:rPr>
        <w:tab/>
        <w:t xml:space="preserve">EUT L, 2024/2509, 26.9.2024, ELI: </w:t>
      </w:r>
      <w:hyperlink r:id="rId40"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41">
    <w:p w14:paraId="6040628C" w14:textId="77777777" w:rsidR="00C122C8" w:rsidRPr="002A7E8E" w:rsidRDefault="00C122C8" w:rsidP="00C122C8">
      <w:pPr>
        <w:pStyle w:val="FootnoteText"/>
        <w:ind w:left="567" w:hanging="567"/>
        <w:rPr>
          <w:sz w:val="24"/>
          <w:szCs w:val="24"/>
          <w:lang w:val="fi-FI"/>
        </w:rPr>
      </w:pPr>
      <w:r w:rsidRPr="002A7E8E">
        <w:rPr>
          <w:rStyle w:val="FootnoteReference"/>
          <w:sz w:val="24"/>
        </w:rPr>
        <w:footnoteRef/>
      </w:r>
      <w:r w:rsidRPr="002A7E8E">
        <w:rPr>
          <w:sz w:val="24"/>
          <w:lang w:val="fi-FI"/>
        </w:rPr>
        <w:t xml:space="preserve"> </w:t>
      </w:r>
      <w:r w:rsidRPr="00CD15A8">
        <w:rPr>
          <w:sz w:val="24"/>
          <w:lang w:val="fi-FI"/>
        </w:rPr>
        <w:tab/>
        <w:t xml:space="preserve">EUT L 427, 30.11.2021, s. 17, ELI: </w:t>
      </w:r>
      <w:hyperlink r:id="rId41" w:history="1">
        <w:r w:rsidRPr="00CD15A8">
          <w:rPr>
            <w:rStyle w:val="Hyperlink1"/>
            <w:sz w:val="24"/>
            <w:lang w:val="fi-FI"/>
          </w:rPr>
          <w:t>http://data.europa.eu/eli/reg/2021/2085/oj</w:t>
        </w:r>
      </w:hyperlink>
      <w:r w:rsidRPr="00CD15A8">
        <w:rPr>
          <w:sz w:val="24"/>
          <w:lang w:val="fi-FI"/>
        </w:rPr>
        <w:t>.</w:t>
      </w:r>
    </w:p>
  </w:footnote>
  <w:footnote w:id="42">
    <w:p w14:paraId="211176A5" w14:textId="77777777" w:rsidR="00C122C8" w:rsidRPr="002A7E8E" w:rsidRDefault="00C122C8" w:rsidP="00C122C8">
      <w:pPr>
        <w:pStyle w:val="FootnoteText"/>
        <w:ind w:left="567" w:hanging="567"/>
        <w:rPr>
          <w:sz w:val="24"/>
          <w:szCs w:val="24"/>
          <w:lang w:val="fi-FI"/>
        </w:rPr>
      </w:pPr>
      <w:r w:rsidRPr="002A7E8E">
        <w:rPr>
          <w:rStyle w:val="FootnoteReference"/>
          <w:sz w:val="24"/>
        </w:rPr>
        <w:footnoteRef/>
      </w:r>
      <w:r w:rsidRPr="002A7E8E">
        <w:rPr>
          <w:sz w:val="24"/>
          <w:lang w:val="fi-FI"/>
        </w:rPr>
        <w:t xml:space="preserve"> </w:t>
      </w:r>
      <w:r w:rsidRPr="00CD15A8">
        <w:rPr>
          <w:sz w:val="24"/>
          <w:lang w:val="fi-FI"/>
        </w:rPr>
        <w:tab/>
        <w:t xml:space="preserve">EUT L 142, 29.5.2019, s. 16, ELI: </w:t>
      </w:r>
      <w:hyperlink r:id="rId42" w:history="1">
        <w:r w:rsidRPr="00CD15A8">
          <w:rPr>
            <w:rStyle w:val="Hyperlink1"/>
            <w:sz w:val="24"/>
            <w:lang w:val="fi-FI"/>
          </w:rPr>
          <w:t>http://data.europa.eu/eli/reg_del/2019/887/oj</w:t>
        </w:r>
      </w:hyperlink>
      <w:r w:rsidRPr="00CD15A8">
        <w:rPr>
          <w:sz w:val="24"/>
          <w:lang w:val="fi-FI"/>
        </w:rPr>
        <w:t>.</w:t>
      </w:r>
    </w:p>
  </w:footnote>
  <w:footnote w:id="43">
    <w:p w14:paraId="36014CFE" w14:textId="77777777" w:rsidR="00C122C8" w:rsidRPr="00B91415" w:rsidRDefault="00C122C8" w:rsidP="00C122C8">
      <w:pPr>
        <w:pStyle w:val="FootnoteText"/>
        <w:ind w:left="567" w:hanging="567"/>
        <w:rPr>
          <w:sz w:val="24"/>
          <w:szCs w:val="24"/>
          <w:lang w:val="fi-FI"/>
        </w:rPr>
      </w:pPr>
      <w:r w:rsidRPr="00B91415">
        <w:rPr>
          <w:rStyle w:val="FootnoteReference"/>
          <w:sz w:val="24"/>
        </w:rPr>
        <w:footnoteRef/>
      </w:r>
      <w:r w:rsidRPr="00B91415">
        <w:rPr>
          <w:sz w:val="24"/>
          <w:lang w:val="fi-FI"/>
        </w:rPr>
        <w:t xml:space="preserve"> </w:t>
      </w:r>
      <w:r w:rsidRPr="00CD15A8">
        <w:rPr>
          <w:sz w:val="24"/>
          <w:lang w:val="fi-FI"/>
        </w:rPr>
        <w:tab/>
        <w:t xml:space="preserve">EUT C, C/2024/6841, 13.11.2024, ELI: </w:t>
      </w:r>
      <w:hyperlink r:id="rId43" w:history="1">
        <w:r w:rsidRPr="00CD15A8">
          <w:rPr>
            <w:rStyle w:val="Hyperlink1"/>
            <w:sz w:val="24"/>
            <w:lang w:val="fi-FI"/>
          </w:rPr>
          <w:t>http://data.europa.eu/eli/C/2024/6841/oj</w:t>
        </w:r>
      </w:hyperlink>
      <w:r w:rsidRPr="00CD15A8">
        <w:rPr>
          <w:sz w:val="24"/>
          <w:lang w:val="fi-FI"/>
        </w:rPr>
        <w:t>.</w:t>
      </w:r>
    </w:p>
  </w:footnote>
  <w:footnote w:id="44">
    <w:p w14:paraId="6AF376D3" w14:textId="77777777" w:rsidR="00C122C8" w:rsidRPr="00B91415" w:rsidRDefault="00C122C8" w:rsidP="00C122C8">
      <w:pPr>
        <w:pStyle w:val="FootnoteText"/>
        <w:ind w:left="567" w:hanging="567"/>
        <w:rPr>
          <w:sz w:val="24"/>
          <w:szCs w:val="24"/>
          <w:lang w:val="fi-FI"/>
        </w:rPr>
      </w:pPr>
      <w:r w:rsidRPr="00B91415">
        <w:rPr>
          <w:rStyle w:val="FootnoteReference"/>
          <w:sz w:val="24"/>
        </w:rPr>
        <w:footnoteRef/>
      </w:r>
      <w:r w:rsidRPr="00B91415">
        <w:rPr>
          <w:sz w:val="24"/>
          <w:lang w:val="fi-FI"/>
        </w:rPr>
        <w:t xml:space="preserve"> </w:t>
      </w:r>
      <w:r w:rsidRPr="00CD15A8">
        <w:rPr>
          <w:sz w:val="24"/>
          <w:lang w:val="fi-FI"/>
        </w:rPr>
        <w:tab/>
        <w:t xml:space="preserve">EUT C, C/2024/6041, 10.10.2024, ELI: </w:t>
      </w:r>
      <w:hyperlink r:id="rId44" w:history="1">
        <w:r w:rsidRPr="00CD15A8">
          <w:rPr>
            <w:rStyle w:val="Hyperlink1"/>
            <w:sz w:val="24"/>
            <w:lang w:val="fi-FI"/>
          </w:rPr>
          <w:t>http://data.europa.eu/eli/C/2024/6041/oj</w:t>
        </w:r>
      </w:hyperlink>
      <w:r w:rsidRPr="00CD15A8">
        <w:rPr>
          <w:sz w:val="24"/>
          <w:lang w:val="fi-FI"/>
        </w:rPr>
        <w:t>.</w:t>
      </w:r>
    </w:p>
  </w:footnote>
  <w:footnote w:id="45">
    <w:p w14:paraId="19227298" w14:textId="77777777" w:rsidR="00C122C8" w:rsidRPr="00B91415" w:rsidRDefault="00C122C8" w:rsidP="00C122C8">
      <w:pPr>
        <w:pStyle w:val="FootnoteText"/>
        <w:ind w:left="567" w:hanging="567"/>
        <w:rPr>
          <w:sz w:val="24"/>
          <w:szCs w:val="24"/>
          <w:lang w:val="fi-FI"/>
        </w:rPr>
      </w:pPr>
      <w:r w:rsidRPr="00B91415">
        <w:rPr>
          <w:rStyle w:val="FootnoteReference"/>
          <w:sz w:val="24"/>
        </w:rPr>
        <w:footnoteRef/>
      </w:r>
      <w:r w:rsidRPr="00B91415">
        <w:rPr>
          <w:sz w:val="24"/>
          <w:lang w:val="fi-FI"/>
        </w:rPr>
        <w:t xml:space="preserve"> </w:t>
      </w:r>
      <w:r w:rsidRPr="00CD15A8">
        <w:rPr>
          <w:sz w:val="24"/>
          <w:lang w:val="fi-FI"/>
        </w:rPr>
        <w:tab/>
        <w:t xml:space="preserve">EUT L 193, 30.7.2018, s. 1, ELI: </w:t>
      </w:r>
      <w:hyperlink r:id="rId45" w:history="1">
        <w:r w:rsidRPr="00CD15A8">
          <w:rPr>
            <w:rStyle w:val="Hyperlink1"/>
            <w:sz w:val="24"/>
            <w:lang w:val="fi-FI"/>
          </w:rPr>
          <w:t>http://data.europa.eu/eli/reg/2018/1046/oj</w:t>
        </w:r>
      </w:hyperlink>
      <w:r w:rsidRPr="00CD15A8">
        <w:rPr>
          <w:sz w:val="24"/>
          <w:lang w:val="fi-FI"/>
        </w:rPr>
        <w:t>.</w:t>
      </w:r>
    </w:p>
  </w:footnote>
  <w:footnote w:id="46">
    <w:p w14:paraId="5992E119" w14:textId="77777777" w:rsidR="00C122C8" w:rsidRPr="00B91415" w:rsidRDefault="00C122C8" w:rsidP="00C122C8">
      <w:pPr>
        <w:pStyle w:val="FootnoteText"/>
        <w:ind w:left="567" w:hanging="567"/>
        <w:rPr>
          <w:sz w:val="24"/>
          <w:szCs w:val="24"/>
          <w:lang w:val="fi-FI"/>
        </w:rPr>
      </w:pPr>
      <w:r w:rsidRPr="00B91415">
        <w:rPr>
          <w:rStyle w:val="FootnoteReference"/>
          <w:sz w:val="24"/>
        </w:rPr>
        <w:footnoteRef/>
      </w:r>
      <w:r w:rsidRPr="00B91415">
        <w:rPr>
          <w:sz w:val="24"/>
          <w:lang w:val="fi-FI"/>
        </w:rPr>
        <w:t xml:space="preserve"> </w:t>
      </w:r>
      <w:r w:rsidRPr="00CD15A8">
        <w:rPr>
          <w:sz w:val="24"/>
          <w:lang w:val="fi-FI"/>
        </w:rPr>
        <w:tab/>
        <w:t xml:space="preserve">EUT L, 2024/2509, 26.9.2024, ELI: </w:t>
      </w:r>
      <w:hyperlink r:id="rId46"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47">
    <w:p w14:paraId="72D2588A" w14:textId="77777777" w:rsidR="00C122C8" w:rsidRPr="00B91415" w:rsidRDefault="00C122C8" w:rsidP="00C122C8">
      <w:pPr>
        <w:pStyle w:val="FootnoteText"/>
        <w:ind w:left="567" w:hanging="567"/>
        <w:rPr>
          <w:sz w:val="24"/>
          <w:szCs w:val="24"/>
          <w:lang w:val="fi-FI"/>
        </w:rPr>
      </w:pPr>
      <w:r w:rsidRPr="00B91415">
        <w:rPr>
          <w:rStyle w:val="FootnoteReference"/>
          <w:sz w:val="24"/>
        </w:rPr>
        <w:footnoteRef/>
      </w:r>
      <w:r w:rsidRPr="00B91415">
        <w:rPr>
          <w:sz w:val="24"/>
          <w:lang w:val="fi-FI"/>
        </w:rPr>
        <w:t xml:space="preserve"> </w:t>
      </w:r>
      <w:r w:rsidRPr="00CD15A8">
        <w:rPr>
          <w:sz w:val="24"/>
          <w:lang w:val="fi-FI"/>
        </w:rPr>
        <w:tab/>
        <w:t xml:space="preserve">EUT L 427, 30.11.2021, s. 17, ELI: </w:t>
      </w:r>
      <w:hyperlink r:id="rId47" w:history="1">
        <w:r w:rsidRPr="00CD15A8">
          <w:rPr>
            <w:rStyle w:val="Hyperlink1"/>
            <w:sz w:val="24"/>
            <w:lang w:val="fi-FI"/>
          </w:rPr>
          <w:t>http://data.europa.eu/eli/reg/2021/2085/oj</w:t>
        </w:r>
      </w:hyperlink>
      <w:r w:rsidRPr="00CD15A8">
        <w:rPr>
          <w:sz w:val="24"/>
          <w:lang w:val="fi-FI"/>
        </w:rPr>
        <w:t>.</w:t>
      </w:r>
    </w:p>
  </w:footnote>
  <w:footnote w:id="48">
    <w:p w14:paraId="0A9BABE2" w14:textId="77777777" w:rsidR="00C122C8" w:rsidRPr="00B91415" w:rsidRDefault="00C122C8" w:rsidP="00C122C8">
      <w:pPr>
        <w:pStyle w:val="FootnoteText"/>
        <w:ind w:left="567" w:hanging="567"/>
        <w:rPr>
          <w:sz w:val="24"/>
          <w:szCs w:val="24"/>
          <w:lang w:val="fi-FI"/>
        </w:rPr>
      </w:pPr>
      <w:r w:rsidRPr="00B91415">
        <w:rPr>
          <w:rStyle w:val="FootnoteReference"/>
          <w:sz w:val="24"/>
        </w:rPr>
        <w:footnoteRef/>
      </w:r>
      <w:r w:rsidRPr="00B91415">
        <w:rPr>
          <w:sz w:val="24"/>
          <w:lang w:val="fi-FI"/>
        </w:rPr>
        <w:t xml:space="preserve"> </w:t>
      </w:r>
      <w:r w:rsidRPr="00CD15A8">
        <w:rPr>
          <w:sz w:val="24"/>
          <w:lang w:val="fi-FI"/>
        </w:rPr>
        <w:tab/>
        <w:t xml:space="preserve">EUT L 142, 29.5.2019, s. 16, ELI: </w:t>
      </w:r>
      <w:hyperlink r:id="rId48" w:history="1">
        <w:r w:rsidRPr="00CD15A8">
          <w:rPr>
            <w:rStyle w:val="Hyperlink1"/>
            <w:sz w:val="24"/>
            <w:lang w:val="fi-FI"/>
          </w:rPr>
          <w:t>http://data.europa.eu/eli/reg_del/2019/887/oj</w:t>
        </w:r>
      </w:hyperlink>
      <w:r w:rsidRPr="00CD15A8">
        <w:rPr>
          <w:sz w:val="24"/>
          <w:lang w:val="fi-FI"/>
        </w:rPr>
        <w:t>.</w:t>
      </w:r>
    </w:p>
  </w:footnote>
  <w:footnote w:id="49">
    <w:p w14:paraId="111DB96C" w14:textId="77777777" w:rsidR="00C122C8" w:rsidRPr="00566917" w:rsidRDefault="00C122C8" w:rsidP="00C122C8">
      <w:pPr>
        <w:pStyle w:val="FootnoteText"/>
        <w:ind w:left="567" w:hanging="567"/>
        <w:rPr>
          <w:sz w:val="24"/>
          <w:szCs w:val="24"/>
          <w:lang w:val="fi-FI"/>
        </w:rPr>
      </w:pPr>
      <w:r w:rsidRPr="00566917">
        <w:rPr>
          <w:rStyle w:val="FootnoteReference"/>
          <w:sz w:val="24"/>
        </w:rPr>
        <w:footnoteRef/>
      </w:r>
      <w:r w:rsidRPr="00566917">
        <w:rPr>
          <w:sz w:val="24"/>
          <w:lang w:val="fi-FI"/>
        </w:rPr>
        <w:t xml:space="preserve"> </w:t>
      </w:r>
      <w:r w:rsidRPr="00CD15A8">
        <w:rPr>
          <w:sz w:val="24"/>
          <w:lang w:val="fi-FI"/>
        </w:rPr>
        <w:tab/>
        <w:t xml:space="preserve">EUT C, C/2024/6841, 13.11.2024, ELI: </w:t>
      </w:r>
      <w:hyperlink r:id="rId49" w:history="1">
        <w:r w:rsidRPr="00CD15A8">
          <w:rPr>
            <w:rStyle w:val="Hyperlink1"/>
            <w:sz w:val="24"/>
            <w:lang w:val="fi-FI"/>
          </w:rPr>
          <w:t>http://data.europa.eu/eli/C/2024/6841/oj</w:t>
        </w:r>
      </w:hyperlink>
      <w:r w:rsidRPr="00CD15A8">
        <w:rPr>
          <w:sz w:val="24"/>
          <w:lang w:val="fi-FI"/>
        </w:rPr>
        <w:t>.</w:t>
      </w:r>
    </w:p>
  </w:footnote>
  <w:footnote w:id="50">
    <w:p w14:paraId="3C5F202D" w14:textId="77777777" w:rsidR="00C122C8" w:rsidRPr="00566917" w:rsidRDefault="00C122C8" w:rsidP="00C122C8">
      <w:pPr>
        <w:pStyle w:val="FootnoteText"/>
        <w:ind w:left="567" w:hanging="567"/>
        <w:rPr>
          <w:sz w:val="24"/>
          <w:szCs w:val="24"/>
          <w:lang w:val="fi-FI"/>
        </w:rPr>
      </w:pPr>
      <w:r w:rsidRPr="00566917">
        <w:rPr>
          <w:rStyle w:val="FootnoteReference"/>
          <w:sz w:val="24"/>
        </w:rPr>
        <w:footnoteRef/>
      </w:r>
      <w:r w:rsidRPr="00566917">
        <w:rPr>
          <w:sz w:val="24"/>
          <w:lang w:val="fi-FI"/>
        </w:rPr>
        <w:t xml:space="preserve"> </w:t>
      </w:r>
      <w:r w:rsidRPr="00CD15A8">
        <w:rPr>
          <w:sz w:val="24"/>
          <w:lang w:val="fi-FI"/>
        </w:rPr>
        <w:tab/>
        <w:t xml:space="preserve">EUT C, C/2024/6041, 10.10.2024, ELI: </w:t>
      </w:r>
      <w:hyperlink r:id="rId50" w:history="1">
        <w:r w:rsidRPr="00CD15A8">
          <w:rPr>
            <w:rStyle w:val="Hyperlink1"/>
            <w:sz w:val="24"/>
            <w:lang w:val="fi-FI"/>
          </w:rPr>
          <w:t>http://data.europa.eu/eli/C/2024/6041/oj</w:t>
        </w:r>
      </w:hyperlink>
      <w:r w:rsidRPr="00CD15A8">
        <w:rPr>
          <w:sz w:val="24"/>
          <w:lang w:val="fi-FI"/>
        </w:rPr>
        <w:t xml:space="preserve">. </w:t>
      </w:r>
    </w:p>
  </w:footnote>
  <w:footnote w:id="51">
    <w:p w14:paraId="2862442D" w14:textId="77777777" w:rsidR="00C122C8" w:rsidRPr="00566917" w:rsidRDefault="00C122C8" w:rsidP="00C122C8">
      <w:pPr>
        <w:pStyle w:val="FootnoteText"/>
        <w:ind w:left="567" w:hanging="567"/>
        <w:rPr>
          <w:sz w:val="24"/>
          <w:szCs w:val="24"/>
          <w:lang w:val="fi-FI"/>
        </w:rPr>
      </w:pPr>
      <w:r w:rsidRPr="00566917">
        <w:rPr>
          <w:rStyle w:val="FootnoteReference"/>
          <w:sz w:val="24"/>
        </w:rPr>
        <w:footnoteRef/>
      </w:r>
      <w:r w:rsidRPr="00566917">
        <w:rPr>
          <w:sz w:val="24"/>
          <w:lang w:val="fi-FI"/>
        </w:rPr>
        <w:t xml:space="preserve"> </w:t>
      </w:r>
      <w:r w:rsidRPr="00CD15A8">
        <w:rPr>
          <w:sz w:val="24"/>
          <w:lang w:val="fi-FI"/>
        </w:rPr>
        <w:tab/>
        <w:t xml:space="preserve">EUT L 193, 30.7.2018, s. 1, ELI: </w:t>
      </w:r>
      <w:hyperlink r:id="rId51" w:history="1">
        <w:r w:rsidRPr="00CD15A8">
          <w:rPr>
            <w:rStyle w:val="Hyperlink1"/>
            <w:sz w:val="24"/>
            <w:lang w:val="fi-FI"/>
          </w:rPr>
          <w:t>http://data.europa.eu/eli/reg/2018/1046/oj</w:t>
        </w:r>
      </w:hyperlink>
      <w:r w:rsidRPr="00CD15A8">
        <w:rPr>
          <w:sz w:val="24"/>
          <w:lang w:val="fi-FI"/>
        </w:rPr>
        <w:t>.</w:t>
      </w:r>
    </w:p>
  </w:footnote>
  <w:footnote w:id="52">
    <w:p w14:paraId="5CDE466A" w14:textId="77777777" w:rsidR="00C122C8" w:rsidRPr="00566917" w:rsidRDefault="00C122C8" w:rsidP="00C122C8">
      <w:pPr>
        <w:pStyle w:val="FootnoteText"/>
        <w:ind w:left="567" w:hanging="567"/>
        <w:rPr>
          <w:sz w:val="24"/>
          <w:szCs w:val="24"/>
          <w:lang w:val="fi-FI"/>
        </w:rPr>
      </w:pPr>
      <w:r w:rsidRPr="00566917">
        <w:rPr>
          <w:rStyle w:val="FootnoteReference"/>
          <w:sz w:val="24"/>
        </w:rPr>
        <w:footnoteRef/>
      </w:r>
      <w:r w:rsidRPr="00566917">
        <w:rPr>
          <w:sz w:val="24"/>
          <w:lang w:val="fi-FI"/>
        </w:rPr>
        <w:t xml:space="preserve"> </w:t>
      </w:r>
      <w:r w:rsidRPr="00CD15A8">
        <w:rPr>
          <w:sz w:val="24"/>
          <w:lang w:val="fi-FI"/>
        </w:rPr>
        <w:tab/>
        <w:t xml:space="preserve">EUT L, 2024/2509, 26.9.2024, ELI: </w:t>
      </w:r>
      <w:hyperlink r:id="rId52"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53">
    <w:p w14:paraId="56404911" w14:textId="77777777" w:rsidR="00C122C8" w:rsidRPr="00566917" w:rsidRDefault="00C122C8" w:rsidP="00C122C8">
      <w:pPr>
        <w:pStyle w:val="FootnoteText"/>
        <w:ind w:left="567" w:hanging="567"/>
        <w:rPr>
          <w:sz w:val="24"/>
          <w:szCs w:val="24"/>
          <w:lang w:val="fi-FI"/>
        </w:rPr>
      </w:pPr>
      <w:r w:rsidRPr="00566917">
        <w:rPr>
          <w:rStyle w:val="FootnoteReference"/>
          <w:sz w:val="24"/>
        </w:rPr>
        <w:footnoteRef/>
      </w:r>
      <w:r w:rsidRPr="00566917">
        <w:rPr>
          <w:sz w:val="24"/>
          <w:lang w:val="fi-FI"/>
        </w:rPr>
        <w:t xml:space="preserve"> </w:t>
      </w:r>
      <w:r w:rsidRPr="00CD15A8">
        <w:rPr>
          <w:sz w:val="24"/>
          <w:lang w:val="fi-FI"/>
        </w:rPr>
        <w:tab/>
        <w:t xml:space="preserve">EUT L 256, 19.7.2021, s. 3, ELI: </w:t>
      </w:r>
      <w:hyperlink r:id="rId53" w:history="1">
        <w:r w:rsidRPr="00CD15A8">
          <w:rPr>
            <w:rStyle w:val="Hyperlink"/>
            <w:sz w:val="24"/>
            <w:lang w:val="fi-FI"/>
          </w:rPr>
          <w:t>https://data.europa.eu/eli/reg/2021/1173/oj</w:t>
        </w:r>
      </w:hyperlink>
      <w:r w:rsidRPr="00CD15A8">
        <w:rPr>
          <w:sz w:val="24"/>
          <w:lang w:val="fi-FI"/>
        </w:rPr>
        <w:t>.</w:t>
      </w:r>
    </w:p>
  </w:footnote>
  <w:footnote w:id="54">
    <w:p w14:paraId="7B3FF4FA" w14:textId="77777777" w:rsidR="00C122C8" w:rsidRPr="00566917" w:rsidRDefault="00C122C8" w:rsidP="00C122C8">
      <w:pPr>
        <w:pStyle w:val="FootnoteText"/>
        <w:ind w:left="567" w:hanging="567"/>
        <w:rPr>
          <w:sz w:val="24"/>
          <w:szCs w:val="24"/>
          <w:lang w:val="fi-FI"/>
        </w:rPr>
      </w:pPr>
      <w:r w:rsidRPr="00566917">
        <w:rPr>
          <w:rStyle w:val="FootnoteReference"/>
          <w:sz w:val="24"/>
        </w:rPr>
        <w:footnoteRef/>
      </w:r>
      <w:r w:rsidRPr="00566917">
        <w:rPr>
          <w:sz w:val="24"/>
          <w:lang w:val="fi-FI"/>
        </w:rPr>
        <w:t xml:space="preserve"> </w:t>
      </w:r>
      <w:r w:rsidRPr="00CD15A8">
        <w:rPr>
          <w:sz w:val="24"/>
          <w:lang w:val="fi-FI"/>
        </w:rPr>
        <w:tab/>
        <w:t xml:space="preserve">EUT L 142, 29.5.2019, s. 16, ELI: </w:t>
      </w:r>
      <w:hyperlink r:id="rId54" w:history="1">
        <w:r w:rsidRPr="00CD15A8">
          <w:rPr>
            <w:rStyle w:val="Hyperlink1"/>
            <w:sz w:val="24"/>
            <w:lang w:val="fi-FI"/>
          </w:rPr>
          <w:t>http://data.europa.eu/eli/reg_del/2019/887/oj</w:t>
        </w:r>
      </w:hyperlink>
      <w:r w:rsidRPr="00CD15A8">
        <w:rPr>
          <w:sz w:val="24"/>
          <w:lang w:val="fi-FI"/>
        </w:rPr>
        <w:t>.</w:t>
      </w:r>
    </w:p>
  </w:footnote>
  <w:footnote w:id="55">
    <w:p w14:paraId="5FA618EC" w14:textId="77777777" w:rsidR="00C122C8" w:rsidRPr="00872F5C" w:rsidRDefault="00C122C8" w:rsidP="00C122C8">
      <w:pPr>
        <w:pStyle w:val="FootnoteText"/>
        <w:ind w:left="567" w:hanging="567"/>
        <w:rPr>
          <w:sz w:val="24"/>
          <w:szCs w:val="24"/>
          <w:lang w:val="fi-FI"/>
        </w:rPr>
      </w:pPr>
      <w:r w:rsidRPr="00872F5C">
        <w:rPr>
          <w:rStyle w:val="FootnoteReference"/>
          <w:sz w:val="24"/>
        </w:rPr>
        <w:footnoteRef/>
      </w:r>
      <w:r w:rsidRPr="00872F5C">
        <w:rPr>
          <w:sz w:val="24"/>
          <w:lang w:val="fi-FI"/>
        </w:rPr>
        <w:t xml:space="preserve"> </w:t>
      </w:r>
      <w:r w:rsidRPr="00CD15A8">
        <w:rPr>
          <w:sz w:val="24"/>
          <w:lang w:val="fi-FI"/>
        </w:rPr>
        <w:tab/>
        <w:t xml:space="preserve">EUT C, C/2024/6841, 13.11.2024, ELI: </w:t>
      </w:r>
      <w:hyperlink r:id="rId55" w:history="1">
        <w:r w:rsidRPr="00CD15A8">
          <w:rPr>
            <w:rStyle w:val="Hyperlink1"/>
            <w:sz w:val="24"/>
            <w:lang w:val="fi-FI"/>
          </w:rPr>
          <w:t>http://data.europa.eu/eli/C/2024/6841/oj</w:t>
        </w:r>
      </w:hyperlink>
      <w:r w:rsidRPr="00CD15A8">
        <w:rPr>
          <w:sz w:val="24"/>
          <w:lang w:val="fi-FI"/>
        </w:rPr>
        <w:t>.</w:t>
      </w:r>
    </w:p>
  </w:footnote>
  <w:footnote w:id="56">
    <w:p w14:paraId="02170A8D" w14:textId="77777777" w:rsidR="00C122C8" w:rsidRPr="00872F5C" w:rsidRDefault="00C122C8" w:rsidP="00C122C8">
      <w:pPr>
        <w:pStyle w:val="FootnoteText"/>
        <w:ind w:left="567" w:hanging="567"/>
        <w:rPr>
          <w:sz w:val="24"/>
          <w:szCs w:val="24"/>
          <w:lang w:val="fi-FI"/>
        </w:rPr>
      </w:pPr>
      <w:r w:rsidRPr="00872F5C">
        <w:rPr>
          <w:rStyle w:val="FootnoteReference"/>
          <w:sz w:val="24"/>
        </w:rPr>
        <w:footnoteRef/>
      </w:r>
      <w:r w:rsidRPr="00872F5C">
        <w:rPr>
          <w:sz w:val="24"/>
          <w:lang w:val="fi-FI"/>
        </w:rPr>
        <w:t xml:space="preserve"> </w:t>
      </w:r>
      <w:r w:rsidRPr="00CD15A8">
        <w:rPr>
          <w:sz w:val="24"/>
          <w:lang w:val="fi-FI"/>
        </w:rPr>
        <w:tab/>
        <w:t xml:space="preserve">EUT C, C/2024/6041, 10.10.2024, ELI: </w:t>
      </w:r>
      <w:hyperlink r:id="rId56" w:history="1">
        <w:r w:rsidRPr="00CD15A8">
          <w:rPr>
            <w:rStyle w:val="Hyperlink1"/>
            <w:sz w:val="24"/>
            <w:lang w:val="fi-FI"/>
          </w:rPr>
          <w:t>http://data.europa.eu/eli/C/2024/6041/oj</w:t>
        </w:r>
      </w:hyperlink>
      <w:r w:rsidRPr="00CD15A8">
        <w:rPr>
          <w:sz w:val="24"/>
          <w:lang w:val="fi-FI"/>
        </w:rPr>
        <w:t xml:space="preserve">. </w:t>
      </w:r>
    </w:p>
  </w:footnote>
  <w:footnote w:id="57">
    <w:p w14:paraId="48FC7D84" w14:textId="77777777" w:rsidR="00C122C8" w:rsidRPr="00872F5C" w:rsidRDefault="00C122C8" w:rsidP="00C122C8">
      <w:pPr>
        <w:pStyle w:val="FootnoteText"/>
        <w:ind w:left="567" w:hanging="567"/>
        <w:rPr>
          <w:sz w:val="24"/>
          <w:szCs w:val="24"/>
          <w:lang w:val="fi-FI"/>
        </w:rPr>
      </w:pPr>
      <w:r w:rsidRPr="00872F5C">
        <w:rPr>
          <w:rStyle w:val="FootnoteReference"/>
          <w:sz w:val="24"/>
        </w:rPr>
        <w:footnoteRef/>
      </w:r>
      <w:r w:rsidRPr="00872F5C">
        <w:rPr>
          <w:sz w:val="24"/>
          <w:lang w:val="fi-FI"/>
        </w:rPr>
        <w:t xml:space="preserve"> </w:t>
      </w:r>
      <w:r w:rsidRPr="00CD15A8">
        <w:rPr>
          <w:sz w:val="24"/>
          <w:lang w:val="fi-FI"/>
        </w:rPr>
        <w:tab/>
        <w:t xml:space="preserve">EUT L 193, 30.7.2018, s. 1, ELI: </w:t>
      </w:r>
      <w:hyperlink r:id="rId57" w:history="1">
        <w:r w:rsidRPr="00CD15A8">
          <w:rPr>
            <w:rStyle w:val="Hyperlink1"/>
            <w:sz w:val="24"/>
            <w:lang w:val="fi-FI"/>
          </w:rPr>
          <w:t>http://data.europa.eu/eli/reg/2018/1046/oj</w:t>
        </w:r>
      </w:hyperlink>
      <w:r w:rsidRPr="00CD15A8">
        <w:rPr>
          <w:sz w:val="24"/>
          <w:lang w:val="fi-FI"/>
        </w:rPr>
        <w:t>.</w:t>
      </w:r>
    </w:p>
  </w:footnote>
  <w:footnote w:id="58">
    <w:p w14:paraId="196816F0" w14:textId="77777777" w:rsidR="00C122C8" w:rsidRPr="00872F5C" w:rsidRDefault="00C122C8" w:rsidP="00C122C8">
      <w:pPr>
        <w:pStyle w:val="FootnoteText"/>
        <w:ind w:left="567" w:hanging="567"/>
        <w:rPr>
          <w:sz w:val="24"/>
          <w:szCs w:val="24"/>
          <w:lang w:val="fi-FI"/>
        </w:rPr>
      </w:pPr>
      <w:r w:rsidRPr="00872F5C">
        <w:rPr>
          <w:rStyle w:val="FootnoteReference"/>
          <w:sz w:val="24"/>
        </w:rPr>
        <w:footnoteRef/>
      </w:r>
      <w:r w:rsidRPr="00872F5C">
        <w:rPr>
          <w:sz w:val="24"/>
          <w:lang w:val="fi-FI"/>
        </w:rPr>
        <w:t xml:space="preserve"> </w:t>
      </w:r>
      <w:r w:rsidRPr="00CD15A8">
        <w:rPr>
          <w:sz w:val="24"/>
          <w:lang w:val="fi-FI"/>
        </w:rPr>
        <w:tab/>
        <w:t xml:space="preserve">EUT L, 2024/2509, 26.9.2024, ELI: </w:t>
      </w:r>
      <w:hyperlink r:id="rId58"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59">
    <w:p w14:paraId="4944A178" w14:textId="77777777" w:rsidR="00C122C8" w:rsidRPr="00872F5C" w:rsidRDefault="00C122C8" w:rsidP="00C122C8">
      <w:pPr>
        <w:pStyle w:val="FootnoteText"/>
        <w:ind w:left="567" w:hanging="567"/>
        <w:rPr>
          <w:sz w:val="24"/>
          <w:szCs w:val="24"/>
          <w:lang w:val="fi-FI"/>
        </w:rPr>
      </w:pPr>
      <w:r w:rsidRPr="00872F5C">
        <w:rPr>
          <w:rStyle w:val="FootnoteReference"/>
          <w:sz w:val="24"/>
        </w:rPr>
        <w:footnoteRef/>
      </w:r>
      <w:r w:rsidRPr="00872F5C">
        <w:rPr>
          <w:sz w:val="24"/>
          <w:lang w:val="fi-FI"/>
        </w:rPr>
        <w:t xml:space="preserve"> </w:t>
      </w:r>
      <w:r w:rsidRPr="00CD15A8">
        <w:rPr>
          <w:sz w:val="24"/>
          <w:lang w:val="fi-FI"/>
        </w:rPr>
        <w:tab/>
        <w:t xml:space="preserve">EUT L 256, 19.7.2021, s. 3, ELI: </w:t>
      </w:r>
      <w:hyperlink r:id="rId59" w:history="1">
        <w:r w:rsidRPr="00CD15A8">
          <w:rPr>
            <w:rStyle w:val="Hyperlink"/>
            <w:sz w:val="24"/>
            <w:lang w:val="fi-FI"/>
          </w:rPr>
          <w:t>https://data.europa.eu/eli/reg/2021/1173/oj</w:t>
        </w:r>
      </w:hyperlink>
      <w:r w:rsidRPr="00CD15A8">
        <w:rPr>
          <w:sz w:val="24"/>
          <w:lang w:val="fi-FI"/>
        </w:rPr>
        <w:t>.</w:t>
      </w:r>
    </w:p>
  </w:footnote>
  <w:footnote w:id="60">
    <w:p w14:paraId="68F35FD8" w14:textId="77777777" w:rsidR="00C122C8" w:rsidRPr="00872F5C" w:rsidRDefault="00C122C8" w:rsidP="00C122C8">
      <w:pPr>
        <w:pStyle w:val="FootnoteText"/>
        <w:ind w:left="567" w:hanging="567"/>
        <w:rPr>
          <w:sz w:val="24"/>
          <w:szCs w:val="24"/>
          <w:lang w:val="fi-FI"/>
        </w:rPr>
      </w:pPr>
      <w:r w:rsidRPr="00872F5C">
        <w:rPr>
          <w:rStyle w:val="FootnoteReference"/>
          <w:sz w:val="24"/>
        </w:rPr>
        <w:footnoteRef/>
      </w:r>
      <w:r w:rsidRPr="00872F5C">
        <w:rPr>
          <w:sz w:val="24"/>
          <w:lang w:val="fi-FI"/>
        </w:rPr>
        <w:t xml:space="preserve"> </w:t>
      </w:r>
      <w:r w:rsidRPr="00CD15A8">
        <w:rPr>
          <w:sz w:val="24"/>
          <w:lang w:val="fi-FI"/>
        </w:rPr>
        <w:tab/>
        <w:t xml:space="preserve">EUT L 142, 29.5.2019, s. 16, ELI: </w:t>
      </w:r>
      <w:hyperlink r:id="rId60" w:history="1">
        <w:r w:rsidRPr="00CD15A8">
          <w:rPr>
            <w:rStyle w:val="Hyperlink1"/>
            <w:sz w:val="24"/>
            <w:lang w:val="fi-FI"/>
          </w:rPr>
          <w:t>http://data.europa.eu/eli/reg_del/2019/887/oj</w:t>
        </w:r>
      </w:hyperlink>
      <w:r w:rsidRPr="00CD15A8">
        <w:rPr>
          <w:sz w:val="24"/>
          <w:lang w:val="fi-FI"/>
        </w:rPr>
        <w:t>.</w:t>
      </w:r>
    </w:p>
  </w:footnote>
  <w:footnote w:id="61">
    <w:p w14:paraId="5BB0C6D8" w14:textId="77777777" w:rsidR="00C122C8" w:rsidRPr="00880E7C" w:rsidRDefault="00C122C8" w:rsidP="00C122C8">
      <w:pPr>
        <w:pStyle w:val="FootnoteText"/>
        <w:ind w:left="567" w:hanging="567"/>
        <w:rPr>
          <w:sz w:val="24"/>
          <w:szCs w:val="24"/>
          <w:lang w:val="fi-FI"/>
        </w:rPr>
      </w:pPr>
      <w:r w:rsidRPr="00880E7C">
        <w:rPr>
          <w:rStyle w:val="FootnoteReference"/>
          <w:sz w:val="24"/>
        </w:rPr>
        <w:footnoteRef/>
      </w:r>
      <w:r w:rsidRPr="00880E7C">
        <w:rPr>
          <w:sz w:val="24"/>
          <w:lang w:val="fi-FI"/>
        </w:rPr>
        <w:t xml:space="preserve"> </w:t>
      </w:r>
      <w:r w:rsidRPr="00CD15A8">
        <w:rPr>
          <w:sz w:val="24"/>
          <w:lang w:val="fi-FI"/>
        </w:rPr>
        <w:tab/>
        <w:t xml:space="preserve">EUT C, C/2024/6841, 13.11.2024, ELI: </w:t>
      </w:r>
      <w:hyperlink r:id="rId61" w:history="1">
        <w:r w:rsidRPr="00CD15A8">
          <w:rPr>
            <w:rStyle w:val="Hyperlink1"/>
            <w:sz w:val="24"/>
            <w:lang w:val="fi-FI"/>
          </w:rPr>
          <w:t>http://data.europa.eu/eli/C/2024/6841/oj</w:t>
        </w:r>
      </w:hyperlink>
      <w:r w:rsidRPr="00CD15A8">
        <w:rPr>
          <w:sz w:val="24"/>
          <w:lang w:val="fi-FI"/>
        </w:rPr>
        <w:t>.</w:t>
      </w:r>
    </w:p>
  </w:footnote>
  <w:footnote w:id="62">
    <w:p w14:paraId="27C94375" w14:textId="77777777" w:rsidR="00C122C8" w:rsidRPr="00880E7C" w:rsidRDefault="00C122C8" w:rsidP="00C122C8">
      <w:pPr>
        <w:pStyle w:val="FootnoteText"/>
        <w:ind w:left="567" w:hanging="567"/>
        <w:rPr>
          <w:sz w:val="24"/>
          <w:szCs w:val="24"/>
          <w:lang w:val="fi-FI"/>
        </w:rPr>
      </w:pPr>
      <w:r w:rsidRPr="00880E7C">
        <w:rPr>
          <w:rStyle w:val="FootnoteReference"/>
          <w:sz w:val="24"/>
        </w:rPr>
        <w:footnoteRef/>
      </w:r>
      <w:r w:rsidRPr="00880E7C">
        <w:rPr>
          <w:sz w:val="24"/>
          <w:lang w:val="fi-FI"/>
        </w:rPr>
        <w:t xml:space="preserve"> </w:t>
      </w:r>
      <w:r w:rsidRPr="00CD15A8">
        <w:rPr>
          <w:sz w:val="24"/>
          <w:lang w:val="fi-FI"/>
        </w:rPr>
        <w:tab/>
        <w:t xml:space="preserve">EUT C, C/2024/6041, 10.10.2024, ELI: </w:t>
      </w:r>
      <w:hyperlink r:id="rId62" w:history="1">
        <w:r w:rsidRPr="00CD15A8">
          <w:rPr>
            <w:rStyle w:val="Hyperlink1"/>
            <w:sz w:val="24"/>
            <w:lang w:val="fi-FI"/>
          </w:rPr>
          <w:t>http://data.europa.eu/eli/C/2024/6041/oj</w:t>
        </w:r>
      </w:hyperlink>
      <w:r w:rsidRPr="00CD15A8">
        <w:rPr>
          <w:sz w:val="24"/>
          <w:lang w:val="fi-FI"/>
        </w:rPr>
        <w:t xml:space="preserve">. </w:t>
      </w:r>
    </w:p>
  </w:footnote>
  <w:footnote w:id="63">
    <w:p w14:paraId="6F2DA410" w14:textId="77777777" w:rsidR="00C122C8" w:rsidRPr="00880E7C" w:rsidRDefault="00C122C8" w:rsidP="00C122C8">
      <w:pPr>
        <w:pStyle w:val="FootnoteText"/>
        <w:ind w:left="567" w:hanging="567"/>
        <w:rPr>
          <w:sz w:val="24"/>
          <w:szCs w:val="24"/>
          <w:lang w:val="fi-FI"/>
        </w:rPr>
      </w:pPr>
      <w:r w:rsidRPr="00880E7C">
        <w:rPr>
          <w:rStyle w:val="FootnoteReference"/>
          <w:sz w:val="24"/>
        </w:rPr>
        <w:footnoteRef/>
      </w:r>
      <w:r w:rsidRPr="00880E7C">
        <w:rPr>
          <w:sz w:val="24"/>
          <w:lang w:val="fi-FI"/>
        </w:rPr>
        <w:t xml:space="preserve"> </w:t>
      </w:r>
      <w:r w:rsidRPr="00CD15A8">
        <w:rPr>
          <w:sz w:val="24"/>
          <w:lang w:val="fi-FI"/>
        </w:rPr>
        <w:tab/>
        <w:t xml:space="preserve">EUT L 193, 30.7.2018, s. 1, ELI: </w:t>
      </w:r>
      <w:hyperlink r:id="rId63" w:history="1">
        <w:r w:rsidRPr="00CD15A8">
          <w:rPr>
            <w:rStyle w:val="Hyperlink1"/>
            <w:sz w:val="24"/>
            <w:lang w:val="fi-FI"/>
          </w:rPr>
          <w:t>http://data.europa.eu/eli/reg/2018/1046/oj</w:t>
        </w:r>
      </w:hyperlink>
      <w:r w:rsidRPr="00CD15A8">
        <w:rPr>
          <w:sz w:val="24"/>
          <w:lang w:val="fi-FI"/>
        </w:rPr>
        <w:t>.</w:t>
      </w:r>
    </w:p>
  </w:footnote>
  <w:footnote w:id="64">
    <w:p w14:paraId="44FBDB5F" w14:textId="77777777" w:rsidR="00C122C8" w:rsidRPr="00880E7C" w:rsidRDefault="00C122C8" w:rsidP="00C122C8">
      <w:pPr>
        <w:pStyle w:val="FootnoteText"/>
        <w:ind w:left="567" w:hanging="567"/>
        <w:rPr>
          <w:sz w:val="24"/>
          <w:szCs w:val="24"/>
          <w:lang w:val="fi-FI"/>
        </w:rPr>
      </w:pPr>
      <w:r w:rsidRPr="00880E7C">
        <w:rPr>
          <w:rStyle w:val="FootnoteReference"/>
          <w:sz w:val="24"/>
        </w:rPr>
        <w:footnoteRef/>
      </w:r>
      <w:r w:rsidRPr="00880E7C">
        <w:rPr>
          <w:sz w:val="24"/>
          <w:lang w:val="fi-FI"/>
        </w:rPr>
        <w:t xml:space="preserve"> </w:t>
      </w:r>
      <w:r w:rsidRPr="00CD15A8">
        <w:rPr>
          <w:sz w:val="24"/>
          <w:lang w:val="fi-FI"/>
        </w:rPr>
        <w:tab/>
        <w:t xml:space="preserve">EUT L, 2024/2509, 26.9.2024, ELI: </w:t>
      </w:r>
      <w:hyperlink r:id="rId64"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65">
    <w:p w14:paraId="0D1B922C" w14:textId="77777777" w:rsidR="00C122C8" w:rsidRPr="00880E7C" w:rsidRDefault="00C122C8" w:rsidP="00C122C8">
      <w:pPr>
        <w:pStyle w:val="FootnoteText"/>
        <w:ind w:left="567" w:hanging="567"/>
        <w:rPr>
          <w:sz w:val="24"/>
          <w:szCs w:val="24"/>
          <w:lang w:val="fi-FI"/>
        </w:rPr>
      </w:pPr>
      <w:r w:rsidRPr="00880E7C">
        <w:rPr>
          <w:rStyle w:val="FootnoteReference"/>
          <w:sz w:val="24"/>
        </w:rPr>
        <w:footnoteRef/>
      </w:r>
      <w:r w:rsidRPr="00880E7C">
        <w:rPr>
          <w:sz w:val="24"/>
          <w:lang w:val="fi-FI"/>
        </w:rPr>
        <w:t xml:space="preserve"> </w:t>
      </w:r>
      <w:r w:rsidRPr="00CD15A8">
        <w:rPr>
          <w:sz w:val="24"/>
          <w:lang w:val="fi-FI"/>
        </w:rPr>
        <w:tab/>
        <w:t xml:space="preserve">EUT L 90, 30.3.2007, s. 58, ELI: </w:t>
      </w:r>
      <w:hyperlink r:id="rId65" w:history="1">
        <w:r w:rsidRPr="00CD15A8">
          <w:rPr>
            <w:rStyle w:val="Hyperlink1"/>
            <w:sz w:val="24"/>
            <w:lang w:val="fi-FI"/>
          </w:rPr>
          <w:t>http://data.europa.eu/eli/dec/2007/198/oj</w:t>
        </w:r>
      </w:hyperlink>
      <w:r w:rsidRPr="00CD15A8">
        <w:rPr>
          <w:sz w:val="24"/>
          <w:lang w:val="fi-FI"/>
        </w:rPr>
        <w:t>.</w:t>
      </w:r>
    </w:p>
  </w:footnote>
  <w:footnote w:id="66">
    <w:p w14:paraId="75C36079" w14:textId="77777777" w:rsidR="00C122C8" w:rsidRPr="00880E7C" w:rsidRDefault="00C122C8" w:rsidP="00C122C8">
      <w:pPr>
        <w:pStyle w:val="FootnoteText"/>
        <w:ind w:left="567" w:hanging="567"/>
        <w:rPr>
          <w:sz w:val="24"/>
          <w:szCs w:val="24"/>
          <w:lang w:val="fi-FI"/>
        </w:rPr>
      </w:pPr>
      <w:r w:rsidRPr="00880E7C">
        <w:rPr>
          <w:rStyle w:val="FootnoteReference"/>
          <w:sz w:val="24"/>
        </w:rPr>
        <w:footnoteRef/>
      </w:r>
      <w:r w:rsidRPr="00880E7C">
        <w:rPr>
          <w:sz w:val="24"/>
          <w:lang w:val="fi-FI"/>
        </w:rPr>
        <w:t xml:space="preserve"> </w:t>
      </w:r>
      <w:r w:rsidRPr="00CD15A8">
        <w:rPr>
          <w:sz w:val="24"/>
          <w:lang w:val="fi-FI"/>
        </w:rPr>
        <w:tab/>
        <w:t xml:space="preserve">EUT L 122, 10.5.2019, s. 1, ELI: </w:t>
      </w:r>
      <w:hyperlink r:id="rId66" w:history="1">
        <w:r w:rsidRPr="00CD15A8">
          <w:rPr>
            <w:rStyle w:val="Hyperlink1"/>
            <w:sz w:val="24"/>
            <w:lang w:val="fi-FI"/>
          </w:rPr>
          <w:t>http://data.europa.eu/eli/reg_del/2019/715/oj</w:t>
        </w:r>
      </w:hyperlink>
      <w:r w:rsidRPr="00CD15A8">
        <w:rPr>
          <w:sz w:val="24"/>
          <w:lang w:val="fi-FI"/>
        </w:rPr>
        <w:t>.</w:t>
      </w:r>
    </w:p>
  </w:footnote>
  <w:footnote w:id="67">
    <w:p w14:paraId="6358EE87" w14:textId="77777777" w:rsidR="00C122C8" w:rsidRPr="0004249E" w:rsidRDefault="00C122C8" w:rsidP="00C122C8">
      <w:pPr>
        <w:pStyle w:val="FootnoteText"/>
        <w:ind w:left="567" w:hanging="567"/>
        <w:rPr>
          <w:sz w:val="24"/>
          <w:szCs w:val="24"/>
          <w:lang w:val="fi-FI"/>
        </w:rPr>
      </w:pPr>
      <w:r w:rsidRPr="0004249E">
        <w:rPr>
          <w:rStyle w:val="FootnoteReference"/>
          <w:sz w:val="24"/>
        </w:rPr>
        <w:footnoteRef/>
      </w:r>
      <w:r w:rsidRPr="0004249E">
        <w:rPr>
          <w:sz w:val="24"/>
          <w:lang w:val="fi-FI"/>
        </w:rPr>
        <w:t xml:space="preserve"> </w:t>
      </w:r>
      <w:r w:rsidRPr="00CD15A8">
        <w:rPr>
          <w:sz w:val="24"/>
          <w:lang w:val="fi-FI"/>
        </w:rPr>
        <w:tab/>
        <w:t xml:space="preserve">EUT C, C/2024/6841, 13.11.2024, ELI: </w:t>
      </w:r>
      <w:hyperlink r:id="rId67" w:history="1">
        <w:r w:rsidRPr="00CD15A8">
          <w:rPr>
            <w:rStyle w:val="Hyperlink1"/>
            <w:sz w:val="24"/>
            <w:lang w:val="fi-FI"/>
          </w:rPr>
          <w:t>http://data.europa.eu/eli/C/2024/6841/oj</w:t>
        </w:r>
      </w:hyperlink>
      <w:r w:rsidRPr="00CD15A8">
        <w:rPr>
          <w:sz w:val="24"/>
          <w:lang w:val="fi-FI"/>
        </w:rPr>
        <w:t>.</w:t>
      </w:r>
    </w:p>
  </w:footnote>
  <w:footnote w:id="68">
    <w:p w14:paraId="65C39286" w14:textId="77777777" w:rsidR="00C122C8" w:rsidRPr="0004249E" w:rsidRDefault="00C122C8" w:rsidP="00C122C8">
      <w:pPr>
        <w:pStyle w:val="FootnoteText"/>
        <w:ind w:left="567" w:hanging="567"/>
        <w:rPr>
          <w:sz w:val="24"/>
          <w:szCs w:val="24"/>
          <w:lang w:val="fi-FI"/>
        </w:rPr>
      </w:pPr>
      <w:r w:rsidRPr="0004249E">
        <w:rPr>
          <w:rStyle w:val="FootnoteReference"/>
          <w:sz w:val="24"/>
        </w:rPr>
        <w:footnoteRef/>
      </w:r>
      <w:r w:rsidRPr="0004249E">
        <w:rPr>
          <w:sz w:val="24"/>
          <w:lang w:val="fi-FI"/>
        </w:rPr>
        <w:t xml:space="preserve"> </w:t>
      </w:r>
      <w:r w:rsidRPr="00CD15A8">
        <w:rPr>
          <w:sz w:val="24"/>
          <w:lang w:val="fi-FI"/>
        </w:rPr>
        <w:tab/>
        <w:t xml:space="preserve">EUT C, C/2024/6041, 10.10.2024, ELI: </w:t>
      </w:r>
      <w:hyperlink r:id="rId68" w:history="1">
        <w:r w:rsidRPr="00CD15A8">
          <w:rPr>
            <w:rStyle w:val="Hyperlink1"/>
            <w:sz w:val="24"/>
            <w:lang w:val="fi-FI"/>
          </w:rPr>
          <w:t>http://data.europa.eu/eli/C/2024/6041/oj</w:t>
        </w:r>
      </w:hyperlink>
      <w:r w:rsidRPr="00CD15A8">
        <w:rPr>
          <w:sz w:val="24"/>
          <w:lang w:val="fi-FI"/>
        </w:rPr>
        <w:t>.</w:t>
      </w:r>
    </w:p>
  </w:footnote>
  <w:footnote w:id="69">
    <w:p w14:paraId="1AD90496" w14:textId="77777777" w:rsidR="00C122C8" w:rsidRPr="0004249E" w:rsidRDefault="00C122C8" w:rsidP="00C122C8">
      <w:pPr>
        <w:pStyle w:val="FootnoteText"/>
        <w:ind w:left="567" w:hanging="567"/>
        <w:rPr>
          <w:sz w:val="24"/>
          <w:szCs w:val="24"/>
          <w:lang w:val="fi-FI"/>
        </w:rPr>
      </w:pPr>
      <w:r w:rsidRPr="0004249E">
        <w:rPr>
          <w:rStyle w:val="FootnoteReference"/>
          <w:sz w:val="24"/>
        </w:rPr>
        <w:footnoteRef/>
      </w:r>
      <w:r w:rsidRPr="0004249E">
        <w:rPr>
          <w:sz w:val="24"/>
          <w:lang w:val="fi-FI"/>
        </w:rPr>
        <w:t xml:space="preserve"> </w:t>
      </w:r>
      <w:r w:rsidRPr="00CD15A8">
        <w:rPr>
          <w:sz w:val="24"/>
          <w:lang w:val="fi-FI"/>
        </w:rPr>
        <w:tab/>
        <w:t xml:space="preserve">EUT L 193, 30.7.2018, s. 1, ELI: </w:t>
      </w:r>
      <w:hyperlink r:id="rId69" w:history="1">
        <w:r w:rsidRPr="00CD15A8">
          <w:rPr>
            <w:rStyle w:val="Hyperlink1"/>
            <w:sz w:val="24"/>
            <w:lang w:val="fi-FI"/>
          </w:rPr>
          <w:t>http://data.europa.eu/eli/reg/2018/1046/oj</w:t>
        </w:r>
      </w:hyperlink>
      <w:r w:rsidRPr="00CD15A8">
        <w:rPr>
          <w:sz w:val="24"/>
          <w:lang w:val="fi-FI"/>
        </w:rPr>
        <w:t>.</w:t>
      </w:r>
    </w:p>
  </w:footnote>
  <w:footnote w:id="70">
    <w:p w14:paraId="1291A32B" w14:textId="77777777" w:rsidR="00C122C8" w:rsidRPr="0004249E" w:rsidRDefault="00C122C8" w:rsidP="00C122C8">
      <w:pPr>
        <w:pStyle w:val="FootnoteText"/>
        <w:ind w:left="567" w:hanging="567"/>
        <w:rPr>
          <w:sz w:val="24"/>
          <w:szCs w:val="24"/>
          <w:lang w:val="fi-FI"/>
        </w:rPr>
      </w:pPr>
      <w:r w:rsidRPr="0004249E">
        <w:rPr>
          <w:rStyle w:val="FootnoteReference"/>
          <w:sz w:val="24"/>
        </w:rPr>
        <w:footnoteRef/>
      </w:r>
      <w:r w:rsidRPr="0004249E">
        <w:rPr>
          <w:sz w:val="24"/>
          <w:lang w:val="fi-FI"/>
        </w:rPr>
        <w:t xml:space="preserve"> </w:t>
      </w:r>
      <w:r w:rsidRPr="00CD15A8">
        <w:rPr>
          <w:sz w:val="24"/>
          <w:lang w:val="fi-FI"/>
        </w:rPr>
        <w:tab/>
        <w:t xml:space="preserve">EUT L, 2024/2509, 26.9.2024, ELI: </w:t>
      </w:r>
      <w:hyperlink r:id="rId70"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71">
    <w:p w14:paraId="782D76B1" w14:textId="77777777" w:rsidR="00C122C8" w:rsidRPr="0004249E" w:rsidRDefault="00C122C8" w:rsidP="00C122C8">
      <w:pPr>
        <w:pStyle w:val="FootnoteText"/>
        <w:ind w:left="567" w:hanging="567"/>
        <w:rPr>
          <w:sz w:val="24"/>
          <w:szCs w:val="24"/>
          <w:lang w:val="fi-FI"/>
        </w:rPr>
      </w:pPr>
      <w:r w:rsidRPr="0004249E">
        <w:rPr>
          <w:rStyle w:val="FootnoteReference"/>
          <w:sz w:val="24"/>
        </w:rPr>
        <w:footnoteRef/>
      </w:r>
      <w:r w:rsidRPr="0004249E">
        <w:rPr>
          <w:sz w:val="24"/>
          <w:lang w:val="fi-FI"/>
        </w:rPr>
        <w:t xml:space="preserve"> </w:t>
      </w:r>
      <w:r w:rsidRPr="00CD15A8">
        <w:rPr>
          <w:sz w:val="24"/>
          <w:lang w:val="fi-FI"/>
        </w:rPr>
        <w:tab/>
        <w:t xml:space="preserve">EUT L 90, 30.3.2007, s. 58, ELI: </w:t>
      </w:r>
      <w:hyperlink r:id="rId71" w:history="1">
        <w:r w:rsidRPr="00CD15A8">
          <w:rPr>
            <w:rStyle w:val="Hyperlink1"/>
            <w:sz w:val="24"/>
            <w:lang w:val="fi-FI"/>
          </w:rPr>
          <w:t>http://data.europa.eu/eli/dec/2007/198/oj</w:t>
        </w:r>
      </w:hyperlink>
      <w:r w:rsidRPr="00CD15A8">
        <w:rPr>
          <w:sz w:val="24"/>
          <w:lang w:val="fi-FI"/>
        </w:rPr>
        <w:t>.</w:t>
      </w:r>
    </w:p>
  </w:footnote>
  <w:footnote w:id="72">
    <w:p w14:paraId="032F6ED9" w14:textId="77777777" w:rsidR="00C122C8" w:rsidRPr="0004249E" w:rsidRDefault="00C122C8" w:rsidP="00C122C8">
      <w:pPr>
        <w:pStyle w:val="FootnoteText"/>
        <w:ind w:left="567" w:hanging="567"/>
        <w:rPr>
          <w:sz w:val="24"/>
          <w:szCs w:val="24"/>
          <w:lang w:val="fi-FI"/>
        </w:rPr>
      </w:pPr>
      <w:r w:rsidRPr="0004249E">
        <w:rPr>
          <w:rStyle w:val="FootnoteReference"/>
          <w:sz w:val="24"/>
        </w:rPr>
        <w:footnoteRef/>
      </w:r>
      <w:r w:rsidRPr="0004249E">
        <w:rPr>
          <w:sz w:val="24"/>
          <w:lang w:val="fi-FI"/>
        </w:rPr>
        <w:t xml:space="preserve"> </w:t>
      </w:r>
      <w:r w:rsidRPr="00CD15A8">
        <w:rPr>
          <w:sz w:val="24"/>
          <w:lang w:val="fi-FI"/>
        </w:rPr>
        <w:tab/>
        <w:t xml:space="preserve">EUT L 122, 10.5.2019, s. 1, ELI: </w:t>
      </w:r>
      <w:hyperlink r:id="rId72" w:history="1">
        <w:r w:rsidRPr="00CD15A8">
          <w:rPr>
            <w:rStyle w:val="Hyperlink1"/>
            <w:sz w:val="24"/>
            <w:lang w:val="fi-FI"/>
          </w:rPr>
          <w:t>http://data.europa.eu/eli/reg_del/2019/715/oj</w:t>
        </w:r>
      </w:hyperlink>
      <w:r w:rsidRPr="00CD15A8">
        <w:rPr>
          <w:sz w:val="24"/>
          <w:lang w:val="fi-FI"/>
        </w:rPr>
        <w:t>.</w:t>
      </w:r>
    </w:p>
  </w:footnote>
  <w:footnote w:id="73">
    <w:p w14:paraId="4DBC28C3" w14:textId="77777777" w:rsidR="00C122C8" w:rsidRPr="00CA7EC0" w:rsidRDefault="00C122C8" w:rsidP="00C122C8">
      <w:pPr>
        <w:pStyle w:val="FootnoteText"/>
        <w:ind w:left="567" w:hanging="567"/>
        <w:rPr>
          <w:sz w:val="24"/>
          <w:szCs w:val="24"/>
          <w:lang w:val="fi-FI"/>
        </w:rPr>
      </w:pPr>
      <w:r w:rsidRPr="00CA7EC0">
        <w:rPr>
          <w:rStyle w:val="FootnoteReference"/>
          <w:sz w:val="24"/>
        </w:rPr>
        <w:footnoteRef/>
      </w:r>
      <w:r w:rsidRPr="00CA7EC0">
        <w:rPr>
          <w:sz w:val="24"/>
          <w:lang w:val="fi-FI"/>
        </w:rPr>
        <w:t xml:space="preserve"> </w:t>
      </w:r>
      <w:r w:rsidRPr="00CD15A8">
        <w:rPr>
          <w:sz w:val="24"/>
          <w:lang w:val="fi-FI"/>
        </w:rPr>
        <w:tab/>
        <w:t xml:space="preserve">EUT C, C/2024/6841, 13.11.2024, ELI: </w:t>
      </w:r>
      <w:hyperlink r:id="rId73" w:history="1">
        <w:r w:rsidRPr="00CD15A8">
          <w:rPr>
            <w:rStyle w:val="Hyperlink1"/>
            <w:sz w:val="24"/>
            <w:lang w:val="fi-FI"/>
          </w:rPr>
          <w:t>http://data.europa.eu/eli/C/2024/6841/oj</w:t>
        </w:r>
      </w:hyperlink>
      <w:r w:rsidRPr="00CD15A8">
        <w:rPr>
          <w:sz w:val="24"/>
          <w:lang w:val="fi-FI"/>
        </w:rPr>
        <w:t>.</w:t>
      </w:r>
    </w:p>
  </w:footnote>
  <w:footnote w:id="74">
    <w:p w14:paraId="4674A7F2" w14:textId="77777777" w:rsidR="00C122C8" w:rsidRPr="00CA7EC0" w:rsidRDefault="00C122C8" w:rsidP="00C122C8">
      <w:pPr>
        <w:pStyle w:val="FootnoteText"/>
        <w:ind w:left="567" w:hanging="567"/>
        <w:rPr>
          <w:sz w:val="24"/>
          <w:szCs w:val="24"/>
          <w:lang w:val="fi-FI"/>
        </w:rPr>
      </w:pPr>
      <w:r w:rsidRPr="00CA7EC0">
        <w:rPr>
          <w:rStyle w:val="FootnoteReference"/>
          <w:sz w:val="24"/>
        </w:rPr>
        <w:footnoteRef/>
      </w:r>
      <w:r w:rsidRPr="00CA7EC0">
        <w:rPr>
          <w:sz w:val="24"/>
          <w:lang w:val="fi-FI"/>
        </w:rPr>
        <w:t xml:space="preserve"> </w:t>
      </w:r>
      <w:r w:rsidRPr="00CD15A8">
        <w:rPr>
          <w:sz w:val="24"/>
          <w:lang w:val="fi-FI"/>
        </w:rPr>
        <w:tab/>
        <w:t xml:space="preserve">EUT C, C/2024/6041, 10.10.2024, ELI: </w:t>
      </w:r>
      <w:hyperlink r:id="rId74" w:history="1">
        <w:r w:rsidRPr="00CD15A8">
          <w:rPr>
            <w:rStyle w:val="Hyperlink1"/>
            <w:sz w:val="24"/>
            <w:lang w:val="fi-FI"/>
          </w:rPr>
          <w:t>http://data.europa.eu/eli/C/2024/6041/oj</w:t>
        </w:r>
      </w:hyperlink>
      <w:r w:rsidRPr="00CD15A8">
        <w:rPr>
          <w:sz w:val="24"/>
          <w:lang w:val="fi-FI"/>
        </w:rPr>
        <w:t>.</w:t>
      </w:r>
    </w:p>
  </w:footnote>
  <w:footnote w:id="75">
    <w:p w14:paraId="045BB700" w14:textId="77777777" w:rsidR="00C122C8" w:rsidRPr="00CA7EC0" w:rsidRDefault="00C122C8" w:rsidP="00C122C8">
      <w:pPr>
        <w:pStyle w:val="FootnoteText"/>
        <w:ind w:left="567" w:hanging="567"/>
        <w:rPr>
          <w:sz w:val="24"/>
          <w:szCs w:val="24"/>
          <w:lang w:val="fi-FI"/>
        </w:rPr>
      </w:pPr>
      <w:r w:rsidRPr="00CA7EC0">
        <w:rPr>
          <w:rStyle w:val="FootnoteReference"/>
          <w:sz w:val="24"/>
        </w:rPr>
        <w:footnoteRef/>
      </w:r>
      <w:r w:rsidRPr="00CA7EC0">
        <w:rPr>
          <w:sz w:val="24"/>
          <w:lang w:val="fi-FI"/>
        </w:rPr>
        <w:t xml:space="preserve"> </w:t>
      </w:r>
      <w:r w:rsidRPr="00CD15A8">
        <w:rPr>
          <w:sz w:val="24"/>
          <w:lang w:val="fi-FI"/>
        </w:rPr>
        <w:tab/>
        <w:t xml:space="preserve">EUT L 193, 30.7.2018, s. 1, ELI: </w:t>
      </w:r>
      <w:hyperlink r:id="rId75" w:history="1">
        <w:r w:rsidRPr="00CD15A8">
          <w:rPr>
            <w:rStyle w:val="Hyperlink1"/>
            <w:sz w:val="24"/>
            <w:lang w:val="fi-FI"/>
          </w:rPr>
          <w:t>http://data.europa.eu/eli/reg/2018/1046/oj</w:t>
        </w:r>
      </w:hyperlink>
      <w:r w:rsidRPr="00CD15A8">
        <w:rPr>
          <w:sz w:val="24"/>
          <w:lang w:val="fi-FI"/>
        </w:rPr>
        <w:t>.</w:t>
      </w:r>
    </w:p>
  </w:footnote>
  <w:footnote w:id="76">
    <w:p w14:paraId="4D88246F" w14:textId="77777777" w:rsidR="00C122C8" w:rsidRPr="00CA7EC0" w:rsidRDefault="00C122C8" w:rsidP="00C122C8">
      <w:pPr>
        <w:pStyle w:val="FootnoteText"/>
        <w:ind w:left="567" w:hanging="567"/>
        <w:rPr>
          <w:sz w:val="24"/>
          <w:szCs w:val="24"/>
          <w:lang w:val="fi-FI"/>
        </w:rPr>
      </w:pPr>
      <w:r w:rsidRPr="00CA7EC0">
        <w:rPr>
          <w:rStyle w:val="FootnoteReference"/>
          <w:sz w:val="24"/>
        </w:rPr>
        <w:footnoteRef/>
      </w:r>
      <w:r w:rsidRPr="00CA7EC0">
        <w:rPr>
          <w:sz w:val="24"/>
          <w:lang w:val="fi-FI"/>
        </w:rPr>
        <w:t xml:space="preserve"> </w:t>
      </w:r>
      <w:r w:rsidRPr="00CD15A8">
        <w:rPr>
          <w:sz w:val="24"/>
          <w:lang w:val="fi-FI"/>
        </w:rPr>
        <w:tab/>
        <w:t xml:space="preserve">EUT L, 2024/2509, 26.9.2024, ELI: </w:t>
      </w:r>
      <w:hyperlink r:id="rId76"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77">
    <w:p w14:paraId="7AEAA152" w14:textId="77777777" w:rsidR="00C122C8" w:rsidRPr="00CA7EC0" w:rsidRDefault="00C122C8" w:rsidP="00C122C8">
      <w:pPr>
        <w:pStyle w:val="FootnoteText"/>
        <w:ind w:left="567" w:hanging="567"/>
        <w:rPr>
          <w:sz w:val="24"/>
          <w:szCs w:val="24"/>
          <w:lang w:val="fi-FI"/>
        </w:rPr>
      </w:pPr>
      <w:r w:rsidRPr="00CA7EC0">
        <w:rPr>
          <w:rStyle w:val="FootnoteReference"/>
          <w:sz w:val="24"/>
        </w:rPr>
        <w:footnoteRef/>
      </w:r>
      <w:r w:rsidRPr="00CA7EC0">
        <w:rPr>
          <w:sz w:val="24"/>
          <w:lang w:val="fi-FI"/>
        </w:rPr>
        <w:t xml:space="preserve"> </w:t>
      </w:r>
      <w:r w:rsidRPr="00CD15A8">
        <w:rPr>
          <w:sz w:val="24"/>
          <w:lang w:val="fi-FI"/>
        </w:rPr>
        <w:tab/>
        <w:t xml:space="preserve">EUT L 427, 30.11.2021, s. 17, ELI: </w:t>
      </w:r>
      <w:hyperlink r:id="rId77" w:history="1">
        <w:r w:rsidRPr="00CD15A8">
          <w:rPr>
            <w:rStyle w:val="Hyperlink1"/>
            <w:sz w:val="24"/>
            <w:lang w:val="fi-FI"/>
          </w:rPr>
          <w:t>http://data.europa.eu/eli/reg/2021/2085/oj</w:t>
        </w:r>
      </w:hyperlink>
      <w:r w:rsidRPr="00CD15A8">
        <w:rPr>
          <w:sz w:val="24"/>
          <w:lang w:val="fi-FI"/>
        </w:rPr>
        <w:t>.</w:t>
      </w:r>
    </w:p>
  </w:footnote>
  <w:footnote w:id="78">
    <w:p w14:paraId="163BAF51" w14:textId="77777777" w:rsidR="00C122C8" w:rsidRPr="00CA7EC0" w:rsidRDefault="00C122C8" w:rsidP="00C122C8">
      <w:pPr>
        <w:pStyle w:val="FootnoteText"/>
        <w:ind w:left="567" w:hanging="567"/>
        <w:rPr>
          <w:sz w:val="24"/>
          <w:szCs w:val="24"/>
          <w:lang w:val="fi-FI"/>
        </w:rPr>
      </w:pPr>
      <w:r w:rsidRPr="00CA7EC0">
        <w:rPr>
          <w:rStyle w:val="FootnoteReference"/>
          <w:sz w:val="24"/>
        </w:rPr>
        <w:footnoteRef/>
      </w:r>
      <w:r w:rsidRPr="00CA7EC0">
        <w:rPr>
          <w:sz w:val="24"/>
          <w:lang w:val="fi-FI"/>
        </w:rPr>
        <w:t xml:space="preserve"> </w:t>
      </w:r>
      <w:r w:rsidRPr="00CD15A8">
        <w:rPr>
          <w:sz w:val="24"/>
          <w:lang w:val="fi-FI"/>
        </w:rPr>
        <w:tab/>
        <w:t xml:space="preserve">EUT L 142, 29.5.2019, s. 16, ELI: </w:t>
      </w:r>
      <w:hyperlink r:id="rId78" w:history="1">
        <w:r w:rsidRPr="00CD15A8">
          <w:rPr>
            <w:rStyle w:val="Hyperlink1"/>
            <w:sz w:val="24"/>
            <w:lang w:val="fi-FI"/>
          </w:rPr>
          <w:t>http://data.europa.eu/eli/reg_del/2019/887/oj</w:t>
        </w:r>
      </w:hyperlink>
      <w:r w:rsidRPr="00CD15A8">
        <w:rPr>
          <w:sz w:val="24"/>
          <w:lang w:val="fi-FI"/>
        </w:rPr>
        <w:t>.</w:t>
      </w:r>
    </w:p>
  </w:footnote>
  <w:footnote w:id="79">
    <w:p w14:paraId="0AC178E4" w14:textId="77777777" w:rsidR="00C122C8" w:rsidRPr="00CF5D25" w:rsidRDefault="00C122C8" w:rsidP="00C122C8">
      <w:pPr>
        <w:pStyle w:val="FootnoteText"/>
        <w:ind w:left="567" w:hanging="567"/>
        <w:rPr>
          <w:sz w:val="24"/>
          <w:szCs w:val="24"/>
          <w:lang w:val="fi-FI"/>
        </w:rPr>
      </w:pPr>
      <w:r w:rsidRPr="00CF5D25">
        <w:rPr>
          <w:rStyle w:val="FootnoteReference"/>
          <w:sz w:val="24"/>
        </w:rPr>
        <w:footnoteRef/>
      </w:r>
      <w:r w:rsidRPr="00CF5D25">
        <w:rPr>
          <w:sz w:val="24"/>
          <w:lang w:val="fi-FI"/>
        </w:rPr>
        <w:t xml:space="preserve"> </w:t>
      </w:r>
      <w:r w:rsidRPr="00CD15A8">
        <w:rPr>
          <w:sz w:val="24"/>
          <w:lang w:val="fi-FI"/>
        </w:rPr>
        <w:tab/>
        <w:t xml:space="preserve">EUT C, C/2024/6841, 13.11.2024, ELI: </w:t>
      </w:r>
      <w:hyperlink r:id="rId79" w:history="1">
        <w:r w:rsidRPr="00CD15A8">
          <w:rPr>
            <w:rStyle w:val="Hyperlink1"/>
            <w:sz w:val="24"/>
            <w:lang w:val="fi-FI"/>
          </w:rPr>
          <w:t>http://data.europa.eu/eli/C/2024/6841/oj</w:t>
        </w:r>
      </w:hyperlink>
      <w:r w:rsidRPr="00CD15A8">
        <w:rPr>
          <w:sz w:val="24"/>
          <w:lang w:val="fi-FI"/>
        </w:rPr>
        <w:t>.</w:t>
      </w:r>
    </w:p>
  </w:footnote>
  <w:footnote w:id="80">
    <w:p w14:paraId="3B477ABA" w14:textId="77777777" w:rsidR="00C122C8" w:rsidRPr="00CF5D25" w:rsidRDefault="00C122C8" w:rsidP="00C122C8">
      <w:pPr>
        <w:pStyle w:val="FootnoteText"/>
        <w:ind w:left="567" w:hanging="567"/>
        <w:rPr>
          <w:sz w:val="24"/>
          <w:szCs w:val="24"/>
          <w:lang w:val="fi-FI"/>
        </w:rPr>
      </w:pPr>
      <w:r w:rsidRPr="00CF5D25">
        <w:rPr>
          <w:rStyle w:val="FootnoteReference"/>
          <w:sz w:val="24"/>
        </w:rPr>
        <w:footnoteRef/>
      </w:r>
      <w:r w:rsidRPr="00CF5D25">
        <w:rPr>
          <w:sz w:val="24"/>
          <w:lang w:val="fi-FI"/>
        </w:rPr>
        <w:t xml:space="preserve"> </w:t>
      </w:r>
      <w:r w:rsidRPr="00CD15A8">
        <w:rPr>
          <w:sz w:val="24"/>
          <w:lang w:val="fi-FI"/>
        </w:rPr>
        <w:tab/>
        <w:t xml:space="preserve">EUT C, C/2024/6041, 10.10.2024, ELI: </w:t>
      </w:r>
      <w:hyperlink r:id="rId80" w:history="1">
        <w:r w:rsidRPr="00CD15A8">
          <w:rPr>
            <w:rStyle w:val="Hyperlink1"/>
            <w:sz w:val="24"/>
            <w:lang w:val="fi-FI"/>
          </w:rPr>
          <w:t>http://data.europa.eu/eli/C/2024/6041/oj</w:t>
        </w:r>
      </w:hyperlink>
      <w:r w:rsidRPr="00CD15A8">
        <w:rPr>
          <w:sz w:val="24"/>
          <w:lang w:val="fi-FI"/>
        </w:rPr>
        <w:t>.</w:t>
      </w:r>
    </w:p>
  </w:footnote>
  <w:footnote w:id="81">
    <w:p w14:paraId="403BF861" w14:textId="77777777" w:rsidR="00C122C8" w:rsidRPr="00CF5D25" w:rsidRDefault="00C122C8" w:rsidP="00C122C8">
      <w:pPr>
        <w:pStyle w:val="FootnoteText"/>
        <w:ind w:left="567" w:hanging="567"/>
        <w:rPr>
          <w:sz w:val="24"/>
          <w:szCs w:val="24"/>
          <w:lang w:val="fi-FI"/>
        </w:rPr>
      </w:pPr>
      <w:r w:rsidRPr="00CF5D25">
        <w:rPr>
          <w:rStyle w:val="FootnoteReference"/>
          <w:sz w:val="24"/>
        </w:rPr>
        <w:footnoteRef/>
      </w:r>
      <w:r w:rsidRPr="00CF5D25">
        <w:rPr>
          <w:sz w:val="24"/>
          <w:lang w:val="fi-FI"/>
        </w:rPr>
        <w:t xml:space="preserve"> </w:t>
      </w:r>
      <w:r w:rsidRPr="00CD15A8">
        <w:rPr>
          <w:sz w:val="24"/>
          <w:lang w:val="fi-FI"/>
        </w:rPr>
        <w:tab/>
        <w:t xml:space="preserve">EUT L 193, 30.7.2018, s. 1, ELI: </w:t>
      </w:r>
      <w:hyperlink r:id="rId81" w:history="1">
        <w:r w:rsidRPr="00CD15A8">
          <w:rPr>
            <w:rStyle w:val="Hyperlink1"/>
            <w:sz w:val="24"/>
            <w:lang w:val="fi-FI"/>
          </w:rPr>
          <w:t>http://data.europa.eu/eli/reg/2018/1046/oj</w:t>
        </w:r>
      </w:hyperlink>
      <w:r w:rsidRPr="00CD15A8">
        <w:rPr>
          <w:sz w:val="24"/>
          <w:lang w:val="fi-FI"/>
        </w:rPr>
        <w:t>.</w:t>
      </w:r>
    </w:p>
  </w:footnote>
  <w:footnote w:id="82">
    <w:p w14:paraId="57B46DAA" w14:textId="77777777" w:rsidR="00C122C8" w:rsidRPr="00CF5D25" w:rsidRDefault="00C122C8" w:rsidP="00C122C8">
      <w:pPr>
        <w:pStyle w:val="FootnoteText"/>
        <w:ind w:left="567" w:hanging="567"/>
        <w:rPr>
          <w:sz w:val="24"/>
          <w:szCs w:val="24"/>
          <w:lang w:val="fi-FI"/>
        </w:rPr>
      </w:pPr>
      <w:r w:rsidRPr="00CF5D25">
        <w:rPr>
          <w:rStyle w:val="FootnoteReference"/>
          <w:sz w:val="24"/>
        </w:rPr>
        <w:footnoteRef/>
      </w:r>
      <w:r w:rsidRPr="00CF5D25">
        <w:rPr>
          <w:sz w:val="24"/>
          <w:lang w:val="fi-FI"/>
        </w:rPr>
        <w:t xml:space="preserve"> </w:t>
      </w:r>
      <w:r w:rsidRPr="00CD15A8">
        <w:rPr>
          <w:sz w:val="24"/>
          <w:lang w:val="fi-FI"/>
        </w:rPr>
        <w:tab/>
        <w:t xml:space="preserve">EUT L, 2024/2509, 26.9.2024, ELI: </w:t>
      </w:r>
      <w:hyperlink r:id="rId82"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83">
    <w:p w14:paraId="3FDFF716" w14:textId="77777777" w:rsidR="00C122C8" w:rsidRPr="00CF5D25" w:rsidRDefault="00C122C8" w:rsidP="00C122C8">
      <w:pPr>
        <w:pStyle w:val="FootnoteText"/>
        <w:ind w:left="567" w:hanging="567"/>
        <w:rPr>
          <w:sz w:val="24"/>
          <w:szCs w:val="24"/>
          <w:lang w:val="fi-FI"/>
        </w:rPr>
      </w:pPr>
      <w:r w:rsidRPr="00CF5D25">
        <w:rPr>
          <w:rStyle w:val="FootnoteReference"/>
          <w:sz w:val="24"/>
        </w:rPr>
        <w:footnoteRef/>
      </w:r>
      <w:r w:rsidRPr="00CF5D25">
        <w:rPr>
          <w:sz w:val="24"/>
          <w:lang w:val="fi-FI"/>
        </w:rPr>
        <w:t xml:space="preserve"> </w:t>
      </w:r>
      <w:r w:rsidRPr="00CD15A8">
        <w:rPr>
          <w:sz w:val="24"/>
          <w:lang w:val="fi-FI"/>
        </w:rPr>
        <w:tab/>
        <w:t xml:space="preserve">EUT L 427, 30.11.2021, s. 17, ELI: </w:t>
      </w:r>
      <w:hyperlink r:id="rId83" w:history="1">
        <w:r w:rsidRPr="00CD15A8">
          <w:rPr>
            <w:rStyle w:val="Hyperlink1"/>
            <w:sz w:val="24"/>
            <w:lang w:val="fi-FI"/>
          </w:rPr>
          <w:t>http://data.europa.eu/eli/reg/2021/2085/oj</w:t>
        </w:r>
      </w:hyperlink>
      <w:r w:rsidRPr="00CD15A8">
        <w:rPr>
          <w:sz w:val="24"/>
          <w:lang w:val="fi-FI"/>
        </w:rPr>
        <w:t>.</w:t>
      </w:r>
    </w:p>
  </w:footnote>
  <w:footnote w:id="84">
    <w:p w14:paraId="0E16E927" w14:textId="77777777" w:rsidR="00C122C8" w:rsidRPr="00CF5D25" w:rsidRDefault="00C122C8" w:rsidP="00C122C8">
      <w:pPr>
        <w:pStyle w:val="FootnoteText"/>
        <w:ind w:left="567" w:hanging="567"/>
        <w:rPr>
          <w:sz w:val="24"/>
          <w:szCs w:val="24"/>
          <w:lang w:val="fi-FI"/>
        </w:rPr>
      </w:pPr>
      <w:r w:rsidRPr="00CF5D25">
        <w:rPr>
          <w:rStyle w:val="FootnoteReference"/>
          <w:sz w:val="24"/>
        </w:rPr>
        <w:footnoteRef/>
      </w:r>
      <w:r w:rsidRPr="00CF5D25">
        <w:rPr>
          <w:sz w:val="24"/>
          <w:lang w:val="fi-FI"/>
        </w:rPr>
        <w:t xml:space="preserve"> </w:t>
      </w:r>
      <w:r w:rsidRPr="00CD15A8">
        <w:rPr>
          <w:sz w:val="24"/>
          <w:lang w:val="fi-FI"/>
        </w:rPr>
        <w:tab/>
        <w:t xml:space="preserve">EUT L 142, 29.5.2019, s. 16, ELI: </w:t>
      </w:r>
      <w:hyperlink r:id="rId84" w:history="1">
        <w:r w:rsidRPr="00CD15A8">
          <w:rPr>
            <w:rStyle w:val="Hyperlink1"/>
            <w:sz w:val="24"/>
            <w:lang w:val="fi-FI"/>
          </w:rPr>
          <w:t>http://data.europa.eu/eli/reg_del/2019/887/oj</w:t>
        </w:r>
      </w:hyperlink>
      <w:r w:rsidRPr="00CD15A8">
        <w:rPr>
          <w:sz w:val="24"/>
          <w:lang w:val="fi-FI"/>
        </w:rPr>
        <w:t>.</w:t>
      </w:r>
    </w:p>
  </w:footnote>
  <w:footnote w:id="85">
    <w:p w14:paraId="1FFB2EB3" w14:textId="77777777" w:rsidR="00C122C8" w:rsidRPr="005D4533" w:rsidRDefault="00C122C8" w:rsidP="00C122C8">
      <w:pPr>
        <w:pStyle w:val="FootnoteText"/>
        <w:ind w:left="567" w:hanging="567"/>
        <w:rPr>
          <w:sz w:val="24"/>
          <w:szCs w:val="24"/>
          <w:lang w:val="fi-FI"/>
        </w:rPr>
      </w:pPr>
      <w:r w:rsidRPr="005D4533">
        <w:rPr>
          <w:rStyle w:val="FootnoteReference"/>
          <w:sz w:val="24"/>
        </w:rPr>
        <w:footnoteRef/>
      </w:r>
      <w:r w:rsidRPr="005D4533">
        <w:rPr>
          <w:sz w:val="24"/>
          <w:lang w:val="fi-FI"/>
        </w:rPr>
        <w:t xml:space="preserve"> </w:t>
      </w:r>
      <w:r w:rsidRPr="00CD15A8">
        <w:rPr>
          <w:sz w:val="24"/>
          <w:lang w:val="fi-FI"/>
        </w:rPr>
        <w:tab/>
        <w:t xml:space="preserve">EUT C, C/2024/6841, 13.11.2024, ELI: </w:t>
      </w:r>
      <w:hyperlink r:id="rId85" w:history="1">
        <w:r w:rsidRPr="00CD15A8">
          <w:rPr>
            <w:rStyle w:val="Hyperlink1"/>
            <w:sz w:val="24"/>
            <w:lang w:val="fi-FI"/>
          </w:rPr>
          <w:t>http://data.europa.eu/eli/C/2024/6841/oj</w:t>
        </w:r>
      </w:hyperlink>
      <w:r w:rsidRPr="00CD15A8">
        <w:rPr>
          <w:sz w:val="24"/>
          <w:lang w:val="fi-FI"/>
        </w:rPr>
        <w:t>.</w:t>
      </w:r>
    </w:p>
  </w:footnote>
  <w:footnote w:id="86">
    <w:p w14:paraId="023B3EFB" w14:textId="77777777" w:rsidR="00C122C8" w:rsidRPr="005D4533" w:rsidRDefault="00C122C8" w:rsidP="00C122C8">
      <w:pPr>
        <w:pStyle w:val="FootnoteText"/>
        <w:ind w:left="567" w:hanging="567"/>
        <w:rPr>
          <w:sz w:val="24"/>
          <w:szCs w:val="24"/>
          <w:lang w:val="fi-FI"/>
        </w:rPr>
      </w:pPr>
      <w:r w:rsidRPr="005D4533">
        <w:rPr>
          <w:rStyle w:val="FootnoteReference"/>
          <w:sz w:val="24"/>
        </w:rPr>
        <w:footnoteRef/>
      </w:r>
      <w:r w:rsidRPr="005D4533">
        <w:rPr>
          <w:sz w:val="24"/>
          <w:lang w:val="fi-FI"/>
        </w:rPr>
        <w:t xml:space="preserve"> </w:t>
      </w:r>
      <w:r w:rsidRPr="00CD15A8">
        <w:rPr>
          <w:sz w:val="24"/>
          <w:lang w:val="fi-FI"/>
        </w:rPr>
        <w:tab/>
        <w:t xml:space="preserve">EUT C, C/2024/6041, 10.10.2024, ELI: </w:t>
      </w:r>
      <w:hyperlink r:id="rId86" w:history="1">
        <w:r w:rsidRPr="00CD15A8">
          <w:rPr>
            <w:rStyle w:val="Hyperlink1"/>
            <w:sz w:val="24"/>
            <w:lang w:val="fi-FI"/>
          </w:rPr>
          <w:t>http://data.europa.eu/eli/C/2024/6041/oj</w:t>
        </w:r>
      </w:hyperlink>
      <w:r w:rsidRPr="00CD15A8">
        <w:rPr>
          <w:sz w:val="24"/>
          <w:lang w:val="fi-FI"/>
        </w:rPr>
        <w:t>.</w:t>
      </w:r>
    </w:p>
  </w:footnote>
  <w:footnote w:id="87">
    <w:p w14:paraId="35EBCE45" w14:textId="77777777" w:rsidR="00C122C8" w:rsidRPr="005D4533" w:rsidRDefault="00C122C8" w:rsidP="00C122C8">
      <w:pPr>
        <w:pStyle w:val="FootnoteText"/>
        <w:ind w:left="567" w:hanging="567"/>
        <w:rPr>
          <w:sz w:val="24"/>
          <w:szCs w:val="24"/>
          <w:lang w:val="fi-FI"/>
        </w:rPr>
      </w:pPr>
      <w:r w:rsidRPr="005D4533">
        <w:rPr>
          <w:rStyle w:val="FootnoteReference"/>
          <w:sz w:val="24"/>
        </w:rPr>
        <w:footnoteRef/>
      </w:r>
      <w:r w:rsidRPr="005D4533">
        <w:rPr>
          <w:sz w:val="24"/>
          <w:lang w:val="fi-FI"/>
        </w:rPr>
        <w:t xml:space="preserve"> </w:t>
      </w:r>
      <w:r w:rsidRPr="00CD15A8">
        <w:rPr>
          <w:sz w:val="24"/>
          <w:lang w:val="fi-FI"/>
        </w:rPr>
        <w:tab/>
        <w:t xml:space="preserve">EUT L 193, 30.7.2018, s. 1, ELI: </w:t>
      </w:r>
      <w:hyperlink r:id="rId87" w:history="1">
        <w:r w:rsidRPr="00CD15A8">
          <w:rPr>
            <w:rStyle w:val="Hyperlink1"/>
            <w:sz w:val="24"/>
            <w:lang w:val="fi-FI"/>
          </w:rPr>
          <w:t>http://data.europa.eu/eli/reg/2018/1046/oj</w:t>
        </w:r>
      </w:hyperlink>
      <w:r w:rsidRPr="00CD15A8">
        <w:rPr>
          <w:sz w:val="24"/>
          <w:lang w:val="fi-FI"/>
        </w:rPr>
        <w:t>.</w:t>
      </w:r>
    </w:p>
  </w:footnote>
  <w:footnote w:id="88">
    <w:p w14:paraId="3254F18E" w14:textId="77777777" w:rsidR="00C122C8" w:rsidRPr="005D4533" w:rsidRDefault="00C122C8" w:rsidP="00C122C8">
      <w:pPr>
        <w:pStyle w:val="FootnoteText"/>
        <w:ind w:left="567" w:hanging="567"/>
        <w:rPr>
          <w:sz w:val="24"/>
          <w:szCs w:val="24"/>
          <w:lang w:val="fi-FI"/>
        </w:rPr>
      </w:pPr>
      <w:r w:rsidRPr="005D4533">
        <w:rPr>
          <w:rStyle w:val="FootnoteReference"/>
          <w:sz w:val="24"/>
        </w:rPr>
        <w:footnoteRef/>
      </w:r>
      <w:r w:rsidRPr="005D4533">
        <w:rPr>
          <w:sz w:val="24"/>
          <w:lang w:val="fi-FI"/>
        </w:rPr>
        <w:t xml:space="preserve"> </w:t>
      </w:r>
      <w:r w:rsidRPr="00CD15A8">
        <w:rPr>
          <w:sz w:val="24"/>
          <w:lang w:val="fi-FI"/>
        </w:rPr>
        <w:tab/>
        <w:t xml:space="preserve">EUT L, 2024/2509, 26.9.2024, ELI: </w:t>
      </w:r>
      <w:hyperlink r:id="rId88"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89">
    <w:p w14:paraId="7FC39FCF" w14:textId="77777777" w:rsidR="00C122C8" w:rsidRPr="005D4533" w:rsidRDefault="00C122C8" w:rsidP="00C122C8">
      <w:pPr>
        <w:pStyle w:val="FootnoteText"/>
        <w:ind w:left="567" w:hanging="567"/>
        <w:rPr>
          <w:sz w:val="24"/>
          <w:szCs w:val="24"/>
          <w:lang w:val="fi-FI"/>
        </w:rPr>
      </w:pPr>
      <w:r w:rsidRPr="005D4533">
        <w:rPr>
          <w:rStyle w:val="FootnoteReference"/>
          <w:sz w:val="24"/>
        </w:rPr>
        <w:footnoteRef/>
      </w:r>
      <w:r w:rsidRPr="005D4533">
        <w:rPr>
          <w:sz w:val="24"/>
          <w:lang w:val="fi-FI"/>
        </w:rPr>
        <w:t xml:space="preserve"> </w:t>
      </w:r>
      <w:r w:rsidRPr="00CD15A8">
        <w:rPr>
          <w:sz w:val="24"/>
          <w:lang w:val="fi-FI"/>
        </w:rPr>
        <w:tab/>
        <w:t xml:space="preserve">EUT L 427, 30.11.2021, s. 17, ELI: </w:t>
      </w:r>
      <w:hyperlink r:id="rId89" w:history="1">
        <w:r w:rsidRPr="00CD15A8">
          <w:rPr>
            <w:rStyle w:val="Hyperlink1"/>
            <w:sz w:val="24"/>
            <w:lang w:val="fi-FI"/>
          </w:rPr>
          <w:t>http://data.europa.eu/eli/reg/2021/2085/oj</w:t>
        </w:r>
      </w:hyperlink>
      <w:r w:rsidRPr="00CD15A8">
        <w:rPr>
          <w:sz w:val="24"/>
          <w:lang w:val="fi-FI"/>
        </w:rPr>
        <w:t>.</w:t>
      </w:r>
    </w:p>
  </w:footnote>
  <w:footnote w:id="90">
    <w:p w14:paraId="0ED6D67E" w14:textId="77777777" w:rsidR="00C122C8" w:rsidRPr="005D4533" w:rsidRDefault="00C122C8" w:rsidP="00C122C8">
      <w:pPr>
        <w:pStyle w:val="FootnoteText"/>
        <w:ind w:left="567" w:hanging="567"/>
        <w:rPr>
          <w:sz w:val="24"/>
          <w:szCs w:val="24"/>
          <w:lang w:val="fi-FI"/>
        </w:rPr>
      </w:pPr>
      <w:r w:rsidRPr="005D4533">
        <w:rPr>
          <w:rStyle w:val="FootnoteReference"/>
          <w:sz w:val="24"/>
        </w:rPr>
        <w:footnoteRef/>
      </w:r>
      <w:r w:rsidRPr="005D4533">
        <w:rPr>
          <w:sz w:val="24"/>
          <w:lang w:val="fi-FI"/>
        </w:rPr>
        <w:t xml:space="preserve"> </w:t>
      </w:r>
      <w:r w:rsidRPr="00CD15A8">
        <w:rPr>
          <w:sz w:val="24"/>
          <w:lang w:val="fi-FI"/>
        </w:rPr>
        <w:tab/>
        <w:t xml:space="preserve">EUT L 142, 29.5.2019, s. 16, ELI: </w:t>
      </w:r>
      <w:hyperlink r:id="rId90" w:history="1">
        <w:r w:rsidRPr="00CD15A8">
          <w:rPr>
            <w:rStyle w:val="Hyperlink1"/>
            <w:sz w:val="24"/>
            <w:lang w:val="fi-FI"/>
          </w:rPr>
          <w:t>http://data.europa.eu/eli/reg_del/2019/887/oj</w:t>
        </w:r>
      </w:hyperlink>
      <w:r w:rsidRPr="00CD15A8">
        <w:rPr>
          <w:sz w:val="24"/>
          <w:lang w:val="fi-FI"/>
        </w:rPr>
        <w:t>.</w:t>
      </w:r>
    </w:p>
  </w:footnote>
  <w:footnote w:id="91">
    <w:p w14:paraId="62EF50DA" w14:textId="77777777" w:rsidR="00C122C8" w:rsidRPr="003F4875" w:rsidRDefault="00C122C8" w:rsidP="00C122C8">
      <w:pPr>
        <w:pStyle w:val="FootnoteText"/>
        <w:ind w:left="567" w:hanging="567"/>
        <w:rPr>
          <w:sz w:val="24"/>
          <w:szCs w:val="24"/>
          <w:lang w:val="fi-FI"/>
        </w:rPr>
      </w:pPr>
      <w:r w:rsidRPr="003F4875">
        <w:rPr>
          <w:rStyle w:val="FootnoteReference"/>
          <w:sz w:val="24"/>
        </w:rPr>
        <w:footnoteRef/>
      </w:r>
      <w:r w:rsidRPr="003F4875">
        <w:rPr>
          <w:sz w:val="24"/>
          <w:lang w:val="fi-FI"/>
        </w:rPr>
        <w:t xml:space="preserve"> </w:t>
      </w:r>
      <w:r w:rsidRPr="00CD15A8">
        <w:rPr>
          <w:sz w:val="24"/>
          <w:lang w:val="fi-FI"/>
        </w:rPr>
        <w:tab/>
        <w:t xml:space="preserve">EUT C, C/2024/6841, 13.11.2024, ELI: </w:t>
      </w:r>
      <w:hyperlink r:id="rId91" w:history="1">
        <w:r w:rsidRPr="00CD15A8">
          <w:rPr>
            <w:rStyle w:val="Hyperlink1"/>
            <w:sz w:val="24"/>
            <w:lang w:val="fi-FI"/>
          </w:rPr>
          <w:t>http://data.europa.eu/eli/C/2024/6841/oj</w:t>
        </w:r>
      </w:hyperlink>
      <w:r w:rsidRPr="00CD15A8">
        <w:rPr>
          <w:sz w:val="24"/>
          <w:lang w:val="fi-FI"/>
        </w:rPr>
        <w:t>.</w:t>
      </w:r>
    </w:p>
  </w:footnote>
  <w:footnote w:id="92">
    <w:p w14:paraId="11FD9410" w14:textId="77777777" w:rsidR="00C122C8" w:rsidRPr="003F4875" w:rsidRDefault="00C122C8" w:rsidP="00C122C8">
      <w:pPr>
        <w:pStyle w:val="FootnoteText"/>
        <w:ind w:left="567" w:hanging="567"/>
        <w:rPr>
          <w:sz w:val="24"/>
          <w:szCs w:val="24"/>
          <w:lang w:val="fi-FI"/>
        </w:rPr>
      </w:pPr>
      <w:r w:rsidRPr="003F4875">
        <w:rPr>
          <w:rStyle w:val="FootnoteReference"/>
          <w:sz w:val="24"/>
        </w:rPr>
        <w:footnoteRef/>
      </w:r>
      <w:r w:rsidRPr="003F4875">
        <w:rPr>
          <w:sz w:val="24"/>
          <w:lang w:val="fi-FI"/>
        </w:rPr>
        <w:t xml:space="preserve"> </w:t>
      </w:r>
      <w:r w:rsidRPr="00CD15A8">
        <w:rPr>
          <w:sz w:val="24"/>
          <w:lang w:val="fi-FI"/>
        </w:rPr>
        <w:tab/>
        <w:t xml:space="preserve">EUT C, C/2024/6041, 10.10.2024, ELI: </w:t>
      </w:r>
      <w:hyperlink r:id="rId92" w:history="1">
        <w:r w:rsidRPr="00CD15A8">
          <w:rPr>
            <w:rStyle w:val="Hyperlink1"/>
            <w:sz w:val="24"/>
            <w:lang w:val="fi-FI"/>
          </w:rPr>
          <w:t>http://data.europa.eu/eli/C/2024/6041/oj</w:t>
        </w:r>
      </w:hyperlink>
      <w:r w:rsidRPr="00CD15A8">
        <w:rPr>
          <w:sz w:val="24"/>
          <w:lang w:val="fi-FI"/>
        </w:rPr>
        <w:t>.</w:t>
      </w:r>
    </w:p>
  </w:footnote>
  <w:footnote w:id="93">
    <w:p w14:paraId="4825ED9F" w14:textId="77777777" w:rsidR="00C122C8" w:rsidRPr="003F4875" w:rsidRDefault="00C122C8" w:rsidP="00C122C8">
      <w:pPr>
        <w:pStyle w:val="FootnoteText"/>
        <w:ind w:left="567" w:hanging="567"/>
        <w:rPr>
          <w:sz w:val="24"/>
          <w:szCs w:val="24"/>
          <w:lang w:val="fi-FI"/>
        </w:rPr>
      </w:pPr>
      <w:r w:rsidRPr="003F4875">
        <w:rPr>
          <w:rStyle w:val="FootnoteReference"/>
          <w:sz w:val="24"/>
        </w:rPr>
        <w:footnoteRef/>
      </w:r>
      <w:r w:rsidRPr="003F4875">
        <w:rPr>
          <w:sz w:val="24"/>
          <w:lang w:val="fi-FI"/>
        </w:rPr>
        <w:t xml:space="preserve"> </w:t>
      </w:r>
      <w:r w:rsidRPr="00CD15A8">
        <w:rPr>
          <w:sz w:val="24"/>
          <w:lang w:val="fi-FI"/>
        </w:rPr>
        <w:tab/>
        <w:t xml:space="preserve">EUT L 193, 30.7.2018, s. 1, ELI: </w:t>
      </w:r>
      <w:hyperlink r:id="rId93" w:history="1">
        <w:r w:rsidRPr="00CD15A8">
          <w:rPr>
            <w:rStyle w:val="Hyperlink1"/>
            <w:sz w:val="24"/>
            <w:lang w:val="fi-FI"/>
          </w:rPr>
          <w:t>http://data.europa.eu/eli/reg/2018/1046/oj</w:t>
        </w:r>
      </w:hyperlink>
      <w:r w:rsidRPr="00CD15A8">
        <w:rPr>
          <w:sz w:val="24"/>
          <w:lang w:val="fi-FI"/>
        </w:rPr>
        <w:t>.</w:t>
      </w:r>
    </w:p>
  </w:footnote>
  <w:footnote w:id="94">
    <w:p w14:paraId="7219D55C" w14:textId="77777777" w:rsidR="00C122C8" w:rsidRPr="003F4875" w:rsidRDefault="00C122C8" w:rsidP="00C122C8">
      <w:pPr>
        <w:pStyle w:val="FootnoteText"/>
        <w:ind w:left="567" w:hanging="567"/>
        <w:rPr>
          <w:sz w:val="24"/>
          <w:szCs w:val="24"/>
          <w:lang w:val="fi-FI"/>
        </w:rPr>
      </w:pPr>
      <w:r w:rsidRPr="003F4875">
        <w:rPr>
          <w:rStyle w:val="FootnoteReference"/>
          <w:sz w:val="24"/>
        </w:rPr>
        <w:footnoteRef/>
      </w:r>
      <w:r w:rsidRPr="003F4875">
        <w:rPr>
          <w:sz w:val="24"/>
          <w:lang w:val="fi-FI"/>
        </w:rPr>
        <w:t xml:space="preserve"> </w:t>
      </w:r>
      <w:r w:rsidRPr="00CD15A8">
        <w:rPr>
          <w:sz w:val="24"/>
          <w:lang w:val="fi-FI"/>
        </w:rPr>
        <w:tab/>
        <w:t xml:space="preserve">EUT L, 2024/2509, 26.9.2024, ELI: </w:t>
      </w:r>
      <w:hyperlink r:id="rId94"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95">
    <w:p w14:paraId="641B1A23" w14:textId="77777777" w:rsidR="00C122C8" w:rsidRPr="003F4875" w:rsidRDefault="00C122C8" w:rsidP="00C122C8">
      <w:pPr>
        <w:pStyle w:val="FootnoteText"/>
        <w:ind w:left="567" w:hanging="567"/>
        <w:rPr>
          <w:sz w:val="24"/>
          <w:szCs w:val="24"/>
          <w:lang w:val="fi-FI"/>
        </w:rPr>
      </w:pPr>
      <w:r w:rsidRPr="003F4875">
        <w:rPr>
          <w:rStyle w:val="FootnoteReference"/>
          <w:sz w:val="24"/>
        </w:rPr>
        <w:footnoteRef/>
      </w:r>
      <w:r w:rsidRPr="003F4875">
        <w:rPr>
          <w:sz w:val="24"/>
          <w:lang w:val="fi-FI"/>
        </w:rPr>
        <w:t xml:space="preserve"> </w:t>
      </w:r>
      <w:r w:rsidRPr="00CD15A8">
        <w:rPr>
          <w:sz w:val="24"/>
          <w:lang w:val="fi-FI"/>
        </w:rPr>
        <w:tab/>
        <w:t xml:space="preserve">EUT L 427, 30.11.2021, s. 17, ELI: </w:t>
      </w:r>
      <w:hyperlink r:id="rId95" w:history="1">
        <w:r w:rsidRPr="00CD15A8">
          <w:rPr>
            <w:rStyle w:val="Hyperlink1"/>
            <w:sz w:val="24"/>
            <w:lang w:val="fi-FI"/>
          </w:rPr>
          <w:t>http://data.europa.eu/eli/reg/2021/2085/oj</w:t>
        </w:r>
      </w:hyperlink>
      <w:r w:rsidRPr="00CD15A8">
        <w:rPr>
          <w:sz w:val="24"/>
          <w:lang w:val="fi-FI"/>
        </w:rPr>
        <w:t>.</w:t>
      </w:r>
    </w:p>
  </w:footnote>
  <w:footnote w:id="96">
    <w:p w14:paraId="7EC6AA52" w14:textId="77777777" w:rsidR="00C122C8" w:rsidRPr="003F4875" w:rsidRDefault="00C122C8" w:rsidP="00C122C8">
      <w:pPr>
        <w:pStyle w:val="FootnoteText"/>
        <w:ind w:left="567" w:hanging="567"/>
        <w:rPr>
          <w:sz w:val="24"/>
          <w:szCs w:val="24"/>
          <w:lang w:val="fi-FI"/>
        </w:rPr>
      </w:pPr>
      <w:r w:rsidRPr="003F4875">
        <w:rPr>
          <w:rStyle w:val="FootnoteReference"/>
          <w:sz w:val="24"/>
        </w:rPr>
        <w:footnoteRef/>
      </w:r>
      <w:r w:rsidRPr="003F4875">
        <w:rPr>
          <w:sz w:val="24"/>
          <w:lang w:val="fi-FI"/>
        </w:rPr>
        <w:t xml:space="preserve"> </w:t>
      </w:r>
      <w:r w:rsidRPr="00CD15A8">
        <w:rPr>
          <w:sz w:val="24"/>
          <w:lang w:val="fi-FI"/>
        </w:rPr>
        <w:tab/>
        <w:t xml:space="preserve">EUT L 142, 29.5.2019, s. 16, ELI: </w:t>
      </w:r>
      <w:hyperlink r:id="rId96" w:history="1">
        <w:r w:rsidRPr="00CD15A8">
          <w:rPr>
            <w:rStyle w:val="Hyperlink1"/>
            <w:sz w:val="24"/>
            <w:lang w:val="fi-FI"/>
          </w:rPr>
          <w:t>http://data.europa.eu/eli/reg_del/2019/887/oj</w:t>
        </w:r>
      </w:hyperlink>
      <w:r w:rsidRPr="00CD15A8">
        <w:rPr>
          <w:sz w:val="24"/>
          <w:lang w:val="fi-FI"/>
        </w:rPr>
        <w:t>.</w:t>
      </w:r>
    </w:p>
  </w:footnote>
  <w:footnote w:id="97">
    <w:p w14:paraId="2681046D" w14:textId="77777777" w:rsidR="00C122C8" w:rsidRPr="002B23A2" w:rsidRDefault="00C122C8" w:rsidP="00C122C8">
      <w:pPr>
        <w:pStyle w:val="FootnoteText"/>
        <w:ind w:left="567" w:hanging="567"/>
        <w:rPr>
          <w:sz w:val="24"/>
          <w:szCs w:val="24"/>
          <w:lang w:val="fi-FI"/>
        </w:rPr>
      </w:pPr>
      <w:r w:rsidRPr="002B23A2">
        <w:rPr>
          <w:rStyle w:val="FootnoteReference"/>
          <w:sz w:val="24"/>
        </w:rPr>
        <w:footnoteRef/>
      </w:r>
      <w:r w:rsidRPr="002B23A2">
        <w:rPr>
          <w:sz w:val="24"/>
          <w:lang w:val="fi-FI"/>
        </w:rPr>
        <w:t xml:space="preserve"> </w:t>
      </w:r>
      <w:r w:rsidRPr="00CD15A8">
        <w:rPr>
          <w:sz w:val="24"/>
          <w:lang w:val="fi-FI"/>
        </w:rPr>
        <w:tab/>
        <w:t xml:space="preserve">EUT C, C/2024/6841, 13.11.2024, ELI: </w:t>
      </w:r>
      <w:hyperlink r:id="rId97" w:history="1">
        <w:r w:rsidRPr="00CD15A8">
          <w:rPr>
            <w:rStyle w:val="Hyperlink1"/>
            <w:sz w:val="24"/>
            <w:lang w:val="fi-FI"/>
          </w:rPr>
          <w:t>http://data.europa.eu/eli/C/2024/6841/oj</w:t>
        </w:r>
      </w:hyperlink>
      <w:r w:rsidRPr="00CD15A8">
        <w:rPr>
          <w:sz w:val="24"/>
          <w:lang w:val="fi-FI"/>
        </w:rPr>
        <w:t>.</w:t>
      </w:r>
    </w:p>
  </w:footnote>
  <w:footnote w:id="98">
    <w:p w14:paraId="3E938E28" w14:textId="77777777" w:rsidR="00C122C8" w:rsidRPr="002B23A2" w:rsidRDefault="00C122C8" w:rsidP="00C122C8">
      <w:pPr>
        <w:pStyle w:val="FootnoteText"/>
        <w:ind w:left="567" w:hanging="567"/>
        <w:rPr>
          <w:sz w:val="24"/>
          <w:szCs w:val="24"/>
          <w:lang w:val="fi-FI"/>
        </w:rPr>
      </w:pPr>
      <w:r w:rsidRPr="002B23A2">
        <w:rPr>
          <w:rStyle w:val="FootnoteReference"/>
          <w:sz w:val="24"/>
        </w:rPr>
        <w:footnoteRef/>
      </w:r>
      <w:r w:rsidRPr="002B23A2">
        <w:rPr>
          <w:sz w:val="24"/>
          <w:lang w:val="fi-FI"/>
        </w:rPr>
        <w:t xml:space="preserve"> </w:t>
      </w:r>
      <w:r w:rsidRPr="00CD15A8">
        <w:rPr>
          <w:sz w:val="24"/>
          <w:lang w:val="fi-FI"/>
        </w:rPr>
        <w:tab/>
        <w:t xml:space="preserve">EUT C, C/2024/6041, 10.10.2024, ELI: </w:t>
      </w:r>
      <w:hyperlink r:id="rId98" w:history="1">
        <w:r w:rsidRPr="00CD15A8">
          <w:rPr>
            <w:rStyle w:val="Hyperlink1"/>
            <w:sz w:val="24"/>
            <w:lang w:val="fi-FI"/>
          </w:rPr>
          <w:t>http://data.europa.eu/eli/C/2024/6041/oj</w:t>
        </w:r>
      </w:hyperlink>
      <w:r w:rsidRPr="00CD15A8">
        <w:rPr>
          <w:sz w:val="24"/>
          <w:lang w:val="fi-FI"/>
        </w:rPr>
        <w:t>.</w:t>
      </w:r>
    </w:p>
  </w:footnote>
  <w:footnote w:id="99">
    <w:p w14:paraId="3DC17617" w14:textId="77777777" w:rsidR="00C122C8" w:rsidRPr="002B23A2" w:rsidRDefault="00C122C8" w:rsidP="00C122C8">
      <w:pPr>
        <w:pStyle w:val="FootnoteText"/>
        <w:ind w:left="567" w:hanging="567"/>
        <w:rPr>
          <w:sz w:val="24"/>
          <w:szCs w:val="24"/>
          <w:lang w:val="fi-FI"/>
        </w:rPr>
      </w:pPr>
      <w:r w:rsidRPr="002B23A2">
        <w:rPr>
          <w:rStyle w:val="FootnoteReference"/>
          <w:sz w:val="24"/>
        </w:rPr>
        <w:footnoteRef/>
      </w:r>
      <w:r w:rsidRPr="002B23A2">
        <w:rPr>
          <w:sz w:val="24"/>
          <w:lang w:val="fi-FI"/>
        </w:rPr>
        <w:t xml:space="preserve"> </w:t>
      </w:r>
      <w:r w:rsidRPr="00CD15A8">
        <w:rPr>
          <w:sz w:val="24"/>
          <w:lang w:val="fi-FI"/>
        </w:rPr>
        <w:tab/>
        <w:t xml:space="preserve">EUT L 193, 30.7.2018, s. 1, ELI: </w:t>
      </w:r>
      <w:hyperlink r:id="rId99" w:history="1">
        <w:r w:rsidRPr="00CD15A8">
          <w:rPr>
            <w:rStyle w:val="Hyperlink1"/>
            <w:sz w:val="24"/>
            <w:lang w:val="fi-FI"/>
          </w:rPr>
          <w:t>http://data.europa.eu/eli/reg/2018/1046/oj</w:t>
        </w:r>
      </w:hyperlink>
      <w:r w:rsidRPr="00CD15A8">
        <w:rPr>
          <w:sz w:val="24"/>
          <w:lang w:val="fi-FI"/>
        </w:rPr>
        <w:t>.</w:t>
      </w:r>
    </w:p>
  </w:footnote>
  <w:footnote w:id="100">
    <w:p w14:paraId="41DC16DD" w14:textId="77777777" w:rsidR="00C122C8" w:rsidRPr="002B23A2" w:rsidRDefault="00C122C8" w:rsidP="00C122C8">
      <w:pPr>
        <w:pStyle w:val="FootnoteText"/>
        <w:ind w:left="567" w:hanging="567"/>
        <w:rPr>
          <w:sz w:val="24"/>
          <w:szCs w:val="24"/>
          <w:lang w:val="fi-FI"/>
        </w:rPr>
      </w:pPr>
      <w:r w:rsidRPr="002B23A2">
        <w:rPr>
          <w:rStyle w:val="FootnoteReference"/>
          <w:sz w:val="24"/>
        </w:rPr>
        <w:footnoteRef/>
      </w:r>
      <w:r w:rsidRPr="002B23A2">
        <w:rPr>
          <w:sz w:val="24"/>
          <w:lang w:val="fi-FI"/>
        </w:rPr>
        <w:t xml:space="preserve"> </w:t>
      </w:r>
      <w:r w:rsidRPr="00CD15A8">
        <w:rPr>
          <w:sz w:val="24"/>
          <w:lang w:val="fi-FI"/>
        </w:rPr>
        <w:tab/>
        <w:t xml:space="preserve">EUT L, 2024/2509, 26.9.2024, ELI: </w:t>
      </w:r>
      <w:hyperlink r:id="rId100"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101">
    <w:p w14:paraId="3365F334" w14:textId="77777777" w:rsidR="00C122C8" w:rsidRPr="002B23A2" w:rsidRDefault="00C122C8" w:rsidP="00C122C8">
      <w:pPr>
        <w:pStyle w:val="FootnoteText"/>
        <w:ind w:left="567" w:hanging="567"/>
        <w:rPr>
          <w:sz w:val="24"/>
          <w:szCs w:val="24"/>
          <w:lang w:val="fi-FI"/>
        </w:rPr>
      </w:pPr>
      <w:r w:rsidRPr="002B23A2">
        <w:rPr>
          <w:rStyle w:val="FootnoteReference"/>
          <w:sz w:val="24"/>
        </w:rPr>
        <w:footnoteRef/>
      </w:r>
      <w:r w:rsidRPr="002B23A2">
        <w:rPr>
          <w:sz w:val="24"/>
          <w:lang w:val="fi-FI"/>
        </w:rPr>
        <w:t xml:space="preserve"> </w:t>
      </w:r>
      <w:r w:rsidRPr="00CD15A8">
        <w:rPr>
          <w:sz w:val="24"/>
          <w:lang w:val="fi-FI"/>
        </w:rPr>
        <w:tab/>
        <w:t xml:space="preserve">EUT L 427, 30.11.2021, s. 17, ELI: </w:t>
      </w:r>
      <w:hyperlink r:id="rId101" w:history="1">
        <w:r w:rsidRPr="00CD15A8">
          <w:rPr>
            <w:rStyle w:val="Hyperlink1"/>
            <w:sz w:val="24"/>
            <w:lang w:val="fi-FI"/>
          </w:rPr>
          <w:t>http://data.europa.eu/eli/reg/2021/2085/oj</w:t>
        </w:r>
      </w:hyperlink>
      <w:r w:rsidRPr="00CD15A8">
        <w:rPr>
          <w:sz w:val="24"/>
          <w:lang w:val="fi-FI"/>
        </w:rPr>
        <w:t>.</w:t>
      </w:r>
    </w:p>
  </w:footnote>
  <w:footnote w:id="102">
    <w:p w14:paraId="692FE057" w14:textId="77777777" w:rsidR="00C122C8" w:rsidRPr="002B23A2" w:rsidRDefault="00C122C8" w:rsidP="00C122C8">
      <w:pPr>
        <w:pStyle w:val="FootnoteText"/>
        <w:ind w:left="567" w:hanging="567"/>
        <w:rPr>
          <w:sz w:val="24"/>
          <w:szCs w:val="24"/>
          <w:lang w:val="sv-SE"/>
        </w:rPr>
      </w:pPr>
      <w:r w:rsidRPr="002B23A2">
        <w:rPr>
          <w:rStyle w:val="FootnoteReference"/>
          <w:sz w:val="24"/>
        </w:rPr>
        <w:footnoteRef/>
      </w:r>
      <w:r w:rsidRPr="00CD15A8">
        <w:rPr>
          <w:sz w:val="24"/>
          <w:lang w:val="sv-SE"/>
        </w:rPr>
        <w:tab/>
      </w:r>
      <w:r w:rsidRPr="00CD15A8">
        <w:rPr>
          <w:sz w:val="24"/>
          <w:szCs w:val="24"/>
          <w:lang w:val="sv-SE"/>
        </w:rPr>
        <w:t xml:space="preserve">EUT L 229, 18.9.2023, s. 55, ELI: </w:t>
      </w:r>
      <w:hyperlink r:id="rId102" w:history="1">
        <w:r w:rsidRPr="00CD15A8">
          <w:rPr>
            <w:rStyle w:val="Hyperlink"/>
            <w:sz w:val="24"/>
            <w:szCs w:val="24"/>
            <w:lang w:val="sv-SE"/>
          </w:rPr>
          <w:t>http://data.europa.eu/eli/reg/2023/1782/oj</w:t>
        </w:r>
      </w:hyperlink>
      <w:r w:rsidRPr="00CD15A8">
        <w:rPr>
          <w:sz w:val="24"/>
          <w:szCs w:val="24"/>
          <w:lang w:val="sv-SE"/>
        </w:rPr>
        <w:t>.</w:t>
      </w:r>
    </w:p>
  </w:footnote>
  <w:footnote w:id="103">
    <w:p w14:paraId="6CBE4A43" w14:textId="77777777" w:rsidR="00C122C8" w:rsidRPr="002B23A2" w:rsidRDefault="00C122C8" w:rsidP="00C122C8">
      <w:pPr>
        <w:pStyle w:val="FootnoteText"/>
        <w:ind w:left="567" w:hanging="567"/>
        <w:rPr>
          <w:sz w:val="24"/>
          <w:szCs w:val="24"/>
          <w:lang w:val="fi-FI"/>
        </w:rPr>
      </w:pPr>
      <w:r w:rsidRPr="002B23A2">
        <w:rPr>
          <w:rStyle w:val="FootnoteReference"/>
          <w:sz w:val="24"/>
        </w:rPr>
        <w:footnoteRef/>
      </w:r>
      <w:r w:rsidRPr="002B23A2">
        <w:rPr>
          <w:sz w:val="24"/>
          <w:lang w:val="fi-FI"/>
        </w:rPr>
        <w:t xml:space="preserve"> </w:t>
      </w:r>
      <w:r w:rsidRPr="00CD15A8">
        <w:rPr>
          <w:sz w:val="24"/>
          <w:lang w:val="fi-FI"/>
        </w:rPr>
        <w:tab/>
        <w:t xml:space="preserve">EUT L 142, 29.5.2019, s. 16, ELI: </w:t>
      </w:r>
      <w:hyperlink r:id="rId103" w:history="1">
        <w:r w:rsidRPr="00CD15A8">
          <w:rPr>
            <w:rStyle w:val="Hyperlink1"/>
            <w:sz w:val="24"/>
            <w:lang w:val="fi-FI"/>
          </w:rPr>
          <w:t>http://data.europa.eu/eli/reg_del/2019/887/oj</w:t>
        </w:r>
      </w:hyperlink>
      <w:r w:rsidRPr="00CD15A8">
        <w:rPr>
          <w:sz w:val="24"/>
          <w:lang w:val="fi-FI"/>
        </w:rPr>
        <w:t>.</w:t>
      </w:r>
    </w:p>
  </w:footnote>
  <w:footnote w:id="104">
    <w:p w14:paraId="5B33D251" w14:textId="77777777" w:rsidR="00C122C8" w:rsidRPr="00B908A1" w:rsidRDefault="00C122C8" w:rsidP="00C122C8">
      <w:pPr>
        <w:pStyle w:val="FootnoteText"/>
        <w:ind w:left="567" w:hanging="567"/>
        <w:rPr>
          <w:sz w:val="24"/>
          <w:szCs w:val="24"/>
          <w:lang w:val="fi-FI"/>
        </w:rPr>
      </w:pPr>
      <w:r w:rsidRPr="00B908A1">
        <w:rPr>
          <w:rStyle w:val="FootnoteReference"/>
          <w:sz w:val="24"/>
        </w:rPr>
        <w:footnoteRef/>
      </w:r>
      <w:r w:rsidRPr="00B908A1">
        <w:rPr>
          <w:sz w:val="24"/>
          <w:lang w:val="fi-FI"/>
        </w:rPr>
        <w:t xml:space="preserve"> </w:t>
      </w:r>
      <w:r w:rsidRPr="00CD15A8">
        <w:rPr>
          <w:sz w:val="24"/>
          <w:lang w:val="fi-FI"/>
        </w:rPr>
        <w:tab/>
        <w:t xml:space="preserve">EUT C, C/2024/6841, 13.11.2024, ELI: </w:t>
      </w:r>
      <w:hyperlink r:id="rId104" w:history="1">
        <w:r w:rsidRPr="00CD15A8">
          <w:rPr>
            <w:rStyle w:val="Hyperlink1"/>
            <w:sz w:val="24"/>
            <w:lang w:val="fi-FI"/>
          </w:rPr>
          <w:t>http://data.europa.eu/eli/C/2024/6841/oj</w:t>
        </w:r>
      </w:hyperlink>
      <w:r w:rsidRPr="00CD15A8">
        <w:rPr>
          <w:sz w:val="24"/>
          <w:lang w:val="fi-FI"/>
        </w:rPr>
        <w:t>.</w:t>
      </w:r>
    </w:p>
  </w:footnote>
  <w:footnote w:id="105">
    <w:p w14:paraId="6E184F81" w14:textId="77777777" w:rsidR="00C122C8" w:rsidRPr="00B908A1" w:rsidRDefault="00C122C8" w:rsidP="00C122C8">
      <w:pPr>
        <w:pStyle w:val="FootnoteText"/>
        <w:ind w:left="567" w:hanging="567"/>
        <w:rPr>
          <w:sz w:val="24"/>
          <w:szCs w:val="24"/>
          <w:lang w:val="fi-FI"/>
        </w:rPr>
      </w:pPr>
      <w:r w:rsidRPr="00B908A1">
        <w:rPr>
          <w:rStyle w:val="FootnoteReference"/>
          <w:sz w:val="24"/>
        </w:rPr>
        <w:footnoteRef/>
      </w:r>
      <w:r w:rsidRPr="00B908A1">
        <w:rPr>
          <w:sz w:val="24"/>
          <w:lang w:val="fi-FI"/>
        </w:rPr>
        <w:t xml:space="preserve"> </w:t>
      </w:r>
      <w:r w:rsidRPr="00CD15A8">
        <w:rPr>
          <w:sz w:val="24"/>
          <w:lang w:val="fi-FI"/>
        </w:rPr>
        <w:tab/>
        <w:t xml:space="preserve">EUT C, C/2024/6041, 10.10.2024, ELI: </w:t>
      </w:r>
      <w:hyperlink r:id="rId105" w:history="1">
        <w:r w:rsidRPr="00CD15A8">
          <w:rPr>
            <w:rStyle w:val="Hyperlink1"/>
            <w:sz w:val="24"/>
            <w:lang w:val="fi-FI"/>
          </w:rPr>
          <w:t>http://data.europa.eu/eli/C/2024/6041/oj</w:t>
        </w:r>
      </w:hyperlink>
      <w:r w:rsidRPr="00CD15A8">
        <w:rPr>
          <w:sz w:val="24"/>
          <w:lang w:val="fi-FI"/>
        </w:rPr>
        <w:t>.</w:t>
      </w:r>
    </w:p>
  </w:footnote>
  <w:footnote w:id="106">
    <w:p w14:paraId="35AEFF26" w14:textId="77777777" w:rsidR="00C122C8" w:rsidRPr="00B908A1" w:rsidRDefault="00C122C8" w:rsidP="00C122C8">
      <w:pPr>
        <w:pStyle w:val="FootnoteText"/>
        <w:ind w:left="567" w:hanging="567"/>
        <w:rPr>
          <w:sz w:val="24"/>
          <w:szCs w:val="24"/>
          <w:lang w:val="fi-FI"/>
        </w:rPr>
      </w:pPr>
      <w:r w:rsidRPr="00B908A1">
        <w:rPr>
          <w:rStyle w:val="FootnoteReference"/>
          <w:sz w:val="24"/>
        </w:rPr>
        <w:footnoteRef/>
      </w:r>
      <w:r w:rsidRPr="00B908A1">
        <w:rPr>
          <w:sz w:val="24"/>
          <w:lang w:val="fi-FI"/>
        </w:rPr>
        <w:t xml:space="preserve"> </w:t>
      </w:r>
      <w:r w:rsidRPr="00CD15A8">
        <w:rPr>
          <w:sz w:val="24"/>
          <w:lang w:val="fi-FI"/>
        </w:rPr>
        <w:tab/>
      </w:r>
      <w:r w:rsidRPr="00CD15A8">
        <w:rPr>
          <w:sz w:val="24"/>
          <w:szCs w:val="24"/>
          <w:lang w:val="fi-FI"/>
        </w:rPr>
        <w:t xml:space="preserve">EUT L 193, 30.7.2018, s. 1, ELI: </w:t>
      </w:r>
      <w:hyperlink r:id="rId106" w:history="1">
        <w:r w:rsidRPr="00CD15A8">
          <w:rPr>
            <w:rStyle w:val="Hyperlink1"/>
            <w:sz w:val="24"/>
            <w:szCs w:val="24"/>
            <w:lang w:val="fi-FI"/>
          </w:rPr>
          <w:t>http://data.europa.eu/eli/reg/2018/1046/oj</w:t>
        </w:r>
      </w:hyperlink>
      <w:r w:rsidRPr="00CD15A8">
        <w:rPr>
          <w:sz w:val="24"/>
          <w:lang w:val="fi-FI"/>
        </w:rPr>
        <w:t>.</w:t>
      </w:r>
    </w:p>
  </w:footnote>
  <w:footnote w:id="107">
    <w:p w14:paraId="157F353E" w14:textId="77777777" w:rsidR="00C122C8" w:rsidRPr="00B908A1" w:rsidRDefault="00C122C8" w:rsidP="00C122C8">
      <w:pPr>
        <w:pStyle w:val="FootnoteText"/>
        <w:ind w:left="567" w:hanging="567"/>
        <w:rPr>
          <w:sz w:val="24"/>
          <w:szCs w:val="24"/>
          <w:lang w:val="fi-FI"/>
        </w:rPr>
      </w:pPr>
      <w:r w:rsidRPr="00B908A1">
        <w:rPr>
          <w:rStyle w:val="FootnoteReference"/>
          <w:sz w:val="24"/>
        </w:rPr>
        <w:footnoteRef/>
      </w:r>
      <w:r w:rsidRPr="00B908A1">
        <w:rPr>
          <w:sz w:val="24"/>
          <w:lang w:val="fi-FI"/>
        </w:rPr>
        <w:t xml:space="preserve"> </w:t>
      </w:r>
      <w:r w:rsidRPr="00CD15A8">
        <w:rPr>
          <w:sz w:val="24"/>
          <w:lang w:val="fi-FI"/>
        </w:rPr>
        <w:tab/>
        <w:t xml:space="preserve">EUT L, 2024/2509, 26.9.2024, ELI: </w:t>
      </w:r>
      <w:hyperlink r:id="rId107"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108">
    <w:p w14:paraId="4C2A363B" w14:textId="77777777" w:rsidR="00C122C8" w:rsidRPr="00B908A1" w:rsidRDefault="00C122C8" w:rsidP="00C122C8">
      <w:pPr>
        <w:pStyle w:val="FootnoteText"/>
        <w:ind w:left="567" w:hanging="567"/>
        <w:rPr>
          <w:sz w:val="24"/>
          <w:szCs w:val="24"/>
          <w:lang w:val="fi-FI"/>
        </w:rPr>
      </w:pPr>
      <w:r w:rsidRPr="00B908A1">
        <w:rPr>
          <w:rStyle w:val="FootnoteReference"/>
          <w:sz w:val="24"/>
        </w:rPr>
        <w:footnoteRef/>
      </w:r>
      <w:r w:rsidRPr="00B908A1">
        <w:rPr>
          <w:sz w:val="24"/>
          <w:lang w:val="fi-FI"/>
        </w:rPr>
        <w:t xml:space="preserve"> </w:t>
      </w:r>
      <w:r w:rsidRPr="00CD15A8">
        <w:rPr>
          <w:sz w:val="24"/>
          <w:lang w:val="fi-FI"/>
        </w:rPr>
        <w:tab/>
        <w:t xml:space="preserve">EUT L 427, 30.11.2021, s. 17, ELI: </w:t>
      </w:r>
      <w:hyperlink r:id="rId108" w:history="1">
        <w:r w:rsidRPr="00CD15A8">
          <w:rPr>
            <w:rStyle w:val="Hyperlink1"/>
            <w:sz w:val="24"/>
            <w:lang w:val="fi-FI"/>
          </w:rPr>
          <w:t>http://data.europa.eu/eli/reg/2021/2085/oj</w:t>
        </w:r>
      </w:hyperlink>
      <w:r w:rsidRPr="00CD15A8">
        <w:rPr>
          <w:sz w:val="24"/>
          <w:lang w:val="fi-FI"/>
        </w:rPr>
        <w:t>.</w:t>
      </w:r>
    </w:p>
  </w:footnote>
  <w:footnote w:id="109">
    <w:p w14:paraId="0A6F63CE" w14:textId="77777777" w:rsidR="00C122C8" w:rsidRPr="00B908A1" w:rsidRDefault="00C122C8" w:rsidP="00C122C8">
      <w:pPr>
        <w:pStyle w:val="FootnoteText"/>
        <w:ind w:left="567" w:hanging="567"/>
        <w:rPr>
          <w:sz w:val="24"/>
          <w:lang w:val="sv-SE"/>
        </w:rPr>
      </w:pPr>
      <w:r w:rsidRPr="00B908A1">
        <w:rPr>
          <w:rStyle w:val="FootnoteReference"/>
          <w:sz w:val="24"/>
        </w:rPr>
        <w:footnoteRef/>
      </w:r>
      <w:r w:rsidRPr="00CD15A8">
        <w:rPr>
          <w:sz w:val="24"/>
          <w:lang w:val="sv-SE"/>
        </w:rPr>
        <w:tab/>
      </w:r>
      <w:r w:rsidRPr="00CD15A8">
        <w:rPr>
          <w:sz w:val="24"/>
          <w:szCs w:val="24"/>
          <w:lang w:val="sv-SE"/>
        </w:rPr>
        <w:t xml:space="preserve">EUT L 229, 18.9.2023, s. 55, ELI: </w:t>
      </w:r>
      <w:hyperlink r:id="rId109" w:history="1">
        <w:r w:rsidRPr="00CD15A8">
          <w:rPr>
            <w:rStyle w:val="Hyperlink"/>
            <w:sz w:val="24"/>
            <w:szCs w:val="24"/>
            <w:lang w:val="sv-SE"/>
          </w:rPr>
          <w:t>http://data.europa.eu/eli/reg/2023/1782/oj</w:t>
        </w:r>
      </w:hyperlink>
      <w:r w:rsidRPr="00CD15A8">
        <w:rPr>
          <w:sz w:val="24"/>
          <w:szCs w:val="24"/>
          <w:lang w:val="sv-SE"/>
        </w:rPr>
        <w:t>.</w:t>
      </w:r>
    </w:p>
  </w:footnote>
  <w:footnote w:id="110">
    <w:p w14:paraId="6E549EAA" w14:textId="77777777" w:rsidR="00C122C8" w:rsidRPr="00B908A1" w:rsidRDefault="00C122C8" w:rsidP="00C122C8">
      <w:pPr>
        <w:pStyle w:val="FootnoteText"/>
        <w:ind w:left="567" w:hanging="567"/>
        <w:rPr>
          <w:sz w:val="24"/>
          <w:szCs w:val="24"/>
          <w:lang w:val="fi-FI"/>
        </w:rPr>
      </w:pPr>
      <w:r w:rsidRPr="00B908A1">
        <w:rPr>
          <w:rStyle w:val="FootnoteReference"/>
          <w:sz w:val="24"/>
        </w:rPr>
        <w:footnoteRef/>
      </w:r>
      <w:r w:rsidRPr="00B908A1">
        <w:rPr>
          <w:sz w:val="24"/>
          <w:lang w:val="fi-FI"/>
        </w:rPr>
        <w:t xml:space="preserve"> </w:t>
      </w:r>
      <w:r w:rsidRPr="00CD15A8">
        <w:rPr>
          <w:sz w:val="24"/>
          <w:lang w:val="fi-FI"/>
        </w:rPr>
        <w:tab/>
        <w:t xml:space="preserve">EUT L 142, 29.5.2019, s. 16, ELI: </w:t>
      </w:r>
      <w:hyperlink r:id="rId110" w:history="1">
        <w:r w:rsidRPr="00CD15A8">
          <w:rPr>
            <w:rStyle w:val="Hyperlink1"/>
            <w:sz w:val="24"/>
            <w:lang w:val="fi-FI"/>
          </w:rPr>
          <w:t>http://data.europa.eu/eli/reg_del/2019/887/oj</w:t>
        </w:r>
      </w:hyperlink>
      <w:r w:rsidRPr="00CD15A8">
        <w:rPr>
          <w:sz w:val="24"/>
          <w:lang w:val="fi-FI"/>
        </w:rPr>
        <w:t>.</w:t>
      </w:r>
    </w:p>
  </w:footnote>
  <w:footnote w:id="111">
    <w:p w14:paraId="3F57CEE0" w14:textId="77777777" w:rsidR="00C122C8" w:rsidRPr="00C30608" w:rsidRDefault="00C122C8" w:rsidP="00C122C8">
      <w:pPr>
        <w:pStyle w:val="FootnoteText"/>
        <w:ind w:left="567" w:hanging="567"/>
        <w:rPr>
          <w:sz w:val="24"/>
          <w:szCs w:val="24"/>
          <w:lang w:val="fi-FI"/>
        </w:rPr>
      </w:pPr>
      <w:r w:rsidRPr="00C30608">
        <w:rPr>
          <w:rStyle w:val="FootnoteReference"/>
          <w:sz w:val="24"/>
        </w:rPr>
        <w:footnoteRef/>
      </w:r>
      <w:r w:rsidRPr="00C30608">
        <w:rPr>
          <w:sz w:val="24"/>
          <w:lang w:val="fi-FI"/>
        </w:rPr>
        <w:t xml:space="preserve"> </w:t>
      </w:r>
      <w:r w:rsidRPr="00CD15A8">
        <w:rPr>
          <w:sz w:val="24"/>
          <w:lang w:val="fi-FI"/>
        </w:rPr>
        <w:tab/>
        <w:t xml:space="preserve">EUT C, C/2024/6841, 13.11.2024, ELI: </w:t>
      </w:r>
      <w:hyperlink r:id="rId111" w:history="1">
        <w:r w:rsidRPr="00CD15A8">
          <w:rPr>
            <w:rStyle w:val="Hyperlink1"/>
            <w:sz w:val="24"/>
            <w:lang w:val="fi-FI"/>
          </w:rPr>
          <w:t>http://data.europa.eu/eli/C/2024/6841/oj</w:t>
        </w:r>
      </w:hyperlink>
      <w:r w:rsidRPr="00CD15A8">
        <w:rPr>
          <w:sz w:val="24"/>
          <w:lang w:val="fi-FI"/>
        </w:rPr>
        <w:t>.</w:t>
      </w:r>
    </w:p>
  </w:footnote>
  <w:footnote w:id="112">
    <w:p w14:paraId="26A84F9A" w14:textId="77777777" w:rsidR="00C122C8" w:rsidRPr="00C30608" w:rsidRDefault="00C122C8" w:rsidP="00C122C8">
      <w:pPr>
        <w:pStyle w:val="FootnoteText"/>
        <w:ind w:left="567" w:hanging="567"/>
        <w:rPr>
          <w:sz w:val="24"/>
          <w:szCs w:val="24"/>
          <w:lang w:val="fi-FI"/>
        </w:rPr>
      </w:pPr>
      <w:r w:rsidRPr="00C30608">
        <w:rPr>
          <w:rStyle w:val="FootnoteReference"/>
          <w:sz w:val="24"/>
        </w:rPr>
        <w:footnoteRef/>
      </w:r>
      <w:r w:rsidRPr="00C30608">
        <w:rPr>
          <w:sz w:val="24"/>
          <w:lang w:val="fi-FI"/>
        </w:rPr>
        <w:t xml:space="preserve"> </w:t>
      </w:r>
      <w:r w:rsidRPr="00CD15A8">
        <w:rPr>
          <w:sz w:val="24"/>
          <w:lang w:val="fi-FI"/>
        </w:rPr>
        <w:tab/>
        <w:t xml:space="preserve">EUT C, C/2024/6041, 10.10.2024, ELI: </w:t>
      </w:r>
      <w:hyperlink r:id="rId112" w:history="1">
        <w:r w:rsidRPr="00CD15A8">
          <w:rPr>
            <w:rStyle w:val="Hyperlink1"/>
            <w:sz w:val="24"/>
            <w:lang w:val="fi-FI"/>
          </w:rPr>
          <w:t>http://data.europa.eu/eli/C/2024/6041/oj</w:t>
        </w:r>
      </w:hyperlink>
      <w:r w:rsidRPr="00CD15A8">
        <w:rPr>
          <w:sz w:val="24"/>
          <w:lang w:val="fi-FI"/>
        </w:rPr>
        <w:t>.</w:t>
      </w:r>
    </w:p>
  </w:footnote>
  <w:footnote w:id="113">
    <w:p w14:paraId="220293D3" w14:textId="77777777" w:rsidR="00C122C8" w:rsidRPr="00C30608" w:rsidRDefault="00C122C8" w:rsidP="00C122C8">
      <w:pPr>
        <w:pStyle w:val="FootnoteText"/>
        <w:ind w:left="567" w:hanging="567"/>
        <w:rPr>
          <w:sz w:val="24"/>
          <w:szCs w:val="24"/>
          <w:lang w:val="fi-FI"/>
        </w:rPr>
      </w:pPr>
      <w:r w:rsidRPr="00C30608">
        <w:rPr>
          <w:rStyle w:val="FootnoteReference"/>
          <w:sz w:val="24"/>
        </w:rPr>
        <w:footnoteRef/>
      </w:r>
      <w:r w:rsidRPr="00C30608">
        <w:rPr>
          <w:sz w:val="24"/>
          <w:lang w:val="fi-FI"/>
        </w:rPr>
        <w:t xml:space="preserve"> </w:t>
      </w:r>
      <w:r w:rsidRPr="00CD15A8">
        <w:rPr>
          <w:sz w:val="24"/>
          <w:lang w:val="fi-FI"/>
        </w:rPr>
        <w:tab/>
        <w:t xml:space="preserve">EUT L 193, 30.7.2018, s. 1, ELI: </w:t>
      </w:r>
      <w:hyperlink r:id="rId113" w:history="1">
        <w:r w:rsidRPr="00CD15A8">
          <w:rPr>
            <w:rStyle w:val="Hyperlink1"/>
            <w:sz w:val="24"/>
            <w:lang w:val="fi-FI"/>
          </w:rPr>
          <w:t>http://data.europa.eu/eli/reg/2018/1046/oj</w:t>
        </w:r>
      </w:hyperlink>
      <w:r w:rsidRPr="00CD15A8">
        <w:rPr>
          <w:sz w:val="24"/>
          <w:lang w:val="fi-FI"/>
        </w:rPr>
        <w:t>.</w:t>
      </w:r>
    </w:p>
  </w:footnote>
  <w:footnote w:id="114">
    <w:p w14:paraId="57EDC710" w14:textId="77777777" w:rsidR="00C122C8" w:rsidRPr="00C30608" w:rsidRDefault="00C122C8" w:rsidP="00C122C8">
      <w:pPr>
        <w:pStyle w:val="FootnoteText"/>
        <w:ind w:left="567" w:hanging="567"/>
        <w:rPr>
          <w:sz w:val="24"/>
          <w:szCs w:val="24"/>
          <w:lang w:val="fi-FI"/>
        </w:rPr>
      </w:pPr>
      <w:r w:rsidRPr="00C30608">
        <w:rPr>
          <w:rStyle w:val="FootnoteReference"/>
          <w:sz w:val="24"/>
        </w:rPr>
        <w:footnoteRef/>
      </w:r>
      <w:r w:rsidRPr="00C30608">
        <w:rPr>
          <w:sz w:val="24"/>
          <w:lang w:val="fi-FI"/>
        </w:rPr>
        <w:t xml:space="preserve"> </w:t>
      </w:r>
      <w:r w:rsidRPr="00CD15A8">
        <w:rPr>
          <w:sz w:val="24"/>
          <w:lang w:val="fi-FI"/>
        </w:rPr>
        <w:tab/>
        <w:t xml:space="preserve">EUT L, 2024/2509, 26.9.2024, ELI: </w:t>
      </w:r>
      <w:hyperlink r:id="rId114"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115">
    <w:p w14:paraId="57FAA09B" w14:textId="77777777" w:rsidR="00C122C8" w:rsidRPr="00C30608" w:rsidRDefault="00C122C8" w:rsidP="00C122C8">
      <w:pPr>
        <w:pStyle w:val="FootnoteText"/>
        <w:ind w:left="567" w:hanging="567"/>
        <w:rPr>
          <w:sz w:val="24"/>
          <w:szCs w:val="24"/>
          <w:lang w:val="fi-FI"/>
        </w:rPr>
      </w:pPr>
      <w:r w:rsidRPr="00C30608">
        <w:rPr>
          <w:rStyle w:val="FootnoteReference"/>
          <w:sz w:val="24"/>
        </w:rPr>
        <w:footnoteRef/>
      </w:r>
      <w:r w:rsidRPr="00C30608">
        <w:rPr>
          <w:sz w:val="24"/>
          <w:lang w:val="fi-FI"/>
        </w:rPr>
        <w:t xml:space="preserve"> </w:t>
      </w:r>
      <w:r w:rsidRPr="00CD15A8">
        <w:rPr>
          <w:sz w:val="24"/>
          <w:lang w:val="fi-FI"/>
        </w:rPr>
        <w:tab/>
        <w:t xml:space="preserve">EUT L 427, 30.11.2021, s. 17, ELI: </w:t>
      </w:r>
      <w:hyperlink r:id="rId115" w:history="1">
        <w:r w:rsidRPr="00CD15A8">
          <w:rPr>
            <w:rStyle w:val="Hyperlink1"/>
            <w:sz w:val="24"/>
            <w:lang w:val="fi-FI"/>
          </w:rPr>
          <w:t>http://data.europa.eu/eli/reg/2021/2085/oj</w:t>
        </w:r>
      </w:hyperlink>
      <w:r w:rsidRPr="00CD15A8">
        <w:rPr>
          <w:sz w:val="24"/>
          <w:lang w:val="fi-FI"/>
        </w:rPr>
        <w:t>.</w:t>
      </w:r>
    </w:p>
  </w:footnote>
  <w:footnote w:id="116">
    <w:p w14:paraId="44F03473" w14:textId="77777777" w:rsidR="00C122C8" w:rsidRPr="00C30608" w:rsidRDefault="00C122C8" w:rsidP="00C122C8">
      <w:pPr>
        <w:pStyle w:val="FootnoteText"/>
        <w:ind w:left="567" w:hanging="567"/>
        <w:rPr>
          <w:sz w:val="24"/>
          <w:szCs w:val="24"/>
          <w:lang w:val="fi-FI"/>
        </w:rPr>
      </w:pPr>
      <w:r w:rsidRPr="00C30608">
        <w:rPr>
          <w:rStyle w:val="FootnoteReference"/>
          <w:sz w:val="24"/>
        </w:rPr>
        <w:footnoteRef/>
      </w:r>
      <w:r w:rsidRPr="00C30608">
        <w:rPr>
          <w:sz w:val="24"/>
          <w:lang w:val="fi-FI"/>
        </w:rPr>
        <w:t xml:space="preserve"> </w:t>
      </w:r>
      <w:r w:rsidRPr="00CD15A8">
        <w:rPr>
          <w:sz w:val="24"/>
          <w:lang w:val="fi-FI"/>
        </w:rPr>
        <w:tab/>
        <w:t xml:space="preserve">EUT L 142, 29.5.2019, s. 16, ELI: </w:t>
      </w:r>
      <w:hyperlink r:id="rId116" w:history="1">
        <w:r w:rsidRPr="00CD15A8">
          <w:rPr>
            <w:rStyle w:val="Hyperlink1"/>
            <w:sz w:val="24"/>
            <w:lang w:val="fi-FI"/>
          </w:rPr>
          <w:t>http://data.europa.eu/eli/reg_del/2019/887/oj</w:t>
        </w:r>
      </w:hyperlink>
      <w:r w:rsidRPr="00CD15A8">
        <w:rPr>
          <w:sz w:val="24"/>
          <w:lang w:val="fi-FI"/>
        </w:rPr>
        <w:t>.</w:t>
      </w:r>
    </w:p>
  </w:footnote>
  <w:footnote w:id="117">
    <w:p w14:paraId="4E18E6F5" w14:textId="77777777" w:rsidR="00C122C8" w:rsidRPr="002E60FE" w:rsidRDefault="00C122C8" w:rsidP="00C122C8">
      <w:pPr>
        <w:pStyle w:val="FootnoteText"/>
        <w:ind w:left="567" w:hanging="567"/>
        <w:rPr>
          <w:sz w:val="24"/>
          <w:szCs w:val="24"/>
          <w:lang w:val="fi-FI"/>
        </w:rPr>
      </w:pPr>
      <w:r w:rsidRPr="002E60FE">
        <w:rPr>
          <w:rStyle w:val="FootnoteReference"/>
          <w:sz w:val="24"/>
        </w:rPr>
        <w:footnoteRef/>
      </w:r>
      <w:r w:rsidRPr="002E60FE">
        <w:rPr>
          <w:sz w:val="24"/>
          <w:lang w:val="fi-FI"/>
        </w:rPr>
        <w:t xml:space="preserve"> </w:t>
      </w:r>
      <w:r w:rsidRPr="00CD15A8">
        <w:rPr>
          <w:sz w:val="24"/>
          <w:lang w:val="fi-FI"/>
        </w:rPr>
        <w:tab/>
        <w:t xml:space="preserve">EUT C, C/2024/6841, 13.11.2024, ELI: </w:t>
      </w:r>
      <w:hyperlink r:id="rId117" w:history="1">
        <w:r w:rsidRPr="00CD15A8">
          <w:rPr>
            <w:rStyle w:val="Hyperlink1"/>
            <w:sz w:val="24"/>
            <w:lang w:val="fi-FI"/>
          </w:rPr>
          <w:t>http://data.europa.eu/eli/C/2024/6841/oj</w:t>
        </w:r>
      </w:hyperlink>
      <w:r w:rsidRPr="00CD15A8">
        <w:rPr>
          <w:sz w:val="24"/>
          <w:lang w:val="fi-FI"/>
        </w:rPr>
        <w:t>.</w:t>
      </w:r>
    </w:p>
  </w:footnote>
  <w:footnote w:id="118">
    <w:p w14:paraId="2C613446" w14:textId="77777777" w:rsidR="00C122C8" w:rsidRPr="002E60FE" w:rsidRDefault="00C122C8" w:rsidP="00C122C8">
      <w:pPr>
        <w:pStyle w:val="FootnoteText"/>
        <w:ind w:left="567" w:hanging="567"/>
        <w:rPr>
          <w:sz w:val="24"/>
          <w:szCs w:val="24"/>
          <w:lang w:val="fi-FI"/>
        </w:rPr>
      </w:pPr>
      <w:r w:rsidRPr="002E60FE">
        <w:rPr>
          <w:rStyle w:val="FootnoteReference"/>
          <w:sz w:val="24"/>
        </w:rPr>
        <w:footnoteRef/>
      </w:r>
      <w:r w:rsidRPr="002E60FE">
        <w:rPr>
          <w:sz w:val="24"/>
          <w:lang w:val="fi-FI"/>
        </w:rPr>
        <w:t xml:space="preserve"> </w:t>
      </w:r>
      <w:r w:rsidRPr="00CD15A8">
        <w:rPr>
          <w:sz w:val="24"/>
          <w:lang w:val="fi-FI"/>
        </w:rPr>
        <w:tab/>
        <w:t xml:space="preserve">EUT C, C/2024/6041, 10.10.2024, ELI: </w:t>
      </w:r>
      <w:hyperlink r:id="rId118" w:history="1">
        <w:r w:rsidRPr="00CD15A8">
          <w:rPr>
            <w:rStyle w:val="Hyperlink1"/>
            <w:sz w:val="24"/>
            <w:lang w:val="fi-FI"/>
          </w:rPr>
          <w:t>http://data.europa.eu/eli/C/2024/6041/oj</w:t>
        </w:r>
      </w:hyperlink>
      <w:r w:rsidRPr="00CD15A8">
        <w:rPr>
          <w:sz w:val="24"/>
          <w:lang w:val="fi-FI"/>
        </w:rPr>
        <w:t>.</w:t>
      </w:r>
    </w:p>
  </w:footnote>
  <w:footnote w:id="119">
    <w:p w14:paraId="281F3128" w14:textId="77777777" w:rsidR="00C122C8" w:rsidRPr="002E60FE" w:rsidRDefault="00C122C8" w:rsidP="00C122C8">
      <w:pPr>
        <w:pStyle w:val="FootnoteText"/>
        <w:ind w:left="567" w:hanging="567"/>
        <w:rPr>
          <w:sz w:val="24"/>
          <w:szCs w:val="24"/>
          <w:lang w:val="fi-FI"/>
        </w:rPr>
      </w:pPr>
      <w:r w:rsidRPr="002E60FE">
        <w:rPr>
          <w:rStyle w:val="FootnoteReference"/>
          <w:sz w:val="24"/>
        </w:rPr>
        <w:footnoteRef/>
      </w:r>
      <w:r w:rsidRPr="002E60FE">
        <w:rPr>
          <w:sz w:val="24"/>
          <w:lang w:val="fi-FI"/>
        </w:rPr>
        <w:t xml:space="preserve"> </w:t>
      </w:r>
      <w:r w:rsidRPr="00CD15A8">
        <w:rPr>
          <w:sz w:val="24"/>
          <w:lang w:val="fi-FI"/>
        </w:rPr>
        <w:tab/>
        <w:t xml:space="preserve">EUT L 193, 30.7.2018, s. 1, ELI: </w:t>
      </w:r>
      <w:hyperlink r:id="rId119" w:history="1">
        <w:r w:rsidRPr="00CD15A8">
          <w:rPr>
            <w:rStyle w:val="Hyperlink1"/>
            <w:sz w:val="24"/>
            <w:lang w:val="fi-FI"/>
          </w:rPr>
          <w:t>http://data.europa.eu/eli/reg/2018/1046/oj</w:t>
        </w:r>
      </w:hyperlink>
      <w:r w:rsidRPr="00CD15A8">
        <w:rPr>
          <w:sz w:val="24"/>
          <w:lang w:val="fi-FI"/>
        </w:rPr>
        <w:t>.</w:t>
      </w:r>
    </w:p>
  </w:footnote>
  <w:footnote w:id="120">
    <w:p w14:paraId="4FAD8932" w14:textId="77777777" w:rsidR="00C122C8" w:rsidRPr="002E60FE" w:rsidRDefault="00C122C8" w:rsidP="00C122C8">
      <w:pPr>
        <w:pStyle w:val="FootnoteText"/>
        <w:ind w:left="567" w:hanging="567"/>
        <w:rPr>
          <w:sz w:val="24"/>
          <w:szCs w:val="24"/>
          <w:lang w:val="fi-FI"/>
        </w:rPr>
      </w:pPr>
      <w:r w:rsidRPr="002E60FE">
        <w:rPr>
          <w:rStyle w:val="FootnoteReference"/>
          <w:sz w:val="24"/>
        </w:rPr>
        <w:footnoteRef/>
      </w:r>
      <w:r w:rsidRPr="002E60FE">
        <w:rPr>
          <w:sz w:val="24"/>
          <w:lang w:val="fi-FI"/>
        </w:rPr>
        <w:t xml:space="preserve"> </w:t>
      </w:r>
      <w:r w:rsidRPr="00CD15A8">
        <w:rPr>
          <w:sz w:val="24"/>
          <w:lang w:val="fi-FI"/>
        </w:rPr>
        <w:tab/>
        <w:t xml:space="preserve">EUT L, 2024/2509, 26.9.2024, ELI: </w:t>
      </w:r>
      <w:hyperlink r:id="rId120"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121">
    <w:p w14:paraId="4F752FCF" w14:textId="77777777" w:rsidR="00C122C8" w:rsidRPr="002E60FE" w:rsidRDefault="00C122C8" w:rsidP="00C122C8">
      <w:pPr>
        <w:pStyle w:val="FootnoteText"/>
        <w:ind w:left="567" w:hanging="567"/>
        <w:rPr>
          <w:sz w:val="24"/>
          <w:szCs w:val="24"/>
          <w:lang w:val="fi-FI"/>
        </w:rPr>
      </w:pPr>
      <w:r w:rsidRPr="002E60FE">
        <w:rPr>
          <w:rStyle w:val="FootnoteReference"/>
          <w:sz w:val="24"/>
        </w:rPr>
        <w:footnoteRef/>
      </w:r>
      <w:r w:rsidRPr="002E60FE">
        <w:rPr>
          <w:sz w:val="24"/>
          <w:lang w:val="fi-FI"/>
        </w:rPr>
        <w:t xml:space="preserve"> </w:t>
      </w:r>
      <w:r w:rsidRPr="00CD15A8">
        <w:rPr>
          <w:sz w:val="24"/>
          <w:lang w:val="fi-FI"/>
        </w:rPr>
        <w:tab/>
        <w:t xml:space="preserve">EUT L 427, 30.11.2021, s. 17, ELI: </w:t>
      </w:r>
      <w:hyperlink r:id="rId121" w:history="1">
        <w:r w:rsidRPr="00CD15A8">
          <w:rPr>
            <w:rStyle w:val="Hyperlink1"/>
            <w:sz w:val="24"/>
            <w:lang w:val="fi-FI"/>
          </w:rPr>
          <w:t>http://data.europa.eu/eli/reg/2021/2085/oj</w:t>
        </w:r>
      </w:hyperlink>
      <w:r w:rsidRPr="00CD15A8">
        <w:rPr>
          <w:sz w:val="24"/>
          <w:lang w:val="fi-FI"/>
        </w:rPr>
        <w:t>.</w:t>
      </w:r>
    </w:p>
  </w:footnote>
  <w:footnote w:id="122">
    <w:p w14:paraId="5DB80093" w14:textId="77777777" w:rsidR="00C122C8" w:rsidRPr="002E60FE" w:rsidRDefault="00C122C8" w:rsidP="00C122C8">
      <w:pPr>
        <w:pStyle w:val="FootnoteText"/>
        <w:ind w:left="567" w:hanging="567"/>
        <w:rPr>
          <w:sz w:val="24"/>
          <w:szCs w:val="24"/>
          <w:lang w:val="fi-FI"/>
        </w:rPr>
      </w:pPr>
      <w:r w:rsidRPr="002E60FE">
        <w:rPr>
          <w:rStyle w:val="FootnoteReference"/>
          <w:sz w:val="24"/>
        </w:rPr>
        <w:footnoteRef/>
      </w:r>
      <w:r w:rsidRPr="002E60FE">
        <w:rPr>
          <w:sz w:val="24"/>
          <w:lang w:val="fi-FI"/>
        </w:rPr>
        <w:t xml:space="preserve"> </w:t>
      </w:r>
      <w:r w:rsidRPr="00CD15A8">
        <w:rPr>
          <w:sz w:val="24"/>
          <w:lang w:val="fi-FI"/>
        </w:rPr>
        <w:tab/>
        <w:t xml:space="preserve">EUT L 142, 29.5.2019, s. 16, ELI: </w:t>
      </w:r>
      <w:hyperlink r:id="rId122" w:history="1">
        <w:r w:rsidRPr="00CD15A8">
          <w:rPr>
            <w:rStyle w:val="Hyperlink1"/>
            <w:sz w:val="24"/>
            <w:lang w:val="fi-FI"/>
          </w:rPr>
          <w:t>http://data.europa.eu/eli/reg_del/2019/887/oj</w:t>
        </w:r>
      </w:hyperlink>
      <w:r w:rsidRPr="00CD15A8">
        <w:rPr>
          <w:sz w:val="24"/>
          <w:lang w:val="fi-FI"/>
        </w:rPr>
        <w:t>.</w:t>
      </w:r>
    </w:p>
  </w:footnote>
  <w:footnote w:id="123">
    <w:p w14:paraId="76FAE236" w14:textId="77777777" w:rsidR="00C122C8" w:rsidRPr="000F1A51" w:rsidRDefault="00C122C8" w:rsidP="00C122C8">
      <w:pPr>
        <w:pStyle w:val="FootnoteText"/>
        <w:ind w:left="567" w:hanging="567"/>
        <w:rPr>
          <w:sz w:val="24"/>
          <w:szCs w:val="24"/>
          <w:lang w:val="fi-FI"/>
        </w:rPr>
      </w:pPr>
      <w:r w:rsidRPr="000F1A51">
        <w:rPr>
          <w:rStyle w:val="FootnoteReference"/>
          <w:sz w:val="24"/>
        </w:rPr>
        <w:footnoteRef/>
      </w:r>
      <w:r w:rsidRPr="000F1A51">
        <w:rPr>
          <w:sz w:val="24"/>
          <w:lang w:val="fi-FI"/>
        </w:rPr>
        <w:t xml:space="preserve"> </w:t>
      </w:r>
      <w:r w:rsidRPr="00CD15A8">
        <w:rPr>
          <w:sz w:val="24"/>
          <w:lang w:val="fi-FI"/>
        </w:rPr>
        <w:tab/>
        <w:t xml:space="preserve">EUT C, C/2024/6841, 13.11.2024, ELI: </w:t>
      </w:r>
      <w:hyperlink r:id="rId123" w:history="1">
        <w:r w:rsidRPr="00CD15A8">
          <w:rPr>
            <w:rStyle w:val="Hyperlink1"/>
            <w:sz w:val="24"/>
            <w:lang w:val="fi-FI"/>
          </w:rPr>
          <w:t>http://data.europa.eu/eli/C/2024/6841/oj</w:t>
        </w:r>
      </w:hyperlink>
      <w:r w:rsidRPr="00CD15A8">
        <w:rPr>
          <w:sz w:val="24"/>
          <w:lang w:val="fi-FI"/>
        </w:rPr>
        <w:t>.</w:t>
      </w:r>
    </w:p>
  </w:footnote>
  <w:footnote w:id="124">
    <w:p w14:paraId="11C53784" w14:textId="77777777" w:rsidR="00C122C8" w:rsidRPr="000F1A51" w:rsidRDefault="00C122C8" w:rsidP="00C122C8">
      <w:pPr>
        <w:pStyle w:val="FootnoteText"/>
        <w:ind w:left="567" w:hanging="567"/>
        <w:rPr>
          <w:sz w:val="24"/>
          <w:szCs w:val="24"/>
          <w:lang w:val="fi-FI"/>
        </w:rPr>
      </w:pPr>
      <w:r w:rsidRPr="000F1A51">
        <w:rPr>
          <w:rStyle w:val="FootnoteReference"/>
          <w:sz w:val="24"/>
        </w:rPr>
        <w:footnoteRef/>
      </w:r>
      <w:r w:rsidRPr="000F1A51">
        <w:rPr>
          <w:sz w:val="24"/>
          <w:lang w:val="fi-FI"/>
        </w:rPr>
        <w:t xml:space="preserve"> </w:t>
      </w:r>
      <w:r w:rsidRPr="00CD15A8">
        <w:rPr>
          <w:sz w:val="24"/>
          <w:lang w:val="fi-FI"/>
        </w:rPr>
        <w:tab/>
        <w:t xml:space="preserve">EUT C, C/2024/6041, 10.10.2024, ELI: </w:t>
      </w:r>
      <w:hyperlink r:id="rId124" w:history="1">
        <w:r w:rsidRPr="00CD15A8">
          <w:rPr>
            <w:rStyle w:val="Hyperlink1"/>
            <w:sz w:val="24"/>
            <w:lang w:val="fi-FI"/>
          </w:rPr>
          <w:t>http://data.europa.eu/eli/C/2024/6041/oj</w:t>
        </w:r>
      </w:hyperlink>
      <w:r w:rsidRPr="00CD15A8">
        <w:rPr>
          <w:sz w:val="24"/>
          <w:lang w:val="fi-FI"/>
        </w:rPr>
        <w:t>.</w:t>
      </w:r>
    </w:p>
  </w:footnote>
  <w:footnote w:id="125">
    <w:p w14:paraId="55EF8D35" w14:textId="77777777" w:rsidR="00C122C8" w:rsidRPr="000F1A51" w:rsidRDefault="00C122C8" w:rsidP="00C122C8">
      <w:pPr>
        <w:pStyle w:val="FootnoteText"/>
        <w:ind w:left="567" w:hanging="567"/>
        <w:rPr>
          <w:sz w:val="24"/>
          <w:szCs w:val="24"/>
          <w:lang w:val="fi-FI"/>
        </w:rPr>
      </w:pPr>
      <w:r w:rsidRPr="000F1A51">
        <w:rPr>
          <w:rStyle w:val="FootnoteReference"/>
          <w:sz w:val="24"/>
        </w:rPr>
        <w:footnoteRef/>
      </w:r>
      <w:r w:rsidRPr="000F1A51">
        <w:rPr>
          <w:sz w:val="24"/>
          <w:lang w:val="fi-FI"/>
        </w:rPr>
        <w:t xml:space="preserve"> </w:t>
      </w:r>
      <w:r w:rsidRPr="00CD15A8">
        <w:rPr>
          <w:sz w:val="24"/>
          <w:lang w:val="fi-FI"/>
        </w:rPr>
        <w:tab/>
        <w:t xml:space="preserve">EUT L 193, 30.7.2018, s. 1, ELI: </w:t>
      </w:r>
      <w:hyperlink r:id="rId125" w:history="1">
        <w:r w:rsidRPr="00CD15A8">
          <w:rPr>
            <w:rStyle w:val="Hyperlink1"/>
            <w:sz w:val="24"/>
            <w:lang w:val="fi-FI"/>
          </w:rPr>
          <w:t>http://data.europa.eu/eli/reg/2018/1046/oj</w:t>
        </w:r>
      </w:hyperlink>
      <w:r w:rsidRPr="00CD15A8">
        <w:rPr>
          <w:sz w:val="24"/>
          <w:lang w:val="fi-FI"/>
        </w:rPr>
        <w:t>.</w:t>
      </w:r>
    </w:p>
  </w:footnote>
  <w:footnote w:id="126">
    <w:p w14:paraId="62090451" w14:textId="77777777" w:rsidR="00C122C8" w:rsidRPr="000F1A51" w:rsidRDefault="00C122C8" w:rsidP="00C122C8">
      <w:pPr>
        <w:pStyle w:val="FootnoteText"/>
        <w:ind w:left="567" w:hanging="567"/>
        <w:rPr>
          <w:sz w:val="24"/>
          <w:szCs w:val="24"/>
          <w:lang w:val="fi-FI"/>
        </w:rPr>
      </w:pPr>
      <w:r w:rsidRPr="000F1A51">
        <w:rPr>
          <w:rStyle w:val="FootnoteReference"/>
          <w:sz w:val="24"/>
        </w:rPr>
        <w:footnoteRef/>
      </w:r>
      <w:r w:rsidRPr="000F1A51">
        <w:rPr>
          <w:sz w:val="24"/>
          <w:lang w:val="fi-FI"/>
        </w:rPr>
        <w:t xml:space="preserve"> </w:t>
      </w:r>
      <w:r w:rsidRPr="00CD15A8">
        <w:rPr>
          <w:sz w:val="24"/>
          <w:lang w:val="fi-FI"/>
        </w:rPr>
        <w:tab/>
        <w:t xml:space="preserve">EUT L, 2024/2509, 26.9.2024, ELI: </w:t>
      </w:r>
      <w:hyperlink r:id="rId126"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127">
    <w:p w14:paraId="0EF77E02" w14:textId="77777777" w:rsidR="00C122C8" w:rsidRPr="000F1A51" w:rsidRDefault="00C122C8" w:rsidP="00C122C8">
      <w:pPr>
        <w:pStyle w:val="FootnoteText"/>
        <w:ind w:left="567" w:hanging="567"/>
        <w:rPr>
          <w:sz w:val="24"/>
          <w:szCs w:val="24"/>
          <w:lang w:val="fi-FI"/>
        </w:rPr>
      </w:pPr>
      <w:r w:rsidRPr="000F1A51">
        <w:rPr>
          <w:rStyle w:val="FootnoteReference"/>
          <w:sz w:val="24"/>
        </w:rPr>
        <w:footnoteRef/>
      </w:r>
      <w:r w:rsidRPr="000F1A51">
        <w:rPr>
          <w:sz w:val="24"/>
          <w:lang w:val="fi-FI"/>
        </w:rPr>
        <w:t xml:space="preserve"> </w:t>
      </w:r>
      <w:r w:rsidRPr="00CD15A8">
        <w:rPr>
          <w:sz w:val="24"/>
          <w:lang w:val="fi-FI"/>
        </w:rPr>
        <w:tab/>
        <w:t xml:space="preserve">EUT L 427, 30.11.2021, s. 17, ELI: </w:t>
      </w:r>
      <w:hyperlink r:id="rId127" w:history="1">
        <w:r w:rsidRPr="00CD15A8">
          <w:rPr>
            <w:rStyle w:val="Hyperlink1"/>
            <w:sz w:val="24"/>
            <w:lang w:val="fi-FI"/>
          </w:rPr>
          <w:t>http://data.europa.eu/eli/reg/2021/2085/oj</w:t>
        </w:r>
      </w:hyperlink>
      <w:r w:rsidRPr="00CD15A8">
        <w:rPr>
          <w:sz w:val="24"/>
          <w:lang w:val="fi-FI"/>
        </w:rPr>
        <w:t>.</w:t>
      </w:r>
    </w:p>
  </w:footnote>
  <w:footnote w:id="128">
    <w:p w14:paraId="47A9B964" w14:textId="77777777" w:rsidR="00C122C8" w:rsidRPr="000F1A51" w:rsidRDefault="00C122C8" w:rsidP="00C122C8">
      <w:pPr>
        <w:pStyle w:val="FootnoteText"/>
        <w:ind w:left="567" w:hanging="567"/>
        <w:rPr>
          <w:sz w:val="24"/>
          <w:szCs w:val="24"/>
          <w:lang w:val="fi-FI"/>
        </w:rPr>
      </w:pPr>
      <w:r w:rsidRPr="000F1A51">
        <w:rPr>
          <w:rStyle w:val="FootnoteReference"/>
          <w:sz w:val="24"/>
        </w:rPr>
        <w:footnoteRef/>
      </w:r>
      <w:r w:rsidRPr="000F1A51">
        <w:rPr>
          <w:sz w:val="24"/>
          <w:lang w:val="fi-FI"/>
        </w:rPr>
        <w:t xml:space="preserve"> </w:t>
      </w:r>
      <w:r w:rsidRPr="00CD15A8">
        <w:rPr>
          <w:sz w:val="24"/>
          <w:lang w:val="fi-FI"/>
        </w:rPr>
        <w:tab/>
        <w:t xml:space="preserve">EUT L 142, 29.5.2019, s. 16, ELI: </w:t>
      </w:r>
      <w:hyperlink r:id="rId128" w:history="1">
        <w:r w:rsidRPr="00CD15A8">
          <w:rPr>
            <w:rStyle w:val="Hyperlink1"/>
            <w:sz w:val="24"/>
            <w:lang w:val="fi-FI"/>
          </w:rPr>
          <w:t>http://data.europa.eu/eli/reg_del/2019/887/oj</w:t>
        </w:r>
      </w:hyperlink>
      <w:r w:rsidRPr="00CD15A8">
        <w:rPr>
          <w:sz w:val="24"/>
          <w:lang w:val="fi-FI"/>
        </w:rPr>
        <w:t>.</w:t>
      </w:r>
    </w:p>
  </w:footnote>
  <w:footnote w:id="129">
    <w:p w14:paraId="553A00AD" w14:textId="77777777" w:rsidR="00C122C8" w:rsidRPr="008A5E82" w:rsidRDefault="00C122C8" w:rsidP="00C122C8">
      <w:pPr>
        <w:pStyle w:val="FootnoteText"/>
        <w:ind w:left="567" w:hanging="567"/>
        <w:rPr>
          <w:sz w:val="24"/>
          <w:szCs w:val="24"/>
          <w:lang w:val="fi-FI"/>
        </w:rPr>
      </w:pPr>
      <w:r w:rsidRPr="008A5E82">
        <w:rPr>
          <w:rStyle w:val="FootnoteReference"/>
          <w:sz w:val="24"/>
        </w:rPr>
        <w:footnoteRef/>
      </w:r>
      <w:r w:rsidRPr="008A5E82">
        <w:rPr>
          <w:sz w:val="24"/>
          <w:lang w:val="fi-FI"/>
        </w:rPr>
        <w:t xml:space="preserve"> </w:t>
      </w:r>
      <w:r w:rsidRPr="00CD15A8">
        <w:rPr>
          <w:sz w:val="24"/>
          <w:lang w:val="fi-FI"/>
        </w:rPr>
        <w:tab/>
        <w:t xml:space="preserve">EUT C, C/2024/6841, 13.11.2024, ELI: </w:t>
      </w:r>
      <w:hyperlink r:id="rId129" w:history="1">
        <w:r w:rsidRPr="00CD15A8">
          <w:rPr>
            <w:rStyle w:val="Hyperlink1"/>
            <w:sz w:val="24"/>
            <w:lang w:val="fi-FI"/>
          </w:rPr>
          <w:t>http://data.europa.eu/eli/C/2024/6841/oj</w:t>
        </w:r>
      </w:hyperlink>
      <w:r w:rsidRPr="00CD15A8">
        <w:rPr>
          <w:sz w:val="24"/>
          <w:lang w:val="fi-FI"/>
        </w:rPr>
        <w:t>.</w:t>
      </w:r>
    </w:p>
  </w:footnote>
  <w:footnote w:id="130">
    <w:p w14:paraId="2D38D466" w14:textId="77777777" w:rsidR="00C122C8" w:rsidRPr="008A5E82" w:rsidRDefault="00C122C8" w:rsidP="00C122C8">
      <w:pPr>
        <w:pStyle w:val="FootnoteText"/>
        <w:ind w:left="567" w:hanging="567"/>
        <w:rPr>
          <w:sz w:val="24"/>
          <w:szCs w:val="24"/>
          <w:lang w:val="fi-FI"/>
        </w:rPr>
      </w:pPr>
      <w:r w:rsidRPr="008A5E82">
        <w:rPr>
          <w:rStyle w:val="FootnoteReference"/>
          <w:sz w:val="24"/>
        </w:rPr>
        <w:footnoteRef/>
      </w:r>
      <w:r w:rsidRPr="008A5E82">
        <w:rPr>
          <w:sz w:val="24"/>
          <w:lang w:val="fi-FI"/>
        </w:rPr>
        <w:t xml:space="preserve"> </w:t>
      </w:r>
      <w:r w:rsidRPr="00CD15A8">
        <w:rPr>
          <w:sz w:val="24"/>
          <w:lang w:val="fi-FI"/>
        </w:rPr>
        <w:tab/>
        <w:t xml:space="preserve">EUT C, C/2024/6041, 10.10.2024, ELI: </w:t>
      </w:r>
      <w:hyperlink r:id="rId130" w:history="1">
        <w:r w:rsidRPr="00CD15A8">
          <w:rPr>
            <w:rStyle w:val="Hyperlink1"/>
            <w:sz w:val="24"/>
            <w:lang w:val="fi-FI"/>
          </w:rPr>
          <w:t>http://data.europa.eu/eli/C/2024/6041/oj</w:t>
        </w:r>
      </w:hyperlink>
      <w:r w:rsidRPr="00CD15A8">
        <w:rPr>
          <w:sz w:val="24"/>
          <w:lang w:val="fi-FI"/>
        </w:rPr>
        <w:t>.</w:t>
      </w:r>
    </w:p>
  </w:footnote>
  <w:footnote w:id="131">
    <w:p w14:paraId="783927F1" w14:textId="77777777" w:rsidR="00C122C8" w:rsidRPr="008A5E82" w:rsidRDefault="00C122C8" w:rsidP="00C122C8">
      <w:pPr>
        <w:pStyle w:val="FootnoteText"/>
        <w:ind w:left="567" w:hanging="567"/>
        <w:rPr>
          <w:sz w:val="24"/>
          <w:szCs w:val="24"/>
          <w:lang w:val="fi-FI"/>
        </w:rPr>
      </w:pPr>
      <w:r w:rsidRPr="008A5E82">
        <w:rPr>
          <w:rStyle w:val="FootnoteReference"/>
          <w:sz w:val="24"/>
        </w:rPr>
        <w:footnoteRef/>
      </w:r>
      <w:r w:rsidRPr="008A5E82">
        <w:rPr>
          <w:sz w:val="24"/>
          <w:lang w:val="fi-FI"/>
        </w:rPr>
        <w:t xml:space="preserve"> </w:t>
      </w:r>
      <w:r w:rsidRPr="00CD15A8">
        <w:rPr>
          <w:sz w:val="24"/>
          <w:lang w:val="fi-FI"/>
        </w:rPr>
        <w:tab/>
        <w:t xml:space="preserve">EUT L 193, 30.7.2018, s. 1, ELI: </w:t>
      </w:r>
      <w:hyperlink r:id="rId131" w:history="1">
        <w:r w:rsidRPr="00CD15A8">
          <w:rPr>
            <w:rStyle w:val="Hyperlink1"/>
            <w:sz w:val="24"/>
            <w:lang w:val="fi-FI"/>
          </w:rPr>
          <w:t>http://data.europa.eu/eli/reg/2018/1046/oj</w:t>
        </w:r>
      </w:hyperlink>
      <w:r w:rsidRPr="00CD15A8">
        <w:rPr>
          <w:sz w:val="24"/>
          <w:lang w:val="fi-FI"/>
        </w:rPr>
        <w:t>.</w:t>
      </w:r>
    </w:p>
  </w:footnote>
  <w:footnote w:id="132">
    <w:p w14:paraId="43BE2F0E" w14:textId="77777777" w:rsidR="00C122C8" w:rsidRPr="008A5E82" w:rsidRDefault="00C122C8" w:rsidP="00C122C8">
      <w:pPr>
        <w:pStyle w:val="FootnoteText"/>
        <w:ind w:left="567" w:hanging="567"/>
        <w:rPr>
          <w:sz w:val="24"/>
          <w:szCs w:val="24"/>
          <w:lang w:val="fi-FI"/>
        </w:rPr>
      </w:pPr>
      <w:r w:rsidRPr="008A5E82">
        <w:rPr>
          <w:rStyle w:val="FootnoteReference"/>
          <w:sz w:val="24"/>
        </w:rPr>
        <w:footnoteRef/>
      </w:r>
      <w:r w:rsidRPr="008A5E82">
        <w:rPr>
          <w:sz w:val="24"/>
          <w:lang w:val="fi-FI"/>
        </w:rPr>
        <w:t xml:space="preserve"> </w:t>
      </w:r>
      <w:r w:rsidRPr="00CD15A8">
        <w:rPr>
          <w:sz w:val="24"/>
          <w:lang w:val="fi-FI"/>
        </w:rPr>
        <w:tab/>
        <w:t xml:space="preserve">EUT L, 2024/2509, 26.9.2024, ELI: </w:t>
      </w:r>
      <w:hyperlink r:id="rId132" w:tgtFrame="_blank" w:history="1">
        <w:r w:rsidRPr="00CD15A8">
          <w:rPr>
            <w:rStyle w:val="Hyperlink1"/>
            <w:sz w:val="24"/>
            <w:shd w:val="clear" w:color="auto" w:fill="FFFFFF"/>
            <w:lang w:val="fi-FI"/>
          </w:rPr>
          <w:t>http://data.europa.eu/eli/reg/2024/2509/oj</w:t>
        </w:r>
      </w:hyperlink>
      <w:r w:rsidRPr="00CD15A8">
        <w:rPr>
          <w:sz w:val="24"/>
          <w:lang w:val="fi-FI"/>
        </w:rPr>
        <w:t>.</w:t>
      </w:r>
    </w:p>
  </w:footnote>
  <w:footnote w:id="133">
    <w:p w14:paraId="721FF224" w14:textId="77777777" w:rsidR="00C122C8" w:rsidRPr="008A5E82" w:rsidRDefault="00C122C8" w:rsidP="00C122C8">
      <w:pPr>
        <w:pStyle w:val="FootnoteText"/>
        <w:ind w:left="567" w:hanging="567"/>
        <w:rPr>
          <w:sz w:val="24"/>
          <w:szCs w:val="24"/>
          <w:lang w:val="fi-FI"/>
        </w:rPr>
      </w:pPr>
      <w:r w:rsidRPr="008A5E82">
        <w:rPr>
          <w:rStyle w:val="FootnoteReference"/>
          <w:sz w:val="24"/>
        </w:rPr>
        <w:footnoteRef/>
      </w:r>
      <w:r w:rsidRPr="008A5E82">
        <w:rPr>
          <w:sz w:val="24"/>
          <w:lang w:val="fi-FI"/>
        </w:rPr>
        <w:t xml:space="preserve"> </w:t>
      </w:r>
      <w:r w:rsidRPr="00CD15A8">
        <w:rPr>
          <w:sz w:val="24"/>
          <w:lang w:val="fi-FI"/>
        </w:rPr>
        <w:tab/>
        <w:t xml:space="preserve">EUT L 427, 30.11.2021, s. 17, ELI: </w:t>
      </w:r>
      <w:hyperlink r:id="rId133" w:history="1">
        <w:r w:rsidRPr="00CD15A8">
          <w:rPr>
            <w:rStyle w:val="Hyperlink1"/>
            <w:sz w:val="24"/>
            <w:lang w:val="fi-FI"/>
          </w:rPr>
          <w:t>http://data.europa.eu/eli/reg/2021/2085/oj</w:t>
        </w:r>
      </w:hyperlink>
      <w:r w:rsidRPr="00CD15A8">
        <w:rPr>
          <w:sz w:val="24"/>
          <w:lang w:val="fi-FI"/>
        </w:rPr>
        <w:t>.</w:t>
      </w:r>
    </w:p>
  </w:footnote>
  <w:footnote w:id="134">
    <w:p w14:paraId="4E9948E9" w14:textId="77777777" w:rsidR="00C122C8" w:rsidRPr="008A5E82" w:rsidRDefault="00C122C8" w:rsidP="00C122C8">
      <w:pPr>
        <w:pStyle w:val="FootnoteText"/>
        <w:ind w:left="567" w:hanging="567"/>
        <w:rPr>
          <w:sz w:val="24"/>
          <w:szCs w:val="24"/>
          <w:lang w:val="fi-FI"/>
        </w:rPr>
      </w:pPr>
      <w:r w:rsidRPr="008A5E82">
        <w:rPr>
          <w:rStyle w:val="FootnoteReference"/>
          <w:sz w:val="24"/>
        </w:rPr>
        <w:footnoteRef/>
      </w:r>
      <w:r w:rsidRPr="008A5E82">
        <w:rPr>
          <w:sz w:val="24"/>
          <w:lang w:val="fi-FI"/>
        </w:rPr>
        <w:t xml:space="preserve"> </w:t>
      </w:r>
      <w:r w:rsidRPr="00CD15A8">
        <w:rPr>
          <w:sz w:val="24"/>
          <w:lang w:val="fi-FI"/>
        </w:rPr>
        <w:tab/>
        <w:t xml:space="preserve">EUT L 142, 29.5.2019, s. 16, ELI: </w:t>
      </w:r>
      <w:hyperlink r:id="rId134" w:history="1">
        <w:r w:rsidRPr="00CD15A8">
          <w:rPr>
            <w:rStyle w:val="Hyperlink1"/>
            <w:sz w:val="24"/>
            <w:lang w:val="fi-FI"/>
          </w:rPr>
          <w:t>http://data.europa.eu/eli/reg_del/2019/887/oj</w:t>
        </w:r>
      </w:hyperlink>
      <w:r w:rsidRPr="00CD15A8">
        <w:rPr>
          <w:sz w:val="24"/>
          <w:lang w:val="fi-FI"/>
        </w:rPr>
        <w:t>.</w:t>
      </w:r>
    </w:p>
  </w:footnote>
  <w:footnote w:id="135">
    <w:p w14:paraId="698EF9F8" w14:textId="77777777" w:rsidR="00C122C8" w:rsidRPr="005C01F2" w:rsidRDefault="00C122C8" w:rsidP="00C122C8">
      <w:pPr>
        <w:pStyle w:val="FootnoteText"/>
        <w:ind w:left="567" w:hanging="567"/>
        <w:rPr>
          <w:sz w:val="24"/>
          <w:lang w:val="sv-SE"/>
        </w:rPr>
      </w:pPr>
      <w:r w:rsidRPr="005C01F2">
        <w:rPr>
          <w:rStyle w:val="FootnoteReference"/>
          <w:sz w:val="24"/>
        </w:rPr>
        <w:footnoteRef/>
      </w:r>
      <w:r w:rsidRPr="00CD15A8">
        <w:rPr>
          <w:sz w:val="24"/>
          <w:lang w:val="sv-SE"/>
        </w:rPr>
        <w:tab/>
        <w:t xml:space="preserve">Rådets förordning (EU) 2021/2085 av den 19 november 2021 om bildande av gemensamma företag inom ramen för Horisont Europa och om upphävande av förordningarna (EG) nr 219/2007, (EU) nr 557/2014, (EU) nr 558/2014, (EU) nr 559/2014, (EU) nr 560/2014, (EU) nr 561/2014 och (EU) nr 642/2014 (EUT L 427, 30.11.2021, s. 17, ELI: </w:t>
      </w:r>
      <w:hyperlink r:id="rId135" w:history="1">
        <w:r w:rsidRPr="00CD15A8">
          <w:rPr>
            <w:rStyle w:val="Hyperlink"/>
            <w:sz w:val="24"/>
            <w:lang w:val="sv-SE"/>
          </w:rPr>
          <w:t>http://data.europa.eu/eli/reg/2021/2085/oj</w:t>
        </w:r>
      </w:hyperlink>
      <w:r w:rsidRPr="00CD15A8">
        <w:rPr>
          <w:sz w:val="24"/>
          <w:lang w:val="sv-SE"/>
        </w:rPr>
        <w:t>).</w:t>
      </w:r>
    </w:p>
  </w:footnote>
  <w:footnote w:id="136">
    <w:p w14:paraId="2D188B71" w14:textId="77777777" w:rsidR="00C122C8" w:rsidRPr="005C01F2" w:rsidRDefault="00C122C8" w:rsidP="00C122C8">
      <w:pPr>
        <w:pStyle w:val="FootnoteText"/>
        <w:ind w:left="567" w:hanging="567"/>
        <w:rPr>
          <w:sz w:val="24"/>
          <w:lang w:val="fi-FI"/>
        </w:rPr>
      </w:pPr>
      <w:r w:rsidRPr="005C01F2">
        <w:rPr>
          <w:rStyle w:val="FootnoteReference"/>
          <w:sz w:val="24"/>
        </w:rPr>
        <w:footnoteRef/>
      </w:r>
      <w:r w:rsidRPr="00CD15A8">
        <w:rPr>
          <w:sz w:val="24"/>
          <w:lang w:val="fi-FI"/>
        </w:rPr>
        <w:tab/>
      </w:r>
      <w:r w:rsidRPr="00CD15A8">
        <w:rPr>
          <w:sz w:val="24"/>
          <w:lang w:val="sv-SE"/>
        </w:rPr>
        <w:t xml:space="preserve">Rådets förordning (EU) 2023/1782 av den 25 juli 2023 om ändring av förordning (EU) 2021/2085 om bildande av gemensamma företag inom ramen för Horisont Europa, vad gäller det gemensamma företaget för halvledare </w:t>
      </w:r>
      <w:r w:rsidRPr="00CD15A8">
        <w:rPr>
          <w:sz w:val="24"/>
          <w:lang w:val="fi-FI"/>
        </w:rPr>
        <w:t xml:space="preserve">(EUT L 229, 18.9.2023, s. 55, ELI: </w:t>
      </w:r>
      <w:hyperlink r:id="rId136" w:history="1">
        <w:r w:rsidRPr="00CD15A8">
          <w:rPr>
            <w:rStyle w:val="Hyperlink1"/>
            <w:sz w:val="24"/>
            <w:lang w:val="fi-FI"/>
          </w:rPr>
          <w:t>http://data.europa.eu/eli/reg/2023/1782/oj</w:t>
        </w:r>
      </w:hyperlink>
      <w:r w:rsidRPr="00CD15A8">
        <w:rPr>
          <w:sz w:val="24"/>
          <w:lang w:val="fi-FI"/>
        </w:rPr>
        <w:t>).</w:t>
      </w:r>
    </w:p>
  </w:footnote>
  <w:footnote w:id="137">
    <w:p w14:paraId="21AA3A8E" w14:textId="77777777" w:rsidR="00C122C8" w:rsidRPr="005C01F2" w:rsidRDefault="00C122C8" w:rsidP="00C122C8">
      <w:pPr>
        <w:pStyle w:val="FootnoteText"/>
        <w:ind w:left="567" w:hanging="567"/>
        <w:rPr>
          <w:sz w:val="24"/>
          <w:lang w:val="fi-FI"/>
        </w:rPr>
      </w:pPr>
      <w:r w:rsidRPr="005C01F2">
        <w:rPr>
          <w:rStyle w:val="FootnoteReference"/>
          <w:sz w:val="24"/>
        </w:rPr>
        <w:footnoteRef/>
      </w:r>
      <w:r w:rsidRPr="00CD15A8">
        <w:rPr>
          <w:sz w:val="24"/>
          <w:lang w:val="fi-FI"/>
        </w:rPr>
        <w:tab/>
      </w:r>
      <w:r w:rsidRPr="00CD15A8">
        <w:rPr>
          <w:sz w:val="24"/>
          <w:lang w:val="sv-SE"/>
        </w:rPr>
        <w:t>Rådets beslut 2007/198/Euratom av den 27 mars 2007 om inrättande av ett europeiskt gemensamt företag för ITER och utveckling av fusionsenergi samt om beviljande av förmåner till detta företag</w:t>
      </w:r>
      <w:r w:rsidRPr="00CD15A8">
        <w:rPr>
          <w:sz w:val="24"/>
          <w:lang w:val="fi-FI"/>
        </w:rPr>
        <w:t xml:space="preserve"> (EUT L 90, 30.3.2007, s. 58, ELI: </w:t>
      </w:r>
      <w:hyperlink r:id="rId137" w:history="1">
        <w:r w:rsidRPr="00CD15A8">
          <w:rPr>
            <w:rStyle w:val="Hyperlink1"/>
            <w:sz w:val="24"/>
            <w:lang w:val="fi-FI"/>
          </w:rPr>
          <w:t>http://data.europa.eu/eli/dec/2007/198/oj</w:t>
        </w:r>
      </w:hyperlink>
      <w:r w:rsidRPr="00CD15A8">
        <w:rPr>
          <w:sz w:val="24"/>
          <w:lang w:val="fi-FI"/>
        </w:rPr>
        <w:t>).</w:t>
      </w:r>
    </w:p>
  </w:footnote>
  <w:footnote w:id="138">
    <w:p w14:paraId="1A951E86" w14:textId="77777777" w:rsidR="00C122C8" w:rsidRPr="005C01F2" w:rsidRDefault="00C122C8" w:rsidP="00C122C8">
      <w:pPr>
        <w:pStyle w:val="FootnoteText"/>
        <w:ind w:left="567" w:hanging="567"/>
        <w:rPr>
          <w:sz w:val="24"/>
          <w:szCs w:val="24"/>
          <w:lang w:val="fi-FI"/>
        </w:rPr>
      </w:pPr>
      <w:r w:rsidRPr="005C01F2">
        <w:rPr>
          <w:rStyle w:val="FootnoteReference"/>
          <w:sz w:val="24"/>
        </w:rPr>
        <w:footnoteRef/>
      </w:r>
      <w:r w:rsidRPr="00CD15A8">
        <w:rPr>
          <w:sz w:val="24"/>
          <w:lang w:val="fi-FI"/>
        </w:rPr>
        <w:tab/>
      </w:r>
      <w:r w:rsidRPr="00CD15A8">
        <w:rPr>
          <w:sz w:val="24"/>
          <w:lang w:val="sv-SE"/>
        </w:rPr>
        <w:t>Rådets förordning (EU) 2021/1173 av den 13 juli 2021 om bildande av det gemensamma företaget för ett europeiskt högpresterande datorsystem och om upphävande av förordning (EU) 2018/1488</w:t>
      </w:r>
      <w:r w:rsidRPr="00CD15A8">
        <w:rPr>
          <w:sz w:val="24"/>
          <w:lang w:val="fi-FI"/>
        </w:rPr>
        <w:t xml:space="preserve"> (EUT L 256, 19.7.2021, s. 3, ELI: </w:t>
      </w:r>
      <w:hyperlink r:id="rId138" w:history="1">
        <w:r w:rsidRPr="00CD15A8">
          <w:rPr>
            <w:rStyle w:val="Hyperlink1"/>
            <w:sz w:val="24"/>
            <w:lang w:val="fi-FI"/>
          </w:rPr>
          <w:t>http://data.europa.eu/eli/reg/2021/1173/oj</w:t>
        </w:r>
      </w:hyperlink>
      <w:r w:rsidRPr="00CD15A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C9611" w14:textId="77777777" w:rsidR="00E364FA" w:rsidRPr="003B51D7" w:rsidRDefault="00E364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86BB9" w14:textId="77777777" w:rsidR="00E364FA" w:rsidRPr="003B51D7" w:rsidRDefault="00E364F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87034" w14:textId="77777777" w:rsidR="00E364FA" w:rsidRPr="003B51D7" w:rsidRDefault="00E364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39983692">
    <w:abstractNumId w:val="9"/>
  </w:num>
  <w:num w:numId="2" w16cid:durableId="161436639">
    <w:abstractNumId w:val="9"/>
  </w:num>
  <w:num w:numId="3" w16cid:durableId="1500777847">
    <w:abstractNumId w:val="7"/>
  </w:num>
  <w:num w:numId="4" w16cid:durableId="1592660472">
    <w:abstractNumId w:val="7"/>
  </w:num>
  <w:num w:numId="5" w16cid:durableId="188566990">
    <w:abstractNumId w:val="6"/>
  </w:num>
  <w:num w:numId="6" w16cid:durableId="766537613">
    <w:abstractNumId w:val="6"/>
  </w:num>
  <w:num w:numId="7" w16cid:durableId="1543250589">
    <w:abstractNumId w:val="5"/>
  </w:num>
  <w:num w:numId="8" w16cid:durableId="357776472">
    <w:abstractNumId w:val="5"/>
  </w:num>
  <w:num w:numId="9" w16cid:durableId="2073772257">
    <w:abstractNumId w:val="4"/>
  </w:num>
  <w:num w:numId="10" w16cid:durableId="977994143">
    <w:abstractNumId w:val="4"/>
  </w:num>
  <w:num w:numId="11" w16cid:durableId="645818049">
    <w:abstractNumId w:val="8"/>
  </w:num>
  <w:num w:numId="12" w16cid:durableId="8532061">
    <w:abstractNumId w:val="8"/>
  </w:num>
  <w:num w:numId="13" w16cid:durableId="550069738">
    <w:abstractNumId w:val="3"/>
  </w:num>
  <w:num w:numId="14" w16cid:durableId="717096988">
    <w:abstractNumId w:val="3"/>
  </w:num>
  <w:num w:numId="15" w16cid:durableId="1033267538">
    <w:abstractNumId w:val="2"/>
  </w:num>
  <w:num w:numId="16" w16cid:durableId="1951425933">
    <w:abstractNumId w:val="2"/>
  </w:num>
  <w:num w:numId="17" w16cid:durableId="173109740">
    <w:abstractNumId w:val="1"/>
  </w:num>
  <w:num w:numId="18" w16cid:durableId="1687754514">
    <w:abstractNumId w:val="1"/>
  </w:num>
  <w:num w:numId="19" w16cid:durableId="2060006215">
    <w:abstractNumId w:val="0"/>
  </w:num>
  <w:num w:numId="20" w16cid:durableId="1043293250">
    <w:abstractNumId w:val="0"/>
  </w:num>
  <w:num w:numId="21" w16cid:durableId="1142042270">
    <w:abstractNumId w:val="9"/>
  </w:num>
  <w:num w:numId="22" w16cid:durableId="818765956">
    <w:abstractNumId w:val="7"/>
  </w:num>
  <w:num w:numId="23" w16cid:durableId="1699549825">
    <w:abstractNumId w:val="6"/>
  </w:num>
  <w:num w:numId="24" w16cid:durableId="1215116807">
    <w:abstractNumId w:val="5"/>
  </w:num>
  <w:num w:numId="25" w16cid:durableId="1489248431">
    <w:abstractNumId w:val="4"/>
  </w:num>
  <w:num w:numId="26" w16cid:durableId="2112166835">
    <w:abstractNumId w:val="8"/>
  </w:num>
  <w:num w:numId="27" w16cid:durableId="816261838">
    <w:abstractNumId w:val="3"/>
  </w:num>
  <w:num w:numId="28" w16cid:durableId="857738266">
    <w:abstractNumId w:val="2"/>
  </w:num>
  <w:num w:numId="29" w16cid:durableId="1955405921">
    <w:abstractNumId w:val="1"/>
  </w:num>
  <w:num w:numId="30" w16cid:durableId="238446306">
    <w:abstractNumId w:val="0"/>
  </w:num>
  <w:num w:numId="31" w16cid:durableId="458033658">
    <w:abstractNumId w:val="9"/>
  </w:num>
  <w:num w:numId="32" w16cid:durableId="2007201169">
    <w:abstractNumId w:val="7"/>
  </w:num>
  <w:num w:numId="33" w16cid:durableId="1019311086">
    <w:abstractNumId w:val="6"/>
  </w:num>
  <w:num w:numId="34" w16cid:durableId="1583568936">
    <w:abstractNumId w:val="5"/>
  </w:num>
  <w:num w:numId="35" w16cid:durableId="1848712556">
    <w:abstractNumId w:val="4"/>
  </w:num>
  <w:num w:numId="36" w16cid:durableId="1267032383">
    <w:abstractNumId w:val="8"/>
  </w:num>
  <w:num w:numId="37" w16cid:durableId="721293542">
    <w:abstractNumId w:val="3"/>
  </w:num>
  <w:num w:numId="38" w16cid:durableId="1685203887">
    <w:abstractNumId w:val="2"/>
  </w:num>
  <w:num w:numId="39" w16cid:durableId="1148399510">
    <w:abstractNumId w:val="1"/>
  </w:num>
  <w:num w:numId="40" w16cid:durableId="1828670645">
    <w:abstractNumId w:val="0"/>
  </w:num>
  <w:num w:numId="41" w16cid:durableId="1032001373">
    <w:abstractNumId w:val="10"/>
  </w:num>
  <w:num w:numId="42" w16cid:durableId="784690027">
    <w:abstractNumId w:val="10"/>
  </w:num>
  <w:num w:numId="43" w16cid:durableId="1816410306">
    <w:abstractNumId w:val="10"/>
  </w:num>
  <w:num w:numId="44" w16cid:durableId="1239055839">
    <w:abstractNumId w:val="12"/>
  </w:num>
  <w:num w:numId="45" w16cid:durableId="917786794">
    <w:abstractNumId w:val="13"/>
  </w:num>
  <w:num w:numId="46" w16cid:durableId="1336809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SV"/>
    <w:docVar w:name="dvnumam" w:val="0"/>
    <w:docVar w:name="dvpe" w:val="765.276"/>
    <w:docVar w:name="dvrapporteur" w:val="Föredragande: "/>
    <w:docVar w:name="dvtitre" w:val="Europaparlamentets beslut av den xx xx 2025 om ansvarsfrihet för genomförandet av budgeten för Europeiska unionens gemensamma företag för budgetåret 2023(2024/2031(DEC))"/>
  </w:docVars>
  <w:rsids>
    <w:rsidRoot w:val="000B6A49"/>
    <w:rsid w:val="00002272"/>
    <w:rsid w:val="00045C63"/>
    <w:rsid w:val="00064002"/>
    <w:rsid w:val="000677B9"/>
    <w:rsid w:val="000831BA"/>
    <w:rsid w:val="000A42CC"/>
    <w:rsid w:val="000B6A49"/>
    <w:rsid w:val="000E7DD9"/>
    <w:rsid w:val="0010095E"/>
    <w:rsid w:val="00125B37"/>
    <w:rsid w:val="00187494"/>
    <w:rsid w:val="001F32AE"/>
    <w:rsid w:val="00220C3B"/>
    <w:rsid w:val="0026675C"/>
    <w:rsid w:val="002767FF"/>
    <w:rsid w:val="00285C22"/>
    <w:rsid w:val="002B18FE"/>
    <w:rsid w:val="002B5493"/>
    <w:rsid w:val="00343214"/>
    <w:rsid w:val="00361C00"/>
    <w:rsid w:val="00395FA1"/>
    <w:rsid w:val="003B51D7"/>
    <w:rsid w:val="003E15D4"/>
    <w:rsid w:val="00411CCE"/>
    <w:rsid w:val="0041666E"/>
    <w:rsid w:val="00421060"/>
    <w:rsid w:val="00444B50"/>
    <w:rsid w:val="00471C19"/>
    <w:rsid w:val="004867E3"/>
    <w:rsid w:val="00494A28"/>
    <w:rsid w:val="004A0297"/>
    <w:rsid w:val="004C0004"/>
    <w:rsid w:val="004C5D52"/>
    <w:rsid w:val="0050519A"/>
    <w:rsid w:val="005072A1"/>
    <w:rsid w:val="00514517"/>
    <w:rsid w:val="00525100"/>
    <w:rsid w:val="00545827"/>
    <w:rsid w:val="005560EF"/>
    <w:rsid w:val="00560270"/>
    <w:rsid w:val="005C2568"/>
    <w:rsid w:val="005F1B17"/>
    <w:rsid w:val="006037C0"/>
    <w:rsid w:val="0063202C"/>
    <w:rsid w:val="006631B6"/>
    <w:rsid w:val="00680577"/>
    <w:rsid w:val="006C358E"/>
    <w:rsid w:val="006F74FA"/>
    <w:rsid w:val="006F7786"/>
    <w:rsid w:val="007042AD"/>
    <w:rsid w:val="00731ADD"/>
    <w:rsid w:val="00734777"/>
    <w:rsid w:val="007447E5"/>
    <w:rsid w:val="00747932"/>
    <w:rsid w:val="00751A4A"/>
    <w:rsid w:val="00756632"/>
    <w:rsid w:val="00762C74"/>
    <w:rsid w:val="00786EC0"/>
    <w:rsid w:val="007B0DC8"/>
    <w:rsid w:val="007D1690"/>
    <w:rsid w:val="007E22AD"/>
    <w:rsid w:val="00800CB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E2D"/>
    <w:rsid w:val="00AF3B82"/>
    <w:rsid w:val="00B03AB5"/>
    <w:rsid w:val="00B12E95"/>
    <w:rsid w:val="00B22876"/>
    <w:rsid w:val="00B558F0"/>
    <w:rsid w:val="00B7153D"/>
    <w:rsid w:val="00B73082"/>
    <w:rsid w:val="00B734F4"/>
    <w:rsid w:val="00BD48FE"/>
    <w:rsid w:val="00BD7BD8"/>
    <w:rsid w:val="00BE01ED"/>
    <w:rsid w:val="00BE6ADC"/>
    <w:rsid w:val="00C05BFE"/>
    <w:rsid w:val="00C122C8"/>
    <w:rsid w:val="00C23CD4"/>
    <w:rsid w:val="00C61C0C"/>
    <w:rsid w:val="00C941CB"/>
    <w:rsid w:val="00CC2357"/>
    <w:rsid w:val="00CE095C"/>
    <w:rsid w:val="00CF071A"/>
    <w:rsid w:val="00D058B8"/>
    <w:rsid w:val="00D56C11"/>
    <w:rsid w:val="00D834A0"/>
    <w:rsid w:val="00D872DF"/>
    <w:rsid w:val="00D91E21"/>
    <w:rsid w:val="00DA7FCD"/>
    <w:rsid w:val="00E364FA"/>
    <w:rsid w:val="00E365E1"/>
    <w:rsid w:val="00E7184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CDF2B2"/>
  <w15:chartTrackingRefBased/>
  <w15:docId w15:val="{1F8D49C9-94B8-4C85-9176-F25570DC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F7786"/>
    <w:rPr>
      <w:b/>
      <w:kern w:val="28"/>
      <w:sz w:val="28"/>
      <w:lang w:val="fr-FR" w:eastAsia="fr-FR"/>
    </w:rPr>
  </w:style>
  <w:style w:type="character" w:customStyle="1" w:styleId="Heading2Char">
    <w:name w:val="Heading 2 Char"/>
    <w:basedOn w:val="DefaultParagraphFont"/>
    <w:link w:val="Heading2"/>
    <w:uiPriority w:val="9"/>
    <w:semiHidden/>
    <w:rsid w:val="006F7786"/>
    <w:rPr>
      <w:sz w:val="24"/>
      <w:lang w:val="fr-FR" w:eastAsia="fr-FR"/>
    </w:rPr>
  </w:style>
  <w:style w:type="character" w:customStyle="1" w:styleId="Heading3Char">
    <w:name w:val="Heading 3 Char"/>
    <w:basedOn w:val="DefaultParagraphFont"/>
    <w:link w:val="Heading3"/>
    <w:uiPriority w:val="9"/>
    <w:semiHidden/>
    <w:rsid w:val="006F7786"/>
    <w:rPr>
      <w:rFonts w:ascii="Arial" w:hAnsi="Arial"/>
      <w:sz w:val="24"/>
      <w:lang w:val="fr-FR" w:eastAsia="fr-FR"/>
    </w:rPr>
  </w:style>
  <w:style w:type="character" w:customStyle="1" w:styleId="Heading4Char">
    <w:name w:val="Heading 4 Char"/>
    <w:basedOn w:val="DefaultParagraphFont"/>
    <w:link w:val="Heading4"/>
    <w:uiPriority w:val="9"/>
    <w:semiHidden/>
    <w:rsid w:val="006F7786"/>
    <w:rPr>
      <w:sz w:val="24"/>
      <w:lang w:val="en-US" w:eastAsia="fr-FR"/>
    </w:rPr>
  </w:style>
  <w:style w:type="character" w:customStyle="1" w:styleId="Heading5Char">
    <w:name w:val="Heading 5 Char"/>
    <w:basedOn w:val="DefaultParagraphFont"/>
    <w:link w:val="Heading5"/>
    <w:uiPriority w:val="9"/>
    <w:semiHidden/>
    <w:rsid w:val="006F7786"/>
    <w:rPr>
      <w:sz w:val="24"/>
      <w:lang w:val="en-US" w:eastAsia="fr-FR"/>
    </w:rPr>
  </w:style>
  <w:style w:type="character" w:customStyle="1" w:styleId="Heading6Char">
    <w:name w:val="Heading 6 Char"/>
    <w:basedOn w:val="DefaultParagraphFont"/>
    <w:link w:val="Heading6"/>
    <w:uiPriority w:val="9"/>
    <w:semiHidden/>
    <w:rsid w:val="006F7786"/>
    <w:rPr>
      <w:i/>
      <w:sz w:val="22"/>
      <w:lang w:val="sv-SE"/>
    </w:rPr>
  </w:style>
  <w:style w:type="character" w:customStyle="1" w:styleId="Heading7Char">
    <w:name w:val="Heading 7 Char"/>
    <w:basedOn w:val="DefaultParagraphFont"/>
    <w:link w:val="Heading7"/>
    <w:uiPriority w:val="9"/>
    <w:semiHidden/>
    <w:rsid w:val="006F7786"/>
    <w:rPr>
      <w:rFonts w:ascii="Arial" w:hAnsi="Arial"/>
      <w:sz w:val="24"/>
      <w:lang w:val="sv-SE"/>
    </w:rPr>
  </w:style>
  <w:style w:type="character" w:customStyle="1" w:styleId="Heading8Char">
    <w:name w:val="Heading 8 Char"/>
    <w:basedOn w:val="DefaultParagraphFont"/>
    <w:link w:val="Heading8"/>
    <w:uiPriority w:val="9"/>
    <w:semiHidden/>
    <w:rsid w:val="006F7786"/>
    <w:rPr>
      <w:rFonts w:ascii="Arial" w:hAnsi="Arial"/>
      <w:i/>
      <w:sz w:val="24"/>
      <w:lang w:val="sv-SE"/>
    </w:rPr>
  </w:style>
  <w:style w:type="character" w:customStyle="1" w:styleId="Heading9Char">
    <w:name w:val="Heading 9 Char"/>
    <w:basedOn w:val="DefaultParagraphFont"/>
    <w:link w:val="Heading9"/>
    <w:uiPriority w:val="9"/>
    <w:semiHidden/>
    <w:rsid w:val="006F7786"/>
    <w:rPr>
      <w:rFonts w:ascii="Arial" w:hAnsi="Arial"/>
      <w:b/>
      <w:i/>
      <w:sz w:val="18"/>
      <w:lang w:val="sv-SE"/>
    </w:rPr>
  </w:style>
  <w:style w:type="paragraph" w:styleId="TOCHeading">
    <w:name w:val="TOC Heading"/>
    <w:basedOn w:val="Normal"/>
    <w:next w:val="Normal"/>
    <w:uiPriority w:val="39"/>
    <w:unhideWhenUsed/>
    <w:qFormat/>
    <w:rsid w:val="006F7786"/>
    <w:pPr>
      <w:widowControl/>
      <w:spacing w:after="240"/>
    </w:pPr>
    <w:rPr>
      <w:lang w:val="en-GB"/>
    </w:rPr>
  </w:style>
  <w:style w:type="paragraph" w:customStyle="1" w:styleId="EPFooter2">
    <w:name w:val="EPFooter2"/>
    <w:basedOn w:val="Normal"/>
    <w:next w:val="Normal"/>
    <w:rsid w:val="006F778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F7786"/>
    <w:pPr>
      <w:spacing w:before="480" w:after="240"/>
    </w:pPr>
  </w:style>
  <w:style w:type="paragraph" w:customStyle="1" w:styleId="TOCPage">
    <w:name w:val="TOC Page"/>
    <w:basedOn w:val="Normal"/>
    <w:next w:val="TOC1"/>
    <w:rsid w:val="006F7786"/>
    <w:pPr>
      <w:keepNext/>
      <w:spacing w:after="240"/>
      <w:jc w:val="right"/>
    </w:pPr>
    <w:rPr>
      <w:rFonts w:ascii="Arial" w:hAnsi="Arial"/>
      <w:b/>
    </w:rPr>
  </w:style>
  <w:style w:type="paragraph" w:customStyle="1" w:styleId="PageHeading">
    <w:name w:val="PageHeading"/>
    <w:basedOn w:val="Normal"/>
    <w:rsid w:val="006F7786"/>
    <w:pPr>
      <w:keepNext/>
      <w:spacing w:after="480"/>
      <w:jc w:val="center"/>
    </w:pPr>
    <w:rPr>
      <w:rFonts w:ascii="Arial" w:hAnsi="Arial" w:cs="Arial"/>
      <w:b/>
    </w:rPr>
  </w:style>
  <w:style w:type="paragraph" w:customStyle="1" w:styleId="NormalBold">
    <w:name w:val="NormalBold"/>
    <w:basedOn w:val="Normal"/>
    <w:rsid w:val="006F7786"/>
    <w:rPr>
      <w:b/>
    </w:rPr>
  </w:style>
  <w:style w:type="paragraph" w:customStyle="1" w:styleId="NormalHanging12a">
    <w:name w:val="NormalHanging12a"/>
    <w:basedOn w:val="Normal"/>
    <w:link w:val="NormalHanging12aChar"/>
    <w:rsid w:val="006F7786"/>
    <w:pPr>
      <w:spacing w:after="240"/>
      <w:ind w:left="567" w:hanging="567"/>
    </w:pPr>
  </w:style>
  <w:style w:type="paragraph" w:customStyle="1" w:styleId="Subheading">
    <w:name w:val="Subheading"/>
    <w:basedOn w:val="Normal"/>
    <w:rsid w:val="006F7786"/>
    <w:pPr>
      <w:spacing w:before="480" w:after="240"/>
    </w:pPr>
    <w:rPr>
      <w:b/>
      <w:i/>
    </w:rPr>
  </w:style>
  <w:style w:type="paragraph" w:customStyle="1" w:styleId="CoverNormal24a">
    <w:name w:val="CoverNormal24a"/>
    <w:basedOn w:val="Normal"/>
    <w:rsid w:val="006F7786"/>
    <w:pPr>
      <w:spacing w:after="480"/>
      <w:ind w:left="1417"/>
    </w:pPr>
  </w:style>
  <w:style w:type="paragraph" w:customStyle="1" w:styleId="CoverNormal">
    <w:name w:val="CoverNormal"/>
    <w:basedOn w:val="Normal"/>
    <w:rsid w:val="006F7786"/>
    <w:pPr>
      <w:ind w:left="1418"/>
    </w:pPr>
  </w:style>
  <w:style w:type="paragraph" w:customStyle="1" w:styleId="CoverReference">
    <w:name w:val="CoverReference"/>
    <w:basedOn w:val="Normal"/>
    <w:rsid w:val="006F7786"/>
    <w:pPr>
      <w:spacing w:before="1080"/>
      <w:jc w:val="right"/>
    </w:pPr>
    <w:rPr>
      <w:rFonts w:ascii="Arial" w:hAnsi="Arial" w:cs="Arial"/>
      <w:b/>
    </w:rPr>
  </w:style>
  <w:style w:type="paragraph" w:customStyle="1" w:styleId="CoverDocType24a">
    <w:name w:val="CoverDocType24a"/>
    <w:basedOn w:val="Normal"/>
    <w:rsid w:val="006F7786"/>
    <w:pPr>
      <w:spacing w:after="480"/>
      <w:ind w:left="1418"/>
    </w:pPr>
    <w:rPr>
      <w:rFonts w:ascii="Arial" w:hAnsi="Arial"/>
      <w:b/>
      <w:sz w:val="48"/>
    </w:rPr>
  </w:style>
  <w:style w:type="paragraph" w:customStyle="1" w:styleId="CoverDate">
    <w:name w:val="CoverDate"/>
    <w:basedOn w:val="Normal"/>
    <w:rsid w:val="006F7786"/>
    <w:pPr>
      <w:spacing w:before="240" w:after="1200"/>
    </w:pPr>
  </w:style>
  <w:style w:type="paragraph" w:styleId="Header">
    <w:name w:val="header"/>
    <w:basedOn w:val="Normal"/>
    <w:link w:val="HeaderChar"/>
    <w:rsid w:val="006F7786"/>
    <w:pPr>
      <w:tabs>
        <w:tab w:val="center" w:pos="4513"/>
        <w:tab w:val="right" w:pos="9026"/>
      </w:tabs>
    </w:pPr>
  </w:style>
  <w:style w:type="character" w:customStyle="1" w:styleId="HeaderChar">
    <w:name w:val="Header Char"/>
    <w:basedOn w:val="DefaultParagraphFont"/>
    <w:link w:val="Header"/>
    <w:rsid w:val="006F7786"/>
    <w:rPr>
      <w:sz w:val="24"/>
      <w:lang w:val="sv-SE"/>
    </w:rPr>
  </w:style>
  <w:style w:type="paragraph" w:customStyle="1" w:styleId="EPBody">
    <w:name w:val="EPBody"/>
    <w:basedOn w:val="Normal"/>
    <w:rsid w:val="006F7786"/>
    <w:pPr>
      <w:jc w:val="center"/>
    </w:pPr>
    <w:rPr>
      <w:rFonts w:ascii="Arial" w:hAnsi="Arial" w:cs="Arial"/>
      <w:i/>
      <w:sz w:val="22"/>
      <w:szCs w:val="22"/>
    </w:rPr>
  </w:style>
  <w:style w:type="paragraph" w:customStyle="1" w:styleId="EPFooter">
    <w:name w:val="EPFooter"/>
    <w:basedOn w:val="Normal"/>
    <w:rsid w:val="006F7786"/>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6F7786"/>
    <w:rPr>
      <w:rFonts w:ascii="Times New Roman" w:hAnsi="Times New Roman"/>
    </w:rPr>
  </w:style>
  <w:style w:type="character" w:customStyle="1" w:styleId="PageHeadingDecChar">
    <w:name w:val="PageHeadingDec Char"/>
    <w:basedOn w:val="DefaultParagraphFont"/>
    <w:link w:val="PageHeadingDec"/>
    <w:rsid w:val="006F7786"/>
    <w:rPr>
      <w:rFonts w:cs="Arial"/>
      <w:b/>
      <w:sz w:val="24"/>
      <w:lang w:val="sv-SE"/>
    </w:rPr>
  </w:style>
  <w:style w:type="paragraph" w:customStyle="1" w:styleId="PageHeadingNotTOC">
    <w:name w:val="PageHeadingNotTOC"/>
    <w:basedOn w:val="Normal"/>
    <w:link w:val="PageHeadingNotTOCChar"/>
    <w:rsid w:val="006F7786"/>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6F7786"/>
    <w:rPr>
      <w:sz w:val="24"/>
      <w:lang w:val="sv-SE"/>
    </w:rPr>
  </w:style>
  <w:style w:type="paragraph" w:styleId="TOC8">
    <w:name w:val="toc 8"/>
    <w:basedOn w:val="Normal"/>
    <w:next w:val="Normal"/>
    <w:autoRedefine/>
    <w:uiPriority w:val="39"/>
    <w:rsid w:val="006F7786"/>
    <w:pPr>
      <w:spacing w:after="240"/>
    </w:pPr>
    <w:rPr>
      <w:b/>
    </w:rPr>
  </w:style>
  <w:style w:type="paragraph" w:styleId="TOC9">
    <w:name w:val="toc 9"/>
    <w:basedOn w:val="Normal"/>
    <w:next w:val="Normal"/>
    <w:autoRedefine/>
    <w:uiPriority w:val="39"/>
    <w:rsid w:val="006F7786"/>
    <w:pPr>
      <w:spacing w:after="100"/>
      <w:jc w:val="center"/>
    </w:pPr>
  </w:style>
  <w:style w:type="paragraph" w:styleId="TOC7">
    <w:name w:val="toc 7"/>
    <w:basedOn w:val="Normal"/>
    <w:next w:val="Normal"/>
    <w:autoRedefine/>
    <w:uiPriority w:val="39"/>
    <w:rsid w:val="006F7786"/>
    <w:pPr>
      <w:tabs>
        <w:tab w:val="right" w:leader="dot" w:pos="9060"/>
      </w:tabs>
      <w:spacing w:after="240"/>
      <w:ind w:left="720" w:hanging="720"/>
    </w:pPr>
  </w:style>
  <w:style w:type="character" w:styleId="Hyperlink">
    <w:name w:val="Hyperlink"/>
    <w:basedOn w:val="DefaultParagraphFont"/>
    <w:uiPriority w:val="99"/>
    <w:rsid w:val="006F7786"/>
    <w:rPr>
      <w:color w:val="0563C1" w:themeColor="hyperlink"/>
      <w:u w:val="single"/>
    </w:rPr>
  </w:style>
  <w:style w:type="character" w:styleId="FollowedHyperlink">
    <w:name w:val="FollowedHyperlink"/>
    <w:basedOn w:val="DefaultParagraphFont"/>
    <w:rsid w:val="006F7786"/>
    <w:rPr>
      <w:color w:val="954F72" w:themeColor="followedHyperlink"/>
      <w:u w:val="single"/>
    </w:rPr>
  </w:style>
  <w:style w:type="paragraph" w:customStyle="1" w:styleId="NormalBoldCenter">
    <w:name w:val="NormalBoldCenter"/>
    <w:basedOn w:val="Normal"/>
    <w:rsid w:val="006F7786"/>
    <w:pPr>
      <w:jc w:val="center"/>
    </w:pPr>
    <w:rPr>
      <w:b/>
    </w:rPr>
  </w:style>
  <w:style w:type="paragraph" w:customStyle="1" w:styleId="Footprint12b">
    <w:name w:val="Footprint12b"/>
    <w:basedOn w:val="Normal"/>
    <w:rsid w:val="006F7786"/>
    <w:pPr>
      <w:spacing w:before="240"/>
    </w:pPr>
    <w:rPr>
      <w:szCs w:val="24"/>
    </w:rPr>
  </w:style>
  <w:style w:type="character" w:styleId="CommentReference">
    <w:name w:val="annotation reference"/>
    <w:basedOn w:val="DefaultParagraphFont"/>
    <w:uiPriority w:val="99"/>
    <w:rsid w:val="006F7786"/>
    <w:rPr>
      <w:sz w:val="16"/>
      <w:szCs w:val="16"/>
    </w:rPr>
  </w:style>
  <w:style w:type="paragraph" w:styleId="CommentText">
    <w:name w:val="annotation text"/>
    <w:basedOn w:val="Normal"/>
    <w:link w:val="CommentTextChar"/>
    <w:uiPriority w:val="99"/>
    <w:rsid w:val="006F7786"/>
    <w:rPr>
      <w:sz w:val="20"/>
    </w:rPr>
  </w:style>
  <w:style w:type="character" w:customStyle="1" w:styleId="CommentTextChar">
    <w:name w:val="Comment Text Char"/>
    <w:basedOn w:val="DefaultParagraphFont"/>
    <w:link w:val="CommentText"/>
    <w:uiPriority w:val="99"/>
    <w:rsid w:val="006F7786"/>
    <w:rPr>
      <w:lang w:val="sv-SE"/>
    </w:rPr>
  </w:style>
  <w:style w:type="paragraph" w:styleId="CommentSubject">
    <w:name w:val="annotation subject"/>
    <w:basedOn w:val="CommentText"/>
    <w:next w:val="CommentText"/>
    <w:link w:val="CommentSubjectChar"/>
    <w:uiPriority w:val="99"/>
    <w:unhideWhenUsed/>
    <w:rsid w:val="006F7786"/>
    <w:rPr>
      <w:b/>
      <w:bCs/>
    </w:rPr>
  </w:style>
  <w:style w:type="character" w:customStyle="1" w:styleId="CommentSubjectChar">
    <w:name w:val="Comment Subject Char"/>
    <w:basedOn w:val="CommentTextChar"/>
    <w:link w:val="CommentSubject"/>
    <w:uiPriority w:val="99"/>
    <w:rsid w:val="006F7786"/>
    <w:rPr>
      <w:b/>
      <w:bCs/>
      <w:lang w:val="sv-SE"/>
    </w:rPr>
  </w:style>
  <w:style w:type="paragraph" w:styleId="BalloonText">
    <w:name w:val="Balloon Text"/>
    <w:basedOn w:val="Normal"/>
    <w:link w:val="BalloonTextChar"/>
    <w:unhideWhenUsed/>
    <w:rsid w:val="006F7786"/>
    <w:rPr>
      <w:rFonts w:ascii="Segoe UI" w:hAnsi="Segoe UI" w:cs="Segoe UI"/>
      <w:sz w:val="18"/>
      <w:szCs w:val="18"/>
    </w:rPr>
  </w:style>
  <w:style w:type="character" w:customStyle="1" w:styleId="BalloonTextChar">
    <w:name w:val="Balloon Text Char"/>
    <w:basedOn w:val="DefaultParagraphFont"/>
    <w:link w:val="BalloonText"/>
    <w:rsid w:val="006F7786"/>
    <w:rPr>
      <w:rFonts w:ascii="Segoe UI" w:hAnsi="Segoe UI" w:cs="Segoe UI"/>
      <w:sz w:val="18"/>
      <w:szCs w:val="18"/>
      <w:lang w:val="sv-SE"/>
    </w:rPr>
  </w:style>
  <w:style w:type="paragraph" w:styleId="Revision">
    <w:name w:val="Revision"/>
    <w:hidden/>
    <w:uiPriority w:val="99"/>
    <w:semiHidden/>
    <w:rsid w:val="006F7786"/>
    <w:rPr>
      <w:sz w:val="24"/>
      <w:lang w:val="sv-SE"/>
    </w:rPr>
  </w:style>
  <w:style w:type="paragraph" w:customStyle="1" w:styleId="Normal12a">
    <w:name w:val="Normal12a"/>
    <w:basedOn w:val="Normal"/>
    <w:rsid w:val="006F7786"/>
    <w:pPr>
      <w:spacing w:after="240"/>
    </w:pPr>
  </w:style>
  <w:style w:type="paragraph" w:customStyle="1" w:styleId="RollCallVotes">
    <w:name w:val="RollCallVotes"/>
    <w:basedOn w:val="Normal"/>
    <w:rsid w:val="006F7786"/>
    <w:pPr>
      <w:spacing w:before="120" w:after="120"/>
      <w:jc w:val="center"/>
    </w:pPr>
    <w:rPr>
      <w:b/>
      <w:bCs/>
      <w:snapToGrid w:val="0"/>
      <w:sz w:val="16"/>
      <w:lang w:eastAsia="en-US"/>
    </w:rPr>
  </w:style>
  <w:style w:type="paragraph" w:customStyle="1" w:styleId="RollCallTabs">
    <w:name w:val="RollCallTabs"/>
    <w:basedOn w:val="Normal"/>
    <w:qFormat/>
    <w:rsid w:val="006F7786"/>
    <w:pPr>
      <w:tabs>
        <w:tab w:val="center" w:pos="284"/>
        <w:tab w:val="left" w:pos="426"/>
      </w:tabs>
    </w:pPr>
    <w:rPr>
      <w:snapToGrid w:val="0"/>
      <w:lang w:eastAsia="en-US"/>
    </w:rPr>
  </w:style>
  <w:style w:type="paragraph" w:customStyle="1" w:styleId="RollCallSymbols14pt">
    <w:name w:val="RollCallSymbols14pt"/>
    <w:basedOn w:val="Normal"/>
    <w:rsid w:val="006F7786"/>
    <w:pPr>
      <w:spacing w:before="120" w:after="120"/>
      <w:jc w:val="center"/>
    </w:pPr>
    <w:rPr>
      <w:rFonts w:ascii="Arial" w:hAnsi="Arial"/>
      <w:b/>
      <w:bCs/>
      <w:snapToGrid w:val="0"/>
      <w:sz w:val="28"/>
      <w:lang w:eastAsia="en-US"/>
    </w:rPr>
  </w:style>
  <w:style w:type="paragraph" w:customStyle="1" w:styleId="RollCallTable">
    <w:name w:val="RollCallTable"/>
    <w:basedOn w:val="Normal"/>
    <w:rsid w:val="006F7786"/>
    <w:pPr>
      <w:spacing w:before="120" w:after="120"/>
    </w:pPr>
    <w:rPr>
      <w:snapToGrid w:val="0"/>
      <w:sz w:val="16"/>
      <w:lang w:eastAsia="en-US"/>
    </w:rPr>
  </w:style>
  <w:style w:type="paragraph" w:customStyle="1" w:styleId="Visa">
    <w:name w:val="Visa"/>
    <w:basedOn w:val="Normal"/>
    <w:rsid w:val="006F7786"/>
    <w:pPr>
      <w:tabs>
        <w:tab w:val="left" w:pos="357"/>
      </w:tabs>
      <w:snapToGrid w:val="0"/>
      <w:spacing w:after="240"/>
      <w:ind w:left="357" w:hanging="357"/>
    </w:pPr>
    <w:rPr>
      <w:lang w:eastAsia="en-US"/>
    </w:rPr>
  </w:style>
  <w:style w:type="paragraph" w:customStyle="1" w:styleId="Normal24a">
    <w:name w:val="Normal24a"/>
    <w:basedOn w:val="Normal"/>
    <w:rsid w:val="006F7786"/>
    <w:pPr>
      <w:spacing w:after="480"/>
    </w:pPr>
    <w:rPr>
      <w:szCs w:val="24"/>
    </w:rPr>
  </w:style>
  <w:style w:type="paragraph" w:customStyle="1" w:styleId="NormalSingle">
    <w:name w:val="NormalSingle"/>
    <w:basedOn w:val="Normal"/>
    <w:qFormat/>
    <w:rsid w:val="006F7786"/>
    <w:rPr>
      <w:szCs w:val="24"/>
    </w:rPr>
  </w:style>
  <w:style w:type="paragraph" w:customStyle="1" w:styleId="Normal6a">
    <w:name w:val="Normal6a"/>
    <w:basedOn w:val="Normal"/>
    <w:rsid w:val="006F7786"/>
    <w:pPr>
      <w:spacing w:after="120"/>
    </w:pPr>
    <w:rPr>
      <w:szCs w:val="24"/>
      <w:lang w:eastAsia="en-US"/>
    </w:rPr>
  </w:style>
  <w:style w:type="paragraph" w:customStyle="1" w:styleId="RollCallSubtitle">
    <w:name w:val="RollCallSubtitle"/>
    <w:basedOn w:val="Normal"/>
    <w:qFormat/>
    <w:rsid w:val="006F7786"/>
    <w:pPr>
      <w:snapToGrid w:val="0"/>
      <w:spacing w:after="240"/>
    </w:pPr>
    <w:rPr>
      <w:lang w:eastAsia="en-US"/>
    </w:rPr>
  </w:style>
  <w:style w:type="character" w:customStyle="1" w:styleId="PageHeadingNotTOCChar">
    <w:name w:val="PageHeadingNotTOC Char"/>
    <w:basedOn w:val="DefaultParagraphFont"/>
    <w:link w:val="PageHeadingNotTOC"/>
    <w:rsid w:val="006F7786"/>
    <w:rPr>
      <w:rFonts w:ascii="Arial" w:hAnsi="Arial" w:cs="Arial"/>
      <w:b/>
      <w:sz w:val="24"/>
      <w:lang w:val="sv-SE"/>
    </w:rPr>
  </w:style>
  <w:style w:type="paragraph" w:styleId="Footer">
    <w:name w:val="footer"/>
    <w:basedOn w:val="Normal"/>
    <w:link w:val="FooterChar"/>
    <w:rsid w:val="006F7786"/>
    <w:pPr>
      <w:tabs>
        <w:tab w:val="center" w:pos="4513"/>
        <w:tab w:val="right" w:pos="9026"/>
      </w:tabs>
    </w:pPr>
  </w:style>
  <w:style w:type="character" w:customStyle="1" w:styleId="FooterChar">
    <w:name w:val="Footer Char"/>
    <w:basedOn w:val="DefaultParagraphFont"/>
    <w:link w:val="Footer"/>
    <w:rsid w:val="006F7786"/>
    <w:rPr>
      <w:sz w:val="24"/>
      <w:lang w:val="sv-SE"/>
    </w:rPr>
  </w:style>
  <w:style w:type="numbering" w:customStyle="1" w:styleId="NoList1">
    <w:name w:val="No List1"/>
    <w:next w:val="NoList"/>
    <w:uiPriority w:val="99"/>
    <w:semiHidden/>
    <w:unhideWhenUsed/>
    <w:rsid w:val="00C122C8"/>
  </w:style>
  <w:style w:type="paragraph" w:customStyle="1" w:styleId="Title1">
    <w:name w:val="Title1"/>
    <w:basedOn w:val="Normal"/>
    <w:next w:val="Normal"/>
    <w:uiPriority w:val="10"/>
    <w:qFormat/>
    <w:rsid w:val="00C122C8"/>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C122C8"/>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C122C8"/>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C122C8"/>
    <w:rPr>
      <w:rFonts w:ascii="Arial" w:eastAsia="Times New Roman" w:hAnsi="Arial" w:cs="Arial"/>
      <w:sz w:val="24"/>
      <w:szCs w:val="24"/>
    </w:rPr>
  </w:style>
  <w:style w:type="character" w:styleId="Strong">
    <w:name w:val="Strong"/>
    <w:basedOn w:val="DefaultParagraphFont"/>
    <w:uiPriority w:val="22"/>
    <w:qFormat/>
    <w:rsid w:val="00C122C8"/>
    <w:rPr>
      <w:b/>
      <w:bCs/>
    </w:rPr>
  </w:style>
  <w:style w:type="character" w:customStyle="1" w:styleId="Emphasis1">
    <w:name w:val="Emphasis1"/>
    <w:basedOn w:val="DefaultParagraphFont"/>
    <w:uiPriority w:val="20"/>
    <w:qFormat/>
    <w:rsid w:val="00C122C8"/>
    <w:rPr>
      <w:rFonts w:ascii="Aptos" w:hAnsi="Aptos"/>
      <w:b/>
      <w:i/>
      <w:iCs/>
    </w:rPr>
  </w:style>
  <w:style w:type="paragraph" w:styleId="NoSpacing">
    <w:name w:val="No Spacing"/>
    <w:basedOn w:val="Normal"/>
    <w:uiPriority w:val="1"/>
    <w:qFormat/>
    <w:rsid w:val="00C122C8"/>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C122C8"/>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C122C8"/>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C122C8"/>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C122C8"/>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C122C8"/>
    <w:rPr>
      <w:rFonts w:eastAsia="Aptos"/>
      <w:b/>
      <w:i/>
      <w:kern w:val="2"/>
      <w:sz w:val="24"/>
      <w:szCs w:val="22"/>
      <w:lang w:eastAsia="en-US"/>
      <w14:ligatures w14:val="standardContextual"/>
    </w:rPr>
  </w:style>
  <w:style w:type="character" w:customStyle="1" w:styleId="SubtleEmphasis1">
    <w:name w:val="Subtle Emphasis1"/>
    <w:uiPriority w:val="19"/>
    <w:qFormat/>
    <w:rsid w:val="00C122C8"/>
    <w:rPr>
      <w:i/>
      <w:color w:val="5A5A5A"/>
    </w:rPr>
  </w:style>
  <w:style w:type="character" w:styleId="IntenseEmphasis">
    <w:name w:val="Intense Emphasis"/>
    <w:basedOn w:val="DefaultParagraphFont"/>
    <w:uiPriority w:val="21"/>
    <w:qFormat/>
    <w:rsid w:val="00C122C8"/>
    <w:rPr>
      <w:b/>
      <w:i/>
      <w:sz w:val="24"/>
      <w:szCs w:val="24"/>
      <w:u w:val="single"/>
    </w:rPr>
  </w:style>
  <w:style w:type="character" w:styleId="SubtleReference">
    <w:name w:val="Subtle Reference"/>
    <w:basedOn w:val="DefaultParagraphFont"/>
    <w:uiPriority w:val="31"/>
    <w:qFormat/>
    <w:rsid w:val="00C122C8"/>
    <w:rPr>
      <w:sz w:val="24"/>
      <w:szCs w:val="24"/>
      <w:u w:val="single"/>
    </w:rPr>
  </w:style>
  <w:style w:type="character" w:styleId="IntenseReference">
    <w:name w:val="Intense Reference"/>
    <w:basedOn w:val="DefaultParagraphFont"/>
    <w:uiPriority w:val="32"/>
    <w:qFormat/>
    <w:rsid w:val="00C122C8"/>
    <w:rPr>
      <w:b/>
      <w:sz w:val="24"/>
      <w:u w:val="single"/>
    </w:rPr>
  </w:style>
  <w:style w:type="character" w:customStyle="1" w:styleId="BookTitle1">
    <w:name w:val="Book Title1"/>
    <w:basedOn w:val="DefaultParagraphFont"/>
    <w:uiPriority w:val="33"/>
    <w:qFormat/>
    <w:rsid w:val="00C122C8"/>
    <w:rPr>
      <w:rFonts w:ascii="Aptos Display" w:eastAsia="Times New Roman" w:hAnsi="Aptos Display"/>
      <w:b/>
      <w:i/>
      <w:sz w:val="24"/>
      <w:szCs w:val="24"/>
    </w:rPr>
  </w:style>
  <w:style w:type="character" w:customStyle="1" w:styleId="Hyperlink1">
    <w:name w:val="Hyperlink1"/>
    <w:basedOn w:val="DefaultParagraphFont"/>
    <w:uiPriority w:val="99"/>
    <w:rsid w:val="00C122C8"/>
    <w:rPr>
      <w:color w:val="0563C1"/>
      <w:u w:val="single"/>
    </w:rPr>
  </w:style>
  <w:style w:type="paragraph" w:styleId="Title">
    <w:name w:val="Title"/>
    <w:basedOn w:val="Normal"/>
    <w:next w:val="Normal"/>
    <w:link w:val="TitleChar"/>
    <w:uiPriority w:val="10"/>
    <w:qFormat/>
    <w:rsid w:val="00C122C8"/>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C122C8"/>
    <w:rPr>
      <w:rFonts w:asciiTheme="majorHAnsi" w:eastAsiaTheme="majorEastAsia" w:hAnsiTheme="majorHAnsi" w:cstheme="majorBidi"/>
      <w:spacing w:val="-10"/>
      <w:kern w:val="28"/>
      <w:sz w:val="56"/>
      <w:szCs w:val="56"/>
      <w:lang w:val="sv-SE"/>
    </w:rPr>
  </w:style>
  <w:style w:type="paragraph" w:styleId="Subtitle">
    <w:name w:val="Subtitle"/>
    <w:basedOn w:val="Normal"/>
    <w:next w:val="Normal"/>
    <w:link w:val="SubtitleChar"/>
    <w:uiPriority w:val="11"/>
    <w:qFormat/>
    <w:rsid w:val="00C122C8"/>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C122C8"/>
    <w:rPr>
      <w:rFonts w:asciiTheme="minorHAnsi" w:eastAsiaTheme="minorEastAsia" w:hAnsiTheme="minorHAnsi" w:cstheme="minorBidi"/>
      <w:color w:val="5A5A5A" w:themeColor="text1" w:themeTint="A5"/>
      <w:spacing w:val="15"/>
      <w:sz w:val="22"/>
      <w:szCs w:val="22"/>
      <w:lang w:val="sv-SE"/>
    </w:rPr>
  </w:style>
  <w:style w:type="character" w:styleId="Emphasis">
    <w:name w:val="Emphasis"/>
    <w:basedOn w:val="DefaultParagraphFont"/>
    <w:qFormat/>
    <w:rsid w:val="00C122C8"/>
    <w:rPr>
      <w:i/>
      <w:iCs/>
    </w:rPr>
  </w:style>
  <w:style w:type="character" w:styleId="SubtleEmphasis">
    <w:name w:val="Subtle Emphasis"/>
    <w:basedOn w:val="DefaultParagraphFont"/>
    <w:uiPriority w:val="19"/>
    <w:qFormat/>
    <w:rsid w:val="00C122C8"/>
    <w:rPr>
      <w:i/>
      <w:iCs/>
      <w:color w:val="404040" w:themeColor="text1" w:themeTint="BF"/>
    </w:rPr>
  </w:style>
  <w:style w:type="character" w:styleId="BookTitle">
    <w:name w:val="Book Title"/>
    <w:basedOn w:val="DefaultParagraphFont"/>
    <w:uiPriority w:val="33"/>
    <w:qFormat/>
    <w:rsid w:val="00C122C8"/>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s://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78EE5-2C46-4936-A1C0-D6B8116D4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67</Pages>
  <Words>20154</Words>
  <Characters>114879</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2025-12-02T11:13:00Z</dcterms:created>
  <dcterms:modified xsi:type="dcterms:W3CDTF">2025-12-02T11:13:00Z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P10_TA(2025)0089_</vt:lpwstr>
  </property>
  <property fmtid="{D5CDD505-2E9C-101B-9397-08002B2CF9AE}" pid="4" name="&lt;Type&gt;">
    <vt:lpwstr>RR</vt:lpwstr>
  </property>
</Properties>
</file>