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329AE" w14:paraId="193769BA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CC92FF" w14:textId="77777777" w:rsidR="001329AE" w:rsidRDefault="00CD0541">
            <w:pPr>
              <w:pStyle w:val="EPName"/>
            </w:pPr>
            <w:r>
              <w:t>Európsky parlament</w:t>
            </w:r>
          </w:p>
          <w:p w14:paraId="0C303946" w14:textId="77777777" w:rsidR="001329AE" w:rsidRDefault="00CD054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11F6D7" w14:textId="77777777" w:rsidR="001329AE" w:rsidRDefault="00CD0541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 wp14:anchorId="73F56DCA" wp14:editId="2981C79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FD351" w14:textId="77777777" w:rsidR="001329AE" w:rsidRDefault="001329AE">
      <w:pPr>
        <w:pStyle w:val="LineTop"/>
      </w:pPr>
    </w:p>
    <w:p w14:paraId="0EBAC6F6" w14:textId="77777777" w:rsidR="001329AE" w:rsidRDefault="00CD0541">
      <w:pPr>
        <w:pStyle w:val="EPBodyTA1"/>
      </w:pPr>
      <w:r>
        <w:t>PRIJATÉ TEXTY</w:t>
      </w:r>
    </w:p>
    <w:p w14:paraId="2E6F7AA6" w14:textId="77777777" w:rsidR="001329AE" w:rsidRDefault="001329AE">
      <w:pPr>
        <w:pStyle w:val="LineBottom"/>
      </w:pPr>
    </w:p>
    <w:p w14:paraId="05C0FD63" w14:textId="77777777" w:rsidR="001329AE" w:rsidRDefault="00CD0541">
      <w:pPr>
        <w:pStyle w:val="ATHeading1"/>
      </w:pPr>
      <w:bookmarkStart w:id="0" w:name="TANumber"/>
      <w:r>
        <w:t>P10_TA(2025)0090</w:t>
      </w:r>
      <w:bookmarkEnd w:id="0"/>
    </w:p>
    <w:p w14:paraId="57C57297" w14:textId="77777777" w:rsidR="001329AE" w:rsidRDefault="00CD0541">
      <w:pPr>
        <w:pStyle w:val="ATHeading2"/>
      </w:pPr>
      <w:bookmarkStart w:id="1" w:name="title"/>
      <w:r>
        <w:t>Prepracovaný dlhodobý rozpočet pre Úniu v meniacom sa svete</w:t>
      </w:r>
      <w:bookmarkEnd w:id="1"/>
    </w:p>
    <w:p w14:paraId="4CC9EA77" w14:textId="77777777" w:rsidR="001329AE" w:rsidRDefault="00CD0541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A10-0076/2025</w:instrText>
      </w:r>
      <w:bookmarkEnd w:id="2"/>
      <w:r>
        <w:rPr>
          <w:i/>
        </w:rPr>
        <w:instrText xml:space="preserve"> - Spravodajcovia: Siegfried Mureşan, Carla Tavares)"\l3 \n&gt; \* MERGEFORMAT </w:instrText>
      </w:r>
      <w:r>
        <w:rPr>
          <w:i/>
        </w:rPr>
        <w:fldChar w:fldCharType="end"/>
      </w:r>
    </w:p>
    <w:p w14:paraId="7934A860" w14:textId="77777777" w:rsidR="001329AE" w:rsidRDefault="00CD0541">
      <w:pPr>
        <w:rPr>
          <w:vanish/>
        </w:rPr>
      </w:pPr>
      <w:bookmarkStart w:id="3" w:name="Commission"/>
      <w:r>
        <w:rPr>
          <w:vanish/>
        </w:rPr>
        <w:t>Výbor pre rozpočet</w:t>
      </w:r>
      <w:bookmarkEnd w:id="3"/>
    </w:p>
    <w:p w14:paraId="742C6036" w14:textId="77777777" w:rsidR="001329AE" w:rsidRDefault="00CD0541">
      <w:pPr>
        <w:rPr>
          <w:vanish/>
        </w:rPr>
      </w:pPr>
      <w:bookmarkStart w:id="4" w:name="PE"/>
      <w:r>
        <w:rPr>
          <w:vanish/>
        </w:rPr>
        <w:t>PE766.828</w:t>
      </w:r>
      <w:bookmarkEnd w:id="4"/>
    </w:p>
    <w:p w14:paraId="6573E2D6" w14:textId="77777777" w:rsidR="001329AE" w:rsidRDefault="00CD0541">
      <w:pPr>
        <w:pStyle w:val="ATHeading3"/>
      </w:pPr>
      <w:bookmarkStart w:id="5" w:name="Sujet"/>
      <w:r>
        <w:t>Uznesenie Európskeho parlamentu zo 7. mája 2025 o prepracovanom dlhodobom rozpočte pre Úniu v meniacom sa svete</w:t>
      </w:r>
      <w:bookmarkEnd w:id="5"/>
      <w:r>
        <w:t xml:space="preserve"> </w:t>
      </w:r>
      <w:bookmarkStart w:id="6" w:name="References"/>
      <w:r>
        <w:t>(2024/2051(INI))</w:t>
      </w:r>
      <w:bookmarkEnd w:id="6"/>
    </w:p>
    <w:p w14:paraId="29D22940" w14:textId="77777777" w:rsidR="001329AE" w:rsidRDefault="00CD0541">
      <w:pPr>
        <w:pStyle w:val="EPComma"/>
      </w:pPr>
      <w:r>
        <w:rPr>
          <w:rStyle w:val="Italic"/>
        </w:rPr>
        <w:t>Európsky parlament</w:t>
      </w:r>
      <w:r>
        <w:t>,</w:t>
      </w:r>
    </w:p>
    <w:p w14:paraId="7E85393D" w14:textId="77777777" w:rsidR="001329AE" w:rsidRDefault="00CD0541">
      <w:pPr>
        <w:pStyle w:val="NormalHanging12a"/>
      </w:pPr>
      <w:r>
        <w:t>–</w:t>
      </w:r>
      <w:r>
        <w:tab/>
        <w:t>so zreteľom na články 311, 312, 323 a 324 Zmluvy o fungovaní Európskej únie (ďalej len „ZFEÚ“),</w:t>
      </w:r>
    </w:p>
    <w:p w14:paraId="57F1D3D1" w14:textId="77777777" w:rsidR="001329AE" w:rsidRDefault="00CD0541">
      <w:pPr>
        <w:pStyle w:val="NormalHanging12a"/>
      </w:pPr>
      <w:r>
        <w:t>–</w:t>
      </w:r>
      <w:r>
        <w:tab/>
        <w:t xml:space="preserve">so zreteľom na nariadenie Rady (EÚ, </w:t>
      </w:r>
      <w:proofErr w:type="spellStart"/>
      <w:r>
        <w:t>Euratom</w:t>
      </w:r>
      <w:proofErr w:type="spellEnd"/>
      <w:r>
        <w:t>) 2020/2093 zo 17. decembra 2020, ktorým sa stanovuje viacročný finančný rámec na roky 2021 až 2027</w:t>
      </w:r>
      <w:r>
        <w:rPr>
          <w:rStyle w:val="FootnoteReference"/>
        </w:rPr>
        <w:footnoteReference w:id="1"/>
      </w:r>
      <w:r>
        <w:t>, a na spoločné vyhlásenia, na ktorých sa v tejto súvislosti dohodli Európsky parlament, Rada a Komisia, ako aj na súvisiace jednostranné vyhlásenia,</w:t>
      </w:r>
    </w:p>
    <w:p w14:paraId="7357E019" w14:textId="77777777" w:rsidR="001329AE" w:rsidRDefault="00CD0541">
      <w:pPr>
        <w:pStyle w:val="NormalHanging12a"/>
      </w:pPr>
      <w:r>
        <w:t>–</w:t>
      </w:r>
      <w:r>
        <w:tab/>
        <w:t xml:space="preserve">so zreteľom na rozhodnutie Rady (EÚ, </w:t>
      </w:r>
      <w:proofErr w:type="spellStart"/>
      <w:r>
        <w:t>Euratom</w:t>
      </w:r>
      <w:proofErr w:type="spellEnd"/>
      <w:r>
        <w:t xml:space="preserve">) 2020/2053 zo 14. decembra 2020 o systéme vlastných zdrojov Európskej únie a o zrušení rozhodnutia 2014/335/EÚ, </w:t>
      </w:r>
      <w:proofErr w:type="spellStart"/>
      <w:r>
        <w:t>Euratom</w:t>
      </w:r>
      <w:proofErr w:type="spellEnd"/>
      <w:r>
        <w:rPr>
          <w:rStyle w:val="FootnoteReference"/>
        </w:rPr>
        <w:footnoteReference w:id="2"/>
      </w:r>
      <w:r>
        <w:t>,</w:t>
      </w:r>
    </w:p>
    <w:p w14:paraId="0D3D23DC" w14:textId="77777777" w:rsidR="001329AE" w:rsidRDefault="00CD0541">
      <w:pPr>
        <w:pStyle w:val="NormalHanging12a"/>
      </w:pPr>
      <w:r>
        <w:t>–</w:t>
      </w:r>
      <w:r>
        <w:tab/>
        <w:t xml:space="preserve">so zreteľom na zmenený návrh Komisie z 23. júna 2023 na rozhodnutie Rady, ktorým sa mení rozhodnutie (EÚ, </w:t>
      </w:r>
      <w:proofErr w:type="spellStart"/>
      <w:r>
        <w:t>Euratom</w:t>
      </w:r>
      <w:proofErr w:type="spellEnd"/>
      <w:r>
        <w:t>) 2020/2053 o systéme vlastných zdrojov Európskej únie (COM(2023)0331),</w:t>
      </w:r>
    </w:p>
    <w:p w14:paraId="7D955D4D" w14:textId="77777777" w:rsidR="001329AE" w:rsidRDefault="00CD0541">
      <w:pPr>
        <w:pStyle w:val="NormalHanging12a"/>
      </w:pPr>
      <w:r>
        <w:t>–</w:t>
      </w:r>
      <w:r>
        <w:tab/>
        <w:t xml:space="preserve">so zreteľom na </w:t>
      </w:r>
      <w:proofErr w:type="spellStart"/>
      <w:r>
        <w:t>Medziinštitucionálnu</w:t>
      </w:r>
      <w:proofErr w:type="spellEnd"/>
      <w:r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>
        <w:rPr>
          <w:rStyle w:val="FootnoteReference"/>
        </w:rPr>
        <w:footnoteReference w:id="3"/>
      </w:r>
      <w:r>
        <w:rPr>
          <w:rStyle w:val="Sup"/>
        </w:rPr>
        <w:t xml:space="preserve"> </w:t>
      </w:r>
      <w:r>
        <w:t>(ďalej len „</w:t>
      </w:r>
      <w:proofErr w:type="spellStart"/>
      <w:r>
        <w:t>medziinštitucionálna</w:t>
      </w:r>
      <w:proofErr w:type="spellEnd"/>
      <w:r>
        <w:t xml:space="preserve"> dohoda“),</w:t>
      </w:r>
    </w:p>
    <w:p w14:paraId="66293D85" w14:textId="77777777" w:rsidR="001329AE" w:rsidRDefault="00CD0541">
      <w:pPr>
        <w:pStyle w:val="NormalHanging12a"/>
      </w:pPr>
      <w:r>
        <w:t>–</w:t>
      </w:r>
      <w:r>
        <w:tab/>
        <w:t xml:space="preserve">so zreteľom na nariadenie Európskeho parlamentu a Rady (EÚ, </w:t>
      </w:r>
      <w:proofErr w:type="spellStart"/>
      <w:r>
        <w:t>Euratom</w:t>
      </w:r>
      <w:proofErr w:type="spellEnd"/>
      <w:r>
        <w:t>) 2024/2509 z 23. septembra 2024 o rozpočtových pravidlách, ktoré sa vzťahujú na všeobecný rozpočet Únie (prepracované znenie)</w:t>
      </w:r>
      <w:r>
        <w:rPr>
          <w:rStyle w:val="FootnoteReference"/>
        </w:rPr>
        <w:footnoteReference w:id="4"/>
      </w:r>
      <w:r>
        <w:t xml:space="preserve"> (ďalej len „nariadenie o rozpočtových pravidlách“),</w:t>
      </w:r>
    </w:p>
    <w:p w14:paraId="5729FC8B" w14:textId="77777777" w:rsidR="001329AE" w:rsidRDefault="00CD0541">
      <w:pPr>
        <w:pStyle w:val="NormalHanging12a"/>
      </w:pPr>
      <w:r>
        <w:lastRenderedPageBreak/>
        <w:t>–</w:t>
      </w:r>
      <w:r>
        <w:tab/>
        <w:t xml:space="preserve">so zreteľom na nariadenie Európskeho parlamentu a Rady (EÚ, </w:t>
      </w:r>
      <w:proofErr w:type="spellStart"/>
      <w:r>
        <w:t>Euratom</w:t>
      </w:r>
      <w:proofErr w:type="spellEnd"/>
      <w:r>
        <w:t>) 2020/2092 zo 16. decembra 2020 o všeobecnom režime podmienenosti na ochranu rozpočtu Únie</w:t>
      </w:r>
      <w:r>
        <w:rPr>
          <w:rStyle w:val="FootnoteReference"/>
        </w:rPr>
        <w:footnoteReference w:id="5"/>
      </w:r>
      <w:r>
        <w:t xml:space="preserve"> (ďalej len „nariadenie o podmienenosti právnym štátom“),</w:t>
      </w:r>
    </w:p>
    <w:p w14:paraId="00CA498D" w14:textId="77777777" w:rsidR="001329AE" w:rsidRDefault="00CD0541">
      <w:pPr>
        <w:pStyle w:val="NormalHanging12a"/>
      </w:pPr>
      <w:r>
        <w:t>–</w:t>
      </w:r>
      <w:r>
        <w:tab/>
        <w:t xml:space="preserve">so zreteľom na svoju pozíciu z 27. februára 2024 k návrhu nariadenia Rady, ktorým sa mení nariadenie (EÚ, </w:t>
      </w:r>
      <w:proofErr w:type="spellStart"/>
      <w:r>
        <w:t>Euratom</w:t>
      </w:r>
      <w:proofErr w:type="spellEnd"/>
      <w:r>
        <w:t>) 2020/2093, ktorým sa stanovuje viacročný finančný rámec na roky 2021 – 2027</w:t>
      </w:r>
      <w:r>
        <w:rPr>
          <w:rStyle w:val="FootnoteReference"/>
        </w:rPr>
        <w:footnoteReference w:id="6"/>
      </w:r>
      <w:r>
        <w:t>,</w:t>
      </w:r>
    </w:p>
    <w:p w14:paraId="6B744CA9" w14:textId="77777777" w:rsidR="001329AE" w:rsidRDefault="00CD0541">
      <w:pPr>
        <w:pStyle w:val="NormalHanging12a"/>
      </w:pPr>
      <w:r>
        <w:t>–</w:t>
      </w:r>
      <w:r>
        <w:tab/>
        <w:t>so zreteľom na svoje uznesenie z 10. mája 2023 o vlastných zdrojoch: nový začiatok pre financie EÚ, nový začiatok pre Európu</w:t>
      </w:r>
      <w:r>
        <w:rPr>
          <w:rStyle w:val="FootnoteReference"/>
        </w:rPr>
        <w:footnoteReference w:id="7"/>
      </w:r>
      <w:r>
        <w:t>,</w:t>
      </w:r>
    </w:p>
    <w:p w14:paraId="67ADD033" w14:textId="77777777" w:rsidR="001329AE" w:rsidRDefault="00CD0541">
      <w:pPr>
        <w:pStyle w:val="NormalHanging12a"/>
      </w:pPr>
      <w:r>
        <w:t>–</w:t>
      </w:r>
      <w:r>
        <w:tab/>
        <w:t>so zreteľom na svoje uznesenie z 15. decembra 2022 o zvýšení viacročného finančného rámca na roky 2021 – 2027: odolný rozpočet EÚ pripravený na nové výzvy</w:t>
      </w:r>
      <w:r>
        <w:rPr>
          <w:rStyle w:val="FootnoteReference"/>
        </w:rPr>
        <w:footnoteReference w:id="8"/>
      </w:r>
      <w:r>
        <w:t>,</w:t>
      </w:r>
    </w:p>
    <w:p w14:paraId="121933FC" w14:textId="77777777" w:rsidR="001329AE" w:rsidRDefault="00CD0541">
      <w:pPr>
        <w:pStyle w:val="NormalHanging12a"/>
      </w:pPr>
      <w:r>
        <w:t>–</w:t>
      </w:r>
      <w:r>
        <w:tab/>
        <w:t>so zreteľom na svoju pozíciu zo 16. decembra 2020 k návrhu nariadenia Rady, ktorým sa ustanovuje viacročný finančný rámec na roky 2021 – 2027</w:t>
      </w:r>
      <w:r>
        <w:rPr>
          <w:rStyle w:val="FootnoteReference"/>
        </w:rPr>
        <w:footnoteReference w:id="9"/>
      </w:r>
      <w:r>
        <w:t>,</w:t>
      </w:r>
    </w:p>
    <w:p w14:paraId="6BEBFCE5" w14:textId="77777777" w:rsidR="001329AE" w:rsidRDefault="00CD0541">
      <w:pPr>
        <w:pStyle w:val="NormalHanging12a"/>
      </w:pPr>
      <w:r>
        <w:t>–</w:t>
      </w:r>
      <w:r>
        <w:tab/>
        <w:t xml:space="preserve">so zreteľom na </w:t>
      </w:r>
      <w:proofErr w:type="spellStart"/>
      <w:r>
        <w:t>medziinštitucionálne</w:t>
      </w:r>
      <w:proofErr w:type="spellEnd"/>
      <w:r>
        <w:t xml:space="preserve"> vyhlásenie Európskeho piliera sociálnych práv z 13. decembra 2017</w:t>
      </w:r>
      <w:r>
        <w:rPr>
          <w:rStyle w:val="FootnoteReference"/>
        </w:rPr>
        <w:footnoteReference w:id="10"/>
      </w:r>
      <w:r>
        <w:t xml:space="preserve"> a na Akčný plán Komisie zo 4. marca 2021 na realizáciu Európskeho piliera sociálnych práv (COM(2021)0102),</w:t>
      </w:r>
    </w:p>
    <w:p w14:paraId="5751DFCA" w14:textId="77777777" w:rsidR="001329AE" w:rsidRDefault="00CD0541">
      <w:pPr>
        <w:pStyle w:val="NormalHanging12a"/>
      </w:pPr>
      <w:r>
        <w:t>–</w:t>
      </w:r>
      <w:r>
        <w:tab/>
        <w:t xml:space="preserve">so zreteľom na dohodu prijatú 19. decembra 2022 na 15. Konferencii zmluvných strán Dohovoru o biologickej diverzite (COP 15) v Montreale (Globálny rámec pre biodiverzitu z </w:t>
      </w:r>
      <w:proofErr w:type="spellStart"/>
      <w:r>
        <w:t>Kchun-mingu</w:t>
      </w:r>
      <w:proofErr w:type="spellEnd"/>
      <w:r>
        <w:t xml:space="preserve"> a Montrealu),</w:t>
      </w:r>
    </w:p>
    <w:p w14:paraId="7B03394C" w14:textId="77777777" w:rsidR="001329AE" w:rsidRDefault="00CD0541">
      <w:pPr>
        <w:pStyle w:val="NormalHanging12a"/>
      </w:pPr>
      <w:r>
        <w:t>–</w:t>
      </w:r>
      <w:r>
        <w:tab/>
        <w:t xml:space="preserve">so zreteľom na dohodu prijatú 12. decembra 2015 na 21. konferencii zmluvných strán UNFCCC (COP 21) v Paríži (Parížska dohoda), </w:t>
      </w:r>
    </w:p>
    <w:p w14:paraId="45BA0E8C" w14:textId="77777777" w:rsidR="001329AE" w:rsidRDefault="00CD0541">
      <w:pPr>
        <w:pStyle w:val="NormalHanging12a"/>
      </w:pPr>
      <w:r>
        <w:t>–</w:t>
      </w:r>
      <w:r>
        <w:tab/>
        <w:t xml:space="preserve">so zreteľom na ciele udržateľného rozvoja Organizácie Spojených národov, </w:t>
      </w:r>
    </w:p>
    <w:p w14:paraId="0DCCE71B" w14:textId="77777777" w:rsidR="001329AE" w:rsidRDefault="00CD0541">
      <w:pPr>
        <w:pStyle w:val="NormalHanging12a"/>
      </w:pPr>
      <w:r>
        <w:t>–</w:t>
      </w:r>
      <w:r>
        <w:tab/>
        <w:t xml:space="preserve">so zreteľom na správu </w:t>
      </w:r>
      <w:proofErr w:type="spellStart"/>
      <w:r>
        <w:t>Sauliho</w:t>
      </w:r>
      <w:proofErr w:type="spellEnd"/>
      <w:r>
        <w:t xml:space="preserve"> </w:t>
      </w:r>
      <w:proofErr w:type="spellStart"/>
      <w:r>
        <w:t>Niinistöa</w:t>
      </w:r>
      <w:proofErr w:type="spellEnd"/>
      <w:r>
        <w:t xml:space="preserve"> z 30. októbra 2024 s názvom Spoločne bezpečnejší: posilnenie európskej civilnej a vojenskej pripravenosti a pohotovosti (</w:t>
      </w:r>
      <w:proofErr w:type="spellStart"/>
      <w:r>
        <w:t>Niinistöova</w:t>
      </w:r>
      <w:proofErr w:type="spellEnd"/>
      <w:r>
        <w:t xml:space="preserve"> správa),</w:t>
      </w:r>
    </w:p>
    <w:p w14:paraId="08CAACE9" w14:textId="77777777" w:rsidR="001329AE" w:rsidRDefault="00CD0541">
      <w:pPr>
        <w:pStyle w:val="NormalHanging12a"/>
      </w:pPr>
      <w:r>
        <w:t>–</w:t>
      </w:r>
      <w:r>
        <w:tab/>
        <w:t xml:space="preserve">so zreteľom na správu </w:t>
      </w:r>
      <w:proofErr w:type="spellStart"/>
      <w:r>
        <w:t>Maria</w:t>
      </w:r>
      <w:proofErr w:type="spellEnd"/>
      <w:r>
        <w:t xml:space="preserve"> </w:t>
      </w:r>
      <w:proofErr w:type="spellStart"/>
      <w:r>
        <w:t>Draghiho</w:t>
      </w:r>
      <w:proofErr w:type="spellEnd"/>
      <w:r>
        <w:t xml:space="preserve"> z 9. septembra 2024 s názvom Budúcnosť európskej konkurencieschopnosti (</w:t>
      </w:r>
      <w:proofErr w:type="spellStart"/>
      <w:r>
        <w:t>Draghiho</w:t>
      </w:r>
      <w:proofErr w:type="spellEnd"/>
      <w:r>
        <w:t xml:space="preserve"> správa),</w:t>
      </w:r>
    </w:p>
    <w:p w14:paraId="62581FAA" w14:textId="77777777" w:rsidR="001329AE" w:rsidRDefault="00CD0541">
      <w:pPr>
        <w:pStyle w:val="NormalHanging12a"/>
      </w:pPr>
      <w:r>
        <w:t>–</w:t>
      </w:r>
      <w:r>
        <w:tab/>
        <w:t>so zreteľom na správu zo 4. septembra 2024 s názvom Spoločná vízia poľnohospodárstva a potravinárstva v Európe, ktorú prijali zainteresované strany združené pod hlavičkou strategického dialógu o budúcnosti poľnohospodárstva EÚ,</w:t>
      </w:r>
    </w:p>
    <w:p w14:paraId="69C39F5C" w14:textId="77777777" w:rsidR="001329AE" w:rsidRDefault="00CD0541">
      <w:pPr>
        <w:pStyle w:val="NormalHanging12a"/>
      </w:pPr>
      <w:r>
        <w:t>–</w:t>
      </w:r>
      <w:r>
        <w:tab/>
        <w:t xml:space="preserve">so zreteľom na správu </w:t>
      </w:r>
      <w:proofErr w:type="spellStart"/>
      <w:r>
        <w:t>Enrica</w:t>
      </w:r>
      <w:proofErr w:type="spellEnd"/>
      <w:r>
        <w:t xml:space="preserve"> </w:t>
      </w:r>
      <w:proofErr w:type="spellStart"/>
      <w:r>
        <w:t>Lettu</w:t>
      </w:r>
      <w:proofErr w:type="spellEnd"/>
      <w:r>
        <w:t xml:space="preserve"> zo 17. apríla 2024 s názvom Oveľa viac než len trh – rýchlosť, bezpečnosť, solidarita: posilnenie jednotného trhu s cieľom zabezpečiť udržateľnú budúcnosť a prosperitu pre všetkých občanov EÚ (</w:t>
      </w:r>
      <w:proofErr w:type="spellStart"/>
      <w:r>
        <w:t>Lettova</w:t>
      </w:r>
      <w:proofErr w:type="spellEnd"/>
      <w:r>
        <w:t xml:space="preserve"> správa),</w:t>
      </w:r>
    </w:p>
    <w:p w14:paraId="10C58E20" w14:textId="77777777" w:rsidR="001329AE" w:rsidRDefault="00CD0541">
      <w:pPr>
        <w:pStyle w:val="NormalHanging12a"/>
      </w:pPr>
      <w:r>
        <w:lastRenderedPageBreak/>
        <w:t>–</w:t>
      </w:r>
      <w:r>
        <w:tab/>
        <w:t>so zreteľom na správu skupiny na vysokej úrovni pre budúcnosť politiky súdržnosti z 20. februára 2024 s názvom Spoločné formovanie udržateľnej budúcnosti – súdržnosť pre konkurencieschopnú a inkluzívnu Európu,</w:t>
      </w:r>
    </w:p>
    <w:p w14:paraId="05EA2537" w14:textId="77777777" w:rsidR="001329AE" w:rsidRDefault="00CD0541">
      <w:pPr>
        <w:pStyle w:val="NormalHanging12a"/>
      </w:pPr>
      <w:r>
        <w:t>–</w:t>
      </w:r>
      <w:r>
        <w:tab/>
        <w:t xml:space="preserve">so zreteľom na Vyhlásenie z Budapešti o novej dohode o konkurencieschopnosti Európy, </w:t>
      </w:r>
    </w:p>
    <w:p w14:paraId="02A25C51" w14:textId="77777777" w:rsidR="001329AE" w:rsidRDefault="00CD0541">
      <w:pPr>
        <w:pStyle w:val="NormalHanging12a"/>
      </w:pPr>
      <w:r>
        <w:t>–</w:t>
      </w:r>
      <w:r>
        <w:tab/>
        <w:t>so zreteľom na oznámenie Komisie z 26. marca 2025 s názvom Európska stratégia únie pripravenosti (JOIN(2025)0130),</w:t>
      </w:r>
    </w:p>
    <w:p w14:paraId="29BC3EC8" w14:textId="77777777" w:rsidR="001329AE" w:rsidRDefault="00CD0541">
      <w:pPr>
        <w:pStyle w:val="NormalHanging12a"/>
      </w:pPr>
      <w:r>
        <w:t>–</w:t>
      </w:r>
      <w:r>
        <w:tab/>
        <w:t xml:space="preserve">so zreteľom na spoločnú bielu knihu z 19. marca 2025 s názvom Európska obranná pripravenosť 2030 </w:t>
      </w:r>
      <w:r>
        <w:t>(JOIN(2025)0120),</w:t>
      </w:r>
    </w:p>
    <w:p w14:paraId="35C150B5" w14:textId="77777777" w:rsidR="001329AE" w:rsidRDefault="00CD0541">
      <w:pPr>
        <w:pStyle w:val="NormalHanging12a"/>
      </w:pPr>
      <w:r>
        <w:t>–</w:t>
      </w:r>
      <w:r>
        <w:tab/>
        <w:t>so zreteľom na oznámenie Komisie zo 7. marca 2025 s názvom Plán pre práva žien (COM(2025)0097),</w:t>
      </w:r>
    </w:p>
    <w:p w14:paraId="5441F643" w14:textId="77777777" w:rsidR="001329AE" w:rsidRDefault="00CD0541">
      <w:pPr>
        <w:pStyle w:val="NormalHanging12a"/>
      </w:pPr>
      <w:r>
        <w:t>–</w:t>
      </w:r>
      <w:r>
        <w:tab/>
        <w:t>so zreteľom na oznámenie Komisie z 26. februára 2025 s názvom Dohoda o čistom priemysle: spoločný plán konkurencieschopnosti a dekarbonizácie (COM(2025)0085),</w:t>
      </w:r>
    </w:p>
    <w:p w14:paraId="01913F43" w14:textId="77777777" w:rsidR="001329AE" w:rsidRDefault="00CD0541">
      <w:pPr>
        <w:pStyle w:val="NormalHanging12a"/>
      </w:pPr>
      <w:r>
        <w:t>–</w:t>
      </w:r>
      <w:r>
        <w:tab/>
        <w:t xml:space="preserve">so zreteľom na oznámenie Komisie z 19. februára 2025 s názvom Vízia pre poľnohospodárstvo a potravinárstvo (COM(2025)0075), </w:t>
      </w:r>
    </w:p>
    <w:p w14:paraId="3C34956D" w14:textId="77777777" w:rsidR="001329AE" w:rsidRDefault="00CD0541">
      <w:pPr>
        <w:pStyle w:val="NormalHanging12a"/>
      </w:pPr>
      <w:r>
        <w:t>–</w:t>
      </w:r>
      <w:r>
        <w:tab/>
        <w:t>so zreteľom na oznámenie Komisie z 11. februára 2025 s názvom Na ceste k budúcemu viacročnému finančnému rámcu (COM(2025)0046),</w:t>
      </w:r>
    </w:p>
    <w:p w14:paraId="48555742" w14:textId="77777777" w:rsidR="001329AE" w:rsidRDefault="00CD0541">
      <w:pPr>
        <w:pStyle w:val="NormalHanging12a"/>
      </w:pPr>
      <w:r>
        <w:t>–</w:t>
      </w:r>
      <w:r>
        <w:tab/>
        <w:t>so zreteľom na oznámenie Komisie z 29. januára 2025 s názvom Kompas konkurencieschopnosti pre EÚ (COM(2025)0030),</w:t>
      </w:r>
    </w:p>
    <w:p w14:paraId="0D014A0F" w14:textId="77777777" w:rsidR="001329AE" w:rsidRDefault="00CD0541">
      <w:pPr>
        <w:pStyle w:val="NormalHanging12a"/>
      </w:pPr>
      <w:r>
        <w:t>–</w:t>
      </w:r>
      <w:r>
        <w:tab/>
        <w:t>so zreteľom na oznámenie Komisie z 9. decembra 2021 s názvom Budovanie hospodárstva, ktoré pracuje v prospech ľudí: akčný plán pre sociálne hospodárstvo (COM(2021)0778),</w:t>
      </w:r>
    </w:p>
    <w:p w14:paraId="0582D514" w14:textId="77777777" w:rsidR="001329AE" w:rsidRDefault="00CD0541">
      <w:pPr>
        <w:pStyle w:val="NormalHanging12a"/>
      </w:pPr>
      <w:r>
        <w:t>–</w:t>
      </w:r>
      <w:r>
        <w:tab/>
        <w:t>so zreteľom na závery Európskej rady z 20. marca 2025, 6. marca 2025 a 19. decembra 2024,</w:t>
      </w:r>
    </w:p>
    <w:p w14:paraId="07351984" w14:textId="77777777" w:rsidR="001329AE" w:rsidRDefault="00CD0541">
      <w:pPr>
        <w:pStyle w:val="NormalHanging12a"/>
      </w:pPr>
      <w:r>
        <w:t>–</w:t>
      </w:r>
      <w:r>
        <w:tab/>
        <w:t>so zreteľom na politické usmernenia pre budúcu Európsku komisiu na roky 2024 – 2029 z 18. júla 2024,</w:t>
      </w:r>
    </w:p>
    <w:p w14:paraId="1B2087BD" w14:textId="77777777" w:rsidR="001329AE" w:rsidRDefault="00CD0541">
      <w:pPr>
        <w:pStyle w:val="NormalHanging12a"/>
      </w:pPr>
      <w:r>
        <w:t>–</w:t>
      </w:r>
      <w:r>
        <w:tab/>
        <w:t>so zreteľom na stanovisko Výboru regiónov z 20. novembra 2024 s názvom Rozpočet EÚ a miestne orientované politiky: návrhy nových mechanizmov navrhovania a vykonávania vo VFR po roku 2027</w:t>
      </w:r>
      <w:r>
        <w:rPr>
          <w:rStyle w:val="FootnoteReference"/>
        </w:rPr>
        <w:footnoteReference w:id="11"/>
      </w:r>
      <w:r>
        <w:t>,</w:t>
      </w:r>
    </w:p>
    <w:p w14:paraId="4A042CA2" w14:textId="77777777" w:rsidR="001329AE" w:rsidRDefault="00CD0541">
      <w:pPr>
        <w:pStyle w:val="NormalHanging12a"/>
      </w:pPr>
      <w:r>
        <w:t>–</w:t>
      </w:r>
      <w:r>
        <w:tab/>
        <w:t>so zreteľom na článok 55 rokovacieho poriadku,</w:t>
      </w:r>
    </w:p>
    <w:p w14:paraId="1D312DED" w14:textId="77777777" w:rsidR="001329AE" w:rsidRDefault="00CD0541">
      <w:pPr>
        <w:pStyle w:val="NormalHanging12a"/>
      </w:pPr>
      <w:r>
        <w:t>–</w:t>
      </w:r>
      <w:r>
        <w:tab/>
        <w:t xml:space="preserve">so zreteľom na stanoviská Výboru pre zahraničné veci, Výboru pre rozvoj, Výboru pre kontrolu rozpočtu, Výboru pre hospodárske a menové veci, Výboru pre zamestnanosť a sociálne veci, Výboru pre životné prostredie, klímu a bezpečnosť potravín, Výboru pre priemysel, výskum a energetiku, Výboru pre vnútorný trh a ochranu spotrebiteľa, Výboru pre dopravu a cestovný ruch, Výboru pre regionálny rozvoj, Výboru pre poľnohospodárstvo a rozvoj vidieka, Výboru pre kultúru a vzdelávanie, Výboru pre </w:t>
      </w:r>
      <w:r>
        <w:lastRenderedPageBreak/>
        <w:t>občianske slobody, s</w:t>
      </w:r>
      <w:r>
        <w:t>pravodlivosť a vnútorné veci, Výboru pre ústavné veci a Výboru pre práva žien a rodovú rovnosť,</w:t>
      </w:r>
    </w:p>
    <w:p w14:paraId="02BBA63B" w14:textId="77777777" w:rsidR="001329AE" w:rsidRDefault="00CD0541">
      <w:pPr>
        <w:pStyle w:val="NormalHanging12a"/>
      </w:pPr>
      <w:r>
        <w:t>–</w:t>
      </w:r>
      <w:r>
        <w:tab/>
        <w:t>so zreteľom na správu Výboru pre rozpočet (A10-0076/2025),</w:t>
      </w:r>
    </w:p>
    <w:p w14:paraId="73E4E3B2" w14:textId="77777777" w:rsidR="001329AE" w:rsidRDefault="00CD0541">
      <w:pPr>
        <w:pStyle w:val="NormalHanging12a"/>
      </w:pPr>
      <w:r>
        <w:t>A.</w:t>
      </w:r>
      <w:r>
        <w:tab/>
        <w:t>keďže podľa článku 311 ZFEÚ si Únia musí zabezpečiť prostriedky potrebné na dosiahnutie svojich cieľov a uskutočňovanie svojich politík;</w:t>
      </w:r>
    </w:p>
    <w:p w14:paraId="2F0021B2" w14:textId="77777777" w:rsidR="001329AE" w:rsidRDefault="00CD0541">
      <w:pPr>
        <w:pStyle w:val="NormalHanging12a"/>
      </w:pPr>
      <w:r>
        <w:t>B.</w:t>
      </w:r>
      <w:r>
        <w:tab/>
        <w:t>keďže rozpočet Únie je predovšetkým investičným nástrojom, ktorý môže priniesť úspory z rozsahu, ktoré nie je možné dosiahnuť na úrovni členských štátov, a podporovať európske verejné statky, najmä prostredníctvom cezhraničných projektov; keďže všetky výdavky z rozpočtu Únie musia prinášať európsku pridanú hodnotu a viditeľné čisté prínosy v porovnaní s výdavkami na vnútroštátnej alebo nižšej ako celoštátnej úrovni a musia viesť k skutočným a trvalým výsledkom;</w:t>
      </w:r>
    </w:p>
    <w:p w14:paraId="33198826" w14:textId="77777777" w:rsidR="001329AE" w:rsidRDefault="00CD0541">
      <w:pPr>
        <w:pStyle w:val="NormalHanging12a"/>
      </w:pPr>
      <w:r>
        <w:t>C.</w:t>
      </w:r>
      <w:r>
        <w:tab/>
        <w:t>keďže výdavky z rozpočtu Únie, ak sú účinne cielené, zosúladené s politickými prioritami Únie a efektívnejšie koordinované s výdavkami na vnútroštátnej úrovni, pomáhajú zabrániť fragmentácii jednotného trhu, podporiť vzostupnú konvergenciu, znížiť nerovnosti a posilniť celkový vplyv verejných investícií; keďže verejné investície sú nevyhnutné ako katalyzátor súkromných investícií v odvetviach, v ktorých trh nedokáže sám stimulovať požadované investície;</w:t>
      </w:r>
    </w:p>
    <w:p w14:paraId="7588F584" w14:textId="77777777" w:rsidR="001329AE" w:rsidRDefault="00CD0541">
      <w:pPr>
        <w:pStyle w:val="NormalHanging12a"/>
      </w:pPr>
      <w:r>
        <w:t>D.</w:t>
      </w:r>
      <w:r>
        <w:tab/>
        <w:t xml:space="preserve">keďže nástroj obnovy </w:t>
      </w:r>
      <w:proofErr w:type="spellStart"/>
      <w:r>
        <w:t>NextGenerationEU</w:t>
      </w:r>
      <w:proofErr w:type="spellEnd"/>
      <w:r>
        <w:t xml:space="preserve"> (NGEU) zriadený po pandémii ochorenia COVID-19 umožnil značnú dodatočnú investičnú kapacitu vo výške 750 miliárd EUR v cenách z roku 2018 – nad rámec rozpočtu Únie, ktorý predstavuje 1,1 % hrubého národného dôchodku (ďalej len „HND“) EÚ27, čo podnietilo rýchlu obnovu a návrat k rastu a podporilo zelenú a digitálnu transformáciu; keďže NGEU sa po roku 2027 nebude používať;</w:t>
      </w:r>
    </w:p>
    <w:p w14:paraId="223FAF62" w14:textId="77777777" w:rsidR="001329AE" w:rsidRDefault="00CD0541">
      <w:pPr>
        <w:pStyle w:val="NormalHanging12a"/>
      </w:pPr>
      <w:r>
        <w:t xml:space="preserve">E. </w:t>
      </w:r>
      <w:r>
        <w:tab/>
        <w:t>keďže v roku 2022 členské štáty vynaložili na štátnu pomoc v priemere 1,4 % hrubého domáceho produktu (ďalej len „HDP“), čo je výrazne viac ako ich príspevok do rozpočtu Únie, pričom viac ako polovica štátnej pomoci nesúvisela s krízami;</w:t>
      </w:r>
    </w:p>
    <w:p w14:paraId="003801C5" w14:textId="77777777" w:rsidR="001329AE" w:rsidRDefault="00CD0541">
      <w:pPr>
        <w:pStyle w:val="NormalHanging12a"/>
      </w:pPr>
      <w:r>
        <w:t>F.</w:t>
      </w:r>
      <w:r>
        <w:tab/>
        <w:t>keďže rozpočet Únie posilnený nástrojom NGEU a pôžičkami zo systému SURE prispel k zmierneniu hospodárskeho a sociálneho vplyvu krízy spôsobenej ochorením COVID-19 a k reakcii na dôsledky útočnej vojny Ruska proti Ukrajine; keďže rozpočet Únie je naďalej poddimenzovaný, pokiaľ ide o veľkosť, štruktúru a pravidlá, na to, aby v plnej miere plnil svoju úlohu pri prispôsobovaní sa vyvíjajúcim sa výdavkovým potrebám, riešení otrasov a reagovaní na krízy a praktickom uplatňovaní zásady solidarity a aby umožnil Ú</w:t>
      </w:r>
      <w:r>
        <w:t>nii plniť jej ciele stanovené zmluvami;</w:t>
      </w:r>
    </w:p>
    <w:p w14:paraId="7FA89AC2" w14:textId="77777777" w:rsidR="001329AE" w:rsidRDefault="00CD0541">
      <w:pPr>
        <w:pStyle w:val="NormalHanging12a"/>
      </w:pPr>
      <w:r>
        <w:t>G.</w:t>
      </w:r>
      <w:r>
        <w:tab/>
        <w:t>keďže občania oprávnene očakávajú od Únie a jej rozpočtu viac vrátane toho, že bude schopná rýchlo a účinne reagovať na meniace sa potreby a poskytne im potrebnú podporu, najmä v čase krízy;</w:t>
      </w:r>
    </w:p>
    <w:p w14:paraId="02460D87" w14:textId="77777777" w:rsidR="001329AE" w:rsidRDefault="00CD0541">
      <w:pPr>
        <w:pStyle w:val="NormalHanging12a"/>
      </w:pPr>
      <w:r>
        <w:t>H.</w:t>
      </w:r>
      <w:r>
        <w:tab/>
        <w:t>keďže od prijatia súčasného viacročného finančného rámca (ďalej len „VFR“) sa politický, hospodársky a sociálny kontext zmenil na nepoznanie, čo znásobilo základné štrukturálne výzvy pre Úniu a viedlo k zásadnej revízii VFR v roku 2024;</w:t>
      </w:r>
    </w:p>
    <w:p w14:paraId="54819815" w14:textId="77777777" w:rsidR="001329AE" w:rsidRDefault="00CD0541">
      <w:pPr>
        <w:pStyle w:val="NormalHanging12a"/>
      </w:pPr>
      <w:r>
        <w:t>I.</w:t>
      </w:r>
      <w:r>
        <w:tab/>
        <w:t xml:space="preserve">keďže kontext, v ktorom Komisia pripraví svoje návrhy VFR na obdobie po roku 2027, je rovnako náročný s ohľadom na rýchlo a radikálne sa meniaci zavedený globálny a geopolitický poriadok, návrat rozsiahlej vojny do bezprostredného susedstva Únie, </w:t>
      </w:r>
      <w:r>
        <w:lastRenderedPageBreak/>
        <w:t xml:space="preserve">náročnosť hospodárskeho a sociálneho prostredia a prehlbujúcu sa klimatickú krízu a krízu biodiverzity; keďže, ako jasne uviedla Komisia, zachovanie statusu </w:t>
      </w:r>
      <w:proofErr w:type="spellStart"/>
      <w:r>
        <w:t>quo</w:t>
      </w:r>
      <w:proofErr w:type="spellEnd"/>
      <w:r>
        <w:t xml:space="preserve"> neprichádza do úvahy a rozpočet Únie sa bude musieť zodpovedajúcim spôsobom zmeniť;</w:t>
      </w:r>
    </w:p>
    <w:p w14:paraId="0AB445A3" w14:textId="77777777" w:rsidR="001329AE" w:rsidRDefault="00CD0541">
      <w:pPr>
        <w:pStyle w:val="NormalHanging12a"/>
      </w:pPr>
      <w:r>
        <w:t>J.</w:t>
      </w:r>
      <w:r>
        <w:tab/>
        <w:t>keďže vláda USA sa rozhodla zrieknuť svojej povojnovej celosvetovej úlohy zaručovania mieru a bezpečnosti, vedenia globálneho riadenia v multilaterálnom medzinárodnom poriadku založenom na pravidlách a poskytovania základnej rozvojovej a humanitárnej pomoci tým, ktorí ju na celom svete najviac potrebujú; keďže Únia bude preto musieť prevziať zodpovednosť za časť tejto agendy, od ktorej sa zdá, že sa USA rozhodlo upustiť, čo kladie dodatočné nároky na rozpočet;</w:t>
      </w:r>
    </w:p>
    <w:p w14:paraId="40E026D4" w14:textId="77777777" w:rsidR="001329AE" w:rsidRDefault="00CD0541">
      <w:pPr>
        <w:pStyle w:val="NormalHanging12a"/>
      </w:pPr>
      <w:r>
        <w:t>K.</w:t>
      </w:r>
      <w:r>
        <w:tab/>
        <w:t>keďže Únia sa zaviazala prijať všetky kroky potrebné na dosiahnutie klimatickej neutrality najneskôr do roku 2050 a na ochranu prírody a zvrátenie straty biodiverzity; keďže plnenie politického rámca zavedeného na dosiahnutie tohto cieľa si bude vyžadovať značné investície; keďže rozpočet Únie bude musieť zohrávať kľúčovú úlohu pri poskytovaní a stimulovaní týchto investícií;</w:t>
      </w:r>
    </w:p>
    <w:p w14:paraId="723E57B9" w14:textId="77777777" w:rsidR="001329AE" w:rsidRDefault="00CD0541">
      <w:pPr>
        <w:pStyle w:val="NormalHanging12a"/>
      </w:pPr>
      <w:r>
        <w:t>L.</w:t>
      </w:r>
      <w:r>
        <w:tab/>
        <w:t xml:space="preserve">keďže s cieľom kompenzovať nedostatky rozpočtu sa objavilo množstvo dočasných riešení obchádzajúcich súčasné pravidlá, ktoré spôsobujú, že rozpočet je </w:t>
      </w:r>
      <w:proofErr w:type="spellStart"/>
      <w:r>
        <w:t>neprehľadnejší</w:t>
      </w:r>
      <w:proofErr w:type="spellEnd"/>
      <w:r>
        <w:t xml:space="preserve">, a verejnosť tak zostáva neinformovaná o skutočnom objeme výdavkov Únie, čo oslabuje dlhodobú predvídateľnosť investícií, ktoré možno z rozpočtu vynaložiť, a čím sa podkopáva nielen zásada jednotnosti, ale aj úloha Európskeho parlamentu ako zákonodarcu, rozpočtového orgánu a orgánu udeľujúceho absolutórium a jeho schopnosť kontrolovať výkonnú </w:t>
      </w:r>
      <w:r>
        <w:t>moc;</w:t>
      </w:r>
    </w:p>
    <w:p w14:paraId="5CB843B3" w14:textId="77777777" w:rsidR="001329AE" w:rsidRDefault="00CD0541">
      <w:pPr>
        <w:pStyle w:val="NormalHanging12a"/>
      </w:pPr>
      <w:r>
        <w:t>M.</w:t>
      </w:r>
      <w:r>
        <w:tab/>
        <w:t>keďže Únia je založená na hodnotách úcty k ľudskej dôstojnosti, slobody, demokracie, rovnosti, právneho štátu a rešpektovania ľudských práv vrátane práv osôb patriacich k menšinám; keďže porušovanie týchto hodnôt rozvracia súdržnosť Únie, narúša práva občanov Únie a oslabuje vzájomnú dôveru medzi členskými štátmi;</w:t>
      </w:r>
    </w:p>
    <w:p w14:paraId="240A0EA8" w14:textId="77777777" w:rsidR="001329AE" w:rsidRDefault="00CD0541">
      <w:pPr>
        <w:pStyle w:val="NormalHanging12a"/>
      </w:pPr>
      <w:r>
        <w:t>1.</w:t>
      </w:r>
      <w:r>
        <w:tab/>
        <w:t>trvá na tom, že v rýchlo sa meniacom svete, v ktorom ľudia oprávnene očakávajú viac od Únie a jej rozpočtu a v ktorom Únia čelí rastúcemu počtu kríz, musí byť budúci VFR vybavený vyšším objemom zdrojov v porovnaní s obdobím rokov 2021 – 2027 a musí sa pri ňom upustiť od historicky reštriktívnej úrovne 1 % HND, ktorú si Únia sama stanovila;</w:t>
      </w:r>
    </w:p>
    <w:p w14:paraId="30E11AB3" w14:textId="77777777" w:rsidR="001329AE" w:rsidRDefault="00CD0541">
      <w:pPr>
        <w:pStyle w:val="NormalHanging12a"/>
      </w:pPr>
      <w:r>
        <w:t>2.</w:t>
      </w:r>
      <w:r>
        <w:tab/>
        <w:t>podčiarkuje, že budúci VFR sa musí zamerať na financovanie európskych verejných statkov s viditeľnou pridanou hodnotou v porovnaní s vnútroštátnymi výdavkami; vyzdvihuje, že treba posilniť synergie a zlepšiť koordináciu výdavkov Únie s vnútroštátnymi výdavkami; zdôrazňuje, že výdavky sa budú musieť vynakladať na hlavné výzvy, ako je návrat rozsiahlej vojny do bezprostredného susedstva Únie, náročnosť hospodárskeho a sociálneho prostredia, rozdiely v konkurencieschopnosti a prehlbujúca sa klimatická kríza a</w:t>
      </w:r>
      <w:r>
        <w:t xml:space="preserve"> kríza biodiverzity;</w:t>
      </w:r>
    </w:p>
    <w:p w14:paraId="46CA0C6F" w14:textId="77777777" w:rsidR="001329AE" w:rsidRDefault="00CD0541">
      <w:pPr>
        <w:pStyle w:val="NormalHanging12a"/>
      </w:pPr>
      <w:r>
        <w:t>3.</w:t>
      </w:r>
      <w:r>
        <w:tab/>
        <w:t xml:space="preserve">domnieva sa, že prístup „jeden národný plán pre každý členský štát“, ako ho plánuje Komisia, s koncepciou vychádzajúcou z modelu Mechanizmu na podporu nemôže byť základom pre výdavky v rámci zdieľaného riadenia po roku </w:t>
      </w:r>
      <w:r>
        <w:t xml:space="preserve">2027; zdôrazňuje, že navrhovanie výdavkov v rámci zdieľaného riadenia v budúcom VFR musí v plnej miere chrániť úlohy Európskeho parlamentu ako zákonodarcu, rozpočtového orgánu a orgánu </w:t>
      </w:r>
      <w:r>
        <w:lastRenderedPageBreak/>
        <w:t>udeľujúceho absolutórium a musí sa navrhovať a vykonávať v úzkej spolupráci s regionálnymi a miestnymi orgánmi a všetkými príslušnými zainteresovanými stranami;</w:t>
      </w:r>
    </w:p>
    <w:p w14:paraId="504BDC22" w14:textId="77777777" w:rsidR="001329AE" w:rsidRDefault="00CD0541">
      <w:pPr>
        <w:pStyle w:val="NormalHanging12a"/>
      </w:pPr>
      <w:r>
        <w:t>4.</w:t>
      </w:r>
      <w:r>
        <w:tab/>
        <w:t>žiada, aby budúci VFR naďalej podporoval hospodársku, sociálnu a územnú súdržnosť s cieľom pomôcť stmeliť Úniu, prehĺbiť jednotný trh, podporiť konvergenciu a znížiť nerovnosť, chudobu a sociálne vylúčenie;</w:t>
      </w:r>
    </w:p>
    <w:p w14:paraId="0948EE14" w14:textId="77777777" w:rsidR="001329AE" w:rsidRDefault="00CD0541">
      <w:pPr>
        <w:pStyle w:val="NormalHanging12a"/>
      </w:pPr>
      <w:r>
        <w:t>5.</w:t>
      </w:r>
      <w:r>
        <w:tab/>
        <w:t xml:space="preserve">domnieva sa, že myšlienka zastrešujúceho fondu pre konkurencieschopnosť, ktorý spája existujúce programy, tak ako ho plánuje Komisia, nie je na daný účel vhodný; zdôrazňuje, že takýto fond by mal byť skôr novým nástrojom, ktorý využíva súbor nástrojov financovania vychádzajúci zo skúseností získaných z Programu </w:t>
      </w:r>
      <w:proofErr w:type="spellStart"/>
      <w:r>
        <w:t>InvestEU</w:t>
      </w:r>
      <w:proofErr w:type="spellEnd"/>
      <w:r>
        <w:t xml:space="preserve"> a Inovačného fondu a dopĺňa existujúce, veľmi úspešné programy;</w:t>
      </w:r>
    </w:p>
    <w:p w14:paraId="4DE2340E" w14:textId="77777777" w:rsidR="001329AE" w:rsidRDefault="00CD0541">
      <w:pPr>
        <w:pStyle w:val="NormalHanging12a"/>
      </w:pPr>
      <w:r>
        <w:t>6.</w:t>
      </w:r>
      <w:r>
        <w:tab/>
        <w:t>zdôrazňuje, že najmä vzhľadom na to, že USA prestali plniť úlohu globálneho garanta mieru a bezpečnosti, jednoznačne treba pokročiť vo formovaní skutočnej obrannej únie, pričom budúci VFR musí podporovať komplexnú koncepciu bezpečnosti, a to zvýšením príslušných investícií; zdôrazňuje, že výdavky na obranu nemôžu byť vynakladané na úkor dlhodobých investícií do hospodárskej, sociálnej a územnej súdržnosti Únie ani viesť k ich zníženiu;</w:t>
      </w:r>
    </w:p>
    <w:p w14:paraId="79F3DF2A" w14:textId="77777777" w:rsidR="001329AE" w:rsidRDefault="00CD0541">
      <w:pPr>
        <w:pStyle w:val="NormalHanging12a"/>
      </w:pPr>
      <w:r>
        <w:t>7.</w:t>
      </w:r>
      <w:r>
        <w:tab/>
        <w:t>požaduje skutočné zjednodušenie pre konečných príjemcov tým, že sa zabráni programom s prekrývajúcimi sa cieľmi, odlišným kritériám oprávnenosti a odlišným pravidlám, ktorými sa riadia horizontálne ustanovenia; zdôrazňuje, že zjednodušenie nemôže znamenať väčšiu voľnosť pre Komisiu bez potrebného systému bŕzd a protiváh, a preto sa musí dosiahnuť pri plnom rešpektovaní inštitucionálnej rovnováhy stanovenej v zmluvách;</w:t>
      </w:r>
    </w:p>
    <w:p w14:paraId="1BC5458C" w14:textId="77777777" w:rsidR="001329AE" w:rsidRDefault="00CD0541">
      <w:pPr>
        <w:pStyle w:val="NormalHanging12a"/>
      </w:pPr>
      <w:r>
        <w:t>8.</w:t>
      </w:r>
      <w:r>
        <w:tab/>
        <w:t>trvá na posilnení vnútornej schopnosti reagovať na krízy v budúcom VFR a dostatočných rezervách v každom okruhu; zdôrazňuje, že výdavkové programy by si popri predvídateľnosti investícií mali ponechať značnú rezervu na vlastnú flexibilitu, pričom o pridelení prostriedkov na konkrétne politické ciele má rozhodnúť rozpočtový orgán; podčiarkuje, že flexibilita humanitárnej pomoci by mala byť účelovo viazaná; domnieva sa, že VFR na obdobie po roku 2027 by mal zahŕňať dva osobitné nástroje – jeden určený na zab</w:t>
      </w:r>
      <w:r>
        <w:t>ezpečenie solidarity v prípade prírodných katastrof a jeden na všeobecnú reakciu na krízu;</w:t>
      </w:r>
    </w:p>
    <w:p w14:paraId="7A09C5ED" w14:textId="77777777" w:rsidR="001329AE" w:rsidRDefault="00CD0541">
      <w:pPr>
        <w:pStyle w:val="NormalHanging12a"/>
      </w:pPr>
      <w:r>
        <w:t>9.</w:t>
      </w:r>
      <w:r>
        <w:tab/>
        <w:t>zdôrazňuje, že dodržiavanie hodnôt a základných práv Únie je nevyhnutnou podmienkou prístupu k finančným prostriedkom EÚ; trvá na tom, že rozpočet Únie musí byť chránený pred zneužívaním, podvodmi a porušeniami zásady právneho štátu, a požaduje silnejšie prepojenie medzi zásadou právneho štátu a rozpočtom Únie po roku 2027;</w:t>
      </w:r>
    </w:p>
    <w:p w14:paraId="63FB0C88" w14:textId="77777777" w:rsidR="001329AE" w:rsidRDefault="00CD0541">
      <w:pPr>
        <w:pStyle w:val="NormalHanging12a"/>
      </w:pPr>
      <w:r>
        <w:t>10.</w:t>
      </w:r>
      <w:r>
        <w:tab/>
        <w:t>zdôrazňuje, že splácanie úverov a pôžičiek NGEU nesmie ohroziť financovanie politík a priorít EÚ; podčiarkuje preto, aby sa so všetkými nákladmi súvisiacimi s pôžičkami zabezpečenými rozpočtom Únie alebo manévrovacím priestorom rozpočtu zaobchádzalo odlišne než s rozpočtovými prostriedkami na programy EÚ v rámci štruktúry budúceho VFR;</w:t>
      </w:r>
    </w:p>
    <w:p w14:paraId="311CABED" w14:textId="77777777" w:rsidR="001329AE" w:rsidRDefault="00CD0541">
      <w:pPr>
        <w:pStyle w:val="NormalHanging12a"/>
      </w:pPr>
      <w:r>
        <w:t>11.</w:t>
      </w:r>
      <w:r>
        <w:tab/>
        <w:t xml:space="preserve">vyzýva Radu, aby urýchlene prijala nové vlastné zdroje s cieľom umožniť udržateľné splácanie úverov a pôžičiek NGEU; zdôrazňuje, že nové skutočné vlastné zdroje nad rámec </w:t>
      </w:r>
      <w:proofErr w:type="spellStart"/>
      <w:r>
        <w:t>medziinštitucionálnej</w:t>
      </w:r>
      <w:proofErr w:type="spellEnd"/>
      <w:r>
        <w:t xml:space="preserve"> dohody sú nevyhnutné na pokrytie vyšších výdavkových </w:t>
      </w:r>
      <w:r>
        <w:lastRenderedPageBreak/>
        <w:t xml:space="preserve">potrieb Únie; domnieva sa, že všetky nástroje by sa mali preskúmať, aby sa z nich Únii mohli poskytnúť potrebné zdroje, a v tejto súvislosti sa domnieva, že spoločné pôžičky predstavujú schodnú možnosť, ako zabezpečiť, aby Únia mala dostatočné zdroje na reakcie na </w:t>
      </w:r>
      <w:r>
        <w:t xml:space="preserve">akútne </w:t>
      </w:r>
      <w:proofErr w:type="spellStart"/>
      <w:r>
        <w:t>celoúnijné</w:t>
      </w:r>
      <w:proofErr w:type="spellEnd"/>
      <w:r>
        <w:t xml:space="preserve"> krízy, ako je prebiehajúca kríza v oblasti bezpečnosti a obrany;</w:t>
      </w:r>
    </w:p>
    <w:p w14:paraId="33FC79DE" w14:textId="77777777" w:rsidR="001329AE" w:rsidRDefault="00CD0541">
      <w:pPr>
        <w:pStyle w:val="NormalHanging12a"/>
      </w:pPr>
      <w:r>
        <w:t>12.</w:t>
      </w:r>
      <w:r>
        <w:tab/>
        <w:t>je pripravený konštruktívne spolupracovať s Radou a Komisiou na vytvorení dlhodobého rozpočtu, ktorý bude zameraný na plnenie potrieb Únie; zdôrazňuje, že VFR po roku 2027 nie je vôbec koncipovaný v klasických spoločenských podmienkach, a berie vážne svoju inštitucionálnu úlohu zakotvenú v zmluvách; trvá na tom, že schváli len dlhodobý rozpočet, ktorý je vhodný pre Úniu v meniacom sa svete, a vyzýva na urýchlené prijatie VFR s cieľom umožniť včasné vykonávanie výdavkových programov od 1. januára 2028;</w:t>
      </w:r>
    </w:p>
    <w:p w14:paraId="77DBFA29" w14:textId="77777777" w:rsidR="001329AE" w:rsidRDefault="00CD0541">
      <w:pPr>
        <w:pStyle w:val="Normal12a24b"/>
      </w:pPr>
      <w:r>
        <w:rPr>
          <w:rStyle w:val="BoldItalic"/>
        </w:rPr>
        <w:t>Dlhodobý rozpočet so zmeneným zameraním výdavkov</w:t>
      </w:r>
    </w:p>
    <w:p w14:paraId="4D18DFCB" w14:textId="77777777" w:rsidR="001329AE" w:rsidRDefault="00CD0541">
      <w:pPr>
        <w:pStyle w:val="NormalHanging12a"/>
      </w:pPr>
      <w:r>
        <w:t>13.</w:t>
      </w:r>
      <w:r>
        <w:tab/>
        <w:t>domnieva sa, že vzhľadom na štrukturálne výzvy, ktorým Únia čelí, by sa vo VFR na obdobie po roku 2027 malo upraviť zameranie výdavkov s cieľom zabezpečiť, aby Únia dokázala plniť svoje strategické politické ciele, ako sa podrobne uvádzajú ďalej;</w:t>
      </w:r>
    </w:p>
    <w:p w14:paraId="4E4E53F9" w14:textId="77777777" w:rsidR="001329AE" w:rsidRDefault="00CD0541">
      <w:pPr>
        <w:pStyle w:val="Normal12a24b"/>
      </w:pPr>
      <w:r>
        <w:rPr>
          <w:rStyle w:val="Italic"/>
        </w:rPr>
        <w:t>Konkurencieschopnosť, strategická autonómia, sociálna, hospodárska a územná súdržnosť a odolnosť</w:t>
      </w:r>
    </w:p>
    <w:p w14:paraId="2DF86082" w14:textId="77777777" w:rsidR="001329AE" w:rsidRDefault="00CD0541">
      <w:pPr>
        <w:pStyle w:val="NormalHanging12a"/>
      </w:pPr>
      <w:r>
        <w:t>14.</w:t>
      </w:r>
      <w:r>
        <w:tab/>
        <w:t xml:space="preserve">je </w:t>
      </w:r>
      <w:r>
        <w:t>presvedčený, že posilnenie konkurencieschopnosti, dekarbonizácia hospodárstva a posilnenie inovačnej kapacity Únie sú hlavnými prioritami VFR na obdobie po roku 2027 a sú nevyhnutné na zabezpečenie dlhodobého, udržateľného a inkluzívneho rastu a prosperujúceho, odolnejšieho hospodárstva a spoločnosti;</w:t>
      </w:r>
    </w:p>
    <w:p w14:paraId="2C9B2808" w14:textId="77777777" w:rsidR="001329AE" w:rsidRDefault="00CD0541">
      <w:pPr>
        <w:pStyle w:val="NormalHanging12a"/>
      </w:pPr>
      <w:r>
        <w:t>15.</w:t>
      </w:r>
      <w:r>
        <w:tab/>
        <w:t xml:space="preserve">domnieva sa, že Únia musí vytvoriť rámec konkurencieschopnosti v súlade so svojimi vlastnými hodnotami a politickými cieľmi a táto konkurencieschopnosť musí rozvíjať nielen hospodársky rast, ale aj sociálnu, hospodársku a územnú súdržnosť a environmentálnu udržateľnosť, ako sa podčiarkuje v </w:t>
      </w:r>
      <w:proofErr w:type="spellStart"/>
      <w:r>
        <w:t>Draghiho</w:t>
      </w:r>
      <w:proofErr w:type="spellEnd"/>
      <w:r>
        <w:t xml:space="preserve"> aj </w:t>
      </w:r>
      <w:proofErr w:type="spellStart"/>
      <w:r>
        <w:t>Lettovej</w:t>
      </w:r>
      <w:proofErr w:type="spellEnd"/>
      <w:r>
        <w:t xml:space="preserve"> správe;</w:t>
      </w:r>
    </w:p>
    <w:p w14:paraId="575B7559" w14:textId="77777777" w:rsidR="001329AE" w:rsidRDefault="00CD0541">
      <w:pPr>
        <w:pStyle w:val="NormalHanging12a"/>
      </w:pPr>
      <w:r>
        <w:t>16.</w:t>
      </w:r>
      <w:r>
        <w:tab/>
        <w:t xml:space="preserve">zdôrazňuje, že ako sa uvádza v správach </w:t>
      </w:r>
      <w:proofErr w:type="spellStart"/>
      <w:r>
        <w:t>Lettu</w:t>
      </w:r>
      <w:proofErr w:type="spellEnd"/>
      <w:r>
        <w:t xml:space="preserve"> a </w:t>
      </w:r>
      <w:proofErr w:type="spellStart"/>
      <w:r>
        <w:t>Draghiho</w:t>
      </w:r>
      <w:proofErr w:type="spellEnd"/>
      <w:r>
        <w:t>, európske hospodárstvo a sociálny model sú pod intenzívnym tlakom, pričom produktivita, konkurencieschopnosť a nedostatok zručností majú dominový efekt na kvalitu pracovných miest a na životnú úroveň Európanov, ktorí už teraz čelia vysokým cenám bývania, energie a potravín; vyjadruje znepokojenie nad tým, že nedostatok pracovných príležitostí a vysoké životné náklady zvyšujú riziko úniku mozgov z Európy;</w:t>
      </w:r>
    </w:p>
    <w:p w14:paraId="6AB1CB3E" w14:textId="77777777" w:rsidR="001329AE" w:rsidRDefault="00CD0541">
      <w:pPr>
        <w:pStyle w:val="NormalHanging12a"/>
      </w:pPr>
      <w:r>
        <w:t>17.</w:t>
      </w:r>
      <w:r>
        <w:tab/>
        <w:t xml:space="preserve">poukazuje na to, že </w:t>
      </w:r>
      <w:proofErr w:type="spellStart"/>
      <w:r>
        <w:t>Draghi</w:t>
      </w:r>
      <w:proofErr w:type="spellEnd"/>
      <w:r>
        <w:t xml:space="preserve"> odhaduje, že v rokoch 2025 až 2030 bude ročná investičná medzera v oblasti inovácií a infraštruktúry 750 – 800 miliárd EUR ročne; zdôrazňuje, že rozpočet Únie musí zohrávať kľúčovú úlohu, ale tento nedostatok nemôže pokryť sám a že prevažná časť úsilia bude musieť pochádzať zo súkromného sektora, a preto poukazuje na potrebu využívať synergie medzi verejnými a súkromnými investíciami, najmä zjednodušením a harmonizáciou investičnej štruktúry EÚ;</w:t>
      </w:r>
    </w:p>
    <w:p w14:paraId="41CF09A7" w14:textId="77777777" w:rsidR="001329AE" w:rsidRDefault="00CD0541">
      <w:pPr>
        <w:pStyle w:val="NormalHanging12a"/>
      </w:pPr>
      <w:r>
        <w:t>18.</w:t>
      </w:r>
      <w:r>
        <w:tab/>
        <w:t xml:space="preserve">zdôrazňuje, že rozpočet Únie musí byť dôkladne koordinovaný s vnútroštátnymi výdavkami, aby sa zaručila komplementárnosť, a musí byť navrhnutý tak, aby dokázal účinne znižovať riziko, mobilizovať a stimulovať súkromné investície, čo startupom a MSP umožní rýchlejší prístup k finančným prostriedkom; preto žiada, aby sa </w:t>
      </w:r>
      <w:r>
        <w:lastRenderedPageBreak/>
        <w:t xml:space="preserve">v budúcom VFR výrazne posilnili programy, ako je Program </w:t>
      </w:r>
      <w:proofErr w:type="spellStart"/>
      <w:r>
        <w:t>InvestEU</w:t>
      </w:r>
      <w:proofErr w:type="spellEnd"/>
      <w:r>
        <w:t>, ktorý zabezpečuje doplnkovosť a uplatňuje trhovo orientovaný prístup založený na dopyte; považuje finančné nástroje a rozpoč</w:t>
      </w:r>
      <w:r>
        <w:t>tové záruky za účinný spôsob využívania zdrojov na dosiahnutie dôležitých politických cieľov Únie a požaduje ich ďalšie zjednodušenie;</w:t>
      </w:r>
    </w:p>
    <w:p w14:paraId="3EB2165F" w14:textId="77777777" w:rsidR="001329AE" w:rsidRDefault="00CD0541">
      <w:pPr>
        <w:pStyle w:val="NormalHanging12a"/>
      </w:pPr>
      <w:r>
        <w:t>19.</w:t>
      </w:r>
      <w:r>
        <w:tab/>
        <w:t>trvá na tom, že sa musí urobiť viac pre maximalizáciu potenciálu úlohy skupiny Európskej investičnej banky (EIB) – spolu s ďalšími medzinárodnými a vnútroštátnymi finančnými inštitúciami – pri poskytovaní úverov a znižovaní rizika v strategických oblastiach politiky, ako sú klíma a v poslednom čase projekty v oblasti bezpečnosti a obrany; vyzýva skupinu EIB, aby zvýšila svoju ochotu podstupovať riziká a svoje ambície prilákať investície na základe silnej kapitálovej pozície, a žiada posilnenie investičného</w:t>
      </w:r>
      <w:r>
        <w:t xml:space="preserve"> partnerstva s cieľom zabezpečiť, aby sa každé euro vynaložené na úrovni Únie používalo čo najúčinnejším spôsobom;</w:t>
      </w:r>
    </w:p>
    <w:p w14:paraId="51111806" w14:textId="77777777" w:rsidR="001329AE" w:rsidRDefault="00CD0541">
      <w:pPr>
        <w:pStyle w:val="NormalHanging12a"/>
      </w:pPr>
      <w:r>
        <w:t>20.</w:t>
      </w:r>
      <w:r>
        <w:tab/>
        <w:t xml:space="preserve">zdôrazňuje, že financovanie výskumu a inovácií vrátane podpory základného výskumu by sa malo výrazne zvýšiť, malo by sa zameriavať na strategické priority Únie, malo by sa naďalej určovať na základe zásady </w:t>
      </w:r>
      <w:proofErr w:type="spellStart"/>
      <w:r>
        <w:t>excelentnosti</w:t>
      </w:r>
      <w:proofErr w:type="spellEnd"/>
      <w:r>
        <w:t xml:space="preserve"> a malo by zostať založené na zásluhách; domnieva sa, že vo VFR a na vnútroštátnej úrovni by mali byť k dispozícii dostatočné zdroje na financovanie všetkých vysokokvalitných projektov počas celého inovačného cyklu a na dosiahnutie cieľa týkajúceho sa miery výdavkov na výskum a vývoj na úrov</w:t>
      </w:r>
      <w:r>
        <w:t>ni 3 % HDP do roku 2030;</w:t>
      </w:r>
    </w:p>
    <w:p w14:paraId="17D36C08" w14:textId="77777777" w:rsidR="001329AE" w:rsidRDefault="00CD0541">
      <w:pPr>
        <w:pStyle w:val="NormalHanging12a"/>
      </w:pPr>
      <w:r>
        <w:t>21.</w:t>
      </w:r>
      <w:r>
        <w:tab/>
        <w:t>zdôrazňuje, že budúci VFR by mal nadviazať na súčasný Nástroj na prepájanie Európy a zahŕňať oveľa väčšie, priamo riadené financovanie energetickej, dopravnej a digitálnej infraštruktúry, pričom prioritou by mali byť cezhraničné spojenia a vnútroštátne prepojenia s európskou pridanou hodnotou; domnieva sa, že takáto infraštruktúra je jednoznačným základným predpokladom úspešného prehlbovania jednotného trhu a zvyšovania odolnosti Únie v meniacom sa geopolitickom usporiadaní;</w:t>
      </w:r>
    </w:p>
    <w:p w14:paraId="24E43E2F" w14:textId="77777777" w:rsidR="001329AE" w:rsidRDefault="00CD0541">
      <w:pPr>
        <w:pStyle w:val="NormalHanging12a"/>
      </w:pPr>
      <w:r>
        <w:t>22.</w:t>
      </w:r>
      <w:r>
        <w:tab/>
        <w:t>poukazuje na to, že bezpečný a odolný vesmírny sektor má zásadný význam z hľadiska autonómie a zvrchovanosti Únie, a preto treba doň trvalo investovať;</w:t>
      </w:r>
    </w:p>
    <w:p w14:paraId="63324B4B" w14:textId="77777777" w:rsidR="001329AE" w:rsidRDefault="00CD0541">
      <w:pPr>
        <w:pStyle w:val="NormalHanging12a"/>
      </w:pPr>
      <w:r>
        <w:t>23.</w:t>
      </w:r>
      <w:r>
        <w:tab/>
        <w:t xml:space="preserve">zdôrazňuje, že konkurencieschopnejšie, produktívnejšie a sociálne inkluzívne hospodárstvo pomáha vytvárať kvalitné a dobre platené pracovné miesta, čím sa zvyšuje životná úroveň ľudí; zdôrazňuje, že rozpočet Únie môže prostredníctvom programov ako Európsky sociálny fond+ a Erasmus+ zohrávať dôležitú úlohu pri podpore systémov vzdelávania a odbornej prípravy, zlepšovaní sociálneho začlenenia, zvyšovaní prispôsobivosti pracovnej sily prostredníctvom rekvalifikácie a zvyšovania úrovne zručností, a tým aj pri </w:t>
      </w:r>
      <w:r>
        <w:t>príprave ľudí na zamestnanie v modernom hospodárstve;</w:t>
      </w:r>
    </w:p>
    <w:p w14:paraId="1B7F5B42" w14:textId="77777777" w:rsidR="001329AE" w:rsidRDefault="00CD0541">
      <w:pPr>
        <w:pStyle w:val="NormalHanging12a"/>
      </w:pPr>
      <w:r>
        <w:t>24.</w:t>
      </w:r>
      <w:r>
        <w:tab/>
        <w:t>trvá na tom, že rozpočet Únie by mal naďalej podporovať dôležité hospodárske odvetvia a odvetvia vytvárajúce pracovné miesta, v ktorých už Únia je svetovým lídrom, ako je cestovný ruch a kultúrny a kreatívny sektor; vyzdvihuje, že v rozpočte Únie na obdobie po roku 2027 treba vyčleniť osobitné financovanie cestovného ruchu, ktoré bude zahŕňať aj prostriedky na vykonávanie stratégie EÚ pre udržateľný cestovný ruch; poukazuje na význam programu Kreatívna Európa tým, že prispieva k rozmanitosti a konkurencies</w:t>
      </w:r>
      <w:r>
        <w:t>chopnosti Európy a podporuje dynamické spoločenstvá;</w:t>
      </w:r>
    </w:p>
    <w:p w14:paraId="7FDCB2BD" w14:textId="77777777" w:rsidR="001329AE" w:rsidRDefault="00CD0541">
      <w:pPr>
        <w:pStyle w:val="NormalHanging12a"/>
      </w:pPr>
      <w:r>
        <w:t>25.</w:t>
      </w:r>
      <w:r>
        <w:tab/>
        <w:t xml:space="preserve">zdôrazňuje, že na to, aby európske hospodárstvo mohlo konkurovať iným významným globálnym aktérom, sa musí stať aj konkurencieschopnejším a odolnejším na strane ponuky tým, že bude viac investovať do otvorenej strategickej autonómie Únie </w:t>
      </w:r>
      <w:r>
        <w:lastRenderedPageBreak/>
        <w:t>prostredníctvom posilnenej priemyselnej politiky a zamerania sa na strategické odvetvia, efektívnosť využívania zdrojov a kritické technológie s cieľom znížiť závislosť od tretích krajín;</w:t>
      </w:r>
    </w:p>
    <w:p w14:paraId="50C1EC9A" w14:textId="77777777" w:rsidR="001329AE" w:rsidRDefault="00CD0541">
      <w:pPr>
        <w:pStyle w:val="NormalHanging12a"/>
      </w:pPr>
      <w:r>
        <w:t>26.</w:t>
      </w:r>
      <w:r>
        <w:tab/>
        <w:t xml:space="preserve">vzhľadom na uvedené sa domnieva, že zamýšľaný zastrešujúci fond pre konkurencieschopnosť, ktorý spája existujúce programy, tak ako ho plánuje Komisia, nie je vhodný na daný účel; zdôrazňuje, že takýto fond by mal byť skôr novým nástrojom, ktorý využíva súbor nástrojov financovania vychádzajúci zo skúseností získaných z Programu </w:t>
      </w:r>
      <w:proofErr w:type="spellStart"/>
      <w:r>
        <w:t>InvestEU</w:t>
      </w:r>
      <w:proofErr w:type="spellEnd"/>
      <w:r>
        <w:t xml:space="preserve"> a Inovačného fondu; pripomína, že podľa článku 182 ZFEÚ sa od Únie požaduje prijatie rámcového programu pre výskum; </w:t>
      </w:r>
    </w:p>
    <w:p w14:paraId="3A9EB82C" w14:textId="77777777" w:rsidR="001329AE" w:rsidRDefault="00CD0541">
      <w:pPr>
        <w:pStyle w:val="NormalHanging12a"/>
      </w:pPr>
      <w:r>
        <w:t>27.</w:t>
      </w:r>
      <w:r>
        <w:tab/>
        <w:t>konštatuje, že Komisia vo svojom oznámení o kompase konkurencieschopnosti tvrdí, že by sa mal vytvoriť nový nástroj na koordináciu konkurencieschopnosti s cieľom lepšie zosúladiť priemyselné a výskumné politiky a investície medzi úrovňou EÚ a vnútroštátnou úrovňou; konštatuje, že navrhovaný nový nástroj má byť súčasťou „nového, štíhleho riadiaceho mechanizmu“ koncipovaného „na posilnenie prepojenia medzi celkovou koordináciou politík a rozpočtom EÚ“; trvá na tom, že Európsky parlament musí v oboch mechaniz</w:t>
      </w:r>
      <w:r>
        <w:t>moch plniť plnohodnotnú rozhodovaciu úlohu;</w:t>
      </w:r>
    </w:p>
    <w:p w14:paraId="760C3CDC" w14:textId="77777777" w:rsidR="001329AE" w:rsidRDefault="00CD0541">
      <w:pPr>
        <w:pStyle w:val="NormalHanging12a"/>
      </w:pPr>
      <w:r>
        <w:t>28.</w:t>
      </w:r>
      <w:r>
        <w:tab/>
        <w:t>zdôrazňuje, že potravinová bezpečnosť je dôležitou zložkou strategickej autonómie a že budúci VFR musí naďalej podporovať konkurencieschopnosť a odolnosť odvetví poľnohospodárstva a rybárstva Únie vrátane malých a mladých poľnohospodárov a rybárov a pomáhať týmto odvetviam lepšie chrániť klímu a biodiverzitu, ako aj moria a oceány; vyzdvihuje, že moderná a zjednodušená spoločná poľnohospodárska politika má zásadný význam pre zvyšovanie produktivity prostredníctvom technického pokroku, pre zabezpečovanie pr</w:t>
      </w:r>
      <w:r>
        <w:t>imeranej životnej úrovne poľnohospodárov, zaručenie potravinovej bezpečnosti a výroby zdravých, vysokokvalitných a cenovo dostupných potravín pre Európanov, podporovanie generačnej výmeny a zabezpečovanie životaschopnosti vidieckych oblastí;</w:t>
      </w:r>
    </w:p>
    <w:p w14:paraId="4E87ABB2" w14:textId="77777777" w:rsidR="001329AE" w:rsidRDefault="00CD0541">
      <w:pPr>
        <w:pStyle w:val="NormalHanging12a"/>
      </w:pPr>
      <w:r>
        <w:t>29.</w:t>
      </w:r>
      <w:r>
        <w:tab/>
        <w:t>poukazuje na to, že odvetvie poľnohospodárstva je obzvlášť zraniteľné voči inflačným otrasom, ktoré ovplyvňujú kúpnu silu poľnohospodárov; požaduje, aby sa v budúcom VFR zvýšil osobitný rozpočet na SPP, ktorý ju bude chrániť pred možnými škrtmi s cieľom zachovať jej integritu a jednotnosť, a aby sa zabezpečila súdržnosť a prepojenie medzi jej prvým a druhým pilierom, a preto nesúhlasí s myšlienkou začleniť SPP do jedného fondu pre každý členský štát; žiada, aby sa v prípade potreby preskúmali dodatočné oso</w:t>
      </w:r>
      <w:r>
        <w:t>bitné zdroje financovania, a to aj mimo SPP, s cieľom vyrovnať sa s prírodnými katastrofami a podnietiť poľnohospodárov a lesníkov, aby prispievali k zmierňovaniu zmeny klímy, obnove biodiverzity a ochrane prírody bez toho, aby tieto opatrenia spôsobili pokles poľnohospodárskej výroby EÚ;</w:t>
      </w:r>
    </w:p>
    <w:p w14:paraId="45D2BB88" w14:textId="77777777" w:rsidR="001329AE" w:rsidRDefault="00CD0541">
      <w:pPr>
        <w:pStyle w:val="NormalHanging12a"/>
      </w:pPr>
      <w:r>
        <w:t>30.</w:t>
      </w:r>
      <w:r>
        <w:tab/>
      </w:r>
      <w:r>
        <w:t>zdôrazňuje, že nové globálne výzvy, ktorým čelia poľnohospodári EÚ, vrátane súčasnej geopolitickej situácie, zmeny klímy a rastúcej ceny vstupov si vyžadujú, aby sa v budúcej SPP pridelili primerané finančné prostriedky; zdôrazňuje, že s cieľom riešiť tieto výzvy s ohľadom na skúsenosti získané z krízy spôsobenej ochorením COVID-19 a zabrániť zníženiu podpory poľnohospodárov sa v budúcom VFR musí naliehavo zvýšiť rozpočet na SPP, ktorý je indexovaný podľa inflácie na základe ročného prehodnotenia; v tejto s</w:t>
      </w:r>
      <w:r>
        <w:t xml:space="preserve">úvislosti zdôrazňuje, že priame platby v ich súčasnej podobe vytvárajú jasnú pridanú hodnotu EÚ a mali by naďalej posilňovať príjmovú istotu, výrobu a ochranu pred cenovou volatilitou, pričom by sa mali lepšie zamerať na ľudí, ktorí sa aktívne podieľajú na poľnohospodárskej výrobe a poskytovaní verejných </w:t>
      </w:r>
      <w:r>
        <w:lastRenderedPageBreak/>
        <w:t>statkov, a to pri súčasnom dodržiavaní realistických a vyvážených environmentálnych a sociálnych noriem EÚ; požaduje spravodlivé a efektívne rozdelenie podpory SPP v rámci členských štátov a medzi nimi; pož</w:t>
      </w:r>
      <w:r>
        <w:t>aduje pokračovanie a posilnenie opatrení, ktoré umožňujú zachovanie výroby v zraniteľných oblastiach a zaručujú životaschopnosť vidieckych komunít a primeranosť verejnej infraštruktúry, najmä pokiaľ ide o digitalizáciu, a to predovšetkým prostredníctvom Európskeho poľnohospodárskeho fondu pre rozvoj vidieka a obnoveného zapojenia miestnych a regionálnych orgánov do riadenia takýchto opatrení; zdôrazňuje potrebu zvýšenia a zreformovania poľnohospodárskej rezervy s cieľom účinne a rýchlo reagovať na budúce kr</w:t>
      </w:r>
      <w:r>
        <w:t xml:space="preserve">ízy, ktorým bude musieť európske odvetvie poľnohospodárstva čeliť, a vytvoriť nové nástroje na riadenie prírodných, trhových a sanitárnych rizík, ako je systém zaistenia EÚ, s cieľom viac zmierniť následky budúcich kríz a zabezpečiť poľnohospodárom väčšiu stabilitu; zdôrazňuje, že treba nájsť konkrétne riešenia pre poľnohospodárov vo východnej Európe, ktorí sú najviac postihnutí kaskádovými účinkami vojny Ruska proti Ukrajine, ako sú vysoké ceny vstupov, inflácia a narušenia trhu; naliehavo vyzýva Komisiu, </w:t>
      </w:r>
      <w:r>
        <w:t xml:space="preserve">aby naďalej vytvárala potrebný finančný a právny rámec pre potravinový dodávateľský reťazec s cieľom posilniť postavenie poľnohospodárov a lepšie bojovať proti nekalým obchodným praktikám; vyzýva Komisiu, aby podporovala poľnohospodárov EÚ propagáciou </w:t>
      </w:r>
      <w:proofErr w:type="spellStart"/>
      <w:r>
        <w:t>agropotravinových</w:t>
      </w:r>
      <w:proofErr w:type="spellEnd"/>
      <w:r>
        <w:t xml:space="preserve"> výrobkov v Únii aj mimo nej prostredníctvom dynamickej a posilnenej propagačnej politiky EÚ; vyjadruje poľutovanie nad škrtmi vo financovaní programu na podporu poľnohospodárskych výrobkov počas revízie súčasného VFR; zdôrazňuje, že v budúcom</w:t>
      </w:r>
      <w:r>
        <w:t xml:space="preserve"> VFR sa musia vyčleniť osobitné finančné prostriedky na </w:t>
      </w:r>
      <w:proofErr w:type="spellStart"/>
      <w:r>
        <w:t>agroturizmus</w:t>
      </w:r>
      <w:proofErr w:type="spellEnd"/>
      <w:r>
        <w:t>, podnikanie žien, odborné vzdelávanie a technologické inovácie v poľnohospodárstve;</w:t>
      </w:r>
    </w:p>
    <w:p w14:paraId="40713183" w14:textId="77777777" w:rsidR="001329AE" w:rsidRDefault="00CD0541">
      <w:pPr>
        <w:pStyle w:val="NormalHanging12a"/>
      </w:pPr>
      <w:r>
        <w:t>31.</w:t>
      </w:r>
      <w:r>
        <w:tab/>
        <w:t>pripomína, že sociálna, hospodárska a územná súdržnosť je základným kameňom európskej integrácie a má zásadný význam pre stmeľovanie Únie a prehlbovanie jednotného trhu; v tejto súvislosti opätovne potvrdzuje význam procesu konvergencie; zdôrazňuje, že modernizovaná politika súdržnosti musí byť riadená decentralizovaným, miestne orientovaným a viacúrovňovým prístupom a musí vychádzať zo zásady zdieľaného riadenia a partnerstva, do ktorého sú plne zapojené miestne a regionálne orgány a relevantné zaintereso</w:t>
      </w:r>
      <w:r>
        <w:t>vané strany, čím sa zaručí, že prostriedky smerujú tam, kde sú najviac potrebné na zníženie regionálnych rozdielov;</w:t>
      </w:r>
    </w:p>
    <w:p w14:paraId="51855803" w14:textId="77777777" w:rsidR="001329AE" w:rsidRDefault="00CD0541">
      <w:pPr>
        <w:pStyle w:val="NormalHanging12a"/>
      </w:pPr>
      <w:r>
        <w:t>32.</w:t>
      </w:r>
      <w:r>
        <w:tab/>
        <w:t>zdôrazňuje, že financovanie politiky súdržnosti musí riešiť kľúčové výzvy, ktorým Únia čelí, ako sú demografická zmena a vyľudňovanie, a zamerať sa na regióny a ľudí, ktorí to najviac potrebujú; okrem toho požaduje zlepšenie prístupu miest, regiónov a mestských orgánov k finančným prostriedkom EÚ; pripomína, že podľa článku 349 ZFEÚ je EÚ povinná zaviesť osobitné opatrenia pre najvzdialenejšie regióny, a preto zdôrazňuje potrebu nepretržitej a cielenej podpory pre tieto regióny v budúcom VFR, a to aj prost</w:t>
      </w:r>
      <w:r>
        <w:t>redníctvom posilneného programu osobitných alternatív pre odľahlosť a ostrovný charakter (POSEI);</w:t>
      </w:r>
    </w:p>
    <w:p w14:paraId="038E5ABD" w14:textId="77777777" w:rsidR="001329AE" w:rsidRDefault="00CD0541">
      <w:pPr>
        <w:pStyle w:val="NormalHanging12a"/>
      </w:pPr>
      <w:r>
        <w:t>33.</w:t>
      </w:r>
      <w:r>
        <w:tab/>
        <w:t>pripomína význam sociálneho rozmeru Európskej únie a dôležitosť presadzovať vykonávanie Európskeho piliera sociálnych práv, jeho akčného plánu a hlavných cieľov; zdôrazňuje, že rozpočet Únie by preto mal zohrávať kľúčovú úlohu pri znižovaní nerovnosti, chudoby a sociálneho vylúčenia, a to aj podporovaním detí, rodín a zraniteľných skupín; pripomína, že okolo 20 miliónov detí je v Únii vystavených riziku chudoby a sociálneho vylúčenia; zdôrazňuje, že riešenie chudoby detí v Únii si vyžaduje primerane financ</w:t>
      </w:r>
      <w:r>
        <w:t xml:space="preserve">ované, komplexné a integrované opatrenia spolu s efektívnym vykonávaním Európskej záruky pre deti na vnútroštátnej úrovni; </w:t>
      </w:r>
      <w:r>
        <w:lastRenderedPageBreak/>
        <w:t>podčiarkuje, že Európsky parlament neustále požaduje osobitný rozpočet v rámci ESF+ na podporu záruky pre deti ako ústredného piliera stratégie EÚ v oblasti boja proti chudobe;</w:t>
      </w:r>
    </w:p>
    <w:p w14:paraId="073BAA81" w14:textId="77777777" w:rsidR="001329AE" w:rsidRDefault="00CD0541">
      <w:pPr>
        <w:pStyle w:val="NormalHanging12a"/>
      </w:pPr>
      <w:r>
        <w:t>34.</w:t>
      </w:r>
      <w:r>
        <w:tab/>
        <w:t>v tejto súvislosti poukazuje na krízu bývania v celej EÚ, ktorá postihuje milióny rodín a mladých ľudí; zdôrazňuje, že treba zvýšiť podporu bývania z rozpočtu Únie, najmä v rámci politiky súdržnosti, a z iných zdrojov financovania, ako je skupina EIB a národné podporné banky; uznáva, že hoci samotné financovanie Únie nemôže vyriešiť krízu bývania, môže zohrávať kľúčovú úlohu pri financovaní naliehavých opatrení a dopĺňaní širšieho úsilia Únie a členských štátov o zlepšenie cenovej dostupnosti bývania a zvý</w:t>
      </w:r>
      <w:r>
        <w:t>šenie energetickej hospodárnosti bytového fondu;</w:t>
      </w:r>
    </w:p>
    <w:p w14:paraId="1708BFED" w14:textId="77777777" w:rsidR="001329AE" w:rsidRDefault="00CD0541">
      <w:pPr>
        <w:pStyle w:val="NormalHanging12a"/>
      </w:pPr>
      <w:r>
        <w:t>35.</w:t>
      </w:r>
      <w:r>
        <w:tab/>
        <w:t>zdôrazňuje, že útočná vojna Ruska proti Ukrajine má najmä v členských štátoch hraničiacich s Ruskom a Bieloruskom značné hospodárske a sociálne dôsledky; trvá na tom, aby sa týmto regiónom poskytla v budúcom VFR podpora;</w:t>
      </w:r>
    </w:p>
    <w:p w14:paraId="45B7AF41" w14:textId="77777777" w:rsidR="001329AE" w:rsidRDefault="00CD0541">
      <w:pPr>
        <w:pStyle w:val="Normal12a24b"/>
      </w:pPr>
      <w:r>
        <w:rPr>
          <w:rStyle w:val="Italic"/>
        </w:rPr>
        <w:t>Zelená a digitálna transformácia</w:t>
      </w:r>
    </w:p>
    <w:p w14:paraId="32CB2762" w14:textId="77777777" w:rsidR="001329AE" w:rsidRDefault="00CD0541">
      <w:pPr>
        <w:pStyle w:val="NormalHanging12a"/>
      </w:pPr>
      <w:r>
        <w:t>36.</w:t>
      </w:r>
      <w:r>
        <w:tab/>
        <w:t>zdôrazňuje, že zelená a digitálna transformácia sú neoddeliteľne spojené s konkurencieschopnosťou, modernizáciou hospodárstva a odolnosťou spoločnosti a pôsobia ako katalyzátor hospodárstva, ktoré je zamerané na budúcnosť a efektívne využíva zdroje; preto trvá na tom, že VFR na obdobie po roku 2027 musí naďalej podporovať a ďalej urýchľovať dvojakú transformáciu;</w:t>
      </w:r>
    </w:p>
    <w:p w14:paraId="36B29B1E" w14:textId="77777777" w:rsidR="001329AE" w:rsidRDefault="00CD0541">
      <w:pPr>
        <w:pStyle w:val="NormalHanging12a"/>
      </w:pPr>
      <w:r>
        <w:t>37.</w:t>
      </w:r>
      <w:r>
        <w:tab/>
        <w:t>pripomína, že rozpočet Únie významne prispieva k dosiahnutiu klimatickej neutrality do roku 2050, a to aj prostredníctvom podpory cieľov na roky 2030 a 2040; pripomína, že táto transformácia si vyžaduje dekarbonizáciu hospodárstva, najmä prostredníctvom zavádzania čistých technológií, zlepšenej energetickej a dopravnej infraštruktúry a energeticky hospodárnejšieho bývania; konštatuje, že Komisia odhaduje dodatočné investičné potreby na dosiahnutie klimatickej neutrality do roku 2050 na úrovni 1,5 % HDP roč</w:t>
      </w:r>
      <w:r>
        <w:t>ne v porovnaní s desaťročím 2011 – 2020 a že hoci samotný rozpočet Únie nedokáže tento rozdiel pokryť, musí zostať kľúčovým prispievateľom; vyzýva preto na zvýšenie priamo riadenej podpory na ochranu životného prostredia a biodiverzity a na opatrenia v oblasti klímy, ktorá bude vychádzať zo súčasného programu LIFE;</w:t>
      </w:r>
    </w:p>
    <w:p w14:paraId="7CF5906E" w14:textId="77777777" w:rsidR="001329AE" w:rsidRDefault="00CD0541">
      <w:pPr>
        <w:pStyle w:val="NormalHanging12a"/>
      </w:pPr>
      <w:r>
        <w:t>38.</w:t>
      </w:r>
      <w:r>
        <w:tab/>
        <w:t>zdôrazňuje, že priemysel bude ústredným prvkom prechodu na emisne neutrálne hospodárstvo a zriadenie energetickej únie a že na to, aby bolo možné pomôcť niektorým priemyselným odvetviam a ich pracovníkom prispôsobiť sa, bude potrebná podpora; vyzdvihuje dôležitosť spravodlivej transformácie, počas ktorej sa na nikoho nesmie zabudnúť a ktorá si okrem iného vyžaduje investície v regiónoch, ktoré sú vo veľkej miere závislé od fosílnych palív, a zvýšenú podporu zraniteľných domácností, najmä prostredníctvom Me</w:t>
      </w:r>
      <w:r>
        <w:t>chanizmu spravodlivej transformácie a Sociálno-klimatického fondu;</w:t>
      </w:r>
    </w:p>
    <w:p w14:paraId="73B2D78D" w14:textId="77777777" w:rsidR="001329AE" w:rsidRDefault="00CD0541">
      <w:pPr>
        <w:pStyle w:val="NormalHanging12a"/>
      </w:pPr>
      <w:r>
        <w:t>39.</w:t>
      </w:r>
      <w:r>
        <w:tab/>
        <w:t>poukazuje na prebiehajúci komplexný technologický posun, pričom technológie, ako je umelá inteligencia a kvantová technika, vytvárajú príležitosti z hľadiska hospodárskeho potenciálu a celosvetového vedúceho postavenia Únie, ako aj z hľadiska zlepšovania života občanov a predstavujú výzvy z hľadiska spoľahlivosti, etiky a zvrchovanosti; zdôrazňuje, že budúci VFR musí podporovať výskum, vývoj a bezpečné uplatňovanie digitálnych technológií a pomáhať ľuďom osvojiť si vedomosti a zručnosti, ktoré potrebujú na</w:t>
      </w:r>
      <w:r>
        <w:t xml:space="preserve"> prácu s nimi a na ich využívanie;</w:t>
      </w:r>
    </w:p>
    <w:p w14:paraId="2F042559" w14:textId="77777777" w:rsidR="001329AE" w:rsidRDefault="00CD0541">
      <w:pPr>
        <w:pStyle w:val="Normal12a24b"/>
      </w:pPr>
      <w:r>
        <w:rPr>
          <w:rStyle w:val="Italic"/>
        </w:rPr>
        <w:lastRenderedPageBreak/>
        <w:t>Bezpečnosť, obrana a pripravenosť</w:t>
      </w:r>
    </w:p>
    <w:p w14:paraId="4D199B2D" w14:textId="77777777" w:rsidR="001329AE" w:rsidRDefault="00CD0541">
      <w:pPr>
        <w:pStyle w:val="NormalHanging12a"/>
      </w:pPr>
      <w:r>
        <w:t>40.</w:t>
      </w:r>
      <w:r>
        <w:tab/>
        <w:t>pripomína, že mier a bezpečnosť sú základom prosperity, sociálneho modelu a konkurencieschopnosti Únie a dôležitým pilierom geopolitickej pozície Únie; zdôrazňuje, že budúci VFR musí podporovať komplexnú koncepciu bezpečnosti tým, že sa výrazne zvýšia investície do ochrany Únie pred nespočetnými hrozbami, ktorým čelí;</w:t>
      </w:r>
    </w:p>
    <w:p w14:paraId="6A62F100" w14:textId="77777777" w:rsidR="001329AE" w:rsidRDefault="00CD0541">
      <w:pPr>
        <w:pStyle w:val="NormalHanging12a"/>
      </w:pPr>
      <w:r>
        <w:t>41.</w:t>
      </w:r>
      <w:r>
        <w:tab/>
        <w:t xml:space="preserve">zdôrazňuje, že ako sa jasne uvádza v správe </w:t>
      </w:r>
      <w:proofErr w:type="spellStart"/>
      <w:r>
        <w:t>Niinistöa</w:t>
      </w:r>
      <w:proofErr w:type="spellEnd"/>
      <w:r>
        <w:t xml:space="preserve">, viaceré hrozby sa kombinujú s cieľom zvýšiť nestabilitu a zraniteľnosť Únie, pričom najvážnejšími z nich sú fragmentácia globálneho poriadku, bezpečnostná hrozba, ktorú predstavuje Rusko a Bielorusko, rastúce napätie na celom svete, nepriateľské medzinárodné subjekty, globalizácia zločineckých sietí, hybridné kampane, ktoré zahŕňajú kybernetické útoky, zahraničnú manipuláciu s informáciami, dezinformácie a zasahovanie a </w:t>
      </w:r>
      <w:proofErr w:type="spellStart"/>
      <w:r>
        <w:t>inštrumentalizáciu</w:t>
      </w:r>
      <w:proofErr w:type="spellEnd"/>
      <w:r>
        <w:t xml:space="preserve"> migrácie, čor</w:t>
      </w:r>
      <w:r>
        <w:t>az častejšie a intenzívnejšie extrémne poveternostné javy v dôsledku zmeny klímy a ohrozenia zdravia;</w:t>
      </w:r>
    </w:p>
    <w:p w14:paraId="70C47D2A" w14:textId="77777777" w:rsidR="001329AE" w:rsidRDefault="00CD0541">
      <w:pPr>
        <w:pStyle w:val="NormalHanging12a"/>
      </w:pPr>
      <w:r>
        <w:t>42.</w:t>
      </w:r>
      <w:r>
        <w:tab/>
        <w:t>poukazuje na to, že Únia zohrala kľúčovú úlohu pri dosahovaní trvalého mieru na svojom území a musí v tom pokračovať prispôsobením sa realite vojny pri jej hranici a potrebe výrazne posilniť obrannú infraštruktúru, spôsobilosti a pripravenosť, a to aj z rozpočtu Únie, ďaleko nad rámec súčasných pridelených prostriedkov, ktoré predstavujú menej než 2 % VFR;</w:t>
      </w:r>
    </w:p>
    <w:p w14:paraId="3D02B13D" w14:textId="77777777" w:rsidR="001329AE" w:rsidRDefault="00CD0541">
      <w:pPr>
        <w:pStyle w:val="NormalHanging12a"/>
      </w:pPr>
      <w:r>
        <w:t>43.</w:t>
      </w:r>
      <w:r>
        <w:tab/>
        <w:t>konštatuje, že európske obranné spôsobilosti trpia desaťročiami nedostatočných investícií a že podľa Komisie predstavuje deficit vo výdavkoch na obranu v nasledujúcom desaťročí v súčasnosti 500 miliárd EUR; zdôrazňuje, že rozpočet Únie nemôže tento deficit sám odstrániť, ale musí zohrávať dôležitú úlohu spolu s národnými rozpočtami a so zameraním sa na jasnú pridanú hodnotu EÚ; domnieva sa, že rozpočet Únie a poskytovanie úverov skupinou EIB môžu pomôcť stimulovať investície do obrany; zdôrazňuje, že výdav</w:t>
      </w:r>
      <w:r>
        <w:t>ky na obranu nesmú byť na úkor sociálnych a environmentálnych výdavkov ani nesmú viesť k zníženiu financovania dlhodobých politík Únie, ktoré sa časom osvedčili;</w:t>
      </w:r>
    </w:p>
    <w:p w14:paraId="2B564A1A" w14:textId="77777777" w:rsidR="001329AE" w:rsidRDefault="00CD0541">
      <w:pPr>
        <w:pStyle w:val="NormalHanging12a"/>
      </w:pPr>
      <w:r>
        <w:t>44.</w:t>
      </w:r>
      <w:r>
        <w:tab/>
        <w:t>vyzdvihuje výhody obranných programov a nástrojov zavedených počas súčasného VFR, ktoré posilnili spoločný výskum, výrobu a obstarávanie v oblasti obrany a poskytli cenný základ pre budovanie ďalších politík a investícií Únie;</w:t>
      </w:r>
    </w:p>
    <w:p w14:paraId="2865923A" w14:textId="77777777" w:rsidR="001329AE" w:rsidRDefault="00CD0541">
      <w:pPr>
        <w:pStyle w:val="NormalHanging12a"/>
      </w:pPr>
      <w:r>
        <w:t>45.</w:t>
      </w:r>
      <w:r>
        <w:tab/>
        <w:t>zdôrazňuje, že vzhľadom na geopolitickú situáciu je jasne potrebné konať a pokročiť vo formovaní skutočnej obrannej únie, a to v koordinácii s NATO a v plnom súlade so záväzkami jednotlivých členských štátov v oblasti neutrality; v tejto súvislosti súhlasí s analýzou Komisie, že budúci VFR musí priniesť komplexný a pevný rámec na podporu obrany EÚ;</w:t>
      </w:r>
    </w:p>
    <w:p w14:paraId="5BA7792F" w14:textId="77777777" w:rsidR="001329AE" w:rsidRDefault="00CD0541">
      <w:pPr>
        <w:pStyle w:val="NormalHanging12a"/>
      </w:pPr>
      <w:r>
        <w:t>46.</w:t>
      </w:r>
      <w:r>
        <w:tab/>
        <w:t xml:space="preserve">podčiarkuje význam konkurencieschopnej a odolnej európskej obrannej technologickej a priemyselnej základne; domnieva sa, že zvýšené spoločné investície na úrovni EÚ do obrany v budúcom VFR, ktoré sa budú opierať o jasnú a transparentnú štruktúru riadenia, môžu pomôcť zamedziť duplicite, priniesť úspory z rozsahu, a tým aj značné úspory pre členské štáty, a znížiť fragmentáciu a zabezpečiť </w:t>
      </w:r>
      <w:proofErr w:type="spellStart"/>
      <w:r>
        <w:t>interoperabilitu</w:t>
      </w:r>
      <w:proofErr w:type="spellEnd"/>
      <w:r>
        <w:t xml:space="preserve"> vybavenia a systémov; vyzdvihuje dôležitosť technológií v moderných obranných systémoch, a teda aj inv</w:t>
      </w:r>
      <w:r>
        <w:t xml:space="preserve">estícií do výskumu, kybernetickej obrany a kybernetickej bezpečnosti a do výrobkov s dvojakým použitím; poukazuje na potrebu nasmerovať podporu do obranného priemyslu v Únii, čím sa posilní strategická autonómia, vytvoria sa kvalitné </w:t>
      </w:r>
      <w:r>
        <w:lastRenderedPageBreak/>
        <w:t>vysokokvalifikované pracovné miesta, naštartujú inovácie a vzniknú cezhraničné príležitosti pre podniky EÚ vrátane MSP;</w:t>
      </w:r>
    </w:p>
    <w:p w14:paraId="42E0F02B" w14:textId="77777777" w:rsidR="001329AE" w:rsidRDefault="00CD0541">
      <w:pPr>
        <w:pStyle w:val="NormalHanging12a"/>
      </w:pPr>
      <w:r>
        <w:t>47.</w:t>
      </w:r>
      <w:r>
        <w:tab/>
        <w:t xml:space="preserve">poukazuje na význam zvýšenia rozpočtovej podpory vojenskej mobility, ktorá modernizuje infraštruktúru na vojenské a civilné účely s dvojakým použitím, čo umožní presun vojenského vybavenia a personálu vo veľkom rozsahu v krátkom čase a tým prispeje k obranným spôsobilostiam Únie a ku kolektívnej bezpečnosti; v tejto súvislosti zdôrazňuje význam financovania </w:t>
      </w:r>
      <w:proofErr w:type="spellStart"/>
      <w:r>
        <w:t>transeurópskych</w:t>
      </w:r>
      <w:proofErr w:type="spellEnd"/>
      <w:r>
        <w:t xml:space="preserve"> dopravných sietí s cieľom umožniť ich prispôsobenie na účely dvojakého použitia;</w:t>
      </w:r>
    </w:p>
    <w:p w14:paraId="4A6A7145" w14:textId="77777777" w:rsidR="001329AE" w:rsidRDefault="00CD0541">
      <w:pPr>
        <w:pStyle w:val="NormalHanging12a"/>
      </w:pPr>
      <w:r>
        <w:t>48.</w:t>
      </w:r>
      <w:r>
        <w:tab/>
        <w:t>zdôrazňuje, že Únia musí zvýšiť financovanie pripravenosti vo všetkých oblastiach; je znepokojený rastúcim vplyvom prírodných katastrof, ktoré často predstavujú dôsledok zmeny klímy, a teda je pravdepodobné, že k nim v budúcnosti bude dochádzať častejšie a budú rozsiahlejšie; upozorňuje, že podľa správy o európskom posúdení klimatických rizík z roku 2024 by kumulované hospodárske straty spôsobené prírodnými katastrofami mohli dosiahnuť približne 1,4 % HDP Únie;</w:t>
      </w:r>
    </w:p>
    <w:p w14:paraId="70884120" w14:textId="77777777" w:rsidR="001329AE" w:rsidRDefault="00CD0541">
      <w:pPr>
        <w:pStyle w:val="NormalHanging12a"/>
      </w:pPr>
      <w:r>
        <w:t>49.</w:t>
      </w:r>
      <w:r>
        <w:tab/>
        <w:t>preto zdôrazňuje, že okrem úsilia o zmiernenie zmeny klímy prostredníctvom zelenej transformácie sú potrebné značné investície na prispôsobenie sa zmene klímy, najmä na predchádzanie prírodným katastrofám a závažným poveternostným udalostiam a na zníženie ich dôsledkov; domnieva sa, že podpora na tento účel, ako je súčasný mechanizmus Únie v oblasti civilnej ochrany, sa musí v budúcom VFR výrazne zvýšiť a rýchlo sprístupniť miestnym a regionálnym orgánom, ktoré sú často v prvej línii;</w:t>
      </w:r>
    </w:p>
    <w:p w14:paraId="36375965" w14:textId="77777777" w:rsidR="001329AE" w:rsidRDefault="00CD0541">
      <w:pPr>
        <w:pStyle w:val="NormalHanging12a"/>
      </w:pPr>
      <w:r>
        <w:t>50.</w:t>
      </w:r>
      <w:r>
        <w:tab/>
        <w:t>zdôrazňuje, že opatrenia na rekonštrukciu a obnovu po prírodných katastrofách musia byť založené na prístupe „obnova k lepšiemu“ a uprednostňovať riešenia blízke prírode; podčiarkuje význam udržateľného hospodárenia s vodami, zabezpečenie dostupnosti vody a odolnosti voči vodným katastrofám ako súčasti celkovej stratégie Únie v oblasti pripravenosti;</w:t>
      </w:r>
    </w:p>
    <w:p w14:paraId="046D3968" w14:textId="77777777" w:rsidR="001329AE" w:rsidRDefault="00CD0541">
      <w:pPr>
        <w:pStyle w:val="NormalHanging12a"/>
      </w:pPr>
      <w:r>
        <w:t>51.</w:t>
      </w:r>
      <w:r>
        <w:tab/>
        <w:t xml:space="preserve">pripomína, že pandémia ochorenia COVID-19 spôsobila hospodárske a sociálne problémy na celom svete a že kľúčovým ponaučením z tejto skúsenosti je, že treba prednostne investovať do predchádzania ohrozeniam zdravia, pripravenosti a reakcie na </w:t>
      </w:r>
      <w:proofErr w:type="spellStart"/>
      <w:r>
        <w:t>ne</w:t>
      </w:r>
      <w:proofErr w:type="spellEnd"/>
      <w:r>
        <w:t>, do lekárskeho výskumu a prevencie chorôb, do prístupu ku kritickým liekom, do infraštruktúry zdravotnej starostlivosti, do fyzického a duševného zdravia a do odolnosti a prístupnosti systémov verejného zdravotníctva v Únii; pripomína, že strategická autonómia v obl</w:t>
      </w:r>
      <w:r>
        <w:t>asti zdravia je kľúčom k zabezpečeniu pripravenosti Únie v tejto oblasti;</w:t>
      </w:r>
    </w:p>
    <w:p w14:paraId="6D4009B8" w14:textId="77777777" w:rsidR="001329AE" w:rsidRDefault="00CD0541">
      <w:pPr>
        <w:pStyle w:val="NormalHanging12a"/>
      </w:pPr>
      <w:r>
        <w:t>52.</w:t>
      </w:r>
      <w:r>
        <w:tab/>
        <w:t>domnieva sa, že budúci VFR musí vychádzať z práce vykonanej v súčasnom programovom období tak, že sa zabezpečí dostupnosť potrebných investícií do budovania skutočnej európskej zdravotnej únie, ktorá bude prínosom pre všetkých občanov;</w:t>
      </w:r>
    </w:p>
    <w:p w14:paraId="4CC1C7DC" w14:textId="77777777" w:rsidR="001329AE" w:rsidRDefault="00CD0541">
      <w:pPr>
        <w:pStyle w:val="NormalHanging12a"/>
      </w:pPr>
      <w:r>
        <w:t>53.</w:t>
      </w:r>
      <w:r>
        <w:tab/>
        <w:t xml:space="preserve">zdôrazňuje, že vďaka technologickému rozvoju sa škodlivým a oportunistickým zahraničným aktérom uľahčilo šírenie dezinformácií, podnecovanie nenávistných online prejavov, zasahovanie do volieb a stupňovanie kybernetických útokov proti záujmom Únie; trvá na tom, aby sa v budúcom VFR investovalo do posilnenej spôsobilosti v oblasti kybernetickej bezpečnosti a Únia bola vybavená na boj proti hybridnej vojne v jej rôznych podobách; </w:t>
      </w:r>
    </w:p>
    <w:p w14:paraId="411D320A" w14:textId="77777777" w:rsidR="001329AE" w:rsidRDefault="00CD0541">
      <w:pPr>
        <w:pStyle w:val="NormalHanging12a"/>
      </w:pPr>
      <w:r>
        <w:lastRenderedPageBreak/>
        <w:t>54.</w:t>
      </w:r>
      <w:r>
        <w:tab/>
        <w:t>zdôrazňuje, že sloboda, nezávislosť a pluralita médií sú základnými prvkami odolnosti Európy, ktoré zabezpečujú nielen voľný tok informácií, ale aj demokratické zmýšľanie, kritické myslenie a informované rozhodovanie; poukazuje na význam investícií do nezávislej a investigatívnej žurnalistiky, iniciatív na overovanie faktov, digitálnej a mediálnej gramotnosti a kritického myslenia s cieľom chrániť pred dezinformáciami, zahraničnou manipuláciou s informáciami a zasahovaním do volieb ako súčasti iniciatívy e</w:t>
      </w:r>
      <w:r>
        <w:t>urópskeho štítu na obranu demokraciu, a tým zaručiť demokratickú odolnosť; podčiarkuje, že treba pokračovať v rozpočtovej podpore Únie zacielenej na iniciatívy v týchto oblastiach;</w:t>
      </w:r>
    </w:p>
    <w:p w14:paraId="181591C9" w14:textId="77777777" w:rsidR="001329AE" w:rsidRDefault="00CD0541">
      <w:pPr>
        <w:pStyle w:val="NormalHanging12a"/>
      </w:pPr>
      <w:r>
        <w:t>55.</w:t>
      </w:r>
      <w:r>
        <w:tab/>
        <w:t>podčiarkuje význam pokračujúceho financovania účinnej ochrany vonkajších hraníc EÚ v budúcom VFR; zdôrazňuje potrebu bojovať proti nadnárodným zločineckým sieťam vrátane sietí nelegálneho obchodovania s ľuďmi a posilniť odolnosť a schopnosť reagovať s cieľom riešiť hybridné útoky a </w:t>
      </w:r>
      <w:proofErr w:type="spellStart"/>
      <w:r>
        <w:t>inštrumentalizáciu</w:t>
      </w:r>
      <w:proofErr w:type="spellEnd"/>
      <w:r>
        <w:t xml:space="preserve"> migrácie, najmä treťou krajinou alebo nepriateľským neštátnym subjektom; vyzdvihuje najmä potrebu podporovať členské štáty v prvej línii na účely ochrany vonkajších hraníc EÚ;</w:t>
      </w:r>
    </w:p>
    <w:p w14:paraId="0E8691EE" w14:textId="77777777" w:rsidR="001329AE" w:rsidRDefault="00CD0541">
      <w:pPr>
        <w:pStyle w:val="NormalHanging12a"/>
      </w:pPr>
      <w:r>
        <w:t>56.</w:t>
      </w:r>
      <w:r>
        <w:tab/>
        <w:t xml:space="preserve">zdôrazňuje, že odolnosť a pripravenosť EÚ sú neoddeliteľne prepojené s odolnosťou a pripravenosťou jej regionálnych a globálnych partnerov; zdôrazňuje, že posilnenie schopnosti partnerov predchádzať extrémnym poveternostným javom, zdravotným krízam, hybridným kampaniam, kybernetickým útokom alebo ozbrojeným konfliktom, odolávať im a účinne na </w:t>
      </w:r>
      <w:proofErr w:type="spellStart"/>
      <w:r>
        <w:t>ne</w:t>
      </w:r>
      <w:proofErr w:type="spellEnd"/>
      <w:r>
        <w:t xml:space="preserve"> reagovať znižuje aj riziko vedľajších účinkov pre Európu;</w:t>
      </w:r>
    </w:p>
    <w:p w14:paraId="5B991CFE" w14:textId="77777777" w:rsidR="001329AE" w:rsidRDefault="00CD0541">
      <w:pPr>
        <w:pStyle w:val="Normal12a24b"/>
      </w:pPr>
      <w:r>
        <w:rPr>
          <w:rStyle w:val="Italic"/>
        </w:rPr>
        <w:t>Vonkajšia činnosť a rozširovanie</w:t>
      </w:r>
    </w:p>
    <w:p w14:paraId="1BFA2BB2" w14:textId="77777777" w:rsidR="001329AE" w:rsidRDefault="00CD0541">
      <w:pPr>
        <w:pStyle w:val="NormalHanging12a"/>
      </w:pPr>
      <w:r>
        <w:t>57.</w:t>
      </w:r>
      <w:r>
        <w:tab/>
        <w:t xml:space="preserve">trvá na tom, že v kontexte zvýšenej globálnej </w:t>
      </w:r>
      <w:r>
        <w:t>nestability musí Únia naďalej konštruktívne spolupracovať s tretími krajinami a podporovať mier, stabilitu, prosperitu, bezpečnosť, ľudské práva, právny štát, rovnosť, demokraciu a udržateľný rozvoj na celom svete v súlade so svojimi hodnotami globálnej zodpovednosti a svojimi medzinárodnými záväzkami;</w:t>
      </w:r>
    </w:p>
    <w:p w14:paraId="676B02F6" w14:textId="77777777" w:rsidR="001329AE" w:rsidRDefault="00CD0541">
      <w:pPr>
        <w:pStyle w:val="NormalHanging12a"/>
      </w:pPr>
      <w:r>
        <w:t>58.</w:t>
      </w:r>
      <w:r>
        <w:tab/>
        <w:t>vyjadruje poľutovanie nad tým, že vonkajšia činnosť nebola v súčasnom VFR dostatočne financovaná, čo viedlo k významnému využívaniu osobitných nástrojov a výraznému posilneniu v rámci revízie v polovici trvania; konštatuje najmä, že financovanie humanitárnej pomoci bolo žalostne nedostatočné, čo viedlo k bežnému využívaniu rezervy na núdzovú pomoc;</w:t>
      </w:r>
    </w:p>
    <w:p w14:paraId="0F5D7328" w14:textId="77777777" w:rsidR="001329AE" w:rsidRDefault="00CD0541">
      <w:pPr>
        <w:pStyle w:val="NormalHanging12a"/>
      </w:pPr>
      <w:r>
        <w:t>59.</w:t>
      </w:r>
      <w:r>
        <w:tab/>
      </w:r>
      <w:r>
        <w:t>zdôrazňuje, že USA zrieknutím sa svojej povojnovej celosvetovej úlohy zaručovania mieru a bezpečnosti, vedenia globálneho riadenia v multilaterálnom medzinárodnom poriadku založenom na pravidlách a poskytovania základnej rozvojovej a humanitárnej pomoci tým, ktorí ju na celom svete najviac potrebujú, zanechá po sebe obrovské prázdno a že Únia nesie zodpovednosť za pomoc s vyplnením tohto prázdna, na čom má aj obrovský strategický záujem; vyzýva Komisiu, aby sa dôsledkami tohto zrieknutia USA zaoberala najne</w:t>
      </w:r>
      <w:r>
        <w:t>skôr vo svojom návrhu VFR na obdobie po roku 2027;</w:t>
      </w:r>
    </w:p>
    <w:p w14:paraId="0F178C91" w14:textId="77777777" w:rsidR="001329AE" w:rsidRDefault="00CD0541">
      <w:pPr>
        <w:pStyle w:val="NormalHanging12a"/>
      </w:pPr>
      <w:r>
        <w:t>60.</w:t>
      </w:r>
      <w:r>
        <w:tab/>
        <w:t xml:space="preserve">zdôrazňuje, že budúci VFR musí naďalej riešiť najnaliehavejšie globálne výzvy – od boja proti zmene klímy až po poskytovanie pomoci v prípade prírodných katastrof, prevenciu a riešenie násilných konfliktov a zaručenie globálnej bezpečnosti, zaistenie celosvetovej potravinovej bezpečnosti, zlepšovanie systémov zdravotnej starostlivosti a vzdelávania, znižovanie chudoby a nerovnosti, presadzovanie demokracie, ľudských práv, právneho štátu a sociálnej spravodlivosti a zvyšovanie konkurencieschopnosti a </w:t>
      </w:r>
      <w:r>
        <w:lastRenderedPageBreak/>
        <w:t>bezpeč</w:t>
      </w:r>
      <w:r>
        <w:t>nosti globálnych dodávateľských reťazcov – v súlade so zásadou súdržnosti politík v záujme rozvoja; zdôrazňuje najmä, že treba podporovať južné a východné susedstvo Únie;</w:t>
      </w:r>
    </w:p>
    <w:p w14:paraId="157851A6" w14:textId="77777777" w:rsidR="001329AE" w:rsidRDefault="00CD0541">
      <w:pPr>
        <w:pStyle w:val="NormalHanging12a"/>
      </w:pPr>
      <w:r>
        <w:t>61.</w:t>
      </w:r>
      <w:r>
        <w:tab/>
        <w:t>podčiarkuje, že najmä s ohľadom na dramatické zníženie rozpočtu USAID sa z rozpočtu musí podporovať úloha Únie ako hlavného poskytovateľa rozvojovej pomoci a financovania opatrení v oblasti zmeny klímy v súlade s globálnymi povinnosťami a záväzkami Únie; v tejto súvislosti pripomína, že Únia a jej členské štáty sa spoločne zaviazali vyčleniť 0,7 % svojich HND na oficiálnu rozvojovú pomoc a že zmierňovanie chudoby musí zostať ich hlavným cieľom; trvá na tom, že rozpočet musí naďalej podporovať Úniu v jej ús</w:t>
      </w:r>
      <w:r>
        <w:t xml:space="preserve">ilí o obranu medzinárodného poriadku založeného na pravidlách, demokracie, </w:t>
      </w:r>
      <w:proofErr w:type="spellStart"/>
      <w:r>
        <w:t>multilateralizmu</w:t>
      </w:r>
      <w:proofErr w:type="spellEnd"/>
      <w:r>
        <w:t>, ľudských práv a základných hodnôt;</w:t>
      </w:r>
    </w:p>
    <w:p w14:paraId="43E0FEE8" w14:textId="77777777" w:rsidR="001329AE" w:rsidRDefault="00CD0541">
      <w:pPr>
        <w:pStyle w:val="NormalHanging12a"/>
      </w:pPr>
      <w:r>
        <w:t>62.</w:t>
      </w:r>
      <w:r>
        <w:tab/>
        <w:t xml:space="preserve">trvá na tom, že vzhľadom na nebývalý rozsah humanitárnych kríz, rastúce globálne výzvy a neistotu pomoci USA za súčasnej vlády sa financovanie humanitárnej pomoci musí výrazne zvýšiť a že jeho využívanie musí zostať založené výlučne na potrebách, pričom sa musia zohľadňovať zásady neutrality, nezávislosti a nestrannosti; zdôrazňuje, že povaha humanitárnej pomoci založená na potrebách si vyžaduje účelovo viazané financovanie poskytované prostredníctvom samostatného výdavkového programu, ktorý je odlišný od </w:t>
      </w:r>
      <w:r>
        <w:t>iného financovania vonkajšej činnosti; ďalej podčiarkuje, že účinné poskytovanie humanitárnej pomoci je podmienené predvídateľnosťou prostredníctvom dostatočnej ročnej základnej sumy;</w:t>
      </w:r>
    </w:p>
    <w:p w14:paraId="299FED90" w14:textId="77777777" w:rsidR="001329AE" w:rsidRDefault="00CD0541">
      <w:pPr>
        <w:pStyle w:val="NormalHanging12a"/>
      </w:pPr>
      <w:r>
        <w:t>63.</w:t>
      </w:r>
      <w:r>
        <w:tab/>
        <w:t>zdôrazňuje, že humanitárna pomoc si vzhľadom na svoju povahu vyžaduje značnú flexibilitu a spôsobilosť rýchlej reakcie; domnieva sa preto, že okrem primeranej základnej sumy si návrh humanitárnej pomoci bude vyžadovať značnú účelovo viazanú flexibilitu s cieľom umožniť účinnú reakciu na rastúce krízy;</w:t>
      </w:r>
    </w:p>
    <w:p w14:paraId="77697AA3" w14:textId="77777777" w:rsidR="001329AE" w:rsidRDefault="00CD0541">
      <w:pPr>
        <w:pStyle w:val="NormalHanging12a"/>
      </w:pPr>
      <w:r>
        <w:t>64.</w:t>
      </w:r>
      <w:r>
        <w:tab/>
        <w:t>zdôrazňuje, že v situácii, keď globálni aktéri čoraz viac využívajú vzájomnú závislosť obchodu ako prostriedok hospodárskeho nátlaku, musí Únia posilniť svoju schopnosť chrániť a presadzovať vlastné strategické záujmy, vyvinúť spoľahlivejšie nástroje na boj proti nátlaku a zabezpečiť skutočnú reciprocitu vo svojich partnerstvách; zdôrazňuje, že takýto prístup si vyžaduje strategické prideľovanie vonkajšieho financovania s cieľom podporiť napríklad hospodárske partnerstvá a partnerstvá v oblasti bezpečnosti</w:t>
      </w:r>
      <w:r>
        <w:t xml:space="preserve"> a energetiky, ktoré sú v súlade s hodnotami a strategickými záujmami Únie;</w:t>
      </w:r>
    </w:p>
    <w:p w14:paraId="2492AA70" w14:textId="77777777" w:rsidR="001329AE" w:rsidRDefault="00CD0541">
      <w:pPr>
        <w:pStyle w:val="NormalHanging12a"/>
      </w:pPr>
      <w:r>
        <w:t>65.</w:t>
      </w:r>
      <w:r>
        <w:tab/>
        <w:t>domnieva sa, že rozširovanie je príležitosťou na posilnenie Únie ako geopolitickej mocnosti a že budúci VFR má zásadný význam pre prípravu Únie na rozšírenie a kandidátskych krajín na pristúpenie; pripomína, že stabilita, bezpečnosť a odolnosť demokracie v kandidátskych krajinách sú neoddeliteľne späté so stabilitou, bezpečnosťou a odolnosťou demokracie v EÚ a vyžadujú si trvalé strategické investície spojené s reformami na podporu ich konvergencie s normami Únie; zdôrazňuje dôležitú úlohu, ktorú občania a</w:t>
      </w:r>
      <w:r>
        <w:t> organizácie občianskej spoločnosti zohrávajú v procese rozširovania;</w:t>
      </w:r>
    </w:p>
    <w:p w14:paraId="29A161D5" w14:textId="77777777" w:rsidR="001329AE" w:rsidRDefault="00CD0541">
      <w:pPr>
        <w:pStyle w:val="NormalHanging12a"/>
      </w:pPr>
      <w:r>
        <w:t>66.</w:t>
      </w:r>
      <w:r>
        <w:tab/>
        <w:t>poukazuje na potrebu strategicky cielenej podpory predvstupovej pomoci a rastu a investícií; zastáva názor, že predvstupová pomoc po roku 2027 by sa mala poskytovať vo forme grantov aj úverov; v tejto súvislosti sa domnieva, že budúci rámec by mal umožniť inovačné mechanizmy financovania, ako aj poskytovanie úverov kandidátskym krajinám krytých manévrovacím priestorom rozpočtu (rozdielom medzi stropmi vlastných zdrojov a VFR);</w:t>
      </w:r>
    </w:p>
    <w:p w14:paraId="2F32E55F" w14:textId="77777777" w:rsidR="001329AE" w:rsidRDefault="00CD0541">
      <w:pPr>
        <w:pStyle w:val="NormalHanging12a"/>
      </w:pPr>
      <w:r>
        <w:lastRenderedPageBreak/>
        <w:t>67.</w:t>
      </w:r>
      <w:r>
        <w:tab/>
        <w:t xml:space="preserve">zdôrazňuje, že finančná podpora musí byť podmienená vykonávaním reforiem zosúladených s </w:t>
      </w:r>
      <w:proofErr w:type="spellStart"/>
      <w:r>
        <w:rPr>
          <w:i/>
          <w:iCs/>
        </w:rPr>
        <w:t>acquis</w:t>
      </w:r>
      <w:proofErr w:type="spellEnd"/>
      <w:r>
        <w:t xml:space="preserve"> a politikami Únie a </w:t>
      </w:r>
      <w:proofErr w:type="spellStart"/>
      <w:r>
        <w:t>a</w:t>
      </w:r>
      <w:proofErr w:type="spellEnd"/>
      <w:r>
        <w:t> dodržiavaním hodnôt Únie; v tejto súvislosti zdôrazňuje potrebu silného modelu riadenia, ktorý zabezpečí parlamentnú zodpovednosť, dohľad a kontrolu a silnú a účinnú architektúru boja proti podvodom;</w:t>
      </w:r>
    </w:p>
    <w:p w14:paraId="4E9641CE" w14:textId="77777777" w:rsidR="001329AE" w:rsidRDefault="00CD0541">
      <w:pPr>
        <w:pStyle w:val="NormalHanging12a"/>
      </w:pPr>
      <w:r>
        <w:t>68.</w:t>
      </w:r>
      <w:r>
        <w:tab/>
        <w:t>opätovne vyjadruje svoju plnú podporu Ukrajincom v ich boji za slobodu a demokraciu a odsudzuje hrozné utrpenie a dôsledky vyplývajúce z nevyprovokovanej a neospravedlniteľnej útočnej vojny Ruska; víta rozhodnutie udeliť Ukrajine a susednej Moldavskej republike štatút kandidátskej krajiny a trvá na tom, že treba vyčleniť potrebné finančné prostriedky na podporu ich prístupových procesov;</w:t>
      </w:r>
    </w:p>
    <w:p w14:paraId="756762EF" w14:textId="77777777" w:rsidR="001329AE" w:rsidRDefault="00CD0541">
      <w:pPr>
        <w:pStyle w:val="NormalHanging12a"/>
      </w:pPr>
      <w:r>
        <w:t>69.</w:t>
      </w:r>
      <w:r>
        <w:tab/>
        <w:t>zdôrazňuje, že predvstupová podpora Ukrajine musí byť samostatnou a dodatočnou pomocou k finančnej pomoci na makroekonomickú stabilitu, rekonštrukciu a povojnovú obnovu, ktorá sa vyznačuje oveľa zásadnejšími potrebami a vyžaduje si spoločné medzinárodné úsilie, ktorého dôležitou súčasťou by mala byť podpora z rozpočtu Únie;</w:t>
      </w:r>
    </w:p>
    <w:p w14:paraId="1A4B68A2" w14:textId="77777777" w:rsidR="001329AE" w:rsidRDefault="00CD0541">
      <w:pPr>
        <w:pStyle w:val="NormalHanging12a"/>
      </w:pPr>
      <w:r>
        <w:t>70.</w:t>
      </w:r>
      <w:r>
        <w:tab/>
        <w:t>je presvedčený, že existujúca povinná doložka o revízii v prípade rozšírenia by sa mala zachovať aj v ďalšom rámci a že vnútroštátne finančné prostriedky by nemali byť dotknuté; podčiarkuje, že v budúcom VFR sa budú musieť zaviesť aj vhodné prechodné a postupne zavádzané opatrenia pre kľúčové výdavkové oblasti, ako je súdržnosť a poľnohospodárstvo, a to na základe dôkladného posúdenia ich vplyvov na rôzne odvetvia;</w:t>
      </w:r>
    </w:p>
    <w:p w14:paraId="59F9C16D" w14:textId="77777777" w:rsidR="001329AE" w:rsidRDefault="00CD0541">
      <w:pPr>
        <w:pStyle w:val="Normal12a24b"/>
      </w:pPr>
      <w:r>
        <w:rPr>
          <w:rStyle w:val="Italic"/>
        </w:rPr>
        <w:t>Základné práva, hodnoty Únie a právny štát</w:t>
      </w:r>
    </w:p>
    <w:p w14:paraId="5D7E63BD" w14:textId="77777777" w:rsidR="001329AE" w:rsidRDefault="00CD0541">
      <w:pPr>
        <w:pStyle w:val="NormalHanging12a"/>
      </w:pPr>
      <w:r>
        <w:t>71.</w:t>
      </w:r>
      <w:r>
        <w:tab/>
        <w:t>zdôrazňuje význam rozpočtu Únie a programov ako Erasmus+ a Občania, rovnosť, práva a hodnoty pri podpore a ochrane demokracie a hodnôt Únie, posilňovaní spoločného kultúrneho dedičstva Únie a európskej integrácie, posilňovaní angažovanosti občanov, občianskeho vzdelávania a účasti mládeže, ako aj ochrane a podpore základných práv zakotvených v Charte základných práv a zásad právneho štátu; v tejto súvislosti vyzýva na zvýšenie financovania programu Erasmus+ v budúcom VFR; poukazuje na význam nezávislosti s</w:t>
      </w:r>
      <w:r>
        <w:t xml:space="preserve">údnictva, riadneho fungovania vnútroštátnych inštitúcií, </w:t>
      </w:r>
      <w:proofErr w:type="spellStart"/>
      <w:r>
        <w:t>deoligarchizácie</w:t>
      </w:r>
      <w:proofErr w:type="spellEnd"/>
      <w:r>
        <w:t>, rozsiahlej podpory aktívneho dialógu s občianskou spoločnosťou v súlade s článkom 11 ods. 2 Zmluvy o EÚ, ktorý je nevyhnutný na rozvíjanie aktívneho občianskeho priestoru, zabezpečenie zodpovednosti a transparentnosti a informovanie tvorcov politík o najlepších postupoch z praxe;</w:t>
      </w:r>
    </w:p>
    <w:p w14:paraId="54C52E23" w14:textId="77777777" w:rsidR="001329AE" w:rsidRDefault="00CD0541">
      <w:pPr>
        <w:pStyle w:val="NormalHanging12a"/>
      </w:pPr>
      <w:r>
        <w:t>72.</w:t>
      </w:r>
      <w:r>
        <w:tab/>
        <w:t>v tejto súvislosti zdôrazňuje, že prepracované znenie nariadenia o rozpočtových pravidlách vyžaduje, aby Komisia a členské štáty pri plnení rozpočtu zabezpečili dodržiavanie Charty základných práv a rešpektovali hodnoty, na ktorých je založená Únia a ktoré sú zakotvené v článku 2 Zmluvy o EÚ; očakáva, že Komisia zabezpečí, aby návrhy na budúci VFR vrátane výdavkových programov boli v súlade s prepracovaným znením nariadenia o rozpočtových pravidlách;</w:t>
      </w:r>
    </w:p>
    <w:p w14:paraId="2B87E4CF" w14:textId="77777777" w:rsidR="001329AE" w:rsidRDefault="00CD0541">
      <w:pPr>
        <w:pStyle w:val="NormalHanging12a"/>
      </w:pPr>
      <w:r>
        <w:t>73.</w:t>
      </w:r>
      <w:r>
        <w:tab/>
        <w:t xml:space="preserve">zdôrazňuje, že nestabilita v susedných a vzdialenejších regiónoch, chudoba, hlavné trendy hospodárskeho rozvoja, demografické zmeny a zmena klímy naďalej spôsobujú migračné toky do Únie, čo vytvára značný tlak na systémy azylu a migrácie; zdôrazňuje, že VFR na obdobie po roku 2027 musí podporovať úplné a urýchlené vykonávanie </w:t>
      </w:r>
      <w:proofErr w:type="spellStart"/>
      <w:r>
        <w:t>únijného</w:t>
      </w:r>
      <w:proofErr w:type="spellEnd"/>
      <w:r>
        <w:t xml:space="preserve"> Paktu o azyle a migrácii a účinných politík návratu a readmisie, a to v súlade so základnými právami a hodnotami EÚ vrátane zásady solidarity a spravodlivého rozdelenia zodpo</w:t>
      </w:r>
      <w:r>
        <w:t xml:space="preserve">vednosti; okrem toho zdôrazňuje, že v súlade s </w:t>
      </w:r>
      <w:r>
        <w:lastRenderedPageBreak/>
        <w:t>paktom musí EÚ pokračovať v posilnenej spolupráci a vzájomne prospešných partnerstvách s tretími krajinami v oblasti migrácie, pričom musí uplatňovať primeranú parlamentnú kontrolu, a že takáto spolupráca musí byť v súlade s právom EÚ a medzinárodným právom;</w:t>
      </w:r>
    </w:p>
    <w:p w14:paraId="1761A8DA" w14:textId="77777777" w:rsidR="001329AE" w:rsidRDefault="00CD0541">
      <w:pPr>
        <w:pStyle w:val="NormalHanging12a"/>
      </w:pPr>
      <w:r>
        <w:t>74.</w:t>
      </w:r>
      <w:r>
        <w:tab/>
        <w:t>zdôrazňuje, že dodržiavanie hodnôt a základných práv Únie je nevyhnutnou podmienkou prístupu k finančným prostriedkom EÚ; zdôrazňuje význam silných väzieb medzi dodržiavaním zásad právneho štátu a prístupom k finančným prostriedkom EÚ v rámci súčasného VFR; domnieva sa, že ochrana finančných záujmov Únie závisí od dodržiavania zásad právneho štátu na vnútroštátnej úrovni; víta najmä pozitívny vplyv nariadenia o podmienenosti právnym štátom na ochranu finančných záujmov Únie v prípadoch systémového a pretrv</w:t>
      </w:r>
      <w:r>
        <w:t>ávajúceho porušovania zásad právneho štátu; vyzýva Komisiu a Radu, aby nariadenie dôsledne, konzistentne a bez zbytočného odkladu uplatňovali vždy, keď je to potrebné; zdôrazňuje, že rozhodnutia o pozastavení alebo znížení financovania Únie v súvislosti s porušovaním zásad právneho štátu musia byť založené na objektívnych kritériách a nesmú sa riadiť inými úvahami ani výsledkom rokovaní;</w:t>
      </w:r>
    </w:p>
    <w:p w14:paraId="189769E5" w14:textId="77777777" w:rsidR="001329AE" w:rsidRDefault="00CD0541">
      <w:pPr>
        <w:pStyle w:val="NormalHanging12a"/>
      </w:pPr>
      <w:r>
        <w:t>75.</w:t>
      </w:r>
      <w:r>
        <w:tab/>
        <w:t xml:space="preserve">poukazuje na potrebu silnejšieho prepojenia medzi právnym štátom a rozpočtom Únie v období po roku 2027 a víta záväzok Komisie posilniť prepojenia medzi odporúčaniami uvedenými vo výročnej správe o právnom štáte a prístupom k finančným prostriedkom z rozpočtu; vyzýva Komisiu, aby vo výročnej správe o právnom štáte od roku 2025 načrtla rozsah, v akom zistené nedostatky v režimoch právneho štátu môžu potenciálne predstavovať riziko pre rozpočet Únie; okrem toho víta prepojenie medzi dodržiavaním hodnôt Únie </w:t>
      </w:r>
      <w:r>
        <w:t>a plnením rozpočtu a vyzýva Komisiu, aby aktívne monitorovala dodržiavanie tejto zásady jednotne členskými štátmi a v prípade jej nedodržiavania prijala rýchle opatrenia;</w:t>
      </w:r>
    </w:p>
    <w:p w14:paraId="03C64099" w14:textId="77777777" w:rsidR="001329AE" w:rsidRDefault="00CD0541">
      <w:pPr>
        <w:pStyle w:val="NormalHanging12a"/>
      </w:pPr>
      <w:r>
        <w:t>76.</w:t>
      </w:r>
      <w:r>
        <w:tab/>
        <w:t>vyzýva na konsolidáciu spoľahlivého súboru nástrojov na podporu právneho štátu, ktorá bude vychádzať zo súčasných ustanovení o podmienenosti v rámci Mechanizmu na podporu obnovy a odolnosti, horizontálnych základných podmienok v nariadení o spoločných ustanoveniach a príslušných ustanovení nariadenia o rozpočtových pravidlách a trvá na tom, že tento súbor nástrojov by mal zahŕňať celý rozpočet Únie; zdôrazňuje potrebu oveľa väčšej transparentnosti a konzistentnosti, pokiaľ ide o uplatňovanie nástrojov na o</w:t>
      </w:r>
      <w:r>
        <w:t>chranu právneho štátu, a posilnenia úlohy Európskeho parlamentu pri uplatňovaní a kontrole takýchto opatrení; okrem toho trvá na potrebe konzistentnosti nástrojov pri posudzovaní porušení zásad právneho štátu v členských štátoch;</w:t>
      </w:r>
    </w:p>
    <w:p w14:paraId="67A8EF38" w14:textId="77777777" w:rsidR="001329AE" w:rsidRDefault="00CD0541">
      <w:pPr>
        <w:pStyle w:val="NormalHanging12a"/>
      </w:pPr>
      <w:r>
        <w:t>77.</w:t>
      </w:r>
      <w:r>
        <w:tab/>
        <w:t>pripomína, že v nariadení o podmienenosti právnym štátom sa stanovuje, že koneční príjemcovia by nemali byť zbavení výhod z finančných prostriedkov EÚ v prípade uplatnenia sankcií voči ich vláde; domnieva sa, že toto ustanovenie doteraz nebolo účinné, a zdôrazňuje, že je dôležité uplatňovať prístup inteligentnej podmienenosti, aby príjemcovia neboli penalizovaní za opatrenia svojej vlády; vyzýva Komisiu, aby v súlade s vyjadreným zámerom v politických usmerneniach navrhla konkrétne opatrenia, ktorými sa za</w:t>
      </w:r>
      <w:r>
        <w:t>bezpečí, že miestne a regionálne orgány, občianska spoločnosť a iní príjemcovia môžu naďalej využívať finančné prostriedky Únie v prípadoch porušovania zásad právneho štátu národnými vládami bez toho, aby sa oslabilo uplatňovanie nariadenia a zachovala sa povinnosť členského štátu platiť podľa práva Únie;</w:t>
      </w:r>
    </w:p>
    <w:p w14:paraId="56EE15AD" w14:textId="77777777" w:rsidR="001329AE" w:rsidRDefault="00CD0541">
      <w:pPr>
        <w:pStyle w:val="NormalHanging12a"/>
        <w:ind w:left="0" w:firstLine="0"/>
      </w:pPr>
      <w:r>
        <w:rPr>
          <w:rStyle w:val="BoldItalic"/>
        </w:rPr>
        <w:t>Dlhodobý rozpočet, ktorý zohľadňuje politické ciele Únie</w:t>
      </w:r>
    </w:p>
    <w:p w14:paraId="06C281FE" w14:textId="77777777" w:rsidR="001329AE" w:rsidRDefault="00CD0541">
      <w:pPr>
        <w:pStyle w:val="NormalHanging12a"/>
      </w:pPr>
      <w:r>
        <w:lastRenderedPageBreak/>
        <w:t>78.</w:t>
      </w:r>
      <w:r>
        <w:tab/>
        <w:t>zdôrazňuje, že dlhodobý rozpočet, ktorý je plne v súlade so strategickými cieľmi Únie, si vyžaduje, aby sa kľúčové ciele začlenili do celého rozpočtu prostredníctvom súboru horizontálnych zásad, ktoré vychádzajú zo skúseností zo súčasného VFR a Mechanizmu na podporu obnovy a odolnosti;</w:t>
      </w:r>
    </w:p>
    <w:p w14:paraId="6F018F37" w14:textId="77777777" w:rsidR="001329AE" w:rsidRDefault="00CD0541">
      <w:pPr>
        <w:pStyle w:val="NormalHanging12a"/>
      </w:pPr>
      <w:r>
        <w:t>79.</w:t>
      </w:r>
      <w:r>
        <w:tab/>
        <w:t>pripomína, že vykonávanie horizontálnych zásad by nemalo viesť k nadmernému administratívnemu zaťaženiu príjemcov a malo by byť v súlade so zásadou proporcionality; požaduje inovatívne riešenia a využívanie automatizovaných nástrojov na podávanie správ vrátane umelej inteligencie s cieľom dosiahnuť efektívnejší zber údajov;</w:t>
      </w:r>
    </w:p>
    <w:p w14:paraId="29E015B0" w14:textId="77777777" w:rsidR="001329AE" w:rsidRDefault="00CD0541">
      <w:pPr>
        <w:pStyle w:val="NormalHanging12a"/>
      </w:pPr>
      <w:r>
        <w:t>80.</w:t>
      </w:r>
      <w:r>
        <w:tab/>
        <w:t>zdôrazňuje preto, že budúci VFR musí zabezpečiť, aby výdavkové programy vo všeobecnosti sledovali ciele v oblasti klímy a biodiverzity, presadzovali a chránili práva a rovnaké príležitosti pre všetkých vrátane rodovej rovnosti, podporovali konkurencieschopnosť a posilňovali pripravenosť Únie na hrozby;</w:t>
      </w:r>
    </w:p>
    <w:p w14:paraId="14ACB936" w14:textId="77777777" w:rsidR="001329AE" w:rsidRDefault="00CD0541">
      <w:pPr>
        <w:pStyle w:val="NormalHanging12a"/>
      </w:pPr>
      <w:r>
        <w:t>81.</w:t>
      </w:r>
      <w:r>
        <w:tab/>
        <w:t>poukazuje na to, že účinné začleňovanie sa najlepšie dosiahne prostredníctvom súboru opatrení, najmä návrhu politiky, projektov a právnych predpisov, dôkladného posúdenia vplyvu a dôkladného sledovania výdavkov a v osobitných prípadoch cieľových hodnôt výdavkov na základe relevantných a dostupných údajov; víta výrazné zlepšenie podávania správ o výkonnosti v súčasnom VFR, ktoré umožňuje oveľa lepšiu kontrolu vplyvu výdavkov EÚ, a žiada, aby sa toto zlepšenie ďalej rozvíjalo aj v nasledujúcom programovom ob</w:t>
      </w:r>
      <w:r>
        <w:t>dobí;</w:t>
      </w:r>
    </w:p>
    <w:p w14:paraId="414A0FE7" w14:textId="77777777" w:rsidR="001329AE" w:rsidRDefault="00CD0541">
      <w:pPr>
        <w:pStyle w:val="NormalHanging12a"/>
      </w:pPr>
      <w:r>
        <w:t>82.</w:t>
      </w:r>
      <w:r>
        <w:tab/>
        <w:t xml:space="preserve">víta vypracovanie metodiky na sledovanie výdavkov na rodovú rovnosť a domnieva sa, že v záujme zlepšenia tejto metodiky by sa v budúcom VFR mali uplatniť získané poznatky, najmä pokiaľ ide o zber údajov </w:t>
      </w:r>
      <w:r>
        <w:t>rozčlenených podľa pohlavia, monitorovanie vykonávania a vplyvu a administratívneho zaťaženia; vyzýva Komisiu, aby preskúmala uskutočniteľnosť rodového rozpočtovania v budúcom VFR; v rovnakom duchu zdôrazňuje potrebu výrazného zlepšenia metodík uplatňovania hľadiska klímy a biodiverzity, aby bolo možné prejsť k meraniu vplyvu;</w:t>
      </w:r>
    </w:p>
    <w:p w14:paraId="5150EF1A" w14:textId="77777777" w:rsidR="001329AE" w:rsidRDefault="00CD0541">
      <w:pPr>
        <w:pStyle w:val="NormalHanging12a"/>
      </w:pPr>
      <w:r>
        <w:t>83.</w:t>
      </w:r>
      <w:r>
        <w:tab/>
        <w:t>vyjadruje poľutovanie nad tým, že Komisia systematicky nevykonáva dôkladné posúdenia vplyvu vrátane posúdení vplyvu na rodovú rovnosť, pokiaľ ide o všetky právne predpisy týkajúce sa výdavkov z rozpočtu, a trvá na tom, aby sa to zmenilo;</w:t>
      </w:r>
    </w:p>
    <w:p w14:paraId="28F19EA6" w14:textId="77777777" w:rsidR="001329AE" w:rsidRDefault="00CD0541">
      <w:pPr>
        <w:pStyle w:val="NormalHanging12a"/>
      </w:pPr>
      <w:r>
        <w:t>84.</w:t>
      </w:r>
      <w:r>
        <w:tab/>
        <w:t xml:space="preserve">vyjadruje potešenie nad tým, že sa predpokladá, že v súčasnom VFR sa prekročí cieľ zohľadňovania problematiky zmeny klímy stanovený na úrovni 30 %; vyjadruje však poľutovanie nad tým, že Únia nie je na dobrej ceste splniť cieľ týkajúci sa výdavkov súvisiacich s biodiverzitou stanovený na úrovni 10 % pre rok 2026; domnieva sa, že ciele stanovené v </w:t>
      </w:r>
      <w:proofErr w:type="spellStart"/>
      <w:r>
        <w:t>medziinštitucionálnej</w:t>
      </w:r>
      <w:proofErr w:type="spellEnd"/>
      <w:r>
        <w:t xml:space="preserve"> dohode boli napriek tomu hlavným faktorom podnecujúcim výdavky na klímu a biodiverzitu; vyzýva Komisiu, aby prispôsobila cieľové hodnoty výd</w:t>
      </w:r>
      <w:r>
        <w:t xml:space="preserve">avkov, ktoré pozitívne prispievajú ku klíme a biodiverzite, súvisiacim politickým ambíciám Únie, pričom zohľadní investičné potreby týchto politických ambícií; </w:t>
      </w:r>
    </w:p>
    <w:p w14:paraId="586016DA" w14:textId="77777777" w:rsidR="001329AE" w:rsidRDefault="00CD0541">
      <w:pPr>
        <w:pStyle w:val="NormalHanging12a"/>
      </w:pPr>
      <w:r>
        <w:t>85.</w:t>
      </w:r>
      <w:r>
        <w:tab/>
        <w:t xml:space="preserve">okrem toho zdôrazňuje, že rozpočet Únie by sa mal plniť v súlade s článkom 33 ods. 2 nariadenia o rozpočtových pravidlách, a preto by pri jeho plnení nemalo dochádzať k </w:t>
      </w:r>
      <w:r>
        <w:lastRenderedPageBreak/>
        <w:t>výraznému narušeniu stanovených cieľov</w:t>
      </w:r>
      <w:r>
        <w:rPr>
          <w:rStyle w:val="FootnoteReference"/>
        </w:rPr>
        <w:footnoteReference w:id="12"/>
      </w:r>
      <w:r>
        <w:t xml:space="preserve"> a mali by sa dodržiavať platné pracovné podmienky a podmienky zamestnávania a zohľadňovať zásada rodovej rovnosti;</w:t>
      </w:r>
    </w:p>
    <w:p w14:paraId="79598D25" w14:textId="77777777" w:rsidR="001329AE" w:rsidRDefault="00CD0541">
      <w:pPr>
        <w:pStyle w:val="NormalHanging12a"/>
      </w:pPr>
      <w:r>
        <w:t>86.</w:t>
      </w:r>
      <w:r>
        <w:tab/>
        <w:t>víta záväzok Komisie postupne ukončiť všetky dotácie na fosílne palivá a dotácie škodlivé pre životné prostredie v budúcom VFR; očakáva, že Komisia predloží s tým súvisiaci pripravovaný plán ako súčasť svojho návrhu na budúci VFR;</w:t>
      </w:r>
    </w:p>
    <w:p w14:paraId="7B88D07B" w14:textId="77777777" w:rsidR="001329AE" w:rsidRDefault="00CD0541">
      <w:pPr>
        <w:pStyle w:val="Normal12a24b"/>
      </w:pPr>
      <w:r>
        <w:rPr>
          <w:rStyle w:val="BoldItalic"/>
        </w:rPr>
        <w:t xml:space="preserve">Dlhodobý rozpočet s efektívnou verejnou správou v službách Európanov </w:t>
      </w:r>
    </w:p>
    <w:p w14:paraId="4AB2EB41" w14:textId="77777777" w:rsidR="001329AE" w:rsidRDefault="00CD0541">
      <w:pPr>
        <w:pStyle w:val="NormalHanging12a"/>
      </w:pPr>
      <w:r>
        <w:t>87.</w:t>
      </w:r>
      <w:r>
        <w:tab/>
        <w:t xml:space="preserve">zdôrazňuje, že treba, aby oporou politík Únie bola dobre fungujúca verejná správa; trvá na tom, aby sa na obdobie po roku 2027 vyčlenili už od začiatku dostatočné finančné a personálne zdroje, aby inštitúcie, orgány a decentralizované agentúry Únie a Európska prokuratúra mohli zabezpečiť účinné a efektívne navrhovanie politík, ich kvalitné vykonávanie a presadzovanie, poskytovať technickú pomoc, naďalej priťahovať najlepších ľudí zo všetkých členských štátov, a tým zabezpečiť geografickú rovnováhu, a mali </w:t>
      </w:r>
      <w:r>
        <w:t>priestor na prispôsobenie sa meniacim sa okolnostiam;</w:t>
      </w:r>
    </w:p>
    <w:p w14:paraId="4CF7FE18" w14:textId="77777777" w:rsidR="001329AE" w:rsidRDefault="00CD0541">
      <w:pPr>
        <w:pStyle w:val="NormalHanging12a"/>
      </w:pPr>
      <w:r>
        <w:t>88.</w:t>
      </w:r>
      <w:r>
        <w:tab/>
        <w:t>vyjadruje poľutovanie nad tým, že schopnosť Únie účinne vykonávať politiku a chrániť svoje finančné záujmy v rámci súčasného VFR bola oslabená preťaženými administratívnymi zdrojmi a dogmatickým uplatňovaním politiky stabilného personálneho obsadenia, a to aj napriek rastúcim požiadavkám a zodpovednostiam; poukazuje napríklad na neposkytnutie dostatočného počtu zamestnancov na riadne vykonávanie a presadzovanie aktu o digitálnych službách</w:t>
      </w:r>
      <w:r>
        <w:rPr>
          <w:rStyle w:val="FootnoteReference"/>
        </w:rPr>
        <w:footnoteReference w:id="13"/>
      </w:r>
      <w:r>
        <w:t xml:space="preserve"> a aktu o digitálnych trhoch</w:t>
      </w:r>
      <w:r>
        <w:rPr>
          <w:rStyle w:val="FootnoteReference"/>
        </w:rPr>
        <w:footnoteReference w:id="14"/>
      </w:r>
      <w:r>
        <w:t>, čo oslabuje účinnosť týchto právnych predpisov, a na opakujúce sa prerozdeľovanie prostriedkov z programov na decentralizované agentúry s cieľom pokryť personálne potreby; trvá na tom, aby sa počet zamestnancov určoval objektívnym posúdením potrieb v čase návrhu a konečného prijatia právneho predpisu a aby tento počet bol pri plánovaní administratívnych výdavkov od začiatku zohľadnený;</w:t>
      </w:r>
    </w:p>
    <w:p w14:paraId="60DBC49F" w14:textId="77777777" w:rsidR="001329AE" w:rsidRDefault="00CD0541">
      <w:pPr>
        <w:pStyle w:val="NormalHanging12a"/>
      </w:pPr>
      <w:r>
        <w:t>89.</w:t>
      </w:r>
      <w:r>
        <w:tab/>
        <w:t>zdôrazňuje, že Komisia sa do určitej miery snažila obísť svoju vlastnú politiku stabilného personálneho obsadenia tým, že zvyšovala počet zamestnancov pridelených k programom a nástrojom, na ktorých sa tak nevzťahoval strop administratívnych výdavkov; zdôrazňuje však, že takýto prístup len zakrýva problém a v konečnom dôsledku môže oslabiť operačnú kapacitu programov; preto trvá na tom, že dodatočné povinnosti si vyžadujú administratívne výdavky a nesmú narúšať finančné krytie programov;</w:t>
      </w:r>
    </w:p>
    <w:p w14:paraId="6A12E2CC" w14:textId="77777777" w:rsidR="001329AE" w:rsidRDefault="00CD0541">
      <w:pPr>
        <w:pStyle w:val="NormalHanging12a"/>
      </w:pPr>
      <w:r>
        <w:lastRenderedPageBreak/>
        <w:t>90.</w:t>
      </w:r>
      <w:r>
        <w:tab/>
        <w:t xml:space="preserve">zdôrazňuje, že počiatočné investície do bezpečnej a </w:t>
      </w:r>
      <w:proofErr w:type="spellStart"/>
      <w:r>
        <w:t>interoperabilnej</w:t>
      </w:r>
      <w:proofErr w:type="spellEnd"/>
      <w:r>
        <w:t xml:space="preserve"> IT infraštruktúry a spôsobilostí hĺbkovej analýzy údajov môžu takisto priniesť dlhodobejšie úspory nákladov a výrazne zlepšiť realizáciu politiky a sledovanie výdavkov;</w:t>
      </w:r>
    </w:p>
    <w:p w14:paraId="7193A08C" w14:textId="77777777" w:rsidR="001329AE" w:rsidRDefault="00CD0541">
      <w:pPr>
        <w:pStyle w:val="NormalHanging12a"/>
      </w:pPr>
      <w:r>
        <w:t>91.</w:t>
      </w:r>
      <w:r>
        <w:tab/>
        <w:t>uznáva, že vzhľadom na absenciu akéhokoľvek korekčného mechanizmu v súčasnom VFR vysoká inflácia výrazne zvýšila štatutárne náklady, čo si vyžiadalo rozsiahle využívanie osobitných nástrojov na pokrytie daného nedostatku; vyjadruje poľutovanie nad tým, že Rada sa rozhodla neprijať návrh Komisie na zvýšenie stropu administratívnych výdavkov v rámci revízie VFR, čo ešte viac oslabilo osobitné nástroje;</w:t>
      </w:r>
    </w:p>
    <w:p w14:paraId="4782FF0A" w14:textId="77777777" w:rsidR="001329AE" w:rsidRDefault="00CD0541">
      <w:pPr>
        <w:pStyle w:val="Normal12a24b"/>
      </w:pPr>
      <w:r>
        <w:rPr>
          <w:rStyle w:val="BoldItalic"/>
        </w:rPr>
        <w:t>Dlhodobý rozpočet, ktorý je jednoduchší a transparentnejší</w:t>
      </w:r>
    </w:p>
    <w:p w14:paraId="077EF6EE" w14:textId="77777777" w:rsidR="001329AE" w:rsidRDefault="00CD0541">
      <w:pPr>
        <w:pStyle w:val="NormalHanging12a"/>
      </w:pPr>
      <w:r>
        <w:t>92.</w:t>
      </w:r>
      <w:r>
        <w:tab/>
        <w:t>zdôrazňuje, že budúci VFR musí byť navrhnutý tak, aby zjednodušil život všetkých príjemcov tým, že sa zníži zbytočná byrokracia; zdôrazňuje, že zjednodušenie si bude vyžadovať harmonizáciu pravidiel a požiadaviek na podávanie správ všade tam, kde je to možné, vrátane prípadného zabezpečenia súladu medzi platnými pravidlami na európskej, vnútroštátnej a regionálnej úrovni; v tejto súvislosti podčiarkuje potrebu skutočného a používateľsky ústretového jednotného kontaktného miesta pre financovanie z prostried</w:t>
      </w:r>
      <w:r>
        <w:t>kov EÚ a zjednodušeného postupu podávania žiadostí, ktorý bude navrhnutý po konzultácii s príslušnými zainteresovanými stranami; okrem toho poukazuje na to, že budúci VFR sa musí vykonávať čo najbližšie k ľuďom;</w:t>
      </w:r>
    </w:p>
    <w:p w14:paraId="2CD3C933" w14:textId="77777777" w:rsidR="001329AE" w:rsidRDefault="00CD0541">
      <w:pPr>
        <w:pStyle w:val="NormalHanging12a"/>
      </w:pPr>
      <w:r>
        <w:t>93.</w:t>
      </w:r>
      <w:r>
        <w:tab/>
        <w:t>požaduje skutočné zjednodušenie, čo sa týka prekrývajúcich sa cieľov, rozdielnych kritérií oprávnenosti a rôznych pravidiel upravujúcich horizontálne ustanovenia, ktoré by mali byť v prípade všetkých programov jednotné; domnieva sa, že posúdenie toho, ktoré výdavkové programy by sa mali zahrnúť do budúceho VFR, musí vychádzať z uvedených aspektov, z potreby zamerať výdavky na jasne určené ciele politiky s jasnou európskou pridanou hodnotou a z politickej intervenčnej logiky každého programu; zdôrazňuje, že</w:t>
      </w:r>
      <w:r>
        <w:t xml:space="preserve"> zníženie počtu programov nie je samoúčelné;</w:t>
      </w:r>
    </w:p>
    <w:p w14:paraId="53DA80F8" w14:textId="77777777" w:rsidR="001329AE" w:rsidRDefault="00CD0541">
      <w:pPr>
        <w:pStyle w:val="NormalHanging12a"/>
      </w:pPr>
      <w:r>
        <w:t>94.</w:t>
      </w:r>
      <w:r>
        <w:tab/>
        <w:t>zdôrazňuje, že zjednodušenie nemôže znamenať väčšiu voľnosť pre Komisiu bez potrebného systému bŕzd a protiváh, a preto sa musí dosiahnuť pri plnom rešpektovaní inštitucionálnej rovnováhy stanovenej v zmluvách;</w:t>
      </w:r>
    </w:p>
    <w:p w14:paraId="009282F7" w14:textId="77777777" w:rsidR="001329AE" w:rsidRDefault="00CD0541">
      <w:pPr>
        <w:pStyle w:val="NormalHanging12a"/>
      </w:pPr>
      <w:r>
        <w:t>95.</w:t>
      </w:r>
      <w:r>
        <w:tab/>
        <w:t>trvá na tom, že zjednodušenie by sa nemalo uskutočniť na úkor kvality návrhu a vykonávania programov a že preto jednoduchší rozpočet musí byť zároveň transparentnejším rozpočtom, ktorý umožní lepšiu zodpovednosť, kontrolu, dohľad nad výdavkami a zníži riziko dvojitého financovania, zneužitia a podvodov; zdôrazňuje, že akékoľvek zníženie počtu programov musí byť kompenzované oveľa podrobnejším rozdelením rozpočtu podľa rozpočtových riadkov, na rozdiel od niektorých zlúčení programov v súčasnom VFR, ako je N</w:t>
      </w:r>
      <w:r>
        <w:t>ástroj susedstva a rozvojovej a medzinárodnej spolupráce – Globálna Európa (ďalej len „nástroj NDICI – Globálna Európa“), čo je príklad nehodný nasledovania; požaduje preto dostatočne podrobné rozdelenie rozpočtu podľa rozpočtových riadkov s cieľom umožniť rozpočtovému orgánu plniť si riadne zodpovednosť a zabezpečiť, aby rozhodovanie v rámci ročného rozpočtového postupu a počas plnenia rozpočtu bolo zmysluplné;</w:t>
      </w:r>
    </w:p>
    <w:p w14:paraId="0FB6DB2E" w14:textId="77777777" w:rsidR="001329AE" w:rsidRDefault="00CD0541">
      <w:pPr>
        <w:pStyle w:val="NormalHanging12a"/>
      </w:pPr>
      <w:r>
        <w:t>96.</w:t>
      </w:r>
      <w:r>
        <w:tab/>
        <w:t xml:space="preserve">pripomína, že transparentnosť je nevyhnutná na zachovanie dôvery občanov a že podvody a zneužívanie finančných prostriedkov sú pre túto dôveru mimoriadne škodlivé; preto zdôrazňuje, že Európsky parlament musí môcť kontrolovať výdavky a </w:t>
      </w:r>
      <w:r>
        <w:lastRenderedPageBreak/>
        <w:t>posúdiť, či možno udeliť absolutórium; trvá na tom, že riadna zodpovednosť si vyžaduje dôkladný audit všetkých rozpočtových výdavkov založený na uplatňovaní jednotného audítorského záznamu; vyzýva Komisiu, aby zaviedla zosúladené a účinné mechanizmy boja proti podvodom v rám</w:t>
      </w:r>
      <w:r>
        <w:t>ci všetkých nástrojov financovania VFR na obdobie po roku 2027, ktoré zabezpečia ochranu rozpočtu Únie;</w:t>
      </w:r>
    </w:p>
    <w:p w14:paraId="750335F2" w14:textId="77777777" w:rsidR="001329AE" w:rsidRDefault="00CD0541">
      <w:pPr>
        <w:pStyle w:val="NormalHanging12a"/>
      </w:pPr>
      <w:r>
        <w:t>97.</w:t>
      </w:r>
      <w:r>
        <w:tab/>
        <w:t>opakuje svoju dlhodobú pozíciu, že všetky výdavky na úrovni EÚ by mali byť v právomoci rozpočtového orgánu, čím sa zabezpečí transparentnosť, demokratická kontrola a ochrana finančných záujmov Únie; vyzýva preto na úplné zahrnutie (čiastočne) mimorozpočtových nástrojov, ako sú Sociálno-klimatický fond, Inovačný fond a Modernizačný fond, alebo ich nástupcov do rozpočtu;</w:t>
      </w:r>
    </w:p>
    <w:p w14:paraId="17398023" w14:textId="77777777" w:rsidR="001329AE" w:rsidRDefault="00CD0541">
      <w:pPr>
        <w:pStyle w:val="Normal12a24b"/>
      </w:pPr>
      <w:r>
        <w:rPr>
          <w:rStyle w:val="BoldItalic"/>
        </w:rPr>
        <w:t>Dlhodobý rozpočet, ktorý je pružnejší a lepšie reaguje na krízy a otrasy</w:t>
      </w:r>
    </w:p>
    <w:p w14:paraId="13F57A49" w14:textId="77777777" w:rsidR="001329AE" w:rsidRDefault="00CD0541">
      <w:pPr>
        <w:pStyle w:val="NormalHanging12a"/>
      </w:pPr>
      <w:r>
        <w:t>98.</w:t>
      </w:r>
      <w:r>
        <w:tab/>
        <w:t xml:space="preserve">poukazuje na to, že VFR tradične nie je koncipovaný s logikou reakcie na krízu alebo flexibility, ale bol navrhnutý predovšetkým na zabezpečenie </w:t>
      </w:r>
      <w:r>
        <w:t>strednodobej predvídateľnosti investícií; zdôrazňuje, že v rýchlo sa meniacom politickom, bezpečnostnom, hospodárskom a sociálnom kontexte už takýto prístup nie je udržateľný; trvá na dostatočnej vnútornej schopnosti reagovať na krízy v budúcom VFR;</w:t>
      </w:r>
    </w:p>
    <w:p w14:paraId="4B610581" w14:textId="77777777" w:rsidR="001329AE" w:rsidRDefault="00CD0541">
      <w:pPr>
        <w:pStyle w:val="NormalHanging12a"/>
      </w:pPr>
      <w:r>
        <w:t>99.</w:t>
      </w:r>
      <w:r>
        <w:tab/>
        <w:t>zdôrazňuje, že súčasný VFR trápila nedostatočná flexibilita a neschopnosť prispôsobiť sa vyvíjajúcim sa výdavkovým prioritám; domnieva sa, že v budúcom VFR sa musí dosiahnuť lepšia rovnováha medzi predvídateľnosťou investícií a flexibilitou, aby bolo možné upraviť zameranie výdavkov; zdôrazňuje, že výdavky v určitých oblastiach si vyžadujú väčšiu stabilitu ako v iných oblastiach, kde je cennejšia flexibilita; zdôrazňuje, že opakujúce sa prerozdeľovanie prostriedkov nie je vhodným spôsobom financovania prio</w:t>
      </w:r>
      <w:r>
        <w:t>rít Únie, pretože poškodzuje investície a ohrozuje plnenie dohodnutých politických cieľov;</w:t>
      </w:r>
    </w:p>
    <w:p w14:paraId="641D0E89" w14:textId="77777777" w:rsidR="001329AE" w:rsidRDefault="00CD0541">
      <w:pPr>
        <w:pStyle w:val="NormalHanging12a"/>
      </w:pPr>
      <w:r>
        <w:t>100.</w:t>
      </w:r>
      <w:r>
        <w:tab/>
        <w:t>domnieva sa, že hoci výdavkové programy vyčleňujú podstatnú časť finančných prostriedkov na ciele vopred, mali by si ponechať značnú rezervu na vlastnú flexibilitu, pričom o pridelení prostriedkov na konkrétne politické ciele má rozhodnúť rozpočtový orgán; konštatuje, že rezerva na vznikajúce výzvy a priority v rámci nástroja NDICI – Globálna Európa predstavuje model takejto rezervy na flexibilitu, ale rozhodovací proces jej mobilizácie sa nesmie odkopírovať do budúceho VFR; poukazuje na potrebu silnejších</w:t>
      </w:r>
      <w:r>
        <w:t xml:space="preserve">, účinnejších kontrolných právomocí </w:t>
      </w:r>
      <w:proofErr w:type="spellStart"/>
      <w:r>
        <w:t>spoluzákonodarcov</w:t>
      </w:r>
      <w:proofErr w:type="spellEnd"/>
      <w:r>
        <w:t>, pokiaľ ide o stanovovanie politických priorít a cieľov, a na potrebu podrobného rozdelenia rozpočtu, aby sa zabezpečila spôsobilosť rozpočtového orgánu prijímať zmysluplné a informované rozhodnutia;</w:t>
      </w:r>
    </w:p>
    <w:p w14:paraId="49C39475" w14:textId="77777777" w:rsidR="001329AE" w:rsidRDefault="00CD0541">
      <w:pPr>
        <w:pStyle w:val="NormalHanging12a"/>
      </w:pPr>
      <w:r>
        <w:t>101.</w:t>
      </w:r>
      <w:r>
        <w:tab/>
        <w:t>zdôrazňuje, že VFR musí mať v rámci každého okruhu dostatočné rezervy, aby sa zabezpečilo, že nové nástroje alebo výdavkové ciele dohodnuté počas programového obdobia sa budú môcť realizovať bez toho, aby sa narušilo financovanie iných politických a dlhodobých strategických cieľov alebo aby uberali prostriedky určené na schopnosť reagovať na krízy;</w:t>
      </w:r>
    </w:p>
    <w:p w14:paraId="6F231B8D" w14:textId="77777777" w:rsidR="001329AE" w:rsidRDefault="00CD0541">
      <w:pPr>
        <w:pStyle w:val="NormalHanging12a"/>
      </w:pPr>
      <w:r>
        <w:t>102.</w:t>
      </w:r>
      <w:r>
        <w:tab/>
        <w:t xml:space="preserve">zdôrazňuje, že možnosť rozpočtových presunov podľa nariadenia o rozpočtových pravidlách už umožňuje flexibilne sa prispôsobiť vyvíjajúcim sa potrebám výdavkov v priebehu plnenia rozpočtu; zdôrazňuje, že podľa súčasných pravidiel má Komisia veľkú voľnosť pri presúvaní značných súm medzi oblasťami politiky bez schválenia </w:t>
      </w:r>
      <w:r>
        <w:lastRenderedPageBreak/>
        <w:t xml:space="preserve">rozpočtovým orgánom, čo obmedzuje kontrolu a dohľad; preto žiada, aby sa pravidlá zmenili tak, že sa okrem maximálneho percentuálneho podielu na rozpočtovú položku zavedie aj maximálna suma </w:t>
      </w:r>
      <w:r>
        <w:t>pre presuny bez schválenia; domnieva sa, že v prípade presunov z iných inštitúcií Únie ako Komisie, ktoré podliehajú možnej riadne odôvodnenej námietke Európskeho parlamentu alebo Rady, by mohlo byť užitočným zjednodušením stanovenie prahovej hodnoty, pod ktorou by boli z tohto postupu vyňaté;</w:t>
      </w:r>
    </w:p>
    <w:p w14:paraId="30E4E244" w14:textId="77777777" w:rsidR="001329AE" w:rsidRDefault="00CD0541">
      <w:pPr>
        <w:pStyle w:val="NormalHanging12a"/>
      </w:pPr>
      <w:r>
        <w:t>103.</w:t>
      </w:r>
      <w:r>
        <w:tab/>
        <w:t>pripomína, že súčasný VFR je vystavený ďalšiemu tlaku v dôsledku vysokej úrovne inflácie v kontexte, keď sa na ceny z roku 2018 uplatňuje ročný deflátor vo výške 2 %, čo znižuje reálnu hodnotu rozpočtu a jeho prevádzkovú a administratívnu kapacitu; preto sa domnieva, že budúci rozpočet by mal byť vybavený dostatočnou schopnosťou reagovať, aby sa rozpočet mohol prispôsobiť inflačným šokom;</w:t>
      </w:r>
    </w:p>
    <w:p w14:paraId="57C90FDC" w14:textId="77777777" w:rsidR="001329AE" w:rsidRDefault="00CD0541">
      <w:pPr>
        <w:pStyle w:val="NormalHanging12a"/>
      </w:pPr>
      <w:r>
        <w:t>104.</w:t>
      </w:r>
      <w:r>
        <w:tab/>
        <w:t>požaduje zásadnú reformu existujúcich osobitných nástrojov na posilnenie schopnosti reagovať na krízy a zaručenie účinnej a okamžitej reakcie prostredníctvom rýchlejšej mobilizácie; zdôrazňuje, že súčasné nástroje nemajú primeranú veľkosť a sú obmedzené prehnanou nepružnosťou, pričom viaceré nástroje sú účinne účelovo viazané podľa typu krízy; poukazuje na to, že posilnenou schopnosťou reagovať na krízy sa zabezpečí, že na tento účel sa nebudú využívať fondy politiky súdržnosti, a bude ich tak možné použiť</w:t>
      </w:r>
      <w:r>
        <w:t xml:space="preserve"> na investičné ciele, na ktoré boli plánované;</w:t>
      </w:r>
    </w:p>
    <w:p w14:paraId="57725DDC" w14:textId="77777777" w:rsidR="001329AE" w:rsidRDefault="00CD0541">
      <w:pPr>
        <w:pStyle w:val="NormalHanging12a"/>
      </w:pPr>
      <w:r>
        <w:t>105.</w:t>
      </w:r>
      <w:r>
        <w:tab/>
        <w:t xml:space="preserve">domnieva sa, že VFR na obdobie po roku 2027 by mal zahŕňať len dva </w:t>
      </w:r>
      <w:r>
        <w:t>osobitné nástroje – jeden určený na zabezpečenie solidarity v prípade prírodných katastrof (nástupca existujúcej európskej rezervy na solidaritu) a jeden na všeobecnú reakciu na krízu a na reakciu na akékoľvek nepredvídané potreby a vznikajúce priority, a to aj v prípadoch, keď sú sumy v osobitnom nástroji pre prírodné katastrofy nedostatočné (nástupca nástroja flexibility); trvá na tom, že oba osobitné nástroje by mali byť od začiatku primerane financované a počas obdobia VFR by malo byť možné preniesť nev</w:t>
      </w:r>
      <w:r>
        <w:t>yčerpané sumy na neobmedzený čas; domnieva sa, že všetky ostatné osobitné nástroje možno buď zrušiť, alebo zahrnúť do týchto dvoch osobitných nástrojov alebo do existujúcich programov;</w:t>
      </w:r>
    </w:p>
    <w:p w14:paraId="5987B330" w14:textId="77777777" w:rsidR="001329AE" w:rsidRDefault="00CD0541">
      <w:pPr>
        <w:pStyle w:val="NormalHanging12a"/>
      </w:pPr>
      <w:r>
        <w:t>106.</w:t>
      </w:r>
      <w:r>
        <w:tab/>
        <w:t>žiada, aby sa prostriedky pre budúci nástroj flexibility vyčlenili hneď na začiatku vo veľkej výške a následne sa dopĺňali z viacerých dodatočných zdrojov financovania: nevyčerpaných rezerv z predchádzajúcich rokov (ako v prípade súčasného nástroja jednotnej rezervy), ročného prebytky z predchádzajúceho roka, mechanizmu založeného na pokutách podľa vzoru existujúceho článku 5 nariadenia o VFR, spätných tokov prostriedkov z finančných nástrojov a rozpočtových prostriedkov, ktorých viazanosť bola zrušená; zd</w:t>
      </w:r>
      <w:r>
        <w:t>ôrazňuje, že budúci VFR by mal byť navrhnutý tak, aby z budúcich osobitných nástrojov nebolo potrebné pokrývať splácanie dlhu;</w:t>
      </w:r>
    </w:p>
    <w:p w14:paraId="45F2125A" w14:textId="77777777" w:rsidR="001329AE" w:rsidRDefault="00CD0541">
      <w:pPr>
        <w:pStyle w:val="NormalHanging12a"/>
      </w:pPr>
      <w:r>
        <w:t>107.</w:t>
      </w:r>
      <w:r>
        <w:tab/>
        <w:t>zdôrazňuje, že opätovné použitie prebytku, spätných tokov prostriedkov z finančných nástrojov a z tvorby rezerv z prebytku a zrušenie viazanosti by si vyžadovalo zmeny nariadenia o rozpočtových pravidlách;</w:t>
      </w:r>
    </w:p>
    <w:p w14:paraId="72B6DF55" w14:textId="77777777" w:rsidR="001329AE" w:rsidRDefault="00CD0541">
      <w:pPr>
        <w:pStyle w:val="NormalHanging12a"/>
      </w:pPr>
      <w:r>
        <w:t>108.</w:t>
      </w:r>
      <w:r>
        <w:tab/>
        <w:t>poukazuje na to, že s dostatočnými počiatočnými zdrojmi a takýmito mechanizmami na opätovné použitie nevyužitých finančných prostriedkov by rozpočet mal oveľa väčšiu schopnosť reagovať bez toho, aby to malo vplyv na predvídateľnosť príspevkov členských štátov založených na HND; trvá na tom, že v prípade VFR s väčšou flexibilitou a schopnosťou reagovať je menšia pravdepodobnosť potreby jeho podstatnej revízie v polovici trvania;</w:t>
      </w:r>
    </w:p>
    <w:p w14:paraId="6CA2BB82" w14:textId="77777777" w:rsidR="001329AE" w:rsidRDefault="00CD0541">
      <w:pPr>
        <w:pStyle w:val="Normal12a24b"/>
      </w:pPr>
      <w:r>
        <w:rPr>
          <w:rStyle w:val="BoldItalic"/>
        </w:rPr>
        <w:lastRenderedPageBreak/>
        <w:t xml:space="preserve">Dlhodobý rozpočet, ktorý je viac zameraný na výsledky </w:t>
      </w:r>
    </w:p>
    <w:p w14:paraId="3A005F57" w14:textId="77777777" w:rsidR="001329AE" w:rsidRDefault="00CD0541">
      <w:pPr>
        <w:pStyle w:val="NormalHanging12a"/>
      </w:pPr>
      <w:r>
        <w:t>109.</w:t>
      </w:r>
      <w:r>
        <w:tab/>
        <w:t>zdôrazňuje, že v záujme maximalizácie vplyvu je nevyhnutné, aby výdavky v rámci budúceho VFR boli oveľa prísnejšie zosúladené so strategickými politickými cieľmi Únie a lepšie koordinované s výdavkami na vnútroštátnej úrovni; zdôrazňuje, že konzultácie s regionálnymi a miestnymi orgánmi sú zase nevyhnutné na uľahčenie prístupu k financovaniu a na zabezpečenie toho, aby podpora Únie zodpovedala skutočným potrebám konečných prijímateľov a prinášala ľuďom hmatateľné výhody; vyzdvihuje dôležitosť technickej po</w:t>
      </w:r>
      <w:r>
        <w:t>moci poskytovanej vykonávacím orgánom s cieľom pomôcť zabezpečiť včasné vykonávanie, doplnkovosť investícií a tým aj maximálny vplyv;</w:t>
      </w:r>
    </w:p>
    <w:p w14:paraId="3B5662D9" w14:textId="77777777" w:rsidR="001329AE" w:rsidRDefault="00CD0541">
      <w:pPr>
        <w:pStyle w:val="NormalHanging12a"/>
      </w:pPr>
      <w:r>
        <w:t>110.</w:t>
      </w:r>
      <w:r>
        <w:tab/>
        <w:t>podčiarkuje, že Komisia v záujme podpory účinnej koordinácie výdavkov Únie s vnútroštátnymi výdavkami plánuje „nový, štíhly riadiaci mechanizmus“ koncipovaný „na posilnenie prepojenia medzi celkovou koordináciou politík a rozpočtom EÚ“; trvá na tom, že Európsky parlament má plniť plnohodnotnú rozhodovaciu úlohu v akomkoľvek mechanizme určenom na koordináciu alebo riadenie;</w:t>
      </w:r>
    </w:p>
    <w:p w14:paraId="7C1AFB4A" w14:textId="77777777" w:rsidR="001329AE" w:rsidRDefault="00CD0541">
      <w:pPr>
        <w:pStyle w:val="NormalHanging12a"/>
      </w:pPr>
      <w:r>
        <w:t>111.</w:t>
      </w:r>
      <w:r>
        <w:tab/>
        <w:t>domnieva sa, že Mechanizmus na podporu obnovy a odolnosti vďaka zameraniu na výkonnosť a prepojeniam medzi reformami a investíciami a rozpočtovou podporou pomohol stimulovať vnútroštátne investície a reformy, ktoré by sa inak neuskutočnili;</w:t>
      </w:r>
    </w:p>
    <w:p w14:paraId="32274BA2" w14:textId="77777777" w:rsidR="001329AE" w:rsidRDefault="00CD0541">
      <w:pPr>
        <w:pStyle w:val="NormalHanging12a"/>
      </w:pPr>
      <w:r>
        <w:t>112.</w:t>
      </w:r>
      <w:r>
        <w:tab/>
        <w:t>zdôrazňuje, že Mechanizmus na podporu obnovy a odolnosti môže pomôcť pri plnení výdavkov Únie v rámci zdieľaného riadenia; pripomína však, že Mechanizmus na podporu obnovy a odolnosti bol dohodnutý vo veľmi špecifickom kontexte pandémie ochorenia COVID-19, a preto ho ako celok nemožno použiť ako vzor pre budúce investičné programy;</w:t>
      </w:r>
    </w:p>
    <w:p w14:paraId="288D422C" w14:textId="77777777" w:rsidR="001329AE" w:rsidRDefault="00CD0541">
      <w:pPr>
        <w:pStyle w:val="NormalHanging12a"/>
      </w:pPr>
      <w:r>
        <w:t>113.</w:t>
      </w:r>
      <w:r>
        <w:tab/>
        <w:t>poukazuje na to, že vynakladanie výdavkov v rámci zdieľaného riadenia v budúcom VFR musí zahŕňať zapojenie regionálnych a miestnych orgánov a všetkých príslušných zainteresovaných strán od fázy návrhu až po realizáciu, a to prostredníctvom prístupu založeného na miestnom a viacúrovňovom riadení a v súlade so zásadou zlepšeného partnerstva, zabezpečiť cezhraničný európsky rozmer investičných projektov a zamerať sa skôr na výsledky a vplyv než na výstupy stanovením merateľných ukazovateľov výkonnosti, zabezp</w:t>
      </w:r>
      <w:r>
        <w:t>ečením dostupnosti príslušných údajov a vplývaním na návrh a úpravu programu;</w:t>
      </w:r>
    </w:p>
    <w:p w14:paraId="4E304DED" w14:textId="77777777" w:rsidR="001329AE" w:rsidRDefault="00CD0541">
      <w:pPr>
        <w:pStyle w:val="NormalHanging12a"/>
      </w:pPr>
      <w:r>
        <w:t>114.</w:t>
      </w:r>
      <w:r>
        <w:tab/>
        <w:t xml:space="preserve">zdôrazňuje, že koncepcia výdavkov v rámci zdieľaného riadenia v rámci budúceho VFR musí chrániť úlohu Európskeho parlamentu ako zákonodarcu, rozpočtového orgánu a orgánu udeľujúceho absolutórium a berúceho výkonnú moc na zodpovednosť, zaviesť prísne mechanizmy zodpovednosti a zaručiť úplnú transparentnosť vo vzťahu ku konečným príjemcom alebo skupinám príjemcov výdavkových prostriedkov Únie prostredníctvom </w:t>
      </w:r>
      <w:proofErr w:type="spellStart"/>
      <w:r>
        <w:t>interoperabilného</w:t>
      </w:r>
      <w:proofErr w:type="spellEnd"/>
      <w:r>
        <w:t xml:space="preserve"> systému umožňujúceho účinné sledovanie peňažných tokov a postupného vykonávania pro</w:t>
      </w:r>
      <w:r>
        <w:t>jektov;</w:t>
      </w:r>
    </w:p>
    <w:p w14:paraId="2E2A62ED" w14:textId="77777777" w:rsidR="001329AE" w:rsidRDefault="00CD0541">
      <w:pPr>
        <w:pStyle w:val="NormalHanging12a"/>
      </w:pPr>
      <w:r>
        <w:t>115.</w:t>
      </w:r>
      <w:r>
        <w:tab/>
        <w:t>domnieva sa, že prístup „jeden národný plán pre každý členský štát“ plánovaný Komisiou nie je v súlade s vyššie uvedenými zásadami a nemôže byť základom pre výdavky v rámci zdieľaného riadenia po roku 2027; v tejto súvislosti pripomína, že Únia je podľa článku 175 ZFEÚ povinná poskytovať podporu prostredníctvom nástrojov pre poľnohospodárske, regionálne a sociálne výdavky;</w:t>
      </w:r>
    </w:p>
    <w:p w14:paraId="2B21F22B" w14:textId="77777777" w:rsidR="001329AE" w:rsidRDefault="00CD0541">
      <w:pPr>
        <w:pStyle w:val="Normal12a24b"/>
      </w:pPr>
      <w:r>
        <w:rPr>
          <w:rStyle w:val="BoldItalic"/>
        </w:rPr>
        <w:lastRenderedPageBreak/>
        <w:t>Dlhodobý rozpočet, ktorým sa záväzky spravujú udržateľne</w:t>
      </w:r>
    </w:p>
    <w:p w14:paraId="50542DD1" w14:textId="77777777" w:rsidR="001329AE" w:rsidRDefault="00CD0541">
      <w:pPr>
        <w:pStyle w:val="NormalHanging12a"/>
      </w:pPr>
      <w:r>
        <w:t>116.</w:t>
      </w:r>
      <w:r>
        <w:tab/>
        <w:t xml:space="preserve">pripomína, že Európsky parlament veľmi dôrazne odmieta podriadiť splácanie nákladov na prijaté úvery a pôžičky NGEU stropu vnútri kapitoly VFR, keďže tieto náklady podliehajú trhovým podmienkam, ktoré sú ovplyvnené vonkajšími faktormi, a teda sú vo svojej podstate nestále, a že splácanie nákladov na prijaté úvery a pôžičky je </w:t>
      </w:r>
      <w:proofErr w:type="spellStart"/>
      <w:r>
        <w:t>nediskrečnou</w:t>
      </w:r>
      <w:proofErr w:type="spellEnd"/>
      <w:r>
        <w:t xml:space="preserve"> právnou povinnosťou; zdôrazňuje, že zavedenie nových vlastných zdrojov je potrebné aj na zabránenie tomu, aby budúce generácie znášali bremeno minulých dlhov;</w:t>
      </w:r>
    </w:p>
    <w:p w14:paraId="486E8EBB" w14:textId="77777777" w:rsidR="001329AE" w:rsidRDefault="00CD0541">
      <w:pPr>
        <w:pStyle w:val="NormalHanging12a"/>
      </w:pPr>
      <w:r>
        <w:t>117.</w:t>
      </w:r>
      <w:r>
        <w:tab/>
        <w:t xml:space="preserve">vyjadruje poľutovanie nad tým, že v rámci existujúcej štruktúry a napriek spoločnému vyhláseniu troch inštitúcií v rámci dohody o VFR z roku 2020, podľa ktorého výdavky na krytie nákladov na financovanie NGEU „sa zameriavajú na neznižovanie programov a fondov“, nastáva situácia, keď financovanie kľúčových programov a zdrojov Únie, ktoré sú k dispozícii pre osobitné nástroje, aj po revízii VFR, de </w:t>
      </w:r>
      <w:proofErr w:type="spellStart"/>
      <w:r>
        <w:t>facto</w:t>
      </w:r>
      <w:proofErr w:type="spellEnd"/>
      <w:r>
        <w:t xml:space="preserve"> konkuruje splácaniu nákladov na prijaté úvery a pôžičky NGEU v kontexte prudkej inflácie a rastúcich úrok</w:t>
      </w:r>
      <w:r>
        <w:t>ových sadzieb; pripomína, že tlak na rozpočet spôsobený nákladmi na prijaté úvery a pôžičky NGEU bol kľúčovým faktorom škrtov v hlavných programoch pri revízii VFR;</w:t>
      </w:r>
    </w:p>
    <w:p w14:paraId="546673AC" w14:textId="77777777" w:rsidR="001329AE" w:rsidRDefault="00CD0541">
      <w:pPr>
        <w:pStyle w:val="NormalHanging12a"/>
      </w:pPr>
      <w:r>
        <w:t>118.</w:t>
      </w:r>
      <w:r>
        <w:tab/>
        <w:t>zdôrazňuje, že do dnešného dňa sa z rozpočtu Únie museli splácať len úroky súvisiace s NGEU a že od roku 2028 sa bude musieť z rozpočtu splácať aj istina; zdôrazňuje, že podľa Komisie celkové náklady na splácanie istiny a úrokov NGEU majú byť od roku 2028 približne 25 – 30 miliárd EUR ročne, čo predstavuje 15 – 20 % platobných rozpočtových prostriedkov rozpočtu na rok 2025;</w:t>
      </w:r>
    </w:p>
    <w:p w14:paraId="79708238" w14:textId="77777777" w:rsidR="001329AE" w:rsidRDefault="00CD0541">
      <w:pPr>
        <w:pStyle w:val="NormalHanging12a"/>
      </w:pPr>
      <w:r>
        <w:t>119.</w:t>
      </w:r>
      <w:r>
        <w:tab/>
        <w:t>uznáva, že zatiaľ čo náklady na prijaté úvery a pôžičky NGEU budú v nasledujúcom období VFR stabilnejšie, keďže dlhopisy už budú emitované, presný profil splácania bude mať vplyv na úroveň úrokov, a tým aj na mieru volatility; preto trvá na tom, že so všetkými nákladmi súvisiacimi s pôžičkami zabezpečenými rozpočtom Únie alebo manévrovacím priestorom rozpočtu sa zaobchádzalo odlišne než s rozpočtovými prostriedkami na programy EÚ v rámci štruktúry VFR;</w:t>
      </w:r>
    </w:p>
    <w:p w14:paraId="6C409E65" w14:textId="77777777" w:rsidR="001329AE" w:rsidRDefault="00CD0541">
      <w:pPr>
        <w:pStyle w:val="NormalHanging12a"/>
      </w:pPr>
      <w:r>
        <w:t>120.</w:t>
      </w:r>
      <w:r>
        <w:tab/>
        <w:t xml:space="preserve">v tejto súvislosti poukazuje na rastúci dopyt po tom, aby rozpočet Únie slúžil ako záruka kľúčovej podpory Únie prostredníctvom </w:t>
      </w:r>
      <w:proofErr w:type="spellStart"/>
      <w:r>
        <w:t>makrofinančnej</w:t>
      </w:r>
      <w:proofErr w:type="spellEnd"/>
      <w:r>
        <w:t xml:space="preserve"> pomoci a súvisiacich rizík; zdôrazňuje, že v prípade platobnej neschopnosti alebo zrušenia vnútroštátnych záruk rozpočet Únie v konečnom dôsledku upíše všetky úvery </w:t>
      </w:r>
      <w:proofErr w:type="spellStart"/>
      <w:r>
        <w:t>makrofinančnej</w:t>
      </w:r>
      <w:proofErr w:type="spellEnd"/>
      <w:r>
        <w:t xml:space="preserve"> pomoci, a preto nesie významné a vo svojej podstate nepredvídateľné podmienené záväzky, najmä vo vzťahu k Ukrajine;</w:t>
      </w:r>
    </w:p>
    <w:p w14:paraId="060972DE" w14:textId="77777777" w:rsidR="001329AE" w:rsidRDefault="00CD0541">
      <w:pPr>
        <w:pStyle w:val="NormalHanging12a"/>
      </w:pPr>
      <w:r>
        <w:t>121.</w:t>
      </w:r>
      <w:r>
        <w:tab/>
        <w:t xml:space="preserve">vyzýva preto Komisiu, aby navrhla spoľahlivú a trvalú štruktúru, ktorá umožní udržateľné riadenie všetkých </w:t>
      </w:r>
      <w:proofErr w:type="spellStart"/>
      <w:r>
        <w:t>nediskrečných</w:t>
      </w:r>
      <w:proofErr w:type="spellEnd"/>
      <w:r>
        <w:t xml:space="preserve"> nákladov a záväzkov, pričom sa v plnej miere zachovajú programy Únie a flexibilita a schopnosť reakcie rozpočtu;</w:t>
      </w:r>
    </w:p>
    <w:p w14:paraId="338870F6" w14:textId="77777777" w:rsidR="001329AE" w:rsidRDefault="00CD0541">
      <w:pPr>
        <w:pStyle w:val="Normal12a24b"/>
      </w:pPr>
      <w:r>
        <w:rPr>
          <w:rStyle w:val="BoldItalic"/>
        </w:rPr>
        <w:t>Dlhodobý rozpočet, ktorý má primerané zdroje a je financovaný udržateľne</w:t>
      </w:r>
    </w:p>
    <w:p w14:paraId="14625DB1" w14:textId="77777777" w:rsidR="001329AE" w:rsidRDefault="00CD0541">
      <w:pPr>
        <w:pStyle w:val="NormalHanging12a"/>
      </w:pPr>
      <w:r>
        <w:t>122.</w:t>
      </w:r>
      <w:r>
        <w:tab/>
        <w:t xml:space="preserve">zdôrazňuje, že ako už bolo uvedené, rozpočtové potreby po roku 2027 budú výrazne vyššie ako sumy pridelené na VFR na roky 2021 – 2027 a navyše budú musieť pokryť náklady na prijaté úvery a pôžičky a na splácanie dlhu; preto trvá na tom, že budúci VFR musí byť vybavený vyšším objemom zdrojov v porovnaní s obdobím rokov 2021 – 2027 a musí sa pri ňom upustiť od historicky reštriktívnej úrovne 1 % HND, ktorú si </w:t>
      </w:r>
      <w:r>
        <w:lastRenderedPageBreak/>
        <w:t>Únia sama stanovila a ktorá jej bráni plniť si ambície a oberá ju o schopnosť reagovať na krízy a pr</w:t>
      </w:r>
      <w:r>
        <w:t>ispôsobovať sa vznikajúcim potrebám;</w:t>
      </w:r>
    </w:p>
    <w:p w14:paraId="1CB11E5A" w14:textId="77777777" w:rsidR="001329AE" w:rsidRDefault="00CD0541">
      <w:pPr>
        <w:pStyle w:val="NormalHanging12a"/>
      </w:pPr>
      <w:r>
        <w:t>123.</w:t>
      </w:r>
      <w:r>
        <w:tab/>
        <w:t xml:space="preserve">domnieva sa, že by sa mali preskúmať všetky nástroje s cieľom poskytnúť Únii tieto zdroje v súlade s jej prioritami a identifikovanými potrebami; v tejto súvislosti sa domnieva, že spoločné pôžičky založené na emisii dlhopisov EÚ predstavujú schodnú možnosť, ako zabezpečiť, aby Únia mala dostatočné zdroje na reakcie na akútne </w:t>
      </w:r>
      <w:proofErr w:type="spellStart"/>
      <w:r>
        <w:t>celoúnijné</w:t>
      </w:r>
      <w:proofErr w:type="spellEnd"/>
      <w:r>
        <w:t xml:space="preserve"> krízy, ako je prebiehajúca kríza v oblasti bezpečnosti a obrany;</w:t>
      </w:r>
    </w:p>
    <w:p w14:paraId="51E62E5F" w14:textId="77777777" w:rsidR="001329AE" w:rsidRDefault="00CD0541">
      <w:pPr>
        <w:pStyle w:val="NormalHanging12a"/>
      </w:pPr>
      <w:r>
        <w:t>124.</w:t>
      </w:r>
      <w:r>
        <w:tab/>
        <w:t xml:space="preserve">opätovne zdôrazňuje potrebu udržateľných a odolných príjmov pre rozpočet Únie; poukazuje na právne záväzný plán na zavedenie nových vlastných zdrojov v </w:t>
      </w:r>
      <w:proofErr w:type="spellStart"/>
      <w:r>
        <w:t>medziinštitucionálnej</w:t>
      </w:r>
      <w:proofErr w:type="spellEnd"/>
      <w:r>
        <w:t xml:space="preserve"> dohode, v ktorom sa Európsky parlament, Rada a Komisia zaviazali zaviesť dostatočné nové vlastné zdroje aspoň na pokrytie splácania dlhu NGEU; zdôrazňuje, že celkovo by kôš nových vlastných zdrojov mal byť spravodlivý, napojený na širšie politické ciele Únie a dohodnutý včas a na dostatočný objem prostriedkov, ktoré pokryjú zvýšené roz</w:t>
      </w:r>
      <w:r>
        <w:t>počtové potreby;</w:t>
      </w:r>
    </w:p>
    <w:p w14:paraId="068DDDE3" w14:textId="77777777" w:rsidR="001329AE" w:rsidRDefault="00CD0541">
      <w:pPr>
        <w:pStyle w:val="NormalHanging12a"/>
      </w:pPr>
      <w:r>
        <w:t>125.</w:t>
      </w:r>
      <w:r>
        <w:tab/>
        <w:t>pripomína, že podporuje zmenený návrh Komisie o systéme vlastných zdrojov; je hlboko znepokojený tým, že Rada vôbec nepokročila, čo sa týka systému vlastných zdrojov; vyzýva Radu, aby tento návrh urýchlene prijala; a naliehavo vyzýva Komisiu, aby vynaložila maximálne úsilie na podporu procesu prijímania návrhu;</w:t>
      </w:r>
    </w:p>
    <w:p w14:paraId="0B860C1C" w14:textId="77777777" w:rsidR="001329AE" w:rsidRDefault="00CD0541">
      <w:pPr>
        <w:pStyle w:val="NormalHanging12a"/>
      </w:pPr>
      <w:r>
        <w:t>126.</w:t>
      </w:r>
      <w:r>
        <w:tab/>
        <w:t xml:space="preserve">ďalej naliehavo vyzýva Komisiu, aby sa naďalej usilovala určiť ďalšie inovatívne a skutočné nové vlastné zdroje a iné zdroje príjmov nad rámec tých, ktoré sú uvedené v </w:t>
      </w:r>
      <w:proofErr w:type="spellStart"/>
      <w:r>
        <w:t>medziinštitucionálnej</w:t>
      </w:r>
      <w:proofErr w:type="spellEnd"/>
      <w:r>
        <w:t xml:space="preserve"> dohode; zdôrazňuje, že nové vlastné zdroje sú nevyhnutné nielen na to, aby umožnili splácať úvery a pôžičky NGEU, ale aj na zabezpečenie toho, aby Únia mala dostatočné zdroje na pokrytie svojich vyšších výdavkových potrieb;</w:t>
      </w:r>
    </w:p>
    <w:p w14:paraId="308B3BF4" w14:textId="77777777" w:rsidR="001329AE" w:rsidRDefault="00CD0541">
      <w:pPr>
        <w:pStyle w:val="NormalHanging12a"/>
      </w:pPr>
      <w:r>
        <w:t>127.</w:t>
      </w:r>
      <w:r>
        <w:tab/>
        <w:t>vyzýva Komisiu, aby navrhla modernizovaný rozpočet so zmeneným zameraním výdavkov, ktorý bude založený na potrebe spravodlivosti, väčšieho zjednodušenia, zníženého administratívneho zaťaženia a väčšej transparentnosti, a to aj na strane príjmov; zdôrazňuje, že platnosť existujúcich úľav a korekcií automaticky uplynie na konci súčasného VFR;</w:t>
      </w:r>
    </w:p>
    <w:p w14:paraId="6887D8CE" w14:textId="77777777" w:rsidR="001329AE" w:rsidRDefault="00CD0541">
      <w:pPr>
        <w:pStyle w:val="NormalHanging12a"/>
      </w:pPr>
      <w:r>
        <w:t>128.</w:t>
      </w:r>
      <w:r>
        <w:tab/>
        <w:t>víta rozhodnutie v prepracovanom znení nariadenia o rozpočtových pravidlách považovať za záporný príjem všetky úroky alebo iné poplatky splatné tretej strane, ktoré sa týkajú súm pokút, iných penále alebo sankcií, ktoré Súdny dvor zrušil alebo znížil; pripomína, že toto riešenie sa skončí 31. decembra 2027; vyzýva Komisiu, aby pre nasledujúci VFR navrhla konečné riešenie, ktorým sa dosiahne rovnaký cieľ, a to vyhnúť sa akémukoľvek vplyvu na výdavkovú časť rozpočtu;</w:t>
      </w:r>
    </w:p>
    <w:p w14:paraId="3E953685" w14:textId="77777777" w:rsidR="001329AE" w:rsidRDefault="00CD0541">
      <w:pPr>
        <w:pStyle w:val="Normal12a24b"/>
      </w:pPr>
      <w:r>
        <w:rPr>
          <w:rStyle w:val="BoldItalic"/>
        </w:rPr>
        <w:t xml:space="preserve">Dlhodobý rozpočet založený na úzkej </w:t>
      </w:r>
      <w:proofErr w:type="spellStart"/>
      <w:r>
        <w:rPr>
          <w:rStyle w:val="BoldItalic"/>
        </w:rPr>
        <w:t>medziinštitucionálnej</w:t>
      </w:r>
      <w:proofErr w:type="spellEnd"/>
      <w:r>
        <w:rPr>
          <w:rStyle w:val="BoldItalic"/>
        </w:rPr>
        <w:t xml:space="preserve"> spolupráci</w:t>
      </w:r>
    </w:p>
    <w:p w14:paraId="7D59646E" w14:textId="77777777" w:rsidR="001329AE" w:rsidRDefault="00CD0541">
      <w:pPr>
        <w:pStyle w:val="NormalHanging12a"/>
      </w:pPr>
      <w:r>
        <w:t>129.</w:t>
      </w:r>
      <w:r>
        <w:tab/>
        <w:t>zdôrazňuje, že Európsky parlament má v úmysle v plnej miere vykonávať svoje právomoci zákonodarcu, rozpočtového orgánu a orgánu udeľujúceho absolutórium, ktoré mu boli priznané zmluvami;</w:t>
      </w:r>
    </w:p>
    <w:p w14:paraId="696EC12D" w14:textId="77777777" w:rsidR="001329AE" w:rsidRDefault="00CD0541">
      <w:pPr>
        <w:pStyle w:val="NormalHanging12a"/>
      </w:pPr>
      <w:r>
        <w:t>130.</w:t>
      </w:r>
      <w:r>
        <w:tab/>
        <w:t xml:space="preserve">pripomína, že požiadavka úzkej </w:t>
      </w:r>
      <w:proofErr w:type="spellStart"/>
      <w:r>
        <w:t>medziinštitucionálnej</w:t>
      </w:r>
      <w:proofErr w:type="spellEnd"/>
      <w:r>
        <w:t xml:space="preserve"> spolupráce medzi Komisiou, Radou a Európskym parlamentom od počiatočných fáz návrhu až po konečné prijatie VFR je zakotvená v zmluvách a podrobnejšie rozpracovaná v </w:t>
      </w:r>
      <w:proofErr w:type="spellStart"/>
      <w:r>
        <w:t>medziinštitucionálnej</w:t>
      </w:r>
      <w:proofErr w:type="spellEnd"/>
      <w:r>
        <w:t xml:space="preserve"> dohode;</w:t>
      </w:r>
    </w:p>
    <w:p w14:paraId="58F5C6DE" w14:textId="77777777" w:rsidR="001329AE" w:rsidRDefault="00CD0541">
      <w:pPr>
        <w:pStyle w:val="NormalHanging12a"/>
      </w:pPr>
      <w:r>
        <w:lastRenderedPageBreak/>
        <w:t>131.</w:t>
      </w:r>
      <w:r>
        <w:tab/>
        <w:t>zdôrazňuje záväzok Európskeho parlamentu plne zohrávať svoju úlohu počas celého procesu; domnieva sa, že VFR by mal byť koncipovaný zdola nahor a mal by byť založený na rozsiahlom zapojení zainteresovaných strán; okrem toho zdôrazňuje potrebu strategického dialógu medzi tromi inštitúciami pred návrhmi VFR;</w:t>
      </w:r>
    </w:p>
    <w:p w14:paraId="67DB2596" w14:textId="77777777" w:rsidR="001329AE" w:rsidRDefault="00CD0541">
      <w:pPr>
        <w:pStyle w:val="NormalHanging12a"/>
      </w:pPr>
      <w:r>
        <w:t>132.</w:t>
      </w:r>
      <w:r>
        <w:tab/>
        <w:t xml:space="preserve">vyzýva Komisiu, aby od začiatku predložila praktické opatrenia na spoluprácu a skutočné rokovania; poukazuje najmä na význam zvolávania stretnutí troch predsedov podľa článku 324 ZFEÚ vždy, keď môžu pomôcť dosiahnuť pokrok, a trvá na tom, aby Komisia konala v nadväznosti na žiadosti Európskeho parlamentu o takéto schôdze; pripomína Komisii jej povinnosť poskytovať Európskemu parlamentu informácie za rovnakých podmienok ako Rade ako dvom zložkám rozpočtového orgánu a </w:t>
      </w:r>
      <w:proofErr w:type="spellStart"/>
      <w:r>
        <w:t>spoluzákonodarcom</w:t>
      </w:r>
      <w:proofErr w:type="spellEnd"/>
      <w:r>
        <w:t xml:space="preserve"> základných aktov súvis</w:t>
      </w:r>
      <w:r>
        <w:t>iacich s VFR;</w:t>
      </w:r>
    </w:p>
    <w:p w14:paraId="5D3DDDC2" w14:textId="77777777" w:rsidR="001329AE" w:rsidRDefault="00CD0541">
      <w:pPr>
        <w:pStyle w:val="NormalHanging12a"/>
      </w:pPr>
      <w:r>
        <w:t>133.</w:t>
      </w:r>
      <w:r>
        <w:tab/>
        <w:t xml:space="preserve">pripomína, že v </w:t>
      </w:r>
      <w:proofErr w:type="spellStart"/>
      <w:r>
        <w:t>medziinštitucionálnej</w:t>
      </w:r>
      <w:proofErr w:type="spellEnd"/>
      <w:r>
        <w:t xml:space="preserve"> dohode sa osobitne stanovuje, že Európsky parlament, Rada a Komisia sa usilujú „stanoviť osobitné dojednania pre vzájomnú spoluprácu a dialóg“; zdôrazňuje, že ustanovenia o spolupráci stanovené v </w:t>
      </w:r>
      <w:proofErr w:type="spellStart"/>
      <w:r>
        <w:t>medziinštitucionálnej</w:t>
      </w:r>
      <w:proofErr w:type="spellEnd"/>
      <w:r>
        <w:t xml:space="preserve"> dohode vrátane pravidelných stretnutí medzi Európskym parlamentom a Radou predstavujú absolútne minimum a že na uplatnenie zásady uvedenej v článku 312 ods. 5 ZFEÚ, t. j. prijať „všetky opatrenia potrebné na uľahčenie“ prijatia nového VFR, je potrebné ove</w:t>
      </w:r>
      <w:r>
        <w:t>ľa viac; vyzýva preto nasledujúce predsedníctva Rady, aby rešpektovali nielen literu, ale aj ducha zmlúv;</w:t>
      </w:r>
    </w:p>
    <w:p w14:paraId="29713564" w14:textId="77777777" w:rsidR="001329AE" w:rsidRDefault="00CD0541">
      <w:pPr>
        <w:pStyle w:val="NormalHanging12a"/>
      </w:pPr>
      <w:r>
        <w:t>134.</w:t>
      </w:r>
      <w:r>
        <w:tab/>
        <w:t>pripomína, že neskoré prijatie nariadenia o VFR a súvisiacich právnych predpisov na obdobie rokov 2014 – 2020 a na obdobie rokov 2021 – 2027 viedlo k značným oneskoreniam, ktoré bránili riadnemu vykonávaniu programov EÚ; preto trvá na tom, aby sa vynaložilo maximálne úsilie na zabezpečenie včasného prijatia nadchádzajúceho balíka VFR;</w:t>
      </w:r>
    </w:p>
    <w:p w14:paraId="771A15F7" w14:textId="77777777" w:rsidR="001329AE" w:rsidRDefault="00CD0541">
      <w:pPr>
        <w:pStyle w:val="NormalHanging12a"/>
      </w:pPr>
      <w:r>
        <w:t>135.</w:t>
      </w:r>
      <w:r>
        <w:tab/>
        <w:t xml:space="preserve">očakáva, že Komisia v rámci balíka návrhov VFR predloží novú </w:t>
      </w:r>
      <w:proofErr w:type="spellStart"/>
      <w:r>
        <w:t>medziinštitucionálnu</w:t>
      </w:r>
      <w:proofErr w:type="spellEnd"/>
      <w:r>
        <w:t xml:space="preserve"> dohodu v súlade s realitou nového rozpočtu, a to aj pokiaľ ide o riadenie podmienených záväzkov; zdôrazňuje, že zmeny nariadenia o rozpočtových pravidlách potrebné na jeho zosúladenie s novým VFR by mali nadobudnúť účinnosť súčasne s nariadením o VFR;</w:t>
      </w:r>
    </w:p>
    <w:p w14:paraId="3EC9A05D" w14:textId="77777777" w:rsidR="001329AE" w:rsidRDefault="00CD0541">
      <w:pPr>
        <w:pStyle w:val="NormalHanging12a"/>
        <w:ind w:left="0" w:firstLine="0"/>
        <w:jc w:val="center"/>
      </w:pPr>
      <w:r>
        <w:t>°</w:t>
      </w:r>
    </w:p>
    <w:p w14:paraId="5819DE89" w14:textId="77777777" w:rsidR="001329AE" w:rsidRDefault="00CD0541">
      <w:pPr>
        <w:pStyle w:val="NormalHanging12a"/>
        <w:ind w:left="0" w:firstLine="0"/>
        <w:jc w:val="center"/>
      </w:pPr>
      <w:r>
        <w:t>°     °</w:t>
      </w:r>
    </w:p>
    <w:p w14:paraId="737B03EF" w14:textId="77777777" w:rsidR="001329AE" w:rsidRDefault="00CD0541">
      <w:pPr>
        <w:pStyle w:val="NormalHanging12a"/>
      </w:pPr>
      <w:r>
        <w:t>136.</w:t>
      </w:r>
      <w:r>
        <w:tab/>
        <w:t>poveruje svoju predsedníčku, aby postúpila toto uznesenie Rade a Komisii.</w:t>
      </w:r>
    </w:p>
    <w:p w14:paraId="5152E3AE" w14:textId="77777777" w:rsidR="001329AE" w:rsidRDefault="001329AE"/>
    <w:sectPr w:rsidR="001329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FD5F4" w14:textId="77777777" w:rsidR="001329AE" w:rsidRDefault="00CD0541">
      <w:r>
        <w:separator/>
      </w:r>
    </w:p>
  </w:endnote>
  <w:endnote w:type="continuationSeparator" w:id="0">
    <w:p w14:paraId="7057AC87" w14:textId="77777777" w:rsidR="001329AE" w:rsidRDefault="00CD0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5494B" w14:textId="77777777" w:rsidR="001329AE" w:rsidRDefault="001329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1CBAD" w14:textId="77777777" w:rsidR="001329AE" w:rsidRDefault="001329A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6EC72" w14:textId="77777777" w:rsidR="001329AE" w:rsidRDefault="001329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A1238" w14:textId="77777777" w:rsidR="001329AE" w:rsidRDefault="00CD0541">
      <w:r>
        <w:separator/>
      </w:r>
    </w:p>
  </w:footnote>
  <w:footnote w:type="continuationSeparator" w:id="0">
    <w:p w14:paraId="7ECCDA9D" w14:textId="77777777" w:rsidR="001329AE" w:rsidRDefault="00CD0541">
      <w:r>
        <w:continuationSeparator/>
      </w:r>
    </w:p>
  </w:footnote>
  <w:footnote w:id="1">
    <w:p w14:paraId="2CBA66D5" w14:textId="107ED110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</w:t>
      </w:r>
      <w:r>
        <w:rPr>
          <w:sz w:val="24"/>
          <w:lang w:val="sk-SK"/>
        </w:rPr>
        <w:t xml:space="preserve">I, 22.12.2020, s. 11, ELI: </w:t>
      </w:r>
      <w:hyperlink r:id="rId1" w:history="1">
        <w:r>
          <w:rPr>
            <w:rStyle w:val="Hyperlink"/>
            <w:sz w:val="24"/>
            <w:lang w:val="sk-SK"/>
          </w:rPr>
          <w:t>http://data.europa.eu/eli/reg/2020/2093/oj</w:t>
        </w:r>
      </w:hyperlink>
      <w:r>
        <w:rPr>
          <w:sz w:val="24"/>
          <w:lang w:val="sk-SK"/>
        </w:rPr>
        <w:t>.</w:t>
      </w:r>
    </w:p>
  </w:footnote>
  <w:footnote w:id="2">
    <w:p w14:paraId="0607CD01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424, 15.12.2020, s. </w:t>
      </w:r>
      <w:r>
        <w:rPr>
          <w:sz w:val="24"/>
          <w:lang w:val="sk-SK"/>
        </w:rPr>
        <w:t xml:space="preserve">1, ELI: </w:t>
      </w:r>
      <w:hyperlink r:id="rId2" w:history="1">
        <w:r>
          <w:rPr>
            <w:rStyle w:val="Hyperlink"/>
            <w:sz w:val="24"/>
            <w:lang w:val="sk-SK"/>
          </w:rPr>
          <w:t>http://data.europa.eu/eli/dec/2020/2053/oj</w:t>
        </w:r>
      </w:hyperlink>
      <w:r>
        <w:rPr>
          <w:sz w:val="24"/>
          <w:lang w:val="sk-SK"/>
        </w:rPr>
        <w:t>.</w:t>
      </w:r>
    </w:p>
  </w:footnote>
  <w:footnote w:id="3">
    <w:p w14:paraId="745047BF" w14:textId="6C270A7B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</w:t>
      </w:r>
      <w:r>
        <w:rPr>
          <w:sz w:val="24"/>
          <w:lang w:val="sk-SK"/>
        </w:rPr>
        <w:t xml:space="preserve">EÚ L 433 </w:t>
      </w:r>
      <w:r>
        <w:rPr>
          <w:sz w:val="24"/>
          <w:lang w:val="sk-SK"/>
        </w:rPr>
        <w:t xml:space="preserve">I, 22.12.2020, s. 28, ELI: </w:t>
      </w:r>
      <w:hyperlink r:id="rId3" w:history="1">
        <w:r>
          <w:rPr>
            <w:rStyle w:val="Hyperlink"/>
            <w:sz w:val="24"/>
            <w:lang w:val="sk-SK"/>
          </w:rPr>
          <w:t>http://data.europa.eu/eli/agree_interinstit/2020/1222/oj</w:t>
        </w:r>
      </w:hyperlink>
      <w:r>
        <w:rPr>
          <w:sz w:val="24"/>
          <w:lang w:val="sk-SK"/>
        </w:rPr>
        <w:t>.</w:t>
      </w:r>
    </w:p>
  </w:footnote>
  <w:footnote w:id="4">
    <w:p w14:paraId="46DD66EB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L, 2024/2509, 26.9.2024, s. </w:t>
      </w:r>
      <w:r>
        <w:rPr>
          <w:sz w:val="24"/>
          <w:lang w:val="sk-SK"/>
        </w:rPr>
        <w:t xml:space="preserve">1, ELI: </w:t>
      </w:r>
      <w:hyperlink r:id="rId4" w:history="1">
        <w:r>
          <w:rPr>
            <w:rStyle w:val="Hyperlink"/>
            <w:sz w:val="24"/>
            <w:lang w:val="sk-SK"/>
          </w:rPr>
          <w:t>http://data.europa.eu/eli/reg/2024/2509/oj</w:t>
        </w:r>
      </w:hyperlink>
      <w:r>
        <w:rPr>
          <w:sz w:val="24"/>
          <w:lang w:val="sk-SK"/>
        </w:rPr>
        <w:t>.</w:t>
      </w:r>
    </w:p>
  </w:footnote>
  <w:footnote w:id="5">
    <w:p w14:paraId="36C21B04" w14:textId="30CA0F50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</w:t>
      </w:r>
      <w:r>
        <w:rPr>
          <w:sz w:val="24"/>
          <w:lang w:val="sk-SK"/>
        </w:rPr>
        <w:t xml:space="preserve">EÚ L 433 </w:t>
      </w:r>
      <w:r>
        <w:rPr>
          <w:sz w:val="24"/>
          <w:lang w:val="sk-SK"/>
        </w:rPr>
        <w:t xml:space="preserve">I, 22.12.2020, s. 1, ELI: </w:t>
      </w:r>
      <w:hyperlink r:id="rId5" w:history="1">
        <w:r>
          <w:rPr>
            <w:rStyle w:val="Hyperlink"/>
            <w:sz w:val="24"/>
            <w:lang w:val="sk-SK"/>
          </w:rPr>
          <w:t>http://data.europa.eu/eli/reg/2020/2092/oj</w:t>
        </w:r>
      </w:hyperlink>
      <w:r>
        <w:rPr>
          <w:sz w:val="24"/>
          <w:lang w:val="sk-SK"/>
        </w:rPr>
        <w:t>.</w:t>
      </w:r>
    </w:p>
  </w:footnote>
  <w:footnote w:id="6">
    <w:p w14:paraId="4F933388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 xml:space="preserve">EÚ C, C/2024/6751, 26.11.2024, ELI: </w:t>
      </w:r>
      <w:hyperlink r:id="rId6" w:history="1">
        <w:r>
          <w:rPr>
            <w:rStyle w:val="Hyperlink"/>
            <w:sz w:val="24"/>
            <w:lang w:val="sk-SK"/>
          </w:rPr>
          <w:t>http://data.europa.eu/eli/C/2024/6751/oj</w:t>
        </w:r>
      </w:hyperlink>
      <w:r>
        <w:rPr>
          <w:sz w:val="24"/>
          <w:lang w:val="sk-SK"/>
        </w:rPr>
        <w:t>.</w:t>
      </w:r>
    </w:p>
  </w:footnote>
  <w:footnote w:id="7">
    <w:p w14:paraId="5D2CC265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 xml:space="preserve">EÚ C, C/2023/1067, 15.12.2023, ELI: </w:t>
      </w:r>
      <w:hyperlink r:id="rId7" w:history="1">
        <w:r>
          <w:rPr>
            <w:rStyle w:val="Hyperlink"/>
            <w:sz w:val="24"/>
            <w:lang w:val="sk-SK"/>
          </w:rPr>
          <w:t>http://data.europa.eu/eli/C/2023/1067/oj</w:t>
        </w:r>
      </w:hyperlink>
      <w:r>
        <w:rPr>
          <w:sz w:val="24"/>
          <w:lang w:val="sk-SK"/>
        </w:rPr>
        <w:t>.</w:t>
      </w:r>
    </w:p>
  </w:footnote>
  <w:footnote w:id="8">
    <w:p w14:paraId="192A7C4D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177, 17.5.2023, s. 115.</w:t>
      </w:r>
    </w:p>
  </w:footnote>
  <w:footnote w:id="9">
    <w:p w14:paraId="0DEF6720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445, 29.10.2021, s. 240.</w:t>
      </w:r>
    </w:p>
  </w:footnote>
  <w:footnote w:id="10">
    <w:p w14:paraId="3453DF3D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428, 13.12.2017, s. 10.</w:t>
      </w:r>
    </w:p>
  </w:footnote>
  <w:footnote w:id="11">
    <w:p w14:paraId="10A7EBDF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</w:t>
      </w:r>
      <w:r>
        <w:rPr>
          <w:sz w:val="24"/>
          <w:lang w:val="sk-SK"/>
        </w:rPr>
        <w:t xml:space="preserve">EÚ C, C/2025/279, 24.1.2025, ELI: </w:t>
      </w:r>
      <w:hyperlink r:id="rId8" w:history="1">
        <w:r>
          <w:rPr>
            <w:rStyle w:val="Hyperlink"/>
            <w:sz w:val="24"/>
            <w:lang w:val="sk-SK"/>
          </w:rPr>
          <w:t>http://data.europa.eu/eli/C/2025/279/oj</w:t>
        </w:r>
      </w:hyperlink>
      <w:r>
        <w:rPr>
          <w:sz w:val="24"/>
          <w:lang w:val="sk-SK"/>
        </w:rPr>
        <w:t>.</w:t>
      </w:r>
    </w:p>
  </w:footnote>
  <w:footnote w:id="12">
    <w:p w14:paraId="15109325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Článok 9 nariadenia Európskeho parlamentu a Rady (EÚ) 2020/852 z 18. júna 2020 o vytvorení rámca na uľahčenie udržateľných investícií a o zmene nariadenia (EÚ) 2019/2088 (Ú. v. EÚ L 198, 22.6.2020, s. </w:t>
      </w:r>
      <w:r>
        <w:rPr>
          <w:sz w:val="24"/>
          <w:lang w:val="sk-SK"/>
        </w:rPr>
        <w:t xml:space="preserve">13, ELI: </w:t>
      </w:r>
      <w:hyperlink r:id="rId9" w:history="1">
        <w:r>
          <w:rPr>
            <w:rStyle w:val="Hyperlink"/>
            <w:sz w:val="24"/>
            <w:lang w:val="sk-SK"/>
          </w:rPr>
          <w:t>http://data.europa.eu/eli/reg/2020/852/oj</w:t>
        </w:r>
      </w:hyperlink>
      <w:r>
        <w:rPr>
          <w:sz w:val="24"/>
          <w:lang w:val="sk-SK"/>
        </w:rPr>
        <w:t>).</w:t>
      </w:r>
    </w:p>
  </w:footnote>
  <w:footnote w:id="13">
    <w:p w14:paraId="37E9B0B5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 2022/2065 z 19. októbra 2022 o jednotnom trhu s digitálnymi službami a o zmene smernice 2000/31/ES (akt o digitálnych službách) (Ú. v. EÚ L 277, 27.10.2022, s. </w:t>
      </w:r>
      <w:r>
        <w:rPr>
          <w:sz w:val="24"/>
          <w:lang w:val="sk-SK"/>
        </w:rPr>
        <w:t xml:space="preserve">1, ELI: </w:t>
      </w:r>
      <w:hyperlink r:id="rId10" w:history="1">
        <w:r>
          <w:rPr>
            <w:rStyle w:val="Hyperlink"/>
            <w:sz w:val="24"/>
            <w:lang w:val="sk-SK"/>
          </w:rPr>
          <w:t>http://data.europa.eu/eli/reg/2022/2065/oj</w:t>
        </w:r>
      </w:hyperlink>
      <w:r>
        <w:rPr>
          <w:sz w:val="24"/>
          <w:lang w:val="sk-SK"/>
        </w:rPr>
        <w:t>).</w:t>
      </w:r>
    </w:p>
  </w:footnote>
  <w:footnote w:id="14">
    <w:p w14:paraId="1B2CE76C" w14:textId="77777777" w:rsidR="001329AE" w:rsidRDefault="00CD054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 2022/1925 zo 14. septembra 2022 o </w:t>
      </w:r>
      <w:proofErr w:type="spellStart"/>
      <w:r>
        <w:rPr>
          <w:sz w:val="24"/>
          <w:lang w:val="sk-SK"/>
        </w:rPr>
        <w:t>súťažeschopných</w:t>
      </w:r>
      <w:proofErr w:type="spellEnd"/>
      <w:r>
        <w:rPr>
          <w:sz w:val="24"/>
          <w:lang w:val="sk-SK"/>
        </w:rPr>
        <w:t xml:space="preserve"> a spravodlivých trhoch digitálneho sektora a o zmene smerníc (EÚ) 2019/1937 a (EÚ) 2020/1828 (akt o digitálnych trhoch) (Ú. v. EÚ L 265, 12.10.2022, s. </w:t>
      </w:r>
      <w:r>
        <w:rPr>
          <w:sz w:val="24"/>
          <w:lang w:val="sk-SK"/>
        </w:rPr>
        <w:t xml:space="preserve">1, ELI: </w:t>
      </w:r>
      <w:hyperlink r:id="rId11" w:history="1">
        <w:r>
          <w:rPr>
            <w:rStyle w:val="Hyperlink"/>
            <w:sz w:val="24"/>
            <w:lang w:val="sk-SK"/>
          </w:rPr>
          <w:t>http://data.europa.eu/eli/reg/2022/1925/oj</w:t>
        </w:r>
      </w:hyperlink>
      <w:r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C6CD7" w14:textId="77777777" w:rsidR="001329AE" w:rsidRDefault="001329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013C2" w14:textId="77777777" w:rsidR="001329AE" w:rsidRDefault="001329A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12B4" w14:textId="77777777" w:rsidR="001329AE" w:rsidRDefault="001329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8000072">
    <w:abstractNumId w:val="9"/>
  </w:num>
  <w:num w:numId="2" w16cid:durableId="1672101694">
    <w:abstractNumId w:val="9"/>
  </w:num>
  <w:num w:numId="3" w16cid:durableId="2069256596">
    <w:abstractNumId w:val="7"/>
  </w:num>
  <w:num w:numId="4" w16cid:durableId="273560410">
    <w:abstractNumId w:val="7"/>
  </w:num>
  <w:num w:numId="5" w16cid:durableId="540939623">
    <w:abstractNumId w:val="6"/>
  </w:num>
  <w:num w:numId="6" w16cid:durableId="1903322181">
    <w:abstractNumId w:val="6"/>
  </w:num>
  <w:num w:numId="7" w16cid:durableId="393551044">
    <w:abstractNumId w:val="5"/>
  </w:num>
  <w:num w:numId="8" w16cid:durableId="864635226">
    <w:abstractNumId w:val="5"/>
  </w:num>
  <w:num w:numId="9" w16cid:durableId="1146118843">
    <w:abstractNumId w:val="4"/>
  </w:num>
  <w:num w:numId="10" w16cid:durableId="880673731">
    <w:abstractNumId w:val="4"/>
  </w:num>
  <w:num w:numId="11" w16cid:durableId="74012424">
    <w:abstractNumId w:val="8"/>
  </w:num>
  <w:num w:numId="12" w16cid:durableId="1803621022">
    <w:abstractNumId w:val="8"/>
  </w:num>
  <w:num w:numId="13" w16cid:durableId="1751540921">
    <w:abstractNumId w:val="3"/>
  </w:num>
  <w:num w:numId="14" w16cid:durableId="1732192912">
    <w:abstractNumId w:val="3"/>
  </w:num>
  <w:num w:numId="15" w16cid:durableId="1726563628">
    <w:abstractNumId w:val="2"/>
  </w:num>
  <w:num w:numId="16" w16cid:durableId="421296244">
    <w:abstractNumId w:val="2"/>
  </w:num>
  <w:num w:numId="17" w16cid:durableId="934485560">
    <w:abstractNumId w:val="1"/>
  </w:num>
  <w:num w:numId="18" w16cid:durableId="1425497325">
    <w:abstractNumId w:val="1"/>
  </w:num>
  <w:num w:numId="19" w16cid:durableId="836070319">
    <w:abstractNumId w:val="0"/>
  </w:num>
  <w:num w:numId="20" w16cid:durableId="1122381307">
    <w:abstractNumId w:val="0"/>
  </w:num>
  <w:num w:numId="21" w16cid:durableId="1666667534">
    <w:abstractNumId w:val="9"/>
  </w:num>
  <w:num w:numId="22" w16cid:durableId="816191041">
    <w:abstractNumId w:val="7"/>
  </w:num>
  <w:num w:numId="23" w16cid:durableId="1131703701">
    <w:abstractNumId w:val="6"/>
  </w:num>
  <w:num w:numId="24" w16cid:durableId="627202104">
    <w:abstractNumId w:val="5"/>
  </w:num>
  <w:num w:numId="25" w16cid:durableId="702486720">
    <w:abstractNumId w:val="4"/>
  </w:num>
  <w:num w:numId="26" w16cid:durableId="1232810029">
    <w:abstractNumId w:val="8"/>
  </w:num>
  <w:num w:numId="27" w16cid:durableId="2110929894">
    <w:abstractNumId w:val="3"/>
  </w:num>
  <w:num w:numId="28" w16cid:durableId="1491286520">
    <w:abstractNumId w:val="2"/>
  </w:num>
  <w:num w:numId="29" w16cid:durableId="1063331404">
    <w:abstractNumId w:val="1"/>
  </w:num>
  <w:num w:numId="30" w16cid:durableId="791360327">
    <w:abstractNumId w:val="0"/>
  </w:num>
  <w:num w:numId="31" w16cid:durableId="551499749">
    <w:abstractNumId w:val="9"/>
  </w:num>
  <w:num w:numId="32" w16cid:durableId="1185628569">
    <w:abstractNumId w:val="7"/>
  </w:num>
  <w:num w:numId="33" w16cid:durableId="1729916097">
    <w:abstractNumId w:val="6"/>
  </w:num>
  <w:num w:numId="34" w16cid:durableId="1426341134">
    <w:abstractNumId w:val="5"/>
  </w:num>
  <w:num w:numId="35" w16cid:durableId="2083025100">
    <w:abstractNumId w:val="4"/>
  </w:num>
  <w:num w:numId="36" w16cid:durableId="233012158">
    <w:abstractNumId w:val="8"/>
  </w:num>
  <w:num w:numId="37" w16cid:durableId="1010520405">
    <w:abstractNumId w:val="3"/>
  </w:num>
  <w:num w:numId="38" w16cid:durableId="2110001361">
    <w:abstractNumId w:val="2"/>
  </w:num>
  <w:num w:numId="39" w16cid:durableId="120923731">
    <w:abstractNumId w:val="1"/>
  </w:num>
  <w:num w:numId="40" w16cid:durableId="1022588705">
    <w:abstractNumId w:val="0"/>
  </w:num>
  <w:num w:numId="41" w16cid:durableId="1615940074">
    <w:abstractNumId w:val="10"/>
  </w:num>
  <w:num w:numId="42" w16cid:durableId="1255936082">
    <w:abstractNumId w:val="10"/>
  </w:num>
  <w:num w:numId="43" w16cid:durableId="972054250">
    <w:abstractNumId w:val="10"/>
  </w:num>
  <w:num w:numId="44" w16cid:durableId="148715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6/2025"/>
    <w:docVar w:name="dvlangue" w:val="SK"/>
    <w:docVar w:name="dvnumam" w:val="970"/>
    <w:docVar w:name="dvpe" w:val="766.828"/>
    <w:docVar w:name="dvrapporteur" w:val="Spravodajkyne: "/>
    <w:docVar w:name="dvtitre" w:val="Uznesenie Európskeho parlamentu zo 7. máma 2025 o prepracovanom dlhodobom rozpočte pre Úniu v meniacom sa svete(2024/2051(INI))"/>
  </w:docVars>
  <w:rsids>
    <w:rsidRoot w:val="001329AE"/>
    <w:rsid w:val="001329AE"/>
    <w:rsid w:val="007E553E"/>
    <w:rsid w:val="00C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F75B0"/>
  <w15:chartTrackingRefBased/>
  <w15:docId w15:val="{6666FB8F-572D-45A5-8A78-E8DE143E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Pr>
      <w:snapToGrid w:val="0"/>
      <w:sz w:val="24"/>
      <w:lang w:val="sk-SK" w:eastAsia="en-US"/>
    </w:r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character" w:customStyle="1" w:styleId="Sup">
    <w:name w:val="Sup"/>
    <w:uiPriority w:val="1"/>
    <w:rPr>
      <w:vertAlign w:val="superscript"/>
    </w:r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279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C/2023/1067/oj" TargetMode="External"/><Relationship Id="rId2" Type="http://schemas.openxmlformats.org/officeDocument/2006/relationships/hyperlink" Target="http://data.europa.eu/eli/dec/2020/2053/oj" TargetMode="External"/><Relationship Id="rId1" Type="http://schemas.openxmlformats.org/officeDocument/2006/relationships/hyperlink" Target="http://data.europa.eu/eli/reg/2020/2093/oj" TargetMode="External"/><Relationship Id="rId6" Type="http://schemas.openxmlformats.org/officeDocument/2006/relationships/hyperlink" Target="http://data.europa.eu/eli/C/2024/6751/oj" TargetMode="External"/><Relationship Id="rId11" Type="http://schemas.openxmlformats.org/officeDocument/2006/relationships/hyperlink" Target="http://data.europa.eu/eli/reg/2022/1925/oj" TargetMode="External"/><Relationship Id="rId5" Type="http://schemas.openxmlformats.org/officeDocument/2006/relationships/hyperlink" Target="http://data.europa.eu/eli/reg/2020/2092/oj" TargetMode="External"/><Relationship Id="rId10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4/2509/oj" TargetMode="External"/><Relationship Id="rId9" Type="http://schemas.openxmlformats.org/officeDocument/2006/relationships/hyperlink" Target="http://data.europa.eu/eli/reg/2020/8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E1F98-2FDB-41AD-A2E0-A074CA819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11230</Words>
  <Characters>69653</Characters>
  <Application>Microsoft Office Word</Application>
  <DocSecurity>0</DocSecurity>
  <Lines>1266</Lines>
  <Paragraphs>334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2025-06-05T08:05:00Z</dcterms:created>
  <dcterms:modified xsi:type="dcterms:W3CDTF">2025-06-05T08:05:00Z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A10-0076/2025</vt:lpwstr>
  </property>
  <property fmtid="{D5CDD505-2E9C-101B-9397-08002B2CF9AE}" pid="4" name="&lt;Type&gt;">
    <vt:lpwstr>RR</vt:lpwstr>
  </property>
</Properties>
</file>