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8B20B2" w14:paraId="7A85E6CB" w14:textId="77777777" w:rsidTr="0010095E">
        <w:trPr>
          <w:trHeight w:hRule="exact" w:val="1418"/>
        </w:trPr>
        <w:tc>
          <w:tcPr>
            <w:tcW w:w="6804" w:type="dxa"/>
            <w:shd w:val="clear" w:color="auto" w:fill="auto"/>
            <w:vAlign w:val="center"/>
          </w:tcPr>
          <w:p w14:paraId="748D6C72" w14:textId="77777777" w:rsidR="00751A4A" w:rsidRPr="008B20B2" w:rsidRDefault="006D6731" w:rsidP="0010095E">
            <w:pPr>
              <w:pStyle w:val="EPName"/>
            </w:pPr>
            <w:r w:rsidRPr="008B20B2">
              <w:t>European Parliament</w:t>
            </w:r>
          </w:p>
          <w:p w14:paraId="708636F0" w14:textId="77777777" w:rsidR="00751A4A" w:rsidRPr="008B20B2" w:rsidRDefault="005F1B17" w:rsidP="005F1B17">
            <w:pPr>
              <w:pStyle w:val="EPTerm"/>
              <w:rPr>
                <w:rStyle w:val="HideTWBExt"/>
                <w:noProof w:val="0"/>
                <w:vanish w:val="0"/>
                <w:color w:val="auto"/>
              </w:rPr>
            </w:pPr>
            <w:r w:rsidRPr="008B20B2">
              <w:t>2024</w:t>
            </w:r>
            <w:r w:rsidR="00817416" w:rsidRPr="008B20B2">
              <w:t>-202</w:t>
            </w:r>
            <w:r w:rsidRPr="008B20B2">
              <w:t>9</w:t>
            </w:r>
          </w:p>
        </w:tc>
        <w:tc>
          <w:tcPr>
            <w:tcW w:w="2268" w:type="dxa"/>
            <w:shd w:val="clear" w:color="auto" w:fill="auto"/>
          </w:tcPr>
          <w:p w14:paraId="67F69A2F" w14:textId="77777777" w:rsidR="00751A4A" w:rsidRPr="008B20B2" w:rsidRDefault="00187494" w:rsidP="0010095E">
            <w:pPr>
              <w:pStyle w:val="EPLogo"/>
            </w:pPr>
            <w:r w:rsidRPr="008B20B2">
              <w:rPr>
                <w:noProof/>
              </w:rPr>
              <w:drawing>
                <wp:inline distT="0" distB="0" distL="0" distR="0" wp14:anchorId="3AEC06D0" wp14:editId="0BCE21A6">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7DF40542" w14:textId="77777777" w:rsidR="00D058B8" w:rsidRPr="008B20B2" w:rsidRDefault="00D058B8" w:rsidP="004C5D52">
      <w:pPr>
        <w:pStyle w:val="LineTop"/>
      </w:pPr>
    </w:p>
    <w:p w14:paraId="157ABD93" w14:textId="77777777" w:rsidR="00680577" w:rsidRPr="008B20B2" w:rsidRDefault="006D6731" w:rsidP="00680577">
      <w:pPr>
        <w:pStyle w:val="EPBodyTA1"/>
      </w:pPr>
      <w:r w:rsidRPr="008B20B2">
        <w:t>TEXTS ADOPTED</w:t>
      </w:r>
    </w:p>
    <w:p w14:paraId="20C768FA" w14:textId="77777777" w:rsidR="00D058B8" w:rsidRPr="008B20B2" w:rsidRDefault="00D058B8" w:rsidP="00D058B8">
      <w:pPr>
        <w:pStyle w:val="LineBottom"/>
      </w:pPr>
    </w:p>
    <w:p w14:paraId="1D12F79E" w14:textId="5DDB08A5" w:rsidR="006D6731" w:rsidRPr="008B20B2" w:rsidRDefault="006D6731" w:rsidP="006D6731">
      <w:pPr>
        <w:pStyle w:val="ATHeading1"/>
      </w:pPr>
      <w:bookmarkStart w:id="0" w:name="TANumber"/>
      <w:r w:rsidRPr="008B20B2">
        <w:t>P10_</w:t>
      </w:r>
      <w:proofErr w:type="gramStart"/>
      <w:r w:rsidRPr="008B20B2">
        <w:t>TA(</w:t>
      </w:r>
      <w:proofErr w:type="gramEnd"/>
      <w:r w:rsidRPr="008B20B2">
        <w:t>2025)00</w:t>
      </w:r>
      <w:bookmarkEnd w:id="0"/>
      <w:r w:rsidR="00604606" w:rsidRPr="008B20B2">
        <w:t>91</w:t>
      </w:r>
    </w:p>
    <w:p w14:paraId="7BB23619" w14:textId="77777777" w:rsidR="006D6731" w:rsidRPr="008B20B2" w:rsidRDefault="006D6731" w:rsidP="006D6731">
      <w:pPr>
        <w:pStyle w:val="ATHeading2"/>
      </w:pPr>
      <w:bookmarkStart w:id="1" w:name="title"/>
      <w:r w:rsidRPr="008B20B2">
        <w:t>The European Water Resilience Strategy</w:t>
      </w:r>
      <w:bookmarkEnd w:id="1"/>
    </w:p>
    <w:p w14:paraId="7ED244C7" w14:textId="77777777" w:rsidR="006D6731" w:rsidRPr="008B20B2" w:rsidRDefault="006D6731" w:rsidP="006D6731">
      <w:pPr>
        <w:rPr>
          <w:i/>
          <w:vanish/>
        </w:rPr>
      </w:pPr>
      <w:r w:rsidRPr="008B20B2">
        <w:rPr>
          <w:i/>
        </w:rPr>
        <w:fldChar w:fldCharType="begin"/>
      </w:r>
      <w:r w:rsidRPr="008B20B2">
        <w:rPr>
          <w:i/>
        </w:rPr>
        <w:instrText xml:space="preserve"> TC"(</w:instrText>
      </w:r>
      <w:bookmarkStart w:id="2" w:name="DocNumber"/>
      <w:r w:rsidRPr="008B20B2">
        <w:rPr>
          <w:i/>
        </w:rPr>
        <w:instrText>A10-0073/2025</w:instrText>
      </w:r>
      <w:bookmarkEnd w:id="2"/>
      <w:r w:rsidRPr="008B20B2">
        <w:rPr>
          <w:i/>
        </w:rPr>
        <w:instrText xml:space="preserve"> - Rapporteur: Thomas Bajada)"\l3 \n&gt; \* MERGEFORMAT </w:instrText>
      </w:r>
      <w:r w:rsidRPr="008B20B2">
        <w:rPr>
          <w:i/>
        </w:rPr>
        <w:fldChar w:fldCharType="end"/>
      </w:r>
    </w:p>
    <w:p w14:paraId="63A5957B" w14:textId="77777777" w:rsidR="006D6731" w:rsidRPr="008B20B2" w:rsidRDefault="006D6731" w:rsidP="006D6731">
      <w:pPr>
        <w:rPr>
          <w:vanish/>
        </w:rPr>
      </w:pPr>
      <w:bookmarkStart w:id="3" w:name="Commission"/>
      <w:r w:rsidRPr="008B20B2">
        <w:rPr>
          <w:vanish/>
        </w:rPr>
        <w:t>Committee on the Environment, Climate and Food Safety</w:t>
      </w:r>
      <w:bookmarkEnd w:id="3"/>
    </w:p>
    <w:p w14:paraId="62646E04" w14:textId="77777777" w:rsidR="006D6731" w:rsidRPr="008B20B2" w:rsidRDefault="006D6731" w:rsidP="006D6731">
      <w:pPr>
        <w:rPr>
          <w:vanish/>
        </w:rPr>
      </w:pPr>
      <w:bookmarkStart w:id="4" w:name="PE"/>
      <w:r w:rsidRPr="008B20B2">
        <w:rPr>
          <w:vanish/>
        </w:rPr>
        <w:t>PE766.919</w:t>
      </w:r>
      <w:bookmarkEnd w:id="4"/>
    </w:p>
    <w:p w14:paraId="41DD8398" w14:textId="431B7696" w:rsidR="006D6731" w:rsidRPr="008B20B2" w:rsidRDefault="006D6731" w:rsidP="006D6731">
      <w:pPr>
        <w:pStyle w:val="ATHeading3"/>
      </w:pPr>
      <w:bookmarkStart w:id="5" w:name="Sujet"/>
      <w:r w:rsidRPr="008B20B2">
        <w:t xml:space="preserve">European Parliament resolution of </w:t>
      </w:r>
      <w:r w:rsidR="007E7F0E" w:rsidRPr="008B20B2">
        <w:t>7</w:t>
      </w:r>
      <w:r w:rsidRPr="008B20B2">
        <w:t xml:space="preserve"> May 2025 on the European Water Resilience Strategy</w:t>
      </w:r>
      <w:bookmarkEnd w:id="5"/>
      <w:r w:rsidRPr="008B20B2">
        <w:t xml:space="preserve"> </w:t>
      </w:r>
      <w:bookmarkStart w:id="6" w:name="References"/>
      <w:r w:rsidRPr="008B20B2">
        <w:t>(2024/2104(INI))</w:t>
      </w:r>
      <w:bookmarkEnd w:id="6"/>
      <w:r w:rsidR="005E355D" w:rsidRPr="008B20B2">
        <w:rPr>
          <w:rStyle w:val="FootnoteReference"/>
        </w:rPr>
        <w:footnoteReference w:customMarkFollows="1" w:id="1"/>
        <w:sym w:font="Symbol" w:char="F02A"/>
      </w:r>
    </w:p>
    <w:p w14:paraId="6A0E2686" w14:textId="77777777" w:rsidR="006F7BE6" w:rsidRPr="008B20B2" w:rsidRDefault="006F7BE6" w:rsidP="006F7BE6">
      <w:pPr>
        <w:pStyle w:val="EPComma"/>
      </w:pPr>
      <w:r w:rsidRPr="008B20B2">
        <w:rPr>
          <w:rStyle w:val="Italic"/>
        </w:rPr>
        <w:t>The European Parliament</w:t>
      </w:r>
      <w:r w:rsidRPr="008B20B2">
        <w:t>,</w:t>
      </w:r>
    </w:p>
    <w:p w14:paraId="3BE8C762" w14:textId="77777777" w:rsidR="006F7BE6" w:rsidRPr="008B20B2" w:rsidRDefault="006F7BE6" w:rsidP="00C547A5">
      <w:pPr>
        <w:pStyle w:val="NormalHanging12a"/>
        <w:rPr>
          <w:szCs w:val="24"/>
        </w:rPr>
      </w:pPr>
      <w:r w:rsidRPr="008B20B2">
        <w:rPr>
          <w:szCs w:val="24"/>
        </w:rPr>
        <w:t>–</w:t>
      </w:r>
      <w:r w:rsidRPr="008B20B2">
        <w:rPr>
          <w:szCs w:val="24"/>
        </w:rPr>
        <w:tab/>
        <w:t>having regard to the Treaty of the Functioning of the European Union (TFEU), in particular Article 191 thereof,</w:t>
      </w:r>
    </w:p>
    <w:p w14:paraId="6C35D93C" w14:textId="77777777" w:rsidR="006F7BE6" w:rsidRPr="008B20B2" w:rsidRDefault="006F7BE6" w:rsidP="00C547A5">
      <w:pPr>
        <w:pStyle w:val="NormalHanging12a"/>
        <w:rPr>
          <w:szCs w:val="24"/>
        </w:rPr>
      </w:pPr>
      <w:r w:rsidRPr="008B20B2">
        <w:rPr>
          <w:szCs w:val="24"/>
        </w:rPr>
        <w:t>–</w:t>
      </w:r>
      <w:r w:rsidRPr="008B20B2">
        <w:rPr>
          <w:szCs w:val="24"/>
        </w:rPr>
        <w:tab/>
        <w:t>having regard to the Agreement adopted at the 21st Conference of the Parties to the UNFCCC (COP21) in Paris on 12 December 2015 (the Paris Agreement),</w:t>
      </w:r>
    </w:p>
    <w:p w14:paraId="68DBBC72" w14:textId="77777777" w:rsidR="006F7BE6" w:rsidRPr="008B20B2" w:rsidRDefault="006F7BE6" w:rsidP="00C547A5">
      <w:pPr>
        <w:pStyle w:val="NormalHanging12a"/>
        <w:rPr>
          <w:szCs w:val="24"/>
        </w:rPr>
      </w:pPr>
      <w:r w:rsidRPr="008B20B2">
        <w:rPr>
          <w:szCs w:val="24"/>
        </w:rPr>
        <w:t>–</w:t>
      </w:r>
      <w:r w:rsidRPr="008B20B2">
        <w:rPr>
          <w:szCs w:val="24"/>
        </w:rPr>
        <w:tab/>
        <w:t>having regard to the United Nations 2030 Agenda for Sustainable Development and the Sustainable Development Goals (SDGs), with particular emphasis on the SDG 6 on</w:t>
      </w:r>
      <w:r w:rsidR="00C547A5" w:rsidRPr="008B20B2">
        <w:rPr>
          <w:szCs w:val="24"/>
        </w:rPr>
        <w:t xml:space="preserve"> </w:t>
      </w:r>
      <w:r w:rsidRPr="008B20B2">
        <w:rPr>
          <w:szCs w:val="24"/>
        </w:rPr>
        <w:t>clean water and sanitation,</w:t>
      </w:r>
    </w:p>
    <w:p w14:paraId="50D93FC0" w14:textId="77777777" w:rsidR="006F7BE6" w:rsidRPr="008B20B2" w:rsidRDefault="006F7BE6" w:rsidP="00C547A5">
      <w:pPr>
        <w:pStyle w:val="NormalHanging12a"/>
        <w:rPr>
          <w:szCs w:val="24"/>
        </w:rPr>
      </w:pPr>
      <w:r w:rsidRPr="008B20B2">
        <w:rPr>
          <w:szCs w:val="24"/>
        </w:rPr>
        <w:t>–</w:t>
      </w:r>
      <w:r w:rsidRPr="008B20B2">
        <w:rPr>
          <w:szCs w:val="24"/>
        </w:rPr>
        <w:tab/>
      </w:r>
      <w:proofErr w:type="gramStart"/>
      <w:r w:rsidRPr="008B20B2">
        <w:rPr>
          <w:szCs w:val="24"/>
        </w:rPr>
        <w:t>having</w:t>
      </w:r>
      <w:proofErr w:type="gramEnd"/>
      <w:r w:rsidRPr="008B20B2">
        <w:rPr>
          <w:szCs w:val="24"/>
        </w:rPr>
        <w:t xml:space="preserve"> regard to the Kunming-Montreal Global Biodiversity Framework, adopted in December 2022,</w:t>
      </w:r>
    </w:p>
    <w:p w14:paraId="396F7687" w14:textId="09696C37" w:rsidR="006F7BE6" w:rsidRPr="008B20B2" w:rsidRDefault="006F7BE6" w:rsidP="00C547A5">
      <w:pPr>
        <w:pStyle w:val="NormalHanging12a"/>
        <w:rPr>
          <w:szCs w:val="24"/>
        </w:rPr>
      </w:pPr>
      <w:r w:rsidRPr="008B20B2">
        <w:rPr>
          <w:szCs w:val="24"/>
        </w:rPr>
        <w:t>–</w:t>
      </w:r>
      <w:r w:rsidRPr="008B20B2">
        <w:rPr>
          <w:szCs w:val="24"/>
        </w:rPr>
        <w:tab/>
        <w:t>having regard to the Stockholm Convention on Persistent Organic Pollutants of 22 May </w:t>
      </w:r>
      <w:r w:rsidR="00402841" w:rsidRPr="008B20B2">
        <w:rPr>
          <w:szCs w:val="24"/>
        </w:rPr>
        <w:t>2001</w:t>
      </w:r>
      <w:r w:rsidRPr="008B20B2">
        <w:rPr>
          <w:szCs w:val="24"/>
        </w:rPr>
        <w:t>,</w:t>
      </w:r>
    </w:p>
    <w:p w14:paraId="0422E15A" w14:textId="77777777" w:rsidR="006F7BE6" w:rsidRPr="008B20B2" w:rsidRDefault="006F7BE6" w:rsidP="00C547A5">
      <w:pPr>
        <w:pStyle w:val="NormalHanging12a"/>
        <w:rPr>
          <w:szCs w:val="24"/>
        </w:rPr>
      </w:pPr>
      <w:r w:rsidRPr="008B20B2">
        <w:rPr>
          <w:szCs w:val="24"/>
        </w:rPr>
        <w:t>–</w:t>
      </w:r>
      <w:r w:rsidRPr="008B20B2">
        <w:rPr>
          <w:szCs w:val="24"/>
        </w:rPr>
        <w:tab/>
        <w:t>having regard to the precautionary principle and the principles that preventive action should be taken, that environmental damage should, as a priority, be rectified at source and that the polluter should pay, as enshrined in Article 191(2) TFEU,</w:t>
      </w:r>
    </w:p>
    <w:p w14:paraId="492BF809" w14:textId="77777777" w:rsidR="006F7BE6" w:rsidRPr="008B20B2" w:rsidRDefault="006F7BE6" w:rsidP="00C547A5">
      <w:pPr>
        <w:pStyle w:val="NormalHanging12a"/>
        <w:rPr>
          <w:szCs w:val="24"/>
        </w:rPr>
      </w:pPr>
      <w:r w:rsidRPr="008B20B2">
        <w:rPr>
          <w:szCs w:val="24"/>
        </w:rPr>
        <w:t>–</w:t>
      </w:r>
      <w:r w:rsidRPr="008B20B2">
        <w:rPr>
          <w:szCs w:val="24"/>
        </w:rPr>
        <w:tab/>
        <w:t>having regard to Regulation (EU) 2021/1119 of the European Parliament and of the Council of 30 June 2021 establishing the framework for achieving climate neutrality and amending Regulations (EC) No 401/2009 and (EU) 2018/1999 (European Climate Law)</w:t>
      </w:r>
      <w:r w:rsidRPr="008B20B2">
        <w:rPr>
          <w:rStyle w:val="FootnoteReference"/>
          <w:szCs w:val="24"/>
        </w:rPr>
        <w:footnoteReference w:id="2"/>
      </w:r>
      <w:r w:rsidRPr="008B20B2">
        <w:rPr>
          <w:szCs w:val="24"/>
        </w:rPr>
        <w:t>,</w:t>
      </w:r>
    </w:p>
    <w:p w14:paraId="36D74FE8" w14:textId="77777777" w:rsidR="006F7BE6" w:rsidRPr="008B20B2" w:rsidRDefault="006F7BE6" w:rsidP="00C547A5">
      <w:pPr>
        <w:pStyle w:val="NormalHanging12a"/>
        <w:rPr>
          <w:szCs w:val="24"/>
        </w:rPr>
      </w:pPr>
      <w:r w:rsidRPr="008B20B2">
        <w:rPr>
          <w:szCs w:val="24"/>
        </w:rPr>
        <w:lastRenderedPageBreak/>
        <w:t>–</w:t>
      </w:r>
      <w:r w:rsidRPr="008B20B2">
        <w:rPr>
          <w:szCs w:val="24"/>
        </w:rPr>
        <w:tab/>
        <w:t>having regard to Directive 2000/60/EC of the European Parliament and of the Council of 23 October 2000 establishing a framework for Community action in the field of water policy</w:t>
      </w:r>
      <w:r w:rsidRPr="008B20B2">
        <w:rPr>
          <w:rStyle w:val="FootnoteReference"/>
          <w:szCs w:val="24"/>
        </w:rPr>
        <w:footnoteReference w:id="3"/>
      </w:r>
      <w:r w:rsidRPr="008B20B2">
        <w:rPr>
          <w:szCs w:val="24"/>
        </w:rPr>
        <w:t xml:space="preserve"> (Water Framework Directive),</w:t>
      </w:r>
    </w:p>
    <w:p w14:paraId="7D213A90" w14:textId="77777777" w:rsidR="006F7BE6" w:rsidRPr="008B20B2" w:rsidRDefault="006F7BE6" w:rsidP="00C547A5">
      <w:pPr>
        <w:pStyle w:val="NormalHanging12a"/>
        <w:rPr>
          <w:szCs w:val="24"/>
        </w:rPr>
      </w:pPr>
      <w:r w:rsidRPr="008B20B2">
        <w:rPr>
          <w:szCs w:val="24"/>
        </w:rPr>
        <w:t>–</w:t>
      </w:r>
      <w:r w:rsidRPr="008B20B2">
        <w:rPr>
          <w:szCs w:val="24"/>
        </w:rPr>
        <w:tab/>
        <w:t>having regard to Directive 2006/118/EC of the European Parliament and of the Council of 12 December 2006 on the protection of groundwater against pollution and deterioration</w:t>
      </w:r>
      <w:r w:rsidRPr="008B20B2">
        <w:rPr>
          <w:rStyle w:val="FootnoteReference"/>
          <w:szCs w:val="24"/>
        </w:rPr>
        <w:footnoteReference w:id="4"/>
      </w:r>
      <w:r w:rsidRPr="008B20B2">
        <w:rPr>
          <w:szCs w:val="24"/>
        </w:rPr>
        <w:t xml:space="preserve"> (Groundwater Directive),</w:t>
      </w:r>
    </w:p>
    <w:p w14:paraId="7ED0AADB" w14:textId="77777777" w:rsidR="006F7BE6" w:rsidRPr="008B20B2" w:rsidRDefault="006F7BE6" w:rsidP="00C547A5">
      <w:pPr>
        <w:pStyle w:val="NormalHanging12a"/>
        <w:rPr>
          <w:szCs w:val="24"/>
        </w:rPr>
      </w:pPr>
      <w:proofErr w:type="gramStart"/>
      <w:r w:rsidRPr="008B20B2">
        <w:rPr>
          <w:szCs w:val="24"/>
        </w:rPr>
        <w:t>–</w:t>
      </w:r>
      <w:r w:rsidRPr="008B20B2">
        <w:rPr>
          <w:szCs w:val="24"/>
        </w:rPr>
        <w:tab/>
        <w:t>having regard to Directive 2008/105/EC of the European Parliament and of the Council of 16 December 2008 on environmental quality standards in the field of water policy, amending and subsequently repealing Council Directives 82/176/EEC, 83/513/EEC, 84/156/EEC, 84/491/EEC, 86/280/EEC and amending Directive 2000/60/EC of the European Parliament and of the Council</w:t>
      </w:r>
      <w:r w:rsidRPr="008B20B2">
        <w:rPr>
          <w:rStyle w:val="FootnoteReference"/>
          <w:szCs w:val="24"/>
        </w:rPr>
        <w:footnoteReference w:id="5"/>
      </w:r>
      <w:r w:rsidRPr="008B20B2">
        <w:rPr>
          <w:szCs w:val="24"/>
        </w:rPr>
        <w:t xml:space="preserve"> (Environmental Quality Standards Directive),</w:t>
      </w:r>
      <w:proofErr w:type="gramEnd"/>
    </w:p>
    <w:p w14:paraId="2637A033" w14:textId="77777777" w:rsidR="006F7BE6" w:rsidRPr="008B20B2" w:rsidRDefault="006F7BE6" w:rsidP="00C547A5">
      <w:pPr>
        <w:pStyle w:val="NormalHanging12a"/>
        <w:rPr>
          <w:szCs w:val="24"/>
        </w:rPr>
      </w:pPr>
      <w:r w:rsidRPr="008B20B2">
        <w:rPr>
          <w:szCs w:val="24"/>
        </w:rPr>
        <w:t>–</w:t>
      </w:r>
      <w:r w:rsidRPr="008B20B2">
        <w:rPr>
          <w:szCs w:val="24"/>
        </w:rPr>
        <w:tab/>
        <w:t>having regard to Directive 2007/60/EC of the European Parliament and of the Council of 23 October 2007 on the assessment and management of flood risks</w:t>
      </w:r>
      <w:r w:rsidRPr="008B20B2">
        <w:rPr>
          <w:rStyle w:val="FootnoteReference"/>
          <w:szCs w:val="24"/>
        </w:rPr>
        <w:footnoteReference w:id="6"/>
      </w:r>
      <w:r w:rsidRPr="008B20B2">
        <w:rPr>
          <w:szCs w:val="24"/>
        </w:rPr>
        <w:t>,</w:t>
      </w:r>
    </w:p>
    <w:p w14:paraId="3F099C1E" w14:textId="77777777" w:rsidR="006F7BE6" w:rsidRPr="008B20B2" w:rsidRDefault="006F7BE6" w:rsidP="00C547A5">
      <w:pPr>
        <w:pStyle w:val="NormalHanging12a"/>
        <w:rPr>
          <w:szCs w:val="24"/>
        </w:rPr>
      </w:pPr>
      <w:r w:rsidRPr="008B20B2">
        <w:rPr>
          <w:szCs w:val="24"/>
        </w:rPr>
        <w:t>–</w:t>
      </w:r>
      <w:r w:rsidRPr="008B20B2">
        <w:rPr>
          <w:szCs w:val="24"/>
        </w:rPr>
        <w:tab/>
        <w:t>having regard to Directive (EU) 2020/2184 of the European Parliament and of the Council of 16 December 2020 on the quality of water intended for human consumption</w:t>
      </w:r>
      <w:r w:rsidRPr="008B20B2">
        <w:rPr>
          <w:rStyle w:val="FootnoteReference"/>
          <w:szCs w:val="24"/>
        </w:rPr>
        <w:footnoteReference w:id="7"/>
      </w:r>
      <w:r w:rsidRPr="008B20B2">
        <w:rPr>
          <w:szCs w:val="24"/>
        </w:rPr>
        <w:t xml:space="preserve"> (Drinking Water Directive),</w:t>
      </w:r>
    </w:p>
    <w:p w14:paraId="6EB711B3" w14:textId="77777777" w:rsidR="006F7BE6" w:rsidRPr="008B20B2" w:rsidRDefault="006F7BE6" w:rsidP="00C547A5">
      <w:pPr>
        <w:pStyle w:val="NormalHanging12a"/>
        <w:rPr>
          <w:szCs w:val="24"/>
        </w:rPr>
      </w:pPr>
      <w:r w:rsidRPr="008B20B2">
        <w:rPr>
          <w:szCs w:val="24"/>
        </w:rPr>
        <w:t>–</w:t>
      </w:r>
      <w:r w:rsidRPr="008B20B2">
        <w:rPr>
          <w:szCs w:val="24"/>
        </w:rPr>
        <w:tab/>
        <w:t>having regard to Regulation (EU) 2020/741 of the European Parliament and of the Council of 25 May 2020 on minimum requirements for water reuse</w:t>
      </w:r>
      <w:r w:rsidRPr="008B20B2">
        <w:rPr>
          <w:rStyle w:val="FootnoteReference"/>
          <w:szCs w:val="24"/>
        </w:rPr>
        <w:footnoteReference w:id="8"/>
      </w:r>
      <w:r w:rsidRPr="008B20B2">
        <w:rPr>
          <w:szCs w:val="24"/>
        </w:rPr>
        <w:t xml:space="preserve"> (Water Reuse Regulation),</w:t>
      </w:r>
    </w:p>
    <w:p w14:paraId="002EE1F6" w14:textId="77777777" w:rsidR="006F7BE6" w:rsidRPr="008B20B2" w:rsidRDefault="006F7BE6" w:rsidP="00C547A5">
      <w:pPr>
        <w:pStyle w:val="NormalHanging12a"/>
        <w:rPr>
          <w:szCs w:val="24"/>
        </w:rPr>
      </w:pPr>
      <w:r w:rsidRPr="008B20B2">
        <w:rPr>
          <w:szCs w:val="24"/>
        </w:rPr>
        <w:t>–</w:t>
      </w:r>
      <w:r w:rsidRPr="008B20B2">
        <w:rPr>
          <w:szCs w:val="24"/>
        </w:rPr>
        <w:tab/>
        <w:t>having regard to Directive 2008/56/EC of the European Parliament and of the Council of 17 June 2008 establishing a framework for community action in the field of marine environmental policy (Marine Strategy Framework Directive)</w:t>
      </w:r>
      <w:r w:rsidRPr="008B20B2">
        <w:rPr>
          <w:rStyle w:val="FootnoteReference"/>
          <w:szCs w:val="24"/>
        </w:rPr>
        <w:footnoteReference w:id="9"/>
      </w:r>
      <w:r w:rsidRPr="008B20B2">
        <w:rPr>
          <w:szCs w:val="24"/>
        </w:rPr>
        <w:t>,</w:t>
      </w:r>
    </w:p>
    <w:p w14:paraId="219F5D6E" w14:textId="77777777" w:rsidR="006F7BE6" w:rsidRPr="008B20B2" w:rsidRDefault="006F7BE6" w:rsidP="00C547A5">
      <w:pPr>
        <w:pStyle w:val="NormalHanging12a"/>
        <w:rPr>
          <w:szCs w:val="24"/>
        </w:rPr>
      </w:pPr>
      <w:r w:rsidRPr="008B20B2">
        <w:rPr>
          <w:szCs w:val="24"/>
        </w:rPr>
        <w:t>–</w:t>
      </w:r>
      <w:r w:rsidRPr="008B20B2">
        <w:rPr>
          <w:szCs w:val="24"/>
        </w:rPr>
        <w:tab/>
        <w:t>having regard to Directive (EU) 2024/3019 of the European Parliament and of the Council of 27 November 2024 concerning urban wastewater treatment</w:t>
      </w:r>
      <w:r w:rsidRPr="008B20B2">
        <w:rPr>
          <w:rStyle w:val="FootnoteReference"/>
          <w:szCs w:val="24"/>
        </w:rPr>
        <w:footnoteReference w:id="10"/>
      </w:r>
      <w:r w:rsidRPr="008B20B2">
        <w:rPr>
          <w:szCs w:val="24"/>
        </w:rPr>
        <w:t xml:space="preserve"> (revised Urban Wastewater Treatment Directive),</w:t>
      </w:r>
    </w:p>
    <w:p w14:paraId="79D00E3D" w14:textId="77777777" w:rsidR="006F7BE6" w:rsidRPr="008B20B2" w:rsidRDefault="006F7BE6" w:rsidP="00C547A5">
      <w:pPr>
        <w:pStyle w:val="NormalHanging12a"/>
        <w:rPr>
          <w:szCs w:val="24"/>
        </w:rPr>
      </w:pPr>
      <w:r w:rsidRPr="008B20B2">
        <w:rPr>
          <w:szCs w:val="24"/>
        </w:rPr>
        <w:t>–</w:t>
      </w:r>
      <w:r w:rsidRPr="008B20B2">
        <w:rPr>
          <w:szCs w:val="24"/>
        </w:rPr>
        <w:tab/>
        <w:t>having regard to Directive (EU) 2024/1785 of the European Parliament and of the Council of 24 April 2024 amending Directive 2010/75/EU on industrial emissions (integrated pollution prevention and control) and Council Directive 1999/31/EC on the landfill of waste</w:t>
      </w:r>
      <w:r w:rsidRPr="008B20B2">
        <w:rPr>
          <w:rStyle w:val="FootnoteReference"/>
          <w:szCs w:val="24"/>
        </w:rPr>
        <w:footnoteReference w:id="11"/>
      </w:r>
      <w:r w:rsidRPr="008B20B2">
        <w:rPr>
          <w:szCs w:val="24"/>
        </w:rPr>
        <w:t>,</w:t>
      </w:r>
    </w:p>
    <w:p w14:paraId="3DBF3B1D" w14:textId="77777777" w:rsidR="006F7BE6" w:rsidRPr="008B20B2" w:rsidRDefault="006F7BE6" w:rsidP="00C547A5">
      <w:pPr>
        <w:pStyle w:val="NormalHanging12a"/>
        <w:rPr>
          <w:szCs w:val="24"/>
        </w:rPr>
      </w:pPr>
      <w:r w:rsidRPr="008B20B2">
        <w:rPr>
          <w:szCs w:val="24"/>
        </w:rPr>
        <w:t>–</w:t>
      </w:r>
      <w:r w:rsidRPr="008B20B2">
        <w:rPr>
          <w:szCs w:val="24"/>
        </w:rPr>
        <w:tab/>
        <w:t>having regard to Council Directive 91/676/EEC of 12 December 1991 concerning the protection of waters against pollution caused by nitrates from agricultural sources</w:t>
      </w:r>
      <w:r w:rsidRPr="008B20B2">
        <w:rPr>
          <w:rStyle w:val="FootnoteReference"/>
          <w:szCs w:val="24"/>
        </w:rPr>
        <w:footnoteReference w:id="12"/>
      </w:r>
      <w:r w:rsidRPr="008B20B2">
        <w:rPr>
          <w:szCs w:val="24"/>
        </w:rPr>
        <w:t>,</w:t>
      </w:r>
    </w:p>
    <w:p w14:paraId="6C4B923C" w14:textId="77777777" w:rsidR="006F7BE6" w:rsidRPr="008B20B2" w:rsidRDefault="006F7BE6" w:rsidP="00C547A5">
      <w:pPr>
        <w:pStyle w:val="NormalHanging12a"/>
        <w:rPr>
          <w:szCs w:val="24"/>
        </w:rPr>
      </w:pPr>
      <w:r w:rsidRPr="008B20B2">
        <w:rPr>
          <w:szCs w:val="24"/>
        </w:rPr>
        <w:lastRenderedPageBreak/>
        <w:t>–</w:t>
      </w:r>
      <w:r w:rsidRPr="008B20B2">
        <w:rPr>
          <w:szCs w:val="24"/>
        </w:rPr>
        <w:tab/>
        <w:t>having regard to Regulation (EU) 2024/1991 of the European Parliament and of the Council of 24 June 2024 on nature restoration and amending Regulation (EU) 2022/869</w:t>
      </w:r>
      <w:r w:rsidRPr="008B20B2">
        <w:rPr>
          <w:rStyle w:val="FootnoteReference"/>
          <w:szCs w:val="24"/>
        </w:rPr>
        <w:footnoteReference w:id="13"/>
      </w:r>
      <w:r w:rsidRPr="008B20B2">
        <w:rPr>
          <w:szCs w:val="24"/>
        </w:rPr>
        <w:t>,</w:t>
      </w:r>
    </w:p>
    <w:p w14:paraId="2A360BAC" w14:textId="77777777" w:rsidR="006F7BE6" w:rsidRPr="008B20B2" w:rsidRDefault="006F7BE6" w:rsidP="00C547A5">
      <w:pPr>
        <w:pStyle w:val="NormalHanging12a"/>
        <w:rPr>
          <w:szCs w:val="24"/>
        </w:rPr>
      </w:pPr>
      <w:r w:rsidRPr="008B20B2">
        <w:rPr>
          <w:szCs w:val="24"/>
        </w:rPr>
        <w:t>–</w:t>
      </w:r>
      <w:r w:rsidRPr="008B20B2">
        <w:rPr>
          <w:szCs w:val="24"/>
        </w:rPr>
        <w:tab/>
        <w:t>having regard to Directive (EU) 2022/2557 of the European Parliament and of the Council of 14 December 2022 on the resilience of critical entities and repealing Council Directive 2008/114/EC</w:t>
      </w:r>
      <w:r w:rsidRPr="008B20B2">
        <w:rPr>
          <w:rStyle w:val="FootnoteReference"/>
          <w:szCs w:val="24"/>
        </w:rPr>
        <w:footnoteReference w:id="14"/>
      </w:r>
      <w:r w:rsidRPr="008B20B2">
        <w:rPr>
          <w:szCs w:val="24"/>
        </w:rPr>
        <w:t xml:space="preserve"> (Critical Entities Resilience Directive),</w:t>
      </w:r>
    </w:p>
    <w:p w14:paraId="766A9355" w14:textId="77777777" w:rsidR="006F7BE6" w:rsidRPr="008B20B2" w:rsidRDefault="006F7BE6" w:rsidP="00C547A5">
      <w:pPr>
        <w:pStyle w:val="NormalHanging12a"/>
        <w:rPr>
          <w:szCs w:val="24"/>
        </w:rPr>
      </w:pPr>
      <w:r w:rsidRPr="008B20B2">
        <w:rPr>
          <w:szCs w:val="24"/>
        </w:rPr>
        <w:t>–</w:t>
      </w:r>
      <w:r w:rsidRPr="008B20B2">
        <w:rPr>
          <w:szCs w:val="24"/>
        </w:rPr>
        <w:tab/>
        <w:t>having regard to Directive (EU) 2022/2555 of the European Parliament and of the Council on 14 December 2022 on measures for a high common level of cybersecurity across the Union, amending Regulation (EU) No 910/2014 and Directive (EU) 2018/1972, and repealing Directive (EU) 2016/1148 (NIS 2 Directive)</w:t>
      </w:r>
      <w:r w:rsidRPr="008B20B2">
        <w:rPr>
          <w:rStyle w:val="FootnoteReference"/>
          <w:szCs w:val="24"/>
        </w:rPr>
        <w:footnoteReference w:id="15"/>
      </w:r>
      <w:r w:rsidRPr="008B20B2">
        <w:rPr>
          <w:szCs w:val="24"/>
        </w:rPr>
        <w:t>,</w:t>
      </w:r>
    </w:p>
    <w:p w14:paraId="71A31983" w14:textId="77777777" w:rsidR="006F7BE6" w:rsidRPr="008B20B2" w:rsidRDefault="006F7BE6" w:rsidP="00C547A5">
      <w:pPr>
        <w:pStyle w:val="NormalHanging12a"/>
        <w:rPr>
          <w:szCs w:val="24"/>
        </w:rPr>
      </w:pPr>
      <w:r w:rsidRPr="008B20B2">
        <w:rPr>
          <w:szCs w:val="24"/>
        </w:rPr>
        <w:t>–</w:t>
      </w:r>
      <w:r w:rsidRPr="008B20B2">
        <w:rPr>
          <w:szCs w:val="24"/>
        </w:rPr>
        <w:tab/>
        <w:t>having regard to Directive 2009/128/EC of the European Parliament and of the Council of 21 October 2009 establishing a framework for Community action to achieve the sustainable use of pesticides</w:t>
      </w:r>
      <w:r w:rsidRPr="008B20B2">
        <w:rPr>
          <w:rStyle w:val="FootnoteReference"/>
          <w:szCs w:val="24"/>
        </w:rPr>
        <w:footnoteReference w:id="16"/>
      </w:r>
      <w:r w:rsidRPr="008B20B2">
        <w:rPr>
          <w:szCs w:val="24"/>
        </w:rPr>
        <w:t>,</w:t>
      </w:r>
    </w:p>
    <w:p w14:paraId="1916BDB0" w14:textId="77777777" w:rsidR="006F7BE6" w:rsidRPr="008B20B2" w:rsidRDefault="006F7BE6" w:rsidP="00C547A5">
      <w:pPr>
        <w:pStyle w:val="NormalHanging12a"/>
        <w:rPr>
          <w:szCs w:val="24"/>
        </w:rPr>
      </w:pPr>
      <w:proofErr w:type="gramStart"/>
      <w:r w:rsidRPr="008B20B2">
        <w:rPr>
          <w:szCs w:val="24"/>
        </w:rPr>
        <w:t>–</w:t>
      </w:r>
      <w:r w:rsidRPr="008B20B2">
        <w:rPr>
          <w:szCs w:val="24"/>
        </w:rPr>
        <w:tab/>
        <w:t>having regard to Regulation (EU) 2021/2115 of the European Parliament and of the Council of 2 December 2021 establishing rules on support for strategic plans to be drawn up by Member States under the common agricultural policy (CAP Strategic Plans) and financed by the European Agricultural Guarantee Fund (EAGF) and by the European Agricultural Fund for Rural Development (EAFRD) and repealing Regulations (EU) No 1305/2013 and (EU) No 1307/2013</w:t>
      </w:r>
      <w:r w:rsidRPr="008B20B2">
        <w:rPr>
          <w:rStyle w:val="FootnoteReference"/>
          <w:szCs w:val="24"/>
        </w:rPr>
        <w:footnoteReference w:id="17"/>
      </w:r>
      <w:r w:rsidRPr="008B20B2">
        <w:rPr>
          <w:szCs w:val="24"/>
        </w:rPr>
        <w:t>,</w:t>
      </w:r>
      <w:proofErr w:type="gramEnd"/>
    </w:p>
    <w:p w14:paraId="1877CF99" w14:textId="77777777" w:rsidR="006F7BE6" w:rsidRPr="008B20B2" w:rsidRDefault="006F7BE6" w:rsidP="00C547A5">
      <w:pPr>
        <w:pStyle w:val="NormalHanging12a"/>
        <w:rPr>
          <w:szCs w:val="24"/>
        </w:rPr>
      </w:pPr>
      <w:r w:rsidRPr="008B20B2">
        <w:rPr>
          <w:szCs w:val="24"/>
        </w:rPr>
        <w:t>–</w:t>
      </w:r>
      <w:r w:rsidRPr="008B20B2">
        <w:rPr>
          <w:szCs w:val="24"/>
        </w:rPr>
        <w:tab/>
        <w:t xml:space="preserve">having regard to Commission Regulation (EU) 2024/3190 of 19 December 2024 on the use of </w:t>
      </w:r>
      <w:proofErr w:type="spellStart"/>
      <w:r w:rsidRPr="008B20B2">
        <w:rPr>
          <w:szCs w:val="24"/>
        </w:rPr>
        <w:t>bisphenol</w:t>
      </w:r>
      <w:proofErr w:type="spellEnd"/>
      <w:r w:rsidRPr="008B20B2">
        <w:rPr>
          <w:szCs w:val="24"/>
        </w:rPr>
        <w:t xml:space="preserve"> A (BPA) and other </w:t>
      </w:r>
      <w:proofErr w:type="spellStart"/>
      <w:r w:rsidRPr="008B20B2">
        <w:rPr>
          <w:szCs w:val="24"/>
        </w:rPr>
        <w:t>bisphenols</w:t>
      </w:r>
      <w:proofErr w:type="spellEnd"/>
      <w:r w:rsidRPr="008B20B2">
        <w:rPr>
          <w:szCs w:val="24"/>
        </w:rPr>
        <w:t xml:space="preserve"> and </w:t>
      </w:r>
      <w:proofErr w:type="spellStart"/>
      <w:r w:rsidRPr="008B20B2">
        <w:rPr>
          <w:szCs w:val="24"/>
        </w:rPr>
        <w:t>bisphenol</w:t>
      </w:r>
      <w:proofErr w:type="spellEnd"/>
      <w:r w:rsidRPr="008B20B2">
        <w:rPr>
          <w:szCs w:val="24"/>
        </w:rPr>
        <w:t xml:space="preserve"> derivatives with harmonised classification for specific hazardous properties in certain materials and articles intended to come into contact with food, amending Regulation (EU) No 10/2011 and repealing Regulation (EU) 2018/213</w:t>
      </w:r>
      <w:r w:rsidRPr="008B20B2">
        <w:rPr>
          <w:rStyle w:val="FootnoteReference"/>
          <w:szCs w:val="24"/>
        </w:rPr>
        <w:footnoteReference w:id="18"/>
      </w:r>
      <w:r w:rsidRPr="008B20B2">
        <w:rPr>
          <w:szCs w:val="24"/>
        </w:rPr>
        <w:t>,</w:t>
      </w:r>
    </w:p>
    <w:p w14:paraId="4763DF12" w14:textId="4BA9752A" w:rsidR="006F7BE6" w:rsidRPr="008B20B2" w:rsidRDefault="006F7BE6" w:rsidP="00C547A5">
      <w:pPr>
        <w:pStyle w:val="NormalHanging12a"/>
        <w:rPr>
          <w:szCs w:val="24"/>
        </w:rPr>
      </w:pPr>
      <w:r w:rsidRPr="008B20B2">
        <w:rPr>
          <w:szCs w:val="24"/>
        </w:rPr>
        <w:t>–</w:t>
      </w:r>
      <w:r w:rsidRPr="008B20B2">
        <w:rPr>
          <w:szCs w:val="24"/>
        </w:rPr>
        <w:tab/>
        <w:t>having regard to the Commission c</w:t>
      </w:r>
      <w:r w:rsidR="00E704A6" w:rsidRPr="008B20B2">
        <w:rPr>
          <w:szCs w:val="24"/>
        </w:rPr>
        <w:t>ommunication of 19 February 2025</w:t>
      </w:r>
      <w:r w:rsidRPr="008B20B2">
        <w:rPr>
          <w:szCs w:val="24"/>
        </w:rPr>
        <w:t xml:space="preserve"> entitled ‘A Vision for Agriculture and Food’ (</w:t>
      </w:r>
      <w:proofErr w:type="gramStart"/>
      <w:r w:rsidRPr="008B20B2">
        <w:rPr>
          <w:szCs w:val="24"/>
        </w:rPr>
        <w:t>COM(</w:t>
      </w:r>
      <w:proofErr w:type="gramEnd"/>
      <w:r w:rsidRPr="008B20B2">
        <w:rPr>
          <w:szCs w:val="24"/>
        </w:rPr>
        <w:t>2025)0075),</w:t>
      </w:r>
    </w:p>
    <w:p w14:paraId="5D71A21C" w14:textId="3F6E0269" w:rsidR="006F7BE6" w:rsidRPr="008B20B2" w:rsidRDefault="006F7BE6" w:rsidP="00C547A5">
      <w:pPr>
        <w:pStyle w:val="NormalHanging12a"/>
        <w:rPr>
          <w:szCs w:val="24"/>
        </w:rPr>
      </w:pPr>
      <w:r w:rsidRPr="008B20B2">
        <w:rPr>
          <w:szCs w:val="24"/>
        </w:rPr>
        <w:t>–</w:t>
      </w:r>
      <w:r w:rsidRPr="008B20B2">
        <w:rPr>
          <w:szCs w:val="24"/>
        </w:rPr>
        <w:tab/>
        <w:t>having regard to the Commission communication of 11 December 2019 on the European Green Deal (</w:t>
      </w:r>
      <w:proofErr w:type="gramStart"/>
      <w:r w:rsidRPr="008B20B2">
        <w:rPr>
          <w:szCs w:val="24"/>
        </w:rPr>
        <w:t>COM(</w:t>
      </w:r>
      <w:proofErr w:type="gramEnd"/>
      <w:r w:rsidRPr="008B20B2">
        <w:rPr>
          <w:szCs w:val="24"/>
        </w:rPr>
        <w:t>2019)0640),</w:t>
      </w:r>
    </w:p>
    <w:p w14:paraId="6B64ED94" w14:textId="77777777" w:rsidR="006F7BE6" w:rsidRPr="008B20B2" w:rsidRDefault="006F7BE6" w:rsidP="00C547A5">
      <w:pPr>
        <w:pStyle w:val="NormalHanging12a"/>
        <w:rPr>
          <w:szCs w:val="24"/>
        </w:rPr>
      </w:pPr>
      <w:r w:rsidRPr="008B20B2">
        <w:rPr>
          <w:szCs w:val="24"/>
        </w:rPr>
        <w:t>–</w:t>
      </w:r>
      <w:r w:rsidRPr="008B20B2">
        <w:rPr>
          <w:szCs w:val="24"/>
        </w:rPr>
        <w:tab/>
        <w:t>having regard to the Commission communication of 29 January 2025 entitled ‘A Competitiveness Compass for the EU’ (</w:t>
      </w:r>
      <w:proofErr w:type="gramStart"/>
      <w:r w:rsidRPr="008B20B2">
        <w:rPr>
          <w:szCs w:val="24"/>
        </w:rPr>
        <w:t>COM(</w:t>
      </w:r>
      <w:proofErr w:type="gramEnd"/>
      <w:r w:rsidRPr="008B20B2">
        <w:rPr>
          <w:szCs w:val="24"/>
        </w:rPr>
        <w:t>2025)0030),</w:t>
      </w:r>
    </w:p>
    <w:p w14:paraId="19FB25B4" w14:textId="36FC37AA" w:rsidR="006F7BE6" w:rsidRPr="008B20B2" w:rsidRDefault="006F7BE6" w:rsidP="00C547A5">
      <w:pPr>
        <w:pStyle w:val="NormalHanging12a"/>
        <w:rPr>
          <w:szCs w:val="24"/>
        </w:rPr>
      </w:pPr>
      <w:r w:rsidRPr="008B20B2">
        <w:rPr>
          <w:szCs w:val="24"/>
        </w:rPr>
        <w:t>–</w:t>
      </w:r>
      <w:r w:rsidRPr="008B20B2">
        <w:rPr>
          <w:szCs w:val="24"/>
        </w:rPr>
        <w:tab/>
        <w:t>having regard to the Commission communication of 12 May 2021 entitled ‘Pathway to a Healthy Planet for All – EU Action Plan: ‘Towards Zero Pollution for Air, Water and Soil’’ (</w:t>
      </w:r>
      <w:proofErr w:type="gramStart"/>
      <w:r w:rsidRPr="008B20B2">
        <w:rPr>
          <w:szCs w:val="24"/>
        </w:rPr>
        <w:t>COM(</w:t>
      </w:r>
      <w:proofErr w:type="gramEnd"/>
      <w:r w:rsidRPr="008B20B2">
        <w:rPr>
          <w:szCs w:val="24"/>
        </w:rPr>
        <w:t>2021)0400),</w:t>
      </w:r>
    </w:p>
    <w:p w14:paraId="52E22343" w14:textId="13688538" w:rsidR="006F7BE6" w:rsidRPr="008B20B2" w:rsidRDefault="006F7BE6" w:rsidP="00C547A5">
      <w:pPr>
        <w:pStyle w:val="NormalHanging12a"/>
        <w:rPr>
          <w:szCs w:val="24"/>
        </w:rPr>
      </w:pPr>
      <w:r w:rsidRPr="008B20B2">
        <w:rPr>
          <w:szCs w:val="24"/>
        </w:rPr>
        <w:lastRenderedPageBreak/>
        <w:t>–</w:t>
      </w:r>
      <w:r w:rsidRPr="008B20B2">
        <w:rPr>
          <w:szCs w:val="24"/>
        </w:rPr>
        <w:tab/>
        <w:t>having regard to the Commission communication of 24 February 2021 entitled ‘Forging a climate-resilient Europe – the new EU Strategy on Adaptation to Climate Change’ (</w:t>
      </w:r>
      <w:proofErr w:type="gramStart"/>
      <w:r w:rsidRPr="008B20B2">
        <w:rPr>
          <w:szCs w:val="24"/>
        </w:rPr>
        <w:t>COM(</w:t>
      </w:r>
      <w:proofErr w:type="gramEnd"/>
      <w:r w:rsidRPr="008B20B2">
        <w:rPr>
          <w:szCs w:val="24"/>
        </w:rPr>
        <w:t>2021)0082),</w:t>
      </w:r>
    </w:p>
    <w:p w14:paraId="486F9602" w14:textId="395825BB" w:rsidR="006F7BE6" w:rsidRPr="008B20B2" w:rsidRDefault="006F7BE6" w:rsidP="00C547A5">
      <w:pPr>
        <w:pStyle w:val="NormalHanging12a"/>
        <w:rPr>
          <w:szCs w:val="24"/>
        </w:rPr>
      </w:pPr>
      <w:r w:rsidRPr="008B20B2">
        <w:rPr>
          <w:szCs w:val="24"/>
        </w:rPr>
        <w:t>–</w:t>
      </w:r>
      <w:r w:rsidRPr="008B20B2">
        <w:rPr>
          <w:szCs w:val="24"/>
        </w:rPr>
        <w:tab/>
        <w:t>having regard to the Commission communication of 18 July 2007 on addressing the challenge of water scarcity and droughts in the European Union (</w:t>
      </w:r>
      <w:proofErr w:type="gramStart"/>
      <w:r w:rsidRPr="008B20B2">
        <w:rPr>
          <w:szCs w:val="24"/>
        </w:rPr>
        <w:t>COM(</w:t>
      </w:r>
      <w:proofErr w:type="gramEnd"/>
      <w:r w:rsidRPr="008B20B2">
        <w:rPr>
          <w:szCs w:val="24"/>
        </w:rPr>
        <w:t>2007)0414),</w:t>
      </w:r>
    </w:p>
    <w:p w14:paraId="7BDAAE4E" w14:textId="40137D0C" w:rsidR="006F7BE6" w:rsidRPr="008B20B2" w:rsidRDefault="006F7BE6" w:rsidP="00C547A5">
      <w:pPr>
        <w:pStyle w:val="NormalHanging12a"/>
        <w:rPr>
          <w:szCs w:val="24"/>
        </w:rPr>
      </w:pPr>
      <w:r w:rsidRPr="008B20B2">
        <w:rPr>
          <w:szCs w:val="24"/>
        </w:rPr>
        <w:t>–</w:t>
      </w:r>
      <w:r w:rsidRPr="008B20B2">
        <w:rPr>
          <w:szCs w:val="24"/>
        </w:rPr>
        <w:tab/>
        <w:t>having regard to the Commission communication of 11 March 2020 entitled ‘A new Circular Economy Action Plan: For a cleaner and more competitive Europe’ (</w:t>
      </w:r>
      <w:proofErr w:type="gramStart"/>
      <w:r w:rsidRPr="008B20B2">
        <w:rPr>
          <w:szCs w:val="24"/>
        </w:rPr>
        <w:t>COM(</w:t>
      </w:r>
      <w:proofErr w:type="gramEnd"/>
      <w:r w:rsidRPr="008B20B2">
        <w:rPr>
          <w:szCs w:val="24"/>
        </w:rPr>
        <w:t>2020)0098),</w:t>
      </w:r>
    </w:p>
    <w:p w14:paraId="0F5DCF8A" w14:textId="12FF996D" w:rsidR="006F7BE6" w:rsidRPr="008B20B2" w:rsidRDefault="006F7BE6" w:rsidP="00C547A5">
      <w:pPr>
        <w:pStyle w:val="NormalHanging12a"/>
        <w:rPr>
          <w:szCs w:val="24"/>
        </w:rPr>
      </w:pPr>
      <w:r w:rsidRPr="008B20B2">
        <w:rPr>
          <w:szCs w:val="24"/>
        </w:rPr>
        <w:t>–</w:t>
      </w:r>
      <w:r w:rsidRPr="008B20B2">
        <w:rPr>
          <w:szCs w:val="24"/>
        </w:rPr>
        <w:tab/>
        <w:t>having regard to the Commission communication of 14 November 2012 entitled ‘A Blueprint to Safeguard Europe’s Water Resources’ (</w:t>
      </w:r>
      <w:proofErr w:type="gramStart"/>
      <w:r w:rsidRPr="008B20B2">
        <w:rPr>
          <w:szCs w:val="24"/>
        </w:rPr>
        <w:t>COM(</w:t>
      </w:r>
      <w:proofErr w:type="gramEnd"/>
      <w:r w:rsidRPr="008B20B2">
        <w:rPr>
          <w:szCs w:val="24"/>
        </w:rPr>
        <w:t>2012)0673),</w:t>
      </w:r>
    </w:p>
    <w:p w14:paraId="1CEF9583" w14:textId="77777777" w:rsidR="006F7BE6" w:rsidRPr="008B20B2" w:rsidRDefault="006F7BE6" w:rsidP="00C547A5">
      <w:pPr>
        <w:pStyle w:val="NormalHanging12a"/>
        <w:rPr>
          <w:szCs w:val="24"/>
        </w:rPr>
      </w:pPr>
      <w:r w:rsidRPr="008B20B2">
        <w:rPr>
          <w:szCs w:val="24"/>
        </w:rPr>
        <w:t>–</w:t>
      </w:r>
      <w:r w:rsidRPr="008B20B2">
        <w:rPr>
          <w:szCs w:val="24"/>
        </w:rPr>
        <w:tab/>
        <w:t>having regard to the EU biodiversity strategy for 2030,</w:t>
      </w:r>
    </w:p>
    <w:p w14:paraId="2E4774CB" w14:textId="77777777" w:rsidR="006F7BE6" w:rsidRPr="008B20B2" w:rsidRDefault="006F7BE6" w:rsidP="00C547A5">
      <w:pPr>
        <w:pStyle w:val="NormalHanging12a"/>
        <w:rPr>
          <w:szCs w:val="24"/>
        </w:rPr>
      </w:pPr>
      <w:r w:rsidRPr="008B20B2">
        <w:rPr>
          <w:szCs w:val="24"/>
        </w:rPr>
        <w:t>–</w:t>
      </w:r>
      <w:r w:rsidRPr="008B20B2">
        <w:rPr>
          <w:szCs w:val="24"/>
        </w:rPr>
        <w:tab/>
        <w:t>having regard to the COP29 Declaration on Water for Climate Action, endorsed by the European Union,</w:t>
      </w:r>
    </w:p>
    <w:p w14:paraId="06585E0D" w14:textId="77777777" w:rsidR="006F7BE6" w:rsidRPr="008B20B2" w:rsidRDefault="006F7BE6" w:rsidP="00C547A5">
      <w:pPr>
        <w:pStyle w:val="NormalHanging12a"/>
        <w:rPr>
          <w:szCs w:val="24"/>
        </w:rPr>
      </w:pPr>
      <w:r w:rsidRPr="008B20B2">
        <w:rPr>
          <w:szCs w:val="24"/>
        </w:rPr>
        <w:t>–</w:t>
      </w:r>
      <w:r w:rsidRPr="008B20B2">
        <w:rPr>
          <w:szCs w:val="24"/>
        </w:rPr>
        <w:tab/>
        <w:t xml:space="preserve">having regard to the European Oceans Pact announced by Commission President von der </w:t>
      </w:r>
      <w:proofErr w:type="spellStart"/>
      <w:r w:rsidRPr="008B20B2">
        <w:rPr>
          <w:szCs w:val="24"/>
        </w:rPr>
        <w:t>Leyen</w:t>
      </w:r>
      <w:proofErr w:type="spellEnd"/>
      <w:r w:rsidRPr="008B20B2">
        <w:rPr>
          <w:szCs w:val="24"/>
        </w:rPr>
        <w:t xml:space="preserve"> in her political guidelines for the next European Commission (2024-2029) on 18 July 2024,</w:t>
      </w:r>
    </w:p>
    <w:p w14:paraId="071CC516" w14:textId="77777777" w:rsidR="006F7BE6" w:rsidRPr="008B20B2" w:rsidRDefault="006F7BE6" w:rsidP="00C547A5">
      <w:pPr>
        <w:pStyle w:val="NormalHanging12a"/>
        <w:rPr>
          <w:szCs w:val="24"/>
        </w:rPr>
      </w:pPr>
      <w:r w:rsidRPr="008B20B2">
        <w:rPr>
          <w:szCs w:val="24"/>
        </w:rPr>
        <w:t>–</w:t>
      </w:r>
      <w:r w:rsidRPr="008B20B2">
        <w:rPr>
          <w:szCs w:val="24"/>
        </w:rPr>
        <w:tab/>
        <w:t xml:space="preserve">having regard to the European climate adaptation plan and the European water resilience strategy announced by Commission President von der </w:t>
      </w:r>
      <w:proofErr w:type="spellStart"/>
      <w:r w:rsidRPr="008B20B2">
        <w:rPr>
          <w:szCs w:val="24"/>
        </w:rPr>
        <w:t>Leyen</w:t>
      </w:r>
      <w:proofErr w:type="spellEnd"/>
      <w:r w:rsidRPr="008B20B2">
        <w:rPr>
          <w:szCs w:val="24"/>
        </w:rPr>
        <w:t xml:space="preserve"> in her political guidelines for the next European Commission (2024-2029) on 18 July 2024,</w:t>
      </w:r>
    </w:p>
    <w:p w14:paraId="75C17E7B" w14:textId="77777777" w:rsidR="006F7BE6" w:rsidRPr="008B20B2" w:rsidRDefault="006F7BE6" w:rsidP="00C547A5">
      <w:pPr>
        <w:pStyle w:val="NormalHanging12a"/>
        <w:rPr>
          <w:szCs w:val="24"/>
        </w:rPr>
      </w:pPr>
      <w:r w:rsidRPr="008B20B2">
        <w:rPr>
          <w:szCs w:val="24"/>
        </w:rPr>
        <w:t>–</w:t>
      </w:r>
      <w:r w:rsidRPr="008B20B2">
        <w:rPr>
          <w:szCs w:val="24"/>
        </w:rPr>
        <w:tab/>
        <w:t>having regard to the EU’s 8th environment action programme,</w:t>
      </w:r>
    </w:p>
    <w:p w14:paraId="1B1E3C4E" w14:textId="77777777" w:rsidR="006F7BE6" w:rsidRPr="008B20B2" w:rsidRDefault="006F7BE6" w:rsidP="00C547A5">
      <w:pPr>
        <w:pStyle w:val="NormalHanging12a"/>
        <w:rPr>
          <w:szCs w:val="24"/>
        </w:rPr>
      </w:pPr>
      <w:r w:rsidRPr="008B20B2">
        <w:rPr>
          <w:szCs w:val="24"/>
        </w:rPr>
        <w:t>–</w:t>
      </w:r>
      <w:r w:rsidRPr="008B20B2">
        <w:rPr>
          <w:szCs w:val="24"/>
        </w:rPr>
        <w:tab/>
        <w:t xml:space="preserve">having regards to its resolution of </w:t>
      </w:r>
      <w:proofErr w:type="gramStart"/>
      <w:r w:rsidRPr="008B20B2">
        <w:rPr>
          <w:szCs w:val="24"/>
        </w:rPr>
        <w:t>5</w:t>
      </w:r>
      <w:proofErr w:type="gramEnd"/>
      <w:r w:rsidRPr="008B20B2">
        <w:rPr>
          <w:szCs w:val="24"/>
        </w:rPr>
        <w:t> October 2022 entitled ‘Access to water as a human right – the external dimension’</w:t>
      </w:r>
      <w:r w:rsidRPr="008B20B2">
        <w:rPr>
          <w:rStyle w:val="FootnoteReference"/>
          <w:szCs w:val="24"/>
        </w:rPr>
        <w:footnoteReference w:id="19"/>
      </w:r>
      <w:r w:rsidRPr="008B20B2">
        <w:rPr>
          <w:szCs w:val="24"/>
        </w:rPr>
        <w:t>,</w:t>
      </w:r>
    </w:p>
    <w:p w14:paraId="71FC4D7B" w14:textId="77777777" w:rsidR="006F7BE6" w:rsidRPr="008B20B2" w:rsidRDefault="006F7BE6" w:rsidP="00C547A5">
      <w:pPr>
        <w:pStyle w:val="NormalHanging12a"/>
        <w:rPr>
          <w:szCs w:val="24"/>
        </w:rPr>
      </w:pPr>
      <w:r w:rsidRPr="008B20B2">
        <w:rPr>
          <w:szCs w:val="24"/>
        </w:rPr>
        <w:t>–</w:t>
      </w:r>
      <w:r w:rsidRPr="008B20B2">
        <w:rPr>
          <w:szCs w:val="24"/>
        </w:rPr>
        <w:tab/>
        <w:t>having regard to its resolution of 19 September 2024 on the devastating floods in central and eastern Europe, the loss of lives and the EU’s preparedness to act on such disasters exacerbated by climate change</w:t>
      </w:r>
      <w:r w:rsidRPr="008B20B2">
        <w:rPr>
          <w:rStyle w:val="FootnoteReference"/>
          <w:szCs w:val="24"/>
        </w:rPr>
        <w:footnoteReference w:id="20"/>
      </w:r>
      <w:r w:rsidRPr="008B20B2">
        <w:rPr>
          <w:szCs w:val="24"/>
        </w:rPr>
        <w:t>,</w:t>
      </w:r>
    </w:p>
    <w:p w14:paraId="77355D05" w14:textId="77777777" w:rsidR="006F7BE6" w:rsidRPr="008B20B2" w:rsidRDefault="006F7BE6" w:rsidP="00C547A5">
      <w:pPr>
        <w:pStyle w:val="NormalHanging12a"/>
        <w:rPr>
          <w:szCs w:val="24"/>
        </w:rPr>
      </w:pPr>
      <w:r w:rsidRPr="008B20B2">
        <w:rPr>
          <w:szCs w:val="24"/>
        </w:rPr>
        <w:t>–</w:t>
      </w:r>
      <w:r w:rsidRPr="008B20B2">
        <w:rPr>
          <w:szCs w:val="24"/>
        </w:rPr>
        <w:tab/>
        <w:t>having regard to its resolution of 6 October 2022 on momentum for the ocean: strengthening ocean governance and biodiversity</w:t>
      </w:r>
      <w:r w:rsidRPr="008B20B2">
        <w:rPr>
          <w:szCs w:val="24"/>
          <w:vertAlign w:val="superscript"/>
        </w:rPr>
        <w:footnoteReference w:id="21"/>
      </w:r>
      <w:r w:rsidRPr="008B20B2">
        <w:rPr>
          <w:szCs w:val="24"/>
        </w:rPr>
        <w:t>,</w:t>
      </w:r>
    </w:p>
    <w:p w14:paraId="553E740A" w14:textId="77777777" w:rsidR="006F7BE6" w:rsidRPr="008B20B2" w:rsidRDefault="006F7BE6" w:rsidP="00C547A5">
      <w:pPr>
        <w:pStyle w:val="NormalHanging12a"/>
        <w:rPr>
          <w:szCs w:val="24"/>
        </w:rPr>
      </w:pPr>
      <w:r w:rsidRPr="008B20B2">
        <w:rPr>
          <w:szCs w:val="24"/>
        </w:rPr>
        <w:t>–</w:t>
      </w:r>
      <w:r w:rsidRPr="008B20B2">
        <w:rPr>
          <w:szCs w:val="24"/>
        </w:rPr>
        <w:tab/>
        <w:t>having regard to its resolution of 28 November 2019 on the climate and environment emergency</w:t>
      </w:r>
      <w:r w:rsidRPr="008B20B2">
        <w:rPr>
          <w:rStyle w:val="FootnoteReference"/>
          <w:szCs w:val="24"/>
        </w:rPr>
        <w:footnoteReference w:id="22"/>
      </w:r>
      <w:r w:rsidRPr="008B20B2">
        <w:rPr>
          <w:szCs w:val="24"/>
        </w:rPr>
        <w:t>,</w:t>
      </w:r>
    </w:p>
    <w:p w14:paraId="57F67AC6" w14:textId="77777777" w:rsidR="006F7BE6" w:rsidRPr="008B20B2" w:rsidRDefault="006F7BE6" w:rsidP="00C547A5">
      <w:pPr>
        <w:pStyle w:val="NormalHanging12a"/>
        <w:rPr>
          <w:szCs w:val="24"/>
        </w:rPr>
      </w:pPr>
      <w:r w:rsidRPr="008B20B2">
        <w:rPr>
          <w:szCs w:val="24"/>
        </w:rPr>
        <w:t>–</w:t>
      </w:r>
      <w:r w:rsidRPr="008B20B2">
        <w:rPr>
          <w:szCs w:val="24"/>
        </w:rPr>
        <w:tab/>
        <w:t>having regard to its resolution of 14 November 2024 on the UN climate change conference in Baku, Azerbaijan (COP29)</w:t>
      </w:r>
      <w:r w:rsidRPr="008B20B2">
        <w:rPr>
          <w:rStyle w:val="FootnoteReference"/>
          <w:szCs w:val="24"/>
        </w:rPr>
        <w:footnoteReference w:id="23"/>
      </w:r>
      <w:r w:rsidRPr="008B20B2">
        <w:rPr>
          <w:szCs w:val="24"/>
        </w:rPr>
        <w:t>,</w:t>
      </w:r>
    </w:p>
    <w:p w14:paraId="25D0E149" w14:textId="3EA3A4D0" w:rsidR="006F7BE6" w:rsidRPr="008B20B2" w:rsidRDefault="006F7BE6" w:rsidP="00C547A5">
      <w:pPr>
        <w:pStyle w:val="NormalHanging12a"/>
        <w:rPr>
          <w:szCs w:val="24"/>
        </w:rPr>
      </w:pPr>
      <w:r w:rsidRPr="008B20B2">
        <w:rPr>
          <w:szCs w:val="24"/>
        </w:rPr>
        <w:lastRenderedPageBreak/>
        <w:t>–</w:t>
      </w:r>
      <w:r w:rsidRPr="008B20B2">
        <w:rPr>
          <w:szCs w:val="24"/>
        </w:rPr>
        <w:tab/>
        <w:t>having regard to the Commission report of 4</w:t>
      </w:r>
      <w:r w:rsidR="00402841" w:rsidRPr="008B20B2">
        <w:rPr>
          <w:szCs w:val="24"/>
        </w:rPr>
        <w:t> </w:t>
      </w:r>
      <w:r w:rsidRPr="008B20B2">
        <w:rPr>
          <w:szCs w:val="24"/>
        </w:rPr>
        <w:t>February 2025 on the implementation of the Water Framework Directive (2000/60/EC) and the Floods Directive (2007/60/EC) entitled ‘Third river basin management plans – Second flood risk management plans’ (COM(2025)0002),</w:t>
      </w:r>
    </w:p>
    <w:p w14:paraId="595F81D0" w14:textId="77777777" w:rsidR="006F7BE6" w:rsidRPr="008B20B2" w:rsidRDefault="006F7BE6" w:rsidP="00C547A5">
      <w:pPr>
        <w:pStyle w:val="NormalHanging12a"/>
        <w:rPr>
          <w:szCs w:val="24"/>
        </w:rPr>
      </w:pPr>
      <w:r w:rsidRPr="008B20B2">
        <w:rPr>
          <w:szCs w:val="24"/>
        </w:rPr>
        <w:t>–</w:t>
      </w:r>
      <w:r w:rsidRPr="008B20B2">
        <w:rPr>
          <w:szCs w:val="24"/>
        </w:rPr>
        <w:tab/>
        <w:t>having regard to the European Court of Auditors special report 15/2024 of 16 October 2024 entitled ‘Climate adaptation in the EU – action not keeping up with ambition’,</w:t>
      </w:r>
    </w:p>
    <w:p w14:paraId="4003EFAA" w14:textId="77777777" w:rsidR="006F7BE6" w:rsidRPr="008B20B2" w:rsidRDefault="006F7BE6" w:rsidP="00C547A5">
      <w:pPr>
        <w:pStyle w:val="NormalHanging12a"/>
        <w:rPr>
          <w:szCs w:val="24"/>
        </w:rPr>
      </w:pPr>
      <w:r w:rsidRPr="008B20B2">
        <w:rPr>
          <w:szCs w:val="24"/>
        </w:rPr>
        <w:t>–</w:t>
      </w:r>
      <w:r w:rsidRPr="008B20B2">
        <w:rPr>
          <w:szCs w:val="24"/>
        </w:rPr>
        <w:tab/>
        <w:t xml:space="preserve">having regard to former Finnish President </w:t>
      </w:r>
      <w:proofErr w:type="spellStart"/>
      <w:r w:rsidRPr="008B20B2">
        <w:rPr>
          <w:szCs w:val="24"/>
        </w:rPr>
        <w:t>Sauli</w:t>
      </w:r>
      <w:proofErr w:type="spellEnd"/>
      <w:r w:rsidRPr="008B20B2">
        <w:rPr>
          <w:szCs w:val="24"/>
        </w:rPr>
        <w:t xml:space="preserve"> </w:t>
      </w:r>
      <w:proofErr w:type="spellStart"/>
      <w:r w:rsidRPr="008B20B2">
        <w:rPr>
          <w:szCs w:val="24"/>
        </w:rPr>
        <w:t>Niinistö’s</w:t>
      </w:r>
      <w:proofErr w:type="spellEnd"/>
      <w:r w:rsidRPr="008B20B2">
        <w:rPr>
          <w:szCs w:val="24"/>
        </w:rPr>
        <w:t xml:space="preserve"> report of 30 October 2024 entitled ‘Safer Together – Strengthening Europe’s civil and military preparedness and readiness’,</w:t>
      </w:r>
    </w:p>
    <w:p w14:paraId="720E2432" w14:textId="77777777" w:rsidR="006F7BE6" w:rsidRPr="008B20B2" w:rsidRDefault="006F7BE6" w:rsidP="00C547A5">
      <w:pPr>
        <w:pStyle w:val="NormalHanging12a"/>
        <w:rPr>
          <w:szCs w:val="24"/>
        </w:rPr>
      </w:pPr>
      <w:r w:rsidRPr="008B20B2">
        <w:rPr>
          <w:szCs w:val="24"/>
        </w:rPr>
        <w:t>–</w:t>
      </w:r>
      <w:r w:rsidRPr="008B20B2">
        <w:rPr>
          <w:szCs w:val="24"/>
        </w:rPr>
        <w:tab/>
        <w:t>having regard to Enrico Letta’s report of April 2024 entitled ‘Much more than a market’,</w:t>
      </w:r>
    </w:p>
    <w:p w14:paraId="238F9165" w14:textId="77777777" w:rsidR="006F7BE6" w:rsidRPr="008B20B2" w:rsidRDefault="006F7BE6" w:rsidP="00C547A5">
      <w:pPr>
        <w:pStyle w:val="NormalHanging12a"/>
        <w:rPr>
          <w:szCs w:val="24"/>
        </w:rPr>
      </w:pPr>
      <w:r w:rsidRPr="008B20B2">
        <w:rPr>
          <w:szCs w:val="24"/>
        </w:rPr>
        <w:t>–</w:t>
      </w:r>
      <w:r w:rsidRPr="008B20B2">
        <w:rPr>
          <w:szCs w:val="24"/>
        </w:rPr>
        <w:tab/>
        <w:t>having regard to its resolution of 17 December 2020 on the implementation of the EU water legislation</w:t>
      </w:r>
      <w:r w:rsidRPr="008B20B2">
        <w:rPr>
          <w:rStyle w:val="FootnoteReference"/>
          <w:szCs w:val="24"/>
        </w:rPr>
        <w:footnoteReference w:id="24"/>
      </w:r>
      <w:r w:rsidRPr="008B20B2">
        <w:rPr>
          <w:szCs w:val="24"/>
        </w:rPr>
        <w:t>,</w:t>
      </w:r>
    </w:p>
    <w:p w14:paraId="55C993A6" w14:textId="77777777" w:rsidR="006F7BE6" w:rsidRPr="008B20B2" w:rsidRDefault="006F7BE6" w:rsidP="00C547A5">
      <w:pPr>
        <w:pStyle w:val="NormalHanging12a"/>
        <w:rPr>
          <w:szCs w:val="24"/>
        </w:rPr>
      </w:pPr>
      <w:r w:rsidRPr="008B20B2">
        <w:rPr>
          <w:szCs w:val="24"/>
        </w:rPr>
        <w:t>–</w:t>
      </w:r>
      <w:r w:rsidRPr="008B20B2">
        <w:rPr>
          <w:szCs w:val="24"/>
        </w:rPr>
        <w:tab/>
        <w:t>having regard to the European Court of Auditors special report 33/2018 of 18 December 2018 entitled ‘</w:t>
      </w:r>
      <w:proofErr w:type="gramStart"/>
      <w:r w:rsidRPr="008B20B2">
        <w:rPr>
          <w:szCs w:val="24"/>
        </w:rPr>
        <w:t>Combating</w:t>
      </w:r>
      <w:proofErr w:type="gramEnd"/>
      <w:r w:rsidRPr="008B20B2">
        <w:rPr>
          <w:szCs w:val="24"/>
        </w:rPr>
        <w:t xml:space="preserve"> desertification in the EU: a growing threat in need of more action,</w:t>
      </w:r>
    </w:p>
    <w:p w14:paraId="31323DD8" w14:textId="77777777" w:rsidR="006F7BE6" w:rsidRPr="008B20B2" w:rsidRDefault="006F7BE6" w:rsidP="00C547A5">
      <w:pPr>
        <w:pStyle w:val="NormalHanging12a"/>
        <w:rPr>
          <w:szCs w:val="24"/>
        </w:rPr>
      </w:pPr>
      <w:r w:rsidRPr="008B20B2">
        <w:rPr>
          <w:szCs w:val="24"/>
        </w:rPr>
        <w:t>–</w:t>
      </w:r>
      <w:r w:rsidRPr="008B20B2">
        <w:rPr>
          <w:szCs w:val="24"/>
        </w:rPr>
        <w:tab/>
        <w:t>having regard to the European citizens’ initiative (ECI) on the right to water,</w:t>
      </w:r>
    </w:p>
    <w:p w14:paraId="6F7B4894" w14:textId="77777777" w:rsidR="006F7BE6" w:rsidRPr="008B20B2" w:rsidRDefault="006F7BE6" w:rsidP="00C547A5">
      <w:pPr>
        <w:pStyle w:val="NormalHanging12a"/>
        <w:rPr>
          <w:szCs w:val="24"/>
        </w:rPr>
      </w:pPr>
      <w:r w:rsidRPr="008B20B2">
        <w:rPr>
          <w:szCs w:val="24"/>
        </w:rPr>
        <w:t>–</w:t>
      </w:r>
      <w:r w:rsidRPr="008B20B2">
        <w:rPr>
          <w:szCs w:val="24"/>
        </w:rPr>
        <w:tab/>
        <w:t>having regard to its resolution of 8 September 2015 on the follow-up to the European Citizens’ Initiative Right2Water</w:t>
      </w:r>
      <w:r w:rsidRPr="008B20B2">
        <w:rPr>
          <w:rStyle w:val="FootnoteReference"/>
          <w:szCs w:val="24"/>
        </w:rPr>
        <w:footnoteReference w:id="25"/>
      </w:r>
      <w:r w:rsidRPr="008B20B2">
        <w:rPr>
          <w:szCs w:val="24"/>
        </w:rPr>
        <w:t>,</w:t>
      </w:r>
    </w:p>
    <w:p w14:paraId="679C500C" w14:textId="77777777" w:rsidR="006F7BE6" w:rsidRPr="008B20B2" w:rsidRDefault="006F7BE6" w:rsidP="00C547A5">
      <w:pPr>
        <w:pStyle w:val="NormalHanging12a"/>
        <w:rPr>
          <w:szCs w:val="24"/>
        </w:rPr>
      </w:pPr>
      <w:r w:rsidRPr="008B20B2">
        <w:rPr>
          <w:szCs w:val="24"/>
        </w:rPr>
        <w:t>–</w:t>
      </w:r>
      <w:r w:rsidRPr="008B20B2">
        <w:rPr>
          <w:szCs w:val="24"/>
        </w:rPr>
        <w:tab/>
        <w:t>having regard to UN General Assembly Resolution 64/292 of 28 July 2010, which recognises the human right to water and sanitation,</w:t>
      </w:r>
    </w:p>
    <w:p w14:paraId="72B7C6FB" w14:textId="77777777" w:rsidR="006F7BE6" w:rsidRPr="008B20B2" w:rsidRDefault="006F7BE6" w:rsidP="00C547A5">
      <w:pPr>
        <w:pStyle w:val="NormalHanging12a"/>
        <w:rPr>
          <w:szCs w:val="24"/>
        </w:rPr>
      </w:pPr>
      <w:r w:rsidRPr="008B20B2">
        <w:rPr>
          <w:szCs w:val="24"/>
        </w:rPr>
        <w:t>–</w:t>
      </w:r>
      <w:r w:rsidRPr="008B20B2">
        <w:rPr>
          <w:szCs w:val="24"/>
        </w:rPr>
        <w:tab/>
        <w:t>having regard to the Strategic Dialogue on the future of EU agriculture,</w:t>
      </w:r>
    </w:p>
    <w:p w14:paraId="0F59773C" w14:textId="77777777" w:rsidR="006F7BE6" w:rsidRPr="008B20B2" w:rsidRDefault="006F7BE6" w:rsidP="00C547A5">
      <w:pPr>
        <w:pStyle w:val="NormalHanging12a"/>
        <w:rPr>
          <w:szCs w:val="24"/>
        </w:rPr>
      </w:pPr>
      <w:r w:rsidRPr="008B20B2">
        <w:rPr>
          <w:szCs w:val="24"/>
        </w:rPr>
        <w:t>–</w:t>
      </w:r>
      <w:r w:rsidRPr="008B20B2">
        <w:rPr>
          <w:szCs w:val="24"/>
        </w:rPr>
        <w:tab/>
        <w:t>having regard to the European Court of Auditors special report 20/2024 of 30 September 2024 entitled ‘Common Agricultural Policy Plans – Greener, but not matching the EU’s ambitions for the climate and the environment’,</w:t>
      </w:r>
    </w:p>
    <w:p w14:paraId="763FE992" w14:textId="77777777" w:rsidR="006F7BE6" w:rsidRPr="008B20B2" w:rsidRDefault="006F7BE6" w:rsidP="00C547A5">
      <w:pPr>
        <w:pStyle w:val="NormalHanging12a"/>
        <w:rPr>
          <w:szCs w:val="24"/>
        </w:rPr>
      </w:pPr>
      <w:r w:rsidRPr="008B20B2">
        <w:rPr>
          <w:szCs w:val="24"/>
        </w:rPr>
        <w:t>–</w:t>
      </w:r>
      <w:r w:rsidRPr="008B20B2">
        <w:rPr>
          <w:szCs w:val="24"/>
        </w:rPr>
        <w:tab/>
        <w:t>having regard to European Environment Agency report 07/2024 of 15 October 2024 entitled ‘Europe’s state of water 2024: the need for improved water resilience’ (EEA Report 07/2024),</w:t>
      </w:r>
    </w:p>
    <w:p w14:paraId="0CF08FC3" w14:textId="77777777" w:rsidR="006F7BE6" w:rsidRPr="008B20B2" w:rsidRDefault="006F7BE6" w:rsidP="00C547A5">
      <w:pPr>
        <w:pStyle w:val="NormalHanging12a"/>
        <w:rPr>
          <w:szCs w:val="24"/>
        </w:rPr>
      </w:pPr>
      <w:r w:rsidRPr="008B20B2">
        <w:rPr>
          <w:szCs w:val="24"/>
        </w:rPr>
        <w:t>–</w:t>
      </w:r>
      <w:r w:rsidRPr="008B20B2">
        <w:rPr>
          <w:szCs w:val="24"/>
        </w:rPr>
        <w:tab/>
        <w:t>having regard to the Environment Council conclusions of 17 June 2024 on the 8th environment action programme,</w:t>
      </w:r>
    </w:p>
    <w:p w14:paraId="03C7D9ED" w14:textId="77777777" w:rsidR="006F7BE6" w:rsidRPr="008B20B2" w:rsidRDefault="006F7BE6" w:rsidP="00C547A5">
      <w:pPr>
        <w:pStyle w:val="NormalHanging12a"/>
        <w:rPr>
          <w:szCs w:val="24"/>
        </w:rPr>
      </w:pPr>
      <w:r w:rsidRPr="008B20B2">
        <w:rPr>
          <w:szCs w:val="24"/>
        </w:rPr>
        <w:t>–</w:t>
      </w:r>
      <w:r w:rsidRPr="008B20B2">
        <w:rPr>
          <w:szCs w:val="24"/>
        </w:rPr>
        <w:tab/>
        <w:t>having regard to European Court of Auditors special report 20/2021 of 28 September 2021 entitled ‘Sustainable water use in agriculture: CAP funds more likely to promote greater rather than more efficient water use’,</w:t>
      </w:r>
    </w:p>
    <w:p w14:paraId="25000169" w14:textId="77777777" w:rsidR="006F7BE6" w:rsidRPr="008B20B2" w:rsidRDefault="006F7BE6" w:rsidP="00C547A5">
      <w:pPr>
        <w:pStyle w:val="NormalHanging12a"/>
        <w:rPr>
          <w:szCs w:val="24"/>
        </w:rPr>
      </w:pPr>
      <w:r w:rsidRPr="008B20B2">
        <w:rPr>
          <w:szCs w:val="24"/>
        </w:rPr>
        <w:lastRenderedPageBreak/>
        <w:t>–</w:t>
      </w:r>
      <w:r w:rsidRPr="008B20B2">
        <w:rPr>
          <w:szCs w:val="24"/>
        </w:rPr>
        <w:tab/>
        <w:t>having regard to the European Economic and Social Committee declaration of 26 October 2023 for an EU Blue Deal,</w:t>
      </w:r>
    </w:p>
    <w:p w14:paraId="0C42E859" w14:textId="77777777" w:rsidR="006F7BE6" w:rsidRPr="008B20B2" w:rsidRDefault="006F7BE6" w:rsidP="00C547A5">
      <w:pPr>
        <w:pStyle w:val="NormalHanging12a"/>
        <w:rPr>
          <w:szCs w:val="24"/>
        </w:rPr>
      </w:pPr>
      <w:r w:rsidRPr="008B20B2">
        <w:rPr>
          <w:szCs w:val="24"/>
        </w:rPr>
        <w:t>–</w:t>
      </w:r>
      <w:r w:rsidRPr="008B20B2">
        <w:rPr>
          <w:szCs w:val="24"/>
        </w:rPr>
        <w:tab/>
        <w:t>having regard to the Commission proposal of 5 July 2023 for a directive of the European Parliament and of the Council on Soil Monitoring and Resilience (Soil Monitoring Law) (</w:t>
      </w:r>
      <w:proofErr w:type="gramStart"/>
      <w:r w:rsidRPr="008B20B2">
        <w:rPr>
          <w:szCs w:val="24"/>
        </w:rPr>
        <w:t>COM(</w:t>
      </w:r>
      <w:proofErr w:type="gramEnd"/>
      <w:r w:rsidRPr="008B20B2">
        <w:rPr>
          <w:szCs w:val="24"/>
        </w:rPr>
        <w:t>2023)0416),</w:t>
      </w:r>
    </w:p>
    <w:p w14:paraId="7DD85194" w14:textId="26F69A14" w:rsidR="006F7BE6" w:rsidRPr="008B20B2" w:rsidRDefault="006F7BE6" w:rsidP="00C547A5">
      <w:pPr>
        <w:pStyle w:val="NormalHanging12a"/>
        <w:rPr>
          <w:szCs w:val="24"/>
        </w:rPr>
      </w:pPr>
      <w:proofErr w:type="gramStart"/>
      <w:r w:rsidRPr="008B20B2">
        <w:rPr>
          <w:szCs w:val="24"/>
        </w:rPr>
        <w:t>–</w:t>
      </w:r>
      <w:r w:rsidRPr="008B20B2">
        <w:rPr>
          <w:szCs w:val="24"/>
        </w:rPr>
        <w:tab/>
        <w:t>having regard to its position at first reading of 24 April 2024 on the proposal for a directive of the European Parliament and of the Council amending Directive 2000/60/EC establishing a framework for Community action in the field of water policy, Directive 2006/118/EC on the protection of groundwater against pollution and deterioration and Directive 2008/105/EC on environmental quality standards in the field of water policy</w:t>
      </w:r>
      <w:r w:rsidRPr="008B20B2">
        <w:rPr>
          <w:rStyle w:val="FootnoteReference"/>
          <w:szCs w:val="24"/>
        </w:rPr>
        <w:footnoteReference w:id="26"/>
      </w:r>
      <w:r w:rsidRPr="008B20B2">
        <w:rPr>
          <w:szCs w:val="24"/>
        </w:rPr>
        <w:t>,</w:t>
      </w:r>
      <w:proofErr w:type="gramEnd"/>
    </w:p>
    <w:p w14:paraId="6EBEA442" w14:textId="77777777" w:rsidR="006F7BE6" w:rsidRPr="008B20B2" w:rsidRDefault="006F7BE6" w:rsidP="00C547A5">
      <w:pPr>
        <w:pStyle w:val="NormalHanging12a"/>
        <w:rPr>
          <w:szCs w:val="24"/>
        </w:rPr>
      </w:pPr>
      <w:r w:rsidRPr="008B20B2">
        <w:rPr>
          <w:szCs w:val="24"/>
        </w:rPr>
        <w:t>–</w:t>
      </w:r>
      <w:r w:rsidRPr="008B20B2">
        <w:rPr>
          <w:szCs w:val="24"/>
        </w:rPr>
        <w:tab/>
        <w:t>having regard to Rule 55 of its Rules of Procedure,</w:t>
      </w:r>
    </w:p>
    <w:p w14:paraId="22B05DCE" w14:textId="77777777" w:rsidR="006F7BE6" w:rsidRPr="008B20B2" w:rsidRDefault="006F7BE6" w:rsidP="00C547A5">
      <w:pPr>
        <w:pStyle w:val="NormalHanging12a"/>
        <w:rPr>
          <w:szCs w:val="24"/>
        </w:rPr>
      </w:pPr>
      <w:r w:rsidRPr="008B20B2">
        <w:rPr>
          <w:szCs w:val="24"/>
        </w:rPr>
        <w:t>–</w:t>
      </w:r>
      <w:r w:rsidRPr="008B20B2">
        <w:rPr>
          <w:szCs w:val="24"/>
        </w:rPr>
        <w:tab/>
        <w:t>having regard to the opinion of the Committee on Agriculture and Rural Development,</w:t>
      </w:r>
    </w:p>
    <w:p w14:paraId="630B7BFB" w14:textId="77777777" w:rsidR="006F7BE6" w:rsidRPr="008B20B2" w:rsidRDefault="006F7BE6" w:rsidP="00C547A5">
      <w:pPr>
        <w:pStyle w:val="NormalHanging12a"/>
        <w:rPr>
          <w:szCs w:val="24"/>
        </w:rPr>
      </w:pPr>
      <w:r w:rsidRPr="008B20B2">
        <w:rPr>
          <w:szCs w:val="24"/>
        </w:rPr>
        <w:t>–</w:t>
      </w:r>
      <w:r w:rsidRPr="008B20B2">
        <w:rPr>
          <w:szCs w:val="24"/>
        </w:rPr>
        <w:tab/>
        <w:t>having regard to the report of the Committee on the Environment, Climate and Food Safety (A10-0073/2025),</w:t>
      </w:r>
    </w:p>
    <w:p w14:paraId="4AA02559" w14:textId="77777777" w:rsidR="006F7BE6" w:rsidRPr="008B20B2" w:rsidRDefault="006F7BE6" w:rsidP="00C547A5">
      <w:pPr>
        <w:pStyle w:val="NormalHanging12a"/>
        <w:rPr>
          <w:szCs w:val="24"/>
        </w:rPr>
      </w:pPr>
      <w:r w:rsidRPr="008B20B2">
        <w:rPr>
          <w:szCs w:val="24"/>
        </w:rPr>
        <w:t>A.</w:t>
      </w:r>
      <w:r w:rsidRPr="008B20B2">
        <w:rPr>
          <w:szCs w:val="24"/>
        </w:rPr>
        <w:tab/>
        <w:t>whereas water is essential for life and humanity; whereas the EU has to manage current and future water resources efficiently and respond effectively to the current water challenges, as they directly affect human health, the environment and its ecosystems, strategic socio-economic activities such as energy production, agriculture and food security, and the EU’s competitiveness;</w:t>
      </w:r>
    </w:p>
    <w:p w14:paraId="7CC5A703" w14:textId="5D81B4ED" w:rsidR="006F7BE6" w:rsidRPr="008B20B2" w:rsidRDefault="006F7BE6" w:rsidP="00C547A5">
      <w:pPr>
        <w:pStyle w:val="NormalHanging12a"/>
        <w:rPr>
          <w:szCs w:val="24"/>
        </w:rPr>
      </w:pPr>
      <w:r w:rsidRPr="008B20B2">
        <w:rPr>
          <w:szCs w:val="24"/>
        </w:rPr>
        <w:t>B.</w:t>
      </w:r>
      <w:r w:rsidRPr="008B20B2">
        <w:rPr>
          <w:szCs w:val="24"/>
        </w:rPr>
        <w:tab/>
        <w:t>whereas water is a scarce and limited resource and, while 70 % of the earth’s surface is water-covered, available and usable fresh water accounts for only 0</w:t>
      </w:r>
      <w:r w:rsidR="00402841" w:rsidRPr="008B20B2">
        <w:rPr>
          <w:szCs w:val="24"/>
        </w:rPr>
        <w:t>,</w:t>
      </w:r>
      <w:r w:rsidRPr="008B20B2">
        <w:rPr>
          <w:szCs w:val="24"/>
        </w:rPr>
        <w:t>5 % of water on earth</w:t>
      </w:r>
      <w:r w:rsidRPr="008B20B2">
        <w:rPr>
          <w:szCs w:val="24"/>
          <w:vertAlign w:val="superscript"/>
        </w:rPr>
        <w:footnoteReference w:id="27"/>
      </w:r>
      <w:r w:rsidRPr="008B20B2">
        <w:rPr>
          <w:szCs w:val="24"/>
        </w:rPr>
        <w:t>; whereas mountains are real water towers and important freshwater reservoirs in Europe, the Alps alone providing 40 % of Europe’s fresh water</w:t>
      </w:r>
      <w:r w:rsidRPr="008B20B2">
        <w:rPr>
          <w:szCs w:val="24"/>
          <w:vertAlign w:val="superscript"/>
        </w:rPr>
        <w:footnoteReference w:id="28"/>
      </w:r>
      <w:r w:rsidRPr="008B20B2">
        <w:rPr>
          <w:szCs w:val="24"/>
        </w:rPr>
        <w:t>;</w:t>
      </w:r>
    </w:p>
    <w:p w14:paraId="45A51C92" w14:textId="77777777" w:rsidR="006F7BE6" w:rsidRPr="008B20B2" w:rsidRDefault="006F7BE6" w:rsidP="00C547A5">
      <w:pPr>
        <w:pStyle w:val="NormalHanging12a"/>
        <w:rPr>
          <w:szCs w:val="24"/>
        </w:rPr>
      </w:pPr>
      <w:r w:rsidRPr="008B20B2">
        <w:rPr>
          <w:szCs w:val="24"/>
        </w:rPr>
        <w:t>C.</w:t>
      </w:r>
      <w:r w:rsidRPr="008B20B2">
        <w:rPr>
          <w:szCs w:val="24"/>
        </w:rPr>
        <w:tab/>
        <w:t>whereas groundwater supplies two thirds of the EU’s drinking water and supports many ecosystems</w:t>
      </w:r>
      <w:r w:rsidRPr="008B20B2">
        <w:rPr>
          <w:szCs w:val="24"/>
          <w:vertAlign w:val="superscript"/>
        </w:rPr>
        <w:footnoteReference w:id="29"/>
      </w:r>
      <w:r w:rsidRPr="008B20B2">
        <w:rPr>
          <w:szCs w:val="24"/>
        </w:rPr>
        <w:t>; whereas the services provided by freshwater ecosystems are worth over EUR 11 trillion in Europe, and provide considerable health and recreational benefits, such as from angling</w:t>
      </w:r>
      <w:r w:rsidRPr="008B20B2">
        <w:rPr>
          <w:szCs w:val="24"/>
          <w:vertAlign w:val="superscript"/>
        </w:rPr>
        <w:footnoteReference w:id="30"/>
      </w:r>
      <w:r w:rsidRPr="008B20B2">
        <w:rPr>
          <w:szCs w:val="24"/>
        </w:rPr>
        <w:t>;</w:t>
      </w:r>
    </w:p>
    <w:p w14:paraId="6A45D7E4" w14:textId="77777777" w:rsidR="006F7BE6" w:rsidRPr="008B20B2" w:rsidRDefault="006F7BE6" w:rsidP="00C547A5">
      <w:pPr>
        <w:pStyle w:val="NormalHanging12a"/>
        <w:rPr>
          <w:szCs w:val="24"/>
        </w:rPr>
      </w:pPr>
      <w:proofErr w:type="gramStart"/>
      <w:r w:rsidRPr="008B20B2">
        <w:rPr>
          <w:szCs w:val="24"/>
        </w:rPr>
        <w:t>D.</w:t>
      </w:r>
      <w:r w:rsidRPr="008B20B2">
        <w:rPr>
          <w:szCs w:val="24"/>
        </w:rPr>
        <w:tab/>
        <w:t>whereas water stress is already occurring in Europe, affecting approximately 20 % of Europe’s territory and 30 % of the population on average every year, figures that are likely to increase in the future on account of climate change</w:t>
      </w:r>
      <w:r w:rsidRPr="008B20B2">
        <w:rPr>
          <w:szCs w:val="24"/>
          <w:vertAlign w:val="superscript"/>
        </w:rPr>
        <w:footnoteReference w:id="31"/>
      </w:r>
      <w:r w:rsidRPr="008B20B2">
        <w:rPr>
          <w:szCs w:val="24"/>
        </w:rPr>
        <w:t xml:space="preserve">, despite the fact that total water abstraction at the EU-27 level appeared to decrease by 15 % between 2000 and 2019; whereas the increase in the number and recurrence of extreme weather events such as droughts and floods, and the fact that they are expected to become yet more </w:t>
      </w:r>
      <w:r w:rsidRPr="008B20B2">
        <w:rPr>
          <w:szCs w:val="24"/>
        </w:rPr>
        <w:lastRenderedPageBreak/>
        <w:t>frequent in the near future, poses a risk to human life and the EU’s food sovereignty and could lead to regions in Europe becoming uninhabitable;</w:t>
      </w:r>
      <w:proofErr w:type="gramEnd"/>
    </w:p>
    <w:p w14:paraId="14783147" w14:textId="77777777" w:rsidR="006F7BE6" w:rsidRPr="008B20B2" w:rsidRDefault="006F7BE6" w:rsidP="00C547A5">
      <w:pPr>
        <w:pStyle w:val="NormalHanging12a"/>
        <w:rPr>
          <w:szCs w:val="24"/>
        </w:rPr>
      </w:pPr>
      <w:r w:rsidRPr="008B20B2">
        <w:rPr>
          <w:szCs w:val="24"/>
        </w:rPr>
        <w:t>E.</w:t>
      </w:r>
      <w:r w:rsidRPr="008B20B2">
        <w:rPr>
          <w:szCs w:val="24"/>
        </w:rPr>
        <w:tab/>
        <w:t>whereas 78 % of Europeans consider that the EU should propose additional measures to address water-related issues in Europe and 21 % of Europeans consider pollution to be the main threat linked to water in their country</w:t>
      </w:r>
      <w:r w:rsidRPr="008B20B2">
        <w:rPr>
          <w:szCs w:val="24"/>
          <w:vertAlign w:val="superscript"/>
        </w:rPr>
        <w:footnoteReference w:id="32"/>
      </w:r>
      <w:proofErr w:type="gramStart"/>
      <w:r w:rsidRPr="008B20B2">
        <w:rPr>
          <w:szCs w:val="24"/>
        </w:rPr>
        <w:t>;</w:t>
      </w:r>
      <w:proofErr w:type="gramEnd"/>
    </w:p>
    <w:p w14:paraId="62073666" w14:textId="77777777" w:rsidR="006F7BE6" w:rsidRPr="008B20B2" w:rsidRDefault="006F7BE6" w:rsidP="00C547A5">
      <w:pPr>
        <w:pStyle w:val="NormalHanging12a"/>
        <w:rPr>
          <w:szCs w:val="24"/>
        </w:rPr>
      </w:pPr>
      <w:r w:rsidRPr="008B20B2">
        <w:rPr>
          <w:szCs w:val="24"/>
        </w:rPr>
        <w:t>F.</w:t>
      </w:r>
      <w:r w:rsidRPr="008B20B2">
        <w:rPr>
          <w:szCs w:val="24"/>
        </w:rPr>
        <w:tab/>
        <w:t>whereas the human right to water and sanitation was recognised as a human right in a resolution adopted by the UN General Assembly on 28 July 2010;</w:t>
      </w:r>
    </w:p>
    <w:p w14:paraId="49BEDD71" w14:textId="77777777" w:rsidR="006F7BE6" w:rsidRPr="008B20B2" w:rsidRDefault="006F7BE6" w:rsidP="00C547A5">
      <w:pPr>
        <w:pStyle w:val="NormalHanging12a"/>
        <w:rPr>
          <w:szCs w:val="24"/>
        </w:rPr>
      </w:pPr>
      <w:r w:rsidRPr="008B20B2">
        <w:rPr>
          <w:szCs w:val="24"/>
        </w:rPr>
        <w:t>G.</w:t>
      </w:r>
      <w:r w:rsidRPr="008B20B2">
        <w:rPr>
          <w:szCs w:val="24"/>
        </w:rPr>
        <w:tab/>
        <w:t>whereas the European Citizens’ Initiative Right2Water was the first ever to gather the required number of signatories, calling for the EU to ensure the right to water for all;</w:t>
      </w:r>
    </w:p>
    <w:p w14:paraId="3A421197" w14:textId="77777777" w:rsidR="006F7BE6" w:rsidRPr="008B20B2" w:rsidRDefault="006F7BE6" w:rsidP="00C547A5">
      <w:pPr>
        <w:pStyle w:val="NormalHanging12a"/>
        <w:rPr>
          <w:szCs w:val="24"/>
        </w:rPr>
      </w:pPr>
      <w:proofErr w:type="gramStart"/>
      <w:r w:rsidRPr="008B20B2">
        <w:rPr>
          <w:szCs w:val="24"/>
        </w:rPr>
        <w:t>H.</w:t>
      </w:r>
      <w:r w:rsidRPr="008B20B2">
        <w:rPr>
          <w:szCs w:val="24"/>
        </w:rPr>
        <w:tab/>
        <w:t>whereas the provisions of Article 14 TFEU and Protocol No 26 thereto on Services of General Interest are key elements to be prominently taken into account in all aspects of the design and implementation of the European water resilience strategy (EWRS), thus safeguarding the status of Europe’s water services as essential public services, and ensuring accessibility, equity, affordability and the maintenance of high quality standards;</w:t>
      </w:r>
      <w:proofErr w:type="gramEnd"/>
    </w:p>
    <w:p w14:paraId="13A9AA05" w14:textId="77777777" w:rsidR="006F7BE6" w:rsidRPr="008B20B2" w:rsidRDefault="006F7BE6" w:rsidP="00C547A5">
      <w:pPr>
        <w:pStyle w:val="NormalHanging12a"/>
        <w:rPr>
          <w:szCs w:val="24"/>
        </w:rPr>
      </w:pPr>
      <w:r w:rsidRPr="008B20B2">
        <w:rPr>
          <w:szCs w:val="24"/>
        </w:rPr>
        <w:t>I.</w:t>
      </w:r>
      <w:r w:rsidRPr="008B20B2">
        <w:rPr>
          <w:szCs w:val="24"/>
        </w:rPr>
        <w:tab/>
        <w:t>whereas the Member States should follow up on the recommendations of the Commission report of November 2023</w:t>
      </w:r>
      <w:r w:rsidRPr="008B20B2">
        <w:rPr>
          <w:rStyle w:val="FootnoteReference"/>
          <w:szCs w:val="24"/>
        </w:rPr>
        <w:footnoteReference w:id="33"/>
      </w:r>
      <w:r w:rsidRPr="008B20B2">
        <w:rPr>
          <w:szCs w:val="24"/>
        </w:rPr>
        <w:t xml:space="preserve"> in order to improve water balances as the knowledge basis for making decisions about water allocation;</w:t>
      </w:r>
    </w:p>
    <w:p w14:paraId="6EEC4553" w14:textId="77777777" w:rsidR="006F7BE6" w:rsidRPr="008B20B2" w:rsidRDefault="006F7BE6" w:rsidP="00C547A5">
      <w:pPr>
        <w:pStyle w:val="NormalHanging12a"/>
        <w:rPr>
          <w:szCs w:val="24"/>
        </w:rPr>
      </w:pPr>
      <w:proofErr w:type="gramStart"/>
      <w:r w:rsidRPr="008B20B2">
        <w:rPr>
          <w:szCs w:val="24"/>
        </w:rPr>
        <w:t>J.</w:t>
      </w:r>
      <w:r w:rsidRPr="008B20B2">
        <w:rPr>
          <w:szCs w:val="24"/>
        </w:rPr>
        <w:tab/>
        <w:t>whereas substantive corporate value may be at risk owing to worsening water insecurity, with a decrease in the capacity of production or its complete halt as a consequence; whereas assets in water-stressed regions could become stranded, temporarily or permanently, if assumptions made about water availability and access prove inaccurate, if regulatory responses are unanticipated or if risk mitigation and stewardship plans are not put in place</w:t>
      </w:r>
      <w:r w:rsidRPr="008B20B2">
        <w:rPr>
          <w:szCs w:val="24"/>
          <w:vertAlign w:val="superscript"/>
        </w:rPr>
        <w:footnoteReference w:id="34"/>
      </w:r>
      <w:r w:rsidRPr="008B20B2">
        <w:rPr>
          <w:szCs w:val="24"/>
        </w:rPr>
        <w:t>;</w:t>
      </w:r>
      <w:proofErr w:type="gramEnd"/>
    </w:p>
    <w:p w14:paraId="792C743D" w14:textId="77777777" w:rsidR="006F7BE6" w:rsidRPr="008B20B2" w:rsidRDefault="006F7BE6" w:rsidP="00C547A5">
      <w:pPr>
        <w:pStyle w:val="NormalHanging12a"/>
        <w:rPr>
          <w:szCs w:val="24"/>
        </w:rPr>
      </w:pPr>
      <w:proofErr w:type="gramStart"/>
      <w:r w:rsidRPr="008B20B2">
        <w:rPr>
          <w:szCs w:val="24"/>
        </w:rPr>
        <w:t>K.</w:t>
      </w:r>
      <w:r w:rsidRPr="008B20B2">
        <w:rPr>
          <w:szCs w:val="24"/>
        </w:rPr>
        <w:tab/>
        <w:t xml:space="preserve">whereas the deadline set by the Water Framework Directive (WFD) for European rivers, lakes, transitional waters, coastal waters and </w:t>
      </w:r>
      <w:proofErr w:type="spellStart"/>
      <w:r w:rsidRPr="008B20B2">
        <w:rPr>
          <w:szCs w:val="24"/>
        </w:rPr>
        <w:t>groundwaters</w:t>
      </w:r>
      <w:proofErr w:type="spellEnd"/>
      <w:r w:rsidRPr="008B20B2">
        <w:rPr>
          <w:szCs w:val="24"/>
        </w:rPr>
        <w:t xml:space="preserve"> to achieve ‘good’ status was 2015, with a possible postponement to 2027 under certain conditions; whereas the objective of achieving good chemical status for all EU water bodies by 2027 remains far from being achieved, primarily due to substances such as mercury, brominated flame retardants and polycyclic aromatic hydrocarbons</w:t>
      </w:r>
      <w:r w:rsidRPr="008B20B2">
        <w:rPr>
          <w:szCs w:val="24"/>
          <w:vertAlign w:val="superscript"/>
        </w:rPr>
        <w:footnoteReference w:id="35"/>
      </w:r>
      <w:r w:rsidRPr="008B20B2">
        <w:rPr>
          <w:szCs w:val="24"/>
        </w:rPr>
        <w:t>;</w:t>
      </w:r>
      <w:proofErr w:type="gramEnd"/>
    </w:p>
    <w:p w14:paraId="3974485D" w14:textId="77777777" w:rsidR="006F7BE6" w:rsidRPr="008B20B2" w:rsidRDefault="006F7BE6" w:rsidP="00C547A5">
      <w:pPr>
        <w:pStyle w:val="NormalHanging12a"/>
        <w:rPr>
          <w:szCs w:val="24"/>
        </w:rPr>
      </w:pPr>
      <w:proofErr w:type="gramStart"/>
      <w:r w:rsidRPr="008B20B2">
        <w:rPr>
          <w:szCs w:val="24"/>
        </w:rPr>
        <w:t>L.</w:t>
      </w:r>
      <w:r w:rsidRPr="008B20B2">
        <w:rPr>
          <w:szCs w:val="24"/>
        </w:rPr>
        <w:tab/>
        <w:t xml:space="preserve">whereas the 2025 report on the implementation of the WFD shows that delays in meeting the WFD’s targets are not due to a deficiency in the legislation but to a lack of funding, slow implementation and insufficient integration of environmental objectives into sectoral policies; whereas analysis has shown that the Member States are not meeting the annual investment needs, which are estimated to be EUR 77 billion, with a </w:t>
      </w:r>
      <w:r w:rsidRPr="008B20B2">
        <w:rPr>
          <w:szCs w:val="24"/>
        </w:rPr>
        <w:lastRenderedPageBreak/>
        <w:t>financing gap currently estimated at around EUR 25 billion a year; whereas the report also shows the clear need for the Member States to increase their level of ambition and accelerate action to reduce the compliance gap as much as possible before 2027, to increase investment and ensure adequate financing, including via EU funds, to achieve the objectives of their programmes of measures, as well as to put in place additional measures to reduce current persistent environmental challenges to and improve transboundary cooperation;</w:t>
      </w:r>
      <w:proofErr w:type="gramEnd"/>
    </w:p>
    <w:p w14:paraId="3D08E988" w14:textId="77777777" w:rsidR="006F7BE6" w:rsidRPr="008B20B2" w:rsidRDefault="006F7BE6" w:rsidP="00C547A5">
      <w:pPr>
        <w:pStyle w:val="NormalHanging12a"/>
        <w:rPr>
          <w:szCs w:val="24"/>
        </w:rPr>
      </w:pPr>
      <w:proofErr w:type="gramStart"/>
      <w:r w:rsidRPr="008B20B2">
        <w:rPr>
          <w:szCs w:val="24"/>
        </w:rPr>
        <w:t>M.</w:t>
      </w:r>
      <w:r w:rsidRPr="008B20B2">
        <w:rPr>
          <w:szCs w:val="24"/>
        </w:rPr>
        <w:tab/>
        <w:t>whereas the water legislation has been evaluated as fit for purpose; whereas it establishes a framework for the protection of inland surface waters, transitional waters, coastal waters and groundwater; whereas, at the same time, it allows for less stringent environmental objectives to be achieved if socio-economic needs served by such human activity cannot be achieved by other means and it allows for a failure to achieve the objectives for water bodies if the reason for the failure is overriding public interest; whereas the legislation is proportionate and mandates the authorities of the Member States, in line with the principle of subsidiarity, to decide on the overriding public interest; whereas in some cases this may be the protection of the environment and in others a socio-economic activity;</w:t>
      </w:r>
      <w:proofErr w:type="gramEnd"/>
    </w:p>
    <w:p w14:paraId="19F3E6C4" w14:textId="77777777" w:rsidR="006F7BE6" w:rsidRPr="008B20B2" w:rsidRDefault="006F7BE6" w:rsidP="00C547A5">
      <w:pPr>
        <w:pStyle w:val="NormalHanging12a"/>
        <w:rPr>
          <w:szCs w:val="24"/>
        </w:rPr>
      </w:pPr>
      <w:proofErr w:type="gramStart"/>
      <w:r w:rsidRPr="008B20B2">
        <w:rPr>
          <w:szCs w:val="24"/>
        </w:rPr>
        <w:t>N.</w:t>
      </w:r>
      <w:r w:rsidRPr="008B20B2">
        <w:rPr>
          <w:szCs w:val="24"/>
        </w:rPr>
        <w:tab/>
        <w:t>whereas industry accounts for approximately 40 % of total water abstraction in Europe; whereas the largest categories of the annual water abstraction in the EU-27, according to the statistical classification of economic activities in the European Community (NACE), are abstraction for cooling in electricity generation (34 %), followed by abstraction for agriculture (29 %), public water supply (21 %) and manufacturing (15 %)</w:t>
      </w:r>
      <w:r w:rsidRPr="008B20B2">
        <w:rPr>
          <w:szCs w:val="24"/>
          <w:vertAlign w:val="superscript"/>
        </w:rPr>
        <w:footnoteReference w:id="36"/>
      </w:r>
      <w:r w:rsidRPr="008B20B2">
        <w:rPr>
          <w:szCs w:val="24"/>
        </w:rPr>
        <w:t>; whereas data on water abstraction and use in the EU is historical and poor</w:t>
      </w:r>
      <w:r w:rsidRPr="008B20B2">
        <w:rPr>
          <w:szCs w:val="24"/>
          <w:vertAlign w:val="superscript"/>
        </w:rPr>
        <w:footnoteReference w:id="37"/>
      </w:r>
      <w:r w:rsidRPr="008B20B2">
        <w:rPr>
          <w:szCs w:val="24"/>
        </w:rPr>
        <w:t>;</w:t>
      </w:r>
      <w:proofErr w:type="gramEnd"/>
    </w:p>
    <w:p w14:paraId="3CE8B74F" w14:textId="77777777" w:rsidR="006F7BE6" w:rsidRPr="008B20B2" w:rsidRDefault="006F7BE6" w:rsidP="00C547A5">
      <w:pPr>
        <w:pStyle w:val="NormalHanging12a"/>
        <w:rPr>
          <w:szCs w:val="24"/>
        </w:rPr>
      </w:pPr>
      <w:proofErr w:type="gramStart"/>
      <w:r w:rsidRPr="008B20B2">
        <w:rPr>
          <w:szCs w:val="24"/>
        </w:rPr>
        <w:t>O.</w:t>
      </w:r>
      <w:r w:rsidRPr="008B20B2">
        <w:rPr>
          <w:szCs w:val="24"/>
        </w:rPr>
        <w:tab/>
        <w:t>whereas electricity production is the largest water-abstracting sector, but most of the water is returned to the environment after cooling or turbine propulsion; whereas overall, agriculture is the highest net water-consuming sector at the EU level, as most of the water is consumed by the crop or evaporates; whereas other uses, such as industry and water utilities, abstract and consume comparatively less water, but they can represent significant pressures at a local level, especially on groundwater</w:t>
      </w:r>
      <w:r w:rsidRPr="008B20B2">
        <w:rPr>
          <w:szCs w:val="24"/>
          <w:vertAlign w:val="superscript"/>
        </w:rPr>
        <w:footnoteReference w:id="38"/>
      </w:r>
      <w:r w:rsidRPr="008B20B2">
        <w:rPr>
          <w:szCs w:val="24"/>
        </w:rPr>
        <w:t>;</w:t>
      </w:r>
      <w:proofErr w:type="gramEnd"/>
    </w:p>
    <w:p w14:paraId="46CD1DD4" w14:textId="77777777" w:rsidR="006F7BE6" w:rsidRPr="008B20B2" w:rsidRDefault="006F7BE6" w:rsidP="00C547A5">
      <w:pPr>
        <w:pStyle w:val="NormalHanging12a"/>
        <w:rPr>
          <w:szCs w:val="24"/>
        </w:rPr>
      </w:pPr>
      <w:r w:rsidRPr="008B20B2">
        <w:rPr>
          <w:szCs w:val="24"/>
        </w:rPr>
        <w:t>P.</w:t>
      </w:r>
      <w:r w:rsidRPr="008B20B2">
        <w:rPr>
          <w:szCs w:val="24"/>
        </w:rPr>
        <w:tab/>
        <w:t>whereas all industrial activity requires water to produce its end products or to support production activities; whereas businesses depend on water for their daily operations, and as water scarcity increases, it can disrupt operations, raise costs and create regulatory and reputational risks;</w:t>
      </w:r>
    </w:p>
    <w:p w14:paraId="45FE1679" w14:textId="77777777" w:rsidR="006F7BE6" w:rsidRPr="008B20B2" w:rsidRDefault="006F7BE6" w:rsidP="00C547A5">
      <w:pPr>
        <w:pStyle w:val="NormalHanging12a"/>
        <w:rPr>
          <w:szCs w:val="24"/>
        </w:rPr>
      </w:pPr>
      <w:proofErr w:type="gramStart"/>
      <w:r w:rsidRPr="008B20B2">
        <w:rPr>
          <w:szCs w:val="24"/>
        </w:rPr>
        <w:t>Q.</w:t>
      </w:r>
      <w:r w:rsidRPr="008B20B2">
        <w:rPr>
          <w:szCs w:val="24"/>
        </w:rPr>
        <w:tab/>
        <w:t xml:space="preserve">whereas the energy sector relies heavily on water resources; whereas this dependency poses a serious risk as water scarcity can impact energy production processes and </w:t>
      </w:r>
      <w:r w:rsidRPr="008B20B2">
        <w:rPr>
          <w:szCs w:val="24"/>
        </w:rPr>
        <w:lastRenderedPageBreak/>
        <w:t>supply security, especially where water is used as feedstock or for cooling; whereas the transition to renewable energy, particularly wind and solar energy, offers sustainable and water-efficient decarbonisation pathways and the opportunity to halt or reverse the trend of increasing water consumption;</w:t>
      </w:r>
      <w:proofErr w:type="gramEnd"/>
    </w:p>
    <w:p w14:paraId="3FB0EC3C" w14:textId="5714BB3D" w:rsidR="006F7BE6" w:rsidRPr="008B20B2" w:rsidRDefault="006F7BE6" w:rsidP="00C547A5">
      <w:pPr>
        <w:pStyle w:val="NormalHanging12a"/>
        <w:rPr>
          <w:szCs w:val="24"/>
        </w:rPr>
      </w:pPr>
      <w:proofErr w:type="gramStart"/>
      <w:r w:rsidRPr="008B20B2">
        <w:rPr>
          <w:szCs w:val="24"/>
        </w:rPr>
        <w:t>R.</w:t>
      </w:r>
      <w:r w:rsidRPr="008B20B2">
        <w:rPr>
          <w:szCs w:val="24"/>
        </w:rPr>
        <w:tab/>
        <w:t>whereas water is an essential resource for agriculture in the production of high-quality food, feed and renewable raw materials; whereas agriculture depends on water availability and irrigation helps to shield farmers from irregular rainfall and to increase the viability, yield and quality of the crops, but is a significant drain on water resources; whereas in view of climate change, changing weather patterns and increased frequency of floods and droughts, the importance of water as a resource for the production of high-quality agricultural products and of the need for water to be used efficiently will therefore be fundamental to the security of food supply and to the solutions to address water scarcity; whereas reducing pressure on surface water and groundwater from agriculture must go hand in hand with investment aimed at the use of reclaimed water and innovative desalination technologies, thereby achieving a better water balance as well as promoting clean alternative energies such as green hydrogen;</w:t>
      </w:r>
      <w:proofErr w:type="gramEnd"/>
    </w:p>
    <w:p w14:paraId="515FF324" w14:textId="14B1528C" w:rsidR="001612DC" w:rsidRPr="008B20B2" w:rsidRDefault="001612DC" w:rsidP="00C547A5">
      <w:pPr>
        <w:pStyle w:val="NormalHanging12a"/>
        <w:rPr>
          <w:szCs w:val="24"/>
        </w:rPr>
      </w:pPr>
      <w:r w:rsidRPr="008B20B2">
        <w:rPr>
          <w:szCs w:val="24"/>
        </w:rPr>
        <w:t>S.</w:t>
      </w:r>
      <w:r w:rsidRPr="008B20B2">
        <w:rPr>
          <w:szCs w:val="24"/>
        </w:rPr>
        <w:tab/>
        <w:t>whereas global population growth requires increased food production, and the EU must guarantee food sovereignty, as laid down in Article 39 TFEU</w:t>
      </w:r>
      <w:proofErr w:type="gramStart"/>
      <w:r w:rsidRPr="008B20B2">
        <w:rPr>
          <w:szCs w:val="24"/>
        </w:rPr>
        <w:t>;</w:t>
      </w:r>
      <w:proofErr w:type="gramEnd"/>
    </w:p>
    <w:p w14:paraId="01639031" w14:textId="5B0CCD88" w:rsidR="006F7BE6" w:rsidRPr="008B20B2" w:rsidRDefault="001612DC" w:rsidP="00C547A5">
      <w:pPr>
        <w:pStyle w:val="NormalHanging12a"/>
        <w:rPr>
          <w:szCs w:val="24"/>
        </w:rPr>
      </w:pPr>
      <w:r w:rsidRPr="008B20B2">
        <w:rPr>
          <w:szCs w:val="24"/>
        </w:rPr>
        <w:t>T</w:t>
      </w:r>
      <w:r w:rsidR="006F7BE6" w:rsidRPr="008B20B2">
        <w:rPr>
          <w:szCs w:val="24"/>
        </w:rPr>
        <w:t>.</w:t>
      </w:r>
      <w:r w:rsidR="006F7BE6" w:rsidRPr="008B20B2">
        <w:rPr>
          <w:szCs w:val="24"/>
        </w:rPr>
        <w:tab/>
        <w:t>whereas reliable data on water accounting, that is, the systematic study of the current status and trends in water supply, demand, accessibility and use in domains that have been specified</w:t>
      </w:r>
      <w:r w:rsidR="006F7BE6" w:rsidRPr="008B20B2">
        <w:rPr>
          <w:szCs w:val="24"/>
          <w:vertAlign w:val="superscript"/>
        </w:rPr>
        <w:footnoteReference w:id="39"/>
      </w:r>
      <w:r w:rsidR="006F7BE6" w:rsidRPr="008B20B2">
        <w:rPr>
          <w:szCs w:val="24"/>
        </w:rPr>
        <w:t>, is crucial for an assessment of the current situation in the EU and for European competitiveness;</w:t>
      </w:r>
    </w:p>
    <w:p w14:paraId="639F6BD5" w14:textId="021B7F43" w:rsidR="006F7BE6" w:rsidRPr="008B20B2" w:rsidRDefault="001612DC" w:rsidP="00C547A5">
      <w:pPr>
        <w:pStyle w:val="NormalHanging12a"/>
        <w:rPr>
          <w:szCs w:val="24"/>
        </w:rPr>
      </w:pPr>
      <w:proofErr w:type="gramStart"/>
      <w:r w:rsidRPr="008B20B2">
        <w:rPr>
          <w:szCs w:val="24"/>
        </w:rPr>
        <w:t>U</w:t>
      </w:r>
      <w:r w:rsidR="006F7BE6" w:rsidRPr="008B20B2">
        <w:rPr>
          <w:szCs w:val="24"/>
        </w:rPr>
        <w:t>.</w:t>
      </w:r>
      <w:r w:rsidR="006F7BE6" w:rsidRPr="008B20B2">
        <w:rPr>
          <w:szCs w:val="24"/>
        </w:rPr>
        <w:tab/>
        <w:t>whereas the potential of wastewater as an alternative water supply is underestimated, given that 60-70 % of the potential value of wastewater across the EU is currently unexploited</w:t>
      </w:r>
      <w:r w:rsidR="006F7BE6" w:rsidRPr="008B20B2">
        <w:rPr>
          <w:szCs w:val="24"/>
          <w:vertAlign w:val="superscript"/>
        </w:rPr>
        <w:footnoteReference w:id="40"/>
      </w:r>
      <w:r w:rsidR="006F7BE6" w:rsidRPr="008B20B2">
        <w:rPr>
          <w:szCs w:val="24"/>
        </w:rPr>
        <w:t xml:space="preserve"> and less than 3</w:t>
      </w:r>
      <w:r w:rsidR="00402841" w:rsidRPr="008B20B2">
        <w:rPr>
          <w:szCs w:val="24"/>
        </w:rPr>
        <w:t> </w:t>
      </w:r>
      <w:r w:rsidR="006F7BE6" w:rsidRPr="008B20B2">
        <w:rPr>
          <w:szCs w:val="24"/>
        </w:rPr>
        <w:t>% of treated wastewater is reused in the EU</w:t>
      </w:r>
      <w:r w:rsidR="006F7BE6" w:rsidRPr="008B20B2">
        <w:rPr>
          <w:szCs w:val="24"/>
          <w:vertAlign w:val="superscript"/>
        </w:rPr>
        <w:footnoteReference w:id="41"/>
      </w:r>
      <w:r w:rsidR="006F7BE6" w:rsidRPr="008B20B2">
        <w:rPr>
          <w:szCs w:val="24"/>
        </w:rPr>
        <w:t>; whereas there is significant potential for circular approaches to water in households, as only a small amount of the water in households is used for drinking and eating and therefore requires the highest quality standards;</w:t>
      </w:r>
      <w:proofErr w:type="gramEnd"/>
    </w:p>
    <w:p w14:paraId="75F8C7E2" w14:textId="73EDE17D" w:rsidR="006F7BE6" w:rsidRPr="008B20B2" w:rsidRDefault="001612DC" w:rsidP="00C547A5">
      <w:pPr>
        <w:pStyle w:val="NormalHanging12a"/>
        <w:rPr>
          <w:szCs w:val="24"/>
        </w:rPr>
      </w:pPr>
      <w:proofErr w:type="gramStart"/>
      <w:r w:rsidRPr="008B20B2">
        <w:rPr>
          <w:szCs w:val="24"/>
        </w:rPr>
        <w:t>V</w:t>
      </w:r>
      <w:r w:rsidR="006F7BE6" w:rsidRPr="008B20B2">
        <w:rPr>
          <w:szCs w:val="24"/>
        </w:rPr>
        <w:t>.</w:t>
      </w:r>
      <w:r w:rsidR="006F7BE6" w:rsidRPr="008B20B2">
        <w:rPr>
          <w:szCs w:val="24"/>
        </w:rPr>
        <w:tab/>
        <w:t>whereas a very large quantity of water is lost due to obsolete or ageing water networks and the lack of necessary maintenance; whereas investment in the maintenance, improvement and development of resilient innovative irrigation infrastructures is essential for reducing and improving the efficiency of water consumption in agriculture; whereas such improvements in efficiency enable the water saved to be used for other purposes or enable the natural flow rates of watercourses to be maintained;</w:t>
      </w:r>
      <w:proofErr w:type="gramEnd"/>
    </w:p>
    <w:p w14:paraId="641917EB" w14:textId="07F06271" w:rsidR="006F7BE6" w:rsidRPr="008B20B2" w:rsidRDefault="001612DC" w:rsidP="00C547A5">
      <w:pPr>
        <w:pStyle w:val="NormalHanging12a"/>
        <w:rPr>
          <w:szCs w:val="24"/>
        </w:rPr>
      </w:pPr>
      <w:r w:rsidRPr="008B20B2">
        <w:rPr>
          <w:szCs w:val="24"/>
        </w:rPr>
        <w:t>W</w:t>
      </w:r>
      <w:r w:rsidR="006F7BE6" w:rsidRPr="008B20B2">
        <w:rPr>
          <w:szCs w:val="24"/>
        </w:rPr>
        <w:t>.</w:t>
      </w:r>
      <w:r w:rsidR="006F7BE6" w:rsidRPr="008B20B2">
        <w:rPr>
          <w:szCs w:val="24"/>
        </w:rPr>
        <w:tab/>
        <w:t>whereas clean and sufficient water is an essential element in implementing and achieving a real sustainable circular economy in the EU;</w:t>
      </w:r>
    </w:p>
    <w:p w14:paraId="31B78516" w14:textId="2BFD2DFE" w:rsidR="006F7BE6" w:rsidRPr="008B20B2" w:rsidRDefault="001612DC" w:rsidP="00C547A5">
      <w:pPr>
        <w:pStyle w:val="NormalHanging12a"/>
        <w:rPr>
          <w:szCs w:val="24"/>
        </w:rPr>
      </w:pPr>
      <w:proofErr w:type="gramStart"/>
      <w:r w:rsidRPr="008B20B2">
        <w:rPr>
          <w:szCs w:val="24"/>
        </w:rPr>
        <w:lastRenderedPageBreak/>
        <w:t>X</w:t>
      </w:r>
      <w:r w:rsidR="006F7BE6" w:rsidRPr="008B20B2">
        <w:rPr>
          <w:szCs w:val="24"/>
        </w:rPr>
        <w:t>.</w:t>
      </w:r>
      <w:r w:rsidR="006F7BE6" w:rsidRPr="008B20B2">
        <w:rPr>
          <w:szCs w:val="24"/>
        </w:rPr>
        <w:tab/>
        <w:t>whereas water leakage is an underestimated global issue, which significantly exacerbates water scarcity, with an average of 23 % of treated water lost during distribution in the EU due to leaky pipes, outdated treatment facilities and insufficient reservoirs</w:t>
      </w:r>
      <w:r w:rsidR="006F7BE6" w:rsidRPr="008B20B2">
        <w:rPr>
          <w:szCs w:val="24"/>
          <w:vertAlign w:val="superscript"/>
        </w:rPr>
        <w:footnoteReference w:id="42"/>
      </w:r>
      <w:r w:rsidR="006F7BE6" w:rsidRPr="008B20B2">
        <w:rPr>
          <w:szCs w:val="24"/>
        </w:rPr>
        <w:t>; whereas the revised Drinking Water Directive included measures to reduce water leakages, as well as risk assessment and management of the catchment areas for drinking water abstraction;</w:t>
      </w:r>
      <w:proofErr w:type="gramEnd"/>
    </w:p>
    <w:p w14:paraId="68797A5A" w14:textId="2ADA31CE" w:rsidR="006F7BE6" w:rsidRPr="008B20B2" w:rsidRDefault="001612DC" w:rsidP="00C547A5">
      <w:pPr>
        <w:pStyle w:val="NormalHanging12a"/>
        <w:rPr>
          <w:szCs w:val="24"/>
        </w:rPr>
      </w:pPr>
      <w:r w:rsidRPr="008B20B2">
        <w:rPr>
          <w:szCs w:val="24"/>
        </w:rPr>
        <w:t>Y</w:t>
      </w:r>
      <w:r w:rsidR="006F7BE6" w:rsidRPr="008B20B2">
        <w:rPr>
          <w:szCs w:val="24"/>
        </w:rPr>
        <w:t>.</w:t>
      </w:r>
      <w:r w:rsidR="006F7BE6" w:rsidRPr="008B20B2">
        <w:rPr>
          <w:szCs w:val="24"/>
        </w:rPr>
        <w:tab/>
        <w:t>whereas in 2021, 91 % of Europe’s groundwater bodies were reported as having achieved ‘good quantitative status’, while 77 % were reported as having ‘good chemical status’</w:t>
      </w:r>
      <w:r w:rsidR="006F7BE6" w:rsidRPr="008B20B2">
        <w:rPr>
          <w:szCs w:val="24"/>
          <w:vertAlign w:val="superscript"/>
        </w:rPr>
        <w:footnoteReference w:id="43"/>
      </w:r>
      <w:r w:rsidR="006F7BE6" w:rsidRPr="008B20B2">
        <w:rPr>
          <w:szCs w:val="24"/>
        </w:rPr>
        <w:t>;</w:t>
      </w:r>
    </w:p>
    <w:p w14:paraId="1757B4FA" w14:textId="0FB57F16" w:rsidR="006F7BE6" w:rsidRPr="008B20B2" w:rsidRDefault="001612DC" w:rsidP="00C547A5">
      <w:pPr>
        <w:pStyle w:val="NormalHanging12a"/>
        <w:rPr>
          <w:szCs w:val="24"/>
        </w:rPr>
      </w:pPr>
      <w:r w:rsidRPr="008B20B2">
        <w:rPr>
          <w:szCs w:val="24"/>
        </w:rPr>
        <w:t>Z</w:t>
      </w:r>
      <w:r w:rsidR="006F7BE6" w:rsidRPr="008B20B2">
        <w:rPr>
          <w:szCs w:val="24"/>
        </w:rPr>
        <w:t>.</w:t>
      </w:r>
      <w:r w:rsidR="006F7BE6" w:rsidRPr="008B20B2">
        <w:rPr>
          <w:szCs w:val="24"/>
        </w:rPr>
        <w:tab/>
        <w:t>whereas in 2021, only 37 % of Europe’s surface water bodies were reported as being in ‘good’ or ‘high’ ecological status, while 29 % achieved ‘good chemical status’</w:t>
      </w:r>
      <w:r w:rsidR="006F7BE6" w:rsidRPr="008B20B2">
        <w:rPr>
          <w:szCs w:val="24"/>
          <w:vertAlign w:val="superscript"/>
        </w:rPr>
        <w:footnoteReference w:id="44"/>
      </w:r>
      <w:r w:rsidR="006F7BE6" w:rsidRPr="008B20B2">
        <w:rPr>
          <w:szCs w:val="24"/>
        </w:rPr>
        <w:t>;</w:t>
      </w:r>
    </w:p>
    <w:p w14:paraId="1AC68BFA" w14:textId="40D91AE7" w:rsidR="006F7BE6" w:rsidRPr="008B20B2" w:rsidRDefault="001612DC" w:rsidP="00C547A5">
      <w:pPr>
        <w:pStyle w:val="NormalHanging12a"/>
        <w:rPr>
          <w:szCs w:val="24"/>
        </w:rPr>
      </w:pPr>
      <w:r w:rsidRPr="008B20B2">
        <w:rPr>
          <w:szCs w:val="24"/>
        </w:rPr>
        <w:t>AA</w:t>
      </w:r>
      <w:r w:rsidR="006F7BE6" w:rsidRPr="008B20B2">
        <w:rPr>
          <w:szCs w:val="24"/>
        </w:rPr>
        <w:t>.</w:t>
      </w:r>
      <w:r w:rsidR="006F7BE6" w:rsidRPr="008B20B2">
        <w:rPr>
          <w:szCs w:val="24"/>
        </w:rPr>
        <w:tab/>
      </w:r>
      <w:proofErr w:type="gramStart"/>
      <w:r w:rsidR="006F7BE6" w:rsidRPr="008B20B2">
        <w:rPr>
          <w:szCs w:val="24"/>
        </w:rPr>
        <w:t>whereas the European Environment Agency emphasises that the proportion of surface waters failing to achieve good ecological status is uneven across Europe, and that these are more prevalent in parts of central and western Europe, and stresses that differences in water status between the Member States may be caused by different pressures, but that those differences may also result from varying approaches to monitoring and assessment</w:t>
      </w:r>
      <w:r w:rsidR="006F7BE6" w:rsidRPr="008B20B2">
        <w:rPr>
          <w:szCs w:val="24"/>
          <w:vertAlign w:val="superscript"/>
        </w:rPr>
        <w:footnoteReference w:id="45"/>
      </w:r>
      <w:r w:rsidR="006F7BE6" w:rsidRPr="008B20B2">
        <w:rPr>
          <w:szCs w:val="24"/>
        </w:rPr>
        <w:t>;</w:t>
      </w:r>
      <w:proofErr w:type="gramEnd"/>
    </w:p>
    <w:p w14:paraId="4DF4AF4A" w14:textId="63E9D453" w:rsidR="006F7BE6" w:rsidRPr="008B20B2" w:rsidRDefault="001612DC" w:rsidP="00C547A5">
      <w:pPr>
        <w:pStyle w:val="NormalHanging12a"/>
        <w:rPr>
          <w:szCs w:val="24"/>
        </w:rPr>
      </w:pPr>
      <w:r w:rsidRPr="008B20B2">
        <w:rPr>
          <w:szCs w:val="24"/>
        </w:rPr>
        <w:t>AB</w:t>
      </w:r>
      <w:r w:rsidR="006F7BE6" w:rsidRPr="008B20B2">
        <w:rPr>
          <w:szCs w:val="24"/>
        </w:rPr>
        <w:t>.</w:t>
      </w:r>
      <w:r w:rsidR="006F7BE6" w:rsidRPr="008B20B2">
        <w:rPr>
          <w:szCs w:val="24"/>
        </w:rPr>
        <w:tab/>
        <w:t xml:space="preserve">whereas the quality of surface waters across the continent reflects continuing and combined pressures, in particular diffuse pollution and the degradation of their natural flow and physical features; whereas pollution by nutrients and persistent priority substances, as well as by substances newly emerging as pollutants, continues; whereas </w:t>
      </w:r>
      <w:proofErr w:type="spellStart"/>
      <w:r w:rsidR="006F7BE6" w:rsidRPr="008B20B2">
        <w:rPr>
          <w:szCs w:val="24"/>
        </w:rPr>
        <w:t>groundwaters</w:t>
      </w:r>
      <w:proofErr w:type="spellEnd"/>
      <w:r w:rsidR="006F7BE6" w:rsidRPr="008B20B2">
        <w:rPr>
          <w:szCs w:val="24"/>
        </w:rPr>
        <w:t xml:space="preserve"> are affected by diffuse pollution and also suffer from intensive abstraction</w:t>
      </w:r>
      <w:r w:rsidR="006F7BE6" w:rsidRPr="008B20B2">
        <w:rPr>
          <w:szCs w:val="24"/>
          <w:vertAlign w:val="superscript"/>
        </w:rPr>
        <w:footnoteReference w:id="46"/>
      </w:r>
      <w:r w:rsidR="006F7BE6" w:rsidRPr="008B20B2">
        <w:rPr>
          <w:szCs w:val="24"/>
        </w:rPr>
        <w:t>;</w:t>
      </w:r>
    </w:p>
    <w:p w14:paraId="3EF58FEF" w14:textId="1C836E23" w:rsidR="006F7BE6" w:rsidRPr="008B20B2" w:rsidRDefault="001612DC" w:rsidP="00C547A5">
      <w:pPr>
        <w:pStyle w:val="NormalHanging12a"/>
        <w:rPr>
          <w:szCs w:val="24"/>
        </w:rPr>
      </w:pPr>
      <w:r w:rsidRPr="008B20B2">
        <w:rPr>
          <w:szCs w:val="24"/>
        </w:rPr>
        <w:t>AC</w:t>
      </w:r>
      <w:r w:rsidR="006F7BE6" w:rsidRPr="008B20B2">
        <w:rPr>
          <w:szCs w:val="24"/>
        </w:rPr>
        <w:t>.</w:t>
      </w:r>
      <w:r w:rsidR="006F7BE6" w:rsidRPr="008B20B2">
        <w:rPr>
          <w:szCs w:val="24"/>
        </w:rPr>
        <w:tab/>
        <w:t>whereas groundwater supplies 65 % of water for drinking and 25 % of water for agricultural irrigation in the EU</w:t>
      </w:r>
      <w:r w:rsidR="006F7BE6" w:rsidRPr="008B20B2">
        <w:rPr>
          <w:szCs w:val="24"/>
          <w:vertAlign w:val="superscript"/>
        </w:rPr>
        <w:footnoteReference w:id="47"/>
      </w:r>
      <w:r w:rsidR="006F7BE6" w:rsidRPr="008B20B2">
        <w:rPr>
          <w:szCs w:val="24"/>
        </w:rPr>
        <w:t>; whereas it is a finite resource that needs to be protected from pollution and over-exploitation</w:t>
      </w:r>
      <w:r w:rsidR="006F7BE6" w:rsidRPr="008B20B2">
        <w:rPr>
          <w:szCs w:val="24"/>
          <w:vertAlign w:val="superscript"/>
        </w:rPr>
        <w:footnoteReference w:id="48"/>
      </w:r>
      <w:r w:rsidR="006F7BE6" w:rsidRPr="008B20B2">
        <w:rPr>
          <w:szCs w:val="24"/>
        </w:rPr>
        <w:t>;</w:t>
      </w:r>
    </w:p>
    <w:p w14:paraId="6D9FACCC" w14:textId="79250376" w:rsidR="006F7BE6" w:rsidRPr="008B20B2" w:rsidRDefault="001612DC" w:rsidP="00C547A5">
      <w:pPr>
        <w:pStyle w:val="NormalHanging12a"/>
        <w:rPr>
          <w:szCs w:val="24"/>
        </w:rPr>
      </w:pPr>
      <w:r w:rsidRPr="008B20B2">
        <w:rPr>
          <w:szCs w:val="24"/>
        </w:rPr>
        <w:t>AD</w:t>
      </w:r>
      <w:r w:rsidR="006F7BE6" w:rsidRPr="008B20B2">
        <w:rPr>
          <w:szCs w:val="24"/>
        </w:rPr>
        <w:t>.</w:t>
      </w:r>
      <w:r w:rsidR="006F7BE6" w:rsidRPr="008B20B2">
        <w:rPr>
          <w:szCs w:val="24"/>
        </w:rPr>
        <w:tab/>
      </w:r>
      <w:proofErr w:type="gramStart"/>
      <w:r w:rsidR="006F7BE6" w:rsidRPr="008B20B2">
        <w:rPr>
          <w:szCs w:val="24"/>
        </w:rPr>
        <w:t xml:space="preserve">whereas monitoring data from the European Environment Agency indicates widespread pollution by per- and </w:t>
      </w:r>
      <w:proofErr w:type="spellStart"/>
      <w:r w:rsidR="006F7BE6" w:rsidRPr="008B20B2">
        <w:rPr>
          <w:szCs w:val="24"/>
        </w:rPr>
        <w:t>polyfluoralkyl</w:t>
      </w:r>
      <w:proofErr w:type="spellEnd"/>
      <w:r w:rsidR="006F7BE6" w:rsidRPr="008B20B2">
        <w:rPr>
          <w:szCs w:val="24"/>
        </w:rPr>
        <w:t xml:space="preserve"> substances (PFAS), commonly referred to as ‘forever chemicals’, in European waters, posing significant risks to aquatic ecosystems and human health; whereas short-chain PFAS </w:t>
      </w:r>
      <w:proofErr w:type="spellStart"/>
      <w:r w:rsidR="006F7BE6" w:rsidRPr="008B20B2">
        <w:rPr>
          <w:szCs w:val="24"/>
        </w:rPr>
        <w:t>trifluoroacetic</w:t>
      </w:r>
      <w:proofErr w:type="spellEnd"/>
      <w:r w:rsidR="006F7BE6" w:rsidRPr="008B20B2">
        <w:rPr>
          <w:szCs w:val="24"/>
        </w:rPr>
        <w:t xml:space="preserve"> acid (TFA) has been detected in drinking water all over Europe; whereas PFAS persist in the environment, </w:t>
      </w:r>
      <w:proofErr w:type="spellStart"/>
      <w:r w:rsidR="006F7BE6" w:rsidRPr="008B20B2">
        <w:rPr>
          <w:szCs w:val="24"/>
        </w:rPr>
        <w:t>bioaccumulate</w:t>
      </w:r>
      <w:proofErr w:type="spellEnd"/>
      <w:r w:rsidR="006F7BE6" w:rsidRPr="008B20B2">
        <w:rPr>
          <w:szCs w:val="24"/>
        </w:rPr>
        <w:t xml:space="preserve"> in living organisms and cause adverse (eco)toxicological effects; whereas from a group of 6 000 to 10 000 individual substances, only a few have been extensively studied and their impact on human health and environment is known; </w:t>
      </w:r>
      <w:r w:rsidR="006F7BE6" w:rsidRPr="008B20B2">
        <w:rPr>
          <w:szCs w:val="24"/>
        </w:rPr>
        <w:lastRenderedPageBreak/>
        <w:t>whereas 99 % of PFAS remain undetected in the environment as a result of limits in monitoring;</w:t>
      </w:r>
      <w:proofErr w:type="gramEnd"/>
    </w:p>
    <w:p w14:paraId="21B4FA4F" w14:textId="1C02C267" w:rsidR="006F7BE6" w:rsidRPr="008B20B2" w:rsidRDefault="001612DC" w:rsidP="00C547A5">
      <w:pPr>
        <w:pStyle w:val="NormalHanging12a"/>
        <w:rPr>
          <w:szCs w:val="24"/>
        </w:rPr>
      </w:pPr>
      <w:r w:rsidRPr="008B20B2">
        <w:rPr>
          <w:szCs w:val="24"/>
        </w:rPr>
        <w:t>AE</w:t>
      </w:r>
      <w:r w:rsidR="006F7BE6" w:rsidRPr="008B20B2">
        <w:rPr>
          <w:szCs w:val="24"/>
        </w:rPr>
        <w:t>.</w:t>
      </w:r>
      <w:r w:rsidR="006F7BE6" w:rsidRPr="008B20B2">
        <w:rPr>
          <w:szCs w:val="24"/>
        </w:rPr>
        <w:tab/>
        <w:t>whereas the lack of EU-wide quality standards for PFAS in groundwater and insufficient monitoring of less-studied PFAS compounds exacerbate the challenge of achieving good chemical status for EU waters in line with the WFD and pose a substantial technical and financial burden on health systems and on water service providers while jeopardising applications of water and sewage sludge reuse;</w:t>
      </w:r>
    </w:p>
    <w:p w14:paraId="36F36744" w14:textId="30E898B3" w:rsidR="006F7BE6" w:rsidRPr="008B20B2" w:rsidRDefault="001612DC" w:rsidP="00C547A5">
      <w:pPr>
        <w:pStyle w:val="NormalHanging12a"/>
        <w:rPr>
          <w:szCs w:val="24"/>
        </w:rPr>
      </w:pPr>
      <w:r w:rsidRPr="008B20B2">
        <w:rPr>
          <w:szCs w:val="24"/>
        </w:rPr>
        <w:t>AF</w:t>
      </w:r>
      <w:r w:rsidR="006F7BE6" w:rsidRPr="008B20B2">
        <w:rPr>
          <w:szCs w:val="24"/>
        </w:rPr>
        <w:t>.</w:t>
      </w:r>
      <w:r w:rsidR="006F7BE6" w:rsidRPr="008B20B2">
        <w:rPr>
          <w:szCs w:val="24"/>
        </w:rPr>
        <w:tab/>
      </w:r>
      <w:proofErr w:type="gramStart"/>
      <w:r w:rsidR="006F7BE6" w:rsidRPr="008B20B2">
        <w:rPr>
          <w:szCs w:val="24"/>
        </w:rPr>
        <w:t>whereas</w:t>
      </w:r>
      <w:proofErr w:type="gramEnd"/>
      <w:r w:rsidR="006F7BE6" w:rsidRPr="008B20B2">
        <w:rPr>
          <w:szCs w:val="24"/>
        </w:rPr>
        <w:t xml:space="preserve"> hazardous chemicals, including heavy metals and other pollutants, released into water bodies by industrial activities, significantly impact water quality and aquatic ecosystems</w:t>
      </w:r>
      <w:r w:rsidR="006F7BE6" w:rsidRPr="008B20B2">
        <w:rPr>
          <w:szCs w:val="24"/>
          <w:vertAlign w:val="superscript"/>
        </w:rPr>
        <w:footnoteReference w:id="49"/>
      </w:r>
      <w:r w:rsidR="006F7BE6" w:rsidRPr="008B20B2">
        <w:rPr>
          <w:szCs w:val="24"/>
        </w:rPr>
        <w:t>;</w:t>
      </w:r>
    </w:p>
    <w:p w14:paraId="32CD68E1" w14:textId="6636D61A" w:rsidR="006F7BE6" w:rsidRPr="008B20B2" w:rsidRDefault="001612DC" w:rsidP="00C547A5">
      <w:pPr>
        <w:pStyle w:val="NormalHanging12a"/>
        <w:rPr>
          <w:szCs w:val="24"/>
        </w:rPr>
      </w:pPr>
      <w:r w:rsidRPr="008B20B2">
        <w:rPr>
          <w:szCs w:val="24"/>
        </w:rPr>
        <w:t>AG</w:t>
      </w:r>
      <w:r w:rsidR="006F7BE6" w:rsidRPr="008B20B2">
        <w:rPr>
          <w:szCs w:val="24"/>
        </w:rPr>
        <w:t>.</w:t>
      </w:r>
      <w:r w:rsidR="006F7BE6" w:rsidRPr="008B20B2">
        <w:rPr>
          <w:szCs w:val="24"/>
        </w:rPr>
        <w:tab/>
        <w:t>whereas pharmaceutical substances are increasingly identified in surface water and groundwater; whereas pollution caused by pharmaceutical residues necessitates advanced water treatment technologies, including membrane filtration, activated carbon treatment, advanced oxidation processes and other innovative purification techniques;</w:t>
      </w:r>
    </w:p>
    <w:p w14:paraId="0D3D5D07" w14:textId="60C0A3CC" w:rsidR="006F7BE6" w:rsidRPr="008B20B2" w:rsidRDefault="001612DC" w:rsidP="00C547A5">
      <w:pPr>
        <w:pStyle w:val="NormalHanging12a"/>
        <w:rPr>
          <w:szCs w:val="24"/>
        </w:rPr>
      </w:pPr>
      <w:r w:rsidRPr="008B20B2">
        <w:rPr>
          <w:szCs w:val="24"/>
        </w:rPr>
        <w:t>AH</w:t>
      </w:r>
      <w:r w:rsidR="006F7BE6" w:rsidRPr="008B20B2">
        <w:rPr>
          <w:szCs w:val="24"/>
        </w:rPr>
        <w:t>.</w:t>
      </w:r>
      <w:r w:rsidR="006F7BE6" w:rsidRPr="008B20B2">
        <w:rPr>
          <w:szCs w:val="24"/>
        </w:rPr>
        <w:tab/>
      </w:r>
      <w:proofErr w:type="gramStart"/>
      <w:r w:rsidR="006F7BE6" w:rsidRPr="008B20B2">
        <w:rPr>
          <w:szCs w:val="24"/>
        </w:rPr>
        <w:t>whereas Directive 2010/75/EU</w:t>
      </w:r>
      <w:r w:rsidR="006F7BE6" w:rsidRPr="008B20B2">
        <w:rPr>
          <w:rStyle w:val="FootnoteReference"/>
          <w:szCs w:val="24"/>
        </w:rPr>
        <w:footnoteReference w:id="50"/>
      </w:r>
      <w:r w:rsidR="006F7BE6" w:rsidRPr="008B20B2">
        <w:rPr>
          <w:szCs w:val="24"/>
        </w:rPr>
        <w:t xml:space="preserve"> mandates that the potential aggravation of the impact of industrial discharges on the state of water bodies due to variations of water flow dynamics should be explicitly taken into account in the granting and reviewing of permits; whereas the best available techniques will newly incorporate notions of environmental performance levels related to water and permits, which translate the use of these techniques into environmental performance limit values; whereas this is a welcome change with a potential improvement to the industry’s resilience, as EU installations may already face a lower production capacity seasonally due to water scarcity;</w:t>
      </w:r>
      <w:proofErr w:type="gramEnd"/>
    </w:p>
    <w:p w14:paraId="06268E7E" w14:textId="5958A8B7" w:rsidR="006F7BE6" w:rsidRPr="008B20B2" w:rsidRDefault="001612DC" w:rsidP="00C547A5">
      <w:pPr>
        <w:pStyle w:val="NormalHanging12a"/>
        <w:rPr>
          <w:szCs w:val="24"/>
        </w:rPr>
      </w:pPr>
      <w:r w:rsidRPr="008B20B2">
        <w:rPr>
          <w:szCs w:val="24"/>
        </w:rPr>
        <w:t>AI</w:t>
      </w:r>
      <w:r w:rsidR="006F7BE6" w:rsidRPr="008B20B2">
        <w:rPr>
          <w:szCs w:val="24"/>
        </w:rPr>
        <w:t>.</w:t>
      </w:r>
      <w:r w:rsidR="006F7BE6" w:rsidRPr="008B20B2">
        <w:rPr>
          <w:szCs w:val="24"/>
        </w:rPr>
        <w:tab/>
        <w:t>whereas urban wastewater is one of the main sources of water pollution, if not properly collected and treated; whereas the objectives of the Urban Wastewater Treatment Directive should not be lowered, and its scope should be extended to other sectors and substances that contribute to water pollution;</w:t>
      </w:r>
    </w:p>
    <w:p w14:paraId="10352D0D" w14:textId="394D6BFE" w:rsidR="006F7BE6" w:rsidRPr="008B20B2" w:rsidRDefault="001612DC" w:rsidP="00C547A5">
      <w:pPr>
        <w:pStyle w:val="NormalHanging12a"/>
        <w:rPr>
          <w:szCs w:val="24"/>
        </w:rPr>
      </w:pPr>
      <w:r w:rsidRPr="008B20B2">
        <w:rPr>
          <w:szCs w:val="24"/>
        </w:rPr>
        <w:t>AJ</w:t>
      </w:r>
      <w:r w:rsidR="006F7BE6" w:rsidRPr="008B20B2">
        <w:rPr>
          <w:szCs w:val="24"/>
        </w:rPr>
        <w:t>.</w:t>
      </w:r>
      <w:r w:rsidR="006F7BE6" w:rsidRPr="008B20B2">
        <w:rPr>
          <w:szCs w:val="24"/>
        </w:rPr>
        <w:tab/>
        <w:t>whereas nutrient pollution in EU water bodies leads to eutrophication, loss of biodiversity, and degradation of aquatic ecosystems</w:t>
      </w:r>
      <w:r w:rsidR="006F7BE6" w:rsidRPr="008B20B2">
        <w:rPr>
          <w:szCs w:val="24"/>
          <w:vertAlign w:val="superscript"/>
        </w:rPr>
        <w:footnoteReference w:id="51"/>
      </w:r>
      <w:r w:rsidR="006F7BE6" w:rsidRPr="008B20B2">
        <w:rPr>
          <w:szCs w:val="24"/>
        </w:rPr>
        <w:t>; whereas pesticide run-off contaminates surface water and groundwater, threatening water quality and human health;</w:t>
      </w:r>
    </w:p>
    <w:p w14:paraId="630E04D1" w14:textId="6A34BE3F" w:rsidR="006F7BE6" w:rsidRPr="008B20B2" w:rsidRDefault="001612DC" w:rsidP="00C547A5">
      <w:pPr>
        <w:pStyle w:val="NormalHanging12a"/>
        <w:rPr>
          <w:szCs w:val="24"/>
        </w:rPr>
      </w:pPr>
      <w:r w:rsidRPr="008B20B2">
        <w:rPr>
          <w:szCs w:val="24"/>
        </w:rPr>
        <w:lastRenderedPageBreak/>
        <w:t>AK</w:t>
      </w:r>
      <w:r w:rsidR="006F7BE6" w:rsidRPr="008B20B2">
        <w:rPr>
          <w:szCs w:val="24"/>
        </w:rPr>
        <w:t>.</w:t>
      </w:r>
      <w:r w:rsidR="006F7BE6" w:rsidRPr="008B20B2">
        <w:rPr>
          <w:szCs w:val="24"/>
        </w:rPr>
        <w:tab/>
        <w:t xml:space="preserve">whereas research indicates that exposure in Europe to the synthetic chemical </w:t>
      </w:r>
      <w:proofErr w:type="spellStart"/>
      <w:r w:rsidR="006F7BE6" w:rsidRPr="008B20B2">
        <w:rPr>
          <w:szCs w:val="24"/>
        </w:rPr>
        <w:t>bisphenol</w:t>
      </w:r>
      <w:proofErr w:type="spellEnd"/>
      <w:r w:rsidR="006F7BE6" w:rsidRPr="008B20B2">
        <w:rPr>
          <w:szCs w:val="24"/>
        </w:rPr>
        <w:t xml:space="preserve"> A (BPA), which is used in products ranging from plastic and metal food containers to reusable water bottles, is well above acceptable health safety levels</w:t>
      </w:r>
      <w:r w:rsidR="006F7BE6" w:rsidRPr="008B20B2">
        <w:rPr>
          <w:szCs w:val="24"/>
          <w:vertAlign w:val="superscript"/>
        </w:rPr>
        <w:footnoteReference w:id="52"/>
      </w:r>
      <w:r w:rsidR="006F7BE6" w:rsidRPr="008B20B2">
        <w:rPr>
          <w:szCs w:val="24"/>
        </w:rPr>
        <w:t>;</w:t>
      </w:r>
    </w:p>
    <w:p w14:paraId="2BDBAF80" w14:textId="047361F7" w:rsidR="006F7BE6" w:rsidRPr="008B20B2" w:rsidRDefault="001612DC" w:rsidP="00C547A5">
      <w:pPr>
        <w:pStyle w:val="NormalHanging12a"/>
        <w:rPr>
          <w:szCs w:val="24"/>
        </w:rPr>
      </w:pPr>
      <w:proofErr w:type="gramStart"/>
      <w:r w:rsidRPr="008B20B2">
        <w:rPr>
          <w:szCs w:val="24"/>
        </w:rPr>
        <w:t>AL</w:t>
      </w:r>
      <w:r w:rsidR="006F7BE6" w:rsidRPr="008B20B2">
        <w:rPr>
          <w:szCs w:val="24"/>
        </w:rPr>
        <w:t>.</w:t>
      </w:r>
      <w:r w:rsidR="006F7BE6" w:rsidRPr="008B20B2">
        <w:rPr>
          <w:szCs w:val="24"/>
        </w:rPr>
        <w:tab/>
        <w:t>whereas soil and nutrient management lies at the basis of improving water quality and availability; whereas the EWRS should focus on improving nutrient management, with the aim of closing nutrient loops to reduce nutrient emissions to waterways; whereas the safe use of sewage sludge in agriculture will also reduce the EU’s very high dependency on the import of phosphorus mineral fertiliser, for example, from Russia; whereas the safe use of sludge should therefore also be considered as contributing to European resilience and strategic autonomy;</w:t>
      </w:r>
      <w:proofErr w:type="gramEnd"/>
    </w:p>
    <w:p w14:paraId="25E898B8" w14:textId="5981E37F" w:rsidR="006F7BE6" w:rsidRPr="008B20B2" w:rsidRDefault="001612DC" w:rsidP="00C547A5">
      <w:pPr>
        <w:pStyle w:val="NormalHanging12a"/>
        <w:rPr>
          <w:szCs w:val="24"/>
        </w:rPr>
      </w:pPr>
      <w:r w:rsidRPr="008B20B2">
        <w:rPr>
          <w:szCs w:val="24"/>
        </w:rPr>
        <w:t>AM</w:t>
      </w:r>
      <w:r w:rsidR="006F7BE6" w:rsidRPr="008B20B2">
        <w:rPr>
          <w:szCs w:val="24"/>
        </w:rPr>
        <w:t>.</w:t>
      </w:r>
      <w:r w:rsidR="006F7BE6" w:rsidRPr="008B20B2">
        <w:rPr>
          <w:szCs w:val="24"/>
        </w:rPr>
        <w:tab/>
      </w:r>
      <w:proofErr w:type="gramStart"/>
      <w:r w:rsidR="006F7BE6" w:rsidRPr="008B20B2">
        <w:rPr>
          <w:szCs w:val="24"/>
        </w:rPr>
        <w:t>whereas climate change represents a major threat to water resources and aquatic ecosystems; whereas many impacts of climate change are felt through water, such as more intense and frequent droughts, more extreme flooding and more erratic seasonal rainfall; whereas floods and water scarcity compromise food and water security, and the health of the general population, ultimately affecting social cohesion, economic prosperity and stability, as well as jeopardising the long-term availability of this valuable resource;</w:t>
      </w:r>
      <w:proofErr w:type="gramEnd"/>
    </w:p>
    <w:p w14:paraId="67378ECD" w14:textId="670163C3" w:rsidR="006F7BE6" w:rsidRPr="008B20B2" w:rsidRDefault="001612DC" w:rsidP="00C547A5">
      <w:pPr>
        <w:pStyle w:val="NormalHanging12a"/>
        <w:rPr>
          <w:szCs w:val="24"/>
        </w:rPr>
      </w:pPr>
      <w:r w:rsidRPr="008B20B2">
        <w:rPr>
          <w:szCs w:val="24"/>
        </w:rPr>
        <w:t>AN</w:t>
      </w:r>
      <w:r w:rsidR="006F7BE6" w:rsidRPr="008B20B2">
        <w:rPr>
          <w:szCs w:val="24"/>
        </w:rPr>
        <w:t>.</w:t>
      </w:r>
      <w:r w:rsidR="006F7BE6" w:rsidRPr="008B20B2">
        <w:rPr>
          <w:szCs w:val="24"/>
        </w:rPr>
        <w:tab/>
        <w:t>whereas the European climate risk assessment recognised that Europe’s policies and adaptation actions are not keeping pace with the rapidly growing risks that threaten ecosystems, infrastructure, food and water supply and people’s health, as well as the economy and finance</w:t>
      </w:r>
      <w:r w:rsidR="006F7BE6" w:rsidRPr="008B20B2">
        <w:rPr>
          <w:szCs w:val="24"/>
          <w:vertAlign w:val="superscript"/>
        </w:rPr>
        <w:footnoteReference w:id="53"/>
      </w:r>
      <w:r w:rsidR="006F7BE6" w:rsidRPr="008B20B2">
        <w:rPr>
          <w:szCs w:val="24"/>
        </w:rPr>
        <w:t>;</w:t>
      </w:r>
    </w:p>
    <w:p w14:paraId="596E4502" w14:textId="3B5D2DDF" w:rsidR="006F7BE6" w:rsidRPr="008B20B2" w:rsidRDefault="001612DC" w:rsidP="00C547A5">
      <w:pPr>
        <w:pStyle w:val="NormalHanging12a"/>
        <w:rPr>
          <w:szCs w:val="24"/>
        </w:rPr>
      </w:pPr>
      <w:r w:rsidRPr="008B20B2">
        <w:rPr>
          <w:szCs w:val="24"/>
        </w:rPr>
        <w:t>AO</w:t>
      </w:r>
      <w:r w:rsidR="006F7BE6" w:rsidRPr="008B20B2">
        <w:rPr>
          <w:szCs w:val="24"/>
        </w:rPr>
        <w:t>.</w:t>
      </w:r>
      <w:r w:rsidR="006F7BE6" w:rsidRPr="008B20B2">
        <w:rPr>
          <w:szCs w:val="24"/>
        </w:rPr>
        <w:tab/>
      </w:r>
      <w:proofErr w:type="gramStart"/>
      <w:r w:rsidR="006F7BE6" w:rsidRPr="008B20B2">
        <w:rPr>
          <w:szCs w:val="24"/>
        </w:rPr>
        <w:t>whereas assessments by the Intergovernmental Panel on Climate Change show that the sea level rise due to climate change is leading to an increase in the salinity of soils and freshwaters, compromising ecosystem health and water quality, as well as affecting 80 million Europeans living in low elevation coastal zones and flood plains; whereas freshwater and marine ecosystems are interconnected as riverine pollution, disruption to sediment flows and water shortages all have a very strong impact on the health of marine ecosystems, particularly the coastal ones, as well as on the viability of social and economic activities that depend on them, such as transport, fisheries, agriculture, aquaculture and tourism;</w:t>
      </w:r>
      <w:proofErr w:type="gramEnd"/>
    </w:p>
    <w:p w14:paraId="765A4533" w14:textId="00B58B6C" w:rsidR="006F7BE6" w:rsidRPr="008B20B2" w:rsidRDefault="001612DC" w:rsidP="00C547A5">
      <w:pPr>
        <w:pStyle w:val="NormalHanging12a"/>
        <w:rPr>
          <w:szCs w:val="24"/>
        </w:rPr>
      </w:pPr>
      <w:proofErr w:type="gramStart"/>
      <w:r w:rsidRPr="008B20B2">
        <w:rPr>
          <w:szCs w:val="24"/>
        </w:rPr>
        <w:t>AP</w:t>
      </w:r>
      <w:r w:rsidR="006F7BE6" w:rsidRPr="008B20B2">
        <w:rPr>
          <w:szCs w:val="24"/>
        </w:rPr>
        <w:t>.</w:t>
      </w:r>
      <w:r w:rsidR="006F7BE6" w:rsidRPr="008B20B2">
        <w:rPr>
          <w:szCs w:val="24"/>
        </w:rPr>
        <w:tab/>
        <w:t xml:space="preserve">whereas prolonged drought, extreme heat and large-scale flooding events, caused by changing weather patterns, will intensify and become more frequent throughout the continent, damaging ecosystems and human health and leading to major disruption to economic activities and decreasing the overall quantity and quality of available water; whereas preserving water resources and the natural functions of rivers, while supplying sufficient water of good quality, is becoming a major challenge that will require increased climate change mitigation and adaptation efforts, effective management and innovative measures to increase water availability; whereas managing water scarcity </w:t>
      </w:r>
      <w:r w:rsidR="006F7BE6" w:rsidRPr="008B20B2">
        <w:rPr>
          <w:szCs w:val="24"/>
        </w:rPr>
        <w:lastRenderedPageBreak/>
        <w:t>and flood risks affordably and sustainably will increasingly become important across the EU;</w:t>
      </w:r>
      <w:proofErr w:type="gramEnd"/>
    </w:p>
    <w:p w14:paraId="001DAFD1" w14:textId="4FB265AE" w:rsidR="006F7BE6" w:rsidRPr="008B20B2" w:rsidRDefault="001612DC" w:rsidP="00C547A5">
      <w:pPr>
        <w:pStyle w:val="NormalHanging12a"/>
        <w:rPr>
          <w:szCs w:val="24"/>
        </w:rPr>
      </w:pPr>
      <w:proofErr w:type="gramStart"/>
      <w:r w:rsidRPr="008B20B2">
        <w:rPr>
          <w:szCs w:val="24"/>
        </w:rPr>
        <w:t>AQ</w:t>
      </w:r>
      <w:r w:rsidR="006F7BE6" w:rsidRPr="008B20B2">
        <w:rPr>
          <w:szCs w:val="24"/>
        </w:rPr>
        <w:t>.</w:t>
      </w:r>
      <w:r w:rsidR="006F7BE6" w:rsidRPr="008B20B2">
        <w:rPr>
          <w:szCs w:val="24"/>
        </w:rPr>
        <w:tab/>
        <w:t>whereas in 2022, Europe experienced its hottest summer and the second warmest year on record, leading to drought impacting over 15 % of EU territory; whereas the average annual economic loss caused by droughts in the EU between1981 and 2010 was estimated at around EUR 9 billion per year; whereas with no adaptation measures, it is estimated that annual drought losses in Europe and the UK could increase to EUR 45 billion per year up to 2100 with warming of 3°C</w:t>
      </w:r>
      <w:r w:rsidR="006F7BE6" w:rsidRPr="008B20B2">
        <w:rPr>
          <w:szCs w:val="24"/>
          <w:vertAlign w:val="superscript"/>
        </w:rPr>
        <w:footnoteReference w:id="54"/>
      </w:r>
      <w:r w:rsidR="006F7BE6" w:rsidRPr="008B20B2">
        <w:rPr>
          <w:szCs w:val="24"/>
        </w:rPr>
        <w:t>; whereas in the period of 1998-2020, floods comprised 43 % of all disaster events in Europe; whereas climate change impacts and socio-economic developments are leading to more frequent flooding, affecting an increasing number of people and causing increasing damage; whereas 12 % of Europe’s population lives in floodplains</w:t>
      </w:r>
      <w:r w:rsidR="006F7BE6" w:rsidRPr="008B20B2">
        <w:rPr>
          <w:szCs w:val="24"/>
          <w:vertAlign w:val="superscript"/>
        </w:rPr>
        <w:footnoteReference w:id="55"/>
      </w:r>
      <w:r w:rsidR="006F7BE6" w:rsidRPr="008B20B2">
        <w:rPr>
          <w:szCs w:val="24"/>
        </w:rPr>
        <w:t>;</w:t>
      </w:r>
      <w:proofErr w:type="gramEnd"/>
    </w:p>
    <w:p w14:paraId="0DEE82D3" w14:textId="09F3ADF1" w:rsidR="006F7BE6" w:rsidRPr="008B20B2" w:rsidRDefault="001612DC" w:rsidP="00C547A5">
      <w:pPr>
        <w:pStyle w:val="NormalHanging12a"/>
        <w:rPr>
          <w:szCs w:val="24"/>
        </w:rPr>
      </w:pPr>
      <w:proofErr w:type="gramStart"/>
      <w:r w:rsidRPr="008B20B2">
        <w:rPr>
          <w:szCs w:val="24"/>
        </w:rPr>
        <w:t>AR</w:t>
      </w:r>
      <w:r w:rsidR="006F7BE6" w:rsidRPr="008B20B2">
        <w:rPr>
          <w:szCs w:val="24"/>
        </w:rPr>
        <w:t>.</w:t>
      </w:r>
      <w:r w:rsidR="006F7BE6" w:rsidRPr="008B20B2">
        <w:rPr>
          <w:szCs w:val="24"/>
        </w:rPr>
        <w:tab/>
        <w:t>whereas the cost of inaction in addressing water-related challenges is extremely high, given that 90 % of disasters are related to water</w:t>
      </w:r>
      <w:r w:rsidR="006F7BE6" w:rsidRPr="008B20B2">
        <w:rPr>
          <w:szCs w:val="24"/>
          <w:vertAlign w:val="superscript"/>
        </w:rPr>
        <w:footnoteReference w:id="56"/>
      </w:r>
      <w:r w:rsidR="006F7BE6" w:rsidRPr="008B20B2">
        <w:rPr>
          <w:szCs w:val="24"/>
        </w:rPr>
        <w:t>; whereas without policy action, the cost of economic losses from coastal floods alone could exceed EUR 1 trillion per year by the end of the century in the EU</w:t>
      </w:r>
      <w:r w:rsidR="006F7BE6" w:rsidRPr="008B20B2">
        <w:rPr>
          <w:szCs w:val="24"/>
          <w:vertAlign w:val="superscript"/>
        </w:rPr>
        <w:footnoteReference w:id="57"/>
      </w:r>
      <w:r w:rsidR="006F7BE6" w:rsidRPr="008B20B2">
        <w:rPr>
          <w:szCs w:val="24"/>
        </w:rPr>
        <w:t xml:space="preserve"> and the economic cost of droughts in Europe could exceed EUR 65 billion a year by 2100</w:t>
      </w:r>
      <w:r w:rsidR="006F7BE6" w:rsidRPr="008B20B2">
        <w:rPr>
          <w:szCs w:val="24"/>
          <w:vertAlign w:val="superscript"/>
        </w:rPr>
        <w:footnoteReference w:id="58"/>
      </w:r>
      <w:r w:rsidR="006F7BE6" w:rsidRPr="008B20B2">
        <w:rPr>
          <w:szCs w:val="24"/>
        </w:rPr>
        <w:t>;</w:t>
      </w:r>
      <w:proofErr w:type="gramEnd"/>
    </w:p>
    <w:p w14:paraId="121D9E57" w14:textId="64649A71" w:rsidR="006F7BE6" w:rsidRPr="008B20B2" w:rsidRDefault="001612DC" w:rsidP="00C547A5">
      <w:pPr>
        <w:pStyle w:val="NormalHanging12a"/>
        <w:rPr>
          <w:szCs w:val="24"/>
        </w:rPr>
      </w:pPr>
      <w:r w:rsidRPr="008B20B2">
        <w:rPr>
          <w:szCs w:val="24"/>
        </w:rPr>
        <w:t>AS</w:t>
      </w:r>
      <w:r w:rsidR="006F7BE6" w:rsidRPr="008B20B2">
        <w:rPr>
          <w:szCs w:val="24"/>
        </w:rPr>
        <w:t>.</w:t>
      </w:r>
      <w:r w:rsidR="006F7BE6" w:rsidRPr="008B20B2">
        <w:rPr>
          <w:szCs w:val="24"/>
        </w:rPr>
        <w:tab/>
        <w:t>whereas significant differences exist between the Member States in water availability, management strategies and usage patterns, and vulnerability to climate change impacts can vary considerably; whereas a tailored approach is required to enhance water resilience and ensure sustainable water management;</w:t>
      </w:r>
    </w:p>
    <w:p w14:paraId="15502E9B" w14:textId="0285BB1E" w:rsidR="006F7BE6" w:rsidRPr="008B20B2" w:rsidRDefault="001612DC" w:rsidP="00C547A5">
      <w:pPr>
        <w:pStyle w:val="NormalHanging12a"/>
        <w:rPr>
          <w:szCs w:val="24"/>
        </w:rPr>
      </w:pPr>
      <w:r w:rsidRPr="008B20B2">
        <w:rPr>
          <w:szCs w:val="24"/>
        </w:rPr>
        <w:t>AT</w:t>
      </w:r>
      <w:r w:rsidR="006F7BE6" w:rsidRPr="008B20B2">
        <w:rPr>
          <w:szCs w:val="24"/>
        </w:rPr>
        <w:t>.</w:t>
      </w:r>
      <w:r w:rsidR="006F7BE6" w:rsidRPr="008B20B2">
        <w:rPr>
          <w:szCs w:val="24"/>
        </w:rPr>
        <w:tab/>
      </w:r>
      <w:proofErr w:type="gramStart"/>
      <w:r w:rsidR="006F7BE6" w:rsidRPr="008B20B2">
        <w:rPr>
          <w:szCs w:val="24"/>
        </w:rPr>
        <w:t>whereas droughts constitute one of the chief catastrophic consequences of climate change; whereas around 23 % of the EU’s territory is moderately susceptible to desertification and 8 % is highly susceptible to it; whereas Hungary, Bulgaria, Spain and Italy are among the countries most affected, and 74 % of Spain’s surface area is at risk of desertification; whereas the EWRS should look beyond prolonged droughts, but rather address the reality that the semi-arid line is moving north, resulting in increasing areas in the EU that will face chronic long-term unavailability of sufficient freshwater resources;</w:t>
      </w:r>
      <w:proofErr w:type="gramEnd"/>
    </w:p>
    <w:p w14:paraId="4018A26B" w14:textId="5F682E1C" w:rsidR="006F7BE6" w:rsidRPr="008B20B2" w:rsidRDefault="001612DC" w:rsidP="00C547A5">
      <w:pPr>
        <w:pStyle w:val="NormalHanging12a"/>
        <w:rPr>
          <w:szCs w:val="24"/>
        </w:rPr>
      </w:pPr>
      <w:r w:rsidRPr="008B20B2">
        <w:rPr>
          <w:szCs w:val="24"/>
        </w:rPr>
        <w:t>AU</w:t>
      </w:r>
      <w:r w:rsidR="006F7BE6" w:rsidRPr="008B20B2">
        <w:rPr>
          <w:szCs w:val="24"/>
        </w:rPr>
        <w:t>.</w:t>
      </w:r>
      <w:r w:rsidR="006F7BE6" w:rsidRPr="008B20B2">
        <w:rPr>
          <w:szCs w:val="24"/>
        </w:rPr>
        <w:tab/>
        <w:t>whereas policies related to desertification, water consumption and climate change are closely interconnected; whereas as part of the United Nations Convention to Combat Desertification, the EU reaffirmed in 2015 and later re-confirmed in 2024</w:t>
      </w:r>
      <w:r w:rsidR="006F7BE6" w:rsidRPr="008B20B2">
        <w:rPr>
          <w:szCs w:val="24"/>
          <w:vertAlign w:val="superscript"/>
        </w:rPr>
        <w:footnoteReference w:id="59"/>
      </w:r>
      <w:r w:rsidR="006F7BE6" w:rsidRPr="008B20B2">
        <w:rPr>
          <w:szCs w:val="24"/>
        </w:rPr>
        <w:t xml:space="preserve"> its commitment to achieving land degradation neutrality by 2030, which, according to the European Court of Auditors special report on desertification, is unlikely to be achieved;</w:t>
      </w:r>
    </w:p>
    <w:p w14:paraId="0C1BB20E" w14:textId="3ABDDB90" w:rsidR="006F7BE6" w:rsidRPr="008B20B2" w:rsidRDefault="001612DC" w:rsidP="00C547A5">
      <w:pPr>
        <w:pStyle w:val="NormalHanging12a"/>
        <w:rPr>
          <w:szCs w:val="24"/>
        </w:rPr>
      </w:pPr>
      <w:r w:rsidRPr="008B20B2">
        <w:rPr>
          <w:szCs w:val="24"/>
        </w:rPr>
        <w:lastRenderedPageBreak/>
        <w:t>AV</w:t>
      </w:r>
      <w:r w:rsidR="006F7BE6" w:rsidRPr="008B20B2">
        <w:rPr>
          <w:szCs w:val="24"/>
        </w:rPr>
        <w:t>.</w:t>
      </w:r>
      <w:r w:rsidR="006F7BE6" w:rsidRPr="008B20B2">
        <w:rPr>
          <w:szCs w:val="24"/>
        </w:rPr>
        <w:tab/>
        <w:t>whereas water infrastructure can help maintain a constant and predictable flow and supply of water; whereas in 2022, the annual average river discharge across Europe was the second lowest since records began in 1991</w:t>
      </w:r>
      <w:r w:rsidR="006F7BE6" w:rsidRPr="008B20B2">
        <w:rPr>
          <w:szCs w:val="24"/>
          <w:vertAlign w:val="superscript"/>
        </w:rPr>
        <w:footnoteReference w:id="60"/>
      </w:r>
      <w:r w:rsidR="006F7BE6" w:rsidRPr="008B20B2">
        <w:rPr>
          <w:szCs w:val="24"/>
        </w:rPr>
        <w:t>;</w:t>
      </w:r>
    </w:p>
    <w:p w14:paraId="1D8A7E35" w14:textId="209D09AB" w:rsidR="006F7BE6" w:rsidRPr="008B20B2" w:rsidRDefault="001612DC" w:rsidP="00C547A5">
      <w:pPr>
        <w:pStyle w:val="NormalHanging12a"/>
        <w:rPr>
          <w:szCs w:val="24"/>
        </w:rPr>
      </w:pPr>
      <w:r w:rsidRPr="008B20B2">
        <w:rPr>
          <w:szCs w:val="24"/>
        </w:rPr>
        <w:t>AW</w:t>
      </w:r>
      <w:r w:rsidR="006F7BE6" w:rsidRPr="008B20B2">
        <w:rPr>
          <w:szCs w:val="24"/>
        </w:rPr>
        <w:t>.</w:t>
      </w:r>
      <w:r w:rsidR="006F7BE6" w:rsidRPr="008B20B2">
        <w:rPr>
          <w:szCs w:val="24"/>
        </w:rPr>
        <w:tab/>
      </w:r>
      <w:proofErr w:type="gramStart"/>
      <w:r w:rsidR="006F7BE6" w:rsidRPr="008B20B2">
        <w:rPr>
          <w:szCs w:val="24"/>
        </w:rPr>
        <w:t>whereas</w:t>
      </w:r>
      <w:proofErr w:type="gramEnd"/>
      <w:r w:rsidR="006F7BE6" w:rsidRPr="008B20B2">
        <w:rPr>
          <w:szCs w:val="24"/>
        </w:rPr>
        <w:t xml:space="preserve"> downstream areas are particularly dependent on upstream water management and abstraction; whereas the Member States should refrain from implementing measures that significantly increase flood risks upstream or downstream of other countries in the same river basin, in accordance with the WFD;</w:t>
      </w:r>
    </w:p>
    <w:p w14:paraId="651876CB" w14:textId="43889D3E" w:rsidR="006F7BE6" w:rsidRPr="008B20B2" w:rsidRDefault="001612DC" w:rsidP="00C547A5">
      <w:pPr>
        <w:pStyle w:val="NormalHanging12a"/>
        <w:rPr>
          <w:szCs w:val="24"/>
        </w:rPr>
      </w:pPr>
      <w:r w:rsidRPr="008B20B2">
        <w:rPr>
          <w:szCs w:val="24"/>
        </w:rPr>
        <w:t>AX</w:t>
      </w:r>
      <w:r w:rsidR="006F7BE6" w:rsidRPr="008B20B2">
        <w:rPr>
          <w:szCs w:val="24"/>
        </w:rPr>
        <w:t>.</w:t>
      </w:r>
      <w:r w:rsidR="006F7BE6" w:rsidRPr="008B20B2">
        <w:rPr>
          <w:szCs w:val="24"/>
        </w:rPr>
        <w:tab/>
      </w:r>
      <w:proofErr w:type="gramStart"/>
      <w:r w:rsidR="006F7BE6" w:rsidRPr="008B20B2">
        <w:rPr>
          <w:szCs w:val="24"/>
        </w:rPr>
        <w:t>whereas nature-based solutions are pertinent interventions that, when tailored to specific ecosystems and needs, can increase resilience in the water cycle and provide multiple benefits in terms of biodiversity protection, carbon sequestration, improved water quality, nutrient retention, supply of drinking water, wildfire prevention and flood risk mitigation; whereas nature-based solutions can enhance the effectiveness and the operable life of water infrastructure, therefore ensuring, in many cases, complementarity of both solutions;</w:t>
      </w:r>
      <w:proofErr w:type="gramEnd"/>
    </w:p>
    <w:p w14:paraId="769224C8" w14:textId="6B052F3C" w:rsidR="006F7BE6" w:rsidRPr="008B20B2" w:rsidRDefault="001612DC" w:rsidP="00C547A5">
      <w:pPr>
        <w:pStyle w:val="NormalHanging12a"/>
        <w:rPr>
          <w:szCs w:val="24"/>
        </w:rPr>
      </w:pPr>
      <w:r w:rsidRPr="008B20B2">
        <w:rPr>
          <w:szCs w:val="24"/>
        </w:rPr>
        <w:t>AY</w:t>
      </w:r>
      <w:r w:rsidR="006F7BE6" w:rsidRPr="008B20B2">
        <w:rPr>
          <w:szCs w:val="24"/>
        </w:rPr>
        <w:t>.</w:t>
      </w:r>
      <w:r w:rsidR="006F7BE6" w:rsidRPr="008B20B2">
        <w:rPr>
          <w:szCs w:val="24"/>
        </w:rPr>
        <w:tab/>
      </w:r>
      <w:proofErr w:type="gramStart"/>
      <w:r w:rsidR="006F7BE6" w:rsidRPr="008B20B2">
        <w:rPr>
          <w:szCs w:val="24"/>
        </w:rPr>
        <w:t>whereas</w:t>
      </w:r>
      <w:proofErr w:type="gramEnd"/>
      <w:r w:rsidR="006F7BE6" w:rsidRPr="008B20B2">
        <w:rPr>
          <w:szCs w:val="24"/>
        </w:rPr>
        <w:t xml:space="preserve"> natural water retention measures are nature-based solutions that aim to store water in natural, agricultural, forested and urban landscapes;</w:t>
      </w:r>
    </w:p>
    <w:p w14:paraId="5F9A0118" w14:textId="40F1F739" w:rsidR="006F7BE6" w:rsidRPr="008B20B2" w:rsidRDefault="001612DC" w:rsidP="00C547A5">
      <w:pPr>
        <w:pStyle w:val="NormalHanging12a"/>
        <w:rPr>
          <w:szCs w:val="24"/>
        </w:rPr>
      </w:pPr>
      <w:proofErr w:type="gramStart"/>
      <w:r w:rsidRPr="008B20B2">
        <w:rPr>
          <w:szCs w:val="24"/>
        </w:rPr>
        <w:t>AZ</w:t>
      </w:r>
      <w:r w:rsidR="006F7BE6" w:rsidRPr="008B20B2">
        <w:rPr>
          <w:szCs w:val="24"/>
        </w:rPr>
        <w:t>.</w:t>
      </w:r>
      <w:r w:rsidR="006F7BE6" w:rsidRPr="008B20B2">
        <w:rPr>
          <w:szCs w:val="24"/>
        </w:rPr>
        <w:tab/>
        <w:t>whereas water is not a commercial product like any other but, rather, a heritage which must be protected, defended and treated as such; whereas, under Directive (EU) 2024/1203 on the protection of the environment through criminal law</w:t>
      </w:r>
      <w:r w:rsidR="006F7BE6" w:rsidRPr="008B20B2">
        <w:rPr>
          <w:rStyle w:val="FootnoteReference"/>
          <w:szCs w:val="24"/>
        </w:rPr>
        <w:footnoteReference w:id="61"/>
      </w:r>
      <w:r w:rsidR="006F7BE6" w:rsidRPr="008B20B2">
        <w:rPr>
          <w:szCs w:val="24"/>
        </w:rPr>
        <w:t>, abstraction of surface water or groundwater within the meaning of the WFD constitutes a criminal offence where such conduct is unlawful and intentional, and causes, or is likely to cause, substantial damage to the ecological status or the ecological potential of surface water bodies or to the quantitative status of groundwater bodies;</w:t>
      </w:r>
      <w:proofErr w:type="gramEnd"/>
    </w:p>
    <w:p w14:paraId="3228DA0D" w14:textId="1DA62B3D" w:rsidR="006F7BE6" w:rsidRPr="008B20B2" w:rsidRDefault="001612DC" w:rsidP="00C547A5">
      <w:pPr>
        <w:pStyle w:val="NormalHanging12a"/>
        <w:rPr>
          <w:szCs w:val="24"/>
        </w:rPr>
      </w:pPr>
      <w:r w:rsidRPr="008B20B2">
        <w:rPr>
          <w:szCs w:val="24"/>
        </w:rPr>
        <w:t>BA</w:t>
      </w:r>
      <w:r w:rsidR="006F7BE6" w:rsidRPr="008B20B2">
        <w:rPr>
          <w:szCs w:val="24"/>
        </w:rPr>
        <w:t>.</w:t>
      </w:r>
      <w:r w:rsidR="006F7BE6" w:rsidRPr="008B20B2">
        <w:rPr>
          <w:szCs w:val="24"/>
        </w:rPr>
        <w:tab/>
      </w:r>
      <w:proofErr w:type="gramStart"/>
      <w:r w:rsidR="006F7BE6" w:rsidRPr="008B20B2">
        <w:rPr>
          <w:szCs w:val="24"/>
        </w:rPr>
        <w:t>whereas soil biodiversity and soil organic carbon affect water retention capacity; whereas soil erosion, compaction and certain soil management practices that cause soil degradation lead to a steady decrease in the water retention capacity of soil, which as a consequence exacerbates drought and flood events with a direct negative impact on farming; whereas healthy soil is therefore one of the drivers of water resilience, which itself should be approached and managed at river basin level; whereas better land management is key to preventing disasters;</w:t>
      </w:r>
      <w:proofErr w:type="gramEnd"/>
    </w:p>
    <w:p w14:paraId="6441E083" w14:textId="0AD57B5C" w:rsidR="006F7BE6" w:rsidRPr="008B20B2" w:rsidRDefault="001612DC" w:rsidP="00C547A5">
      <w:pPr>
        <w:pStyle w:val="NormalHanging12a"/>
        <w:rPr>
          <w:szCs w:val="24"/>
        </w:rPr>
      </w:pPr>
      <w:r w:rsidRPr="008B20B2">
        <w:rPr>
          <w:szCs w:val="24"/>
        </w:rPr>
        <w:t>BB</w:t>
      </w:r>
      <w:r w:rsidR="006F7BE6" w:rsidRPr="008B20B2">
        <w:rPr>
          <w:szCs w:val="24"/>
        </w:rPr>
        <w:t>.</w:t>
      </w:r>
      <w:r w:rsidR="006F7BE6" w:rsidRPr="008B20B2">
        <w:rPr>
          <w:szCs w:val="24"/>
        </w:rPr>
        <w:tab/>
      </w:r>
      <w:proofErr w:type="gramStart"/>
      <w:r w:rsidR="006F7BE6" w:rsidRPr="008B20B2">
        <w:rPr>
          <w:szCs w:val="24"/>
        </w:rPr>
        <w:t>whereas the current multiannual financial framework (MFF) includes an ambitious but non-binding target of dedicating at least 7</w:t>
      </w:r>
      <w:r w:rsidR="00402841" w:rsidRPr="008B20B2">
        <w:rPr>
          <w:szCs w:val="24"/>
        </w:rPr>
        <w:t>,</w:t>
      </w:r>
      <w:r w:rsidR="006F7BE6" w:rsidRPr="008B20B2">
        <w:rPr>
          <w:szCs w:val="24"/>
        </w:rPr>
        <w:t>5 % of annual EU spending to the biodiversity objectives in 2024 and 10 % in both 2026 and 2027; whereas the new financial framework should incorporate a water perspective with a view to allocating sufficient resources to the future EWRS in order to ensure resilient water ecosystems and infrastructure, and security of water supply, and to facilitate investments in innovative solutions;</w:t>
      </w:r>
      <w:proofErr w:type="gramEnd"/>
    </w:p>
    <w:p w14:paraId="4E4EFFD8" w14:textId="3AEA34BD" w:rsidR="006F7BE6" w:rsidRPr="008B20B2" w:rsidRDefault="001612DC" w:rsidP="00C547A5">
      <w:pPr>
        <w:pStyle w:val="NormalHanging12a"/>
        <w:rPr>
          <w:szCs w:val="24"/>
        </w:rPr>
      </w:pPr>
      <w:r w:rsidRPr="008B20B2">
        <w:rPr>
          <w:szCs w:val="24"/>
        </w:rPr>
        <w:lastRenderedPageBreak/>
        <w:t>BC</w:t>
      </w:r>
      <w:r w:rsidR="006F7BE6" w:rsidRPr="008B20B2">
        <w:rPr>
          <w:szCs w:val="24"/>
        </w:rPr>
        <w:t>.</w:t>
      </w:r>
      <w:r w:rsidR="006F7BE6" w:rsidRPr="008B20B2">
        <w:rPr>
          <w:szCs w:val="24"/>
        </w:rPr>
        <w:tab/>
        <w:t>whereas cohesion funding has played a crucial role in improving water and sanitation services across the Member States; whereas continued support is required to ensure their long-term resilience and compliance with increasingly stringent quality standards;</w:t>
      </w:r>
    </w:p>
    <w:p w14:paraId="47B9DDC8" w14:textId="45F618F7" w:rsidR="006F7BE6" w:rsidRPr="008B20B2" w:rsidRDefault="001612DC" w:rsidP="00C547A5">
      <w:pPr>
        <w:pStyle w:val="NormalHanging12a"/>
        <w:rPr>
          <w:szCs w:val="24"/>
        </w:rPr>
      </w:pPr>
      <w:proofErr w:type="gramStart"/>
      <w:r w:rsidRPr="008B20B2">
        <w:rPr>
          <w:szCs w:val="24"/>
        </w:rPr>
        <w:t>BD</w:t>
      </w:r>
      <w:r w:rsidR="006F7BE6" w:rsidRPr="008B20B2">
        <w:rPr>
          <w:szCs w:val="24"/>
        </w:rPr>
        <w:t>.</w:t>
      </w:r>
      <w:r w:rsidR="006F7BE6" w:rsidRPr="008B20B2">
        <w:rPr>
          <w:szCs w:val="24"/>
        </w:rPr>
        <w:tab/>
        <w:t>whereas pricing policies can improve the efficiency of water use; whereas such policies are a national competence and account for the regional differences in water availability and the source of water supply; whereas pricing can play a significant role in prompting households and other economic sectors to optimise consumption, as well as in ensuring that water users effectively participate in recovering the costs of water services; whereas pricing policies should also consider affordability for households and small businesses;</w:t>
      </w:r>
      <w:proofErr w:type="gramEnd"/>
    </w:p>
    <w:p w14:paraId="407E131B" w14:textId="0D28A190" w:rsidR="006F7BE6" w:rsidRPr="008B20B2" w:rsidRDefault="001612DC" w:rsidP="00C547A5">
      <w:pPr>
        <w:pStyle w:val="NormalHanging12a"/>
        <w:rPr>
          <w:szCs w:val="24"/>
        </w:rPr>
      </w:pPr>
      <w:r w:rsidRPr="008B20B2">
        <w:rPr>
          <w:szCs w:val="24"/>
        </w:rPr>
        <w:t>BE</w:t>
      </w:r>
      <w:r w:rsidR="006F7BE6" w:rsidRPr="008B20B2">
        <w:rPr>
          <w:szCs w:val="24"/>
        </w:rPr>
        <w:t>.</w:t>
      </w:r>
      <w:r w:rsidR="006F7BE6" w:rsidRPr="008B20B2">
        <w:rPr>
          <w:szCs w:val="24"/>
        </w:rPr>
        <w:tab/>
      </w:r>
      <w:proofErr w:type="gramStart"/>
      <w:r w:rsidR="006F7BE6" w:rsidRPr="008B20B2">
        <w:rPr>
          <w:szCs w:val="24"/>
        </w:rPr>
        <w:t>whereas digitalisation and innovation can effectively assist the Member States, regional bodies and the Commission in collecting data on and monitoring water management; whereas the EU is at the forefront of new technological developments in the water sector, accounting for 40 % of all international patent families in this sector between 1992 and 2021</w:t>
      </w:r>
      <w:r w:rsidR="006F7BE6" w:rsidRPr="008B20B2">
        <w:rPr>
          <w:szCs w:val="24"/>
          <w:vertAlign w:val="superscript"/>
        </w:rPr>
        <w:footnoteReference w:id="62"/>
      </w:r>
      <w:r w:rsidR="006F7BE6" w:rsidRPr="008B20B2">
        <w:rPr>
          <w:szCs w:val="24"/>
        </w:rPr>
        <w:t>, a position that needs to be fostered and nurtured, and the potential of the internal market fully exploited; whereas hurdles for the introduction and scaling-up of new water technologies need to be examined and a just European level playing field guaranteed; whereas continued support for research in water technology innovation is needed to secure and to create jobs and boost European competitiveness;</w:t>
      </w:r>
      <w:proofErr w:type="gramEnd"/>
    </w:p>
    <w:p w14:paraId="3FAFB74B" w14:textId="6ACABF04" w:rsidR="006F7BE6" w:rsidRPr="008B20B2" w:rsidRDefault="001612DC" w:rsidP="00C547A5">
      <w:pPr>
        <w:pStyle w:val="NormalHanging12a"/>
        <w:rPr>
          <w:szCs w:val="24"/>
        </w:rPr>
      </w:pPr>
      <w:r w:rsidRPr="008B20B2">
        <w:rPr>
          <w:szCs w:val="24"/>
        </w:rPr>
        <w:t>BF</w:t>
      </w:r>
      <w:r w:rsidR="006F7BE6" w:rsidRPr="008B20B2">
        <w:rPr>
          <w:szCs w:val="24"/>
        </w:rPr>
        <w:t>.</w:t>
      </w:r>
      <w:r w:rsidR="006F7BE6" w:rsidRPr="008B20B2">
        <w:rPr>
          <w:szCs w:val="24"/>
        </w:rPr>
        <w:tab/>
      </w:r>
      <w:proofErr w:type="gramStart"/>
      <w:r w:rsidR="006F7BE6" w:rsidRPr="008B20B2">
        <w:rPr>
          <w:szCs w:val="24"/>
        </w:rPr>
        <w:t>whereas</w:t>
      </w:r>
      <w:proofErr w:type="gramEnd"/>
      <w:r w:rsidR="006F7BE6" w:rsidRPr="008B20B2">
        <w:rPr>
          <w:szCs w:val="24"/>
        </w:rPr>
        <w:t xml:space="preserve"> innovation is a crucial tool to help the water sector meet the challenges of the United Nation’s SDGs, adapt to climate change and become more water-efficient;</w:t>
      </w:r>
    </w:p>
    <w:p w14:paraId="531792D5" w14:textId="7F0EF502" w:rsidR="006F7BE6" w:rsidRPr="008B20B2" w:rsidRDefault="001612DC" w:rsidP="00C547A5">
      <w:pPr>
        <w:pStyle w:val="NormalHanging12a"/>
        <w:rPr>
          <w:szCs w:val="24"/>
        </w:rPr>
      </w:pPr>
      <w:proofErr w:type="gramStart"/>
      <w:r w:rsidRPr="008B20B2">
        <w:rPr>
          <w:szCs w:val="24"/>
        </w:rPr>
        <w:t>BG</w:t>
      </w:r>
      <w:r w:rsidR="006F7BE6" w:rsidRPr="008B20B2">
        <w:rPr>
          <w:szCs w:val="24"/>
        </w:rPr>
        <w:t>.</w:t>
      </w:r>
      <w:r w:rsidR="006F7BE6" w:rsidRPr="008B20B2">
        <w:rPr>
          <w:szCs w:val="24"/>
        </w:rPr>
        <w:tab/>
        <w:t>whereas deployment of monitoring and modelling technologies is still lagging behind in many Member States, and the digitalisation of the sector is too slow; whereas provisions on the river basin management plans in the WFD do not explicitly include concrete measures to digitise the water sector; whereas common shortcomings for the current policies harnessing the potential digital solutions are related to the lack of technology guidance, monitoring standards, policy integration, standardisation and public involvement;</w:t>
      </w:r>
      <w:proofErr w:type="gramEnd"/>
    </w:p>
    <w:p w14:paraId="4A68E65F" w14:textId="7BDA57F7" w:rsidR="006F7BE6" w:rsidRPr="008B20B2" w:rsidRDefault="001612DC" w:rsidP="00C547A5">
      <w:pPr>
        <w:pStyle w:val="NormalHanging12a"/>
        <w:rPr>
          <w:szCs w:val="24"/>
        </w:rPr>
      </w:pPr>
      <w:r w:rsidRPr="008B20B2">
        <w:rPr>
          <w:szCs w:val="24"/>
        </w:rPr>
        <w:t>BH</w:t>
      </w:r>
      <w:r w:rsidR="006F7BE6" w:rsidRPr="008B20B2">
        <w:rPr>
          <w:szCs w:val="24"/>
        </w:rPr>
        <w:t>.</w:t>
      </w:r>
      <w:r w:rsidR="006F7BE6" w:rsidRPr="008B20B2">
        <w:rPr>
          <w:szCs w:val="24"/>
        </w:rPr>
        <w:tab/>
      </w:r>
      <w:proofErr w:type="gramStart"/>
      <w:r w:rsidR="006F7BE6" w:rsidRPr="008B20B2">
        <w:rPr>
          <w:szCs w:val="24"/>
        </w:rPr>
        <w:t>whereas the water sector is vulnerable to various threats, including physical attacks, cyberattacks and contamination with harmful agents; whereas such incidents could result in widespread illness, casualties and service disruptions, significantly impacting public health, the environment and economic stability; whereas the digitalisation of water management might introduce further security risks in a context of increasing hostile attacks on critical infrastructure; whereas the implementation of the NIS2 Directive and Critical Entities Resilience Directive can contribute to mitigating security risks to vital (drinking) water systems and (drinking) water infrastructure, arising from geopolitical tensions;</w:t>
      </w:r>
      <w:proofErr w:type="gramEnd"/>
    </w:p>
    <w:p w14:paraId="355AA10E" w14:textId="026DA3E2" w:rsidR="006F7BE6" w:rsidRPr="008B20B2" w:rsidRDefault="001612DC" w:rsidP="00C547A5">
      <w:pPr>
        <w:pStyle w:val="NormalHanging12a"/>
        <w:rPr>
          <w:szCs w:val="24"/>
        </w:rPr>
      </w:pPr>
      <w:r w:rsidRPr="008B20B2">
        <w:rPr>
          <w:szCs w:val="24"/>
        </w:rPr>
        <w:t>BI</w:t>
      </w:r>
      <w:r w:rsidR="006F7BE6" w:rsidRPr="008B20B2">
        <w:rPr>
          <w:szCs w:val="24"/>
        </w:rPr>
        <w:t>.</w:t>
      </w:r>
      <w:r w:rsidR="006F7BE6" w:rsidRPr="008B20B2">
        <w:rPr>
          <w:szCs w:val="24"/>
        </w:rPr>
        <w:tab/>
        <w:t>whereas advances in sensor technology, computing, artificial intelligence (AI) and big data management can help monitor water quantity and quality and inform the operational decisions of the policymakers and water management companies; whereas innovations in nature-based systems to manage water are available and can contribute to resilient water management;</w:t>
      </w:r>
    </w:p>
    <w:p w14:paraId="70E1680E" w14:textId="4334C009" w:rsidR="006F7BE6" w:rsidRPr="008B20B2" w:rsidRDefault="001612DC" w:rsidP="00C547A5">
      <w:pPr>
        <w:pStyle w:val="NormalHanging12a"/>
        <w:rPr>
          <w:szCs w:val="24"/>
        </w:rPr>
      </w:pPr>
      <w:r w:rsidRPr="008B20B2">
        <w:rPr>
          <w:szCs w:val="24"/>
        </w:rPr>
        <w:lastRenderedPageBreak/>
        <w:t>BJ</w:t>
      </w:r>
      <w:r w:rsidR="006F7BE6" w:rsidRPr="008B20B2">
        <w:rPr>
          <w:szCs w:val="24"/>
        </w:rPr>
        <w:t>.</w:t>
      </w:r>
      <w:r w:rsidR="006F7BE6" w:rsidRPr="008B20B2">
        <w:rPr>
          <w:szCs w:val="24"/>
        </w:rPr>
        <w:tab/>
      </w:r>
      <w:proofErr w:type="gramStart"/>
      <w:r w:rsidR="006F7BE6" w:rsidRPr="008B20B2">
        <w:rPr>
          <w:szCs w:val="24"/>
        </w:rPr>
        <w:t>whereas water is a vital component in the life cycle of AI, both in the operation of data centres and the manufacture of hardware; whereas the rapid expansion of AI could result in an exponential increase in water demand; whereas that dependency on an increasingly scarce resource poses significant challenges in terms of sustainability; whereas strategic technologies, such as semiconductors, hydrogen, electric vehicle batteries and data centres, play a key role in achieving a competitive and autonomous EU;</w:t>
      </w:r>
      <w:proofErr w:type="gramEnd"/>
    </w:p>
    <w:p w14:paraId="1261D65A" w14:textId="59B7F62F" w:rsidR="006F7BE6" w:rsidRPr="008B20B2" w:rsidRDefault="001612DC" w:rsidP="00C547A5">
      <w:pPr>
        <w:pStyle w:val="NormalHanging12a"/>
        <w:rPr>
          <w:szCs w:val="24"/>
        </w:rPr>
      </w:pPr>
      <w:r w:rsidRPr="008B20B2">
        <w:rPr>
          <w:szCs w:val="24"/>
        </w:rPr>
        <w:t>BK</w:t>
      </w:r>
      <w:r w:rsidR="006F7BE6" w:rsidRPr="008B20B2">
        <w:rPr>
          <w:szCs w:val="24"/>
        </w:rPr>
        <w:t>.</w:t>
      </w:r>
      <w:r w:rsidR="006F7BE6" w:rsidRPr="008B20B2">
        <w:rPr>
          <w:szCs w:val="24"/>
        </w:rPr>
        <w:tab/>
        <w:t>whereas chiller and cooling tower systems, based on innovative cooling technologies such as evaporative and closed-loop cooling, are already available and can contribute to reducing water consumption in industrial, heating, ventilation and air conditioning systems applications;</w:t>
      </w:r>
    </w:p>
    <w:p w14:paraId="4E68F883" w14:textId="016C3C8C" w:rsidR="006F7BE6" w:rsidRPr="008B20B2" w:rsidRDefault="001612DC" w:rsidP="00C547A5">
      <w:pPr>
        <w:pStyle w:val="NormalHanging12a"/>
        <w:rPr>
          <w:szCs w:val="24"/>
        </w:rPr>
      </w:pPr>
      <w:r w:rsidRPr="008B20B2">
        <w:rPr>
          <w:szCs w:val="24"/>
        </w:rPr>
        <w:t>BL</w:t>
      </w:r>
      <w:r w:rsidR="006F7BE6" w:rsidRPr="008B20B2">
        <w:rPr>
          <w:szCs w:val="24"/>
        </w:rPr>
        <w:t>.</w:t>
      </w:r>
      <w:r w:rsidR="006F7BE6" w:rsidRPr="008B20B2">
        <w:rPr>
          <w:szCs w:val="24"/>
        </w:rPr>
        <w:tab/>
        <w:t xml:space="preserve">whereas research must be promoted with a view to producing alternative active ingredients to combat pests, to ensure greater plant health and reduce the use of inputs and </w:t>
      </w:r>
      <w:proofErr w:type="spellStart"/>
      <w:r w:rsidR="006F7BE6" w:rsidRPr="008B20B2">
        <w:rPr>
          <w:szCs w:val="24"/>
        </w:rPr>
        <w:t>phytosanitary</w:t>
      </w:r>
      <w:proofErr w:type="spellEnd"/>
      <w:r w:rsidR="006F7BE6" w:rsidRPr="008B20B2">
        <w:rPr>
          <w:szCs w:val="24"/>
        </w:rPr>
        <w:t xml:space="preserve"> products;</w:t>
      </w:r>
    </w:p>
    <w:p w14:paraId="2C128DD0" w14:textId="305B87AC" w:rsidR="006F7BE6" w:rsidRPr="008B20B2" w:rsidRDefault="001612DC" w:rsidP="00C547A5">
      <w:pPr>
        <w:pStyle w:val="NormalHanging12a"/>
        <w:rPr>
          <w:szCs w:val="24"/>
        </w:rPr>
      </w:pPr>
      <w:r w:rsidRPr="008B20B2">
        <w:rPr>
          <w:szCs w:val="24"/>
        </w:rPr>
        <w:t>BM</w:t>
      </w:r>
      <w:r w:rsidR="006F7BE6" w:rsidRPr="008B20B2">
        <w:rPr>
          <w:szCs w:val="24"/>
        </w:rPr>
        <w:t>.</w:t>
      </w:r>
      <w:r w:rsidR="006F7BE6" w:rsidRPr="008B20B2">
        <w:rPr>
          <w:szCs w:val="24"/>
        </w:rPr>
        <w:tab/>
        <w:t>whereas water resilience is crucial in education and teaching, and in raising awareness and giving information about the functioning of the water cycle;</w:t>
      </w:r>
    </w:p>
    <w:p w14:paraId="5ED71E55" w14:textId="4270AFE5" w:rsidR="006F7BE6" w:rsidRPr="008B20B2" w:rsidRDefault="001612DC" w:rsidP="00C547A5">
      <w:pPr>
        <w:pStyle w:val="NormalHanging12a"/>
        <w:rPr>
          <w:szCs w:val="24"/>
        </w:rPr>
      </w:pPr>
      <w:r w:rsidRPr="008B20B2">
        <w:rPr>
          <w:szCs w:val="24"/>
        </w:rPr>
        <w:t>BN</w:t>
      </w:r>
      <w:r w:rsidR="006F7BE6" w:rsidRPr="008B20B2">
        <w:rPr>
          <w:szCs w:val="24"/>
        </w:rPr>
        <w:t>.</w:t>
      </w:r>
      <w:r w:rsidR="006F7BE6" w:rsidRPr="008B20B2">
        <w:rPr>
          <w:szCs w:val="24"/>
        </w:rPr>
        <w:tab/>
        <w:t>whereas limited access to water and related infrastructure has a negative impact, especially on women, as it undermines the realisation of other human rights, such as self-determination, economic independence and education;</w:t>
      </w:r>
    </w:p>
    <w:p w14:paraId="7DB37E70" w14:textId="7818C46F" w:rsidR="006F7BE6" w:rsidRPr="008B20B2" w:rsidRDefault="001612DC" w:rsidP="00C547A5">
      <w:pPr>
        <w:pStyle w:val="NormalHanging12a"/>
        <w:rPr>
          <w:szCs w:val="24"/>
        </w:rPr>
      </w:pPr>
      <w:r w:rsidRPr="008B20B2">
        <w:rPr>
          <w:szCs w:val="24"/>
        </w:rPr>
        <w:t>BO</w:t>
      </w:r>
      <w:r w:rsidR="006F7BE6" w:rsidRPr="008B20B2">
        <w:rPr>
          <w:szCs w:val="24"/>
        </w:rPr>
        <w:t>.</w:t>
      </w:r>
      <w:r w:rsidR="006F7BE6" w:rsidRPr="008B20B2">
        <w:rPr>
          <w:szCs w:val="24"/>
        </w:rPr>
        <w:tab/>
      </w:r>
      <w:proofErr w:type="gramStart"/>
      <w:r w:rsidR="006F7BE6" w:rsidRPr="008B20B2">
        <w:rPr>
          <w:szCs w:val="24"/>
        </w:rPr>
        <w:t>whereas 60 % of European river basin districts are transnational, which makes effective transboundary cooperation crucial; whereas 20 European countries depend on other countries for more than 10 % of their water resources, with five countries relying on more than 75 % of their resources coming from abroad via rivers</w:t>
      </w:r>
      <w:r w:rsidR="006F7BE6" w:rsidRPr="008B20B2">
        <w:rPr>
          <w:szCs w:val="24"/>
          <w:vertAlign w:val="superscript"/>
        </w:rPr>
        <w:footnoteReference w:id="63"/>
      </w:r>
      <w:r w:rsidR="006F7BE6" w:rsidRPr="008B20B2">
        <w:rPr>
          <w:szCs w:val="24"/>
        </w:rPr>
        <w:t>; whereas this cooperation should be strengthened to account for current and future climate challenges such as droughts and floods;</w:t>
      </w:r>
      <w:proofErr w:type="gramEnd"/>
    </w:p>
    <w:p w14:paraId="6A068D8A" w14:textId="6934CF8E" w:rsidR="006F7BE6" w:rsidRPr="008B20B2" w:rsidRDefault="001612DC" w:rsidP="00C547A5">
      <w:pPr>
        <w:pStyle w:val="NormalHanging12a"/>
        <w:rPr>
          <w:szCs w:val="24"/>
        </w:rPr>
      </w:pPr>
      <w:r w:rsidRPr="008B20B2">
        <w:rPr>
          <w:szCs w:val="24"/>
        </w:rPr>
        <w:t>BP</w:t>
      </w:r>
      <w:r w:rsidR="006F7BE6" w:rsidRPr="008B20B2">
        <w:rPr>
          <w:szCs w:val="24"/>
        </w:rPr>
        <w:t>.</w:t>
      </w:r>
      <w:r w:rsidR="006F7BE6" w:rsidRPr="008B20B2">
        <w:rPr>
          <w:szCs w:val="24"/>
        </w:rPr>
        <w:tab/>
        <w:t xml:space="preserve">whereas United Nations Secretary-General </w:t>
      </w:r>
      <w:proofErr w:type="spellStart"/>
      <w:r w:rsidR="006F7BE6" w:rsidRPr="008B20B2">
        <w:rPr>
          <w:szCs w:val="24"/>
        </w:rPr>
        <w:t>António</w:t>
      </w:r>
      <w:proofErr w:type="spellEnd"/>
      <w:r w:rsidR="006F7BE6" w:rsidRPr="008B20B2">
        <w:rPr>
          <w:szCs w:val="24"/>
        </w:rPr>
        <w:t xml:space="preserve"> </w:t>
      </w:r>
      <w:proofErr w:type="spellStart"/>
      <w:r w:rsidR="006F7BE6" w:rsidRPr="008B20B2">
        <w:rPr>
          <w:szCs w:val="24"/>
        </w:rPr>
        <w:t>Guterres</w:t>
      </w:r>
      <w:proofErr w:type="spellEnd"/>
      <w:r w:rsidR="006F7BE6" w:rsidRPr="008B20B2">
        <w:rPr>
          <w:szCs w:val="24"/>
        </w:rPr>
        <w:t xml:space="preserve"> appointed a Special Envoy on Water, aiming to enhance international cooperation and synergies among international water processes;</w:t>
      </w:r>
    </w:p>
    <w:p w14:paraId="1870D4E8" w14:textId="2A0B76E5" w:rsidR="006F7BE6" w:rsidRPr="008B20B2" w:rsidRDefault="001612DC" w:rsidP="00C547A5">
      <w:pPr>
        <w:pStyle w:val="NormalHanging12a"/>
        <w:rPr>
          <w:szCs w:val="24"/>
        </w:rPr>
      </w:pPr>
      <w:r w:rsidRPr="008B20B2">
        <w:rPr>
          <w:szCs w:val="24"/>
        </w:rPr>
        <w:t>BQ</w:t>
      </w:r>
      <w:r w:rsidR="006F7BE6" w:rsidRPr="008B20B2">
        <w:rPr>
          <w:szCs w:val="24"/>
        </w:rPr>
        <w:t>.</w:t>
      </w:r>
      <w:r w:rsidR="006F7BE6" w:rsidRPr="008B20B2">
        <w:rPr>
          <w:szCs w:val="24"/>
        </w:rPr>
        <w:tab/>
        <w:t>whereas clean water access and sustainable and resilient sanitation infrastructure are key components of the One Health approach, recognising the interconnection between the health of humans and water pollution;</w:t>
      </w:r>
    </w:p>
    <w:p w14:paraId="3BA47FBB" w14:textId="14DCEFC8" w:rsidR="006F7BE6" w:rsidRPr="008B20B2" w:rsidRDefault="001612DC" w:rsidP="00C547A5">
      <w:pPr>
        <w:pStyle w:val="NormalHanging12a"/>
        <w:rPr>
          <w:szCs w:val="24"/>
        </w:rPr>
      </w:pPr>
      <w:r w:rsidRPr="008B20B2">
        <w:rPr>
          <w:szCs w:val="24"/>
        </w:rPr>
        <w:t>BR</w:t>
      </w:r>
      <w:r w:rsidR="006F7BE6" w:rsidRPr="008B20B2">
        <w:rPr>
          <w:szCs w:val="24"/>
        </w:rPr>
        <w:t>.</w:t>
      </w:r>
      <w:r w:rsidR="006F7BE6" w:rsidRPr="008B20B2">
        <w:rPr>
          <w:szCs w:val="24"/>
        </w:rPr>
        <w:tab/>
        <w:t>whereas water cooperation across borders and sectors generates many benefits, including enhancing food security, sustaining healthy livelihoods and ecosystems, helping address resilience to climate change, contributing to disaster risk reduction, providing renewable energy, supporting cities and industry, and fostering regional integration and peace;</w:t>
      </w:r>
    </w:p>
    <w:p w14:paraId="30C4EC4C" w14:textId="7AE79528" w:rsidR="006F7BE6" w:rsidRPr="008B20B2" w:rsidRDefault="001612DC" w:rsidP="00C547A5">
      <w:pPr>
        <w:pStyle w:val="NormalHanging12a"/>
        <w:rPr>
          <w:szCs w:val="24"/>
        </w:rPr>
      </w:pPr>
      <w:r w:rsidRPr="008B20B2">
        <w:rPr>
          <w:szCs w:val="24"/>
        </w:rPr>
        <w:t>BS</w:t>
      </w:r>
      <w:r w:rsidR="006F7BE6" w:rsidRPr="008B20B2">
        <w:rPr>
          <w:szCs w:val="24"/>
        </w:rPr>
        <w:t>.</w:t>
      </w:r>
      <w:r w:rsidR="006F7BE6" w:rsidRPr="008B20B2">
        <w:rPr>
          <w:szCs w:val="24"/>
        </w:rPr>
        <w:tab/>
        <w:t xml:space="preserve">whereas geopolitical developments demonstrate that the EU should be ready to withstand the challenges that go beyond the environmental sphere; whereas non-environmental threats, such as recent accidents related to the damaged cable in the </w:t>
      </w:r>
      <w:r w:rsidR="006F7BE6" w:rsidRPr="008B20B2">
        <w:rPr>
          <w:szCs w:val="24"/>
        </w:rPr>
        <w:lastRenderedPageBreak/>
        <w:t>Baltic Sea, send the EU a strong message that strengthening transboundary cooperation is key in addressing both the environmental and security-related objectives;</w:t>
      </w:r>
    </w:p>
    <w:p w14:paraId="0DA9DE67" w14:textId="21522701" w:rsidR="006F7BE6" w:rsidRPr="008B20B2" w:rsidRDefault="001612DC" w:rsidP="00C547A5">
      <w:pPr>
        <w:pStyle w:val="NormalHanging12a"/>
        <w:rPr>
          <w:szCs w:val="24"/>
        </w:rPr>
      </w:pPr>
      <w:r w:rsidRPr="008B20B2">
        <w:rPr>
          <w:szCs w:val="24"/>
        </w:rPr>
        <w:t>BT</w:t>
      </w:r>
      <w:r w:rsidR="006F7BE6" w:rsidRPr="008B20B2">
        <w:rPr>
          <w:szCs w:val="24"/>
        </w:rPr>
        <w:t>.</w:t>
      </w:r>
      <w:r w:rsidR="006F7BE6" w:rsidRPr="008B20B2">
        <w:rPr>
          <w:szCs w:val="24"/>
        </w:rPr>
        <w:tab/>
        <w:t>whereas about 41 000 kilometres of inland waterways flow through 25 of the Member States; whereas inland waterways, which rely on the availability of water resources, perform a crucial role in optimising water supply and mitigating the impact of droughts and floods, as well as supporting the economic activities and the development of regions;</w:t>
      </w:r>
    </w:p>
    <w:p w14:paraId="48C5D123" w14:textId="67AF146C" w:rsidR="006F7BE6" w:rsidRPr="008B20B2" w:rsidRDefault="001612DC" w:rsidP="00C547A5">
      <w:pPr>
        <w:pStyle w:val="NormalHanging12a"/>
        <w:rPr>
          <w:szCs w:val="24"/>
        </w:rPr>
      </w:pPr>
      <w:r w:rsidRPr="008B20B2">
        <w:rPr>
          <w:szCs w:val="24"/>
        </w:rPr>
        <w:t>BU</w:t>
      </w:r>
      <w:r w:rsidR="006F7BE6" w:rsidRPr="008B20B2">
        <w:rPr>
          <w:szCs w:val="24"/>
        </w:rPr>
        <w:t>.</w:t>
      </w:r>
      <w:r w:rsidR="006F7BE6" w:rsidRPr="008B20B2">
        <w:rPr>
          <w:szCs w:val="24"/>
        </w:rPr>
        <w:tab/>
        <w:t>whereas the increasing water scarcity, inequalities in access to water, and external shocks to the water sector have heightened interdependencies, increasing competition for water and leading to complex economic repercussions;</w:t>
      </w:r>
    </w:p>
    <w:p w14:paraId="67F4FCA3" w14:textId="77777777" w:rsidR="006F7BE6" w:rsidRPr="008B20B2" w:rsidRDefault="006F7BE6" w:rsidP="00C547A5">
      <w:pPr>
        <w:pStyle w:val="Normal12a24b"/>
        <w:widowControl/>
        <w:spacing w:before="0"/>
        <w:ind w:left="567" w:hanging="567"/>
        <w:rPr>
          <w:szCs w:val="24"/>
        </w:rPr>
      </w:pPr>
      <w:r w:rsidRPr="008B20B2">
        <w:rPr>
          <w:rStyle w:val="BoldItalic"/>
          <w:szCs w:val="24"/>
        </w:rPr>
        <w:t>General remarks</w:t>
      </w:r>
    </w:p>
    <w:p w14:paraId="3C8CD9A6" w14:textId="77777777" w:rsidR="006F7BE6" w:rsidRPr="008B20B2" w:rsidRDefault="006F7BE6" w:rsidP="00C547A5">
      <w:pPr>
        <w:pStyle w:val="NormalHanging12a"/>
        <w:rPr>
          <w:szCs w:val="24"/>
        </w:rPr>
      </w:pPr>
      <w:r w:rsidRPr="008B20B2">
        <w:rPr>
          <w:szCs w:val="24"/>
        </w:rPr>
        <w:t>1.</w:t>
      </w:r>
      <w:r w:rsidRPr="008B20B2">
        <w:rPr>
          <w:szCs w:val="24"/>
        </w:rPr>
        <w:tab/>
        <w:t xml:space="preserve">Welcomes and supports President von der </w:t>
      </w:r>
      <w:proofErr w:type="spellStart"/>
      <w:r w:rsidRPr="008B20B2">
        <w:rPr>
          <w:szCs w:val="24"/>
        </w:rPr>
        <w:t>Leyen’s</w:t>
      </w:r>
      <w:proofErr w:type="spellEnd"/>
      <w:r w:rsidRPr="008B20B2">
        <w:rPr>
          <w:szCs w:val="24"/>
        </w:rPr>
        <w:t xml:space="preserve"> announcement in the political guidelines for the next European Commission (2024-2029) on putting forward a European Water Resilience Strategy (EWRS) addressing water efficiency, scarcity, pollution and water-related risks, as well as the recognition that water is an indispensable resource that is increasingly under stress from climate change and increasing demands;</w:t>
      </w:r>
    </w:p>
    <w:p w14:paraId="02868662" w14:textId="77777777" w:rsidR="006F7BE6" w:rsidRPr="008B20B2" w:rsidRDefault="006F7BE6" w:rsidP="00C547A5">
      <w:pPr>
        <w:pStyle w:val="NormalHanging12a"/>
        <w:rPr>
          <w:szCs w:val="24"/>
        </w:rPr>
      </w:pPr>
      <w:proofErr w:type="gramStart"/>
      <w:r w:rsidRPr="008B20B2">
        <w:rPr>
          <w:szCs w:val="24"/>
        </w:rPr>
        <w:t>2.</w:t>
      </w:r>
      <w:r w:rsidRPr="008B20B2">
        <w:rPr>
          <w:szCs w:val="24"/>
        </w:rPr>
        <w:tab/>
        <w:t>Believes that while implementing legislation, economic competitiveness should be taken into account in line with the Competitiveness Compass; calls for the implementation of EU environmental legislation in order to build a resilient and competitive Europe, mitigate and adapt to climate change, halt biodiversity loss, prevent pollution, ensure food security, limit resource use and waste, and strive towards efficient use of resources, including water, while taking into account the precautionary principle, the control-at-source principle and the polluter-pays principle; highlights the fact that water availability impacts the quantity, quality, variety and seasonal availability of foods that can be produced;</w:t>
      </w:r>
      <w:proofErr w:type="gramEnd"/>
    </w:p>
    <w:p w14:paraId="7DDDFF3E" w14:textId="77777777" w:rsidR="006F7BE6" w:rsidRPr="008B20B2" w:rsidRDefault="006F7BE6" w:rsidP="00C547A5">
      <w:pPr>
        <w:pStyle w:val="NormalHanging12a"/>
        <w:rPr>
          <w:szCs w:val="24"/>
        </w:rPr>
      </w:pPr>
      <w:r w:rsidRPr="008B20B2">
        <w:rPr>
          <w:szCs w:val="24"/>
        </w:rPr>
        <w:t>3.</w:t>
      </w:r>
      <w:r w:rsidRPr="008B20B2">
        <w:rPr>
          <w:szCs w:val="24"/>
        </w:rPr>
        <w:tab/>
        <w:t>Calls for the EU to integrate its commitments to the COP29 Baku Dialogue on Water for Climate Action and the UN 2023 Water Conference into the international dimension of the strategy</w:t>
      </w:r>
      <w:proofErr w:type="gramStart"/>
      <w:r w:rsidRPr="008B20B2">
        <w:rPr>
          <w:szCs w:val="24"/>
        </w:rPr>
        <w:t>;</w:t>
      </w:r>
      <w:proofErr w:type="gramEnd"/>
    </w:p>
    <w:p w14:paraId="4895DCB8" w14:textId="77777777" w:rsidR="006F7BE6" w:rsidRPr="008B20B2" w:rsidRDefault="006F7BE6" w:rsidP="00C547A5">
      <w:pPr>
        <w:pStyle w:val="NormalHanging12a"/>
        <w:rPr>
          <w:szCs w:val="24"/>
        </w:rPr>
      </w:pPr>
      <w:proofErr w:type="gramStart"/>
      <w:r w:rsidRPr="008B20B2">
        <w:rPr>
          <w:szCs w:val="24"/>
        </w:rPr>
        <w:t>4.</w:t>
      </w:r>
      <w:r w:rsidRPr="008B20B2">
        <w:rPr>
          <w:szCs w:val="24"/>
        </w:rPr>
        <w:tab/>
        <w:t>Stresses the urgent need to enhance water resilience and management to ensure sustainable freshwater supplies for people, the economy and the environment; emphasises that the EWRS should be developed in coordination with the European Oceans Pact, ensuring a cohesive and integrated approach to managing freshwater and ocean resources, addressing interconnected challenges, enhancing competitiveness and promoting sustainable water management across inland and marine environments, while ensuring a holistic ‘source-to-sea’ approach;</w:t>
      </w:r>
      <w:proofErr w:type="gramEnd"/>
    </w:p>
    <w:p w14:paraId="38415EAE" w14:textId="77777777" w:rsidR="006F7BE6" w:rsidRPr="008B20B2" w:rsidRDefault="006F7BE6" w:rsidP="00C547A5">
      <w:pPr>
        <w:pStyle w:val="NormalHanging12a"/>
        <w:rPr>
          <w:szCs w:val="24"/>
        </w:rPr>
      </w:pPr>
      <w:r w:rsidRPr="008B20B2">
        <w:rPr>
          <w:szCs w:val="24"/>
        </w:rPr>
        <w:t>5.</w:t>
      </w:r>
      <w:r w:rsidRPr="008B20B2">
        <w:rPr>
          <w:szCs w:val="24"/>
        </w:rPr>
        <w:tab/>
        <w:t>Insists on the need for a comprehensive and holistic EWRS that integrates water quality, quantity, security, infrastructure, technology and management aspects and includes the restoration of the water cycle as a key element, as it underpins economic activities, ensures resource availability and contributes to climate regulation;</w:t>
      </w:r>
    </w:p>
    <w:p w14:paraId="3ED9F8E6" w14:textId="77777777" w:rsidR="006F7BE6" w:rsidRPr="008B20B2" w:rsidRDefault="006F7BE6" w:rsidP="00C547A5">
      <w:pPr>
        <w:pStyle w:val="NormalHanging12a"/>
        <w:rPr>
          <w:szCs w:val="24"/>
        </w:rPr>
      </w:pPr>
      <w:proofErr w:type="gramStart"/>
      <w:r w:rsidRPr="008B20B2">
        <w:rPr>
          <w:szCs w:val="24"/>
        </w:rPr>
        <w:t>6.</w:t>
      </w:r>
      <w:r w:rsidRPr="008B20B2">
        <w:rPr>
          <w:szCs w:val="24"/>
        </w:rPr>
        <w:tab/>
        <w:t xml:space="preserve">Stresses the importance of water supply, in particular drinking water, as well as water security of supply; points out that all environmental restoration projects should take into </w:t>
      </w:r>
      <w:r w:rsidRPr="008B20B2">
        <w:rPr>
          <w:szCs w:val="24"/>
        </w:rPr>
        <w:lastRenderedPageBreak/>
        <w:t>account the water security aspects, prioritising solutions that not only provide environmental benefits, but also guarantee the supply and efficient management of water; emphasises, furthermore, that ecological restoration measures should be carried out in synergy with the development of the EU’s renewable energy potential and not impact the overall energy resilience;</w:t>
      </w:r>
      <w:proofErr w:type="gramEnd"/>
    </w:p>
    <w:p w14:paraId="4B2E7887" w14:textId="77777777" w:rsidR="006F7BE6" w:rsidRPr="008B20B2" w:rsidRDefault="006F7BE6" w:rsidP="00C547A5">
      <w:pPr>
        <w:pStyle w:val="NormalHanging12a"/>
        <w:rPr>
          <w:szCs w:val="24"/>
        </w:rPr>
      </w:pPr>
      <w:r w:rsidRPr="008B20B2">
        <w:rPr>
          <w:szCs w:val="24"/>
        </w:rPr>
        <w:t>7.</w:t>
      </w:r>
      <w:r w:rsidRPr="008B20B2">
        <w:rPr>
          <w:szCs w:val="24"/>
        </w:rPr>
        <w:tab/>
        <w:t>Recommends that lakes and other freshwater-dependent habitats be included in the strategy, alongside rivers, transitional waters and groundwater, as essential components of the EU’s water resilience efforts;</w:t>
      </w:r>
    </w:p>
    <w:p w14:paraId="50D2BF3D" w14:textId="77777777" w:rsidR="006F7BE6" w:rsidRPr="008B20B2" w:rsidRDefault="006F7BE6" w:rsidP="00C547A5">
      <w:pPr>
        <w:pStyle w:val="NormalHanging12a"/>
        <w:rPr>
          <w:szCs w:val="24"/>
        </w:rPr>
      </w:pPr>
      <w:r w:rsidRPr="008B20B2">
        <w:rPr>
          <w:szCs w:val="24"/>
        </w:rPr>
        <w:t>8.</w:t>
      </w:r>
      <w:r w:rsidRPr="008B20B2">
        <w:rPr>
          <w:szCs w:val="24"/>
        </w:rPr>
        <w:tab/>
      </w:r>
      <w:proofErr w:type="gramStart"/>
      <w:r w:rsidRPr="008B20B2">
        <w:rPr>
          <w:szCs w:val="24"/>
        </w:rPr>
        <w:t>Stresses</w:t>
      </w:r>
      <w:proofErr w:type="gramEnd"/>
      <w:r w:rsidRPr="008B20B2">
        <w:rPr>
          <w:szCs w:val="24"/>
        </w:rPr>
        <w:t xml:space="preserve"> the urgent need to improve crisis-warning systems with regard to heavy water incidents, as well as to improve preventive measures;</w:t>
      </w:r>
    </w:p>
    <w:p w14:paraId="3FFF6C17" w14:textId="77777777" w:rsidR="006F7BE6" w:rsidRPr="008B20B2" w:rsidRDefault="006F7BE6" w:rsidP="00C547A5">
      <w:pPr>
        <w:pStyle w:val="NormalHanging12a"/>
        <w:rPr>
          <w:szCs w:val="24"/>
        </w:rPr>
      </w:pPr>
      <w:r w:rsidRPr="008B20B2">
        <w:rPr>
          <w:szCs w:val="24"/>
        </w:rPr>
        <w:t>9.</w:t>
      </w:r>
      <w:r w:rsidRPr="008B20B2">
        <w:rPr>
          <w:szCs w:val="24"/>
        </w:rPr>
        <w:tab/>
        <w:t>Calls on the Commission to present a European climate adaptation plan, including concrete legislative proposals and actions, particularly regarding infrastructure resilience, water management and nature-based solutions, while prioritising the protection of vulnerable communities, to make the EU more resilient and to lead by example;</w:t>
      </w:r>
    </w:p>
    <w:p w14:paraId="44E27B88" w14:textId="1F856656" w:rsidR="006F7BE6" w:rsidRPr="008B20B2" w:rsidRDefault="006F7BE6" w:rsidP="00C547A5">
      <w:pPr>
        <w:pStyle w:val="NormalHanging12a"/>
        <w:rPr>
          <w:szCs w:val="24"/>
        </w:rPr>
      </w:pPr>
      <w:r w:rsidRPr="008B20B2">
        <w:rPr>
          <w:szCs w:val="24"/>
        </w:rPr>
        <w:t>10.</w:t>
      </w:r>
      <w:r w:rsidRPr="008B20B2">
        <w:rPr>
          <w:szCs w:val="24"/>
        </w:rPr>
        <w:tab/>
        <w:t>Reiterates that access to clean and safe drinking water and sanitation is a human right; emphasises that this right must be unequivocally ensured, with everyone having access to affordable and good quality water services, including the inhabitants of islands and outermost regions;</w:t>
      </w:r>
    </w:p>
    <w:p w14:paraId="5BB3BBF2" w14:textId="0681C064" w:rsidR="00604606" w:rsidRPr="008B20B2" w:rsidRDefault="00110923" w:rsidP="00C547A5">
      <w:pPr>
        <w:pStyle w:val="NormalHanging12a"/>
        <w:rPr>
          <w:szCs w:val="24"/>
        </w:rPr>
      </w:pPr>
      <w:r w:rsidRPr="008B20B2">
        <w:rPr>
          <w:szCs w:val="24"/>
        </w:rPr>
        <w:t>11</w:t>
      </w:r>
      <w:r w:rsidR="00604606" w:rsidRPr="008B20B2">
        <w:rPr>
          <w:szCs w:val="24"/>
        </w:rPr>
        <w:t>.</w:t>
      </w:r>
      <w:r w:rsidR="00604606" w:rsidRPr="008B20B2">
        <w:rPr>
          <w:szCs w:val="24"/>
        </w:rPr>
        <w:tab/>
        <w:t>Stresses that no one, whether in public places or private establishments, should be denied access to water supplied from a distribution network intended for human consumption, where available;</w:t>
      </w:r>
    </w:p>
    <w:p w14:paraId="3FA9EDB1" w14:textId="42AF62E1" w:rsidR="006F7BE6" w:rsidRPr="008B20B2" w:rsidRDefault="00110923" w:rsidP="00C547A5">
      <w:pPr>
        <w:pStyle w:val="NormalHanging12a"/>
        <w:rPr>
          <w:szCs w:val="24"/>
        </w:rPr>
      </w:pPr>
      <w:proofErr w:type="gramStart"/>
      <w:r w:rsidRPr="008B20B2">
        <w:rPr>
          <w:szCs w:val="24"/>
        </w:rPr>
        <w:t>12</w:t>
      </w:r>
      <w:r w:rsidR="006F7BE6" w:rsidRPr="008B20B2">
        <w:rPr>
          <w:szCs w:val="24"/>
        </w:rPr>
        <w:t>.</w:t>
      </w:r>
      <w:r w:rsidR="006F7BE6" w:rsidRPr="008B20B2">
        <w:rPr>
          <w:szCs w:val="24"/>
        </w:rPr>
        <w:tab/>
        <w:t>Notes that industrial activities and agricultural production require water to produce their end products or to support production activities, with the amount of water used varying depending on the type of activity; highlights the fact that ensuring Europe’s competitiveness and strategic autonomy requires a water-smart society where technology and data enhance a circular economy, fostering sustainable and water-efficient practices; calls on all relevant actors to accelerate the transition towards water-efficient, circular industry and agriculture by promoting and investing in innovative solutions, including digital tools and technologies, resource recovery, water reuse, renewable energy production, infrastructure, nature-based solutions and inclusive governance mechanisms;</w:t>
      </w:r>
      <w:proofErr w:type="gramEnd"/>
    </w:p>
    <w:p w14:paraId="75107E9B" w14:textId="5D711DF0" w:rsidR="006F7BE6" w:rsidRPr="008B20B2" w:rsidRDefault="00110923" w:rsidP="00C547A5">
      <w:pPr>
        <w:pStyle w:val="NormalHanging12a"/>
        <w:rPr>
          <w:szCs w:val="24"/>
        </w:rPr>
      </w:pPr>
      <w:proofErr w:type="gramStart"/>
      <w:r w:rsidRPr="008B20B2">
        <w:rPr>
          <w:szCs w:val="24"/>
        </w:rPr>
        <w:t>13</w:t>
      </w:r>
      <w:r w:rsidR="006F7BE6" w:rsidRPr="008B20B2">
        <w:rPr>
          <w:szCs w:val="24"/>
        </w:rPr>
        <w:t>.</w:t>
      </w:r>
      <w:r w:rsidR="006F7BE6" w:rsidRPr="008B20B2">
        <w:rPr>
          <w:szCs w:val="24"/>
        </w:rPr>
        <w:tab/>
        <w:t>Urges the Commission to integrate and mainstream the water dimension into internal and external EU policies through a cross-sectoral approach in order to ensure that water resilience, sustainability and security is woven into the fabric of European policies; calls on the Commission, in particular, to carry out a water-related assessment of any regulatory measure, including related to energy, as part of the socio-economic and environmental impact assessment; emphasises that assessing how each EU policy, and EU-funded projects and infrastructure, can impact water resources in terms of quantity, quality and accessibility would ensure that water resilience is a cornerstone of policy formulation and implementation, thus shifting the paradigm from treating water as an infinite resource to recognising its intrinsic value for humanity and for the EU’s ecological and socio-economic landscape and its competitiveness;</w:t>
      </w:r>
      <w:proofErr w:type="gramEnd"/>
    </w:p>
    <w:p w14:paraId="14D60250" w14:textId="77777777" w:rsidR="006F7BE6" w:rsidRPr="008B20B2" w:rsidRDefault="006F7BE6" w:rsidP="00C547A5">
      <w:pPr>
        <w:pStyle w:val="Normal12a24b"/>
        <w:widowControl/>
        <w:spacing w:before="0"/>
        <w:ind w:left="567" w:hanging="567"/>
        <w:rPr>
          <w:szCs w:val="24"/>
        </w:rPr>
      </w:pPr>
      <w:r w:rsidRPr="008B20B2">
        <w:rPr>
          <w:rStyle w:val="BoldItalic"/>
          <w:szCs w:val="24"/>
        </w:rPr>
        <w:lastRenderedPageBreak/>
        <w:t>Water efficiency</w:t>
      </w:r>
    </w:p>
    <w:p w14:paraId="7123703B" w14:textId="579675F9" w:rsidR="006F7BE6" w:rsidRPr="008B20B2" w:rsidRDefault="00110923" w:rsidP="00C547A5">
      <w:pPr>
        <w:pStyle w:val="NormalHanging12a"/>
        <w:rPr>
          <w:szCs w:val="24"/>
        </w:rPr>
      </w:pPr>
      <w:proofErr w:type="gramStart"/>
      <w:r w:rsidRPr="008B20B2">
        <w:rPr>
          <w:szCs w:val="24"/>
        </w:rPr>
        <w:t>14</w:t>
      </w:r>
      <w:r w:rsidR="006F7BE6" w:rsidRPr="008B20B2">
        <w:rPr>
          <w:szCs w:val="24"/>
        </w:rPr>
        <w:t>.</w:t>
      </w:r>
      <w:r w:rsidR="006F7BE6" w:rsidRPr="008B20B2">
        <w:rPr>
          <w:szCs w:val="24"/>
        </w:rPr>
        <w:tab/>
        <w:t>Stresses that efficient water use is essential for preserving the EU’s water resources and that water efficiency should be a key objective of the EU; calls, in this regard, for a consequential reduction in water demand, including by addressing excessive leakage levels, investing in research and innovative solutions, modernising industrial and production processes, upgrading water infrastructure, managing water resources and peak demands sustainably, prioritising uses and ensuring that higher water efficiency results in a reduction in overall freshwater consumption as well as in an increase in water availability in water-stressed areas at the local and regional levels; believes that areas affected by prolonged drought and desertification should be given priority;</w:t>
      </w:r>
      <w:proofErr w:type="gramEnd"/>
    </w:p>
    <w:p w14:paraId="779577F9" w14:textId="4238BFFA" w:rsidR="006F7BE6" w:rsidRPr="008B20B2" w:rsidRDefault="00110923" w:rsidP="00C547A5">
      <w:pPr>
        <w:pStyle w:val="NormalHanging12a"/>
        <w:rPr>
          <w:szCs w:val="24"/>
        </w:rPr>
      </w:pPr>
      <w:proofErr w:type="gramStart"/>
      <w:r w:rsidRPr="008B20B2">
        <w:rPr>
          <w:szCs w:val="24"/>
        </w:rPr>
        <w:t>15</w:t>
      </w:r>
      <w:r w:rsidR="006F7BE6" w:rsidRPr="008B20B2">
        <w:rPr>
          <w:szCs w:val="24"/>
        </w:rPr>
        <w:t>.</w:t>
      </w:r>
      <w:r w:rsidR="006F7BE6" w:rsidRPr="008B20B2">
        <w:rPr>
          <w:szCs w:val="24"/>
        </w:rPr>
        <w:tab/>
        <w:t>Calls for a legislative framework setting sectoral water efficiency and water abstraction targets at basin level, based on up-to-date assessments of water availability and climate risks, including a water valuation approach that accounts for ecosystem services and long-term sustainability, and covering all water uses, including industry, energy, agriculture, public institutions and households; underlines the fact that these targets should be ambitious yet adaptable, taking into account the specific circumstances and progress already achieved by each Member State to ensure continued efforts towards efficiency gains across all regions; stresses the importance of efficient and uniform data collection practices across the Member States and all sectors, including through the use of innovative technologies, as well as real-time data collection points for more transparency on water consumption; emphasises the need to carry out an appropriate assessment of the environmental and socio-economic impacts of water use;</w:t>
      </w:r>
      <w:r w:rsidR="00604606" w:rsidRPr="008B20B2">
        <w:rPr>
          <w:szCs w:val="24"/>
        </w:rPr>
        <w:t xml:space="preserve"> stresses that the strategic importance of food production must not be compromised; emphasises that science, research and technology are important for water efficiency and water use as well as for the circular economy in this regard; calls for the creation and promotion of new smart and high-performance irrigation systems, rainwater retention and water from reuse, as well as water-efficient irrigation systems;</w:t>
      </w:r>
      <w:proofErr w:type="gramEnd"/>
    </w:p>
    <w:p w14:paraId="3C288511" w14:textId="1629B097" w:rsidR="006F7BE6" w:rsidRPr="008B20B2" w:rsidRDefault="00110923" w:rsidP="00C547A5">
      <w:pPr>
        <w:pStyle w:val="NormalHanging12a"/>
        <w:rPr>
          <w:szCs w:val="24"/>
        </w:rPr>
      </w:pPr>
      <w:proofErr w:type="gramStart"/>
      <w:r w:rsidRPr="008B20B2">
        <w:rPr>
          <w:szCs w:val="24"/>
        </w:rPr>
        <w:t>16</w:t>
      </w:r>
      <w:r w:rsidR="006F7BE6" w:rsidRPr="008B20B2">
        <w:rPr>
          <w:szCs w:val="24"/>
        </w:rPr>
        <w:t>.</w:t>
      </w:r>
      <w:r w:rsidR="006F7BE6" w:rsidRPr="008B20B2">
        <w:rPr>
          <w:szCs w:val="24"/>
        </w:rPr>
        <w:tab/>
        <w:t>Reiterates the need to develop a common EU methodology for setting water efficiency and water abstraction targets to ensure the sustainable use of available renewable water resources within an integrated water resources management framework which gives due consideration to linkages beyond the water sector through the water-energy-food-ecosystems nexus, thus enabling decision-makers and economic actors to plan the necessary investment to ensure water supply security in an increasingly sustainable manner, while giving due consideration to the characteristics of the water bodies concerned;</w:t>
      </w:r>
      <w:proofErr w:type="gramEnd"/>
    </w:p>
    <w:p w14:paraId="7985AF85" w14:textId="5868515E" w:rsidR="006F7BE6" w:rsidRPr="008B20B2" w:rsidRDefault="00110923" w:rsidP="00C547A5">
      <w:pPr>
        <w:pStyle w:val="NormalHanging12a"/>
        <w:rPr>
          <w:szCs w:val="24"/>
        </w:rPr>
      </w:pPr>
      <w:r w:rsidRPr="008B20B2">
        <w:rPr>
          <w:szCs w:val="24"/>
        </w:rPr>
        <w:t>17</w:t>
      </w:r>
      <w:r w:rsidR="006F7BE6" w:rsidRPr="008B20B2">
        <w:rPr>
          <w:szCs w:val="24"/>
        </w:rPr>
        <w:t>.</w:t>
      </w:r>
      <w:r w:rsidR="006F7BE6" w:rsidRPr="008B20B2">
        <w:rPr>
          <w:szCs w:val="24"/>
        </w:rPr>
        <w:tab/>
        <w:t>Calls for close collaboration on integrated energy and water resource planning and related technologies across all sectors at national, regional and local levels, including between all stakeholders, in order to establish mechanisms for ensuring coherence across water and energy policies;</w:t>
      </w:r>
    </w:p>
    <w:p w14:paraId="18AB730F" w14:textId="35066C0D" w:rsidR="006F7BE6" w:rsidRPr="008B20B2" w:rsidRDefault="00110923" w:rsidP="00C547A5">
      <w:pPr>
        <w:pStyle w:val="NormalHanging12a"/>
        <w:rPr>
          <w:szCs w:val="24"/>
        </w:rPr>
      </w:pPr>
      <w:r w:rsidRPr="008B20B2">
        <w:rPr>
          <w:szCs w:val="24"/>
        </w:rPr>
        <w:t>18</w:t>
      </w:r>
      <w:r w:rsidR="006F7BE6" w:rsidRPr="008B20B2">
        <w:rPr>
          <w:szCs w:val="24"/>
        </w:rPr>
        <w:t>.</w:t>
      </w:r>
      <w:r w:rsidR="006F7BE6" w:rsidRPr="008B20B2">
        <w:rPr>
          <w:szCs w:val="24"/>
        </w:rPr>
        <w:tab/>
        <w:t>Calls on the Commission to put forward a comprehensive policy on sustainable water management for industry based on reducing, recovering, reusing and recycling, including a focus on the use of water-efficient and circular technologies, water recycling, pollutant reduction strategies and the promotion of closed-loop systems;</w:t>
      </w:r>
    </w:p>
    <w:p w14:paraId="0469D61A" w14:textId="526BED96" w:rsidR="006F7BE6" w:rsidRPr="008B20B2" w:rsidRDefault="00110923" w:rsidP="00C547A5">
      <w:pPr>
        <w:pStyle w:val="NormalHanging12a"/>
        <w:rPr>
          <w:szCs w:val="24"/>
        </w:rPr>
      </w:pPr>
      <w:proofErr w:type="gramStart"/>
      <w:r w:rsidRPr="008B20B2">
        <w:rPr>
          <w:szCs w:val="24"/>
        </w:rPr>
        <w:t>19</w:t>
      </w:r>
      <w:r w:rsidR="006F7BE6" w:rsidRPr="008B20B2">
        <w:rPr>
          <w:szCs w:val="24"/>
        </w:rPr>
        <w:t>.</w:t>
      </w:r>
      <w:r w:rsidR="006F7BE6" w:rsidRPr="008B20B2">
        <w:rPr>
          <w:szCs w:val="24"/>
        </w:rPr>
        <w:tab/>
        <w:t xml:space="preserve">Recalls that the growing threat of water scarcity is jeopardising industries and projects that are key to Europe’s competitiveness drive, including semiconductors, data centres, </w:t>
      </w:r>
      <w:r w:rsidR="006F7BE6" w:rsidRPr="008B20B2">
        <w:rPr>
          <w:szCs w:val="24"/>
        </w:rPr>
        <w:lastRenderedPageBreak/>
        <w:t>renewable hydrogen and electric vehicle battery production; notes that these industries will increasingly face pressure to reduce their environmental impact and improve water resource efficiency, including both direct and indirect water usage; calls on the Member States to support water-intensive industries in setting up water-efficiency plans aimed at saving, reusing and recycling water, preventing water pollution and implementing water-efficient technologies; calls on the Commission to incorporate comprehensive water management strategies into relevant EU industrial policies and sector-specific transition pathways, with a particular focus on strategic water-intensive sectors;</w:t>
      </w:r>
      <w:proofErr w:type="gramEnd"/>
    </w:p>
    <w:p w14:paraId="6B475A24" w14:textId="11867C8B" w:rsidR="006F7BE6" w:rsidRPr="008B20B2" w:rsidRDefault="00110923" w:rsidP="00C547A5">
      <w:pPr>
        <w:pStyle w:val="NormalHanging12a"/>
        <w:rPr>
          <w:szCs w:val="24"/>
        </w:rPr>
      </w:pPr>
      <w:r w:rsidRPr="008B20B2">
        <w:rPr>
          <w:szCs w:val="24"/>
        </w:rPr>
        <w:t>20</w:t>
      </w:r>
      <w:r w:rsidR="006F7BE6" w:rsidRPr="008B20B2">
        <w:rPr>
          <w:szCs w:val="24"/>
        </w:rPr>
        <w:t>.</w:t>
      </w:r>
      <w:r w:rsidR="006F7BE6" w:rsidRPr="008B20B2">
        <w:rPr>
          <w:szCs w:val="24"/>
        </w:rPr>
        <w:tab/>
        <w:t>Stresses that knowledge, data, research and technology are key for efficient water use; calls for adequate financial and technical support to be given to the Member States to implement efficient water management measures, including by means of innovative and modern technologies;</w:t>
      </w:r>
    </w:p>
    <w:p w14:paraId="2B5A07D9" w14:textId="6F64AD4C" w:rsidR="006F7BE6" w:rsidRPr="008B20B2" w:rsidRDefault="00110923" w:rsidP="00C547A5">
      <w:pPr>
        <w:pStyle w:val="NormalHanging12a"/>
        <w:rPr>
          <w:szCs w:val="24"/>
        </w:rPr>
      </w:pPr>
      <w:r w:rsidRPr="008B20B2">
        <w:rPr>
          <w:szCs w:val="24"/>
        </w:rPr>
        <w:t>21</w:t>
      </w:r>
      <w:r w:rsidR="006F7BE6" w:rsidRPr="008B20B2">
        <w:rPr>
          <w:szCs w:val="24"/>
        </w:rPr>
        <w:t>.</w:t>
      </w:r>
      <w:r w:rsidR="006F7BE6" w:rsidRPr="008B20B2">
        <w:rPr>
          <w:szCs w:val="24"/>
        </w:rPr>
        <w:tab/>
        <w:t>Welcomes the recommendations of the final report of the Strategic Dialogue on the future of EU agriculture underlining that sustainable farming practices and new business models need to be scaled up to promote more efficient use of natural resources, especially water;</w:t>
      </w:r>
    </w:p>
    <w:p w14:paraId="37EBD18C" w14:textId="04591D6C" w:rsidR="006F7BE6" w:rsidRPr="008B20B2" w:rsidRDefault="00110923" w:rsidP="00C547A5">
      <w:pPr>
        <w:pStyle w:val="NormalHanging12a"/>
        <w:rPr>
          <w:szCs w:val="24"/>
        </w:rPr>
      </w:pPr>
      <w:proofErr w:type="gramStart"/>
      <w:r w:rsidRPr="008B20B2">
        <w:rPr>
          <w:szCs w:val="24"/>
        </w:rPr>
        <w:t>22</w:t>
      </w:r>
      <w:r w:rsidR="006F7BE6" w:rsidRPr="008B20B2">
        <w:rPr>
          <w:szCs w:val="24"/>
        </w:rPr>
        <w:t>.</w:t>
      </w:r>
      <w:r w:rsidR="006F7BE6" w:rsidRPr="008B20B2">
        <w:rPr>
          <w:szCs w:val="24"/>
        </w:rPr>
        <w:tab/>
        <w:t xml:space="preserve">Calls for the transition to a more sustainable and competitive farming model, assisted by the implementation of sustainable practices and innovative solutions that promote biodiversity, reduce chemical inputs and enable water resources to be managed efficiently, including nature-based solutions, regenerative management, smart precision irrigation technologies, digital monitoring systems, advanced treatment methods and smart water distribution networks, optimising consumption and preventing water resource depletion, and that help ensure continued productivity while enabling agriculture to reduce pollution, use pesticides and fertilisers efficiently, improve the hydrological cycle, enhance groundwater recharge and adapt to lower water use; </w:t>
      </w:r>
      <w:r w:rsidR="006F7BE6" w:rsidRPr="008B20B2">
        <w:rPr>
          <w:bCs/>
          <w:iCs/>
          <w:szCs w:val="24"/>
        </w:rPr>
        <w:t>considers that technological solutions can also include measures that can increase water absorption, infiltration and retention in agricultural systems, which are important amid increasing occurrences of both drought and heavy rains;</w:t>
      </w:r>
      <w:proofErr w:type="gramEnd"/>
    </w:p>
    <w:p w14:paraId="6CD2A6CC" w14:textId="69CA5F6B" w:rsidR="006F7BE6" w:rsidRPr="008B20B2" w:rsidRDefault="00110923" w:rsidP="00C547A5">
      <w:pPr>
        <w:pStyle w:val="NormalHanging12a"/>
        <w:rPr>
          <w:szCs w:val="24"/>
        </w:rPr>
      </w:pPr>
      <w:proofErr w:type="gramStart"/>
      <w:r w:rsidRPr="008B20B2">
        <w:rPr>
          <w:szCs w:val="24"/>
        </w:rPr>
        <w:t>23</w:t>
      </w:r>
      <w:r w:rsidR="006F7BE6" w:rsidRPr="008B20B2">
        <w:rPr>
          <w:szCs w:val="24"/>
        </w:rPr>
        <w:t>.</w:t>
      </w:r>
      <w:r w:rsidR="006F7BE6" w:rsidRPr="008B20B2">
        <w:rPr>
          <w:szCs w:val="24"/>
        </w:rPr>
        <w:tab/>
        <w:t>Points out that innovative irrigation solutions and practices can enhance water efficiency in agriculture, gaining an economic advantage while also reducing environmental burdens; notes that farmers generally lack sufficient means and incentives to know about water use by crops, actual irrigation applications, the yield responses of crops to different water management practices, and thus current on-farm water-efficiency levels; calls on the Commission and the Member States to incentivise the uptake and support the maintenance of innovative irrigation solutions such as drip irrigation to allow for an active management of water levels and efficient use of water resources, as well as to promote continuous knowledge exchange, so that all relevant stakeholders can share greater responsibility across the entire water supply chain;</w:t>
      </w:r>
      <w:proofErr w:type="gramEnd"/>
    </w:p>
    <w:p w14:paraId="6855D020" w14:textId="1CF6A6B5" w:rsidR="006F7BE6" w:rsidRPr="008B20B2" w:rsidRDefault="00110923" w:rsidP="00C547A5">
      <w:pPr>
        <w:pStyle w:val="NormalHanging12a"/>
        <w:rPr>
          <w:szCs w:val="24"/>
        </w:rPr>
      </w:pPr>
      <w:proofErr w:type="gramStart"/>
      <w:r w:rsidRPr="008B20B2">
        <w:rPr>
          <w:szCs w:val="24"/>
        </w:rPr>
        <w:t>24</w:t>
      </w:r>
      <w:r w:rsidR="006F7BE6" w:rsidRPr="008B20B2">
        <w:rPr>
          <w:szCs w:val="24"/>
        </w:rPr>
        <w:t>.</w:t>
      </w:r>
      <w:r w:rsidR="006F7BE6" w:rsidRPr="008B20B2">
        <w:rPr>
          <w:szCs w:val="24"/>
        </w:rPr>
        <w:tab/>
      </w:r>
      <w:r w:rsidR="00604606" w:rsidRPr="008B20B2">
        <w:rPr>
          <w:szCs w:val="24"/>
        </w:rPr>
        <w:t xml:space="preserve">Recalls that the use of nutrients such as nitrate and phosphate is essential for food production, as this activity would not be possible without their use; </w:t>
      </w:r>
      <w:r w:rsidR="002518BB" w:rsidRPr="008B20B2">
        <w:rPr>
          <w:szCs w:val="24"/>
        </w:rPr>
        <w:t>r</w:t>
      </w:r>
      <w:r w:rsidR="006F7BE6" w:rsidRPr="008B20B2">
        <w:rPr>
          <w:szCs w:val="24"/>
        </w:rPr>
        <w:t xml:space="preserve">ecommends better consideration of the nutrient cycle in agricultural production and the exploitation of the value in urban wastewater; calls for more research into the effective use of nutrients and the development of nutrient recovery technologies, in order to decrease the Union’s dependence on imported raw materials; recognises the high potential for nutrient recovery from water and calls on the Member States to support the agricultural sector to optimise their nutrient consumption including by using resources (nitrate and </w:t>
      </w:r>
      <w:r w:rsidR="006F7BE6" w:rsidRPr="008B20B2">
        <w:rPr>
          <w:szCs w:val="24"/>
        </w:rPr>
        <w:lastRenderedPageBreak/>
        <w:t>phosphorus) recovered from wastewater treatment plants; calls on the Commission to propose an integrated nutrient management action plan to effectively address loss of valuable agricultural inputs, recycling of nutrients, nutrient pollution and inefficiencies in the nutrient cycle;</w:t>
      </w:r>
      <w:r w:rsidR="00604606" w:rsidRPr="008B20B2">
        <w:rPr>
          <w:szCs w:val="24"/>
        </w:rPr>
        <w:t xml:space="preserve"> calls for the proper and safe recovery of phosphorus from organic sources and for incentivising investments in its recovery and circular nutrient management in accordance with the Commission’s JRC publication</w:t>
      </w:r>
      <w:r w:rsidR="00604606" w:rsidRPr="008B20B2">
        <w:rPr>
          <w:rStyle w:val="FootnoteReference"/>
          <w:szCs w:val="24"/>
        </w:rPr>
        <w:footnoteReference w:id="64"/>
      </w:r>
      <w:r w:rsidR="00604606" w:rsidRPr="008B20B2">
        <w:rPr>
          <w:szCs w:val="24"/>
        </w:rPr>
        <w:t>;</w:t>
      </w:r>
      <w:proofErr w:type="gramEnd"/>
    </w:p>
    <w:p w14:paraId="6EAFE117" w14:textId="4379D292" w:rsidR="00604606" w:rsidRPr="008B20B2" w:rsidRDefault="00110923" w:rsidP="00C547A5">
      <w:pPr>
        <w:pStyle w:val="NormalHanging12a"/>
        <w:rPr>
          <w:szCs w:val="24"/>
        </w:rPr>
      </w:pPr>
      <w:r w:rsidRPr="008B20B2">
        <w:rPr>
          <w:szCs w:val="24"/>
        </w:rPr>
        <w:t>25</w:t>
      </w:r>
      <w:r w:rsidR="00604606" w:rsidRPr="008B20B2">
        <w:rPr>
          <w:szCs w:val="24"/>
        </w:rPr>
        <w:t>.</w:t>
      </w:r>
      <w:r w:rsidR="00604606" w:rsidRPr="008B20B2">
        <w:rPr>
          <w:szCs w:val="24"/>
        </w:rPr>
        <w:tab/>
        <w:t>Stresses that the current Nitrates Directive is due for revision, as outdated provisions promote the use of artificial fertilisers rather than organic manure; calls for an urgent review of the Nitrates Directive before the end of this year, and its revision to promote circular nutrient management;</w:t>
      </w:r>
    </w:p>
    <w:p w14:paraId="3F1E4ABE" w14:textId="3D6624E7" w:rsidR="006F7BE6" w:rsidRPr="008B20B2" w:rsidRDefault="00110923" w:rsidP="00C547A5">
      <w:pPr>
        <w:pStyle w:val="NormalHanging12a"/>
        <w:rPr>
          <w:szCs w:val="24"/>
        </w:rPr>
      </w:pPr>
      <w:proofErr w:type="gramStart"/>
      <w:r w:rsidRPr="008B20B2">
        <w:rPr>
          <w:szCs w:val="24"/>
        </w:rPr>
        <w:t>26</w:t>
      </w:r>
      <w:r w:rsidR="006F7BE6" w:rsidRPr="008B20B2">
        <w:rPr>
          <w:szCs w:val="24"/>
        </w:rPr>
        <w:t>.</w:t>
      </w:r>
      <w:r w:rsidR="006F7BE6" w:rsidRPr="008B20B2">
        <w:rPr>
          <w:szCs w:val="24"/>
        </w:rPr>
        <w:tab/>
        <w:t>Emphasises, in line with the final report of the Strategic Dialogue on the future of EU agriculture, the need to support the transition to regionally adapted crop and seed varieties and the switch to different crops, with reduced water requirements and greater drought resistance, as well as the need to support the adoption of appropriate soil management practices; considers the need for stronger support for scientific research and technological development related to the breeding of new species, to enable the production and supply of foodstuffs to be diversified and their quality enhanced, while raising the level of protection for human health and the environment; notes the potential of plant varieties that are more resistant to water stress and pests and could play a role in reducing water use and could reduce the environmental footprint of crops;</w:t>
      </w:r>
      <w:proofErr w:type="gramEnd"/>
    </w:p>
    <w:p w14:paraId="0826432D" w14:textId="12A27FC6" w:rsidR="006F7BE6" w:rsidRPr="008B20B2" w:rsidRDefault="00110923" w:rsidP="00C547A5">
      <w:pPr>
        <w:pStyle w:val="NormalHanging12a"/>
        <w:rPr>
          <w:szCs w:val="24"/>
        </w:rPr>
      </w:pPr>
      <w:r w:rsidRPr="008B20B2">
        <w:rPr>
          <w:szCs w:val="24"/>
        </w:rPr>
        <w:t>27</w:t>
      </w:r>
      <w:r w:rsidR="006F7BE6" w:rsidRPr="008B20B2">
        <w:rPr>
          <w:szCs w:val="24"/>
        </w:rPr>
        <w:t>.</w:t>
      </w:r>
      <w:r w:rsidR="006F7BE6" w:rsidRPr="008B20B2">
        <w:rPr>
          <w:szCs w:val="24"/>
        </w:rPr>
        <w:tab/>
        <w:t>Calls for financial and technical support for farmers and rural communities, particularly in water-stressed areas, to help them adopt sustainable land management practices that improve soil and water quality, contribute to biodiversity and mitigate climate change; emphasises the need for special attention to be given to regions that are particularly vulnerable to soil degradation and water scarcity;</w:t>
      </w:r>
    </w:p>
    <w:p w14:paraId="6441B25E" w14:textId="5D3F9C5F" w:rsidR="00604606" w:rsidRPr="008B20B2" w:rsidRDefault="00110923" w:rsidP="00C547A5">
      <w:pPr>
        <w:pStyle w:val="NormalHanging12a"/>
        <w:rPr>
          <w:szCs w:val="24"/>
        </w:rPr>
      </w:pPr>
      <w:r w:rsidRPr="008B20B2">
        <w:rPr>
          <w:szCs w:val="24"/>
        </w:rPr>
        <w:t>28</w:t>
      </w:r>
      <w:r w:rsidR="00604606" w:rsidRPr="008B20B2">
        <w:rPr>
          <w:szCs w:val="24"/>
        </w:rPr>
        <w:t>.</w:t>
      </w:r>
      <w:r w:rsidR="00604606" w:rsidRPr="008B20B2">
        <w:rPr>
          <w:szCs w:val="24"/>
        </w:rPr>
        <w:tab/>
        <w:t xml:space="preserve">Acknowledges the significant efforts made by farmers to enhance water quality and emphasises the need for an appropriate timeframe to allow the effects of these measures to </w:t>
      </w:r>
      <w:proofErr w:type="gramStart"/>
      <w:r w:rsidR="00604606" w:rsidRPr="008B20B2">
        <w:rPr>
          <w:szCs w:val="24"/>
        </w:rPr>
        <w:t>be accurately assessed</w:t>
      </w:r>
      <w:proofErr w:type="gramEnd"/>
      <w:r w:rsidR="00604606" w:rsidRPr="008B20B2">
        <w:rPr>
          <w:szCs w:val="24"/>
        </w:rPr>
        <w:t>;</w:t>
      </w:r>
    </w:p>
    <w:p w14:paraId="3EEBDB42" w14:textId="66CCF51F" w:rsidR="006F7BE6" w:rsidRPr="008B20B2" w:rsidRDefault="00110923" w:rsidP="00C547A5">
      <w:pPr>
        <w:pStyle w:val="NormalHanging12a"/>
        <w:rPr>
          <w:szCs w:val="24"/>
        </w:rPr>
      </w:pPr>
      <w:r w:rsidRPr="008B20B2">
        <w:rPr>
          <w:szCs w:val="24"/>
        </w:rPr>
        <w:t>29</w:t>
      </w:r>
      <w:r w:rsidR="006F7BE6" w:rsidRPr="008B20B2">
        <w:rPr>
          <w:szCs w:val="24"/>
        </w:rPr>
        <w:t>.</w:t>
      </w:r>
      <w:r w:rsidR="006F7BE6" w:rsidRPr="008B20B2">
        <w:rPr>
          <w:szCs w:val="24"/>
        </w:rPr>
        <w:tab/>
        <w:t>Points to the success of the agricultural European Innovation Partnership EIP</w:t>
      </w:r>
      <w:r w:rsidR="006F7BE6" w:rsidRPr="008B20B2">
        <w:rPr>
          <w:szCs w:val="24"/>
        </w:rPr>
        <w:noBreakHyphen/>
        <w:t xml:space="preserve">AGRI </w:t>
      </w:r>
      <w:r w:rsidR="005E355D" w:rsidRPr="008B20B2">
        <w:rPr>
          <w:szCs w:val="24"/>
        </w:rPr>
        <w:t xml:space="preserve">Focus Group Agroforestry </w:t>
      </w:r>
      <w:r w:rsidR="006F7BE6" w:rsidRPr="008B20B2">
        <w:rPr>
          <w:szCs w:val="24"/>
        </w:rPr>
        <w:t>and calls for the continuation of knowledge exchange, expertise and peer-to-peer learning via the EU’s Common Agricultural Policy (CAP) Network</w:t>
      </w:r>
      <w:proofErr w:type="gramStart"/>
      <w:r w:rsidR="006F7BE6" w:rsidRPr="008B20B2">
        <w:rPr>
          <w:szCs w:val="24"/>
        </w:rPr>
        <w:t>;</w:t>
      </w:r>
      <w:proofErr w:type="gramEnd"/>
    </w:p>
    <w:p w14:paraId="79473882" w14:textId="1C5E53B1" w:rsidR="006F7BE6" w:rsidRPr="008B20B2" w:rsidRDefault="00110923" w:rsidP="00C547A5">
      <w:pPr>
        <w:pStyle w:val="NormalHanging12a"/>
        <w:rPr>
          <w:szCs w:val="24"/>
        </w:rPr>
      </w:pPr>
      <w:r w:rsidRPr="008B20B2">
        <w:rPr>
          <w:szCs w:val="24"/>
        </w:rPr>
        <w:t>30</w:t>
      </w:r>
      <w:r w:rsidR="006F7BE6" w:rsidRPr="008B20B2">
        <w:rPr>
          <w:szCs w:val="24"/>
        </w:rPr>
        <w:t>.</w:t>
      </w:r>
      <w:r w:rsidR="006F7BE6" w:rsidRPr="008B20B2">
        <w:rPr>
          <w:szCs w:val="24"/>
        </w:rPr>
        <w:tab/>
        <w:t>Notes the links between carbon sinking and water availability, and calls for coherence between the water resilience strategy and carbon farming schemes</w:t>
      </w:r>
      <w:proofErr w:type="gramStart"/>
      <w:r w:rsidR="006F7BE6" w:rsidRPr="008B20B2">
        <w:rPr>
          <w:szCs w:val="24"/>
        </w:rPr>
        <w:t>;</w:t>
      </w:r>
      <w:proofErr w:type="gramEnd"/>
    </w:p>
    <w:p w14:paraId="3C4FC2A5" w14:textId="69BD6605" w:rsidR="006F7BE6" w:rsidRPr="008B20B2" w:rsidRDefault="00110923" w:rsidP="00C547A5">
      <w:pPr>
        <w:pStyle w:val="NormalHanging12a"/>
        <w:rPr>
          <w:szCs w:val="24"/>
        </w:rPr>
      </w:pPr>
      <w:proofErr w:type="gramStart"/>
      <w:r w:rsidRPr="008B20B2">
        <w:rPr>
          <w:szCs w:val="24"/>
        </w:rPr>
        <w:t>31</w:t>
      </w:r>
      <w:r w:rsidR="006F7BE6" w:rsidRPr="008B20B2">
        <w:rPr>
          <w:szCs w:val="24"/>
        </w:rPr>
        <w:t>.</w:t>
      </w:r>
      <w:r w:rsidR="006F7BE6" w:rsidRPr="008B20B2">
        <w:rPr>
          <w:szCs w:val="24"/>
        </w:rPr>
        <w:tab/>
        <w:t xml:space="preserve">Reiterates that the Water Reuse Regulation aims at reducing the pressure on water bodies by setting out provisions on reusing water after appropriate treatment extends its life cycle, thereby preserving water resources; emphasises, however, that regulatory, financial and technological barriers, including the economic competitiveness of reclaimed wastewater, risk management planning and the sharing of responsibilities, contribute to the slow uptake of reuse of reclaimed water for agriculture; calls, </w:t>
      </w:r>
      <w:r w:rsidR="006F7BE6" w:rsidRPr="008B20B2">
        <w:rPr>
          <w:szCs w:val="24"/>
        </w:rPr>
        <w:lastRenderedPageBreak/>
        <w:t>therefore, on the Commission and the Member States to adopt supportive policies, at both the EU and the local level, that incentivise water reuse practices, taking into account the importance of adapting wastewater treatment and quality requirements to the intended water use; notes that treated wastewater also finds valuable applications in various industrial processes and urban contexts, contributing to reducing the pressure on freshwater resources and the conservation of drinking water; calls therefore on the Commission to assess a possible extension of the scope of the Water Reuse Regulation in order to establish, at EU level, minimum water quality standards for safe water reuse for industrial and urban purposes;</w:t>
      </w:r>
      <w:proofErr w:type="gramEnd"/>
    </w:p>
    <w:p w14:paraId="5AEB11AD" w14:textId="21FFBAEA" w:rsidR="006F7BE6" w:rsidRPr="008B20B2" w:rsidRDefault="00110923" w:rsidP="00C547A5">
      <w:pPr>
        <w:pStyle w:val="NormalHanging12a"/>
        <w:rPr>
          <w:szCs w:val="24"/>
        </w:rPr>
      </w:pPr>
      <w:proofErr w:type="gramStart"/>
      <w:r w:rsidRPr="008B20B2">
        <w:rPr>
          <w:szCs w:val="24"/>
        </w:rPr>
        <w:t>32</w:t>
      </w:r>
      <w:r w:rsidR="006F7BE6" w:rsidRPr="008B20B2">
        <w:rPr>
          <w:szCs w:val="24"/>
        </w:rPr>
        <w:t>.</w:t>
      </w:r>
      <w:r w:rsidR="006F7BE6" w:rsidRPr="008B20B2">
        <w:rPr>
          <w:szCs w:val="24"/>
        </w:rPr>
        <w:tab/>
        <w:t>Calls on the Commission and the Member States to specify systems of regulatory and financial incentives for the reuse of treated wastewater in water-intensive sectors and to provide specific funding for the construction of infrastructure connecting wastewater treatment plants and refined water distribution networks; urges a streamlined approach in EU legislation to remove administrative barriers and promote safe and efficient water recycling across the Member States; calls on the Member States to set up national water reuse and saving plans to incentivise cross-sectoral cooperation in water management;</w:t>
      </w:r>
      <w:proofErr w:type="gramEnd"/>
    </w:p>
    <w:p w14:paraId="0711FC9B" w14:textId="6AB26877" w:rsidR="006F7BE6" w:rsidRPr="008B20B2" w:rsidRDefault="00110923" w:rsidP="00C547A5">
      <w:pPr>
        <w:pStyle w:val="NormalHanging12a"/>
        <w:rPr>
          <w:szCs w:val="24"/>
        </w:rPr>
      </w:pPr>
      <w:r w:rsidRPr="008B20B2">
        <w:rPr>
          <w:szCs w:val="24"/>
        </w:rPr>
        <w:t>33</w:t>
      </w:r>
      <w:r w:rsidR="006F7BE6" w:rsidRPr="008B20B2">
        <w:rPr>
          <w:szCs w:val="24"/>
        </w:rPr>
        <w:t>.</w:t>
      </w:r>
      <w:r w:rsidR="006F7BE6" w:rsidRPr="008B20B2">
        <w:rPr>
          <w:szCs w:val="24"/>
        </w:rPr>
        <w:tab/>
        <w:t>Reiterates that reused water could alleviate abstraction from rivers, lakes and groundwater for irrigated agriculture; underlines the fact that reused water can contribute to maintaining base flows and minimum water levels during dry periods;</w:t>
      </w:r>
    </w:p>
    <w:p w14:paraId="58148938" w14:textId="595E85AE" w:rsidR="006F7BE6" w:rsidRPr="008B20B2" w:rsidRDefault="00110923" w:rsidP="00C547A5">
      <w:pPr>
        <w:pStyle w:val="NormalHanging12a"/>
        <w:rPr>
          <w:szCs w:val="24"/>
        </w:rPr>
      </w:pPr>
      <w:proofErr w:type="gramStart"/>
      <w:r w:rsidRPr="008B20B2">
        <w:rPr>
          <w:szCs w:val="24"/>
        </w:rPr>
        <w:t>34</w:t>
      </w:r>
      <w:r w:rsidR="006F7BE6" w:rsidRPr="008B20B2">
        <w:rPr>
          <w:szCs w:val="24"/>
        </w:rPr>
        <w:t>.</w:t>
      </w:r>
      <w:r w:rsidR="006F7BE6" w:rsidRPr="008B20B2">
        <w:rPr>
          <w:szCs w:val="24"/>
        </w:rPr>
        <w:tab/>
        <w:t>Highlights the potential of the building sector to save water, for example, with the help of smart sub-metering systems, efficient greywater systems, reuse of domestic wastewater or rainwater harvesting; stresses that the energy performance of buildings can be enhanced by water efficiency, reducing greenhouse gas emissions; calls on the Member States and local authorities to incentivise water-saving features in new buildings; stresses, in this regard, that water-efficient practices should be factored into urban planning; highlights the fact that harvesting rain water as well as using and reusing water efficiently can improve climate adaptation in cities;</w:t>
      </w:r>
      <w:proofErr w:type="gramEnd"/>
    </w:p>
    <w:p w14:paraId="26E10B0D" w14:textId="1A3B45FF" w:rsidR="006F7BE6" w:rsidRPr="008B20B2" w:rsidRDefault="00110923" w:rsidP="00C547A5">
      <w:pPr>
        <w:pStyle w:val="NormalHanging12a"/>
        <w:rPr>
          <w:szCs w:val="24"/>
        </w:rPr>
      </w:pPr>
      <w:r w:rsidRPr="008B20B2">
        <w:rPr>
          <w:szCs w:val="24"/>
        </w:rPr>
        <w:t>35</w:t>
      </w:r>
      <w:r w:rsidR="006F7BE6" w:rsidRPr="008B20B2">
        <w:rPr>
          <w:szCs w:val="24"/>
        </w:rPr>
        <w:t>.</w:t>
      </w:r>
      <w:r w:rsidR="006F7BE6" w:rsidRPr="008B20B2">
        <w:rPr>
          <w:szCs w:val="24"/>
        </w:rPr>
        <w:tab/>
        <w:t>Calls for the transition, in industry and in the energy and digital sectors, to optimised cooling efficiency and alternative cooling methods that are less water-dependent, in order to ensure significant water savings in these sectors;</w:t>
      </w:r>
    </w:p>
    <w:p w14:paraId="2271C62B" w14:textId="6EF8FCAF" w:rsidR="006F7BE6" w:rsidRPr="008B20B2" w:rsidRDefault="00110923" w:rsidP="00C547A5">
      <w:pPr>
        <w:pStyle w:val="NormalHanging12a"/>
        <w:rPr>
          <w:szCs w:val="24"/>
        </w:rPr>
      </w:pPr>
      <w:proofErr w:type="gramStart"/>
      <w:r w:rsidRPr="008B20B2">
        <w:rPr>
          <w:szCs w:val="24"/>
        </w:rPr>
        <w:t>36</w:t>
      </w:r>
      <w:r w:rsidR="006F7BE6" w:rsidRPr="008B20B2">
        <w:rPr>
          <w:szCs w:val="24"/>
        </w:rPr>
        <w:t>.</w:t>
      </w:r>
      <w:r w:rsidR="006F7BE6" w:rsidRPr="008B20B2">
        <w:rPr>
          <w:szCs w:val="24"/>
        </w:rPr>
        <w:tab/>
        <w:t>Points out that, while households represent 10 % of the overall water consumption in the EU, action on improving domestic water efficiency is also necessary; notes that water-saving technological solutions are readily available and can reduce water consumption in households without compromising comfort or requiring high investment; calls on the Member States to support consumers in transitioning towards such technologies and to strengthen consumer awareness of water consumption and potential efficiency gains by anchoring domestic water efficiency in water, building and consumer policies across the EU;</w:t>
      </w:r>
      <w:proofErr w:type="gramEnd"/>
    </w:p>
    <w:p w14:paraId="01CC2E4D" w14:textId="6102B67D" w:rsidR="006F7BE6" w:rsidRPr="008B20B2" w:rsidRDefault="00110923" w:rsidP="00C547A5">
      <w:pPr>
        <w:pStyle w:val="NormalHanging12a"/>
        <w:rPr>
          <w:szCs w:val="24"/>
        </w:rPr>
      </w:pPr>
      <w:proofErr w:type="gramStart"/>
      <w:r w:rsidRPr="008B20B2">
        <w:rPr>
          <w:szCs w:val="24"/>
        </w:rPr>
        <w:t>37</w:t>
      </w:r>
      <w:r w:rsidR="006F7BE6" w:rsidRPr="008B20B2">
        <w:rPr>
          <w:szCs w:val="24"/>
        </w:rPr>
        <w:t>.</w:t>
      </w:r>
      <w:r w:rsidR="006F7BE6" w:rsidRPr="008B20B2">
        <w:rPr>
          <w:szCs w:val="24"/>
        </w:rPr>
        <w:tab/>
        <w:t xml:space="preserve">Notes that the leakage rates from pipes are high in some Member States, which increases the total share of domestic water consumption; welcomes the provisions of the new Drinking Water Directive on leakage rates and the ongoing work of the Commission to evaluate those rates and set threshold values that will trigger action in the Member States concerned; calls on the Member States to urgently tackle leakage in water supply networks and to fully implement the monitoring and reporting requirements of the Drinking Water Directive, so that the Commission can set a </w:t>
      </w:r>
      <w:r w:rsidR="006F7BE6" w:rsidRPr="008B20B2">
        <w:rPr>
          <w:szCs w:val="24"/>
        </w:rPr>
        <w:lastRenderedPageBreak/>
        <w:t>threshold value for leakage by January 2028; emphasises the need for sustainable urban irrigation networks to be modernised, to curb leakages and reduce their water footprint; calls on the Member States to regularly inform the public about the efficiency and effectiveness of their water supplies;</w:t>
      </w:r>
      <w:proofErr w:type="gramEnd"/>
    </w:p>
    <w:p w14:paraId="1118E8D0" w14:textId="401FCF6C" w:rsidR="006F7BE6" w:rsidRPr="008B20B2" w:rsidRDefault="00110923" w:rsidP="00C547A5">
      <w:pPr>
        <w:pStyle w:val="NormalHanging12a"/>
        <w:rPr>
          <w:szCs w:val="24"/>
        </w:rPr>
      </w:pPr>
      <w:r w:rsidRPr="008B20B2">
        <w:rPr>
          <w:szCs w:val="24"/>
        </w:rPr>
        <w:t>38</w:t>
      </w:r>
      <w:r w:rsidR="006F7BE6" w:rsidRPr="008B20B2">
        <w:rPr>
          <w:szCs w:val="24"/>
        </w:rPr>
        <w:t>.</w:t>
      </w:r>
      <w:r w:rsidR="006F7BE6" w:rsidRPr="008B20B2">
        <w:rPr>
          <w:szCs w:val="24"/>
        </w:rPr>
        <w:tab/>
        <w:t>Points out that public sector organisations provide significant untapped potential for saving water by virtue of their size or their nature as public organisations; believes that the public sector should act as a role model for other sectors;</w:t>
      </w:r>
    </w:p>
    <w:p w14:paraId="03A826D2" w14:textId="1F653F4C" w:rsidR="006F7BE6" w:rsidRPr="008B20B2" w:rsidRDefault="00110923" w:rsidP="00C547A5">
      <w:pPr>
        <w:pStyle w:val="NormalHanging12a"/>
        <w:rPr>
          <w:szCs w:val="24"/>
        </w:rPr>
      </w:pPr>
      <w:r w:rsidRPr="008B20B2">
        <w:rPr>
          <w:szCs w:val="24"/>
        </w:rPr>
        <w:t>39</w:t>
      </w:r>
      <w:r w:rsidR="006F7BE6" w:rsidRPr="008B20B2">
        <w:rPr>
          <w:szCs w:val="24"/>
        </w:rPr>
        <w:t>.</w:t>
      </w:r>
      <w:r w:rsidR="006F7BE6" w:rsidRPr="008B20B2">
        <w:rPr>
          <w:szCs w:val="24"/>
        </w:rPr>
        <w:tab/>
        <w:t>Calls on the Commission and the Member States to promote easily accessible and free information, training, advisory programmes and information campaigns aimed at raising public awareness of sustainable water resource management;</w:t>
      </w:r>
    </w:p>
    <w:p w14:paraId="64E5F3B2" w14:textId="0A3A1104" w:rsidR="006F7BE6" w:rsidRPr="008B20B2" w:rsidRDefault="00110923" w:rsidP="00C547A5">
      <w:pPr>
        <w:pStyle w:val="NormalHanging12a"/>
        <w:rPr>
          <w:szCs w:val="24"/>
        </w:rPr>
      </w:pPr>
      <w:r w:rsidRPr="008B20B2">
        <w:rPr>
          <w:szCs w:val="24"/>
        </w:rPr>
        <w:t>40</w:t>
      </w:r>
      <w:r w:rsidR="006F7BE6" w:rsidRPr="008B20B2">
        <w:rPr>
          <w:szCs w:val="24"/>
        </w:rPr>
        <w:t>.</w:t>
      </w:r>
      <w:r w:rsidR="006F7BE6" w:rsidRPr="008B20B2">
        <w:rPr>
          <w:szCs w:val="24"/>
        </w:rPr>
        <w:tab/>
        <w:t xml:space="preserve">Recommends </w:t>
      </w:r>
      <w:proofErr w:type="gramStart"/>
      <w:r w:rsidR="006F7BE6" w:rsidRPr="008B20B2">
        <w:rPr>
          <w:szCs w:val="24"/>
        </w:rPr>
        <w:t>that water-efficiency aspects</w:t>
      </w:r>
      <w:proofErr w:type="gramEnd"/>
      <w:r w:rsidR="006F7BE6" w:rsidRPr="008B20B2">
        <w:rPr>
          <w:szCs w:val="24"/>
        </w:rPr>
        <w:t>, such as reductions in water loss and reuse of water, be integrated in the upcoming revision of the public procurement framework;</w:t>
      </w:r>
    </w:p>
    <w:p w14:paraId="64C2D059" w14:textId="77777777" w:rsidR="006F7BE6" w:rsidRPr="008B20B2" w:rsidRDefault="006F7BE6" w:rsidP="00C547A5">
      <w:pPr>
        <w:pStyle w:val="Normal12a24b"/>
        <w:widowControl/>
        <w:spacing w:before="0"/>
        <w:ind w:left="567" w:hanging="567"/>
        <w:rPr>
          <w:szCs w:val="24"/>
        </w:rPr>
      </w:pPr>
      <w:r w:rsidRPr="008B20B2">
        <w:rPr>
          <w:rStyle w:val="BoldItalic"/>
          <w:szCs w:val="24"/>
        </w:rPr>
        <w:t>Water pollution</w:t>
      </w:r>
    </w:p>
    <w:p w14:paraId="20BFDA9F" w14:textId="70AB8816" w:rsidR="006F7BE6" w:rsidRPr="008B20B2" w:rsidRDefault="00110923" w:rsidP="00C547A5">
      <w:pPr>
        <w:pStyle w:val="NormalHanging12a"/>
        <w:rPr>
          <w:szCs w:val="24"/>
        </w:rPr>
      </w:pPr>
      <w:r w:rsidRPr="008B20B2">
        <w:rPr>
          <w:szCs w:val="24"/>
        </w:rPr>
        <w:t>41</w:t>
      </w:r>
      <w:r w:rsidR="006F7BE6" w:rsidRPr="008B20B2">
        <w:rPr>
          <w:szCs w:val="24"/>
        </w:rPr>
        <w:t>.</w:t>
      </w:r>
      <w:r w:rsidR="006F7BE6" w:rsidRPr="008B20B2">
        <w:rPr>
          <w:szCs w:val="24"/>
        </w:rPr>
        <w:tab/>
        <w:t>Underlines the fact that the existing EU water policy framework is designed to address the effective management of water resources and the protection and restoration of freshwater and marine ecosystems, but that its poor implementation and enforcement, insufficient funding and lack of proper cost-benefit analyses of the implementation measures undermine its effectiveness;</w:t>
      </w:r>
    </w:p>
    <w:p w14:paraId="7B32DC00" w14:textId="7F90B8B0" w:rsidR="006F7BE6" w:rsidRPr="008B20B2" w:rsidRDefault="00110923" w:rsidP="00C547A5">
      <w:pPr>
        <w:pStyle w:val="NormalHanging12a"/>
        <w:rPr>
          <w:szCs w:val="24"/>
        </w:rPr>
      </w:pPr>
      <w:proofErr w:type="gramStart"/>
      <w:r w:rsidRPr="008B20B2">
        <w:rPr>
          <w:szCs w:val="24"/>
        </w:rPr>
        <w:t>42</w:t>
      </w:r>
      <w:r w:rsidR="006F7BE6" w:rsidRPr="008B20B2">
        <w:rPr>
          <w:szCs w:val="24"/>
        </w:rPr>
        <w:t>.</w:t>
      </w:r>
      <w:r w:rsidR="006F7BE6" w:rsidRPr="008B20B2">
        <w:rPr>
          <w:szCs w:val="24"/>
        </w:rPr>
        <w:tab/>
        <w:t>Calls on the Commission and the Member States to implement and enforce the current legislation, in particular the WFD and its ‘daughter’ directives (the Groundwater Directive and the Environmental Quality Standards Directive), with a particular focus on strengthening the monitoring and reporting mechanisms to ensure that all Member States consistently implement the required water protection measures; recalls the need for sufficient funding to implement these acts;</w:t>
      </w:r>
      <w:proofErr w:type="gramEnd"/>
    </w:p>
    <w:p w14:paraId="692EEED3" w14:textId="6E0A2C26" w:rsidR="006F7BE6" w:rsidRPr="008B20B2" w:rsidRDefault="00110923" w:rsidP="00C547A5">
      <w:pPr>
        <w:pStyle w:val="NormalHanging12a"/>
        <w:rPr>
          <w:szCs w:val="24"/>
        </w:rPr>
      </w:pPr>
      <w:r w:rsidRPr="008B20B2">
        <w:rPr>
          <w:szCs w:val="24"/>
        </w:rPr>
        <w:t>43</w:t>
      </w:r>
      <w:r w:rsidR="006F7BE6" w:rsidRPr="008B20B2">
        <w:rPr>
          <w:szCs w:val="24"/>
        </w:rPr>
        <w:t>.</w:t>
      </w:r>
      <w:r w:rsidR="006F7BE6" w:rsidRPr="008B20B2">
        <w:rPr>
          <w:szCs w:val="24"/>
        </w:rPr>
        <w:tab/>
        <w:t>Stresses that the chemical pollution of surface water and groundwater poses a threat to the aquatic environment, with effects such as acute and chronic toxicity in aquatic organisms, accumulation of pollutants in the ecosystem and loss of habitats and biodiversity, as well as to human health;</w:t>
      </w:r>
    </w:p>
    <w:p w14:paraId="488CF430" w14:textId="56CEBF4B" w:rsidR="006F7BE6" w:rsidRPr="008B20B2" w:rsidRDefault="00110923" w:rsidP="00C547A5">
      <w:pPr>
        <w:pStyle w:val="NormalHanging12a"/>
        <w:rPr>
          <w:szCs w:val="24"/>
        </w:rPr>
      </w:pPr>
      <w:r w:rsidRPr="008B20B2">
        <w:rPr>
          <w:szCs w:val="24"/>
        </w:rPr>
        <w:t>44</w:t>
      </w:r>
      <w:r w:rsidR="006F7BE6" w:rsidRPr="008B20B2">
        <w:rPr>
          <w:szCs w:val="24"/>
        </w:rPr>
        <w:t>.</w:t>
      </w:r>
      <w:r w:rsidR="006F7BE6" w:rsidRPr="008B20B2">
        <w:rPr>
          <w:szCs w:val="24"/>
        </w:rPr>
        <w:tab/>
        <w:t xml:space="preserve">Calls for the establishment of comprehensive EU-wide quality </w:t>
      </w:r>
      <w:r w:rsidR="00604606" w:rsidRPr="008B20B2">
        <w:rPr>
          <w:szCs w:val="24"/>
        </w:rPr>
        <w:t xml:space="preserve">standards </w:t>
      </w:r>
      <w:r w:rsidR="006F7BE6" w:rsidRPr="008B20B2">
        <w:rPr>
          <w:szCs w:val="24"/>
        </w:rPr>
        <w:t>for PFAS in groundwater and surface water; stresses that respective updates of the relevant directives are essential for safeguarding water quality and achieving good chemical status for water bodies as mandated under the WFD;</w:t>
      </w:r>
    </w:p>
    <w:p w14:paraId="62809F9D" w14:textId="3D59091E" w:rsidR="006F7BE6" w:rsidRPr="008B20B2" w:rsidRDefault="00110923" w:rsidP="00C547A5">
      <w:pPr>
        <w:pStyle w:val="NormalHanging12a"/>
        <w:rPr>
          <w:szCs w:val="24"/>
        </w:rPr>
      </w:pPr>
      <w:proofErr w:type="gramStart"/>
      <w:r w:rsidRPr="008B20B2">
        <w:rPr>
          <w:szCs w:val="24"/>
        </w:rPr>
        <w:t>45</w:t>
      </w:r>
      <w:r w:rsidR="006F7BE6" w:rsidRPr="008B20B2">
        <w:rPr>
          <w:szCs w:val="24"/>
        </w:rPr>
        <w:t>.</w:t>
      </w:r>
      <w:r w:rsidR="006F7BE6" w:rsidRPr="008B20B2">
        <w:rPr>
          <w:szCs w:val="24"/>
        </w:rPr>
        <w:tab/>
        <w:t xml:space="preserve">Insists that essential uses of PFAS </w:t>
      </w:r>
      <w:r w:rsidR="00604606" w:rsidRPr="008B20B2">
        <w:rPr>
          <w:szCs w:val="24"/>
        </w:rPr>
        <w:t xml:space="preserve">in critical sectors, such as </w:t>
      </w:r>
      <w:r w:rsidR="006F7BE6" w:rsidRPr="008B20B2">
        <w:rPr>
          <w:szCs w:val="24"/>
        </w:rPr>
        <w:t>medical devices, pharmaceuticals and products necessary for the</w:t>
      </w:r>
      <w:r w:rsidR="00604606" w:rsidRPr="008B20B2">
        <w:rPr>
          <w:szCs w:val="24"/>
        </w:rPr>
        <w:t xml:space="preserve"> twin</w:t>
      </w:r>
      <w:r w:rsidR="006F7BE6" w:rsidRPr="008B20B2">
        <w:rPr>
          <w:szCs w:val="24"/>
        </w:rPr>
        <w:t xml:space="preserve"> transition to </w:t>
      </w:r>
      <w:r w:rsidR="001612DC" w:rsidRPr="008B20B2">
        <w:rPr>
          <w:szCs w:val="24"/>
        </w:rPr>
        <w:t xml:space="preserve">a </w:t>
      </w:r>
      <w:r w:rsidR="006F7BE6" w:rsidRPr="008B20B2">
        <w:rPr>
          <w:szCs w:val="24"/>
        </w:rPr>
        <w:t xml:space="preserve">climate </w:t>
      </w:r>
      <w:r w:rsidR="001612DC" w:rsidRPr="008B20B2">
        <w:rPr>
          <w:szCs w:val="24"/>
        </w:rPr>
        <w:t>neutral and digital economy</w:t>
      </w:r>
      <w:r w:rsidR="006F7BE6" w:rsidRPr="008B20B2">
        <w:rPr>
          <w:szCs w:val="24"/>
        </w:rPr>
        <w:t>, are not endangered</w:t>
      </w:r>
      <w:r w:rsidR="001612DC" w:rsidRPr="008B20B2">
        <w:rPr>
          <w:szCs w:val="24"/>
        </w:rPr>
        <w:t xml:space="preserve"> in the context of upcoming legislative and non-legislative proposals</w:t>
      </w:r>
      <w:r w:rsidR="006F7BE6" w:rsidRPr="008B20B2">
        <w:rPr>
          <w:szCs w:val="24"/>
        </w:rPr>
        <w:t xml:space="preserve">; calls on the Commission to propose to phase out forever chemicals (PFAS) </w:t>
      </w:r>
      <w:r w:rsidR="001612DC" w:rsidRPr="008B20B2">
        <w:rPr>
          <w:szCs w:val="24"/>
        </w:rPr>
        <w:t xml:space="preserve">– starting with </w:t>
      </w:r>
      <w:r w:rsidR="006F7BE6" w:rsidRPr="008B20B2">
        <w:rPr>
          <w:szCs w:val="24"/>
        </w:rPr>
        <w:t xml:space="preserve">consumer goods </w:t>
      </w:r>
      <w:r w:rsidR="001612DC" w:rsidRPr="008B20B2">
        <w:rPr>
          <w:szCs w:val="24"/>
        </w:rPr>
        <w:t xml:space="preserve">– linked to harmful effects on </w:t>
      </w:r>
      <w:r w:rsidR="006F7BE6" w:rsidRPr="008B20B2">
        <w:rPr>
          <w:szCs w:val="24"/>
        </w:rPr>
        <w:t xml:space="preserve">human health and the environment, </w:t>
      </w:r>
      <w:r w:rsidR="001612DC" w:rsidRPr="008B20B2">
        <w:rPr>
          <w:szCs w:val="24"/>
        </w:rPr>
        <w:t xml:space="preserve">based on scientific evidence, allowing their use </w:t>
      </w:r>
      <w:r w:rsidR="006F7BE6" w:rsidRPr="008B20B2">
        <w:rPr>
          <w:szCs w:val="24"/>
        </w:rPr>
        <w:t xml:space="preserve">where there are </w:t>
      </w:r>
      <w:r w:rsidR="001612DC" w:rsidRPr="008B20B2">
        <w:rPr>
          <w:szCs w:val="24"/>
        </w:rPr>
        <w:t xml:space="preserve">no </w:t>
      </w:r>
      <w:r w:rsidR="006F7BE6" w:rsidRPr="008B20B2">
        <w:rPr>
          <w:szCs w:val="24"/>
        </w:rPr>
        <w:t>safe alternatives;</w:t>
      </w:r>
      <w:r w:rsidR="001612DC" w:rsidRPr="008B20B2">
        <w:rPr>
          <w:szCs w:val="24"/>
        </w:rPr>
        <w:t xml:space="preserve"> underlines the need to scale up investments and accelerate the research and development of equivalent and safe alternatives;</w:t>
      </w:r>
      <w:proofErr w:type="gramEnd"/>
    </w:p>
    <w:p w14:paraId="7B78437E" w14:textId="1BBFABD4" w:rsidR="006F7BE6" w:rsidRPr="008B20B2" w:rsidRDefault="00110923" w:rsidP="00C547A5">
      <w:pPr>
        <w:pStyle w:val="NormalHanging12a"/>
        <w:rPr>
          <w:szCs w:val="24"/>
        </w:rPr>
      </w:pPr>
      <w:r w:rsidRPr="008B20B2">
        <w:rPr>
          <w:szCs w:val="24"/>
        </w:rPr>
        <w:t>46</w:t>
      </w:r>
      <w:r w:rsidR="006F7BE6" w:rsidRPr="008B20B2">
        <w:rPr>
          <w:szCs w:val="24"/>
        </w:rPr>
        <w:t>.</w:t>
      </w:r>
      <w:r w:rsidR="006F7BE6" w:rsidRPr="008B20B2">
        <w:rPr>
          <w:szCs w:val="24"/>
        </w:rPr>
        <w:tab/>
        <w:t>Calls on the Commission to propose updated limits on PFAS in drinking water, taking into account the latest scientific knowledge</w:t>
      </w:r>
      <w:proofErr w:type="gramStart"/>
      <w:r w:rsidR="006F7BE6" w:rsidRPr="008B20B2">
        <w:rPr>
          <w:szCs w:val="24"/>
        </w:rPr>
        <w:t>;</w:t>
      </w:r>
      <w:proofErr w:type="gramEnd"/>
    </w:p>
    <w:p w14:paraId="4FC22378" w14:textId="232F9505" w:rsidR="006F7BE6" w:rsidRPr="008B20B2" w:rsidRDefault="00110923" w:rsidP="00C547A5">
      <w:pPr>
        <w:pStyle w:val="NormalHanging12a"/>
        <w:rPr>
          <w:szCs w:val="24"/>
        </w:rPr>
      </w:pPr>
      <w:r w:rsidRPr="008B20B2">
        <w:rPr>
          <w:szCs w:val="24"/>
        </w:rPr>
        <w:lastRenderedPageBreak/>
        <w:t>47</w:t>
      </w:r>
      <w:r w:rsidR="006F7BE6" w:rsidRPr="008B20B2">
        <w:rPr>
          <w:szCs w:val="24"/>
        </w:rPr>
        <w:t>.</w:t>
      </w:r>
      <w:r w:rsidR="006F7BE6" w:rsidRPr="008B20B2">
        <w:rPr>
          <w:szCs w:val="24"/>
        </w:rPr>
        <w:tab/>
        <w:t xml:space="preserve">Emphasises the urgency of addressing, primarily at the source, and effectively monitoring pollution from pharmaceuticals, </w:t>
      </w:r>
      <w:proofErr w:type="spellStart"/>
      <w:r w:rsidR="006F7BE6" w:rsidRPr="008B20B2">
        <w:rPr>
          <w:szCs w:val="24"/>
        </w:rPr>
        <w:t>bisphenols</w:t>
      </w:r>
      <w:proofErr w:type="spellEnd"/>
      <w:r w:rsidR="006F7BE6" w:rsidRPr="008B20B2">
        <w:rPr>
          <w:szCs w:val="24"/>
        </w:rPr>
        <w:t>, antimicrobial resistance genes, persistent organic pollutants and other existing and emerging pollutants, to align with the EU’s zero pollution ambition and the goal of achieving good chemical status for all water bodies;</w:t>
      </w:r>
    </w:p>
    <w:p w14:paraId="65D7A59B" w14:textId="7374B2B6" w:rsidR="006F7BE6" w:rsidRPr="008B20B2" w:rsidRDefault="00110923" w:rsidP="00C547A5">
      <w:pPr>
        <w:pStyle w:val="NormalHanging12a"/>
        <w:rPr>
          <w:szCs w:val="24"/>
        </w:rPr>
      </w:pPr>
      <w:proofErr w:type="gramStart"/>
      <w:r w:rsidRPr="008B20B2">
        <w:rPr>
          <w:szCs w:val="24"/>
        </w:rPr>
        <w:t>48</w:t>
      </w:r>
      <w:r w:rsidR="006F7BE6" w:rsidRPr="008B20B2">
        <w:rPr>
          <w:szCs w:val="24"/>
        </w:rPr>
        <w:t>.</w:t>
      </w:r>
      <w:r w:rsidR="006F7BE6" w:rsidRPr="008B20B2">
        <w:rPr>
          <w:szCs w:val="24"/>
        </w:rPr>
        <w:tab/>
        <w:t>Calls on the Commission to close the gaps with enhanced funding and the enforcement of current laws, and the integration of circular economy principles to mitigate pollution at its source and safeguard water ecosystems for future generations; underscores the fact that antibiotic-resistant bacteria and certain emerging pollutants remain insufficiently addressed, necessitating further innovation and investment; emphasises the need for all sectors to apply sustainable production processes and circular practices, proactively preventing pollutants from entering water systems;</w:t>
      </w:r>
      <w:proofErr w:type="gramEnd"/>
    </w:p>
    <w:p w14:paraId="1CF9248C" w14:textId="5EF8DE69" w:rsidR="006F7BE6" w:rsidRPr="008B20B2" w:rsidRDefault="00110923" w:rsidP="00C547A5">
      <w:pPr>
        <w:pStyle w:val="NormalHanging12a"/>
        <w:rPr>
          <w:szCs w:val="24"/>
        </w:rPr>
      </w:pPr>
      <w:proofErr w:type="gramStart"/>
      <w:r w:rsidRPr="008B20B2">
        <w:rPr>
          <w:szCs w:val="24"/>
        </w:rPr>
        <w:t>49</w:t>
      </w:r>
      <w:r w:rsidR="006F7BE6" w:rsidRPr="008B20B2">
        <w:rPr>
          <w:szCs w:val="24"/>
        </w:rPr>
        <w:t>.</w:t>
      </w:r>
      <w:r w:rsidR="006F7BE6" w:rsidRPr="008B20B2">
        <w:rPr>
          <w:szCs w:val="24"/>
        </w:rPr>
        <w:tab/>
        <w:t xml:space="preserve">Recalls that </w:t>
      </w:r>
      <w:proofErr w:type="spellStart"/>
      <w:r w:rsidR="006F7BE6" w:rsidRPr="008B20B2">
        <w:rPr>
          <w:szCs w:val="24"/>
        </w:rPr>
        <w:t>microplastics</w:t>
      </w:r>
      <w:proofErr w:type="spellEnd"/>
      <w:r w:rsidR="006F7BE6" w:rsidRPr="008B20B2">
        <w:rPr>
          <w:szCs w:val="24"/>
        </w:rPr>
        <w:t xml:space="preserve"> may enter drinking water sources in a number of ways: from surface run-off (for example, after a rain event) to wastewater effluent (both treated and untreated), combined sewer overflows, industrial effluent, degraded plastic waste and atmospheric deposition; calls on the Commission to put forward, in line with the requirements of the Drinking Water Directive, a full risk assessment of </w:t>
      </w:r>
      <w:proofErr w:type="spellStart"/>
      <w:r w:rsidR="006F7BE6" w:rsidRPr="008B20B2">
        <w:rPr>
          <w:szCs w:val="24"/>
        </w:rPr>
        <w:t>microplastics</w:t>
      </w:r>
      <w:proofErr w:type="spellEnd"/>
      <w:r w:rsidR="006F7BE6" w:rsidRPr="008B20B2">
        <w:rPr>
          <w:szCs w:val="24"/>
        </w:rPr>
        <w:t xml:space="preserve"> in drinking water, while continuously working on reliable and robust sampling and analytical methods in order to appropriately address the potential threat of this emerging pollutant to sources of water intended for human consumption;</w:t>
      </w:r>
      <w:proofErr w:type="gramEnd"/>
    </w:p>
    <w:p w14:paraId="1CFBBE4B" w14:textId="0C794A60" w:rsidR="006F7BE6" w:rsidRPr="008B20B2" w:rsidRDefault="00110923" w:rsidP="00C547A5">
      <w:pPr>
        <w:pStyle w:val="NormalHanging12a"/>
        <w:rPr>
          <w:szCs w:val="24"/>
        </w:rPr>
      </w:pPr>
      <w:r w:rsidRPr="008B20B2">
        <w:rPr>
          <w:szCs w:val="24"/>
        </w:rPr>
        <w:t>50</w:t>
      </w:r>
      <w:r w:rsidR="006F7BE6" w:rsidRPr="008B20B2">
        <w:rPr>
          <w:szCs w:val="24"/>
        </w:rPr>
        <w:t>.</w:t>
      </w:r>
      <w:r w:rsidR="006F7BE6" w:rsidRPr="008B20B2">
        <w:rPr>
          <w:szCs w:val="24"/>
        </w:rPr>
        <w:tab/>
        <w:t xml:space="preserve">Emphasises the need to improve the monitoring and regulation of plastic pollution in freshwater and marine environments, with particular attention to </w:t>
      </w:r>
      <w:proofErr w:type="spellStart"/>
      <w:r w:rsidR="006F7BE6" w:rsidRPr="008B20B2">
        <w:rPr>
          <w:szCs w:val="24"/>
        </w:rPr>
        <w:t>microplastics</w:t>
      </w:r>
      <w:proofErr w:type="spellEnd"/>
      <w:r w:rsidR="006F7BE6" w:rsidRPr="008B20B2">
        <w:rPr>
          <w:szCs w:val="24"/>
        </w:rPr>
        <w:t xml:space="preserve"> and single-use plastics; encourages the Commission to assess current enforcement mechanisms and consider further measures to protect water quality;</w:t>
      </w:r>
    </w:p>
    <w:p w14:paraId="00BFF5E7" w14:textId="7D665AD9" w:rsidR="006F7BE6" w:rsidRPr="008B20B2" w:rsidRDefault="00110923" w:rsidP="00C547A5">
      <w:pPr>
        <w:pStyle w:val="NormalHanging12a"/>
        <w:rPr>
          <w:szCs w:val="24"/>
        </w:rPr>
      </w:pPr>
      <w:r w:rsidRPr="008B20B2">
        <w:rPr>
          <w:szCs w:val="24"/>
        </w:rPr>
        <w:t>51</w:t>
      </w:r>
      <w:r w:rsidR="006F7BE6" w:rsidRPr="008B20B2">
        <w:rPr>
          <w:szCs w:val="24"/>
        </w:rPr>
        <w:t>.</w:t>
      </w:r>
      <w:r w:rsidR="006F7BE6" w:rsidRPr="008B20B2">
        <w:rPr>
          <w:szCs w:val="24"/>
        </w:rPr>
        <w:tab/>
        <w:t xml:space="preserve">Calls on the stakeholders to develop safe water contact materials, to substitute BPA and other </w:t>
      </w:r>
      <w:proofErr w:type="spellStart"/>
      <w:r w:rsidR="006F7BE6" w:rsidRPr="008B20B2">
        <w:rPr>
          <w:szCs w:val="24"/>
        </w:rPr>
        <w:t>bisphenols</w:t>
      </w:r>
      <w:proofErr w:type="spellEnd"/>
      <w:r w:rsidR="006F7BE6" w:rsidRPr="008B20B2">
        <w:rPr>
          <w:szCs w:val="24"/>
        </w:rPr>
        <w:t xml:space="preserve"> and ensure compliance with Regulation (E</w:t>
      </w:r>
      <w:r w:rsidR="00160640" w:rsidRPr="008B20B2">
        <w:rPr>
          <w:szCs w:val="24"/>
        </w:rPr>
        <w:t>C</w:t>
      </w:r>
      <w:r w:rsidR="006F7BE6" w:rsidRPr="008B20B2">
        <w:rPr>
          <w:szCs w:val="24"/>
        </w:rPr>
        <w:t>)</w:t>
      </w:r>
      <w:r w:rsidR="00160640" w:rsidRPr="008B20B2">
        <w:rPr>
          <w:szCs w:val="24"/>
        </w:rPr>
        <w:t xml:space="preserve"> No</w:t>
      </w:r>
      <w:r w:rsidR="006F7BE6" w:rsidRPr="008B20B2">
        <w:rPr>
          <w:szCs w:val="24"/>
        </w:rPr>
        <w:t xml:space="preserve"> 1935/2004 on materials and articles intended to come into contact with food</w:t>
      </w:r>
      <w:r w:rsidR="006F7BE6" w:rsidRPr="008B20B2">
        <w:rPr>
          <w:rStyle w:val="FootnoteReference"/>
          <w:szCs w:val="24"/>
        </w:rPr>
        <w:footnoteReference w:id="65"/>
      </w:r>
      <w:r w:rsidR="006F7BE6" w:rsidRPr="008B20B2">
        <w:rPr>
          <w:szCs w:val="24"/>
        </w:rPr>
        <w:t xml:space="preserve"> and the recently adopted provisions as regards the use of BPA and other </w:t>
      </w:r>
      <w:proofErr w:type="spellStart"/>
      <w:r w:rsidR="006F7BE6" w:rsidRPr="008B20B2">
        <w:rPr>
          <w:szCs w:val="24"/>
        </w:rPr>
        <w:t>bisphenols</w:t>
      </w:r>
      <w:proofErr w:type="spellEnd"/>
      <w:r w:rsidR="006F7BE6" w:rsidRPr="008B20B2">
        <w:rPr>
          <w:szCs w:val="24"/>
        </w:rPr>
        <w:t xml:space="preserve"> and </w:t>
      </w:r>
      <w:proofErr w:type="spellStart"/>
      <w:r w:rsidR="006F7BE6" w:rsidRPr="008B20B2">
        <w:rPr>
          <w:szCs w:val="24"/>
        </w:rPr>
        <w:t>bisphenol</w:t>
      </w:r>
      <w:proofErr w:type="spellEnd"/>
      <w:r w:rsidR="006F7BE6" w:rsidRPr="008B20B2">
        <w:rPr>
          <w:szCs w:val="24"/>
        </w:rPr>
        <w:t xml:space="preserve"> derivatives (Commission Regulation (EU) 2024/3190);</w:t>
      </w:r>
    </w:p>
    <w:p w14:paraId="5F494A4D" w14:textId="04211CBF" w:rsidR="006F7BE6" w:rsidRPr="008B20B2" w:rsidRDefault="00110923" w:rsidP="00C547A5">
      <w:pPr>
        <w:pStyle w:val="NormalHanging12a"/>
        <w:rPr>
          <w:szCs w:val="24"/>
        </w:rPr>
      </w:pPr>
      <w:proofErr w:type="gramStart"/>
      <w:r w:rsidRPr="008B20B2">
        <w:rPr>
          <w:szCs w:val="24"/>
        </w:rPr>
        <w:t>52</w:t>
      </w:r>
      <w:r w:rsidR="006F7BE6" w:rsidRPr="008B20B2">
        <w:rPr>
          <w:szCs w:val="24"/>
        </w:rPr>
        <w:t>.</w:t>
      </w:r>
      <w:r w:rsidR="006F7BE6" w:rsidRPr="008B20B2">
        <w:rPr>
          <w:szCs w:val="24"/>
        </w:rPr>
        <w:tab/>
        <w:t xml:space="preserve">Recalls that the revised Urban Wastewater Treatment Directive, in effect since 1 January 2025, imposes new obligations regarding water purification, requiring pharmaceutical and cosmetic producers to cover at least 80 % of the costs of removing </w:t>
      </w:r>
      <w:proofErr w:type="spellStart"/>
      <w:r w:rsidR="006F7BE6" w:rsidRPr="008B20B2">
        <w:rPr>
          <w:szCs w:val="24"/>
        </w:rPr>
        <w:t>micropollutants</w:t>
      </w:r>
      <w:proofErr w:type="spellEnd"/>
      <w:r w:rsidR="006F7BE6" w:rsidRPr="008B20B2">
        <w:rPr>
          <w:szCs w:val="24"/>
        </w:rPr>
        <w:t xml:space="preserve"> from wastewater, with the aim of reducing harmful substances in the environment;</w:t>
      </w:r>
      <w:r w:rsidR="001612DC" w:rsidRPr="008B20B2">
        <w:rPr>
          <w:szCs w:val="24"/>
        </w:rPr>
        <w:t xml:space="preserve"> notes the existence of differing figures and assessments regarding the impact this would have on the pharmaceutical sector and, consequently, on the availability and affordability of medicines, and therefore calls on the Commission to conduct a new and comprehensive assessment of the impact on this sector;</w:t>
      </w:r>
      <w:proofErr w:type="gramEnd"/>
    </w:p>
    <w:p w14:paraId="19B44C56" w14:textId="05586E75" w:rsidR="006F7BE6" w:rsidRPr="008B20B2" w:rsidRDefault="00110923" w:rsidP="00C547A5">
      <w:pPr>
        <w:pStyle w:val="NormalHanging12a"/>
        <w:rPr>
          <w:szCs w:val="24"/>
        </w:rPr>
      </w:pPr>
      <w:r w:rsidRPr="008B20B2">
        <w:rPr>
          <w:szCs w:val="24"/>
        </w:rPr>
        <w:t>53</w:t>
      </w:r>
      <w:r w:rsidR="006F7BE6" w:rsidRPr="008B20B2">
        <w:rPr>
          <w:szCs w:val="24"/>
        </w:rPr>
        <w:t>.</w:t>
      </w:r>
      <w:r w:rsidR="006F7BE6" w:rsidRPr="008B20B2">
        <w:rPr>
          <w:szCs w:val="24"/>
        </w:rPr>
        <w:tab/>
        <w:t xml:space="preserve">Calls for increased EU support for local authorities for the modernisation of wastewater treatment plants and the promotion of water reuse, to align with the EU’s zero pollution </w:t>
      </w:r>
      <w:r w:rsidR="006F7BE6" w:rsidRPr="008B20B2">
        <w:rPr>
          <w:szCs w:val="24"/>
        </w:rPr>
        <w:lastRenderedPageBreak/>
        <w:t>ambition, ensuring that municipal wastewater management contributes effectively to good chemical and ecological water status;</w:t>
      </w:r>
    </w:p>
    <w:p w14:paraId="34E12E73" w14:textId="2C923248" w:rsidR="006F7BE6" w:rsidRPr="008B20B2" w:rsidRDefault="00110923" w:rsidP="00C547A5">
      <w:pPr>
        <w:pStyle w:val="NormalHanging12a"/>
        <w:rPr>
          <w:szCs w:val="24"/>
        </w:rPr>
      </w:pPr>
      <w:proofErr w:type="gramStart"/>
      <w:r w:rsidRPr="008B20B2">
        <w:rPr>
          <w:szCs w:val="24"/>
        </w:rPr>
        <w:t>54</w:t>
      </w:r>
      <w:r w:rsidR="006F7BE6" w:rsidRPr="008B20B2">
        <w:rPr>
          <w:szCs w:val="24"/>
        </w:rPr>
        <w:t>.</w:t>
      </w:r>
      <w:r w:rsidR="006F7BE6" w:rsidRPr="008B20B2">
        <w:rPr>
          <w:szCs w:val="24"/>
        </w:rPr>
        <w:tab/>
        <w:t>Calls for increased monitoring of pesticide residues in water bodies and enforcement of pesticide application regulations to mitigate their impact on water quality; stresses the need for increased funding to support farmers in the adoption of low-input and organic farming practices that reduce reliance on chemical pesticides and fertilisers, as well as to provide appropriate training and independent advisory services to farmers and other operators on the use, effectiveness and toxicity of pesticides, as well as best practice;</w:t>
      </w:r>
      <w:proofErr w:type="gramEnd"/>
    </w:p>
    <w:p w14:paraId="3DBFB5E3" w14:textId="7F9FBB56" w:rsidR="006F7BE6" w:rsidRPr="008B20B2" w:rsidRDefault="00110923" w:rsidP="00C547A5">
      <w:pPr>
        <w:pStyle w:val="NormalHanging12a"/>
        <w:rPr>
          <w:szCs w:val="24"/>
        </w:rPr>
      </w:pPr>
      <w:r w:rsidRPr="008B20B2">
        <w:rPr>
          <w:szCs w:val="24"/>
        </w:rPr>
        <w:t>55</w:t>
      </w:r>
      <w:r w:rsidR="006F7BE6" w:rsidRPr="008B20B2">
        <w:rPr>
          <w:szCs w:val="24"/>
        </w:rPr>
        <w:t>.</w:t>
      </w:r>
      <w:r w:rsidR="006F7BE6" w:rsidRPr="008B20B2">
        <w:rPr>
          <w:szCs w:val="24"/>
        </w:rPr>
        <w:tab/>
        <w:t>Insists on the integration of circular economy principles to reduce hazardous chemical use in industrial processes; stresses the need for additional funding to support industries in transitioning to clean technologies that minimise water pollution</w:t>
      </w:r>
      <w:r w:rsidR="006F7BE6" w:rsidRPr="008B20B2">
        <w:rPr>
          <w:szCs w:val="24"/>
          <w:vertAlign w:val="superscript"/>
        </w:rPr>
        <w:footnoteReference w:id="66"/>
      </w:r>
      <w:r w:rsidR="006F7BE6" w:rsidRPr="008B20B2">
        <w:rPr>
          <w:szCs w:val="24"/>
        </w:rPr>
        <w:t>;</w:t>
      </w:r>
    </w:p>
    <w:p w14:paraId="7EB1A392" w14:textId="2DE2C183" w:rsidR="006F7BE6" w:rsidRPr="008B20B2" w:rsidRDefault="00110923" w:rsidP="00C547A5">
      <w:pPr>
        <w:pStyle w:val="NormalHanging12a"/>
        <w:rPr>
          <w:szCs w:val="24"/>
        </w:rPr>
      </w:pPr>
      <w:r w:rsidRPr="008B20B2">
        <w:rPr>
          <w:szCs w:val="24"/>
        </w:rPr>
        <w:t>56</w:t>
      </w:r>
      <w:r w:rsidR="006F7BE6" w:rsidRPr="008B20B2">
        <w:rPr>
          <w:szCs w:val="24"/>
        </w:rPr>
        <w:t>.</w:t>
      </w:r>
      <w:r w:rsidR="006F7BE6" w:rsidRPr="008B20B2">
        <w:rPr>
          <w:szCs w:val="24"/>
        </w:rPr>
        <w:tab/>
        <w:t xml:space="preserve">Recognises the role of treated sludge as a local and circular source of fertiliser, contributing to soil health, nutrient recycling and reduced dependency on synthetic fertilisers; emphasises the importance of preventing PFAS, heavy metals, </w:t>
      </w:r>
      <w:proofErr w:type="spellStart"/>
      <w:r w:rsidR="006F7BE6" w:rsidRPr="008B20B2">
        <w:rPr>
          <w:szCs w:val="24"/>
        </w:rPr>
        <w:t>microplastics</w:t>
      </w:r>
      <w:proofErr w:type="spellEnd"/>
      <w:r w:rsidR="006F7BE6" w:rsidRPr="008B20B2">
        <w:rPr>
          <w:szCs w:val="24"/>
        </w:rPr>
        <w:t xml:space="preserve"> and other harmful substances from entering sewer networks in order to enable the safe and sustainable use of high-quality sewage sludge in agriculture;</w:t>
      </w:r>
    </w:p>
    <w:p w14:paraId="7FDD1DA2" w14:textId="6F268E63" w:rsidR="006F7BE6" w:rsidRPr="008B20B2" w:rsidRDefault="00110923" w:rsidP="00C547A5">
      <w:pPr>
        <w:pStyle w:val="NormalHanging12a"/>
        <w:rPr>
          <w:szCs w:val="24"/>
        </w:rPr>
      </w:pPr>
      <w:r w:rsidRPr="008B20B2">
        <w:rPr>
          <w:szCs w:val="24"/>
        </w:rPr>
        <w:t>57</w:t>
      </w:r>
      <w:r w:rsidR="006F7BE6" w:rsidRPr="008B20B2">
        <w:rPr>
          <w:szCs w:val="24"/>
        </w:rPr>
        <w:t>.</w:t>
      </w:r>
      <w:r w:rsidR="006F7BE6" w:rsidRPr="008B20B2">
        <w:rPr>
          <w:szCs w:val="24"/>
        </w:rPr>
        <w:tab/>
        <w:t>Calls on the Commission to include an overview of measures in an annex to the EWRS, with a timeline for achieving the objectives in question</w:t>
      </w:r>
      <w:proofErr w:type="gramStart"/>
      <w:r w:rsidR="006F7BE6" w:rsidRPr="008B20B2">
        <w:rPr>
          <w:szCs w:val="24"/>
        </w:rPr>
        <w:t>;</w:t>
      </w:r>
      <w:proofErr w:type="gramEnd"/>
    </w:p>
    <w:p w14:paraId="60C6CAF5" w14:textId="77777777" w:rsidR="006F7BE6" w:rsidRPr="008B20B2" w:rsidRDefault="006F7BE6" w:rsidP="00C547A5">
      <w:pPr>
        <w:pStyle w:val="NormalHanging12a"/>
        <w:rPr>
          <w:szCs w:val="24"/>
        </w:rPr>
      </w:pPr>
      <w:r w:rsidRPr="008B20B2">
        <w:rPr>
          <w:b/>
          <w:i/>
          <w:szCs w:val="24"/>
        </w:rPr>
        <w:t>Adaptation to climate change: floods, droughts, stress areas, disaster preparedness</w:t>
      </w:r>
    </w:p>
    <w:p w14:paraId="456503A0" w14:textId="353156F7" w:rsidR="006F7BE6" w:rsidRPr="008B20B2" w:rsidRDefault="00110923" w:rsidP="00C547A5">
      <w:pPr>
        <w:pStyle w:val="NormalHanging12a"/>
        <w:rPr>
          <w:szCs w:val="24"/>
        </w:rPr>
      </w:pPr>
      <w:proofErr w:type="gramStart"/>
      <w:r w:rsidRPr="008B20B2">
        <w:rPr>
          <w:szCs w:val="24"/>
        </w:rPr>
        <w:t>58</w:t>
      </w:r>
      <w:r w:rsidR="006F7BE6" w:rsidRPr="008B20B2">
        <w:rPr>
          <w:szCs w:val="24"/>
        </w:rPr>
        <w:t>.</w:t>
      </w:r>
      <w:r w:rsidR="006F7BE6" w:rsidRPr="008B20B2">
        <w:rPr>
          <w:szCs w:val="24"/>
        </w:rPr>
        <w:tab/>
        <w:t>Calls for the climate adaptation proofing of all new EU legislative and non-legislative acts in order to ensure the integration of climate adaptation into sectoral plans and policy measures affecting water and land use; highlights, in this regard, the need for increased climate ambition as part of the fight against climate change, while urging the Member States to ensure that all climate adaptation measures affecting water use contribute to long-term, improved water resilience; calls on the Commission to take fully into account the geographical and environmental conditions in the Member States, as well as the specific situation of islands, outermost regions and other areas of high vulnerability, such as areas affected by desertification, when adopting new legislative and non-legislative proposals; asks the Commission to present a roadmap for current and ongoing legislative and non-legislative policy measures, including targets and monitoring requirements affecting water and land use;</w:t>
      </w:r>
      <w:proofErr w:type="gramEnd"/>
    </w:p>
    <w:p w14:paraId="4F48FD2C" w14:textId="40E203E4" w:rsidR="006F7BE6" w:rsidRPr="008B20B2" w:rsidRDefault="00110923" w:rsidP="00C547A5">
      <w:pPr>
        <w:pStyle w:val="NormalHanging12a"/>
        <w:rPr>
          <w:szCs w:val="24"/>
        </w:rPr>
      </w:pPr>
      <w:r w:rsidRPr="008B20B2">
        <w:rPr>
          <w:szCs w:val="24"/>
        </w:rPr>
        <w:t>59</w:t>
      </w:r>
      <w:r w:rsidR="006F7BE6" w:rsidRPr="008B20B2">
        <w:rPr>
          <w:szCs w:val="24"/>
        </w:rPr>
        <w:t>.</w:t>
      </w:r>
      <w:r w:rsidR="006F7BE6" w:rsidRPr="008B20B2">
        <w:rPr>
          <w:szCs w:val="24"/>
        </w:rPr>
        <w:tab/>
        <w:t>Emphasises the need for tailored climate adaptation measures for the Mediterranean region, which faces unique challenges such as prolonged droughts and saline intrusion into freshwater resources</w:t>
      </w:r>
      <w:proofErr w:type="gramStart"/>
      <w:r w:rsidR="006F7BE6" w:rsidRPr="008B20B2">
        <w:rPr>
          <w:szCs w:val="24"/>
        </w:rPr>
        <w:t>;</w:t>
      </w:r>
      <w:proofErr w:type="gramEnd"/>
    </w:p>
    <w:p w14:paraId="3E2557FA" w14:textId="39BC2A94" w:rsidR="006F7BE6" w:rsidRPr="008B20B2" w:rsidRDefault="00110923" w:rsidP="00C547A5">
      <w:pPr>
        <w:pStyle w:val="NormalHanging12a"/>
        <w:rPr>
          <w:szCs w:val="24"/>
        </w:rPr>
      </w:pPr>
      <w:proofErr w:type="gramStart"/>
      <w:r w:rsidRPr="008B20B2">
        <w:rPr>
          <w:szCs w:val="24"/>
        </w:rPr>
        <w:t>60</w:t>
      </w:r>
      <w:r w:rsidR="006F7BE6" w:rsidRPr="008B20B2">
        <w:rPr>
          <w:szCs w:val="24"/>
        </w:rPr>
        <w:t>.</w:t>
      </w:r>
      <w:r w:rsidR="006F7BE6" w:rsidRPr="008B20B2">
        <w:rPr>
          <w:szCs w:val="24"/>
        </w:rPr>
        <w:tab/>
        <w:t xml:space="preserve">Stresses the specific challenges faced by island areas due to the scarcity of drinking water and calls for targeted measures to protect island water resources, including improving rainwater collection and storage infrastructure, and implementing alternative water sources, while enhancing water resource monitoring and management systems; calls, further, on the Member States to take better account of mountainous regions in </w:t>
      </w:r>
      <w:r w:rsidR="006F7BE6" w:rsidRPr="008B20B2">
        <w:rPr>
          <w:szCs w:val="24"/>
        </w:rPr>
        <w:lastRenderedPageBreak/>
        <w:t>national adaptation plans in order to meet the specific challenges of water management in mountainous areas;</w:t>
      </w:r>
      <w:proofErr w:type="gramEnd"/>
    </w:p>
    <w:p w14:paraId="39ACE73D" w14:textId="02BA4710" w:rsidR="006F7BE6" w:rsidRPr="008B20B2" w:rsidRDefault="00110923" w:rsidP="00C547A5">
      <w:pPr>
        <w:pStyle w:val="NormalHanging12a"/>
        <w:rPr>
          <w:szCs w:val="24"/>
        </w:rPr>
      </w:pPr>
      <w:proofErr w:type="gramStart"/>
      <w:r w:rsidRPr="008B20B2">
        <w:rPr>
          <w:szCs w:val="24"/>
        </w:rPr>
        <w:t>61</w:t>
      </w:r>
      <w:r w:rsidR="006F7BE6" w:rsidRPr="008B20B2">
        <w:rPr>
          <w:szCs w:val="24"/>
        </w:rPr>
        <w:t>.</w:t>
      </w:r>
      <w:r w:rsidR="006F7BE6" w:rsidRPr="008B20B2">
        <w:rPr>
          <w:szCs w:val="24"/>
        </w:rPr>
        <w:tab/>
        <w:t>Reiterates that climate change mitigation and adaptation solutions should not come at the cost of ecosystem degradation, and should avoid increasing the demand for water- and energy-intensive activities, and should instead prioritise energy- and water-efficient innovation and technologies as part of moving towards a more resource-efficient economy, without undermining its productivity, while ensuring equitable access to water for all; points out that, in order to be effective, climate change mitigation and adaptation solutions should be tailored to national circumstances, while enhancing competitiveness and productivity in the short and long term; points out the possibilities of synergies, in this regard, with innovative energy production such as photovoltaics and biogas, as it can also contribute to an increase in agricultural income;</w:t>
      </w:r>
      <w:proofErr w:type="gramEnd"/>
    </w:p>
    <w:p w14:paraId="392FEBB3" w14:textId="3F44D561" w:rsidR="006F7BE6" w:rsidRPr="008B20B2" w:rsidRDefault="00110923" w:rsidP="00C547A5">
      <w:pPr>
        <w:pStyle w:val="NormalHanging12a"/>
        <w:rPr>
          <w:szCs w:val="24"/>
        </w:rPr>
      </w:pPr>
      <w:proofErr w:type="gramStart"/>
      <w:r w:rsidRPr="008B20B2">
        <w:rPr>
          <w:szCs w:val="24"/>
        </w:rPr>
        <w:t>62</w:t>
      </w:r>
      <w:r w:rsidR="006F7BE6" w:rsidRPr="008B20B2">
        <w:rPr>
          <w:szCs w:val="24"/>
        </w:rPr>
        <w:t>.</w:t>
      </w:r>
      <w:r w:rsidR="006F7BE6" w:rsidRPr="008B20B2">
        <w:rPr>
          <w:szCs w:val="24"/>
        </w:rPr>
        <w:tab/>
        <w:t>Recognises the importance of reserving water for nature and the need to maintain healthy freshwater ecosystems, for the good functioning of the water cycle, for human activities and for mitigating the impacts of droughts and water scarcity; underlines, in the context of restoring freshwater ecosystems and the natural functions of rivers, the importance of removing ‘obsolete barriers’, namely artificial barriers that no longer fulfil their original purpose or are no longer needed, wherever such opportunities exist, on the basis of current knowledge and experience; calls for the establishment of specific programmes for the cleaning and conservation of river channels, ensuring minimum flow and reducing the accumulation of debris and sediment that can affect water storage and distribution capacity;</w:t>
      </w:r>
      <w:proofErr w:type="gramEnd"/>
    </w:p>
    <w:p w14:paraId="7E71F203" w14:textId="4EBAB64B" w:rsidR="006F7BE6" w:rsidRPr="008B20B2" w:rsidRDefault="00110923" w:rsidP="00C547A5">
      <w:pPr>
        <w:pStyle w:val="NormalHanging12a"/>
        <w:rPr>
          <w:szCs w:val="24"/>
        </w:rPr>
      </w:pPr>
      <w:proofErr w:type="gramStart"/>
      <w:r w:rsidRPr="008B20B2">
        <w:rPr>
          <w:szCs w:val="24"/>
        </w:rPr>
        <w:t>63</w:t>
      </w:r>
      <w:r w:rsidR="006F7BE6" w:rsidRPr="008B20B2">
        <w:rPr>
          <w:szCs w:val="24"/>
        </w:rPr>
        <w:t>.</w:t>
      </w:r>
      <w:r w:rsidR="006F7BE6" w:rsidRPr="008B20B2">
        <w:rPr>
          <w:szCs w:val="24"/>
        </w:rPr>
        <w:tab/>
        <w:t>Insists that, with climate change impact becoming more persistent, flood and drought management must fully integrate the arising risks, including changing weather patterns, such as increased rain patterns leading to excess of water; is convinced that a combination of monitoring and data collection, preparedness, emergency and recovery responses taking into account the principle of ‘building back better’</w:t>
      </w:r>
      <w:r w:rsidR="006F7BE6" w:rsidRPr="008B20B2">
        <w:rPr>
          <w:szCs w:val="24"/>
          <w:vertAlign w:val="superscript"/>
        </w:rPr>
        <w:footnoteReference w:id="67"/>
      </w:r>
      <w:r w:rsidR="006F7BE6" w:rsidRPr="008B20B2">
        <w:rPr>
          <w:szCs w:val="24"/>
        </w:rPr>
        <w:t>on the one hand, and adapting societal and economic activities on the other, is essential to reduce vulnerability and increase resilience, especially in the light of the quantitative aspect of water becoming more prominent; stresses, in this regard, the need for climate-resilient nature-based solutions and infrastructure that take into account the impact of extreme climate events in their development to ensure their viability in the face of extreme climate events;</w:t>
      </w:r>
      <w:proofErr w:type="gramEnd"/>
    </w:p>
    <w:p w14:paraId="745E61EF" w14:textId="6BF033BC" w:rsidR="006F7BE6" w:rsidRPr="008B20B2" w:rsidRDefault="00110923" w:rsidP="00C547A5">
      <w:pPr>
        <w:pStyle w:val="NormalHanging12a"/>
        <w:rPr>
          <w:szCs w:val="24"/>
        </w:rPr>
      </w:pPr>
      <w:proofErr w:type="gramStart"/>
      <w:r w:rsidRPr="008B20B2">
        <w:rPr>
          <w:szCs w:val="24"/>
        </w:rPr>
        <w:t>64</w:t>
      </w:r>
      <w:r w:rsidR="006F7BE6" w:rsidRPr="008B20B2">
        <w:rPr>
          <w:szCs w:val="24"/>
        </w:rPr>
        <w:t>.</w:t>
      </w:r>
      <w:r w:rsidR="006F7BE6" w:rsidRPr="008B20B2">
        <w:rPr>
          <w:szCs w:val="24"/>
        </w:rPr>
        <w:tab/>
        <w:t>Recalls that in 2007, the WFD was supplemented by Directive 2007/60/EC on the assessment and management of flood risks, which aims to establish a framework to reduce the adverse consequences of flooding on human health, the environment, cultural heritage and economic activity; notes that making the two directives mutually compatible is achieved through risk management plans and river basin flood management plans as the components of an integrated water management system in which coordination is crucial; recalls that flood prevention is closely connected to urban green spaces, soil protection strategies and investment in drainage networks;</w:t>
      </w:r>
      <w:proofErr w:type="gramEnd"/>
    </w:p>
    <w:p w14:paraId="63E00FF9" w14:textId="78FDA0FD" w:rsidR="006F7BE6" w:rsidRPr="008B20B2" w:rsidRDefault="00110923" w:rsidP="00C547A5">
      <w:pPr>
        <w:pStyle w:val="NormalHanging12a"/>
        <w:rPr>
          <w:szCs w:val="24"/>
        </w:rPr>
      </w:pPr>
      <w:proofErr w:type="gramStart"/>
      <w:r w:rsidRPr="008B20B2">
        <w:rPr>
          <w:szCs w:val="24"/>
        </w:rPr>
        <w:t>65</w:t>
      </w:r>
      <w:r w:rsidR="006F7BE6" w:rsidRPr="008B20B2">
        <w:rPr>
          <w:szCs w:val="24"/>
        </w:rPr>
        <w:t>.</w:t>
      </w:r>
      <w:r w:rsidR="006F7BE6" w:rsidRPr="008B20B2">
        <w:rPr>
          <w:szCs w:val="24"/>
        </w:rPr>
        <w:tab/>
        <w:t xml:space="preserve">Stresses that preparedness for water scarcity and drought can be significantly improved in the EU, considering that no drought management plans are in place in several </w:t>
      </w:r>
      <w:r w:rsidR="006F7BE6" w:rsidRPr="008B20B2">
        <w:rPr>
          <w:szCs w:val="24"/>
        </w:rPr>
        <w:lastRenderedPageBreak/>
        <w:t>Member States</w:t>
      </w:r>
      <w:r w:rsidR="006F7BE6" w:rsidRPr="008B20B2">
        <w:rPr>
          <w:szCs w:val="24"/>
          <w:vertAlign w:val="superscript"/>
        </w:rPr>
        <w:footnoteReference w:id="68"/>
      </w:r>
      <w:r w:rsidR="006F7BE6" w:rsidRPr="008B20B2">
        <w:rPr>
          <w:szCs w:val="24"/>
        </w:rPr>
        <w:t>; calls on the Member States and, where applicable, competent regional and local authorities, to develop drought management plans, particularly with a view to ensuring the provision of drinking water, ensuring food production and integrating digitalised monitoring, control and early warning systems in order to support effective and data-based decisions on protection, response and communication measures with clearly defined areas of responsibility; points out the need to introduce EU-level provisions as regards drought management plans, similar to the ones on flood management plans;</w:t>
      </w:r>
      <w:proofErr w:type="gramEnd"/>
    </w:p>
    <w:p w14:paraId="25D1B0EE" w14:textId="3516071E" w:rsidR="006F7BE6" w:rsidRPr="008B20B2" w:rsidRDefault="00110923" w:rsidP="00C547A5">
      <w:pPr>
        <w:pStyle w:val="NormalHanging12a"/>
        <w:rPr>
          <w:szCs w:val="24"/>
        </w:rPr>
      </w:pPr>
      <w:proofErr w:type="gramStart"/>
      <w:r w:rsidRPr="008B20B2">
        <w:rPr>
          <w:szCs w:val="24"/>
        </w:rPr>
        <w:t>66</w:t>
      </w:r>
      <w:r w:rsidR="006F7BE6" w:rsidRPr="008B20B2">
        <w:rPr>
          <w:szCs w:val="24"/>
        </w:rPr>
        <w:t>.</w:t>
      </w:r>
      <w:r w:rsidR="006F7BE6" w:rsidRPr="008B20B2">
        <w:rPr>
          <w:szCs w:val="24"/>
        </w:rPr>
        <w:tab/>
        <w:t>Insists, in view of the numerous climatic events, such as floods, droughts and cyclones, which have affected Europe, on the importance of the EU having a robust mechanism for responding to such crises, including systems for warning and providing assistance to the civilian population; points out that digital monitoring, adequate public display of relevant data and early warning systems are key to developing effective drought and flood management plans at the level of the Member States; emphasises, further, the importance of fully using the available EU tools, such as the flood forecasts of the European Flood Awareness System and the Global Flood Awareness System, and the Global Flood Monitoring tool, as part of the Copernicus Emergency Management Service;</w:t>
      </w:r>
      <w:proofErr w:type="gramEnd"/>
    </w:p>
    <w:p w14:paraId="787D5C65" w14:textId="291BD175" w:rsidR="006F7BE6" w:rsidRPr="008B20B2" w:rsidRDefault="00110923" w:rsidP="00C547A5">
      <w:pPr>
        <w:pStyle w:val="NormalHanging12a"/>
        <w:rPr>
          <w:szCs w:val="24"/>
        </w:rPr>
      </w:pPr>
      <w:r w:rsidRPr="008B20B2">
        <w:rPr>
          <w:szCs w:val="24"/>
        </w:rPr>
        <w:t>67</w:t>
      </w:r>
      <w:r w:rsidR="006F7BE6" w:rsidRPr="008B20B2">
        <w:rPr>
          <w:szCs w:val="24"/>
        </w:rPr>
        <w:t>.</w:t>
      </w:r>
      <w:r w:rsidR="006F7BE6" w:rsidRPr="008B20B2">
        <w:rPr>
          <w:szCs w:val="24"/>
        </w:rPr>
        <w:tab/>
        <w:t>Stresses the importance of the Union Civil Protection Mechanism (UCPM) in helping countries hit by water-related disasters such as flood and droughts; calls for increased funding to provide the UCPM with sufficient and upgraded resources in order to increase preparedness and improve capacity building;</w:t>
      </w:r>
    </w:p>
    <w:p w14:paraId="7C4E88E5" w14:textId="2B3F3AE4" w:rsidR="006F7BE6" w:rsidRPr="008B20B2" w:rsidRDefault="00110923" w:rsidP="00C547A5">
      <w:pPr>
        <w:pStyle w:val="NormalHanging12a"/>
        <w:rPr>
          <w:szCs w:val="24"/>
        </w:rPr>
      </w:pPr>
      <w:r w:rsidRPr="008B20B2">
        <w:rPr>
          <w:szCs w:val="24"/>
        </w:rPr>
        <w:t>68</w:t>
      </w:r>
      <w:r w:rsidR="006F7BE6" w:rsidRPr="008B20B2">
        <w:rPr>
          <w:szCs w:val="24"/>
        </w:rPr>
        <w:t>.</w:t>
      </w:r>
      <w:r w:rsidR="006F7BE6" w:rsidRPr="008B20B2">
        <w:rPr>
          <w:szCs w:val="24"/>
        </w:rPr>
        <w:tab/>
        <w:t>Calls on the Commission and the Member States to enhance citizen preparedness in the event of water-related disasters or crisis; stresses the importance of information campaigns and demonstration exercises in education facilities, public administration and businesses in order to build a ‘preparedness culture’ for citizens;</w:t>
      </w:r>
    </w:p>
    <w:p w14:paraId="6BE6C348" w14:textId="33C2F7F3" w:rsidR="006F7BE6" w:rsidRPr="008B20B2" w:rsidRDefault="00880F56" w:rsidP="00C547A5">
      <w:pPr>
        <w:pStyle w:val="NormalHanging12a"/>
        <w:rPr>
          <w:szCs w:val="24"/>
        </w:rPr>
      </w:pPr>
      <w:proofErr w:type="gramStart"/>
      <w:r w:rsidRPr="008B20B2">
        <w:rPr>
          <w:szCs w:val="24"/>
        </w:rPr>
        <w:t>69</w:t>
      </w:r>
      <w:r w:rsidR="006F7BE6" w:rsidRPr="008B20B2">
        <w:rPr>
          <w:szCs w:val="24"/>
        </w:rPr>
        <w:t>.</w:t>
      </w:r>
      <w:r w:rsidR="006F7BE6" w:rsidRPr="008B20B2">
        <w:rPr>
          <w:szCs w:val="24"/>
        </w:rPr>
        <w:tab/>
        <w:t>Calls on the Member States to systematically renew and upgrade their water infrastructure, including drinking water and sanitation infrastructure, as well as infrastructure regulating river flows, and to invest in innovative solutions based on good practice, making water systems more resilient to climate change, ensuring stable drinking water supply, enabling the early detection of losses and reducing water leakages and waste, while optimising water transport and storage systems; highlights the fact that funding for innovative water infrastructure is insufficient compared to the investment needs across the EU; calls, in this regard, for dedicated funding, on national, regional or EU level, to ensure adequate financing for the development, maintenance and modernisation of water-resilient infrastructure, to foster innovative solutions and technologies and ensure long-term sustainability of that water infrastructure;</w:t>
      </w:r>
      <w:proofErr w:type="gramEnd"/>
    </w:p>
    <w:p w14:paraId="0EDE985F" w14:textId="59AEE4D1" w:rsidR="006F7BE6" w:rsidRPr="008B20B2" w:rsidRDefault="00880F56" w:rsidP="00C547A5">
      <w:pPr>
        <w:pStyle w:val="NormalHanging12a"/>
        <w:rPr>
          <w:szCs w:val="24"/>
        </w:rPr>
      </w:pPr>
      <w:proofErr w:type="gramStart"/>
      <w:r w:rsidRPr="008B20B2">
        <w:rPr>
          <w:szCs w:val="24"/>
        </w:rPr>
        <w:t>70</w:t>
      </w:r>
      <w:r w:rsidR="006F7BE6" w:rsidRPr="008B20B2">
        <w:rPr>
          <w:szCs w:val="24"/>
        </w:rPr>
        <w:t>.</w:t>
      </w:r>
      <w:r w:rsidR="006F7BE6" w:rsidRPr="008B20B2">
        <w:rPr>
          <w:szCs w:val="24"/>
        </w:rPr>
        <w:tab/>
        <w:t xml:space="preserve">Regrets that, despite the threat that desertification poses to water quality and availability, soil fertility and food production, and despite the fact that 13 Member States have declared themselves to be affected by desertification in the context of the United Nations Convention to Combat Desertification, the Commission is not addressing desertification effectively and efficiently; urges the Commission, therefore, </w:t>
      </w:r>
      <w:r w:rsidR="006F7BE6" w:rsidRPr="008B20B2">
        <w:rPr>
          <w:szCs w:val="24"/>
        </w:rPr>
        <w:lastRenderedPageBreak/>
        <w:t>in line with the Council conclusions of 14 October 2024 on desertification, land degradation and drought, to present an integrated EU-wide action plan to combat desertification, land degradation and drought, aiming at building resilience to drought and achieving land degradation neutrality in the EU by 2030, based on a full impact assessment;</w:t>
      </w:r>
      <w:proofErr w:type="gramEnd"/>
    </w:p>
    <w:p w14:paraId="0C8827B1" w14:textId="2D6AD1CF" w:rsidR="006F7BE6" w:rsidRPr="008B20B2" w:rsidRDefault="00880F56" w:rsidP="00C547A5">
      <w:pPr>
        <w:pStyle w:val="NormalHanging12a"/>
        <w:rPr>
          <w:szCs w:val="24"/>
        </w:rPr>
      </w:pPr>
      <w:proofErr w:type="gramStart"/>
      <w:r w:rsidRPr="008B20B2">
        <w:rPr>
          <w:szCs w:val="24"/>
        </w:rPr>
        <w:t>71</w:t>
      </w:r>
      <w:r w:rsidR="006F7BE6" w:rsidRPr="008B20B2">
        <w:rPr>
          <w:szCs w:val="24"/>
        </w:rPr>
        <w:t>.</w:t>
      </w:r>
      <w:r w:rsidR="006F7BE6" w:rsidRPr="008B20B2">
        <w:rPr>
          <w:szCs w:val="24"/>
        </w:rPr>
        <w:tab/>
      </w:r>
      <w:r w:rsidR="001612DC" w:rsidRPr="008B20B2">
        <w:rPr>
          <w:szCs w:val="24"/>
        </w:rPr>
        <w:t xml:space="preserve">Insists that the agricultural sector be further supported in implementing new technologies to reduce the demand for water, while at the same time increasing access to water, including by supporting water retention and groundwater recharge; calls for research results, for example on seawater desalination, to be made accessible and to facilitate the deployment of innovative desalination solutions; calls </w:t>
      </w:r>
      <w:r w:rsidR="006F7BE6" w:rsidRPr="008B20B2">
        <w:rPr>
          <w:szCs w:val="24"/>
        </w:rPr>
        <w:t>on the Member States to create natural water reserves based on up-to-date assessments of climate risks to protect critical water supplies and their catchments, and taking into consideration the environmental and socio-economic impact of developing such reserves; points out that such natural water reserves would complement the WFD’s requirement for Member States to identify water bodies used for drinking water abstraction, making sure they meet the objectives set out in Article 4 WFD and in the Drinking Water Directive, and would ensure their necessary protection; notes that such natural water reserves already exist under different forms in various Member States; stresses that assistance should be given to Member States or local and regional governments to help them develop natural water reserves;</w:t>
      </w:r>
      <w:proofErr w:type="gramEnd"/>
    </w:p>
    <w:p w14:paraId="5E676719" w14:textId="75FFB003" w:rsidR="006F7BE6" w:rsidRPr="008B20B2" w:rsidRDefault="00880F56" w:rsidP="00C547A5">
      <w:pPr>
        <w:pStyle w:val="NormalHanging12a"/>
        <w:rPr>
          <w:szCs w:val="24"/>
        </w:rPr>
      </w:pPr>
      <w:proofErr w:type="gramStart"/>
      <w:r w:rsidRPr="008B20B2">
        <w:rPr>
          <w:szCs w:val="24"/>
        </w:rPr>
        <w:t>72</w:t>
      </w:r>
      <w:r w:rsidR="006F7BE6" w:rsidRPr="008B20B2">
        <w:rPr>
          <w:szCs w:val="24"/>
        </w:rPr>
        <w:t>.</w:t>
      </w:r>
      <w:r w:rsidR="006F7BE6" w:rsidRPr="008B20B2">
        <w:rPr>
          <w:szCs w:val="24"/>
        </w:rPr>
        <w:tab/>
        <w:t>Notes the potential of retention infrastructure as an example of water generation systems created using the best available, cost-effective techniques that have the lowest environmental impact, including by means of wastewater reuse or rainwater collection, in order to reduce the risks of droughts and floods, increase water security and foster circularity, water reclamation and reuse; believes that water retention facilities may be useful tools provided that they are authorised by local or national authorities under clear conditions, including the capacity of local groundwater to sustain such activities and the need for farmers accessing the water resource to adapt their practices to more sustainable practices, in particular in terms of water needs and water quality; calls on the Commission to use its available tools, including financial support, to streamline this approach among the Member States;</w:t>
      </w:r>
      <w:proofErr w:type="gramEnd"/>
    </w:p>
    <w:p w14:paraId="3FEB13F5" w14:textId="6D105DAC" w:rsidR="006F7BE6" w:rsidRPr="008B20B2" w:rsidRDefault="00880F56" w:rsidP="00C547A5">
      <w:pPr>
        <w:pStyle w:val="NormalHanging12a"/>
        <w:rPr>
          <w:szCs w:val="24"/>
        </w:rPr>
      </w:pPr>
      <w:proofErr w:type="gramStart"/>
      <w:r w:rsidRPr="008B20B2">
        <w:rPr>
          <w:szCs w:val="24"/>
        </w:rPr>
        <w:t>73</w:t>
      </w:r>
      <w:r w:rsidR="006F7BE6" w:rsidRPr="008B20B2">
        <w:rPr>
          <w:szCs w:val="24"/>
        </w:rPr>
        <w:t>.</w:t>
      </w:r>
      <w:r w:rsidR="006F7BE6" w:rsidRPr="008B20B2">
        <w:rPr>
          <w:szCs w:val="24"/>
        </w:rPr>
        <w:tab/>
        <w:t>Deplores the unlawful or intentional abstraction of water, which is likely to cause substantial damage to water bodies; calls for strong dissuasive measures to be applied, including through the criminal law, to protect the ecological status or the ecological potential of surface water bodies or of the quantitative status of groundwater bodies; notes that additional support for training and knowledge transfer for national enforcement capacities is needed;</w:t>
      </w:r>
      <w:proofErr w:type="gramEnd"/>
    </w:p>
    <w:p w14:paraId="38696ABB" w14:textId="27E66F9F" w:rsidR="006F7BE6" w:rsidRPr="008B20B2" w:rsidRDefault="00880F56" w:rsidP="00C547A5">
      <w:pPr>
        <w:pStyle w:val="NormalHanging12a"/>
        <w:rPr>
          <w:szCs w:val="24"/>
        </w:rPr>
      </w:pPr>
      <w:proofErr w:type="gramStart"/>
      <w:r w:rsidRPr="008B20B2">
        <w:rPr>
          <w:szCs w:val="24"/>
        </w:rPr>
        <w:t>74</w:t>
      </w:r>
      <w:r w:rsidR="006F7BE6" w:rsidRPr="008B20B2">
        <w:rPr>
          <w:szCs w:val="24"/>
        </w:rPr>
        <w:t>.</w:t>
      </w:r>
      <w:r w:rsidR="006F7BE6" w:rsidRPr="008B20B2">
        <w:rPr>
          <w:szCs w:val="24"/>
        </w:rPr>
        <w:tab/>
        <w:t xml:space="preserve">Notes the important cross-cutting role of nature-based solutions in addressing the challenges of the triple planetary crisis and restoring the natural water cycle; calls on the Commission and the Member States to prioritise, taking into account the environmental and socio-economic impacts, the deployment of nature-based solutions for water resilience in their policy actions and recommendations, such as the re-wetting of wetlands and peatlands to increase ground water availability and surrounding soil moisture, the restoration and protection of floodplains, natural water retention measures, revegetation as a barrier against floods, and rainwater conservation, in order to strengthen water availability, mitigate climate change risks and support long-term resilience for communities, businesses and food production; underlines that, in addition </w:t>
      </w:r>
      <w:r w:rsidR="006F7BE6" w:rsidRPr="008B20B2">
        <w:rPr>
          <w:szCs w:val="24"/>
        </w:rPr>
        <w:lastRenderedPageBreak/>
        <w:t>to nature-based solutions, complementary investment in engineering solutions remains necessary to ensure successful climate adaptation and water resilience in the long term;</w:t>
      </w:r>
      <w:proofErr w:type="gramEnd"/>
    </w:p>
    <w:p w14:paraId="3F3061C6" w14:textId="77777777" w:rsidR="006F7BE6" w:rsidRPr="008B20B2" w:rsidRDefault="006F7BE6" w:rsidP="00C547A5">
      <w:pPr>
        <w:pStyle w:val="Normal12a24b"/>
        <w:widowControl/>
        <w:spacing w:before="0"/>
        <w:ind w:left="567" w:hanging="567"/>
        <w:rPr>
          <w:szCs w:val="24"/>
        </w:rPr>
      </w:pPr>
      <w:r w:rsidRPr="008B20B2">
        <w:rPr>
          <w:rStyle w:val="BoldItalic"/>
          <w:szCs w:val="24"/>
        </w:rPr>
        <w:t>Funding and pricing</w:t>
      </w:r>
    </w:p>
    <w:p w14:paraId="3E23BA9A" w14:textId="4E54DC09" w:rsidR="006F7BE6" w:rsidRPr="008B20B2" w:rsidRDefault="00880F56" w:rsidP="00C547A5">
      <w:pPr>
        <w:pStyle w:val="NormalHanging12a"/>
        <w:rPr>
          <w:szCs w:val="24"/>
        </w:rPr>
      </w:pPr>
      <w:proofErr w:type="gramStart"/>
      <w:r w:rsidRPr="008B20B2">
        <w:rPr>
          <w:szCs w:val="24"/>
        </w:rPr>
        <w:t>75</w:t>
      </w:r>
      <w:r w:rsidR="006F7BE6" w:rsidRPr="008B20B2">
        <w:rPr>
          <w:szCs w:val="24"/>
        </w:rPr>
        <w:t>.</w:t>
      </w:r>
      <w:r w:rsidR="006F7BE6" w:rsidRPr="008B20B2">
        <w:rPr>
          <w:szCs w:val="24"/>
        </w:rPr>
        <w:tab/>
        <w:t>Notes that nature-based solutions and natural water retention measures have the potential to restore groundwater levels and support ecological flows while reducing water-related risks from water scarcity, floods and droughts; notes that in flood management, nature-based solutions cannot usually replace existing solutions and may not be effective for the most extreme events; points out, however, that nature-based solutions can enhance the effectiveness and operable life of grey infrastructure by increasing water absorption capacity, reducing water velocity and regulating peak flows; reiterates, in this regard, that the effectiveness of nature-based solutions is context-specific and must be adapted to the local situation; emphasises in this regard that a ‘one solution that fits all’ does not exist;</w:t>
      </w:r>
      <w:proofErr w:type="gramEnd"/>
    </w:p>
    <w:p w14:paraId="7BBA7F55" w14:textId="288A24BB" w:rsidR="006F7BE6" w:rsidRPr="008B20B2" w:rsidRDefault="00880F56" w:rsidP="00C547A5">
      <w:pPr>
        <w:pStyle w:val="NormalHanging12a"/>
        <w:rPr>
          <w:szCs w:val="24"/>
        </w:rPr>
      </w:pPr>
      <w:r w:rsidRPr="008B20B2">
        <w:rPr>
          <w:szCs w:val="24"/>
        </w:rPr>
        <w:t>76</w:t>
      </w:r>
      <w:r w:rsidR="006F7BE6" w:rsidRPr="008B20B2">
        <w:rPr>
          <w:szCs w:val="24"/>
        </w:rPr>
        <w:t>.</w:t>
      </w:r>
      <w:r w:rsidR="006F7BE6" w:rsidRPr="008B20B2">
        <w:rPr>
          <w:szCs w:val="24"/>
        </w:rPr>
        <w:tab/>
        <w:t>Stresses the need to provide financial support for sustainable innovative methods and solutions, while having due regard to public-private partnerships;</w:t>
      </w:r>
    </w:p>
    <w:p w14:paraId="3CB3D478" w14:textId="56AFDD25" w:rsidR="006F7BE6" w:rsidRPr="008B20B2" w:rsidRDefault="00880F56" w:rsidP="00C547A5">
      <w:pPr>
        <w:pStyle w:val="NormalHanging12a"/>
        <w:rPr>
          <w:szCs w:val="24"/>
        </w:rPr>
      </w:pPr>
      <w:proofErr w:type="gramStart"/>
      <w:r w:rsidRPr="008B20B2">
        <w:rPr>
          <w:szCs w:val="24"/>
        </w:rPr>
        <w:t>77</w:t>
      </w:r>
      <w:r w:rsidR="006F7BE6" w:rsidRPr="008B20B2">
        <w:rPr>
          <w:szCs w:val="24"/>
        </w:rPr>
        <w:t>.</w:t>
      </w:r>
      <w:r w:rsidR="006F7BE6" w:rsidRPr="008B20B2">
        <w:rPr>
          <w:szCs w:val="24"/>
        </w:rPr>
        <w:tab/>
        <w:t>Stresses, in the context of climate adaptation, the importance of healthy soils in ensuring water security and circularity; emphasises that the natural water retention of soils must be improved through measures to enhance soil health, minimising carbon losses, as well as actions at the level of the water body, such as the stabilisation of riverbanks, including through re-naturalisation, and the restoration of the retention capacities of aquifers;</w:t>
      </w:r>
      <w:proofErr w:type="gramEnd"/>
    </w:p>
    <w:p w14:paraId="59EACB58" w14:textId="33C3ABA9" w:rsidR="006F7BE6" w:rsidRPr="008B20B2" w:rsidRDefault="00880F56" w:rsidP="00C547A5">
      <w:pPr>
        <w:pStyle w:val="NormalHanging12a"/>
        <w:rPr>
          <w:szCs w:val="24"/>
        </w:rPr>
      </w:pPr>
      <w:proofErr w:type="gramStart"/>
      <w:r w:rsidRPr="008B20B2">
        <w:rPr>
          <w:szCs w:val="24"/>
        </w:rPr>
        <w:t>78</w:t>
      </w:r>
      <w:r w:rsidR="006F7BE6" w:rsidRPr="008B20B2">
        <w:rPr>
          <w:szCs w:val="24"/>
        </w:rPr>
        <w:t>.</w:t>
      </w:r>
      <w:r w:rsidR="006F7BE6" w:rsidRPr="008B20B2">
        <w:rPr>
          <w:szCs w:val="24"/>
        </w:rPr>
        <w:tab/>
        <w:t>Notes that thoroughly designed forest management measures can improve watershed health, regulate water flow and reduce drought and flood stress, given the essential role of trees and forests in water cycle regulation, through their ability to purify water, increase the availability of water resources and improve soil moisture retention; proposes that this be duly considered when the Commission, in cooperation with the Member States, develops Union disaster resilience goals and that it be considered in the development and refinement of disaster risk management and contingency planning; highlights the need, in this regard, for more research, data collection, innovation and funding to support land managers in preventing the impact of environmental stressors such as drought floods and diminishing watershed function;</w:t>
      </w:r>
      <w:proofErr w:type="gramEnd"/>
    </w:p>
    <w:p w14:paraId="1F87E150" w14:textId="749D365A" w:rsidR="006F7BE6" w:rsidRPr="008B20B2" w:rsidRDefault="00880F56" w:rsidP="00C547A5">
      <w:pPr>
        <w:pStyle w:val="NormalHanging12a"/>
        <w:rPr>
          <w:szCs w:val="24"/>
        </w:rPr>
      </w:pPr>
      <w:proofErr w:type="gramStart"/>
      <w:r w:rsidRPr="008B20B2">
        <w:rPr>
          <w:szCs w:val="24"/>
        </w:rPr>
        <w:t>79</w:t>
      </w:r>
      <w:r w:rsidR="006F7BE6" w:rsidRPr="008B20B2">
        <w:rPr>
          <w:szCs w:val="24"/>
        </w:rPr>
        <w:t>.</w:t>
      </w:r>
      <w:r w:rsidR="006F7BE6" w:rsidRPr="008B20B2">
        <w:rPr>
          <w:szCs w:val="24"/>
        </w:rPr>
        <w:tab/>
        <w:t>Recognises that urban areas are increasingly vulnerable to water-related climate risks such as flooding, water shortages and heat stress; calls for the integration of urban water resilience planning into climate adaptation strategies, including investment in green roofs, permeable infrastructure, rainwater harvesting and storm water retention systems, as well as measures aimed at increasing green and blue spaces in urban areas, in order to mitigate extreme weather impacts and to reduce the risks to human life and property; calls further for the maintenance of, and regained access to, urban waterways in cities;</w:t>
      </w:r>
      <w:proofErr w:type="gramEnd"/>
    </w:p>
    <w:p w14:paraId="3ADB7495" w14:textId="4E3B113B" w:rsidR="006F7BE6" w:rsidRPr="008B20B2" w:rsidRDefault="00880F56" w:rsidP="00C547A5">
      <w:pPr>
        <w:pStyle w:val="NormalHanging12a"/>
        <w:rPr>
          <w:szCs w:val="24"/>
        </w:rPr>
      </w:pPr>
      <w:proofErr w:type="gramStart"/>
      <w:r w:rsidRPr="008B20B2">
        <w:rPr>
          <w:szCs w:val="24"/>
        </w:rPr>
        <w:t>80</w:t>
      </w:r>
      <w:r w:rsidR="006F7BE6" w:rsidRPr="008B20B2">
        <w:rPr>
          <w:szCs w:val="24"/>
        </w:rPr>
        <w:t>.</w:t>
      </w:r>
      <w:r w:rsidR="006F7BE6" w:rsidRPr="008B20B2">
        <w:rPr>
          <w:szCs w:val="24"/>
        </w:rPr>
        <w:tab/>
        <w:t xml:space="preserve">Emphasises that the EWRS should ensure adequate funding from public and private sources in order to support the modernisation, upgrading, adaptation and maintenance of resilient water infrastructure, sustainable water management, data collection, research, effective monitoring, digitalisation, upskilling, nature-based solutions, the development and the uptake of innovative water-efficient technologies, as well as to ensure </w:t>
      </w:r>
      <w:r w:rsidR="006F7BE6" w:rsidRPr="008B20B2">
        <w:rPr>
          <w:szCs w:val="24"/>
        </w:rPr>
        <w:lastRenderedPageBreak/>
        <w:t>environmental and socio-economic sustainability in line with the goals set by the new European Competitiveness Compass;</w:t>
      </w:r>
      <w:proofErr w:type="gramEnd"/>
    </w:p>
    <w:p w14:paraId="10144CA7" w14:textId="4B10EC0F" w:rsidR="006F7BE6" w:rsidRPr="008B20B2" w:rsidRDefault="00880F56" w:rsidP="00C547A5">
      <w:pPr>
        <w:pStyle w:val="NormalHanging12a"/>
        <w:rPr>
          <w:szCs w:val="24"/>
        </w:rPr>
      </w:pPr>
      <w:proofErr w:type="gramStart"/>
      <w:r w:rsidRPr="008B20B2">
        <w:rPr>
          <w:szCs w:val="24"/>
        </w:rPr>
        <w:t>81</w:t>
      </w:r>
      <w:r w:rsidR="006F7BE6" w:rsidRPr="008B20B2">
        <w:rPr>
          <w:szCs w:val="24"/>
        </w:rPr>
        <w:t>.</w:t>
      </w:r>
      <w:r w:rsidR="006F7BE6" w:rsidRPr="008B20B2">
        <w:rPr>
          <w:szCs w:val="24"/>
        </w:rPr>
        <w:tab/>
        <w:t>Calls on the Commission to create a separate and dedicated fund for water resilience within the upcoming MFF; believes that specific financial mechanisms should also be established within the European Regional Development Fund and the Cohesion Fund to support water-smart technologies and water investment; strongly believes that, in the interim, water should be prioritised in existing funding frameworks, including the Cohesion Fund; stresses that EU funding mechanisms must incorporate considerations of social equity and affordability, in particular in the context of providing water services to the population, ensuring support for Member States and citizens with greater financial constraints and specific realities, while meeting water management obligations; highlights the importance of adjusting existing funding, subsidies and financing streams related to water management and other related land uses, moving away from outdated engineering solutions to innovative ones, as well as nature-based solutions or a combination thereof;</w:t>
      </w:r>
      <w:proofErr w:type="gramEnd"/>
    </w:p>
    <w:p w14:paraId="75CD51F2" w14:textId="633CDD4E" w:rsidR="006F7BE6" w:rsidRPr="008B20B2" w:rsidRDefault="00880F56" w:rsidP="00C547A5">
      <w:pPr>
        <w:pStyle w:val="NormalHanging12a"/>
        <w:rPr>
          <w:szCs w:val="24"/>
        </w:rPr>
      </w:pPr>
      <w:r w:rsidRPr="008B20B2">
        <w:rPr>
          <w:szCs w:val="24"/>
        </w:rPr>
        <w:t>82</w:t>
      </w:r>
      <w:r w:rsidR="006F7BE6" w:rsidRPr="008B20B2">
        <w:rPr>
          <w:szCs w:val="24"/>
        </w:rPr>
        <w:t>.</w:t>
      </w:r>
      <w:r w:rsidR="006F7BE6" w:rsidRPr="008B20B2">
        <w:rPr>
          <w:szCs w:val="24"/>
        </w:rPr>
        <w:tab/>
        <w:t>Calls for targeted funding, via Horizon Europe and the EIP-AGRI, for field trials on the water relations of different cropping systems; calls for the recognition of the role of women in water policies and for specific funding to be identified to promote their access to agriculture;</w:t>
      </w:r>
    </w:p>
    <w:p w14:paraId="60CDA25B" w14:textId="3102DBB8" w:rsidR="006F7BE6" w:rsidRPr="008B20B2" w:rsidRDefault="00880F56" w:rsidP="00C547A5">
      <w:pPr>
        <w:pStyle w:val="NormalHanging12a"/>
        <w:rPr>
          <w:szCs w:val="24"/>
        </w:rPr>
      </w:pPr>
      <w:proofErr w:type="gramStart"/>
      <w:r w:rsidRPr="008B20B2">
        <w:rPr>
          <w:szCs w:val="24"/>
        </w:rPr>
        <w:t>83</w:t>
      </w:r>
      <w:r w:rsidR="006F7BE6" w:rsidRPr="008B20B2">
        <w:rPr>
          <w:szCs w:val="24"/>
        </w:rPr>
        <w:t>.</w:t>
      </w:r>
      <w:r w:rsidR="006F7BE6" w:rsidRPr="008B20B2">
        <w:rPr>
          <w:szCs w:val="24"/>
        </w:rPr>
        <w:tab/>
        <w:t>Recalls that the lack of dedicated funding for water or binding funding targets within the current MFF limits the EU’s capacity to direct targeted investment towards essential water resilience measures, including infrastructure modernisation, innovation, climate adaptation measures and the implementation of nature-based solutions, and thus its competitive capacity, as the absence of a water balance creates an additional burden for the economy of the regions; notes that outermost and mountainous regions and islands in the EU are particularly struggling to access funding or public-private partnerships to support local and regional investment in water management and infrastructure;</w:t>
      </w:r>
      <w:proofErr w:type="gramEnd"/>
    </w:p>
    <w:p w14:paraId="4BDA5732" w14:textId="55B3E846" w:rsidR="006F7BE6" w:rsidRPr="008B20B2" w:rsidRDefault="00880F56" w:rsidP="00C547A5">
      <w:pPr>
        <w:pStyle w:val="NormalHanging12a"/>
        <w:rPr>
          <w:szCs w:val="24"/>
        </w:rPr>
      </w:pPr>
      <w:proofErr w:type="gramStart"/>
      <w:r w:rsidRPr="008B20B2">
        <w:rPr>
          <w:szCs w:val="24"/>
        </w:rPr>
        <w:t>84</w:t>
      </w:r>
      <w:r w:rsidR="006F7BE6" w:rsidRPr="008B20B2">
        <w:rPr>
          <w:szCs w:val="24"/>
        </w:rPr>
        <w:t>.</w:t>
      </w:r>
      <w:r w:rsidR="006F7BE6" w:rsidRPr="008B20B2">
        <w:rPr>
          <w:szCs w:val="24"/>
        </w:rPr>
        <w:tab/>
        <w:t>Stresses the important role of the European Investment Bank (EIB) in water financing; highlights the fact that the EIB is actively investing in and supporting the water sector; stresses that the EU should collaborate with the EIB to share best practice and calls, further, on the EIB and other financial institutions to strengthen their role in the funding of innovative and resilient water infrastructure, improved sanitation and drinking water infrastructure, digitalisation, as well as to support projects aimed at flood risk reduction, erosion prevention and the revitalization of watercourses, by facilitating favourable conditions for water investment;</w:t>
      </w:r>
      <w:proofErr w:type="gramEnd"/>
    </w:p>
    <w:p w14:paraId="125006B6" w14:textId="71E2BBBD" w:rsidR="006F7BE6" w:rsidRPr="008B20B2" w:rsidRDefault="00880F56" w:rsidP="00C547A5">
      <w:pPr>
        <w:pStyle w:val="NormalHanging12a"/>
        <w:rPr>
          <w:szCs w:val="24"/>
        </w:rPr>
      </w:pPr>
      <w:proofErr w:type="gramStart"/>
      <w:r w:rsidRPr="008B20B2">
        <w:rPr>
          <w:szCs w:val="24"/>
        </w:rPr>
        <w:t>85</w:t>
      </w:r>
      <w:r w:rsidR="006F7BE6" w:rsidRPr="008B20B2">
        <w:rPr>
          <w:szCs w:val="24"/>
        </w:rPr>
        <w:t>.</w:t>
      </w:r>
      <w:r w:rsidR="006F7BE6" w:rsidRPr="008B20B2">
        <w:rPr>
          <w:szCs w:val="24"/>
        </w:rPr>
        <w:tab/>
        <w:t>Urges the Commission to explore and promote innovative financing mechanisms, including payments for ecosystem services and green bonds, while ensuring regulatory clarity and safeguards to prevent market distortions; calls on the EIB and other financial institutions to prioritise low-interest loans and credits for Member States and regional and local authorities undertaking large-scale restoration projects, with specific provisions to support economically disadvantaged regions;</w:t>
      </w:r>
      <w:proofErr w:type="gramEnd"/>
    </w:p>
    <w:p w14:paraId="231E3D06" w14:textId="22493A99" w:rsidR="006F7BE6" w:rsidRPr="008B20B2" w:rsidRDefault="00880F56" w:rsidP="00C547A5">
      <w:pPr>
        <w:pStyle w:val="NormalHanging12a"/>
        <w:rPr>
          <w:szCs w:val="24"/>
        </w:rPr>
      </w:pPr>
      <w:proofErr w:type="gramStart"/>
      <w:r w:rsidRPr="008B20B2">
        <w:rPr>
          <w:szCs w:val="24"/>
        </w:rPr>
        <w:t>86</w:t>
      </w:r>
      <w:r w:rsidR="006F7BE6" w:rsidRPr="008B20B2">
        <w:rPr>
          <w:szCs w:val="24"/>
        </w:rPr>
        <w:t>.</w:t>
      </w:r>
      <w:r w:rsidR="006F7BE6" w:rsidRPr="008B20B2">
        <w:rPr>
          <w:szCs w:val="24"/>
        </w:rPr>
        <w:tab/>
        <w:t xml:space="preserve">Highlights the importance of public-private partnerships as a source of funding for water investment; calls on the Commission to incentivise private investment in the water sector by creating a supportive regulatory framework that may include co-financing opportunities and public-private partnerships in order to drive innovation, </w:t>
      </w:r>
      <w:r w:rsidR="006F7BE6" w:rsidRPr="008B20B2">
        <w:rPr>
          <w:szCs w:val="24"/>
        </w:rPr>
        <w:lastRenderedPageBreak/>
        <w:t>improve infrastructure and ensure sustainable water management solutions across the Member States; underlines, nevertheless, that the involvement of private investment in the EU water sector must not undermine the status of water as a public good and a public service, and that the long-term resilience of the sector, as well as the principles of accessibility, affordability and sustainability must be ensured;</w:t>
      </w:r>
      <w:proofErr w:type="gramEnd"/>
    </w:p>
    <w:p w14:paraId="5A17DEE7" w14:textId="6E59B9A6" w:rsidR="006F7BE6" w:rsidRPr="008B20B2" w:rsidRDefault="00880F56" w:rsidP="00C547A5">
      <w:pPr>
        <w:pStyle w:val="NormalHanging12a"/>
        <w:rPr>
          <w:szCs w:val="24"/>
        </w:rPr>
      </w:pPr>
      <w:r w:rsidRPr="008B20B2">
        <w:rPr>
          <w:szCs w:val="24"/>
        </w:rPr>
        <w:t>87</w:t>
      </w:r>
      <w:r w:rsidR="006F7BE6" w:rsidRPr="008B20B2">
        <w:rPr>
          <w:szCs w:val="24"/>
        </w:rPr>
        <w:t>.</w:t>
      </w:r>
      <w:r w:rsidR="006F7BE6" w:rsidRPr="008B20B2">
        <w:rPr>
          <w:szCs w:val="24"/>
        </w:rPr>
        <w:tab/>
        <w:t>Calls on the Member States to adopt governance frameworks that clearly define the roles and responsibilities of stakeholders in planning, financing and implementing nature-based solutions; believes that these frameworks should integrate funding from diverse sources, including philanthropic contributions and private-sector partnerships, while ensuring equitable access to resources for small-scale projects, particularly managed at local or regional levels;</w:t>
      </w:r>
    </w:p>
    <w:p w14:paraId="60CF27F2" w14:textId="03340CBF" w:rsidR="006F7BE6" w:rsidRPr="008B20B2" w:rsidRDefault="00880F56" w:rsidP="00C547A5">
      <w:pPr>
        <w:pStyle w:val="NormalHanging12a"/>
        <w:rPr>
          <w:szCs w:val="24"/>
        </w:rPr>
      </w:pPr>
      <w:r w:rsidRPr="008B20B2">
        <w:rPr>
          <w:szCs w:val="24"/>
        </w:rPr>
        <w:t>88</w:t>
      </w:r>
      <w:r w:rsidR="006F7BE6" w:rsidRPr="008B20B2">
        <w:rPr>
          <w:szCs w:val="24"/>
        </w:rPr>
        <w:t>.</w:t>
      </w:r>
      <w:r w:rsidR="006F7BE6" w:rsidRPr="008B20B2">
        <w:rPr>
          <w:szCs w:val="24"/>
        </w:rPr>
        <w:tab/>
      </w:r>
      <w:proofErr w:type="gramStart"/>
      <w:r w:rsidR="006F7BE6" w:rsidRPr="008B20B2">
        <w:rPr>
          <w:szCs w:val="24"/>
        </w:rPr>
        <w:t>Urges</w:t>
      </w:r>
      <w:proofErr w:type="gramEnd"/>
      <w:r w:rsidR="006F7BE6" w:rsidRPr="008B20B2">
        <w:rPr>
          <w:szCs w:val="24"/>
        </w:rPr>
        <w:t xml:space="preserve"> the Commission and the Member States to address water aspects in their budgets and to improve governance within the regions in the use of EU funds;</w:t>
      </w:r>
    </w:p>
    <w:p w14:paraId="063C5B90" w14:textId="7ED99D2D" w:rsidR="006F7BE6" w:rsidRPr="008B20B2" w:rsidRDefault="00880F56" w:rsidP="00C547A5">
      <w:pPr>
        <w:pStyle w:val="NormalHanging12a"/>
        <w:rPr>
          <w:szCs w:val="24"/>
        </w:rPr>
      </w:pPr>
      <w:r w:rsidRPr="008B20B2">
        <w:rPr>
          <w:szCs w:val="24"/>
        </w:rPr>
        <w:t>89</w:t>
      </w:r>
      <w:r w:rsidR="006F7BE6" w:rsidRPr="008B20B2">
        <w:rPr>
          <w:szCs w:val="24"/>
        </w:rPr>
        <w:t>.</w:t>
      </w:r>
      <w:r w:rsidR="006F7BE6" w:rsidRPr="008B20B2">
        <w:rPr>
          <w:szCs w:val="24"/>
        </w:rPr>
        <w:tab/>
      </w:r>
      <w:proofErr w:type="gramStart"/>
      <w:r w:rsidR="006F7BE6" w:rsidRPr="008B20B2">
        <w:rPr>
          <w:szCs w:val="24"/>
        </w:rPr>
        <w:t>Underlines</w:t>
      </w:r>
      <w:proofErr w:type="gramEnd"/>
      <w:r w:rsidR="006F7BE6" w:rsidRPr="008B20B2">
        <w:rPr>
          <w:szCs w:val="24"/>
        </w:rPr>
        <w:t xml:space="preserve"> the need to provide targeted financial and technical assistance to municipalities to facilitate compliance with water-related legislation;</w:t>
      </w:r>
    </w:p>
    <w:p w14:paraId="54916553" w14:textId="7D6FC47A" w:rsidR="006F7BE6" w:rsidRPr="008B20B2" w:rsidRDefault="00880F56" w:rsidP="00C547A5">
      <w:pPr>
        <w:pStyle w:val="NormalHanging12a"/>
        <w:rPr>
          <w:szCs w:val="24"/>
        </w:rPr>
      </w:pPr>
      <w:r w:rsidRPr="008B20B2">
        <w:rPr>
          <w:szCs w:val="24"/>
        </w:rPr>
        <w:t>90</w:t>
      </w:r>
      <w:r w:rsidR="006F7BE6" w:rsidRPr="008B20B2">
        <w:rPr>
          <w:szCs w:val="24"/>
        </w:rPr>
        <w:t>.</w:t>
      </w:r>
      <w:r w:rsidR="006F7BE6" w:rsidRPr="008B20B2">
        <w:rPr>
          <w:szCs w:val="24"/>
        </w:rPr>
        <w:tab/>
        <w:t>Encourages the Member States to accelerate the granting of authorisations for sustainable and innovative resilient water infrastructure projects to enable their rapid implementation in the face of the urgent challenges</w:t>
      </w:r>
      <w:proofErr w:type="gramStart"/>
      <w:r w:rsidR="006F7BE6" w:rsidRPr="008B20B2">
        <w:rPr>
          <w:szCs w:val="24"/>
        </w:rPr>
        <w:t>;</w:t>
      </w:r>
      <w:proofErr w:type="gramEnd"/>
    </w:p>
    <w:p w14:paraId="68E8FBF7" w14:textId="43D17A46" w:rsidR="006F7BE6" w:rsidRPr="008B20B2" w:rsidRDefault="00880F56" w:rsidP="00C547A5">
      <w:pPr>
        <w:pStyle w:val="NormalHanging12a"/>
        <w:rPr>
          <w:szCs w:val="24"/>
        </w:rPr>
      </w:pPr>
      <w:proofErr w:type="gramStart"/>
      <w:r w:rsidRPr="008B20B2">
        <w:rPr>
          <w:szCs w:val="24"/>
        </w:rPr>
        <w:t>91</w:t>
      </w:r>
      <w:r w:rsidR="006F7BE6" w:rsidRPr="008B20B2">
        <w:rPr>
          <w:szCs w:val="24"/>
        </w:rPr>
        <w:t>.</w:t>
      </w:r>
      <w:r w:rsidR="006F7BE6" w:rsidRPr="008B20B2">
        <w:rPr>
          <w:szCs w:val="24"/>
        </w:rPr>
        <w:tab/>
        <w:t>Notes that the application of the cost recovery principle on water services, which provides that all water users effectively and proportionately participate financially in the recovery of the costs of water services, remains low to non-existent in several Member States; calls on the Member States and their regional authorities to implement adequate water pricing policies and apply the cost recovery principle for both environmental and resource costs in line with the WFD; calls on the Member States to take into account the long investment cycles when implementing the cost recovery principle and to ensure sufficient funding is available for needed (re)investment;</w:t>
      </w:r>
      <w:proofErr w:type="gramEnd"/>
    </w:p>
    <w:p w14:paraId="4D171243" w14:textId="564CB64E" w:rsidR="006F7BE6" w:rsidRPr="008B20B2" w:rsidRDefault="00880F56" w:rsidP="00C547A5">
      <w:pPr>
        <w:pStyle w:val="NormalHanging12a"/>
        <w:rPr>
          <w:szCs w:val="24"/>
        </w:rPr>
      </w:pPr>
      <w:proofErr w:type="gramStart"/>
      <w:r w:rsidRPr="008B20B2">
        <w:rPr>
          <w:szCs w:val="24"/>
        </w:rPr>
        <w:t>92</w:t>
      </w:r>
      <w:r w:rsidR="006F7BE6" w:rsidRPr="008B20B2">
        <w:rPr>
          <w:szCs w:val="24"/>
        </w:rPr>
        <w:t>.</w:t>
      </w:r>
      <w:r w:rsidR="006F7BE6" w:rsidRPr="008B20B2">
        <w:rPr>
          <w:szCs w:val="24"/>
        </w:rPr>
        <w:tab/>
        <w:t>Stresses the importance of ensuring that water pricing supports long-term water security by reflecting the economic, environmental and resource costs of water use; encourages the Member States and competent regional and local authorities to ensure that water pricing is economically sustainable, socially fair and promotes efficient water use, and that it reflects the availability of water across different Member States and regions, particularly in water-stressed regions, while safeguarding affordability for households and small businesses; calls on the Member States and competent regional and local authorities to insure transparent water prices and to raise awareness of the value of water services;</w:t>
      </w:r>
      <w:proofErr w:type="gramEnd"/>
    </w:p>
    <w:p w14:paraId="092484E3" w14:textId="57FAB73C" w:rsidR="006F7BE6" w:rsidRPr="008B20B2" w:rsidRDefault="00880F56" w:rsidP="00C547A5">
      <w:pPr>
        <w:pStyle w:val="NormalHanging12a"/>
        <w:rPr>
          <w:szCs w:val="24"/>
        </w:rPr>
      </w:pPr>
      <w:proofErr w:type="gramStart"/>
      <w:r w:rsidRPr="008B20B2">
        <w:rPr>
          <w:szCs w:val="24"/>
        </w:rPr>
        <w:t>93</w:t>
      </w:r>
      <w:r w:rsidR="006F7BE6" w:rsidRPr="008B20B2">
        <w:rPr>
          <w:szCs w:val="24"/>
        </w:rPr>
        <w:t>.</w:t>
      </w:r>
      <w:r w:rsidR="006F7BE6" w:rsidRPr="008B20B2">
        <w:rPr>
          <w:szCs w:val="24"/>
        </w:rPr>
        <w:tab/>
        <w:t>Points out that competent national water authorities will play a central role in implementing new water management and conservation plans at the level of the Member States; calls, therefore, on the Members States to financially and technically increase the capacity of those competent authorities to play a more significant enabling and advisory role in sustainable and future-proof water management and storage infrastructure; believes that EU funds, such as the Just Transition Fund, should be used to further assist Member States and water agencies in implementation;</w:t>
      </w:r>
      <w:proofErr w:type="gramEnd"/>
    </w:p>
    <w:p w14:paraId="590AA532" w14:textId="77777777" w:rsidR="006F7BE6" w:rsidRPr="008B20B2" w:rsidRDefault="006F7BE6" w:rsidP="00C547A5">
      <w:pPr>
        <w:pStyle w:val="NormalHanging12a"/>
        <w:rPr>
          <w:b/>
          <w:i/>
          <w:szCs w:val="24"/>
        </w:rPr>
      </w:pPr>
      <w:r w:rsidRPr="008B20B2">
        <w:rPr>
          <w:b/>
          <w:i/>
          <w:szCs w:val="24"/>
        </w:rPr>
        <w:t>Digitalisation, security and technological innovation</w:t>
      </w:r>
    </w:p>
    <w:p w14:paraId="087059DE" w14:textId="48545E06" w:rsidR="006F7BE6" w:rsidRPr="008B20B2" w:rsidRDefault="00880F56" w:rsidP="00C547A5">
      <w:pPr>
        <w:pStyle w:val="NormalHanging12a"/>
        <w:rPr>
          <w:szCs w:val="24"/>
        </w:rPr>
      </w:pPr>
      <w:r w:rsidRPr="008B20B2">
        <w:rPr>
          <w:szCs w:val="24"/>
        </w:rPr>
        <w:lastRenderedPageBreak/>
        <w:t>94</w:t>
      </w:r>
      <w:r w:rsidR="006F7BE6" w:rsidRPr="008B20B2">
        <w:rPr>
          <w:szCs w:val="24"/>
        </w:rPr>
        <w:t>.</w:t>
      </w:r>
      <w:r w:rsidR="006F7BE6" w:rsidRPr="008B20B2">
        <w:rPr>
          <w:szCs w:val="24"/>
        </w:rPr>
        <w:tab/>
        <w:t>Stresses the potential and the necessity for digitalisation and AI in improving the management and monitoring of bodies of water and water infrastructure, as well as in reporting and ensuring the comparability of data reflecting different geographical flow conditions</w:t>
      </w:r>
      <w:proofErr w:type="gramStart"/>
      <w:r w:rsidR="006F7BE6" w:rsidRPr="008B20B2">
        <w:rPr>
          <w:szCs w:val="24"/>
        </w:rPr>
        <w:t>;</w:t>
      </w:r>
      <w:proofErr w:type="gramEnd"/>
    </w:p>
    <w:p w14:paraId="59343FF0" w14:textId="67A7F53A" w:rsidR="006F7BE6" w:rsidRPr="008B20B2" w:rsidRDefault="00880F56" w:rsidP="00C547A5">
      <w:pPr>
        <w:pStyle w:val="NormalHanging12a"/>
        <w:rPr>
          <w:szCs w:val="24"/>
        </w:rPr>
      </w:pPr>
      <w:proofErr w:type="gramStart"/>
      <w:r w:rsidRPr="008B20B2">
        <w:rPr>
          <w:szCs w:val="24"/>
        </w:rPr>
        <w:t>95</w:t>
      </w:r>
      <w:r w:rsidR="006F7BE6" w:rsidRPr="008B20B2">
        <w:rPr>
          <w:szCs w:val="24"/>
        </w:rPr>
        <w:t>.</w:t>
      </w:r>
      <w:r w:rsidR="006F7BE6" w:rsidRPr="008B20B2">
        <w:rPr>
          <w:szCs w:val="24"/>
        </w:rPr>
        <w:tab/>
        <w:t>Calls on the Commission, the Member States and water providers to mainstream transparency and digitalisation as fundamental principles in water management and to enhance the use of management and metering data, with the aim of strengthening monitoring, assessment, accountability and decision-making, while optimising and simplifying reporting obligations; calls for digitally enabled water technologies to facilitate real-time, sample-based and distance monitoring and reporting on water quality, leakages, usage and resources; calls for improved efficiency in the use of public funds and public spending in this area; recognises that widespread deployment of innovative digital technologies needs to be accompanied by digital skills training;</w:t>
      </w:r>
      <w:proofErr w:type="gramEnd"/>
    </w:p>
    <w:p w14:paraId="4485AD0F" w14:textId="3177A53C" w:rsidR="006F7BE6" w:rsidRPr="008B20B2" w:rsidRDefault="00880F56" w:rsidP="00C547A5">
      <w:pPr>
        <w:pStyle w:val="NormalHanging12a"/>
        <w:rPr>
          <w:szCs w:val="24"/>
        </w:rPr>
      </w:pPr>
      <w:proofErr w:type="gramStart"/>
      <w:r w:rsidRPr="008B20B2">
        <w:rPr>
          <w:szCs w:val="24"/>
        </w:rPr>
        <w:t>96</w:t>
      </w:r>
      <w:r w:rsidR="006F7BE6" w:rsidRPr="008B20B2">
        <w:rPr>
          <w:szCs w:val="24"/>
        </w:rPr>
        <w:t>.</w:t>
      </w:r>
      <w:r w:rsidR="006F7BE6" w:rsidRPr="008B20B2">
        <w:rPr>
          <w:szCs w:val="24"/>
        </w:rPr>
        <w:tab/>
        <w:t>Emphasises the need to promote digitalisation and data-centric solutions in building a water-smart society; stresses the need to develop digital solutions for monitoring water consumption and optimising the use of water resources across all sectors; calls on the Commission, in cooperation with the Member States, to provide financial support for the implementation of smart water management systems, focusing on the needs of small and medium-sized enterprises (SMEs);</w:t>
      </w:r>
      <w:proofErr w:type="gramEnd"/>
    </w:p>
    <w:p w14:paraId="574CEE3E" w14:textId="560ACF9A" w:rsidR="006F7BE6" w:rsidRPr="008B20B2" w:rsidRDefault="00880F56" w:rsidP="00C547A5">
      <w:pPr>
        <w:pStyle w:val="NormalHanging12a"/>
        <w:rPr>
          <w:szCs w:val="24"/>
        </w:rPr>
      </w:pPr>
      <w:proofErr w:type="gramStart"/>
      <w:r w:rsidRPr="008B20B2">
        <w:rPr>
          <w:szCs w:val="24"/>
        </w:rPr>
        <w:t>97</w:t>
      </w:r>
      <w:r w:rsidR="006F7BE6" w:rsidRPr="008B20B2">
        <w:rPr>
          <w:szCs w:val="24"/>
        </w:rPr>
        <w:t>.</w:t>
      </w:r>
      <w:r w:rsidR="006F7BE6" w:rsidRPr="008B20B2">
        <w:rPr>
          <w:szCs w:val="24"/>
        </w:rPr>
        <w:tab/>
        <w:t xml:space="preserve">Points out that water systems, including water treatment and distribution systems, are considered one of the nation’s critical infrastructures and security pillars, and hence key for the EU’s strategic autonomy, and require increased protection and the ability of utilities to detect, respond to, and recover from physical and </w:t>
      </w:r>
      <w:proofErr w:type="spellStart"/>
      <w:r w:rsidR="006F7BE6" w:rsidRPr="008B20B2">
        <w:rPr>
          <w:szCs w:val="24"/>
        </w:rPr>
        <w:t>cyberthreats</w:t>
      </w:r>
      <w:proofErr w:type="spellEnd"/>
      <w:r w:rsidR="006F7BE6" w:rsidRPr="008B20B2">
        <w:rPr>
          <w:szCs w:val="24"/>
        </w:rPr>
        <w:t xml:space="preserve"> and cyberattacks; notes that a higher level of digitalisation comes with new vulnerabilities; points out that, in the event of a threat or an attack, water system operators can lose their ability to control the flow and quality of the water or lose the ability to track the true status of the water system; insists that vulnerability assessments and an emergency response plan should be an integral part of the water management system in every Member State; encourages the promotion of information sharing about threats to cybersecurity and procedures to exchange best practice among operators, as well as to establish a cybersecurity culture through technical security measures, competence building and awareness creation and communication; draws attention to the measures and provisions in the NIS2 Directive and the Critical Entities Resilience Directive which could help mitigate the arising security risks; calls on the Commission to take the lead in reinforcing the EU-level coordination formats and to propose effective tools in the upcoming Preparedness Union Strategy with the aim of ensuring timely preparedness to tackle environmental and non-environmental risks to the water bodies that are threatening the EU’s overall security;</w:t>
      </w:r>
      <w:proofErr w:type="gramEnd"/>
    </w:p>
    <w:p w14:paraId="3D5C998A" w14:textId="77CB3ADB" w:rsidR="006F7BE6" w:rsidRPr="008B20B2" w:rsidRDefault="00880F56" w:rsidP="00C547A5">
      <w:pPr>
        <w:pStyle w:val="NormalHanging12a"/>
        <w:rPr>
          <w:szCs w:val="24"/>
        </w:rPr>
      </w:pPr>
      <w:r w:rsidRPr="008B20B2">
        <w:rPr>
          <w:szCs w:val="24"/>
        </w:rPr>
        <w:t>98</w:t>
      </w:r>
      <w:r w:rsidR="006F7BE6" w:rsidRPr="008B20B2">
        <w:rPr>
          <w:szCs w:val="24"/>
        </w:rPr>
        <w:t>.</w:t>
      </w:r>
      <w:r w:rsidR="006F7BE6" w:rsidRPr="008B20B2">
        <w:rPr>
          <w:szCs w:val="24"/>
        </w:rPr>
        <w:tab/>
        <w:t>Calls on the Commission and the Member States to increase the involvement of women in decisions regarding water resilience; calls for the adoption of a methodological approach that effectively considers gender-related needs in the implementation of water supply projects, by implementing monitoring, reporting and tracking that use tools and indicators disaggregated by gender;</w:t>
      </w:r>
    </w:p>
    <w:p w14:paraId="247B14E2" w14:textId="4A9DE3B0" w:rsidR="006F7BE6" w:rsidRPr="008B20B2" w:rsidRDefault="00880F56" w:rsidP="00C547A5">
      <w:pPr>
        <w:pStyle w:val="NormalHanging12a"/>
        <w:rPr>
          <w:szCs w:val="24"/>
        </w:rPr>
      </w:pPr>
      <w:r w:rsidRPr="008B20B2">
        <w:rPr>
          <w:szCs w:val="24"/>
        </w:rPr>
        <w:t>99</w:t>
      </w:r>
      <w:r w:rsidR="006F7BE6" w:rsidRPr="008B20B2">
        <w:rPr>
          <w:szCs w:val="24"/>
        </w:rPr>
        <w:t>.</w:t>
      </w:r>
      <w:r w:rsidR="006F7BE6" w:rsidRPr="008B20B2">
        <w:rPr>
          <w:szCs w:val="24"/>
        </w:rPr>
        <w:tab/>
        <w:t xml:space="preserve">Notes that better data and data analysis are key to evidence-based decision-making and the swift identification of small changes in water quality that could present a threat to </w:t>
      </w:r>
      <w:r w:rsidR="006F7BE6" w:rsidRPr="008B20B2">
        <w:rPr>
          <w:szCs w:val="24"/>
        </w:rPr>
        <w:lastRenderedPageBreak/>
        <w:t>bodies of water, together with the evaluation of best practice and identification of the most cost-effective and impactful measures;</w:t>
      </w:r>
    </w:p>
    <w:p w14:paraId="20DCDC19" w14:textId="2634A1CB" w:rsidR="006F7BE6" w:rsidRPr="008B20B2" w:rsidRDefault="00880F56" w:rsidP="00C547A5">
      <w:pPr>
        <w:pStyle w:val="NormalHanging12a"/>
        <w:rPr>
          <w:szCs w:val="24"/>
        </w:rPr>
      </w:pPr>
      <w:proofErr w:type="gramStart"/>
      <w:r w:rsidRPr="008B20B2">
        <w:rPr>
          <w:szCs w:val="24"/>
        </w:rPr>
        <w:t>100</w:t>
      </w:r>
      <w:r w:rsidR="006F7BE6" w:rsidRPr="008B20B2">
        <w:rPr>
          <w:szCs w:val="24"/>
        </w:rPr>
        <w:t>.</w:t>
      </w:r>
      <w:r w:rsidR="006F7BE6" w:rsidRPr="008B20B2">
        <w:rPr>
          <w:szCs w:val="24"/>
        </w:rPr>
        <w:tab/>
        <w:t>Stresses that improved, reliable and interoperable data on water supply, demand, distribution, accessibility and use are needed and that data points need to be established; urges the Commission and the Member States to enhance data collection and improve data interoperability across all levels to support the implementation of current water legislation, as well as to facilitate circular economy and water-smart industrial symbiosis strategies; highlights the fact that data and AI could be used in modelling water and energy consumption as well as reuse and recycling capacities;</w:t>
      </w:r>
      <w:proofErr w:type="gramEnd"/>
    </w:p>
    <w:p w14:paraId="53F4752F" w14:textId="4C2FADD4" w:rsidR="006F7BE6" w:rsidRPr="008B20B2" w:rsidRDefault="00880F56" w:rsidP="00C547A5">
      <w:pPr>
        <w:pStyle w:val="NormalHanging12a"/>
        <w:rPr>
          <w:szCs w:val="24"/>
        </w:rPr>
      </w:pPr>
      <w:proofErr w:type="gramStart"/>
      <w:r w:rsidRPr="008B20B2">
        <w:rPr>
          <w:szCs w:val="24"/>
        </w:rPr>
        <w:t>101</w:t>
      </w:r>
      <w:r w:rsidR="006F7BE6" w:rsidRPr="008B20B2">
        <w:rPr>
          <w:szCs w:val="24"/>
        </w:rPr>
        <w:t>.</w:t>
      </w:r>
      <w:r w:rsidR="006F7BE6" w:rsidRPr="008B20B2">
        <w:rPr>
          <w:szCs w:val="24"/>
        </w:rPr>
        <w:tab/>
        <w:t>Calls on the Commission to better recognise the fundamental role of the water sector in bolstering EU competiveness by fostering research and innovation and promoting entrepreneurship and talent; emphasises, in this regard, the importance of ramping up innovation in the water sector; points out that the European Innovation Centre for Industrial Transformation and Emissions, created as part of Directive 2010/75/EU, could play a role in this regard, as it evaluates the environmental performance of industrial technologies and gathers information on innovative industrial environmental techniques; points, further, to existing partnerships like the Water4All Partnership, a funding programme for scientific research;</w:t>
      </w:r>
      <w:proofErr w:type="gramEnd"/>
    </w:p>
    <w:p w14:paraId="64407E90" w14:textId="5C2C89FC" w:rsidR="006F7BE6" w:rsidRPr="008B20B2" w:rsidRDefault="00880F56" w:rsidP="00C547A5">
      <w:pPr>
        <w:pStyle w:val="NormalHanging12a"/>
        <w:rPr>
          <w:szCs w:val="24"/>
        </w:rPr>
      </w:pPr>
      <w:proofErr w:type="gramStart"/>
      <w:r w:rsidRPr="008B20B2">
        <w:rPr>
          <w:szCs w:val="24"/>
        </w:rPr>
        <w:t>102</w:t>
      </w:r>
      <w:r w:rsidR="006F7BE6" w:rsidRPr="008B20B2">
        <w:rPr>
          <w:szCs w:val="24"/>
        </w:rPr>
        <w:t>.</w:t>
      </w:r>
      <w:r w:rsidR="006F7BE6" w:rsidRPr="008B20B2">
        <w:rPr>
          <w:szCs w:val="24"/>
        </w:rPr>
        <w:tab/>
        <w:t>Believes that there is a need to build and nurture multi-stakeholder platforms to promote innovation uptake at all levels, local and national; recommends that these platforms involve a wide range of participants – the public and private sectors, and civil society associations – to build a coalition of partners to bring about change; supports the promotion of knowledge sharing on how digital water technologies can support the implementation of existing EU water legislation, as well as capacity building at local, regional and national levels; calls on the Commission and the Members States to expand digital skills, and research and development (R&amp;D) programmes targeting water, including through collaboration with universities, research centres and SMEs;</w:t>
      </w:r>
      <w:proofErr w:type="gramEnd"/>
    </w:p>
    <w:p w14:paraId="19444922" w14:textId="33B67EEF" w:rsidR="006F7BE6" w:rsidRPr="008B20B2" w:rsidRDefault="00880F56" w:rsidP="00C547A5">
      <w:pPr>
        <w:pStyle w:val="NormalHanging12a"/>
        <w:rPr>
          <w:szCs w:val="24"/>
        </w:rPr>
      </w:pPr>
      <w:proofErr w:type="gramStart"/>
      <w:r w:rsidRPr="008B20B2">
        <w:rPr>
          <w:szCs w:val="24"/>
        </w:rPr>
        <w:t>103</w:t>
      </w:r>
      <w:r w:rsidR="006F7BE6" w:rsidRPr="008B20B2">
        <w:rPr>
          <w:szCs w:val="24"/>
        </w:rPr>
        <w:t>.</w:t>
      </w:r>
      <w:r w:rsidR="006F7BE6" w:rsidRPr="008B20B2">
        <w:rPr>
          <w:szCs w:val="24"/>
        </w:rPr>
        <w:tab/>
        <w:t>Acknowledges the critical role of data centres in the digital economy; notes with concern that the rapid expansion of the technology could lead to a substantial increase in AI’s demand for water resources associated with their operations, which could undermine the environmental benefits that AI promises to deliver, such as resource optimisation and carbon emission reductions, and stresses the need to integrate water efficiency measures in their design and operation; urges the Commission to address the use of water resources by information and communications technologies (ICT) and, in particular, by AI and data centres in its EWRS, in particular by encouraging data centres to reuse treated water and to promote the design of more efficient chips and components to reduce the need for cooling; recommends that the Member States prioritise water resilience strategies that address the specific challenges posed by data centres to ensure the sustainability of both the digital and the environmental agendas;</w:t>
      </w:r>
      <w:proofErr w:type="gramEnd"/>
    </w:p>
    <w:p w14:paraId="6BB669A0" w14:textId="7B30705C" w:rsidR="006F7BE6" w:rsidRPr="008B20B2" w:rsidRDefault="00880F56" w:rsidP="00C547A5">
      <w:pPr>
        <w:pStyle w:val="NormalHanging12a"/>
        <w:rPr>
          <w:szCs w:val="24"/>
        </w:rPr>
      </w:pPr>
      <w:proofErr w:type="gramStart"/>
      <w:r w:rsidRPr="008B20B2">
        <w:rPr>
          <w:szCs w:val="24"/>
        </w:rPr>
        <w:t>104</w:t>
      </w:r>
      <w:r w:rsidR="006F7BE6" w:rsidRPr="008B20B2">
        <w:rPr>
          <w:szCs w:val="24"/>
        </w:rPr>
        <w:t>.</w:t>
      </w:r>
      <w:r w:rsidR="006F7BE6" w:rsidRPr="008B20B2">
        <w:rPr>
          <w:szCs w:val="24"/>
        </w:rPr>
        <w:tab/>
        <w:t xml:space="preserve">Recalls that seawater desalination is the process of removing salt from sea or brackish water to make it useable for a range of ‘fit for use’ purposes, including drinking, and that it is thus an important technological solution for people’s livelihoods; notes that, at the same time, desalination is an energy-intensive process and should ideally be done using renewable energy, whenever possible, in order to minimise environmental impacts; reiterates that desalination produces a by-product, brine (a concentrated salt solution), that must be properly disposed of to avoid adverse impacts on the marine </w:t>
      </w:r>
      <w:r w:rsidR="006F7BE6" w:rsidRPr="008B20B2">
        <w:rPr>
          <w:szCs w:val="24"/>
        </w:rPr>
        <w:lastRenderedPageBreak/>
        <w:t>environment; considers, therefore, that desalination based on reverse osmosis or thermal technologies should be applied, if other more environmentally sustainable options are not available or cannot be implemented, particularly in remote areas and islands; highlights, in this regard, the ongoing work on new technological solutions, such as microbial desalination cells, offering an environmentally sustainable and innovative alternative to traditional desalination methods, particularly to provide clean water and wastewater treatment to small, isolated locations without electricity;</w:t>
      </w:r>
      <w:proofErr w:type="gramEnd"/>
    </w:p>
    <w:p w14:paraId="4FFF1BE1" w14:textId="79C6DCEF" w:rsidR="006F7BE6" w:rsidRPr="008B20B2" w:rsidRDefault="00880F56" w:rsidP="00C547A5">
      <w:pPr>
        <w:pStyle w:val="NormalHanging12a"/>
        <w:rPr>
          <w:szCs w:val="24"/>
        </w:rPr>
      </w:pPr>
      <w:r w:rsidRPr="008B20B2">
        <w:rPr>
          <w:szCs w:val="24"/>
        </w:rPr>
        <w:t>105</w:t>
      </w:r>
      <w:r w:rsidR="006F7BE6" w:rsidRPr="008B20B2">
        <w:rPr>
          <w:szCs w:val="24"/>
        </w:rPr>
        <w:t>.</w:t>
      </w:r>
      <w:r w:rsidR="006F7BE6" w:rsidRPr="008B20B2">
        <w:rPr>
          <w:szCs w:val="24"/>
        </w:rPr>
        <w:tab/>
        <w:t>Stresses the need for increased funding and R&amp;D into technologies such as innovative desalination techniques in order to increase the efficiency, sustainability and the scaling up of such technologies; calls for research into the possibilities of using such technologies in agriculture to diversify the water supply points and therefore decrease the vulnerability of the sector to water stress;</w:t>
      </w:r>
    </w:p>
    <w:p w14:paraId="08DD7137" w14:textId="5D16BDD9" w:rsidR="006F7BE6" w:rsidRPr="008B20B2" w:rsidRDefault="00880F56" w:rsidP="00C547A5">
      <w:pPr>
        <w:pStyle w:val="NormalHanging12a"/>
        <w:rPr>
          <w:szCs w:val="24"/>
        </w:rPr>
      </w:pPr>
      <w:r w:rsidRPr="008B20B2">
        <w:rPr>
          <w:szCs w:val="24"/>
        </w:rPr>
        <w:t>106</w:t>
      </w:r>
      <w:r w:rsidR="006F7BE6" w:rsidRPr="008B20B2">
        <w:rPr>
          <w:szCs w:val="24"/>
        </w:rPr>
        <w:t>.</w:t>
      </w:r>
      <w:r w:rsidR="006F7BE6" w:rsidRPr="008B20B2">
        <w:rPr>
          <w:szCs w:val="24"/>
        </w:rPr>
        <w:tab/>
        <w:t>Notes that in the last decade, there have been many scientific breakthroughs for making water treatment smarter and more circular, with these solutions offering opportunities for using digital solutions, AI and remote sensing to use water more efficiently and by reusing treated wastewater for irrigation and recovering energy and nutrients from wastewater;</w:t>
      </w:r>
    </w:p>
    <w:p w14:paraId="324D02BA" w14:textId="4C7E25F1" w:rsidR="006F7BE6" w:rsidRPr="008B20B2" w:rsidRDefault="00880F56" w:rsidP="00C547A5">
      <w:pPr>
        <w:pStyle w:val="NormalHanging12a"/>
        <w:rPr>
          <w:szCs w:val="24"/>
        </w:rPr>
      </w:pPr>
      <w:r w:rsidRPr="008B20B2">
        <w:rPr>
          <w:szCs w:val="24"/>
        </w:rPr>
        <w:t>107</w:t>
      </w:r>
      <w:r w:rsidR="006F7BE6" w:rsidRPr="008B20B2">
        <w:rPr>
          <w:szCs w:val="24"/>
        </w:rPr>
        <w:t>.</w:t>
      </w:r>
      <w:r w:rsidR="006F7BE6" w:rsidRPr="008B20B2">
        <w:rPr>
          <w:szCs w:val="24"/>
        </w:rPr>
        <w:tab/>
        <w:t xml:space="preserve">Calls on the Commission and the Member States to address the regulatory obstacles within the single market to facilitate the development, scaling-up, and placing on the market of innovative biotechnology and </w:t>
      </w:r>
      <w:proofErr w:type="spellStart"/>
      <w:r w:rsidR="006F7BE6" w:rsidRPr="008B20B2">
        <w:rPr>
          <w:szCs w:val="24"/>
        </w:rPr>
        <w:t>biomanufacturing</w:t>
      </w:r>
      <w:proofErr w:type="spellEnd"/>
      <w:r w:rsidR="006F7BE6" w:rsidRPr="008B20B2">
        <w:rPr>
          <w:szCs w:val="24"/>
        </w:rPr>
        <w:t xml:space="preserve"> solutions and the promotion of cleaner manufacturing and circularity;</w:t>
      </w:r>
    </w:p>
    <w:p w14:paraId="4F6E78CE" w14:textId="1E826EE9" w:rsidR="006F7BE6" w:rsidRPr="008B20B2" w:rsidRDefault="00880F56" w:rsidP="00C547A5">
      <w:pPr>
        <w:pStyle w:val="NormalHanging12a"/>
        <w:rPr>
          <w:szCs w:val="24"/>
        </w:rPr>
      </w:pPr>
      <w:r w:rsidRPr="008B20B2">
        <w:rPr>
          <w:szCs w:val="24"/>
        </w:rPr>
        <w:t>108</w:t>
      </w:r>
      <w:r w:rsidR="006F7BE6" w:rsidRPr="008B20B2">
        <w:rPr>
          <w:szCs w:val="24"/>
        </w:rPr>
        <w:t>.</w:t>
      </w:r>
      <w:r w:rsidR="006F7BE6" w:rsidRPr="008B20B2">
        <w:rPr>
          <w:szCs w:val="24"/>
        </w:rPr>
        <w:tab/>
        <w:t xml:space="preserve">Calls for the funding, development and authorisation of innovative solutions for crop protection and fertilisation, including biological control agents and active substances with lower impact on the environment, which </w:t>
      </w:r>
      <w:proofErr w:type="gramStart"/>
      <w:r w:rsidR="006F7BE6" w:rsidRPr="008B20B2">
        <w:rPr>
          <w:szCs w:val="24"/>
        </w:rPr>
        <w:t>are needed</w:t>
      </w:r>
      <w:proofErr w:type="gramEnd"/>
      <w:r w:rsidR="006F7BE6" w:rsidRPr="008B20B2">
        <w:rPr>
          <w:szCs w:val="24"/>
        </w:rPr>
        <w:t xml:space="preserve"> for a just transition to more sustainable agricultural systems;</w:t>
      </w:r>
    </w:p>
    <w:p w14:paraId="5C1D4B81" w14:textId="0CE5AAC1" w:rsidR="006F7BE6" w:rsidRPr="008B20B2" w:rsidRDefault="00880F56" w:rsidP="00C547A5">
      <w:pPr>
        <w:pStyle w:val="NormalHanging12a"/>
        <w:rPr>
          <w:szCs w:val="24"/>
        </w:rPr>
      </w:pPr>
      <w:r w:rsidRPr="008B20B2">
        <w:rPr>
          <w:szCs w:val="24"/>
        </w:rPr>
        <w:t>109</w:t>
      </w:r>
      <w:r w:rsidR="006F7BE6" w:rsidRPr="008B20B2">
        <w:rPr>
          <w:szCs w:val="24"/>
        </w:rPr>
        <w:t>.</w:t>
      </w:r>
      <w:r w:rsidR="006F7BE6" w:rsidRPr="008B20B2">
        <w:rPr>
          <w:szCs w:val="24"/>
        </w:rPr>
        <w:tab/>
        <w:t xml:space="preserve">Calls for specific programmes to </w:t>
      </w:r>
      <w:proofErr w:type="gramStart"/>
      <w:r w:rsidR="006F7BE6" w:rsidRPr="008B20B2">
        <w:rPr>
          <w:szCs w:val="24"/>
        </w:rPr>
        <w:t>be established</w:t>
      </w:r>
      <w:proofErr w:type="gramEnd"/>
      <w:r w:rsidR="006F7BE6" w:rsidRPr="008B20B2">
        <w:rPr>
          <w:szCs w:val="24"/>
        </w:rPr>
        <w:t xml:space="preserve"> for the cleaning and conservation of river channels, ensuring adequate flow and reducing the accumulation of debris and sediment that can affect water storage and distribution capacity;</w:t>
      </w:r>
    </w:p>
    <w:p w14:paraId="6AE67771" w14:textId="77777777" w:rsidR="006F7BE6" w:rsidRPr="008B20B2" w:rsidRDefault="006F7BE6" w:rsidP="00C547A5">
      <w:pPr>
        <w:pStyle w:val="NormalHanging12a"/>
        <w:rPr>
          <w:b/>
          <w:i/>
          <w:szCs w:val="24"/>
        </w:rPr>
      </w:pPr>
      <w:r w:rsidRPr="008B20B2">
        <w:rPr>
          <w:b/>
          <w:i/>
          <w:szCs w:val="24"/>
        </w:rPr>
        <w:t>Cross-border and international cooperation</w:t>
      </w:r>
    </w:p>
    <w:p w14:paraId="26811341" w14:textId="61D453E0" w:rsidR="006F7BE6" w:rsidRPr="008B20B2" w:rsidRDefault="00880F56" w:rsidP="00C547A5">
      <w:pPr>
        <w:pStyle w:val="NormalHanging12a"/>
        <w:rPr>
          <w:szCs w:val="24"/>
        </w:rPr>
      </w:pPr>
      <w:r w:rsidRPr="008B20B2">
        <w:rPr>
          <w:szCs w:val="24"/>
        </w:rPr>
        <w:t>110</w:t>
      </w:r>
      <w:r w:rsidR="006F7BE6" w:rsidRPr="008B20B2">
        <w:rPr>
          <w:szCs w:val="24"/>
        </w:rPr>
        <w:t>.</w:t>
      </w:r>
      <w:r w:rsidR="006F7BE6" w:rsidRPr="008B20B2">
        <w:rPr>
          <w:szCs w:val="24"/>
        </w:rPr>
        <w:tab/>
        <w:t>Stresses the need for a comprehensive EWRS that fosters cross-border cooperation, more uniform data collection and reporting, sharing best practice between local, regional and national actors, ensuring sustainable water management and equitable resource distribution among the Member States, preventing water challenges such as scarcity and flood risk from being passed on to other Member States;</w:t>
      </w:r>
    </w:p>
    <w:p w14:paraId="40CC58FD" w14:textId="29A2A732" w:rsidR="006F7BE6" w:rsidRPr="008B20B2" w:rsidRDefault="00880F56" w:rsidP="00C547A5">
      <w:pPr>
        <w:pStyle w:val="NormalHanging12a"/>
        <w:rPr>
          <w:szCs w:val="24"/>
        </w:rPr>
      </w:pPr>
      <w:proofErr w:type="gramStart"/>
      <w:r w:rsidRPr="008B20B2">
        <w:rPr>
          <w:szCs w:val="24"/>
        </w:rPr>
        <w:t>111</w:t>
      </w:r>
      <w:r w:rsidR="006F7BE6" w:rsidRPr="008B20B2">
        <w:rPr>
          <w:szCs w:val="24"/>
        </w:rPr>
        <w:t>.</w:t>
      </w:r>
      <w:r w:rsidR="006F7BE6" w:rsidRPr="008B20B2">
        <w:rPr>
          <w:szCs w:val="24"/>
        </w:rPr>
        <w:tab/>
        <w:t>Emphasises that climate change represents a major threat to water resources and aquatic ecosystems; notes that floods and water scarcity compromise food and water security and the health of the general population, ultimately affecting social cohesion and stability; recognises that water resilience is crucial for preventing and addressing current and future health, food, energy and security crises; emphasises that water resilience promotes transboundary water cooperation, serving as a catalyst for peace and security, as countries are interconnected through shared rivers and groundwater resources;</w:t>
      </w:r>
      <w:proofErr w:type="gramEnd"/>
    </w:p>
    <w:p w14:paraId="7A7EBA79" w14:textId="5FF4F570" w:rsidR="006F7BE6" w:rsidRPr="008B20B2" w:rsidRDefault="00880F56" w:rsidP="00C547A5">
      <w:pPr>
        <w:pStyle w:val="NormalHanging12a"/>
        <w:rPr>
          <w:szCs w:val="24"/>
        </w:rPr>
      </w:pPr>
      <w:proofErr w:type="gramStart"/>
      <w:r w:rsidRPr="008B20B2">
        <w:rPr>
          <w:szCs w:val="24"/>
        </w:rPr>
        <w:lastRenderedPageBreak/>
        <w:t>112</w:t>
      </w:r>
      <w:r w:rsidR="006F7BE6" w:rsidRPr="008B20B2">
        <w:rPr>
          <w:szCs w:val="24"/>
        </w:rPr>
        <w:t>.</w:t>
      </w:r>
      <w:r w:rsidR="006F7BE6" w:rsidRPr="008B20B2">
        <w:rPr>
          <w:szCs w:val="24"/>
        </w:rPr>
        <w:tab/>
        <w:t>Calls for increased cross-border cooperation between the Member States in the management of shared river basins and groundwater aquifers and in the effective collection and sharing of data on water quality, pollution levels and water levels; recommends the establishment of regional cooperation centres to coordinate the implementation of joint water resilience strategies, taking into account the climate, social and economic challenges of each territory;</w:t>
      </w:r>
      <w:proofErr w:type="gramEnd"/>
    </w:p>
    <w:p w14:paraId="6AC4A89E" w14:textId="5378C671" w:rsidR="006F7BE6" w:rsidRPr="008B20B2" w:rsidRDefault="00880F56" w:rsidP="00C547A5">
      <w:pPr>
        <w:pStyle w:val="NormalHanging12a"/>
        <w:rPr>
          <w:szCs w:val="24"/>
        </w:rPr>
      </w:pPr>
      <w:r w:rsidRPr="008B20B2">
        <w:rPr>
          <w:szCs w:val="24"/>
        </w:rPr>
        <w:t>113</w:t>
      </w:r>
      <w:r w:rsidR="006F7BE6" w:rsidRPr="008B20B2">
        <w:rPr>
          <w:szCs w:val="24"/>
        </w:rPr>
        <w:t>.</w:t>
      </w:r>
      <w:r w:rsidR="006F7BE6" w:rsidRPr="008B20B2">
        <w:rPr>
          <w:szCs w:val="24"/>
        </w:rPr>
        <w:tab/>
        <w:t>Calls for enhanced international cooperation, including at the level of river basins, to address the growing water crisis, ensure clean and high-quality water, promote sustainable water management and implement various innovative water technologies, including nature-based solutions; calls for the anchoring of cooperation across borders at operational, tactical and strategic levels;</w:t>
      </w:r>
    </w:p>
    <w:p w14:paraId="1585AE8F" w14:textId="5B61C773" w:rsidR="006F7BE6" w:rsidRPr="008B20B2" w:rsidRDefault="00880F56" w:rsidP="00C547A5">
      <w:pPr>
        <w:pStyle w:val="NormalHanging12a"/>
        <w:rPr>
          <w:szCs w:val="24"/>
        </w:rPr>
      </w:pPr>
      <w:r w:rsidRPr="008B20B2">
        <w:rPr>
          <w:szCs w:val="24"/>
        </w:rPr>
        <w:t>114</w:t>
      </w:r>
      <w:r w:rsidR="006F7BE6" w:rsidRPr="008B20B2">
        <w:rPr>
          <w:szCs w:val="24"/>
        </w:rPr>
        <w:t>.</w:t>
      </w:r>
      <w:r w:rsidR="006F7BE6" w:rsidRPr="008B20B2">
        <w:rPr>
          <w:szCs w:val="24"/>
        </w:rPr>
        <w:tab/>
        <w:t xml:space="preserve">Calls for the establishment of cross-border projects under </w:t>
      </w:r>
      <w:proofErr w:type="spellStart"/>
      <w:r w:rsidR="006F7BE6" w:rsidRPr="008B20B2">
        <w:rPr>
          <w:szCs w:val="24"/>
        </w:rPr>
        <w:t>Interreg</w:t>
      </w:r>
      <w:proofErr w:type="spellEnd"/>
      <w:r w:rsidR="006F7BE6" w:rsidRPr="008B20B2">
        <w:rPr>
          <w:szCs w:val="24"/>
        </w:rPr>
        <w:t xml:space="preserve"> and other EU funds to improve regional cooperation in the management of water resources, with a particular focus on ensuring the fair distribution of water between sectors and Member States;</w:t>
      </w:r>
    </w:p>
    <w:p w14:paraId="448672D9" w14:textId="512D5DEB" w:rsidR="006F7BE6" w:rsidRPr="008B20B2" w:rsidRDefault="00880F56" w:rsidP="00C547A5">
      <w:pPr>
        <w:pStyle w:val="NormalHanging12a"/>
        <w:rPr>
          <w:szCs w:val="24"/>
        </w:rPr>
      </w:pPr>
      <w:r w:rsidRPr="008B20B2">
        <w:rPr>
          <w:szCs w:val="24"/>
        </w:rPr>
        <w:t>115</w:t>
      </w:r>
      <w:r w:rsidR="006F7BE6" w:rsidRPr="008B20B2">
        <w:rPr>
          <w:szCs w:val="24"/>
        </w:rPr>
        <w:t>.</w:t>
      </w:r>
      <w:r w:rsidR="006F7BE6" w:rsidRPr="008B20B2">
        <w:rPr>
          <w:szCs w:val="24"/>
        </w:rPr>
        <w:tab/>
        <w:t>Stresses the need to strengthen EU monitoring capacities through digitalisation and modern technologies, including satellite surveillance and real-time pollution tracking, which are essential for preventing and combating cross-border pollution;</w:t>
      </w:r>
    </w:p>
    <w:p w14:paraId="74F0D2EF" w14:textId="5478E3BA" w:rsidR="006F7BE6" w:rsidRPr="008B20B2" w:rsidRDefault="00880F56" w:rsidP="00C547A5">
      <w:pPr>
        <w:pStyle w:val="NormalHanging12a"/>
        <w:rPr>
          <w:szCs w:val="24"/>
        </w:rPr>
      </w:pPr>
      <w:r w:rsidRPr="008B20B2">
        <w:rPr>
          <w:szCs w:val="24"/>
        </w:rPr>
        <w:t>116</w:t>
      </w:r>
      <w:r w:rsidR="006F7BE6" w:rsidRPr="008B20B2">
        <w:rPr>
          <w:szCs w:val="24"/>
        </w:rPr>
        <w:t>.</w:t>
      </w:r>
      <w:r w:rsidR="006F7BE6" w:rsidRPr="008B20B2">
        <w:rPr>
          <w:szCs w:val="24"/>
        </w:rPr>
        <w:tab/>
        <w:t>Urges the Commission to implement a specific diplomatic role dedicated to resolving water-related conflicts, promoting water cooperation and protecting water sources and systems, particularly during armed conflicts and in transboundary contexts;</w:t>
      </w:r>
    </w:p>
    <w:p w14:paraId="55D90E70" w14:textId="3CC52ADD" w:rsidR="006F7BE6" w:rsidRPr="008B20B2" w:rsidRDefault="00880F56" w:rsidP="00C547A5">
      <w:pPr>
        <w:pStyle w:val="NormalHanging12a"/>
        <w:rPr>
          <w:szCs w:val="24"/>
        </w:rPr>
      </w:pPr>
      <w:r w:rsidRPr="008B20B2">
        <w:rPr>
          <w:szCs w:val="24"/>
        </w:rPr>
        <w:t>117</w:t>
      </w:r>
      <w:r w:rsidR="006F7BE6" w:rsidRPr="008B20B2">
        <w:rPr>
          <w:szCs w:val="24"/>
        </w:rPr>
        <w:t>.</w:t>
      </w:r>
      <w:r w:rsidR="006F7BE6" w:rsidRPr="008B20B2">
        <w:rPr>
          <w:szCs w:val="24"/>
        </w:rPr>
        <w:tab/>
        <w:t>Urges the EU to lead international efforts to protect and restore water ecosystems in line with the SDG 6 on clean water and sanitation</w:t>
      </w:r>
      <w:proofErr w:type="gramStart"/>
      <w:r w:rsidR="006F7BE6" w:rsidRPr="008B20B2">
        <w:rPr>
          <w:szCs w:val="24"/>
        </w:rPr>
        <w:t>;</w:t>
      </w:r>
      <w:proofErr w:type="gramEnd"/>
    </w:p>
    <w:p w14:paraId="030BC305" w14:textId="77777777" w:rsidR="006F7BE6" w:rsidRPr="008B20B2" w:rsidRDefault="006F7BE6" w:rsidP="00C547A5">
      <w:pPr>
        <w:pStyle w:val="NormalCenter12a"/>
        <w:widowControl/>
        <w:ind w:left="567" w:hanging="567"/>
        <w:rPr>
          <w:szCs w:val="24"/>
        </w:rPr>
      </w:pPr>
      <w:r w:rsidRPr="008B20B2">
        <w:rPr>
          <w:szCs w:val="24"/>
        </w:rPr>
        <w:t>°</w:t>
      </w:r>
    </w:p>
    <w:p w14:paraId="7545529B" w14:textId="77777777" w:rsidR="006F7BE6" w:rsidRPr="008B20B2" w:rsidRDefault="00C547A5" w:rsidP="00C547A5">
      <w:pPr>
        <w:pStyle w:val="NormalCenter12a"/>
        <w:widowControl/>
        <w:ind w:left="567" w:hanging="567"/>
        <w:rPr>
          <w:szCs w:val="24"/>
        </w:rPr>
      </w:pPr>
      <w:r w:rsidRPr="008B20B2">
        <w:rPr>
          <w:szCs w:val="24"/>
        </w:rPr>
        <w:t xml:space="preserve">°         </w:t>
      </w:r>
      <w:r w:rsidR="006F7BE6" w:rsidRPr="008B20B2">
        <w:rPr>
          <w:szCs w:val="24"/>
        </w:rPr>
        <w:t>°</w:t>
      </w:r>
    </w:p>
    <w:p w14:paraId="7F7F0290" w14:textId="730A4762" w:rsidR="00E365E1" w:rsidRPr="00C547A5" w:rsidRDefault="00880F56" w:rsidP="00C547A5">
      <w:pPr>
        <w:pStyle w:val="NormalHanging12a"/>
        <w:rPr>
          <w:szCs w:val="24"/>
        </w:rPr>
      </w:pPr>
      <w:r w:rsidRPr="008B20B2">
        <w:rPr>
          <w:szCs w:val="24"/>
        </w:rPr>
        <w:t>118</w:t>
      </w:r>
      <w:r w:rsidR="006F7BE6" w:rsidRPr="008B20B2">
        <w:rPr>
          <w:szCs w:val="24"/>
        </w:rPr>
        <w:t>.</w:t>
      </w:r>
      <w:r w:rsidR="006F7BE6" w:rsidRPr="008B20B2">
        <w:rPr>
          <w:szCs w:val="24"/>
        </w:rPr>
        <w:tab/>
        <w:t>Instructs its President to forward this resolution to the Council and the Commission.</w:t>
      </w:r>
    </w:p>
    <w:sectPr w:rsidR="00E365E1" w:rsidRPr="00C547A5" w:rsidSect="000C0C74">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B41715" w14:textId="77777777" w:rsidR="00110923" w:rsidRPr="000C0C74" w:rsidRDefault="00110923">
      <w:r w:rsidRPr="000C0C74">
        <w:separator/>
      </w:r>
    </w:p>
  </w:endnote>
  <w:endnote w:type="continuationSeparator" w:id="0">
    <w:p w14:paraId="5F83494B" w14:textId="77777777" w:rsidR="00110923" w:rsidRPr="000C0C74" w:rsidRDefault="00110923">
      <w:r w:rsidRPr="000C0C7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Yu Mincho">
    <w:altName w:val="游明朝"/>
    <w:panose1 w:val="00000000000000000000"/>
    <w:charset w:val="8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66ED06" w14:textId="77777777" w:rsidR="00110923" w:rsidRPr="000C0C74" w:rsidRDefault="00110923"/>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AED981" w14:textId="77777777" w:rsidR="00110923" w:rsidRPr="000C0C74" w:rsidRDefault="00110923"/>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B16F96" w14:textId="77777777" w:rsidR="00110923" w:rsidRPr="000C0C74" w:rsidRDefault="00110923"/>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9B748E" w14:textId="77777777" w:rsidR="00110923" w:rsidRPr="000C0C74" w:rsidRDefault="00110923">
      <w:r w:rsidRPr="000C0C74">
        <w:separator/>
      </w:r>
    </w:p>
  </w:footnote>
  <w:footnote w:type="continuationSeparator" w:id="0">
    <w:p w14:paraId="49573E89" w14:textId="77777777" w:rsidR="00110923" w:rsidRPr="000C0C74" w:rsidRDefault="00110923">
      <w:r w:rsidRPr="000C0C74">
        <w:continuationSeparator/>
      </w:r>
    </w:p>
  </w:footnote>
  <w:footnote w:id="1">
    <w:p w14:paraId="0FA12E97" w14:textId="77777777" w:rsidR="005E355D" w:rsidRPr="008B20B2" w:rsidRDefault="005E355D" w:rsidP="005E355D">
      <w:pPr>
        <w:pStyle w:val="FootnoteText"/>
        <w:keepLines w:val="0"/>
        <w:ind w:left="567" w:hanging="567"/>
        <w:rPr>
          <w:sz w:val="24"/>
          <w:szCs w:val="24"/>
          <w:lang w:val="en-GB"/>
        </w:rPr>
      </w:pPr>
      <w:r w:rsidRPr="008B20B2">
        <w:rPr>
          <w:rStyle w:val="FootnoteReference"/>
          <w:sz w:val="24"/>
          <w:szCs w:val="24"/>
        </w:rPr>
        <w:sym w:font="Symbol" w:char="F02A"/>
      </w:r>
      <w:r w:rsidRPr="008B20B2">
        <w:rPr>
          <w:sz w:val="24"/>
          <w:szCs w:val="24"/>
          <w:lang w:val="en-GB"/>
        </w:rPr>
        <w:t xml:space="preserve"> </w:t>
      </w:r>
      <w:r w:rsidRPr="008B20B2">
        <w:rPr>
          <w:sz w:val="24"/>
          <w:szCs w:val="24"/>
          <w:lang w:val="en-GB"/>
        </w:rPr>
        <w:tab/>
        <w:t>Technical footnote: This is a corrected version of the text adopted, which aims to reinstate the name of the focus group in paragraph 29 of the resolution, missing from the tabled report as a result of a deletion due to a clerical error.</w:t>
      </w:r>
    </w:p>
  </w:footnote>
  <w:footnote w:id="2">
    <w:p w14:paraId="6B284497" w14:textId="77777777" w:rsidR="00110923" w:rsidRPr="008B20B2" w:rsidRDefault="00110923" w:rsidP="00C547A5">
      <w:pPr>
        <w:pStyle w:val="FootnoteText"/>
        <w:keepLines w:val="0"/>
        <w:ind w:left="567" w:hanging="567"/>
        <w:rPr>
          <w:sz w:val="24"/>
          <w:szCs w:val="24"/>
          <w:lang w:val="fi-FI"/>
        </w:rPr>
      </w:pPr>
      <w:r w:rsidRPr="008B20B2">
        <w:rPr>
          <w:rStyle w:val="FootnoteReference"/>
          <w:sz w:val="24"/>
          <w:szCs w:val="24"/>
          <w:lang w:val="en-GB"/>
        </w:rPr>
        <w:footnoteRef/>
      </w:r>
      <w:r w:rsidRPr="008B20B2">
        <w:rPr>
          <w:sz w:val="24"/>
          <w:szCs w:val="24"/>
          <w:lang w:val="fi-FI"/>
        </w:rPr>
        <w:t xml:space="preserve"> </w:t>
      </w:r>
      <w:r w:rsidRPr="008B20B2">
        <w:rPr>
          <w:sz w:val="24"/>
          <w:szCs w:val="24"/>
          <w:lang w:val="fi-FI"/>
        </w:rPr>
        <w:tab/>
        <w:t xml:space="preserve">OJ L 243, 9.7.2021, p. 1, ELI: </w:t>
      </w:r>
      <w:hyperlink r:id="rId1" w:history="1">
        <w:r w:rsidRPr="008B20B2">
          <w:rPr>
            <w:rStyle w:val="Hyperlink"/>
            <w:sz w:val="24"/>
            <w:szCs w:val="24"/>
            <w:lang w:val="fi-FI"/>
          </w:rPr>
          <w:t>http://data.europa.eu/eli/reg/2021/1119/oj</w:t>
        </w:r>
      </w:hyperlink>
      <w:r w:rsidRPr="008B20B2">
        <w:rPr>
          <w:sz w:val="24"/>
          <w:szCs w:val="24"/>
          <w:lang w:val="fi-FI"/>
        </w:rPr>
        <w:t>.</w:t>
      </w:r>
    </w:p>
  </w:footnote>
  <w:footnote w:id="3">
    <w:p w14:paraId="02DC46E7" w14:textId="77777777" w:rsidR="00110923" w:rsidRPr="008B20B2" w:rsidRDefault="00110923" w:rsidP="00C547A5">
      <w:pPr>
        <w:pStyle w:val="FootnoteText"/>
        <w:keepLines w:val="0"/>
        <w:ind w:left="567" w:hanging="567"/>
        <w:rPr>
          <w:sz w:val="24"/>
          <w:szCs w:val="24"/>
          <w:lang w:val="fi-FI"/>
        </w:rPr>
      </w:pPr>
      <w:r w:rsidRPr="008B20B2">
        <w:rPr>
          <w:rStyle w:val="FootnoteReference"/>
          <w:sz w:val="24"/>
          <w:szCs w:val="24"/>
          <w:lang w:val="en-GB"/>
        </w:rPr>
        <w:footnoteRef/>
      </w:r>
      <w:r w:rsidRPr="008B20B2">
        <w:rPr>
          <w:sz w:val="24"/>
          <w:szCs w:val="24"/>
          <w:lang w:val="fi-FI"/>
        </w:rPr>
        <w:t xml:space="preserve"> </w:t>
      </w:r>
      <w:r w:rsidRPr="008B20B2">
        <w:rPr>
          <w:sz w:val="24"/>
          <w:szCs w:val="24"/>
          <w:lang w:val="fi-FI"/>
        </w:rPr>
        <w:tab/>
        <w:t xml:space="preserve">OJ L 327, 22.12.2000, p. 1, ELI: </w:t>
      </w:r>
      <w:r w:rsidR="008B20B2" w:rsidRPr="008B20B2">
        <w:fldChar w:fldCharType="begin"/>
      </w:r>
      <w:r w:rsidR="008B20B2" w:rsidRPr="008B20B2">
        <w:rPr>
          <w:lang w:val="fi-FI"/>
        </w:rPr>
        <w:instrText xml:space="preserve"> HYPERLINK "http://data</w:instrText>
      </w:r>
      <w:r w:rsidR="008B20B2" w:rsidRPr="008B20B2">
        <w:rPr>
          <w:lang w:val="fi-FI"/>
        </w:rPr>
        <w:instrText xml:space="preserve">.europa.eu/eli/dir/2000/60/oj" </w:instrText>
      </w:r>
      <w:r w:rsidR="008B20B2" w:rsidRPr="008B20B2">
        <w:fldChar w:fldCharType="separate"/>
      </w:r>
      <w:r w:rsidRPr="008B20B2">
        <w:rPr>
          <w:rStyle w:val="Hyperlink"/>
          <w:sz w:val="24"/>
          <w:szCs w:val="24"/>
          <w:lang w:val="fi-FI"/>
        </w:rPr>
        <w:t>http://data.europa.eu/eli/dir/2000/60/oj</w:t>
      </w:r>
      <w:r w:rsidR="008B20B2" w:rsidRPr="008B20B2">
        <w:rPr>
          <w:rStyle w:val="Hyperlink"/>
          <w:sz w:val="24"/>
          <w:szCs w:val="24"/>
          <w:lang w:val="fi-FI"/>
        </w:rPr>
        <w:fldChar w:fldCharType="end"/>
      </w:r>
      <w:r w:rsidRPr="008B20B2">
        <w:rPr>
          <w:sz w:val="24"/>
          <w:szCs w:val="24"/>
          <w:lang w:val="fi-FI"/>
        </w:rPr>
        <w:t>.</w:t>
      </w:r>
    </w:p>
  </w:footnote>
  <w:footnote w:id="4">
    <w:p w14:paraId="5798AAB6" w14:textId="77777777" w:rsidR="00110923" w:rsidRPr="008B20B2" w:rsidRDefault="00110923" w:rsidP="00C547A5">
      <w:pPr>
        <w:pStyle w:val="FootnoteText"/>
        <w:keepLines w:val="0"/>
        <w:ind w:left="567" w:hanging="567"/>
        <w:rPr>
          <w:sz w:val="24"/>
          <w:szCs w:val="24"/>
          <w:lang w:val="fi-FI"/>
        </w:rPr>
      </w:pPr>
      <w:r w:rsidRPr="008B20B2">
        <w:rPr>
          <w:rStyle w:val="FootnoteReference"/>
          <w:sz w:val="24"/>
          <w:szCs w:val="24"/>
          <w:lang w:val="en-GB"/>
        </w:rPr>
        <w:footnoteRef/>
      </w:r>
      <w:r w:rsidRPr="008B20B2">
        <w:rPr>
          <w:sz w:val="24"/>
          <w:szCs w:val="24"/>
          <w:lang w:val="fi-FI"/>
        </w:rPr>
        <w:t xml:space="preserve"> </w:t>
      </w:r>
      <w:r w:rsidRPr="008B20B2">
        <w:rPr>
          <w:sz w:val="24"/>
          <w:szCs w:val="24"/>
          <w:lang w:val="fi-FI"/>
        </w:rPr>
        <w:tab/>
        <w:t xml:space="preserve">OJ L 372, 27.12.2006, p. 19, ELI: </w:t>
      </w:r>
      <w:r w:rsidR="008B20B2" w:rsidRPr="008B20B2">
        <w:fldChar w:fldCharType="begin"/>
      </w:r>
      <w:r w:rsidR="008B20B2" w:rsidRPr="008B20B2">
        <w:rPr>
          <w:lang w:val="fi-FI"/>
        </w:rPr>
        <w:instrText xml:space="preserve"> HYPERLINK "http://data.europa.eu/eli/dir/2006/118/oj" </w:instrText>
      </w:r>
      <w:r w:rsidR="008B20B2" w:rsidRPr="008B20B2">
        <w:fldChar w:fldCharType="separate"/>
      </w:r>
      <w:r w:rsidRPr="008B20B2">
        <w:rPr>
          <w:rStyle w:val="Hyperlink"/>
          <w:sz w:val="24"/>
          <w:szCs w:val="24"/>
          <w:lang w:val="fi-FI"/>
        </w:rPr>
        <w:t>http://data.europa.eu/eli/dir/2006/118/oj</w:t>
      </w:r>
      <w:r w:rsidR="008B20B2" w:rsidRPr="008B20B2">
        <w:rPr>
          <w:rStyle w:val="Hyperlink"/>
          <w:sz w:val="24"/>
          <w:szCs w:val="24"/>
          <w:lang w:val="fi-FI"/>
        </w:rPr>
        <w:fldChar w:fldCharType="end"/>
      </w:r>
      <w:r w:rsidRPr="008B20B2">
        <w:rPr>
          <w:sz w:val="24"/>
          <w:szCs w:val="24"/>
          <w:lang w:val="fi-FI"/>
        </w:rPr>
        <w:t>.</w:t>
      </w:r>
    </w:p>
  </w:footnote>
  <w:footnote w:id="5">
    <w:p w14:paraId="16D9FB10" w14:textId="77777777" w:rsidR="00110923" w:rsidRPr="008B20B2" w:rsidRDefault="00110923" w:rsidP="00C547A5">
      <w:pPr>
        <w:pStyle w:val="FootnoteText"/>
        <w:keepLines w:val="0"/>
        <w:ind w:left="567" w:hanging="567"/>
        <w:rPr>
          <w:sz w:val="24"/>
          <w:szCs w:val="24"/>
          <w:lang w:val="fi-FI"/>
        </w:rPr>
      </w:pPr>
      <w:r w:rsidRPr="008B20B2">
        <w:rPr>
          <w:rStyle w:val="FootnoteReference"/>
          <w:sz w:val="24"/>
          <w:szCs w:val="24"/>
          <w:lang w:val="en-GB"/>
        </w:rPr>
        <w:footnoteRef/>
      </w:r>
      <w:r w:rsidRPr="008B20B2">
        <w:rPr>
          <w:sz w:val="24"/>
          <w:szCs w:val="24"/>
          <w:lang w:val="fi-FI"/>
        </w:rPr>
        <w:t xml:space="preserve"> </w:t>
      </w:r>
      <w:r w:rsidRPr="008B20B2">
        <w:rPr>
          <w:sz w:val="24"/>
          <w:szCs w:val="24"/>
          <w:lang w:val="fi-FI"/>
        </w:rPr>
        <w:tab/>
        <w:t xml:space="preserve">OJ L 348, 24.12.2008, p. 84, ELI: </w:t>
      </w:r>
      <w:r w:rsidR="008B20B2" w:rsidRPr="008B20B2">
        <w:fldChar w:fldCharType="begin"/>
      </w:r>
      <w:r w:rsidR="008B20B2" w:rsidRPr="008B20B2">
        <w:rPr>
          <w:lang w:val="fi-FI"/>
        </w:rPr>
        <w:instrText xml:space="preserve"> HYPE</w:instrText>
      </w:r>
      <w:r w:rsidR="008B20B2" w:rsidRPr="008B20B2">
        <w:rPr>
          <w:lang w:val="fi-FI"/>
        </w:rPr>
        <w:instrText xml:space="preserve">RLINK "http://data.europa.eu/eli/dir/2008/105/oj" </w:instrText>
      </w:r>
      <w:r w:rsidR="008B20B2" w:rsidRPr="008B20B2">
        <w:fldChar w:fldCharType="separate"/>
      </w:r>
      <w:r w:rsidRPr="008B20B2">
        <w:rPr>
          <w:rStyle w:val="Hyperlink"/>
          <w:sz w:val="24"/>
          <w:szCs w:val="24"/>
          <w:lang w:val="fi-FI"/>
        </w:rPr>
        <w:t>http://data.europa.eu/eli/dir/2008/105/oj</w:t>
      </w:r>
      <w:r w:rsidR="008B20B2" w:rsidRPr="008B20B2">
        <w:rPr>
          <w:rStyle w:val="Hyperlink"/>
          <w:sz w:val="24"/>
          <w:szCs w:val="24"/>
          <w:lang w:val="fi-FI"/>
        </w:rPr>
        <w:fldChar w:fldCharType="end"/>
      </w:r>
      <w:r w:rsidRPr="008B20B2">
        <w:rPr>
          <w:sz w:val="24"/>
          <w:szCs w:val="24"/>
          <w:lang w:val="fi-FI"/>
        </w:rPr>
        <w:t>.</w:t>
      </w:r>
    </w:p>
  </w:footnote>
  <w:footnote w:id="6">
    <w:p w14:paraId="4381515B" w14:textId="77777777" w:rsidR="00110923" w:rsidRPr="008B20B2" w:rsidRDefault="00110923" w:rsidP="00C547A5">
      <w:pPr>
        <w:pStyle w:val="FootnoteText"/>
        <w:keepLines w:val="0"/>
        <w:ind w:left="567" w:hanging="567"/>
        <w:rPr>
          <w:sz w:val="24"/>
          <w:szCs w:val="24"/>
          <w:lang w:val="fi-FI"/>
        </w:rPr>
      </w:pPr>
      <w:r w:rsidRPr="008B20B2">
        <w:rPr>
          <w:rStyle w:val="FootnoteReference"/>
          <w:sz w:val="24"/>
          <w:szCs w:val="24"/>
          <w:lang w:val="en-GB"/>
        </w:rPr>
        <w:footnoteRef/>
      </w:r>
      <w:r w:rsidRPr="008B20B2">
        <w:rPr>
          <w:sz w:val="24"/>
          <w:szCs w:val="24"/>
          <w:lang w:val="fi-FI"/>
        </w:rPr>
        <w:t xml:space="preserve"> </w:t>
      </w:r>
      <w:r w:rsidRPr="008B20B2">
        <w:rPr>
          <w:sz w:val="24"/>
          <w:szCs w:val="24"/>
          <w:lang w:val="fi-FI"/>
        </w:rPr>
        <w:tab/>
        <w:t xml:space="preserve">OJ L 288, 6.11.2007, p. 27, ELI: </w:t>
      </w:r>
      <w:r w:rsidR="008B20B2" w:rsidRPr="008B20B2">
        <w:fldChar w:fldCharType="begin"/>
      </w:r>
      <w:r w:rsidR="008B20B2" w:rsidRPr="008B20B2">
        <w:rPr>
          <w:lang w:val="fi-FI"/>
        </w:rPr>
        <w:instrText xml:space="preserve"> HYPERLINK "http://data.europa.eu/eli/dir/2007/60/oj" </w:instrText>
      </w:r>
      <w:r w:rsidR="008B20B2" w:rsidRPr="008B20B2">
        <w:fldChar w:fldCharType="separate"/>
      </w:r>
      <w:r w:rsidRPr="008B20B2">
        <w:rPr>
          <w:rStyle w:val="Hyperlink"/>
          <w:sz w:val="24"/>
          <w:szCs w:val="24"/>
          <w:lang w:val="fi-FI"/>
        </w:rPr>
        <w:t>http://data.europa.eu/eli/dir/2007/60/oj</w:t>
      </w:r>
      <w:r w:rsidR="008B20B2" w:rsidRPr="008B20B2">
        <w:rPr>
          <w:rStyle w:val="Hyperlink"/>
          <w:sz w:val="24"/>
          <w:szCs w:val="24"/>
          <w:lang w:val="fi-FI"/>
        </w:rPr>
        <w:fldChar w:fldCharType="end"/>
      </w:r>
      <w:r w:rsidRPr="008B20B2">
        <w:rPr>
          <w:sz w:val="24"/>
          <w:szCs w:val="24"/>
          <w:lang w:val="fi-FI"/>
        </w:rPr>
        <w:t>.</w:t>
      </w:r>
    </w:p>
  </w:footnote>
  <w:footnote w:id="7">
    <w:p w14:paraId="531AE0E8" w14:textId="77777777" w:rsidR="00110923" w:rsidRPr="008B20B2" w:rsidRDefault="00110923" w:rsidP="00C547A5">
      <w:pPr>
        <w:pStyle w:val="FootnoteText"/>
        <w:keepLines w:val="0"/>
        <w:ind w:left="567" w:hanging="567"/>
        <w:rPr>
          <w:sz w:val="24"/>
          <w:szCs w:val="24"/>
          <w:lang w:val="fi-FI"/>
        </w:rPr>
      </w:pPr>
      <w:r w:rsidRPr="008B20B2">
        <w:rPr>
          <w:rStyle w:val="FootnoteReference"/>
          <w:sz w:val="24"/>
          <w:szCs w:val="24"/>
          <w:lang w:val="en-GB"/>
        </w:rPr>
        <w:footnoteRef/>
      </w:r>
      <w:r w:rsidRPr="008B20B2">
        <w:rPr>
          <w:sz w:val="24"/>
          <w:szCs w:val="24"/>
          <w:lang w:val="fi-FI"/>
        </w:rPr>
        <w:t xml:space="preserve"> </w:t>
      </w:r>
      <w:r w:rsidRPr="008B20B2">
        <w:rPr>
          <w:sz w:val="24"/>
          <w:szCs w:val="24"/>
          <w:lang w:val="fi-FI"/>
        </w:rPr>
        <w:tab/>
        <w:t xml:space="preserve">OJ L 435, 23.12.2020, p. 1, ELI: </w:t>
      </w:r>
      <w:r w:rsidR="008B20B2" w:rsidRPr="008B20B2">
        <w:fldChar w:fldCharType="begin"/>
      </w:r>
      <w:r w:rsidR="008B20B2" w:rsidRPr="008B20B2">
        <w:rPr>
          <w:lang w:val="fi-FI"/>
        </w:rPr>
        <w:instrText xml:space="preserve"> HYPERLINK "http://data.europa.eu/eli/dir/2020/2184/oj" </w:instrText>
      </w:r>
      <w:r w:rsidR="008B20B2" w:rsidRPr="008B20B2">
        <w:fldChar w:fldCharType="separate"/>
      </w:r>
      <w:r w:rsidRPr="008B20B2">
        <w:rPr>
          <w:rStyle w:val="Hyperlink"/>
          <w:sz w:val="24"/>
          <w:szCs w:val="24"/>
          <w:lang w:val="fi-FI"/>
        </w:rPr>
        <w:t>http://data.europa.eu/eli/dir/2020/2184/oj</w:t>
      </w:r>
      <w:r w:rsidR="008B20B2" w:rsidRPr="008B20B2">
        <w:rPr>
          <w:rStyle w:val="Hyperlink"/>
          <w:sz w:val="24"/>
          <w:szCs w:val="24"/>
          <w:lang w:val="fi-FI"/>
        </w:rPr>
        <w:fldChar w:fldCharType="end"/>
      </w:r>
      <w:r w:rsidRPr="008B20B2">
        <w:rPr>
          <w:sz w:val="24"/>
          <w:szCs w:val="24"/>
          <w:lang w:val="fi-FI"/>
        </w:rPr>
        <w:t>.</w:t>
      </w:r>
    </w:p>
  </w:footnote>
  <w:footnote w:id="8">
    <w:p w14:paraId="4932FDBF" w14:textId="77777777" w:rsidR="00110923" w:rsidRPr="008B20B2" w:rsidRDefault="00110923" w:rsidP="00C547A5">
      <w:pPr>
        <w:pStyle w:val="FootnoteText"/>
        <w:keepLines w:val="0"/>
        <w:ind w:left="567" w:hanging="567"/>
        <w:rPr>
          <w:sz w:val="24"/>
          <w:szCs w:val="24"/>
          <w:lang w:val="fi-FI"/>
        </w:rPr>
      </w:pPr>
      <w:r w:rsidRPr="008B20B2">
        <w:rPr>
          <w:rStyle w:val="FootnoteReference"/>
          <w:sz w:val="24"/>
          <w:szCs w:val="24"/>
          <w:lang w:val="en-GB"/>
        </w:rPr>
        <w:footnoteRef/>
      </w:r>
      <w:r w:rsidRPr="008B20B2">
        <w:rPr>
          <w:sz w:val="24"/>
          <w:szCs w:val="24"/>
          <w:lang w:val="fi-FI"/>
        </w:rPr>
        <w:t xml:space="preserve"> </w:t>
      </w:r>
      <w:r w:rsidRPr="008B20B2">
        <w:rPr>
          <w:sz w:val="24"/>
          <w:szCs w:val="24"/>
          <w:lang w:val="fi-FI"/>
        </w:rPr>
        <w:tab/>
        <w:t xml:space="preserve">OJ L 177, 5.6.2020, p. 32, ELI: </w:t>
      </w:r>
      <w:r w:rsidR="008B20B2" w:rsidRPr="008B20B2">
        <w:fldChar w:fldCharType="begin"/>
      </w:r>
      <w:r w:rsidR="008B20B2" w:rsidRPr="008B20B2">
        <w:rPr>
          <w:lang w:val="fi-FI"/>
        </w:rPr>
        <w:instrText xml:space="preserve"> HYPERLINK "http://data.europa.eu/eli/reg/2020/741/oj" </w:instrText>
      </w:r>
      <w:r w:rsidR="008B20B2" w:rsidRPr="008B20B2">
        <w:fldChar w:fldCharType="separate"/>
      </w:r>
      <w:r w:rsidRPr="008B20B2">
        <w:rPr>
          <w:rStyle w:val="Hyperlink"/>
          <w:sz w:val="24"/>
          <w:szCs w:val="24"/>
          <w:lang w:val="fi-FI"/>
        </w:rPr>
        <w:t>http://data.europa.eu/eli/reg/2020/741/oj</w:t>
      </w:r>
      <w:r w:rsidR="008B20B2" w:rsidRPr="008B20B2">
        <w:rPr>
          <w:rStyle w:val="Hyperlink"/>
          <w:sz w:val="24"/>
          <w:szCs w:val="24"/>
          <w:lang w:val="fi-FI"/>
        </w:rPr>
        <w:fldChar w:fldCharType="end"/>
      </w:r>
      <w:r w:rsidRPr="008B20B2">
        <w:rPr>
          <w:sz w:val="24"/>
          <w:szCs w:val="24"/>
          <w:lang w:val="fi-FI"/>
        </w:rPr>
        <w:t>.</w:t>
      </w:r>
    </w:p>
  </w:footnote>
  <w:footnote w:id="9">
    <w:p w14:paraId="443D5D95" w14:textId="77777777" w:rsidR="00110923" w:rsidRPr="008B20B2" w:rsidRDefault="00110923" w:rsidP="00C547A5">
      <w:pPr>
        <w:pStyle w:val="FootnoteText"/>
        <w:keepLines w:val="0"/>
        <w:ind w:left="567" w:hanging="567"/>
        <w:rPr>
          <w:sz w:val="24"/>
          <w:szCs w:val="24"/>
          <w:lang w:val="fi-FI"/>
        </w:rPr>
      </w:pPr>
      <w:r w:rsidRPr="008B20B2">
        <w:rPr>
          <w:rStyle w:val="FootnoteReference"/>
          <w:sz w:val="24"/>
          <w:szCs w:val="24"/>
          <w:lang w:val="en-GB"/>
        </w:rPr>
        <w:footnoteRef/>
      </w:r>
      <w:r w:rsidRPr="008B20B2">
        <w:rPr>
          <w:sz w:val="24"/>
          <w:szCs w:val="24"/>
          <w:lang w:val="fi-FI"/>
        </w:rPr>
        <w:t xml:space="preserve"> </w:t>
      </w:r>
      <w:r w:rsidRPr="008B20B2">
        <w:rPr>
          <w:sz w:val="24"/>
          <w:szCs w:val="24"/>
          <w:lang w:val="fi-FI"/>
        </w:rPr>
        <w:tab/>
        <w:t xml:space="preserve">OJ L 164, 25.6.2008, p. 19, ELI: </w:t>
      </w:r>
      <w:r w:rsidR="008B20B2" w:rsidRPr="008B20B2">
        <w:fldChar w:fldCharType="begin"/>
      </w:r>
      <w:r w:rsidR="008B20B2" w:rsidRPr="008B20B2">
        <w:rPr>
          <w:lang w:val="fi-FI"/>
        </w:rPr>
        <w:instrText xml:space="preserve"> HYPERLINK "http://data.europa.eu/eli/dir/2008/56/oj" </w:instrText>
      </w:r>
      <w:r w:rsidR="008B20B2" w:rsidRPr="008B20B2">
        <w:fldChar w:fldCharType="separate"/>
      </w:r>
      <w:r w:rsidRPr="008B20B2">
        <w:rPr>
          <w:rStyle w:val="Hyperlink"/>
          <w:sz w:val="24"/>
          <w:szCs w:val="24"/>
          <w:lang w:val="fi-FI"/>
        </w:rPr>
        <w:t>http://data.europa.eu/eli/dir/2008/56/oj</w:t>
      </w:r>
      <w:r w:rsidR="008B20B2" w:rsidRPr="008B20B2">
        <w:rPr>
          <w:rStyle w:val="Hyperlink"/>
          <w:sz w:val="24"/>
          <w:szCs w:val="24"/>
          <w:lang w:val="fi-FI"/>
        </w:rPr>
        <w:fldChar w:fldCharType="end"/>
      </w:r>
      <w:r w:rsidRPr="008B20B2">
        <w:rPr>
          <w:sz w:val="24"/>
          <w:szCs w:val="24"/>
          <w:lang w:val="fi-FI"/>
        </w:rPr>
        <w:t>.</w:t>
      </w:r>
    </w:p>
  </w:footnote>
  <w:footnote w:id="10">
    <w:p w14:paraId="013BE4C4" w14:textId="77777777" w:rsidR="00110923" w:rsidRPr="008B20B2" w:rsidRDefault="00110923" w:rsidP="00C547A5">
      <w:pPr>
        <w:pStyle w:val="FootnoteText"/>
        <w:keepLines w:val="0"/>
        <w:ind w:left="567" w:hanging="567"/>
        <w:rPr>
          <w:sz w:val="24"/>
          <w:szCs w:val="24"/>
          <w:lang w:val="fi-FI"/>
        </w:rPr>
      </w:pPr>
      <w:r w:rsidRPr="008B20B2">
        <w:rPr>
          <w:rStyle w:val="FootnoteReference"/>
          <w:sz w:val="24"/>
          <w:szCs w:val="24"/>
          <w:lang w:val="en-GB"/>
        </w:rPr>
        <w:footnoteRef/>
      </w:r>
      <w:r w:rsidRPr="008B20B2">
        <w:rPr>
          <w:sz w:val="24"/>
          <w:szCs w:val="24"/>
          <w:lang w:val="fi-FI"/>
        </w:rPr>
        <w:t xml:space="preserve"> </w:t>
      </w:r>
      <w:r w:rsidRPr="008B20B2">
        <w:rPr>
          <w:sz w:val="24"/>
          <w:szCs w:val="24"/>
          <w:lang w:val="fi-FI"/>
        </w:rPr>
        <w:tab/>
        <w:t xml:space="preserve">OJ L, 2024/3019, 12.12.2024, ELI: </w:t>
      </w:r>
      <w:r w:rsidR="008B20B2" w:rsidRPr="008B20B2">
        <w:fldChar w:fldCharType="begin"/>
      </w:r>
      <w:r w:rsidR="008B20B2" w:rsidRPr="008B20B2">
        <w:rPr>
          <w:lang w:val="fi-FI"/>
        </w:rPr>
        <w:instrText xml:space="preserve"> HYPERLINK "http://data.europa.eu/eli/dir/2024/3019/oj" </w:instrText>
      </w:r>
      <w:r w:rsidR="008B20B2" w:rsidRPr="008B20B2">
        <w:fldChar w:fldCharType="separate"/>
      </w:r>
      <w:r w:rsidRPr="008B20B2">
        <w:rPr>
          <w:rStyle w:val="Hyperlink"/>
          <w:sz w:val="24"/>
          <w:szCs w:val="24"/>
          <w:lang w:val="fi-FI"/>
        </w:rPr>
        <w:t>http://data.europa.eu/eli/dir/2024/3019/oj</w:t>
      </w:r>
      <w:r w:rsidR="008B20B2" w:rsidRPr="008B20B2">
        <w:rPr>
          <w:rStyle w:val="Hyperlink"/>
          <w:sz w:val="24"/>
          <w:szCs w:val="24"/>
          <w:lang w:val="fi-FI"/>
        </w:rPr>
        <w:fldChar w:fldCharType="end"/>
      </w:r>
      <w:r w:rsidRPr="008B20B2">
        <w:rPr>
          <w:sz w:val="24"/>
          <w:szCs w:val="24"/>
          <w:lang w:val="fi-FI"/>
        </w:rPr>
        <w:t>.</w:t>
      </w:r>
    </w:p>
  </w:footnote>
  <w:footnote w:id="11">
    <w:p w14:paraId="71C3D930" w14:textId="77777777" w:rsidR="00110923" w:rsidRPr="008B20B2" w:rsidRDefault="00110923" w:rsidP="00C547A5">
      <w:pPr>
        <w:pStyle w:val="FootnoteText"/>
        <w:keepLines w:val="0"/>
        <w:ind w:left="567" w:hanging="567"/>
        <w:rPr>
          <w:sz w:val="24"/>
          <w:szCs w:val="24"/>
          <w:lang w:val="fi-FI"/>
        </w:rPr>
      </w:pPr>
      <w:r w:rsidRPr="008B20B2">
        <w:rPr>
          <w:rStyle w:val="FootnoteReference"/>
          <w:sz w:val="24"/>
          <w:szCs w:val="24"/>
          <w:lang w:val="en-GB"/>
        </w:rPr>
        <w:footnoteRef/>
      </w:r>
      <w:r w:rsidRPr="008B20B2">
        <w:rPr>
          <w:sz w:val="24"/>
          <w:szCs w:val="24"/>
          <w:lang w:val="fi-FI"/>
        </w:rPr>
        <w:t xml:space="preserve"> </w:t>
      </w:r>
      <w:r w:rsidRPr="008B20B2">
        <w:rPr>
          <w:sz w:val="24"/>
          <w:szCs w:val="24"/>
          <w:lang w:val="fi-FI"/>
        </w:rPr>
        <w:tab/>
        <w:t xml:space="preserve">OJ L, 2024/1785, 15.7.2024, ELI: </w:t>
      </w:r>
      <w:r w:rsidR="008B20B2" w:rsidRPr="008B20B2">
        <w:fldChar w:fldCharType="begin"/>
      </w:r>
      <w:r w:rsidR="008B20B2" w:rsidRPr="008B20B2">
        <w:rPr>
          <w:lang w:val="fi-FI"/>
        </w:rPr>
        <w:instrText xml:space="preserve"> HYPERLINK "http://data.europa.eu/eli/dir/2024/1785/oj" </w:instrText>
      </w:r>
      <w:r w:rsidR="008B20B2" w:rsidRPr="008B20B2">
        <w:fldChar w:fldCharType="separate"/>
      </w:r>
      <w:r w:rsidRPr="008B20B2">
        <w:rPr>
          <w:rStyle w:val="Hyperlink"/>
          <w:sz w:val="24"/>
          <w:szCs w:val="24"/>
          <w:lang w:val="fi-FI"/>
        </w:rPr>
        <w:t>http://data.europa.eu/eli/dir/2024/1785/oj</w:t>
      </w:r>
      <w:r w:rsidR="008B20B2" w:rsidRPr="008B20B2">
        <w:rPr>
          <w:rStyle w:val="Hyperlink"/>
          <w:sz w:val="24"/>
          <w:szCs w:val="24"/>
          <w:lang w:val="fi-FI"/>
        </w:rPr>
        <w:fldChar w:fldCharType="end"/>
      </w:r>
      <w:r w:rsidRPr="008B20B2">
        <w:rPr>
          <w:sz w:val="24"/>
          <w:szCs w:val="24"/>
          <w:lang w:val="fi-FI"/>
        </w:rPr>
        <w:t>.</w:t>
      </w:r>
    </w:p>
  </w:footnote>
  <w:footnote w:id="12">
    <w:p w14:paraId="01700A2B" w14:textId="77777777" w:rsidR="00110923" w:rsidRPr="008B20B2" w:rsidRDefault="00110923" w:rsidP="00C547A5">
      <w:pPr>
        <w:pStyle w:val="FootnoteText"/>
        <w:keepLines w:val="0"/>
        <w:ind w:left="567" w:hanging="567"/>
        <w:rPr>
          <w:sz w:val="24"/>
          <w:szCs w:val="24"/>
          <w:lang w:val="fi-FI"/>
        </w:rPr>
      </w:pPr>
      <w:r w:rsidRPr="008B20B2">
        <w:rPr>
          <w:rStyle w:val="FootnoteReference"/>
          <w:sz w:val="24"/>
          <w:szCs w:val="24"/>
          <w:lang w:val="en-GB"/>
        </w:rPr>
        <w:footnoteRef/>
      </w:r>
      <w:r w:rsidRPr="008B20B2">
        <w:rPr>
          <w:sz w:val="24"/>
          <w:szCs w:val="24"/>
          <w:lang w:val="fi-FI"/>
        </w:rPr>
        <w:t xml:space="preserve"> </w:t>
      </w:r>
      <w:r w:rsidRPr="008B20B2">
        <w:rPr>
          <w:sz w:val="24"/>
          <w:szCs w:val="24"/>
          <w:lang w:val="fi-FI"/>
        </w:rPr>
        <w:tab/>
        <w:t xml:space="preserve">OJ L 375, 31.12.1991, p. 1, ELI: </w:t>
      </w:r>
      <w:r w:rsidR="008B20B2" w:rsidRPr="008B20B2">
        <w:fldChar w:fldCharType="begin"/>
      </w:r>
      <w:r w:rsidR="008B20B2" w:rsidRPr="008B20B2">
        <w:rPr>
          <w:lang w:val="fi-FI"/>
        </w:rPr>
        <w:instrText xml:space="preserve"> HYPERLINK "http://data.europa.eu/eli/dir/19</w:instrText>
      </w:r>
      <w:r w:rsidR="008B20B2" w:rsidRPr="008B20B2">
        <w:rPr>
          <w:lang w:val="fi-FI"/>
        </w:rPr>
        <w:instrText xml:space="preserve">91/676/oj" </w:instrText>
      </w:r>
      <w:r w:rsidR="008B20B2" w:rsidRPr="008B20B2">
        <w:fldChar w:fldCharType="separate"/>
      </w:r>
      <w:r w:rsidRPr="008B20B2">
        <w:rPr>
          <w:rStyle w:val="Hyperlink"/>
          <w:sz w:val="24"/>
          <w:szCs w:val="24"/>
          <w:lang w:val="fi-FI"/>
        </w:rPr>
        <w:t>http://data.europa.eu/eli/dir/1991/676/oj</w:t>
      </w:r>
      <w:r w:rsidR="008B20B2" w:rsidRPr="008B20B2">
        <w:rPr>
          <w:rStyle w:val="Hyperlink"/>
          <w:sz w:val="24"/>
          <w:szCs w:val="24"/>
          <w:lang w:val="fi-FI"/>
        </w:rPr>
        <w:fldChar w:fldCharType="end"/>
      </w:r>
      <w:r w:rsidRPr="008B20B2">
        <w:rPr>
          <w:sz w:val="24"/>
          <w:szCs w:val="24"/>
          <w:lang w:val="fi-FI"/>
        </w:rPr>
        <w:t>.</w:t>
      </w:r>
    </w:p>
  </w:footnote>
  <w:footnote w:id="13">
    <w:p w14:paraId="4242B8B6" w14:textId="77777777" w:rsidR="00110923" w:rsidRPr="008B20B2" w:rsidRDefault="00110923" w:rsidP="00C547A5">
      <w:pPr>
        <w:pStyle w:val="FootnoteText"/>
        <w:keepLines w:val="0"/>
        <w:ind w:left="567" w:hanging="567"/>
        <w:rPr>
          <w:sz w:val="24"/>
          <w:szCs w:val="24"/>
          <w:lang w:val="fi-FI"/>
        </w:rPr>
      </w:pPr>
      <w:r w:rsidRPr="008B20B2">
        <w:rPr>
          <w:rStyle w:val="FootnoteReference"/>
          <w:sz w:val="24"/>
          <w:szCs w:val="24"/>
          <w:lang w:val="en-GB"/>
        </w:rPr>
        <w:footnoteRef/>
      </w:r>
      <w:r w:rsidRPr="008B20B2">
        <w:rPr>
          <w:sz w:val="24"/>
          <w:szCs w:val="24"/>
          <w:lang w:val="fi-FI"/>
        </w:rPr>
        <w:t xml:space="preserve"> </w:t>
      </w:r>
      <w:r w:rsidRPr="008B20B2">
        <w:rPr>
          <w:sz w:val="24"/>
          <w:szCs w:val="24"/>
          <w:lang w:val="fi-FI"/>
        </w:rPr>
        <w:tab/>
        <w:t xml:space="preserve">OJ L, 2024/1991, 29.7.2024, ELI: </w:t>
      </w:r>
      <w:r w:rsidR="008B20B2" w:rsidRPr="008B20B2">
        <w:fldChar w:fldCharType="begin"/>
      </w:r>
      <w:r w:rsidR="008B20B2" w:rsidRPr="008B20B2">
        <w:rPr>
          <w:lang w:val="fi-FI"/>
        </w:rPr>
        <w:instrText xml:space="preserve"> HYPERLINK "http://data.europa.eu/eli/reg/2024/1991/oj" </w:instrText>
      </w:r>
      <w:r w:rsidR="008B20B2" w:rsidRPr="008B20B2">
        <w:fldChar w:fldCharType="separate"/>
      </w:r>
      <w:r w:rsidRPr="008B20B2">
        <w:rPr>
          <w:rStyle w:val="Hyperlink"/>
          <w:sz w:val="24"/>
          <w:szCs w:val="24"/>
          <w:lang w:val="fi-FI"/>
        </w:rPr>
        <w:t>http://data.europa.eu/eli/reg/2024/1991/oj</w:t>
      </w:r>
      <w:r w:rsidR="008B20B2" w:rsidRPr="008B20B2">
        <w:rPr>
          <w:rStyle w:val="Hyperlink"/>
          <w:sz w:val="24"/>
          <w:szCs w:val="24"/>
          <w:lang w:val="fi-FI"/>
        </w:rPr>
        <w:fldChar w:fldCharType="end"/>
      </w:r>
      <w:r w:rsidRPr="008B20B2">
        <w:rPr>
          <w:sz w:val="24"/>
          <w:szCs w:val="24"/>
          <w:lang w:val="fi-FI"/>
        </w:rPr>
        <w:t>.</w:t>
      </w:r>
    </w:p>
  </w:footnote>
  <w:footnote w:id="14">
    <w:p w14:paraId="14B4F497" w14:textId="77777777" w:rsidR="00110923" w:rsidRPr="008B20B2" w:rsidRDefault="00110923" w:rsidP="00C547A5">
      <w:pPr>
        <w:pStyle w:val="FootnoteText"/>
        <w:keepLines w:val="0"/>
        <w:ind w:left="567" w:hanging="567"/>
        <w:rPr>
          <w:sz w:val="24"/>
          <w:szCs w:val="24"/>
          <w:lang w:val="fi-FI"/>
        </w:rPr>
      </w:pPr>
      <w:r w:rsidRPr="008B20B2">
        <w:rPr>
          <w:rStyle w:val="FootnoteReference"/>
          <w:sz w:val="24"/>
          <w:szCs w:val="24"/>
          <w:lang w:val="en-GB"/>
        </w:rPr>
        <w:footnoteRef/>
      </w:r>
      <w:r w:rsidRPr="008B20B2">
        <w:rPr>
          <w:sz w:val="24"/>
          <w:szCs w:val="24"/>
          <w:lang w:val="fi-FI"/>
        </w:rPr>
        <w:t xml:space="preserve"> </w:t>
      </w:r>
      <w:r w:rsidRPr="008B20B2">
        <w:rPr>
          <w:sz w:val="24"/>
          <w:szCs w:val="24"/>
          <w:lang w:val="fi-FI"/>
        </w:rPr>
        <w:tab/>
        <w:t xml:space="preserve">OJ L 333, 27.12.2022, p. 164, ELI: </w:t>
      </w:r>
      <w:r w:rsidR="008B20B2" w:rsidRPr="008B20B2">
        <w:fldChar w:fldCharType="begin"/>
      </w:r>
      <w:r w:rsidR="008B20B2" w:rsidRPr="008B20B2">
        <w:rPr>
          <w:lang w:val="fi-FI"/>
        </w:rPr>
        <w:instrText xml:space="preserve"> HYPERLINK "http://dat</w:instrText>
      </w:r>
      <w:r w:rsidR="008B20B2" w:rsidRPr="008B20B2">
        <w:rPr>
          <w:lang w:val="fi-FI"/>
        </w:rPr>
        <w:instrText xml:space="preserve">a.europa.eu/eli/dir/2022/2557/oj" </w:instrText>
      </w:r>
      <w:r w:rsidR="008B20B2" w:rsidRPr="008B20B2">
        <w:fldChar w:fldCharType="separate"/>
      </w:r>
      <w:r w:rsidRPr="008B20B2">
        <w:rPr>
          <w:rStyle w:val="Hyperlink"/>
          <w:sz w:val="24"/>
          <w:szCs w:val="24"/>
          <w:lang w:val="fi-FI"/>
        </w:rPr>
        <w:t>http://data.europa.eu/eli/dir/2022/2557/oj</w:t>
      </w:r>
      <w:r w:rsidR="008B20B2" w:rsidRPr="008B20B2">
        <w:rPr>
          <w:rStyle w:val="Hyperlink"/>
          <w:sz w:val="24"/>
          <w:szCs w:val="24"/>
          <w:lang w:val="fi-FI"/>
        </w:rPr>
        <w:fldChar w:fldCharType="end"/>
      </w:r>
      <w:r w:rsidRPr="008B20B2">
        <w:rPr>
          <w:sz w:val="24"/>
          <w:szCs w:val="24"/>
          <w:lang w:val="fi-FI"/>
        </w:rPr>
        <w:t>.</w:t>
      </w:r>
    </w:p>
  </w:footnote>
  <w:footnote w:id="15">
    <w:p w14:paraId="7D17F4F5" w14:textId="77777777" w:rsidR="00110923" w:rsidRPr="008B20B2" w:rsidRDefault="00110923" w:rsidP="00C547A5">
      <w:pPr>
        <w:pStyle w:val="FootnoteText"/>
        <w:keepLines w:val="0"/>
        <w:ind w:left="567" w:hanging="567"/>
        <w:rPr>
          <w:sz w:val="24"/>
          <w:szCs w:val="24"/>
          <w:lang w:val="fi-FI"/>
        </w:rPr>
      </w:pPr>
      <w:r w:rsidRPr="008B20B2">
        <w:rPr>
          <w:rStyle w:val="FootnoteReference"/>
          <w:sz w:val="24"/>
          <w:szCs w:val="24"/>
          <w:lang w:val="en-GB"/>
        </w:rPr>
        <w:footnoteRef/>
      </w:r>
      <w:r w:rsidRPr="008B20B2">
        <w:rPr>
          <w:sz w:val="24"/>
          <w:szCs w:val="24"/>
          <w:lang w:val="fi-FI"/>
        </w:rPr>
        <w:t xml:space="preserve"> </w:t>
      </w:r>
      <w:r w:rsidRPr="008B20B2">
        <w:rPr>
          <w:sz w:val="24"/>
          <w:szCs w:val="24"/>
          <w:lang w:val="fi-FI"/>
        </w:rPr>
        <w:tab/>
        <w:t xml:space="preserve">OJ L 333, 27.12.2022, p. 80, ELI: </w:t>
      </w:r>
      <w:r w:rsidR="008B20B2" w:rsidRPr="008B20B2">
        <w:fldChar w:fldCharType="begin"/>
      </w:r>
      <w:r w:rsidR="008B20B2" w:rsidRPr="008B20B2">
        <w:rPr>
          <w:lang w:val="fi-FI"/>
        </w:rPr>
        <w:instrText xml:space="preserve"> HYPERLINK "http://data.europa.eu/eli/dir/2022/2555/oj" </w:instrText>
      </w:r>
      <w:r w:rsidR="008B20B2" w:rsidRPr="008B20B2">
        <w:fldChar w:fldCharType="separate"/>
      </w:r>
      <w:r w:rsidRPr="008B20B2">
        <w:rPr>
          <w:rStyle w:val="Hyperlink"/>
          <w:sz w:val="24"/>
          <w:szCs w:val="24"/>
          <w:lang w:val="fi-FI"/>
        </w:rPr>
        <w:t>http://data.europa.eu/eli/dir/2022/2555/oj</w:t>
      </w:r>
      <w:r w:rsidR="008B20B2" w:rsidRPr="008B20B2">
        <w:rPr>
          <w:rStyle w:val="Hyperlink"/>
          <w:sz w:val="24"/>
          <w:szCs w:val="24"/>
          <w:lang w:val="fi-FI"/>
        </w:rPr>
        <w:fldChar w:fldCharType="end"/>
      </w:r>
      <w:r w:rsidRPr="008B20B2">
        <w:rPr>
          <w:sz w:val="24"/>
          <w:szCs w:val="24"/>
          <w:lang w:val="fi-FI"/>
        </w:rPr>
        <w:t>.</w:t>
      </w:r>
    </w:p>
  </w:footnote>
  <w:footnote w:id="16">
    <w:p w14:paraId="1B1D4C5F" w14:textId="77777777" w:rsidR="00110923" w:rsidRPr="008B20B2" w:rsidRDefault="00110923" w:rsidP="00C547A5">
      <w:pPr>
        <w:pStyle w:val="FootnoteText"/>
        <w:keepLines w:val="0"/>
        <w:ind w:left="567" w:hanging="567"/>
        <w:rPr>
          <w:sz w:val="24"/>
          <w:szCs w:val="24"/>
          <w:lang w:val="fi-FI"/>
        </w:rPr>
      </w:pPr>
      <w:r w:rsidRPr="008B20B2">
        <w:rPr>
          <w:rStyle w:val="FootnoteReference"/>
          <w:sz w:val="24"/>
          <w:szCs w:val="24"/>
          <w:lang w:val="en-GB"/>
        </w:rPr>
        <w:footnoteRef/>
      </w:r>
      <w:r w:rsidRPr="008B20B2">
        <w:rPr>
          <w:sz w:val="24"/>
          <w:szCs w:val="24"/>
          <w:lang w:val="fi-FI"/>
        </w:rPr>
        <w:t xml:space="preserve"> </w:t>
      </w:r>
      <w:r w:rsidRPr="008B20B2">
        <w:rPr>
          <w:sz w:val="24"/>
          <w:szCs w:val="24"/>
          <w:lang w:val="fi-FI"/>
        </w:rPr>
        <w:tab/>
        <w:t xml:space="preserve">OJ L 309, 24.11.2009, p. 71, ELI: </w:t>
      </w:r>
      <w:r w:rsidR="008B20B2" w:rsidRPr="008B20B2">
        <w:fldChar w:fldCharType="begin"/>
      </w:r>
      <w:r w:rsidR="008B20B2" w:rsidRPr="008B20B2">
        <w:rPr>
          <w:lang w:val="fi-FI"/>
        </w:rPr>
        <w:instrText xml:space="preserve"> HYPERLINK "http://data.europa.eu/eli/dir/2009/128/oj" </w:instrText>
      </w:r>
      <w:r w:rsidR="008B20B2" w:rsidRPr="008B20B2">
        <w:fldChar w:fldCharType="separate"/>
      </w:r>
      <w:r w:rsidRPr="008B20B2">
        <w:rPr>
          <w:rStyle w:val="Hyperlink"/>
          <w:sz w:val="24"/>
          <w:szCs w:val="24"/>
          <w:lang w:val="fi-FI"/>
        </w:rPr>
        <w:t>http://data.europa.eu/eli/dir/2009/128/oj</w:t>
      </w:r>
      <w:r w:rsidR="008B20B2" w:rsidRPr="008B20B2">
        <w:rPr>
          <w:rStyle w:val="Hyperlink"/>
          <w:sz w:val="24"/>
          <w:szCs w:val="24"/>
          <w:lang w:val="fi-FI"/>
        </w:rPr>
        <w:fldChar w:fldCharType="end"/>
      </w:r>
      <w:r w:rsidRPr="008B20B2">
        <w:rPr>
          <w:sz w:val="24"/>
          <w:szCs w:val="24"/>
          <w:lang w:val="fi-FI"/>
        </w:rPr>
        <w:t>.</w:t>
      </w:r>
    </w:p>
  </w:footnote>
  <w:footnote w:id="17">
    <w:p w14:paraId="4E07AB9B" w14:textId="77777777" w:rsidR="00110923" w:rsidRPr="008B20B2" w:rsidRDefault="00110923" w:rsidP="00C547A5">
      <w:pPr>
        <w:pStyle w:val="FootnoteText"/>
        <w:keepLines w:val="0"/>
        <w:ind w:left="567" w:hanging="567"/>
        <w:rPr>
          <w:sz w:val="24"/>
          <w:szCs w:val="24"/>
          <w:lang w:val="fi-FI"/>
        </w:rPr>
      </w:pPr>
      <w:r w:rsidRPr="008B20B2">
        <w:rPr>
          <w:rStyle w:val="FootnoteReference"/>
          <w:sz w:val="24"/>
          <w:szCs w:val="24"/>
          <w:lang w:val="en-GB"/>
        </w:rPr>
        <w:footnoteRef/>
      </w:r>
      <w:r w:rsidRPr="008B20B2">
        <w:rPr>
          <w:sz w:val="24"/>
          <w:szCs w:val="24"/>
          <w:lang w:val="fi-FI"/>
        </w:rPr>
        <w:t xml:space="preserve"> </w:t>
      </w:r>
      <w:r w:rsidRPr="008B20B2">
        <w:rPr>
          <w:sz w:val="24"/>
          <w:szCs w:val="24"/>
          <w:lang w:val="fi-FI"/>
        </w:rPr>
        <w:tab/>
        <w:t xml:space="preserve">OJ L 435, 6.12.2021, p. 1, ELI: </w:t>
      </w:r>
      <w:r w:rsidR="008B20B2" w:rsidRPr="008B20B2">
        <w:fldChar w:fldCharType="begin"/>
      </w:r>
      <w:r w:rsidR="008B20B2" w:rsidRPr="008B20B2">
        <w:rPr>
          <w:lang w:val="fi-FI"/>
        </w:rPr>
        <w:instrText xml:space="preserve"> HYPERLINK "http://data.europa.eu/eli/reg/2021/2115/oj" </w:instrText>
      </w:r>
      <w:r w:rsidR="008B20B2" w:rsidRPr="008B20B2">
        <w:fldChar w:fldCharType="separate"/>
      </w:r>
      <w:r w:rsidRPr="008B20B2">
        <w:rPr>
          <w:rStyle w:val="Hyperlink"/>
          <w:sz w:val="24"/>
          <w:szCs w:val="24"/>
          <w:lang w:val="fi-FI"/>
        </w:rPr>
        <w:t>http://data.europa.eu/eli/reg/2021/2115/oj</w:t>
      </w:r>
      <w:r w:rsidR="008B20B2" w:rsidRPr="008B20B2">
        <w:rPr>
          <w:rStyle w:val="Hyperlink"/>
          <w:sz w:val="24"/>
          <w:szCs w:val="24"/>
          <w:lang w:val="fi-FI"/>
        </w:rPr>
        <w:fldChar w:fldCharType="end"/>
      </w:r>
      <w:r w:rsidRPr="008B20B2">
        <w:rPr>
          <w:sz w:val="24"/>
          <w:szCs w:val="24"/>
          <w:lang w:val="fi-FI"/>
        </w:rPr>
        <w:t>.</w:t>
      </w:r>
    </w:p>
  </w:footnote>
  <w:footnote w:id="18">
    <w:p w14:paraId="174F4402" w14:textId="77777777" w:rsidR="00110923" w:rsidRPr="008B20B2" w:rsidRDefault="00110923" w:rsidP="00C547A5">
      <w:pPr>
        <w:pStyle w:val="FootnoteText"/>
        <w:keepLines w:val="0"/>
        <w:ind w:left="567" w:hanging="567"/>
        <w:rPr>
          <w:sz w:val="24"/>
          <w:szCs w:val="24"/>
          <w:lang w:val="fi-FI"/>
        </w:rPr>
      </w:pPr>
      <w:r w:rsidRPr="008B20B2">
        <w:rPr>
          <w:rStyle w:val="FootnoteReference"/>
          <w:sz w:val="24"/>
          <w:szCs w:val="24"/>
          <w:lang w:val="en-GB"/>
        </w:rPr>
        <w:footnoteRef/>
      </w:r>
      <w:r w:rsidRPr="008B20B2">
        <w:rPr>
          <w:sz w:val="24"/>
          <w:szCs w:val="24"/>
          <w:lang w:val="fi-FI"/>
        </w:rPr>
        <w:t xml:space="preserve"> </w:t>
      </w:r>
      <w:r w:rsidRPr="008B20B2">
        <w:rPr>
          <w:sz w:val="24"/>
          <w:szCs w:val="24"/>
          <w:lang w:val="fi-FI"/>
        </w:rPr>
        <w:tab/>
        <w:t xml:space="preserve">OJ L, 2024/3190, 31.12.2024, ELI: </w:t>
      </w:r>
      <w:r w:rsidR="008B20B2" w:rsidRPr="008B20B2">
        <w:fldChar w:fldCharType="begin"/>
      </w:r>
      <w:r w:rsidR="008B20B2" w:rsidRPr="008B20B2">
        <w:rPr>
          <w:lang w:val="fi-FI"/>
        </w:rPr>
        <w:instrText xml:space="preserve"> HYPERLINK "http://data.europa.eu/eli/reg/2024/3190/oj" </w:instrText>
      </w:r>
      <w:r w:rsidR="008B20B2" w:rsidRPr="008B20B2">
        <w:fldChar w:fldCharType="separate"/>
      </w:r>
      <w:r w:rsidRPr="008B20B2">
        <w:rPr>
          <w:rStyle w:val="Hyperlink"/>
          <w:sz w:val="24"/>
          <w:szCs w:val="24"/>
          <w:lang w:val="fi-FI"/>
        </w:rPr>
        <w:t>http://data.europa.eu/eli/reg/2024/3190/oj</w:t>
      </w:r>
      <w:r w:rsidR="008B20B2" w:rsidRPr="008B20B2">
        <w:rPr>
          <w:rStyle w:val="Hyperlink"/>
          <w:sz w:val="24"/>
          <w:szCs w:val="24"/>
          <w:lang w:val="fi-FI"/>
        </w:rPr>
        <w:fldChar w:fldCharType="end"/>
      </w:r>
      <w:r w:rsidRPr="008B20B2">
        <w:rPr>
          <w:sz w:val="24"/>
          <w:szCs w:val="24"/>
          <w:lang w:val="fi-FI"/>
        </w:rPr>
        <w:t>.</w:t>
      </w:r>
    </w:p>
  </w:footnote>
  <w:footnote w:id="19">
    <w:p w14:paraId="56F0CD61" w14:textId="77777777" w:rsidR="00110923" w:rsidRPr="008B20B2" w:rsidRDefault="00110923" w:rsidP="00C547A5">
      <w:pPr>
        <w:pStyle w:val="FootnoteText"/>
        <w:keepLines w:val="0"/>
        <w:ind w:left="567" w:hanging="567"/>
        <w:rPr>
          <w:sz w:val="24"/>
          <w:szCs w:val="24"/>
          <w:lang w:val="fi-FI"/>
        </w:rPr>
      </w:pPr>
      <w:r w:rsidRPr="008B20B2">
        <w:rPr>
          <w:rStyle w:val="FootnoteReference"/>
          <w:sz w:val="24"/>
          <w:szCs w:val="24"/>
          <w:lang w:val="en-GB"/>
        </w:rPr>
        <w:footnoteRef/>
      </w:r>
      <w:r w:rsidRPr="008B20B2">
        <w:rPr>
          <w:sz w:val="24"/>
          <w:szCs w:val="24"/>
          <w:lang w:val="fi-FI"/>
        </w:rPr>
        <w:t xml:space="preserve"> </w:t>
      </w:r>
      <w:r w:rsidRPr="008B20B2">
        <w:rPr>
          <w:sz w:val="24"/>
          <w:szCs w:val="24"/>
          <w:lang w:val="fi-FI"/>
        </w:rPr>
        <w:tab/>
        <w:t>OJ C 132, 14.4.2023, p. 54.</w:t>
      </w:r>
    </w:p>
  </w:footnote>
  <w:footnote w:id="20">
    <w:p w14:paraId="6F03D51B" w14:textId="77777777" w:rsidR="00110923" w:rsidRPr="008B20B2" w:rsidRDefault="00110923" w:rsidP="00C547A5">
      <w:pPr>
        <w:pStyle w:val="FootnoteText"/>
        <w:keepLines w:val="0"/>
        <w:ind w:left="567" w:hanging="567"/>
        <w:rPr>
          <w:sz w:val="24"/>
          <w:szCs w:val="24"/>
          <w:lang w:val="fi-FI"/>
        </w:rPr>
      </w:pPr>
      <w:r w:rsidRPr="008B20B2">
        <w:rPr>
          <w:rStyle w:val="FootnoteReference"/>
          <w:sz w:val="24"/>
          <w:szCs w:val="24"/>
          <w:lang w:val="en-GB"/>
        </w:rPr>
        <w:footnoteRef/>
      </w:r>
      <w:r w:rsidRPr="008B20B2">
        <w:rPr>
          <w:sz w:val="24"/>
          <w:szCs w:val="24"/>
          <w:lang w:val="fi-FI"/>
        </w:rPr>
        <w:t xml:space="preserve"> </w:t>
      </w:r>
      <w:r w:rsidRPr="008B20B2">
        <w:rPr>
          <w:sz w:val="24"/>
          <w:szCs w:val="24"/>
          <w:lang w:val="fi-FI"/>
        </w:rPr>
        <w:tab/>
        <w:t xml:space="preserve">OJ C, C/2024/7216, 10.12.2024, ELI: </w:t>
      </w:r>
      <w:r w:rsidR="008B20B2" w:rsidRPr="008B20B2">
        <w:fldChar w:fldCharType="begin"/>
      </w:r>
      <w:r w:rsidR="008B20B2" w:rsidRPr="008B20B2">
        <w:rPr>
          <w:lang w:val="fi-FI"/>
        </w:rPr>
        <w:instrText xml:space="preserve"> HYPERLINK "http://data.europa.eu/eli/C/2024/7216/oj" </w:instrText>
      </w:r>
      <w:r w:rsidR="008B20B2" w:rsidRPr="008B20B2">
        <w:fldChar w:fldCharType="separate"/>
      </w:r>
      <w:r w:rsidRPr="008B20B2">
        <w:rPr>
          <w:rStyle w:val="Hyperlink"/>
          <w:sz w:val="24"/>
          <w:szCs w:val="24"/>
          <w:lang w:val="fi-FI"/>
        </w:rPr>
        <w:t>http://data.europa.eu/eli/C/2024/7216/oj</w:t>
      </w:r>
      <w:r w:rsidR="008B20B2" w:rsidRPr="008B20B2">
        <w:rPr>
          <w:rStyle w:val="Hyperlink"/>
          <w:sz w:val="24"/>
          <w:szCs w:val="24"/>
          <w:lang w:val="fi-FI"/>
        </w:rPr>
        <w:fldChar w:fldCharType="end"/>
      </w:r>
      <w:r w:rsidRPr="008B20B2">
        <w:rPr>
          <w:sz w:val="24"/>
          <w:szCs w:val="24"/>
          <w:lang w:val="fi-FI"/>
        </w:rPr>
        <w:t>.</w:t>
      </w:r>
    </w:p>
  </w:footnote>
  <w:footnote w:id="21">
    <w:p w14:paraId="011368F8" w14:textId="77777777" w:rsidR="00110923" w:rsidRPr="008B20B2" w:rsidRDefault="00110923" w:rsidP="00C547A5">
      <w:pPr>
        <w:pStyle w:val="FootnoteText"/>
        <w:keepLines w:val="0"/>
        <w:ind w:left="567" w:hanging="567"/>
        <w:rPr>
          <w:sz w:val="24"/>
          <w:szCs w:val="24"/>
          <w:lang w:val="fi-FI"/>
        </w:rPr>
      </w:pPr>
      <w:r w:rsidRPr="008B20B2">
        <w:rPr>
          <w:rStyle w:val="FootnoteReference"/>
          <w:sz w:val="24"/>
          <w:szCs w:val="24"/>
          <w:lang w:val="en-GB"/>
        </w:rPr>
        <w:footnoteRef/>
      </w:r>
      <w:r w:rsidRPr="008B20B2">
        <w:rPr>
          <w:sz w:val="24"/>
          <w:szCs w:val="24"/>
          <w:lang w:val="fi-FI"/>
        </w:rPr>
        <w:t xml:space="preserve"> </w:t>
      </w:r>
      <w:r w:rsidRPr="008B20B2">
        <w:rPr>
          <w:sz w:val="24"/>
          <w:szCs w:val="24"/>
          <w:lang w:val="fi-FI"/>
        </w:rPr>
        <w:tab/>
        <w:t>OJ C 132, 14.4.2023, p. 106.</w:t>
      </w:r>
    </w:p>
  </w:footnote>
  <w:footnote w:id="22">
    <w:p w14:paraId="60AEA4D2" w14:textId="77777777" w:rsidR="00110923" w:rsidRPr="008B20B2" w:rsidRDefault="00110923" w:rsidP="00C547A5">
      <w:pPr>
        <w:pStyle w:val="FootnoteText"/>
        <w:keepLines w:val="0"/>
        <w:ind w:left="567" w:hanging="567"/>
        <w:rPr>
          <w:sz w:val="24"/>
          <w:szCs w:val="24"/>
          <w:lang w:val="fi-FI"/>
        </w:rPr>
      </w:pPr>
      <w:r w:rsidRPr="008B20B2">
        <w:rPr>
          <w:rStyle w:val="FootnoteReference"/>
          <w:sz w:val="24"/>
          <w:szCs w:val="24"/>
          <w:lang w:val="en-GB"/>
        </w:rPr>
        <w:footnoteRef/>
      </w:r>
      <w:r w:rsidRPr="008B20B2">
        <w:rPr>
          <w:sz w:val="24"/>
          <w:szCs w:val="24"/>
          <w:lang w:val="fi-FI"/>
        </w:rPr>
        <w:t xml:space="preserve"> </w:t>
      </w:r>
      <w:r w:rsidRPr="008B20B2">
        <w:rPr>
          <w:sz w:val="24"/>
          <w:szCs w:val="24"/>
          <w:lang w:val="fi-FI"/>
        </w:rPr>
        <w:tab/>
        <w:t>OJ C 232, 16.6.2021, p. 28.</w:t>
      </w:r>
    </w:p>
  </w:footnote>
  <w:footnote w:id="23">
    <w:p w14:paraId="26F5E502" w14:textId="77777777" w:rsidR="00110923" w:rsidRPr="008B20B2" w:rsidRDefault="00110923" w:rsidP="00C547A5">
      <w:pPr>
        <w:pStyle w:val="FootnoteText"/>
        <w:keepLines w:val="0"/>
        <w:ind w:left="567" w:hanging="567"/>
        <w:rPr>
          <w:sz w:val="24"/>
          <w:szCs w:val="24"/>
          <w:lang w:val="fi-FI"/>
        </w:rPr>
      </w:pPr>
      <w:r w:rsidRPr="008B20B2">
        <w:rPr>
          <w:rStyle w:val="FootnoteReference"/>
          <w:sz w:val="24"/>
          <w:szCs w:val="24"/>
          <w:lang w:val="en-GB"/>
        </w:rPr>
        <w:footnoteRef/>
      </w:r>
      <w:r w:rsidRPr="008B20B2">
        <w:rPr>
          <w:sz w:val="24"/>
          <w:szCs w:val="24"/>
          <w:lang w:val="fi-FI"/>
        </w:rPr>
        <w:t xml:space="preserve"> </w:t>
      </w:r>
      <w:r w:rsidRPr="008B20B2">
        <w:rPr>
          <w:sz w:val="24"/>
          <w:szCs w:val="24"/>
          <w:lang w:val="fi-FI"/>
        </w:rPr>
        <w:tab/>
        <w:t xml:space="preserve">OJ C, C/2025/808, 11.2.2025, ELI: </w:t>
      </w:r>
      <w:r w:rsidR="008B20B2" w:rsidRPr="008B20B2">
        <w:fldChar w:fldCharType="begin"/>
      </w:r>
      <w:r w:rsidR="008B20B2" w:rsidRPr="008B20B2">
        <w:rPr>
          <w:lang w:val="fi-FI"/>
        </w:rPr>
        <w:instrText xml:space="preserve"> HYPERLINK "http://data.europa.eu/eli/C/2025/808/oj" </w:instrText>
      </w:r>
      <w:r w:rsidR="008B20B2" w:rsidRPr="008B20B2">
        <w:fldChar w:fldCharType="separate"/>
      </w:r>
      <w:r w:rsidRPr="008B20B2">
        <w:rPr>
          <w:rStyle w:val="Hyperlink"/>
          <w:sz w:val="24"/>
          <w:szCs w:val="24"/>
          <w:lang w:val="fi-FI"/>
        </w:rPr>
        <w:t>http://data.europa.eu/eli/C/2025/808/oj</w:t>
      </w:r>
      <w:r w:rsidR="008B20B2" w:rsidRPr="008B20B2">
        <w:rPr>
          <w:rStyle w:val="Hyperlink"/>
          <w:sz w:val="24"/>
          <w:szCs w:val="24"/>
          <w:lang w:val="fi-FI"/>
        </w:rPr>
        <w:fldChar w:fldCharType="end"/>
      </w:r>
      <w:r w:rsidRPr="008B20B2">
        <w:rPr>
          <w:sz w:val="24"/>
          <w:szCs w:val="24"/>
          <w:lang w:val="fi-FI"/>
        </w:rPr>
        <w:t>.</w:t>
      </w:r>
    </w:p>
  </w:footnote>
  <w:footnote w:id="24">
    <w:p w14:paraId="425F3F10" w14:textId="77777777" w:rsidR="00110923" w:rsidRPr="008B20B2" w:rsidRDefault="00110923" w:rsidP="00C547A5">
      <w:pPr>
        <w:pStyle w:val="FootnoteText"/>
        <w:keepLines w:val="0"/>
        <w:ind w:left="567" w:hanging="567"/>
        <w:rPr>
          <w:sz w:val="24"/>
          <w:szCs w:val="24"/>
          <w:lang w:val="en-GB"/>
        </w:rPr>
      </w:pPr>
      <w:r w:rsidRPr="008B20B2">
        <w:rPr>
          <w:rStyle w:val="FootnoteReference"/>
          <w:sz w:val="24"/>
          <w:szCs w:val="24"/>
          <w:lang w:val="en-GB"/>
        </w:rPr>
        <w:footnoteRef/>
      </w:r>
      <w:r w:rsidRPr="008B20B2">
        <w:rPr>
          <w:sz w:val="24"/>
          <w:szCs w:val="24"/>
          <w:lang w:val="en-GB"/>
        </w:rPr>
        <w:t xml:space="preserve"> </w:t>
      </w:r>
      <w:r w:rsidRPr="008B20B2">
        <w:rPr>
          <w:sz w:val="24"/>
          <w:szCs w:val="24"/>
          <w:lang w:val="en-GB"/>
        </w:rPr>
        <w:tab/>
        <w:t>OJ C 445, 29.10.2021, p. 126.</w:t>
      </w:r>
    </w:p>
  </w:footnote>
  <w:footnote w:id="25">
    <w:p w14:paraId="5B0331A3" w14:textId="77777777" w:rsidR="00110923" w:rsidRPr="008B20B2" w:rsidRDefault="00110923" w:rsidP="00C547A5">
      <w:pPr>
        <w:pStyle w:val="FootnoteText"/>
        <w:keepLines w:val="0"/>
        <w:ind w:left="567" w:hanging="567"/>
        <w:rPr>
          <w:sz w:val="24"/>
          <w:szCs w:val="24"/>
          <w:lang w:val="en-GB"/>
        </w:rPr>
      </w:pPr>
      <w:r w:rsidRPr="008B20B2">
        <w:rPr>
          <w:rStyle w:val="FootnoteReference"/>
          <w:sz w:val="24"/>
          <w:szCs w:val="24"/>
          <w:lang w:val="en-GB"/>
        </w:rPr>
        <w:footnoteRef/>
      </w:r>
      <w:r w:rsidRPr="008B20B2">
        <w:rPr>
          <w:sz w:val="24"/>
          <w:szCs w:val="24"/>
          <w:lang w:val="en-GB"/>
        </w:rPr>
        <w:t xml:space="preserve"> </w:t>
      </w:r>
      <w:r w:rsidRPr="008B20B2">
        <w:rPr>
          <w:sz w:val="24"/>
          <w:szCs w:val="24"/>
          <w:lang w:val="en-GB"/>
        </w:rPr>
        <w:tab/>
        <w:t>OJ C 316, 22.9.2017, p. 99.</w:t>
      </w:r>
    </w:p>
  </w:footnote>
  <w:footnote w:id="26">
    <w:p w14:paraId="2494187A" w14:textId="77777777" w:rsidR="00110923" w:rsidRPr="008B20B2" w:rsidRDefault="00110923" w:rsidP="00C547A5">
      <w:pPr>
        <w:pStyle w:val="FootnoteText"/>
        <w:keepLines w:val="0"/>
        <w:ind w:left="567" w:hanging="567"/>
        <w:rPr>
          <w:sz w:val="24"/>
          <w:szCs w:val="24"/>
          <w:lang w:val="en-GB"/>
        </w:rPr>
      </w:pPr>
      <w:r w:rsidRPr="008B20B2">
        <w:rPr>
          <w:rStyle w:val="FootnoteReference"/>
          <w:sz w:val="24"/>
          <w:szCs w:val="24"/>
          <w:lang w:val="en-GB"/>
        </w:rPr>
        <w:footnoteRef/>
      </w:r>
      <w:r w:rsidRPr="008B20B2">
        <w:rPr>
          <w:sz w:val="24"/>
          <w:szCs w:val="24"/>
          <w:lang w:val="en-GB"/>
        </w:rPr>
        <w:t xml:space="preserve"> </w:t>
      </w:r>
      <w:r w:rsidRPr="008B20B2">
        <w:rPr>
          <w:sz w:val="24"/>
          <w:szCs w:val="24"/>
          <w:lang w:val="en-GB"/>
        </w:rPr>
        <w:tab/>
        <w:t>Texts adopted, P9_</w:t>
      </w:r>
      <w:proofErr w:type="gramStart"/>
      <w:r w:rsidRPr="008B20B2">
        <w:rPr>
          <w:sz w:val="24"/>
          <w:szCs w:val="24"/>
          <w:lang w:val="en-GB"/>
        </w:rPr>
        <w:t>TA(</w:t>
      </w:r>
      <w:proofErr w:type="gramEnd"/>
      <w:r w:rsidRPr="008B20B2">
        <w:rPr>
          <w:sz w:val="24"/>
          <w:szCs w:val="24"/>
          <w:lang w:val="en-GB"/>
        </w:rPr>
        <w:t>2024)0358.</w:t>
      </w:r>
    </w:p>
  </w:footnote>
  <w:footnote w:id="27">
    <w:p w14:paraId="607BC720" w14:textId="77777777" w:rsidR="00110923" w:rsidRPr="008B20B2" w:rsidRDefault="00110923" w:rsidP="00C547A5">
      <w:pPr>
        <w:pStyle w:val="FootnoteText"/>
        <w:keepLines w:val="0"/>
        <w:ind w:left="567" w:hanging="567"/>
        <w:rPr>
          <w:sz w:val="24"/>
          <w:szCs w:val="24"/>
          <w:lang w:val="en-GB"/>
        </w:rPr>
      </w:pPr>
      <w:r w:rsidRPr="008B20B2">
        <w:rPr>
          <w:rStyle w:val="FootnoteReference"/>
          <w:sz w:val="24"/>
          <w:szCs w:val="24"/>
          <w:lang w:val="en-GB"/>
        </w:rPr>
        <w:footnoteRef/>
      </w:r>
      <w:r w:rsidRPr="008B20B2">
        <w:rPr>
          <w:sz w:val="24"/>
          <w:szCs w:val="24"/>
          <w:lang w:val="en-GB"/>
        </w:rPr>
        <w:t xml:space="preserve"> </w:t>
      </w:r>
      <w:r w:rsidRPr="008B20B2">
        <w:rPr>
          <w:sz w:val="24"/>
          <w:szCs w:val="24"/>
          <w:lang w:val="en-GB"/>
        </w:rPr>
        <w:tab/>
        <w:t xml:space="preserve">World Meteorological Organization, </w:t>
      </w:r>
      <w:r w:rsidRPr="008B20B2">
        <w:rPr>
          <w:i/>
          <w:sz w:val="24"/>
          <w:szCs w:val="24"/>
          <w:lang w:val="en-GB"/>
        </w:rPr>
        <w:t>2021 State of Climate Services – Water</w:t>
      </w:r>
      <w:r w:rsidRPr="008B20B2">
        <w:rPr>
          <w:sz w:val="24"/>
          <w:szCs w:val="24"/>
          <w:lang w:val="en-GB"/>
        </w:rPr>
        <w:t>, WMO-No 1278, WMO, Geneva, 2021.</w:t>
      </w:r>
    </w:p>
  </w:footnote>
  <w:footnote w:id="28">
    <w:p w14:paraId="0793096B" w14:textId="77777777" w:rsidR="00110923" w:rsidRPr="008B20B2" w:rsidRDefault="00110923" w:rsidP="00C547A5">
      <w:pPr>
        <w:pStyle w:val="FootnoteText"/>
        <w:keepLines w:val="0"/>
        <w:ind w:left="567" w:hanging="567"/>
        <w:rPr>
          <w:sz w:val="24"/>
          <w:szCs w:val="24"/>
          <w:lang w:val="en-GB"/>
        </w:rPr>
      </w:pPr>
      <w:r w:rsidRPr="008B20B2">
        <w:rPr>
          <w:rStyle w:val="FootnoteReference"/>
          <w:sz w:val="24"/>
          <w:szCs w:val="24"/>
          <w:lang w:val="en-GB"/>
        </w:rPr>
        <w:footnoteRef/>
      </w:r>
      <w:r w:rsidRPr="008B20B2">
        <w:rPr>
          <w:sz w:val="24"/>
          <w:szCs w:val="24"/>
          <w:lang w:val="en-GB"/>
        </w:rPr>
        <w:t xml:space="preserve"> </w:t>
      </w:r>
      <w:r w:rsidRPr="008B20B2">
        <w:rPr>
          <w:sz w:val="24"/>
          <w:szCs w:val="24"/>
          <w:lang w:val="en-GB"/>
        </w:rPr>
        <w:tab/>
        <w:t xml:space="preserve">European Environment Agency, </w:t>
      </w:r>
      <w:r w:rsidRPr="008B20B2">
        <w:rPr>
          <w:i/>
          <w:sz w:val="24"/>
          <w:szCs w:val="24"/>
          <w:lang w:val="en-GB"/>
        </w:rPr>
        <w:t>Water resources across Europe – confronting water scarcity and drought</w:t>
      </w:r>
      <w:r w:rsidRPr="008B20B2">
        <w:rPr>
          <w:sz w:val="24"/>
          <w:szCs w:val="24"/>
          <w:lang w:val="en-GB"/>
        </w:rPr>
        <w:t>, EEA Report 2/2009.</w:t>
      </w:r>
    </w:p>
  </w:footnote>
  <w:footnote w:id="29">
    <w:p w14:paraId="2EDD0BD7" w14:textId="77777777" w:rsidR="00110923" w:rsidRPr="008B20B2" w:rsidRDefault="00110923" w:rsidP="00C547A5">
      <w:pPr>
        <w:pStyle w:val="FootnoteText"/>
        <w:keepLines w:val="0"/>
        <w:ind w:left="567" w:hanging="567"/>
        <w:rPr>
          <w:sz w:val="24"/>
          <w:szCs w:val="24"/>
          <w:lang w:val="en-GB"/>
        </w:rPr>
      </w:pPr>
      <w:r w:rsidRPr="008B20B2">
        <w:rPr>
          <w:rStyle w:val="FootnoteReference"/>
          <w:sz w:val="24"/>
          <w:szCs w:val="24"/>
          <w:lang w:val="en-GB"/>
        </w:rPr>
        <w:footnoteRef/>
      </w:r>
      <w:r w:rsidRPr="008B20B2">
        <w:rPr>
          <w:sz w:val="24"/>
          <w:szCs w:val="24"/>
          <w:lang w:val="en-GB"/>
        </w:rPr>
        <w:t xml:space="preserve"> </w:t>
      </w:r>
      <w:r w:rsidRPr="008B20B2">
        <w:rPr>
          <w:sz w:val="24"/>
          <w:szCs w:val="24"/>
          <w:lang w:val="en-GB"/>
        </w:rPr>
        <w:tab/>
        <w:t>EEA Report 07/2024.</w:t>
      </w:r>
    </w:p>
  </w:footnote>
  <w:footnote w:id="30">
    <w:p w14:paraId="711BF2E5" w14:textId="77777777" w:rsidR="00110923" w:rsidRPr="008B20B2" w:rsidRDefault="00110923" w:rsidP="00C547A5">
      <w:pPr>
        <w:pStyle w:val="FootnoteText"/>
        <w:keepLines w:val="0"/>
        <w:ind w:left="567" w:hanging="567"/>
        <w:rPr>
          <w:sz w:val="24"/>
          <w:szCs w:val="24"/>
          <w:lang w:val="en-GB"/>
        </w:rPr>
      </w:pPr>
      <w:r w:rsidRPr="008B20B2">
        <w:rPr>
          <w:rStyle w:val="FootnoteReference"/>
          <w:sz w:val="24"/>
          <w:szCs w:val="24"/>
          <w:lang w:val="en-GB"/>
        </w:rPr>
        <w:footnoteRef/>
      </w:r>
      <w:r w:rsidRPr="008B20B2">
        <w:rPr>
          <w:sz w:val="24"/>
          <w:szCs w:val="24"/>
          <w:lang w:val="en-GB"/>
        </w:rPr>
        <w:t xml:space="preserve"> </w:t>
      </w:r>
      <w:r w:rsidRPr="008B20B2">
        <w:rPr>
          <w:sz w:val="24"/>
          <w:szCs w:val="24"/>
          <w:lang w:val="en-GB"/>
        </w:rPr>
        <w:tab/>
        <w:t xml:space="preserve">WWF, </w:t>
      </w:r>
      <w:r w:rsidRPr="008B20B2">
        <w:rPr>
          <w:i/>
          <w:sz w:val="24"/>
          <w:szCs w:val="24"/>
          <w:lang w:val="en-GB"/>
        </w:rPr>
        <w:t>High Cost of Cheap Water</w:t>
      </w:r>
      <w:r w:rsidRPr="008B20B2">
        <w:rPr>
          <w:sz w:val="24"/>
          <w:szCs w:val="24"/>
          <w:lang w:val="en-GB"/>
        </w:rPr>
        <w:t>, WWF, Gland, 2021.</w:t>
      </w:r>
    </w:p>
  </w:footnote>
  <w:footnote w:id="31">
    <w:p w14:paraId="58423972" w14:textId="77777777" w:rsidR="00110923" w:rsidRPr="008B20B2" w:rsidRDefault="00110923" w:rsidP="00C547A5">
      <w:pPr>
        <w:pStyle w:val="FootnoteText"/>
        <w:keepLines w:val="0"/>
        <w:ind w:left="567" w:hanging="567"/>
        <w:rPr>
          <w:sz w:val="24"/>
          <w:szCs w:val="24"/>
          <w:lang w:val="en-GB"/>
        </w:rPr>
      </w:pPr>
      <w:r w:rsidRPr="008B20B2">
        <w:rPr>
          <w:rStyle w:val="FootnoteReference"/>
          <w:sz w:val="24"/>
          <w:szCs w:val="24"/>
          <w:lang w:val="en-GB"/>
        </w:rPr>
        <w:footnoteRef/>
      </w:r>
      <w:r w:rsidRPr="008B20B2">
        <w:rPr>
          <w:sz w:val="24"/>
          <w:szCs w:val="24"/>
          <w:lang w:val="en-GB"/>
        </w:rPr>
        <w:t xml:space="preserve"> </w:t>
      </w:r>
      <w:r w:rsidRPr="008B20B2">
        <w:rPr>
          <w:sz w:val="24"/>
          <w:szCs w:val="24"/>
          <w:lang w:val="en-GB"/>
        </w:rPr>
        <w:tab/>
        <w:t>EEA Report 07/2024.</w:t>
      </w:r>
    </w:p>
  </w:footnote>
  <w:footnote w:id="32">
    <w:p w14:paraId="7FA2A6CC" w14:textId="77777777" w:rsidR="00110923" w:rsidRPr="008B20B2" w:rsidRDefault="00110923" w:rsidP="00C547A5">
      <w:pPr>
        <w:pStyle w:val="FootnoteText"/>
        <w:keepLines w:val="0"/>
        <w:ind w:left="567" w:hanging="567"/>
        <w:rPr>
          <w:sz w:val="24"/>
          <w:szCs w:val="24"/>
          <w:lang w:val="en-GB"/>
        </w:rPr>
      </w:pPr>
      <w:r w:rsidRPr="008B20B2">
        <w:rPr>
          <w:rStyle w:val="FootnoteReference"/>
          <w:sz w:val="24"/>
          <w:szCs w:val="24"/>
          <w:lang w:val="en-GB"/>
        </w:rPr>
        <w:footnoteRef/>
      </w:r>
      <w:r w:rsidRPr="008B20B2">
        <w:rPr>
          <w:sz w:val="24"/>
          <w:szCs w:val="24"/>
          <w:lang w:val="en-GB"/>
        </w:rPr>
        <w:t xml:space="preserve"> </w:t>
      </w:r>
      <w:r w:rsidRPr="008B20B2">
        <w:rPr>
          <w:sz w:val="24"/>
          <w:szCs w:val="24"/>
          <w:lang w:val="en-GB"/>
        </w:rPr>
        <w:tab/>
        <w:t xml:space="preserve">European Commission, </w:t>
      </w:r>
      <w:r w:rsidRPr="008B20B2">
        <w:rPr>
          <w:i/>
          <w:sz w:val="24"/>
          <w:szCs w:val="24"/>
          <w:lang w:val="en-GB"/>
        </w:rPr>
        <w:t>Attitudes of Europeans towards the environment</w:t>
      </w:r>
      <w:r w:rsidRPr="008B20B2">
        <w:rPr>
          <w:sz w:val="24"/>
          <w:szCs w:val="24"/>
          <w:lang w:val="en-GB"/>
        </w:rPr>
        <w:t>, Special Eurobarometer 550, May 2024.</w:t>
      </w:r>
    </w:p>
  </w:footnote>
  <w:footnote w:id="33">
    <w:p w14:paraId="1DE5DEE4" w14:textId="77777777" w:rsidR="00110923" w:rsidRPr="008B20B2" w:rsidRDefault="00110923" w:rsidP="00C547A5">
      <w:pPr>
        <w:pStyle w:val="FootnoteText"/>
        <w:keepLines w:val="0"/>
        <w:ind w:left="567" w:hanging="567"/>
        <w:rPr>
          <w:sz w:val="24"/>
          <w:szCs w:val="24"/>
          <w:lang w:val="en-GB"/>
        </w:rPr>
      </w:pPr>
      <w:r w:rsidRPr="008B20B2">
        <w:rPr>
          <w:rStyle w:val="FootnoteReference"/>
          <w:sz w:val="24"/>
          <w:szCs w:val="24"/>
          <w:lang w:val="en-GB"/>
        </w:rPr>
        <w:footnoteRef/>
      </w:r>
      <w:r w:rsidRPr="008B20B2">
        <w:rPr>
          <w:sz w:val="24"/>
          <w:szCs w:val="24"/>
          <w:lang w:val="en-GB"/>
        </w:rPr>
        <w:t xml:space="preserve"> </w:t>
      </w:r>
      <w:r w:rsidRPr="008B20B2">
        <w:rPr>
          <w:sz w:val="24"/>
          <w:szCs w:val="24"/>
          <w:lang w:val="en-GB"/>
        </w:rPr>
        <w:tab/>
        <w:t xml:space="preserve">European Commission: Directorate-General for Environment, et al., </w:t>
      </w:r>
      <w:r w:rsidRPr="008B20B2">
        <w:rPr>
          <w:i/>
          <w:sz w:val="24"/>
          <w:szCs w:val="24"/>
          <w:lang w:val="en-GB"/>
        </w:rPr>
        <w:t>Implementation of water balances in the EU – Final report</w:t>
      </w:r>
      <w:r w:rsidRPr="008B20B2">
        <w:rPr>
          <w:sz w:val="24"/>
          <w:szCs w:val="24"/>
          <w:lang w:val="en-GB"/>
        </w:rPr>
        <w:t>, Publications Office of the European Union, 2024.</w:t>
      </w:r>
    </w:p>
  </w:footnote>
  <w:footnote w:id="34">
    <w:p w14:paraId="16A49132" w14:textId="77777777" w:rsidR="00110923" w:rsidRPr="008B20B2" w:rsidRDefault="00110923" w:rsidP="00C547A5">
      <w:pPr>
        <w:pStyle w:val="FootnoteText"/>
        <w:keepLines w:val="0"/>
        <w:ind w:left="567" w:hanging="567"/>
        <w:rPr>
          <w:sz w:val="24"/>
          <w:szCs w:val="24"/>
          <w:lang w:val="en-GB"/>
        </w:rPr>
      </w:pPr>
      <w:r w:rsidRPr="008B20B2">
        <w:rPr>
          <w:rStyle w:val="FootnoteReference"/>
          <w:sz w:val="24"/>
          <w:szCs w:val="24"/>
          <w:lang w:val="en-GB"/>
        </w:rPr>
        <w:footnoteRef/>
      </w:r>
      <w:r w:rsidRPr="008B20B2">
        <w:rPr>
          <w:sz w:val="24"/>
          <w:szCs w:val="24"/>
          <w:lang w:val="en-GB"/>
        </w:rPr>
        <w:t xml:space="preserve"> </w:t>
      </w:r>
      <w:r w:rsidRPr="008B20B2">
        <w:rPr>
          <w:sz w:val="24"/>
          <w:szCs w:val="24"/>
          <w:lang w:val="en-GB"/>
        </w:rPr>
        <w:tab/>
        <w:t xml:space="preserve">Disclosure Insight Action (CDP) and Planet Tracker, </w:t>
      </w:r>
      <w:r w:rsidRPr="008B20B2">
        <w:rPr>
          <w:i/>
          <w:sz w:val="24"/>
          <w:szCs w:val="24"/>
          <w:lang w:val="en-GB"/>
        </w:rPr>
        <w:t xml:space="preserve">High and Dry. How Water Issues Are Stranding Assets, </w:t>
      </w:r>
      <w:r w:rsidRPr="008B20B2">
        <w:rPr>
          <w:sz w:val="24"/>
          <w:szCs w:val="24"/>
          <w:lang w:val="en-GB"/>
        </w:rPr>
        <w:t>2022.</w:t>
      </w:r>
    </w:p>
  </w:footnote>
  <w:footnote w:id="35">
    <w:p w14:paraId="4262DFC4" w14:textId="77777777" w:rsidR="00110923" w:rsidRPr="008B20B2" w:rsidRDefault="00110923" w:rsidP="00C547A5">
      <w:pPr>
        <w:pStyle w:val="FootnoteText"/>
        <w:keepLines w:val="0"/>
        <w:ind w:left="567" w:hanging="567"/>
        <w:rPr>
          <w:sz w:val="24"/>
          <w:szCs w:val="24"/>
          <w:lang w:val="en-GB"/>
        </w:rPr>
      </w:pPr>
      <w:r w:rsidRPr="008B20B2">
        <w:rPr>
          <w:rStyle w:val="FootnoteReference"/>
          <w:sz w:val="24"/>
          <w:szCs w:val="24"/>
          <w:lang w:val="en-GB"/>
        </w:rPr>
        <w:footnoteRef/>
      </w:r>
      <w:r w:rsidRPr="008B20B2">
        <w:rPr>
          <w:sz w:val="24"/>
          <w:szCs w:val="24"/>
          <w:lang w:val="en-GB"/>
        </w:rPr>
        <w:t xml:space="preserve"> </w:t>
      </w:r>
      <w:r w:rsidRPr="008B20B2">
        <w:rPr>
          <w:sz w:val="24"/>
          <w:szCs w:val="24"/>
          <w:lang w:val="en-GB"/>
        </w:rPr>
        <w:tab/>
        <w:t>EEA Report 07/2024.</w:t>
      </w:r>
    </w:p>
  </w:footnote>
  <w:footnote w:id="36">
    <w:p w14:paraId="662F294F" w14:textId="77777777" w:rsidR="00110923" w:rsidRPr="008B20B2" w:rsidRDefault="00110923" w:rsidP="00C547A5">
      <w:pPr>
        <w:pStyle w:val="FootnoteText"/>
        <w:keepLines w:val="0"/>
        <w:ind w:left="567" w:hanging="567"/>
        <w:rPr>
          <w:sz w:val="24"/>
          <w:szCs w:val="24"/>
          <w:lang w:val="en-GB"/>
        </w:rPr>
      </w:pPr>
      <w:r w:rsidRPr="008B20B2">
        <w:rPr>
          <w:rStyle w:val="FootnoteReference"/>
          <w:sz w:val="24"/>
          <w:szCs w:val="24"/>
          <w:lang w:val="en-GB"/>
        </w:rPr>
        <w:footnoteRef/>
      </w:r>
      <w:r w:rsidRPr="008B20B2">
        <w:rPr>
          <w:sz w:val="24"/>
          <w:szCs w:val="24"/>
          <w:lang w:val="en-GB"/>
        </w:rPr>
        <w:t xml:space="preserve"> </w:t>
      </w:r>
      <w:r w:rsidRPr="008B20B2">
        <w:rPr>
          <w:sz w:val="24"/>
          <w:szCs w:val="24"/>
          <w:lang w:val="en-GB"/>
        </w:rPr>
        <w:tab/>
        <w:t xml:space="preserve">European Environment Agency, ‘Water abstraction by economic sector in the 27 EU Member States, 2000-2022’, European Environment Agency website, 5 December 2024, </w:t>
      </w:r>
      <w:r w:rsidR="008B20B2" w:rsidRPr="008B20B2">
        <w:fldChar w:fldCharType="begin"/>
      </w:r>
      <w:r w:rsidR="008B20B2" w:rsidRPr="008B20B2">
        <w:rPr>
          <w:lang w:val="en-GB"/>
        </w:rPr>
        <w:instrText xml:space="preserve"> HYPERLINK "https://ww</w:instrText>
      </w:r>
      <w:r w:rsidR="008B20B2" w:rsidRPr="008B20B2">
        <w:rPr>
          <w:lang w:val="en-GB"/>
        </w:rPr>
        <w:instrText xml:space="preserve">w.eea.europa.eu/en/analysis/indicators/water-abstraction-by-source-and/water-abstraction-by-economic?activeTab=8a280073-bf94-4717-b3e2-1374b57ca99d" </w:instrText>
      </w:r>
      <w:r w:rsidR="008B20B2" w:rsidRPr="008B20B2">
        <w:fldChar w:fldCharType="separate"/>
      </w:r>
      <w:r w:rsidRPr="008B20B2">
        <w:rPr>
          <w:rStyle w:val="Hyperlink"/>
          <w:sz w:val="24"/>
          <w:szCs w:val="24"/>
          <w:lang w:val="en-GB"/>
        </w:rPr>
        <w:t>https://www.eea.europa.eu/en/analysis/indicators/water-abstraction-by-source-and/water-abstraction-by-economic?activeTab=8a280073-bf94-4717-b3e2-1374b57ca99d</w:t>
      </w:r>
      <w:r w:rsidR="008B20B2" w:rsidRPr="008B20B2">
        <w:rPr>
          <w:rStyle w:val="Hyperlink"/>
          <w:sz w:val="24"/>
          <w:szCs w:val="24"/>
          <w:lang w:val="en-GB"/>
        </w:rPr>
        <w:fldChar w:fldCharType="end"/>
      </w:r>
      <w:r w:rsidRPr="008B20B2">
        <w:rPr>
          <w:sz w:val="24"/>
          <w:szCs w:val="24"/>
          <w:lang w:val="en-GB"/>
        </w:rPr>
        <w:t>.</w:t>
      </w:r>
    </w:p>
  </w:footnote>
  <w:footnote w:id="37">
    <w:p w14:paraId="3A50A400" w14:textId="7B91801B" w:rsidR="00110923" w:rsidRPr="008B20B2" w:rsidRDefault="00110923" w:rsidP="00C547A5">
      <w:pPr>
        <w:pStyle w:val="FootnoteText"/>
        <w:keepLines w:val="0"/>
        <w:ind w:left="567" w:hanging="567"/>
        <w:rPr>
          <w:sz w:val="24"/>
          <w:szCs w:val="24"/>
          <w:lang w:val="en-GB"/>
        </w:rPr>
      </w:pPr>
      <w:r w:rsidRPr="008B20B2">
        <w:rPr>
          <w:rStyle w:val="FootnoteReference"/>
          <w:sz w:val="24"/>
          <w:szCs w:val="24"/>
          <w:lang w:val="en-GB"/>
        </w:rPr>
        <w:footnoteRef/>
      </w:r>
      <w:r w:rsidRPr="008B20B2">
        <w:rPr>
          <w:sz w:val="24"/>
          <w:szCs w:val="24"/>
          <w:lang w:val="en-GB"/>
        </w:rPr>
        <w:t xml:space="preserve"> </w:t>
      </w:r>
      <w:r w:rsidRPr="008B20B2">
        <w:rPr>
          <w:sz w:val="24"/>
          <w:szCs w:val="24"/>
          <w:lang w:val="en-GB"/>
        </w:rPr>
        <w:tab/>
        <w:t xml:space="preserve">Eurostat, ‘Archive: Water use in industry’, Eurostat website, </w:t>
      </w:r>
      <w:r w:rsidR="008B20B2" w:rsidRPr="008B20B2">
        <w:fldChar w:fldCharType="begin"/>
      </w:r>
      <w:r w:rsidR="008B20B2" w:rsidRPr="008B20B2">
        <w:rPr>
          <w:lang w:val="en-GB"/>
        </w:rPr>
        <w:instrText xml:space="preserve"> HYPERLINK "https://ec.europa.eu/eurostat/statistics-explained/index.php?title=Archive:Water_use_in_industry&amp;oldid=196132%23Further_Euro</w:instrText>
      </w:r>
      <w:r w:rsidR="008B20B2" w:rsidRPr="008B20B2">
        <w:rPr>
          <w:lang w:val="en-GB"/>
        </w:rPr>
        <w:instrText xml:space="preserve">stat_information" </w:instrText>
      </w:r>
      <w:r w:rsidR="008B20B2" w:rsidRPr="008B20B2">
        <w:fldChar w:fldCharType="separate"/>
      </w:r>
      <w:r w:rsidRPr="008B20B2">
        <w:rPr>
          <w:rStyle w:val="Hyperlink"/>
          <w:sz w:val="24"/>
          <w:szCs w:val="24"/>
          <w:lang w:val="en-GB"/>
        </w:rPr>
        <w:t>https://ec.europa.eu/eurostat/statistics-explained/index.php?title=Archive:Water_use_in_industry&amp;oldid=196132#Further_Eurostat_information</w:t>
      </w:r>
      <w:r w:rsidR="008B20B2" w:rsidRPr="008B20B2">
        <w:rPr>
          <w:rStyle w:val="Hyperlink"/>
          <w:sz w:val="24"/>
          <w:szCs w:val="24"/>
          <w:lang w:val="en-GB"/>
        </w:rPr>
        <w:fldChar w:fldCharType="end"/>
      </w:r>
      <w:r w:rsidRPr="008B20B2">
        <w:rPr>
          <w:sz w:val="24"/>
          <w:szCs w:val="24"/>
          <w:lang w:val="en-GB"/>
        </w:rPr>
        <w:t>.</w:t>
      </w:r>
    </w:p>
  </w:footnote>
  <w:footnote w:id="38">
    <w:p w14:paraId="42B067D8" w14:textId="77777777" w:rsidR="00110923" w:rsidRPr="008B20B2" w:rsidRDefault="00110923" w:rsidP="00C547A5">
      <w:pPr>
        <w:pStyle w:val="FootnoteText"/>
        <w:keepLines w:val="0"/>
        <w:ind w:left="567" w:hanging="567"/>
        <w:rPr>
          <w:sz w:val="24"/>
          <w:szCs w:val="24"/>
          <w:lang w:val="en-GB"/>
        </w:rPr>
      </w:pPr>
      <w:r w:rsidRPr="008B20B2">
        <w:rPr>
          <w:rStyle w:val="FootnoteReference"/>
          <w:sz w:val="24"/>
          <w:szCs w:val="24"/>
          <w:lang w:val="en-GB"/>
        </w:rPr>
        <w:footnoteRef/>
      </w:r>
      <w:r w:rsidRPr="008B20B2">
        <w:rPr>
          <w:sz w:val="24"/>
          <w:szCs w:val="24"/>
          <w:lang w:val="en-GB"/>
        </w:rPr>
        <w:t xml:space="preserve"> </w:t>
      </w:r>
      <w:r w:rsidRPr="008B20B2">
        <w:rPr>
          <w:sz w:val="24"/>
          <w:szCs w:val="24"/>
          <w:lang w:val="en-GB"/>
        </w:rPr>
        <w:tab/>
        <w:t>EEA Report 07/2024.</w:t>
      </w:r>
    </w:p>
  </w:footnote>
  <w:footnote w:id="39">
    <w:p w14:paraId="048CAD21" w14:textId="77777777" w:rsidR="00110923" w:rsidRPr="008B20B2" w:rsidRDefault="00110923" w:rsidP="00C547A5">
      <w:pPr>
        <w:pStyle w:val="FootnoteText"/>
        <w:keepLines w:val="0"/>
        <w:ind w:left="567" w:hanging="567"/>
        <w:rPr>
          <w:sz w:val="24"/>
          <w:szCs w:val="24"/>
          <w:lang w:val="en-GB"/>
        </w:rPr>
      </w:pPr>
      <w:r w:rsidRPr="008B20B2">
        <w:rPr>
          <w:rStyle w:val="FootnoteReference"/>
          <w:sz w:val="24"/>
          <w:szCs w:val="24"/>
          <w:lang w:val="en-GB"/>
        </w:rPr>
        <w:footnoteRef/>
      </w:r>
      <w:r w:rsidRPr="008B20B2">
        <w:rPr>
          <w:sz w:val="24"/>
          <w:szCs w:val="24"/>
          <w:lang w:val="en-GB"/>
        </w:rPr>
        <w:t xml:space="preserve"> </w:t>
      </w:r>
      <w:r w:rsidRPr="008B20B2">
        <w:rPr>
          <w:sz w:val="24"/>
          <w:szCs w:val="24"/>
          <w:lang w:val="en-GB"/>
        </w:rPr>
        <w:tab/>
        <w:t xml:space="preserve">Food and Agriculture Organization of the United Nations, </w:t>
      </w:r>
      <w:r w:rsidRPr="008B20B2">
        <w:rPr>
          <w:i/>
          <w:sz w:val="24"/>
          <w:szCs w:val="24"/>
          <w:lang w:val="en-GB"/>
        </w:rPr>
        <w:t>Water accounting and auditing, A sourcebook</w:t>
      </w:r>
      <w:r w:rsidRPr="008B20B2">
        <w:rPr>
          <w:sz w:val="24"/>
          <w:szCs w:val="24"/>
          <w:lang w:val="en-GB"/>
        </w:rPr>
        <w:t>, FAO Water Reports 43, FAO, Rome, 2016.</w:t>
      </w:r>
    </w:p>
  </w:footnote>
  <w:footnote w:id="40">
    <w:p w14:paraId="23DA6E6E" w14:textId="77777777" w:rsidR="00110923" w:rsidRPr="008B20B2" w:rsidRDefault="00110923" w:rsidP="00C547A5">
      <w:pPr>
        <w:pStyle w:val="FootnoteText"/>
        <w:keepLines w:val="0"/>
        <w:ind w:left="567" w:hanging="567"/>
        <w:rPr>
          <w:sz w:val="24"/>
          <w:szCs w:val="24"/>
          <w:lang w:val="en-GB"/>
        </w:rPr>
      </w:pPr>
      <w:r w:rsidRPr="008B20B2">
        <w:rPr>
          <w:rStyle w:val="FootnoteReference"/>
          <w:sz w:val="24"/>
          <w:szCs w:val="24"/>
          <w:lang w:val="en-GB"/>
        </w:rPr>
        <w:footnoteRef/>
      </w:r>
      <w:r w:rsidRPr="008B20B2">
        <w:rPr>
          <w:sz w:val="24"/>
          <w:szCs w:val="24"/>
          <w:lang w:val="en-GB"/>
        </w:rPr>
        <w:t xml:space="preserve"> </w:t>
      </w:r>
      <w:r w:rsidRPr="008B20B2">
        <w:rPr>
          <w:sz w:val="24"/>
          <w:szCs w:val="24"/>
          <w:lang w:val="en-GB"/>
        </w:rPr>
        <w:tab/>
        <w:t xml:space="preserve">European Investment Bank, </w:t>
      </w:r>
      <w:r w:rsidRPr="008B20B2">
        <w:rPr>
          <w:i/>
          <w:sz w:val="24"/>
          <w:szCs w:val="24"/>
          <w:lang w:val="en-GB"/>
        </w:rPr>
        <w:t>Wastewater as a resource</w:t>
      </w:r>
      <w:r w:rsidRPr="008B20B2">
        <w:rPr>
          <w:sz w:val="24"/>
          <w:szCs w:val="24"/>
          <w:lang w:val="en-GB"/>
        </w:rPr>
        <w:t>, EIB, 2022.</w:t>
      </w:r>
    </w:p>
  </w:footnote>
  <w:footnote w:id="41">
    <w:p w14:paraId="0DCB4895" w14:textId="77777777" w:rsidR="00110923" w:rsidRPr="008B20B2" w:rsidRDefault="00110923" w:rsidP="00C547A5">
      <w:pPr>
        <w:pStyle w:val="FootnoteText"/>
        <w:keepLines w:val="0"/>
        <w:ind w:left="567" w:hanging="567"/>
        <w:rPr>
          <w:sz w:val="24"/>
          <w:szCs w:val="24"/>
          <w:lang w:val="en-GB"/>
        </w:rPr>
      </w:pPr>
      <w:r w:rsidRPr="008B20B2">
        <w:rPr>
          <w:rStyle w:val="FootnoteReference"/>
          <w:sz w:val="24"/>
          <w:szCs w:val="24"/>
          <w:lang w:val="en-GB"/>
        </w:rPr>
        <w:footnoteRef/>
      </w:r>
      <w:r w:rsidRPr="008B20B2">
        <w:rPr>
          <w:sz w:val="24"/>
          <w:szCs w:val="24"/>
          <w:lang w:val="en-GB"/>
        </w:rPr>
        <w:t xml:space="preserve"> </w:t>
      </w:r>
      <w:r w:rsidRPr="008B20B2">
        <w:rPr>
          <w:sz w:val="24"/>
          <w:szCs w:val="24"/>
          <w:lang w:val="en-GB"/>
        </w:rPr>
        <w:tab/>
        <w:t xml:space="preserve">European Commission: Directorate-General for Environment, ‘Water reuse: New EU rules to improve access to safe irrigation’, European Commission website, 26 June 2023, </w:t>
      </w:r>
      <w:r w:rsidR="008B20B2" w:rsidRPr="008B20B2">
        <w:fldChar w:fldCharType="begin"/>
      </w:r>
      <w:r w:rsidR="008B20B2" w:rsidRPr="008B20B2">
        <w:rPr>
          <w:lang w:val="en-GB"/>
        </w:rPr>
        <w:instrText xml:space="preserve"> HYPERLINK "https://environment.ec.europa.eu/news/water-reuse-new-eu-rules-improve-acce</w:instrText>
      </w:r>
      <w:r w:rsidR="008B20B2" w:rsidRPr="008B20B2">
        <w:rPr>
          <w:lang w:val="en-GB"/>
        </w:rPr>
        <w:instrText xml:space="preserve">ss-safe-irrigation-2023-06-26_en" </w:instrText>
      </w:r>
      <w:r w:rsidR="008B20B2" w:rsidRPr="008B20B2">
        <w:fldChar w:fldCharType="separate"/>
      </w:r>
      <w:r w:rsidRPr="008B20B2">
        <w:rPr>
          <w:rStyle w:val="Hyperlink"/>
          <w:sz w:val="24"/>
          <w:szCs w:val="24"/>
          <w:lang w:val="en-GB"/>
        </w:rPr>
        <w:t>https://environment.ec.europa.eu/news/water-reuse-new-eu-rules-improve-access-safe-irrigation-2023-06-26_en</w:t>
      </w:r>
      <w:r w:rsidR="008B20B2" w:rsidRPr="008B20B2">
        <w:rPr>
          <w:rStyle w:val="Hyperlink"/>
          <w:sz w:val="24"/>
          <w:szCs w:val="24"/>
          <w:lang w:val="en-GB"/>
        </w:rPr>
        <w:fldChar w:fldCharType="end"/>
      </w:r>
      <w:r w:rsidRPr="008B20B2">
        <w:rPr>
          <w:sz w:val="24"/>
          <w:szCs w:val="24"/>
          <w:lang w:val="en-GB"/>
        </w:rPr>
        <w:t>.</w:t>
      </w:r>
    </w:p>
  </w:footnote>
  <w:footnote w:id="42">
    <w:p w14:paraId="4AAC2EB5" w14:textId="17EC8439" w:rsidR="00110923" w:rsidRPr="008B20B2" w:rsidRDefault="00110923" w:rsidP="00C547A5">
      <w:pPr>
        <w:pStyle w:val="FootnoteText"/>
        <w:keepLines w:val="0"/>
        <w:ind w:left="567" w:hanging="567"/>
        <w:rPr>
          <w:sz w:val="24"/>
          <w:szCs w:val="24"/>
          <w:lang w:val="en-GB"/>
        </w:rPr>
      </w:pPr>
      <w:r w:rsidRPr="008B20B2">
        <w:rPr>
          <w:rStyle w:val="FootnoteReference"/>
          <w:sz w:val="24"/>
          <w:szCs w:val="24"/>
          <w:lang w:val="en-GB"/>
        </w:rPr>
        <w:footnoteRef/>
      </w:r>
      <w:r w:rsidRPr="008B20B2">
        <w:rPr>
          <w:sz w:val="24"/>
          <w:szCs w:val="24"/>
          <w:lang w:val="en-GB"/>
        </w:rPr>
        <w:t xml:space="preserve"> </w:t>
      </w:r>
      <w:r w:rsidRPr="008B20B2">
        <w:rPr>
          <w:sz w:val="24"/>
          <w:szCs w:val="24"/>
          <w:lang w:val="en-GB"/>
        </w:rPr>
        <w:tab/>
        <w:t xml:space="preserve">European Commission: Directorate-General for Environment, ‘Zero pollution: Improved quality and access to drinking water’, European Commission website, 12 January 2023, </w:t>
      </w:r>
      <w:r w:rsidR="008B20B2" w:rsidRPr="008B20B2">
        <w:fldChar w:fldCharType="begin"/>
      </w:r>
      <w:r w:rsidR="008B20B2" w:rsidRPr="008B20B2">
        <w:rPr>
          <w:lang w:val="en-GB"/>
        </w:rPr>
        <w:instrText xml:space="preserve"> HYPERLINK "https://environment.ec.europa.eu/news/improved-quality-and-access-drinking-water-all-europeans-2023-01-12_en" </w:instrText>
      </w:r>
      <w:r w:rsidR="008B20B2" w:rsidRPr="008B20B2">
        <w:fldChar w:fldCharType="separate"/>
      </w:r>
      <w:r w:rsidRPr="008B20B2">
        <w:rPr>
          <w:rStyle w:val="Hyperlink"/>
          <w:sz w:val="24"/>
          <w:szCs w:val="24"/>
          <w:lang w:val="en-GB"/>
        </w:rPr>
        <w:t>https://environment.ec.europa.eu/news/improved-quality-and-access-drinking-water-all-europeans-2023-01-12_en</w:t>
      </w:r>
      <w:r w:rsidR="008B20B2" w:rsidRPr="008B20B2">
        <w:rPr>
          <w:rStyle w:val="Hyperlink"/>
          <w:sz w:val="24"/>
          <w:szCs w:val="24"/>
          <w:lang w:val="en-GB"/>
        </w:rPr>
        <w:fldChar w:fldCharType="end"/>
      </w:r>
      <w:r w:rsidRPr="008B20B2">
        <w:rPr>
          <w:sz w:val="24"/>
          <w:szCs w:val="24"/>
          <w:lang w:val="en-GB"/>
        </w:rPr>
        <w:t xml:space="preserve">. </w:t>
      </w:r>
    </w:p>
  </w:footnote>
  <w:footnote w:id="43">
    <w:p w14:paraId="4A88A088" w14:textId="77777777" w:rsidR="00110923" w:rsidRPr="008B20B2" w:rsidRDefault="00110923" w:rsidP="00C547A5">
      <w:pPr>
        <w:pStyle w:val="FootnoteText"/>
        <w:keepLines w:val="0"/>
        <w:ind w:left="567" w:hanging="567"/>
        <w:rPr>
          <w:sz w:val="24"/>
          <w:szCs w:val="24"/>
          <w:lang w:val="en-GB"/>
        </w:rPr>
      </w:pPr>
      <w:r w:rsidRPr="008B20B2">
        <w:rPr>
          <w:rStyle w:val="FootnoteReference"/>
          <w:sz w:val="24"/>
          <w:szCs w:val="24"/>
          <w:lang w:val="en-GB"/>
        </w:rPr>
        <w:footnoteRef/>
      </w:r>
      <w:r w:rsidRPr="008B20B2">
        <w:rPr>
          <w:sz w:val="24"/>
          <w:szCs w:val="24"/>
          <w:lang w:val="en-GB"/>
        </w:rPr>
        <w:t xml:space="preserve"> </w:t>
      </w:r>
      <w:r w:rsidRPr="008B20B2">
        <w:rPr>
          <w:sz w:val="24"/>
          <w:szCs w:val="24"/>
          <w:lang w:val="en-GB"/>
        </w:rPr>
        <w:tab/>
        <w:t>EEA Report 07/2024.</w:t>
      </w:r>
    </w:p>
  </w:footnote>
  <w:footnote w:id="44">
    <w:p w14:paraId="768365E2" w14:textId="77777777" w:rsidR="00110923" w:rsidRPr="008B20B2" w:rsidRDefault="00110923" w:rsidP="00C547A5">
      <w:pPr>
        <w:pStyle w:val="FootnoteText"/>
        <w:keepLines w:val="0"/>
        <w:ind w:left="567" w:hanging="567"/>
        <w:rPr>
          <w:sz w:val="24"/>
          <w:szCs w:val="24"/>
          <w:lang w:val="en-GB"/>
        </w:rPr>
      </w:pPr>
      <w:r w:rsidRPr="008B20B2">
        <w:rPr>
          <w:rStyle w:val="FootnoteReference"/>
          <w:sz w:val="24"/>
          <w:szCs w:val="24"/>
          <w:lang w:val="en-GB"/>
        </w:rPr>
        <w:footnoteRef/>
      </w:r>
      <w:r w:rsidRPr="008B20B2">
        <w:rPr>
          <w:sz w:val="24"/>
          <w:szCs w:val="24"/>
          <w:lang w:val="en-GB"/>
        </w:rPr>
        <w:t xml:space="preserve"> </w:t>
      </w:r>
      <w:r w:rsidRPr="008B20B2">
        <w:rPr>
          <w:sz w:val="24"/>
          <w:szCs w:val="24"/>
          <w:lang w:val="en-GB"/>
        </w:rPr>
        <w:tab/>
        <w:t xml:space="preserve">Ibid. </w:t>
      </w:r>
    </w:p>
  </w:footnote>
  <w:footnote w:id="45">
    <w:p w14:paraId="29E87F32" w14:textId="77777777" w:rsidR="00110923" w:rsidRPr="008B20B2" w:rsidRDefault="00110923" w:rsidP="00C547A5">
      <w:pPr>
        <w:pStyle w:val="FootnoteText"/>
        <w:keepLines w:val="0"/>
        <w:ind w:left="567" w:hanging="567"/>
        <w:rPr>
          <w:sz w:val="24"/>
          <w:szCs w:val="24"/>
          <w:lang w:val="en-GB"/>
        </w:rPr>
      </w:pPr>
      <w:r w:rsidRPr="008B20B2">
        <w:rPr>
          <w:rStyle w:val="FootnoteReference"/>
          <w:sz w:val="24"/>
          <w:szCs w:val="24"/>
          <w:lang w:val="en-GB"/>
        </w:rPr>
        <w:footnoteRef/>
      </w:r>
      <w:r w:rsidRPr="008B20B2">
        <w:rPr>
          <w:sz w:val="24"/>
          <w:szCs w:val="24"/>
          <w:lang w:val="en-GB"/>
        </w:rPr>
        <w:t xml:space="preserve"> </w:t>
      </w:r>
      <w:r w:rsidRPr="008B20B2">
        <w:rPr>
          <w:sz w:val="24"/>
          <w:szCs w:val="24"/>
          <w:lang w:val="en-GB"/>
        </w:rPr>
        <w:tab/>
        <w:t>Ibid.</w:t>
      </w:r>
    </w:p>
  </w:footnote>
  <w:footnote w:id="46">
    <w:p w14:paraId="576470D0" w14:textId="77777777" w:rsidR="00110923" w:rsidRPr="008B20B2" w:rsidRDefault="00110923" w:rsidP="00C547A5">
      <w:pPr>
        <w:pStyle w:val="FootnoteText"/>
        <w:keepLines w:val="0"/>
        <w:ind w:left="567" w:hanging="567"/>
        <w:rPr>
          <w:sz w:val="24"/>
          <w:szCs w:val="24"/>
          <w:lang w:val="en-GB"/>
        </w:rPr>
      </w:pPr>
      <w:r w:rsidRPr="008B20B2">
        <w:rPr>
          <w:rStyle w:val="FootnoteReference"/>
          <w:sz w:val="24"/>
          <w:szCs w:val="24"/>
          <w:lang w:val="en-GB"/>
        </w:rPr>
        <w:footnoteRef/>
      </w:r>
      <w:r w:rsidRPr="008B20B2">
        <w:rPr>
          <w:sz w:val="24"/>
          <w:szCs w:val="24"/>
          <w:lang w:val="en-GB"/>
        </w:rPr>
        <w:t xml:space="preserve"> </w:t>
      </w:r>
      <w:r w:rsidRPr="008B20B2">
        <w:rPr>
          <w:sz w:val="24"/>
          <w:szCs w:val="24"/>
          <w:lang w:val="en-GB"/>
        </w:rPr>
        <w:tab/>
        <w:t>Ibid.</w:t>
      </w:r>
    </w:p>
  </w:footnote>
  <w:footnote w:id="47">
    <w:p w14:paraId="4348B8A0" w14:textId="77777777" w:rsidR="00110923" w:rsidRPr="008B20B2" w:rsidRDefault="00110923" w:rsidP="00C547A5">
      <w:pPr>
        <w:pStyle w:val="FootnoteText"/>
        <w:keepLines w:val="0"/>
        <w:ind w:left="567" w:hanging="567"/>
        <w:rPr>
          <w:sz w:val="24"/>
          <w:szCs w:val="24"/>
          <w:lang w:val="en-GB"/>
        </w:rPr>
      </w:pPr>
      <w:r w:rsidRPr="008B20B2">
        <w:rPr>
          <w:rStyle w:val="FootnoteReference"/>
          <w:sz w:val="24"/>
          <w:szCs w:val="24"/>
          <w:lang w:val="en-GB"/>
        </w:rPr>
        <w:footnoteRef/>
      </w:r>
      <w:r w:rsidRPr="008B20B2">
        <w:rPr>
          <w:sz w:val="24"/>
          <w:szCs w:val="24"/>
          <w:lang w:val="en-GB"/>
        </w:rPr>
        <w:t xml:space="preserve"> </w:t>
      </w:r>
      <w:r w:rsidRPr="008B20B2">
        <w:rPr>
          <w:sz w:val="24"/>
          <w:szCs w:val="24"/>
          <w:lang w:val="en-GB"/>
        </w:rPr>
        <w:tab/>
        <w:t>Ibid.</w:t>
      </w:r>
    </w:p>
  </w:footnote>
  <w:footnote w:id="48">
    <w:p w14:paraId="57DF9C87" w14:textId="77777777" w:rsidR="00110923" w:rsidRPr="008B20B2" w:rsidRDefault="00110923" w:rsidP="00C547A5">
      <w:pPr>
        <w:pStyle w:val="FootnoteText"/>
        <w:keepLines w:val="0"/>
        <w:ind w:left="567" w:hanging="567"/>
        <w:rPr>
          <w:sz w:val="24"/>
          <w:szCs w:val="24"/>
          <w:lang w:val="en-GB"/>
        </w:rPr>
      </w:pPr>
      <w:r w:rsidRPr="008B20B2">
        <w:rPr>
          <w:rStyle w:val="FootnoteReference"/>
          <w:sz w:val="24"/>
          <w:szCs w:val="24"/>
          <w:lang w:val="en-GB"/>
        </w:rPr>
        <w:footnoteRef/>
      </w:r>
      <w:r w:rsidRPr="008B20B2">
        <w:rPr>
          <w:sz w:val="24"/>
          <w:szCs w:val="24"/>
          <w:lang w:val="en-GB"/>
        </w:rPr>
        <w:t xml:space="preserve"> </w:t>
      </w:r>
      <w:r w:rsidRPr="008B20B2">
        <w:rPr>
          <w:sz w:val="24"/>
          <w:szCs w:val="24"/>
          <w:lang w:val="en-GB"/>
        </w:rPr>
        <w:tab/>
        <w:t>Ibid.</w:t>
      </w:r>
    </w:p>
  </w:footnote>
  <w:footnote w:id="49">
    <w:p w14:paraId="3884CF0B" w14:textId="77777777" w:rsidR="00110923" w:rsidRPr="008B20B2" w:rsidRDefault="00110923" w:rsidP="00C547A5">
      <w:pPr>
        <w:pStyle w:val="FootnoteText"/>
        <w:keepLines w:val="0"/>
        <w:ind w:left="567" w:hanging="567"/>
        <w:rPr>
          <w:sz w:val="24"/>
          <w:szCs w:val="24"/>
          <w:lang w:val="en-GB"/>
        </w:rPr>
      </w:pPr>
      <w:r w:rsidRPr="008B20B2">
        <w:rPr>
          <w:rStyle w:val="FootnoteReference"/>
          <w:sz w:val="24"/>
          <w:szCs w:val="24"/>
          <w:lang w:val="en-GB"/>
        </w:rPr>
        <w:footnoteRef/>
      </w:r>
      <w:r w:rsidRPr="008B20B2">
        <w:rPr>
          <w:sz w:val="24"/>
          <w:szCs w:val="24"/>
          <w:lang w:val="en-GB"/>
        </w:rPr>
        <w:t xml:space="preserve"> </w:t>
      </w:r>
      <w:r w:rsidRPr="008B20B2">
        <w:rPr>
          <w:sz w:val="24"/>
          <w:szCs w:val="24"/>
          <w:lang w:val="en-GB"/>
        </w:rPr>
        <w:tab/>
        <w:t xml:space="preserve">European Environment Agency, ‘Industrial pollutant releases to water in Europe’, European Environment Agency website, 30 May 2024, </w:t>
      </w:r>
      <w:r w:rsidR="008B20B2" w:rsidRPr="008B20B2">
        <w:fldChar w:fldCharType="begin"/>
      </w:r>
      <w:r w:rsidR="008B20B2" w:rsidRPr="008B20B2">
        <w:rPr>
          <w:lang w:val="en-GB"/>
        </w:rPr>
        <w:instrText xml:space="preserve"> HYPERLINK </w:instrText>
      </w:r>
      <w:r w:rsidR="008B20B2" w:rsidRPr="008B20B2">
        <w:rPr>
          <w:lang w:val="en-GB"/>
        </w:rPr>
        <w:instrText xml:space="preserve">"https://www.eea.europa.eu/en/analysis/indicators/industrial-pollutant-releases-to-water" </w:instrText>
      </w:r>
      <w:r w:rsidR="008B20B2" w:rsidRPr="008B20B2">
        <w:fldChar w:fldCharType="separate"/>
      </w:r>
      <w:r w:rsidRPr="008B20B2">
        <w:rPr>
          <w:rStyle w:val="Hyperlink"/>
          <w:sz w:val="24"/>
          <w:szCs w:val="24"/>
          <w:lang w:val="en-GB"/>
        </w:rPr>
        <w:t>https://www.eea.europa.eu/en/analysis/indicators/industrial-pollutant-releases-to-water</w:t>
      </w:r>
      <w:r w:rsidR="008B20B2" w:rsidRPr="008B20B2">
        <w:rPr>
          <w:rStyle w:val="Hyperlink"/>
          <w:sz w:val="24"/>
          <w:szCs w:val="24"/>
          <w:lang w:val="en-GB"/>
        </w:rPr>
        <w:fldChar w:fldCharType="end"/>
      </w:r>
      <w:r w:rsidRPr="008B20B2">
        <w:rPr>
          <w:sz w:val="24"/>
          <w:szCs w:val="24"/>
          <w:lang w:val="en-GB"/>
        </w:rPr>
        <w:t>.</w:t>
      </w:r>
    </w:p>
  </w:footnote>
  <w:footnote w:id="50">
    <w:p w14:paraId="5A07B754" w14:textId="77777777" w:rsidR="00110923" w:rsidRPr="008B20B2" w:rsidRDefault="00110923" w:rsidP="00C547A5">
      <w:pPr>
        <w:pStyle w:val="FootnoteText"/>
        <w:keepLines w:val="0"/>
        <w:ind w:left="567" w:hanging="567"/>
        <w:rPr>
          <w:sz w:val="24"/>
          <w:szCs w:val="24"/>
          <w:lang w:val="en-GB"/>
        </w:rPr>
      </w:pPr>
      <w:r w:rsidRPr="008B20B2">
        <w:rPr>
          <w:rStyle w:val="FootnoteReference"/>
          <w:sz w:val="24"/>
          <w:szCs w:val="24"/>
          <w:lang w:val="en-GB"/>
        </w:rPr>
        <w:footnoteRef/>
      </w:r>
      <w:r w:rsidRPr="008B20B2">
        <w:rPr>
          <w:sz w:val="24"/>
          <w:szCs w:val="24"/>
          <w:lang w:val="en-GB"/>
        </w:rPr>
        <w:t xml:space="preserve"> </w:t>
      </w:r>
      <w:r w:rsidRPr="008B20B2">
        <w:rPr>
          <w:sz w:val="24"/>
          <w:szCs w:val="24"/>
          <w:lang w:val="en-GB"/>
        </w:rPr>
        <w:tab/>
        <w:t xml:space="preserve">Directive 2010/75/EU of the European Parliament and of the Council of 24 November 2010 on industrial emissions (integrated pollution prevention and control) (OJ L 334, 17.12.2010, p. 17, ELI: </w:t>
      </w:r>
      <w:r w:rsidR="008B20B2" w:rsidRPr="008B20B2">
        <w:fldChar w:fldCharType="begin"/>
      </w:r>
      <w:r w:rsidR="008B20B2" w:rsidRPr="008B20B2">
        <w:rPr>
          <w:lang w:val="en-GB"/>
        </w:rPr>
        <w:instrText xml:space="preserve"> HYPERLINK "http://data.europa.eu/eli/dir/2010/75/oj" </w:instrText>
      </w:r>
      <w:r w:rsidR="008B20B2" w:rsidRPr="008B20B2">
        <w:fldChar w:fldCharType="separate"/>
      </w:r>
      <w:r w:rsidRPr="008B20B2">
        <w:rPr>
          <w:rStyle w:val="Hyperlink"/>
          <w:sz w:val="24"/>
          <w:szCs w:val="24"/>
          <w:lang w:val="en-GB"/>
        </w:rPr>
        <w:t>http://data.europa.eu/eli/dir/2010/75/oj</w:t>
      </w:r>
      <w:r w:rsidR="008B20B2" w:rsidRPr="008B20B2">
        <w:rPr>
          <w:rStyle w:val="Hyperlink"/>
          <w:sz w:val="24"/>
          <w:szCs w:val="24"/>
          <w:lang w:val="en-GB"/>
        </w:rPr>
        <w:fldChar w:fldCharType="end"/>
      </w:r>
      <w:r w:rsidRPr="008B20B2">
        <w:rPr>
          <w:sz w:val="24"/>
          <w:szCs w:val="24"/>
          <w:lang w:val="en-GB"/>
        </w:rPr>
        <w:t xml:space="preserve">). </w:t>
      </w:r>
    </w:p>
  </w:footnote>
  <w:footnote w:id="51">
    <w:p w14:paraId="751105A7" w14:textId="77777777" w:rsidR="00110923" w:rsidRPr="008B20B2" w:rsidRDefault="00110923" w:rsidP="00C547A5">
      <w:pPr>
        <w:pStyle w:val="FootnoteText"/>
        <w:keepLines w:val="0"/>
        <w:ind w:left="567" w:hanging="567"/>
        <w:rPr>
          <w:sz w:val="24"/>
          <w:szCs w:val="24"/>
          <w:lang w:val="en-GB"/>
        </w:rPr>
      </w:pPr>
      <w:r w:rsidRPr="008B20B2">
        <w:rPr>
          <w:rStyle w:val="FootnoteReference"/>
          <w:sz w:val="24"/>
          <w:szCs w:val="24"/>
          <w:lang w:val="en-GB"/>
        </w:rPr>
        <w:footnoteRef/>
      </w:r>
      <w:r w:rsidRPr="008B20B2">
        <w:rPr>
          <w:sz w:val="24"/>
          <w:szCs w:val="24"/>
          <w:lang w:val="en-GB"/>
        </w:rPr>
        <w:t xml:space="preserve"> </w:t>
      </w:r>
      <w:r w:rsidRPr="008B20B2">
        <w:rPr>
          <w:sz w:val="24"/>
          <w:szCs w:val="24"/>
          <w:lang w:val="en-GB"/>
        </w:rPr>
        <w:tab/>
        <w:t xml:space="preserve">European Commission ‘Nitrates’, European Commission website, </w:t>
      </w:r>
      <w:r w:rsidR="008B20B2" w:rsidRPr="008B20B2">
        <w:fldChar w:fldCharType="begin"/>
      </w:r>
      <w:r w:rsidR="008B20B2" w:rsidRPr="008B20B2">
        <w:rPr>
          <w:lang w:val="en-GB"/>
        </w:rPr>
        <w:instrText xml:space="preserve"> HYPERLINK "https://environment.ec.europa.eu/topics/water/nitrates_en%23implementation" </w:instrText>
      </w:r>
      <w:r w:rsidR="008B20B2" w:rsidRPr="008B20B2">
        <w:fldChar w:fldCharType="separate"/>
      </w:r>
      <w:r w:rsidRPr="008B20B2">
        <w:rPr>
          <w:rStyle w:val="Hyperlink"/>
          <w:sz w:val="24"/>
          <w:szCs w:val="24"/>
          <w:lang w:val="en-GB"/>
        </w:rPr>
        <w:t>https://environment.ec.europa.eu/topics/water/nitrates_en#implementation</w:t>
      </w:r>
      <w:r w:rsidR="008B20B2" w:rsidRPr="008B20B2">
        <w:rPr>
          <w:rStyle w:val="Hyperlink"/>
          <w:sz w:val="24"/>
          <w:szCs w:val="24"/>
          <w:lang w:val="en-GB"/>
        </w:rPr>
        <w:fldChar w:fldCharType="end"/>
      </w:r>
      <w:r w:rsidRPr="008B20B2">
        <w:rPr>
          <w:sz w:val="24"/>
          <w:szCs w:val="24"/>
          <w:lang w:val="en-GB"/>
        </w:rPr>
        <w:t>.</w:t>
      </w:r>
    </w:p>
  </w:footnote>
  <w:footnote w:id="52">
    <w:p w14:paraId="2912C657" w14:textId="77777777" w:rsidR="00110923" w:rsidRPr="008B20B2" w:rsidRDefault="00110923" w:rsidP="00C547A5">
      <w:pPr>
        <w:pStyle w:val="FootnoteText"/>
        <w:keepLines w:val="0"/>
        <w:ind w:left="567" w:hanging="567"/>
        <w:rPr>
          <w:sz w:val="24"/>
          <w:szCs w:val="24"/>
          <w:lang w:val="en-GB"/>
        </w:rPr>
      </w:pPr>
      <w:r w:rsidRPr="008B20B2">
        <w:rPr>
          <w:rStyle w:val="FootnoteReference"/>
          <w:sz w:val="24"/>
          <w:szCs w:val="24"/>
          <w:lang w:val="en-GB"/>
        </w:rPr>
        <w:footnoteRef/>
      </w:r>
      <w:r w:rsidRPr="008B20B2">
        <w:rPr>
          <w:sz w:val="24"/>
          <w:szCs w:val="24"/>
          <w:lang w:val="en-GB"/>
        </w:rPr>
        <w:t xml:space="preserve"> </w:t>
      </w:r>
      <w:r w:rsidRPr="008B20B2">
        <w:rPr>
          <w:sz w:val="24"/>
          <w:szCs w:val="24"/>
          <w:lang w:val="en-GB"/>
        </w:rPr>
        <w:tab/>
        <w:t xml:space="preserve">European Environment Agency, ‘Public exposure to widely used </w:t>
      </w:r>
      <w:proofErr w:type="spellStart"/>
      <w:r w:rsidRPr="008B20B2">
        <w:rPr>
          <w:sz w:val="24"/>
          <w:szCs w:val="24"/>
          <w:lang w:val="en-GB"/>
        </w:rPr>
        <w:t>Bisphenol</w:t>
      </w:r>
      <w:proofErr w:type="spellEnd"/>
      <w:r w:rsidRPr="008B20B2">
        <w:rPr>
          <w:sz w:val="24"/>
          <w:szCs w:val="24"/>
          <w:lang w:val="en-GB"/>
        </w:rPr>
        <w:t xml:space="preserve"> A exceeds acceptable health safety levels’, European Environment Agency website, 14 September 2023, </w:t>
      </w:r>
      <w:r w:rsidR="008B20B2" w:rsidRPr="008B20B2">
        <w:fldChar w:fldCharType="begin"/>
      </w:r>
      <w:r w:rsidR="008B20B2" w:rsidRPr="008B20B2">
        <w:rPr>
          <w:lang w:val="en-GB"/>
        </w:rPr>
        <w:instrText xml:space="preserve"> HYPERLINK "https://www.eea.europa.eu/en/newsroom/news/public-exposure-to-bisphenol-a" </w:instrText>
      </w:r>
      <w:r w:rsidR="008B20B2" w:rsidRPr="008B20B2">
        <w:fldChar w:fldCharType="separate"/>
      </w:r>
      <w:r w:rsidRPr="008B20B2">
        <w:rPr>
          <w:rStyle w:val="Hyperlink"/>
          <w:sz w:val="24"/>
          <w:szCs w:val="24"/>
          <w:lang w:val="en-GB"/>
        </w:rPr>
        <w:t>https://www.eea.europa.eu/en/newsroom/news/public-exposure-to-bisphenol-a</w:t>
      </w:r>
      <w:r w:rsidR="008B20B2" w:rsidRPr="008B20B2">
        <w:rPr>
          <w:rStyle w:val="Hyperlink"/>
          <w:sz w:val="24"/>
          <w:szCs w:val="24"/>
          <w:lang w:val="en-GB"/>
        </w:rPr>
        <w:fldChar w:fldCharType="end"/>
      </w:r>
      <w:r w:rsidRPr="008B20B2">
        <w:rPr>
          <w:sz w:val="24"/>
          <w:szCs w:val="24"/>
          <w:lang w:val="en-GB"/>
        </w:rPr>
        <w:t>.</w:t>
      </w:r>
    </w:p>
  </w:footnote>
  <w:footnote w:id="53">
    <w:p w14:paraId="504FB605" w14:textId="77777777" w:rsidR="00110923" w:rsidRPr="008B20B2" w:rsidRDefault="00110923" w:rsidP="00C547A5">
      <w:pPr>
        <w:pStyle w:val="FootnoteText"/>
        <w:keepLines w:val="0"/>
        <w:ind w:left="567" w:hanging="567"/>
        <w:rPr>
          <w:sz w:val="24"/>
          <w:szCs w:val="24"/>
          <w:lang w:val="en-GB"/>
        </w:rPr>
      </w:pPr>
      <w:r w:rsidRPr="008B20B2">
        <w:rPr>
          <w:rStyle w:val="FootnoteReference"/>
          <w:sz w:val="24"/>
          <w:szCs w:val="24"/>
          <w:lang w:val="en-GB"/>
        </w:rPr>
        <w:footnoteRef/>
      </w:r>
      <w:r w:rsidRPr="008B20B2">
        <w:rPr>
          <w:sz w:val="24"/>
          <w:szCs w:val="24"/>
          <w:lang w:val="en-GB"/>
        </w:rPr>
        <w:t xml:space="preserve"> </w:t>
      </w:r>
      <w:r w:rsidRPr="008B20B2">
        <w:rPr>
          <w:sz w:val="24"/>
          <w:szCs w:val="24"/>
          <w:lang w:val="en-GB"/>
        </w:rPr>
        <w:tab/>
        <w:t xml:space="preserve">European Environment Agency, </w:t>
      </w:r>
      <w:r w:rsidRPr="008B20B2">
        <w:rPr>
          <w:i/>
          <w:sz w:val="24"/>
          <w:szCs w:val="24"/>
          <w:lang w:val="en-GB"/>
        </w:rPr>
        <w:t>European Climate Risk Assessment</w:t>
      </w:r>
      <w:r w:rsidRPr="008B20B2">
        <w:rPr>
          <w:sz w:val="24"/>
          <w:szCs w:val="24"/>
          <w:lang w:val="en-GB"/>
        </w:rPr>
        <w:t xml:space="preserve">, EEA Report 01/2024. </w:t>
      </w:r>
    </w:p>
  </w:footnote>
  <w:footnote w:id="54">
    <w:p w14:paraId="1D06C36C" w14:textId="77777777" w:rsidR="00110923" w:rsidRPr="008B20B2" w:rsidRDefault="00110923" w:rsidP="00C547A5">
      <w:pPr>
        <w:pStyle w:val="FootnoteText"/>
        <w:keepLines w:val="0"/>
        <w:ind w:left="567" w:hanging="567"/>
        <w:rPr>
          <w:sz w:val="24"/>
          <w:szCs w:val="24"/>
          <w:lang w:val="en-GB"/>
        </w:rPr>
      </w:pPr>
      <w:r w:rsidRPr="008B20B2">
        <w:rPr>
          <w:rStyle w:val="FootnoteReference"/>
          <w:sz w:val="24"/>
          <w:szCs w:val="24"/>
          <w:lang w:val="en-GB"/>
        </w:rPr>
        <w:footnoteRef/>
      </w:r>
      <w:r w:rsidRPr="008B20B2">
        <w:rPr>
          <w:sz w:val="24"/>
          <w:szCs w:val="24"/>
          <w:lang w:val="en-GB"/>
        </w:rPr>
        <w:t xml:space="preserve"> </w:t>
      </w:r>
      <w:r w:rsidRPr="008B20B2">
        <w:rPr>
          <w:sz w:val="24"/>
          <w:szCs w:val="24"/>
          <w:lang w:val="en-GB"/>
        </w:rPr>
        <w:tab/>
      </w:r>
      <w:proofErr w:type="spellStart"/>
      <w:r w:rsidRPr="008B20B2">
        <w:rPr>
          <w:sz w:val="24"/>
          <w:szCs w:val="24"/>
          <w:lang w:val="en-GB"/>
        </w:rPr>
        <w:t>Cammalleri</w:t>
      </w:r>
      <w:proofErr w:type="spellEnd"/>
      <w:r w:rsidRPr="008B20B2">
        <w:rPr>
          <w:sz w:val="24"/>
          <w:szCs w:val="24"/>
          <w:lang w:val="en-GB"/>
        </w:rPr>
        <w:t xml:space="preserve">, C. et al., </w:t>
      </w:r>
      <w:r w:rsidRPr="008B20B2">
        <w:rPr>
          <w:i/>
          <w:sz w:val="24"/>
          <w:szCs w:val="24"/>
          <w:lang w:val="en-GB"/>
        </w:rPr>
        <w:t>Global warming and drought impacts in the EU</w:t>
      </w:r>
      <w:r w:rsidRPr="008B20B2">
        <w:rPr>
          <w:sz w:val="24"/>
          <w:szCs w:val="24"/>
          <w:lang w:val="en-GB"/>
        </w:rPr>
        <w:t xml:space="preserve">, JRC Technical </w:t>
      </w:r>
      <w:proofErr w:type="gramStart"/>
      <w:r w:rsidRPr="008B20B2">
        <w:rPr>
          <w:sz w:val="24"/>
          <w:szCs w:val="24"/>
          <w:lang w:val="en-GB"/>
        </w:rPr>
        <w:t>Report ,</w:t>
      </w:r>
      <w:proofErr w:type="gramEnd"/>
      <w:r w:rsidRPr="008B20B2">
        <w:rPr>
          <w:sz w:val="24"/>
          <w:szCs w:val="24"/>
          <w:lang w:val="en-GB"/>
        </w:rPr>
        <w:t xml:space="preserve"> Publications Office of the European Union, Luxembourg.</w:t>
      </w:r>
    </w:p>
  </w:footnote>
  <w:footnote w:id="55">
    <w:p w14:paraId="2783C567" w14:textId="77777777" w:rsidR="00110923" w:rsidRPr="008B20B2" w:rsidRDefault="00110923" w:rsidP="00C547A5">
      <w:pPr>
        <w:pStyle w:val="FootnoteText"/>
        <w:keepLines w:val="0"/>
        <w:ind w:left="567" w:hanging="567"/>
        <w:rPr>
          <w:sz w:val="24"/>
          <w:szCs w:val="24"/>
          <w:lang w:val="en-GB"/>
        </w:rPr>
      </w:pPr>
      <w:r w:rsidRPr="008B20B2">
        <w:rPr>
          <w:rStyle w:val="FootnoteReference"/>
          <w:sz w:val="24"/>
          <w:szCs w:val="24"/>
          <w:lang w:val="en-GB"/>
        </w:rPr>
        <w:footnoteRef/>
      </w:r>
      <w:r w:rsidRPr="008B20B2">
        <w:rPr>
          <w:sz w:val="24"/>
          <w:szCs w:val="24"/>
          <w:lang w:val="en-GB"/>
        </w:rPr>
        <w:t xml:space="preserve"> </w:t>
      </w:r>
      <w:r w:rsidRPr="008B20B2">
        <w:rPr>
          <w:sz w:val="24"/>
          <w:szCs w:val="24"/>
          <w:lang w:val="en-GB"/>
        </w:rPr>
        <w:tab/>
        <w:t xml:space="preserve">EEA Report 07/2024. </w:t>
      </w:r>
    </w:p>
  </w:footnote>
  <w:footnote w:id="56">
    <w:p w14:paraId="0538B89E" w14:textId="67992E49" w:rsidR="00110923" w:rsidRPr="008B20B2" w:rsidRDefault="00110923" w:rsidP="00C547A5">
      <w:pPr>
        <w:pStyle w:val="FootnoteText"/>
        <w:keepLines w:val="0"/>
        <w:ind w:left="567" w:hanging="567"/>
        <w:rPr>
          <w:sz w:val="24"/>
          <w:szCs w:val="24"/>
          <w:lang w:val="en-GB"/>
        </w:rPr>
      </w:pPr>
      <w:r w:rsidRPr="008B20B2">
        <w:rPr>
          <w:rStyle w:val="FootnoteReference"/>
          <w:sz w:val="24"/>
          <w:szCs w:val="24"/>
          <w:lang w:val="en-GB"/>
        </w:rPr>
        <w:footnoteRef/>
      </w:r>
      <w:r w:rsidRPr="008B20B2">
        <w:rPr>
          <w:sz w:val="24"/>
          <w:szCs w:val="24"/>
          <w:lang w:val="en-GB"/>
        </w:rPr>
        <w:t xml:space="preserve"> </w:t>
      </w:r>
      <w:r w:rsidRPr="008B20B2">
        <w:rPr>
          <w:sz w:val="24"/>
          <w:szCs w:val="24"/>
          <w:lang w:val="en-GB"/>
        </w:rPr>
        <w:tab/>
      </w:r>
      <w:proofErr w:type="spellStart"/>
      <w:r w:rsidRPr="008B20B2">
        <w:rPr>
          <w:sz w:val="24"/>
          <w:szCs w:val="24"/>
          <w:lang w:val="en-GB"/>
        </w:rPr>
        <w:t>Feyen</w:t>
      </w:r>
      <w:proofErr w:type="spellEnd"/>
      <w:r w:rsidRPr="008B20B2">
        <w:rPr>
          <w:sz w:val="24"/>
          <w:szCs w:val="24"/>
          <w:lang w:val="en-GB"/>
        </w:rPr>
        <w:t xml:space="preserve">, L. et al., </w:t>
      </w:r>
      <w:r w:rsidRPr="008B20B2">
        <w:rPr>
          <w:i/>
          <w:sz w:val="24"/>
          <w:szCs w:val="24"/>
          <w:lang w:val="en-GB"/>
        </w:rPr>
        <w:t>Climate change impacts and adaptation in Europe</w:t>
      </w:r>
      <w:r w:rsidRPr="008B20B2">
        <w:rPr>
          <w:sz w:val="24"/>
          <w:szCs w:val="24"/>
          <w:lang w:val="en-GB"/>
        </w:rPr>
        <w:t xml:space="preserve">, JRC PESETA IV final report, Publications Office of the European Union, Luxembourg. </w:t>
      </w:r>
    </w:p>
  </w:footnote>
  <w:footnote w:id="57">
    <w:p w14:paraId="6C0F41B7" w14:textId="77777777" w:rsidR="00110923" w:rsidRPr="008B20B2" w:rsidRDefault="00110923" w:rsidP="00C547A5">
      <w:pPr>
        <w:pStyle w:val="FootnoteText"/>
        <w:keepLines w:val="0"/>
        <w:ind w:left="567" w:hanging="567"/>
        <w:rPr>
          <w:sz w:val="24"/>
          <w:szCs w:val="24"/>
          <w:lang w:val="en-GB"/>
        </w:rPr>
      </w:pPr>
      <w:r w:rsidRPr="008B20B2">
        <w:rPr>
          <w:rStyle w:val="FootnoteReference"/>
          <w:sz w:val="24"/>
          <w:szCs w:val="24"/>
          <w:lang w:val="en-GB"/>
        </w:rPr>
        <w:footnoteRef/>
      </w:r>
      <w:r w:rsidRPr="008B20B2">
        <w:rPr>
          <w:sz w:val="24"/>
          <w:szCs w:val="24"/>
          <w:lang w:val="en-GB"/>
        </w:rPr>
        <w:t xml:space="preserve"> </w:t>
      </w:r>
      <w:r w:rsidRPr="008B20B2">
        <w:rPr>
          <w:sz w:val="24"/>
          <w:szCs w:val="24"/>
          <w:lang w:val="en-GB"/>
        </w:rPr>
        <w:tab/>
        <w:t xml:space="preserve">European Environment </w:t>
      </w:r>
      <w:proofErr w:type="spellStart"/>
      <w:r w:rsidRPr="008B20B2">
        <w:rPr>
          <w:sz w:val="24"/>
          <w:szCs w:val="24"/>
          <w:lang w:val="en-GB"/>
        </w:rPr>
        <w:t>Agency</w:t>
      </w:r>
      <w:r w:rsidRPr="008B20B2">
        <w:rPr>
          <w:i/>
          <w:sz w:val="24"/>
          <w:szCs w:val="24"/>
          <w:lang w:val="en-GB"/>
        </w:rPr>
        <w:t>European</w:t>
      </w:r>
      <w:proofErr w:type="spellEnd"/>
      <w:r w:rsidRPr="008B20B2">
        <w:rPr>
          <w:i/>
          <w:sz w:val="24"/>
          <w:szCs w:val="24"/>
          <w:lang w:val="en-GB"/>
        </w:rPr>
        <w:t xml:space="preserve"> Climate Risk Assessment</w:t>
      </w:r>
      <w:r w:rsidRPr="008B20B2">
        <w:rPr>
          <w:sz w:val="24"/>
          <w:szCs w:val="24"/>
          <w:lang w:val="en-GB"/>
        </w:rPr>
        <w:t>, EEA Report 01/2024.</w:t>
      </w:r>
    </w:p>
  </w:footnote>
  <w:footnote w:id="58">
    <w:p w14:paraId="2058EBCA" w14:textId="77777777" w:rsidR="00110923" w:rsidRPr="008B20B2" w:rsidRDefault="00110923" w:rsidP="00C547A5">
      <w:pPr>
        <w:pStyle w:val="FootnoteText"/>
        <w:keepLines w:val="0"/>
        <w:ind w:left="567" w:hanging="567"/>
        <w:rPr>
          <w:sz w:val="24"/>
          <w:szCs w:val="24"/>
          <w:lang w:val="en-GB"/>
        </w:rPr>
      </w:pPr>
      <w:r w:rsidRPr="008B20B2">
        <w:rPr>
          <w:rStyle w:val="FootnoteReference"/>
          <w:sz w:val="24"/>
          <w:szCs w:val="24"/>
          <w:lang w:val="en-GB"/>
        </w:rPr>
        <w:footnoteRef/>
      </w:r>
      <w:r w:rsidRPr="008B20B2">
        <w:rPr>
          <w:sz w:val="24"/>
          <w:szCs w:val="24"/>
          <w:lang w:val="en-GB"/>
        </w:rPr>
        <w:t xml:space="preserve"> </w:t>
      </w:r>
      <w:r w:rsidRPr="008B20B2">
        <w:rPr>
          <w:sz w:val="24"/>
          <w:szCs w:val="24"/>
          <w:lang w:val="en-GB"/>
        </w:rPr>
        <w:tab/>
        <w:t xml:space="preserve">United Nations Office for Disaster Risk Reduction, </w:t>
      </w:r>
      <w:r w:rsidRPr="008B20B2">
        <w:rPr>
          <w:i/>
          <w:sz w:val="24"/>
          <w:szCs w:val="24"/>
          <w:lang w:val="en-GB"/>
        </w:rPr>
        <w:t>GAR Special Report on Drought 2021</w:t>
      </w:r>
      <w:r w:rsidRPr="008B20B2">
        <w:rPr>
          <w:sz w:val="24"/>
          <w:szCs w:val="24"/>
          <w:lang w:val="en-GB"/>
        </w:rPr>
        <w:t>, Geneva, UNDRR, 2021.</w:t>
      </w:r>
    </w:p>
  </w:footnote>
  <w:footnote w:id="59">
    <w:p w14:paraId="0E5A63DA" w14:textId="77777777" w:rsidR="00110923" w:rsidRPr="008B20B2" w:rsidRDefault="00110923" w:rsidP="00C547A5">
      <w:pPr>
        <w:pStyle w:val="FootnoteText"/>
        <w:keepLines w:val="0"/>
        <w:ind w:left="567" w:hanging="567"/>
        <w:rPr>
          <w:sz w:val="24"/>
          <w:szCs w:val="24"/>
          <w:lang w:val="en-GB"/>
        </w:rPr>
      </w:pPr>
      <w:r w:rsidRPr="008B20B2">
        <w:rPr>
          <w:rStyle w:val="FootnoteReference"/>
          <w:sz w:val="24"/>
          <w:szCs w:val="24"/>
          <w:lang w:val="en-GB"/>
        </w:rPr>
        <w:footnoteRef/>
      </w:r>
      <w:r w:rsidRPr="008B20B2">
        <w:rPr>
          <w:sz w:val="24"/>
          <w:szCs w:val="24"/>
          <w:lang w:val="en-GB"/>
        </w:rPr>
        <w:t xml:space="preserve"> </w:t>
      </w:r>
      <w:r w:rsidRPr="008B20B2">
        <w:rPr>
          <w:sz w:val="24"/>
          <w:szCs w:val="24"/>
          <w:lang w:val="en-GB"/>
        </w:rPr>
        <w:tab/>
        <w:t xml:space="preserve">Council conclusions of 14 October 2024 on Desertification, Land Degradation and Drought. </w:t>
      </w:r>
    </w:p>
  </w:footnote>
  <w:footnote w:id="60">
    <w:p w14:paraId="3CB54FE7" w14:textId="77777777" w:rsidR="00110923" w:rsidRPr="008B20B2" w:rsidRDefault="00110923" w:rsidP="00C547A5">
      <w:pPr>
        <w:pStyle w:val="FootnoteText"/>
        <w:keepLines w:val="0"/>
        <w:ind w:left="567" w:hanging="567"/>
        <w:rPr>
          <w:sz w:val="24"/>
          <w:szCs w:val="24"/>
          <w:lang w:val="en-GB"/>
        </w:rPr>
      </w:pPr>
      <w:r w:rsidRPr="008B20B2">
        <w:rPr>
          <w:rStyle w:val="FootnoteReference"/>
          <w:sz w:val="24"/>
          <w:szCs w:val="24"/>
          <w:lang w:val="en-GB"/>
        </w:rPr>
        <w:footnoteRef/>
      </w:r>
      <w:r w:rsidRPr="008B20B2">
        <w:rPr>
          <w:sz w:val="24"/>
          <w:szCs w:val="24"/>
          <w:lang w:val="en-GB"/>
        </w:rPr>
        <w:t xml:space="preserve"> </w:t>
      </w:r>
      <w:r w:rsidRPr="008B20B2">
        <w:rPr>
          <w:sz w:val="24"/>
          <w:szCs w:val="24"/>
          <w:lang w:val="en-GB"/>
        </w:rPr>
        <w:tab/>
        <w:t>EEA Report 07/2024.</w:t>
      </w:r>
    </w:p>
  </w:footnote>
  <w:footnote w:id="61">
    <w:p w14:paraId="12C7231E" w14:textId="77777777" w:rsidR="00110923" w:rsidRPr="008B20B2" w:rsidRDefault="00110923" w:rsidP="00C547A5">
      <w:pPr>
        <w:pStyle w:val="FootnoteText"/>
        <w:keepLines w:val="0"/>
        <w:ind w:left="567" w:hanging="567"/>
        <w:rPr>
          <w:sz w:val="24"/>
          <w:szCs w:val="24"/>
          <w:lang w:val="en-GB"/>
        </w:rPr>
      </w:pPr>
      <w:r w:rsidRPr="008B20B2">
        <w:rPr>
          <w:rStyle w:val="FootnoteReference"/>
          <w:sz w:val="24"/>
          <w:szCs w:val="24"/>
          <w:lang w:val="en-GB"/>
        </w:rPr>
        <w:footnoteRef/>
      </w:r>
      <w:r w:rsidRPr="008B20B2">
        <w:rPr>
          <w:sz w:val="24"/>
          <w:szCs w:val="24"/>
          <w:lang w:val="en-GB"/>
        </w:rPr>
        <w:t xml:space="preserve"> </w:t>
      </w:r>
      <w:r w:rsidRPr="008B20B2">
        <w:rPr>
          <w:sz w:val="24"/>
          <w:szCs w:val="24"/>
          <w:lang w:val="en-GB"/>
        </w:rPr>
        <w:tab/>
        <w:t xml:space="preserve">Directive (EU) 2024/1203 of the European Parliament and of the Council of 11 April 2024 on the protection of the environment through criminal law and replacing Directives 2008/99/EC and 2009/123/EC (OJ L, 2024/1203, 30.4.2024, ELI: </w:t>
      </w:r>
      <w:r w:rsidR="008B20B2" w:rsidRPr="008B20B2">
        <w:fldChar w:fldCharType="begin"/>
      </w:r>
      <w:r w:rsidR="008B20B2" w:rsidRPr="008B20B2">
        <w:rPr>
          <w:lang w:val="en-GB"/>
        </w:rPr>
        <w:instrText xml:space="preserve"> HYPERLINK "http://data.europa.eu/eli/d</w:instrText>
      </w:r>
      <w:r w:rsidR="008B20B2" w:rsidRPr="008B20B2">
        <w:rPr>
          <w:lang w:val="en-GB"/>
        </w:rPr>
        <w:instrText xml:space="preserve">ir/2024/1203/oj" </w:instrText>
      </w:r>
      <w:r w:rsidR="008B20B2" w:rsidRPr="008B20B2">
        <w:fldChar w:fldCharType="separate"/>
      </w:r>
      <w:r w:rsidRPr="008B20B2">
        <w:rPr>
          <w:rStyle w:val="Hyperlink"/>
          <w:sz w:val="24"/>
          <w:szCs w:val="24"/>
          <w:lang w:val="en-GB"/>
        </w:rPr>
        <w:t>http://data.europa.eu/eli/dir/2024/1203/oj</w:t>
      </w:r>
      <w:r w:rsidR="008B20B2" w:rsidRPr="008B20B2">
        <w:rPr>
          <w:rStyle w:val="Hyperlink"/>
          <w:sz w:val="24"/>
          <w:szCs w:val="24"/>
          <w:lang w:val="en-GB"/>
        </w:rPr>
        <w:fldChar w:fldCharType="end"/>
      </w:r>
      <w:r w:rsidRPr="008B20B2">
        <w:rPr>
          <w:sz w:val="24"/>
          <w:szCs w:val="24"/>
          <w:lang w:val="en-GB"/>
        </w:rPr>
        <w:t xml:space="preserve">). </w:t>
      </w:r>
    </w:p>
  </w:footnote>
  <w:footnote w:id="62">
    <w:p w14:paraId="7C9AF356" w14:textId="77777777" w:rsidR="00110923" w:rsidRPr="008B20B2" w:rsidRDefault="00110923" w:rsidP="00C547A5">
      <w:pPr>
        <w:pStyle w:val="FootnoteText"/>
        <w:keepLines w:val="0"/>
        <w:ind w:left="567" w:hanging="567"/>
        <w:rPr>
          <w:sz w:val="24"/>
          <w:szCs w:val="24"/>
          <w:lang w:val="en-GB"/>
        </w:rPr>
      </w:pPr>
      <w:r w:rsidRPr="008B20B2">
        <w:rPr>
          <w:rStyle w:val="FootnoteReference"/>
          <w:sz w:val="24"/>
          <w:szCs w:val="24"/>
          <w:lang w:val="en-GB"/>
        </w:rPr>
        <w:footnoteRef/>
      </w:r>
      <w:r w:rsidRPr="008B20B2">
        <w:rPr>
          <w:sz w:val="24"/>
          <w:szCs w:val="24"/>
          <w:lang w:val="en-GB"/>
        </w:rPr>
        <w:t xml:space="preserve"> </w:t>
      </w:r>
      <w:r w:rsidRPr="008B20B2">
        <w:rPr>
          <w:sz w:val="24"/>
          <w:szCs w:val="24"/>
          <w:lang w:val="en-GB"/>
        </w:rPr>
        <w:tab/>
        <w:t xml:space="preserve">European Patent Office, </w:t>
      </w:r>
      <w:r w:rsidRPr="008B20B2">
        <w:rPr>
          <w:i/>
          <w:sz w:val="24"/>
          <w:szCs w:val="24"/>
          <w:lang w:val="en-GB"/>
        </w:rPr>
        <w:t>Innovation in water-related technologies</w:t>
      </w:r>
      <w:r w:rsidRPr="008B20B2">
        <w:rPr>
          <w:sz w:val="24"/>
          <w:szCs w:val="24"/>
          <w:lang w:val="en-GB"/>
        </w:rPr>
        <w:t>, EPO, Munich 2024.</w:t>
      </w:r>
    </w:p>
  </w:footnote>
  <w:footnote w:id="63">
    <w:p w14:paraId="5F762858" w14:textId="77777777" w:rsidR="00110923" w:rsidRPr="008B20B2" w:rsidRDefault="00110923" w:rsidP="00C547A5">
      <w:pPr>
        <w:pStyle w:val="FootnoteText"/>
        <w:keepLines w:val="0"/>
        <w:ind w:left="567" w:hanging="567"/>
        <w:rPr>
          <w:sz w:val="24"/>
          <w:szCs w:val="24"/>
          <w:lang w:val="en-GB"/>
        </w:rPr>
      </w:pPr>
      <w:r w:rsidRPr="008B20B2">
        <w:rPr>
          <w:rStyle w:val="FootnoteReference"/>
          <w:sz w:val="24"/>
          <w:szCs w:val="24"/>
          <w:lang w:val="en-GB"/>
        </w:rPr>
        <w:footnoteRef/>
      </w:r>
      <w:r w:rsidRPr="008B20B2">
        <w:rPr>
          <w:sz w:val="24"/>
          <w:szCs w:val="24"/>
          <w:lang w:val="en-GB"/>
        </w:rPr>
        <w:t xml:space="preserve"> </w:t>
      </w:r>
      <w:r w:rsidRPr="008B20B2">
        <w:rPr>
          <w:sz w:val="24"/>
          <w:szCs w:val="24"/>
          <w:lang w:val="en-GB"/>
        </w:rPr>
        <w:tab/>
        <w:t>EEA Report 07/2024.</w:t>
      </w:r>
    </w:p>
  </w:footnote>
  <w:footnote w:id="64">
    <w:p w14:paraId="2149AD8D" w14:textId="7D2B35E2" w:rsidR="00110923" w:rsidRPr="008B20B2" w:rsidRDefault="00110923" w:rsidP="00BB77BD">
      <w:pPr>
        <w:pStyle w:val="FootnoteText"/>
        <w:keepLines w:val="0"/>
        <w:ind w:left="567" w:hanging="567"/>
        <w:rPr>
          <w:sz w:val="24"/>
          <w:szCs w:val="24"/>
          <w:lang w:val="en-GB"/>
        </w:rPr>
      </w:pPr>
      <w:r w:rsidRPr="008B20B2">
        <w:rPr>
          <w:rStyle w:val="FootnoteReference"/>
          <w:sz w:val="24"/>
          <w:szCs w:val="24"/>
        </w:rPr>
        <w:footnoteRef/>
      </w:r>
      <w:r w:rsidRPr="008B20B2">
        <w:rPr>
          <w:sz w:val="24"/>
          <w:szCs w:val="24"/>
          <w:lang w:val="en-GB"/>
        </w:rPr>
        <w:t xml:space="preserve"> </w:t>
      </w:r>
      <w:r w:rsidRPr="008B20B2">
        <w:rPr>
          <w:sz w:val="24"/>
          <w:szCs w:val="24"/>
          <w:lang w:val="en-GB"/>
        </w:rPr>
        <w:tab/>
        <w:t>European Commission JRC Science for Policy Report, ‘Technical proposals for the safe use of processed manure above the threshold established for Nitrate Vulnerable Zones by the Nitrates Directive (91/676/EEC)’, 2020.</w:t>
      </w:r>
    </w:p>
  </w:footnote>
  <w:footnote w:id="65">
    <w:p w14:paraId="52F6ACC8" w14:textId="77777777" w:rsidR="00110923" w:rsidRPr="008B20B2" w:rsidRDefault="00110923" w:rsidP="00C547A5">
      <w:pPr>
        <w:pStyle w:val="FootnoteText"/>
        <w:keepLines w:val="0"/>
        <w:ind w:left="567" w:hanging="567"/>
        <w:rPr>
          <w:sz w:val="24"/>
          <w:szCs w:val="24"/>
          <w:lang w:val="en-GB"/>
        </w:rPr>
      </w:pPr>
      <w:r w:rsidRPr="008B20B2">
        <w:rPr>
          <w:rStyle w:val="FootnoteReference"/>
          <w:sz w:val="24"/>
          <w:szCs w:val="24"/>
          <w:lang w:val="en-GB"/>
        </w:rPr>
        <w:footnoteRef/>
      </w:r>
      <w:r w:rsidRPr="008B20B2">
        <w:rPr>
          <w:sz w:val="24"/>
          <w:szCs w:val="24"/>
          <w:lang w:val="en-GB"/>
        </w:rPr>
        <w:t xml:space="preserve"> </w:t>
      </w:r>
      <w:r w:rsidRPr="008B20B2">
        <w:rPr>
          <w:sz w:val="24"/>
          <w:szCs w:val="24"/>
          <w:lang w:val="en-GB"/>
        </w:rPr>
        <w:tab/>
        <w:t xml:space="preserve">Regulation (EC) No 1935/2004 of the European Parliament and of the Council of 27 October 2004 on materials and articles intended to come into contact with food and repealing Directives 80/590/EEC and 89/109/EEC (OJ L 338, 13.11.2004, p. 4, ELI: </w:t>
      </w:r>
      <w:r w:rsidR="008B20B2" w:rsidRPr="008B20B2">
        <w:fldChar w:fldCharType="begin"/>
      </w:r>
      <w:r w:rsidR="008B20B2" w:rsidRPr="008B20B2">
        <w:rPr>
          <w:lang w:val="en-GB"/>
        </w:rPr>
        <w:instrText xml:space="preserve"> HYPERLIN</w:instrText>
      </w:r>
      <w:r w:rsidR="008B20B2" w:rsidRPr="008B20B2">
        <w:rPr>
          <w:lang w:val="en-GB"/>
        </w:rPr>
        <w:instrText xml:space="preserve">K "http://data.europa.eu/eli/reg/2004/1935/oj" </w:instrText>
      </w:r>
      <w:r w:rsidR="008B20B2" w:rsidRPr="008B20B2">
        <w:fldChar w:fldCharType="separate"/>
      </w:r>
      <w:r w:rsidRPr="008B20B2">
        <w:rPr>
          <w:rStyle w:val="Hyperlink"/>
          <w:sz w:val="24"/>
          <w:szCs w:val="24"/>
          <w:lang w:val="en-GB"/>
        </w:rPr>
        <w:t>http://data.europa.eu/eli/reg/2004/1935/oj</w:t>
      </w:r>
      <w:r w:rsidR="008B20B2" w:rsidRPr="008B20B2">
        <w:rPr>
          <w:rStyle w:val="Hyperlink"/>
          <w:sz w:val="24"/>
          <w:szCs w:val="24"/>
          <w:lang w:val="en-GB"/>
        </w:rPr>
        <w:fldChar w:fldCharType="end"/>
      </w:r>
      <w:r w:rsidRPr="008B20B2">
        <w:rPr>
          <w:sz w:val="24"/>
          <w:szCs w:val="24"/>
          <w:lang w:val="en-GB"/>
        </w:rPr>
        <w:t>).</w:t>
      </w:r>
    </w:p>
  </w:footnote>
  <w:footnote w:id="66">
    <w:p w14:paraId="5C4F5550" w14:textId="77777777" w:rsidR="00110923" w:rsidRPr="008B20B2" w:rsidRDefault="00110923" w:rsidP="00C547A5">
      <w:pPr>
        <w:pStyle w:val="FootnoteText"/>
        <w:keepLines w:val="0"/>
        <w:ind w:left="567" w:hanging="567"/>
        <w:rPr>
          <w:sz w:val="24"/>
          <w:szCs w:val="24"/>
          <w:lang w:val="en-GB"/>
        </w:rPr>
      </w:pPr>
      <w:r w:rsidRPr="008B20B2">
        <w:rPr>
          <w:rStyle w:val="FootnoteReference"/>
          <w:sz w:val="24"/>
          <w:szCs w:val="24"/>
          <w:lang w:val="en-GB"/>
        </w:rPr>
        <w:footnoteRef/>
      </w:r>
      <w:r w:rsidRPr="008B20B2">
        <w:rPr>
          <w:sz w:val="24"/>
          <w:szCs w:val="24"/>
          <w:lang w:val="en-GB"/>
        </w:rPr>
        <w:t xml:space="preserve"> </w:t>
      </w:r>
      <w:r w:rsidRPr="008B20B2">
        <w:rPr>
          <w:sz w:val="24"/>
          <w:szCs w:val="24"/>
          <w:lang w:val="en-GB"/>
        </w:rPr>
        <w:tab/>
        <w:t xml:space="preserve">European Environment </w:t>
      </w:r>
      <w:proofErr w:type="spellStart"/>
      <w:r w:rsidRPr="008B20B2">
        <w:rPr>
          <w:sz w:val="24"/>
          <w:szCs w:val="24"/>
          <w:lang w:val="en-GB"/>
        </w:rPr>
        <w:t>Agency</w:t>
      </w:r>
      <w:proofErr w:type="gramStart"/>
      <w:r w:rsidRPr="008B20B2">
        <w:rPr>
          <w:sz w:val="24"/>
          <w:szCs w:val="24"/>
          <w:lang w:val="en-GB"/>
        </w:rPr>
        <w:t>,‘Industrial</w:t>
      </w:r>
      <w:proofErr w:type="spellEnd"/>
      <w:proofErr w:type="gramEnd"/>
      <w:r w:rsidRPr="008B20B2">
        <w:rPr>
          <w:sz w:val="24"/>
          <w:szCs w:val="24"/>
          <w:lang w:val="en-GB"/>
        </w:rPr>
        <w:t xml:space="preserve"> pollutant releases to water in Europe, European Environment Agency website, 30 May 2024, </w:t>
      </w:r>
      <w:hyperlink r:id="rId2" w:history="1">
        <w:r w:rsidRPr="008B20B2">
          <w:rPr>
            <w:rStyle w:val="Hyperlink"/>
            <w:sz w:val="24"/>
            <w:szCs w:val="24"/>
            <w:lang w:val="en-GB"/>
          </w:rPr>
          <w:t>https://www.eea.europa.eu/en/analysis/indicators/industrial-pollutant-releases-to-water</w:t>
        </w:r>
      </w:hyperlink>
      <w:r w:rsidRPr="008B20B2">
        <w:rPr>
          <w:sz w:val="24"/>
          <w:szCs w:val="24"/>
          <w:lang w:val="en-GB"/>
        </w:rPr>
        <w:t>.</w:t>
      </w:r>
    </w:p>
  </w:footnote>
  <w:footnote w:id="67">
    <w:p w14:paraId="6A88C40A" w14:textId="77777777" w:rsidR="00110923" w:rsidRPr="008B20B2" w:rsidRDefault="00110923" w:rsidP="00C547A5">
      <w:pPr>
        <w:pStyle w:val="FootnoteText"/>
        <w:keepLines w:val="0"/>
        <w:ind w:left="567" w:hanging="567"/>
        <w:rPr>
          <w:sz w:val="24"/>
          <w:szCs w:val="24"/>
          <w:lang w:val="en-GB"/>
        </w:rPr>
      </w:pPr>
      <w:r w:rsidRPr="008B20B2">
        <w:rPr>
          <w:rStyle w:val="FootnoteReference"/>
          <w:sz w:val="24"/>
          <w:szCs w:val="24"/>
          <w:lang w:val="en-GB"/>
        </w:rPr>
        <w:footnoteRef/>
      </w:r>
      <w:r w:rsidRPr="008B20B2">
        <w:rPr>
          <w:sz w:val="24"/>
          <w:szCs w:val="24"/>
          <w:lang w:val="en-GB"/>
        </w:rPr>
        <w:t xml:space="preserve"> </w:t>
      </w:r>
      <w:r w:rsidRPr="008B20B2">
        <w:rPr>
          <w:sz w:val="24"/>
          <w:szCs w:val="24"/>
          <w:lang w:val="en-GB"/>
        </w:rPr>
        <w:tab/>
        <w:t xml:space="preserve">United Nations Office for Disaster Risk Reduction, </w:t>
      </w:r>
      <w:r w:rsidRPr="008B20B2">
        <w:rPr>
          <w:i/>
          <w:sz w:val="24"/>
          <w:szCs w:val="24"/>
          <w:lang w:val="en-GB"/>
        </w:rPr>
        <w:t>Build Back Better in recovery, rehabilitation and reconstruction</w:t>
      </w:r>
      <w:r w:rsidRPr="008B20B2">
        <w:rPr>
          <w:sz w:val="24"/>
          <w:szCs w:val="24"/>
          <w:lang w:val="en-GB"/>
        </w:rPr>
        <w:t>, UNISDR, Geneva, 2019.</w:t>
      </w:r>
    </w:p>
  </w:footnote>
  <w:footnote w:id="68">
    <w:p w14:paraId="1BD595A4" w14:textId="77777777" w:rsidR="00110923" w:rsidRPr="00C547A5" w:rsidRDefault="00110923" w:rsidP="00C547A5">
      <w:pPr>
        <w:pStyle w:val="FootnoteText"/>
        <w:keepLines w:val="0"/>
        <w:ind w:left="567" w:hanging="567"/>
        <w:rPr>
          <w:sz w:val="24"/>
          <w:szCs w:val="24"/>
          <w:lang w:val="en-GB"/>
        </w:rPr>
      </w:pPr>
      <w:r w:rsidRPr="008B20B2">
        <w:rPr>
          <w:rStyle w:val="FootnoteReference"/>
          <w:sz w:val="24"/>
          <w:szCs w:val="24"/>
          <w:lang w:val="en-GB"/>
        </w:rPr>
        <w:footnoteRef/>
      </w:r>
      <w:r w:rsidRPr="008B20B2">
        <w:rPr>
          <w:sz w:val="24"/>
          <w:szCs w:val="24"/>
        </w:rPr>
        <w:t xml:space="preserve"> </w:t>
      </w:r>
      <w:r w:rsidRPr="008B20B2">
        <w:rPr>
          <w:sz w:val="24"/>
          <w:szCs w:val="24"/>
        </w:rPr>
        <w:tab/>
      </w:r>
      <w:proofErr w:type="spellStart"/>
      <w:r w:rsidRPr="008B20B2">
        <w:rPr>
          <w:sz w:val="24"/>
          <w:szCs w:val="24"/>
        </w:rPr>
        <w:t>European</w:t>
      </w:r>
      <w:proofErr w:type="spellEnd"/>
      <w:r w:rsidRPr="008B20B2">
        <w:rPr>
          <w:sz w:val="24"/>
          <w:szCs w:val="24"/>
        </w:rPr>
        <w:t xml:space="preserve"> Commission: Directorate-General for </w:t>
      </w:r>
      <w:proofErr w:type="spellStart"/>
      <w:r w:rsidRPr="008B20B2">
        <w:rPr>
          <w:sz w:val="24"/>
          <w:szCs w:val="24"/>
        </w:rPr>
        <w:t>Environment</w:t>
      </w:r>
      <w:proofErr w:type="spellEnd"/>
      <w:r w:rsidRPr="008B20B2">
        <w:rPr>
          <w:sz w:val="24"/>
          <w:szCs w:val="24"/>
        </w:rPr>
        <w:t xml:space="preserve"> et al. </w:t>
      </w:r>
      <w:r w:rsidRPr="008B20B2">
        <w:rPr>
          <w:i/>
          <w:sz w:val="24"/>
          <w:szCs w:val="24"/>
          <w:lang w:val="en-GB"/>
        </w:rPr>
        <w:t>Stock-taking analysis and outlook of drought policies, planning and management in EU Member States – Final Report</w:t>
      </w:r>
      <w:r w:rsidRPr="008B20B2">
        <w:rPr>
          <w:sz w:val="24"/>
          <w:szCs w:val="24"/>
          <w:lang w:val="en-GB"/>
        </w:rPr>
        <w:t>, Publications Office of the European Union, 2023.</w:t>
      </w:r>
      <w:bookmarkStart w:id="7" w:name="_GoBack"/>
      <w:bookmarkEnd w:id="7"/>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60EE0B" w14:textId="77777777" w:rsidR="00110923" w:rsidRPr="000C0C74" w:rsidRDefault="00110923"/>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CAE5A8" w14:textId="77777777" w:rsidR="00110923" w:rsidRPr="000C0C74" w:rsidRDefault="00110923"/>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2832C4" w14:textId="77777777" w:rsidR="00110923" w:rsidRPr="000C0C74" w:rsidRDefault="00110923"/>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2" w15:restartNumberingAfterBreak="0">
    <w:nsid w:val="3F654581"/>
    <w:multiLevelType w:val="hybridMultilevel"/>
    <w:tmpl w:val="F16C6036"/>
    <w:lvl w:ilvl="0" w:tplc="2B92ECCA">
      <w:start w:val="1"/>
      <w:numFmt w:val="bullet"/>
      <w:pStyle w:val="Normal12aBullet1"/>
      <w:lvlText w:val=""/>
      <w:lvlJc w:val="left"/>
      <w:pPr>
        <w:ind w:left="720" w:hanging="360"/>
      </w:pPr>
      <w:rPr>
        <w:rFonts w:ascii="Symbol" w:hAnsi="Symbol" w:hint="default"/>
      </w:rPr>
    </w:lvl>
    <w:lvl w:ilvl="1" w:tplc="B8F2A76A" w:tentative="1">
      <w:start w:val="1"/>
      <w:numFmt w:val="bullet"/>
      <w:lvlText w:val="o"/>
      <w:lvlJc w:val="left"/>
      <w:pPr>
        <w:ind w:left="1440" w:hanging="360"/>
      </w:pPr>
      <w:rPr>
        <w:rFonts w:ascii="Courier New" w:hAnsi="Courier New" w:cs="Courier New" w:hint="default"/>
      </w:rPr>
    </w:lvl>
    <w:lvl w:ilvl="2" w:tplc="3E3A9380" w:tentative="1">
      <w:start w:val="1"/>
      <w:numFmt w:val="bullet"/>
      <w:lvlText w:val=""/>
      <w:lvlJc w:val="left"/>
      <w:pPr>
        <w:ind w:left="2160" w:hanging="360"/>
      </w:pPr>
      <w:rPr>
        <w:rFonts w:ascii="Wingdings" w:hAnsi="Wingdings" w:hint="default"/>
      </w:rPr>
    </w:lvl>
    <w:lvl w:ilvl="3" w:tplc="3566F9AC" w:tentative="1">
      <w:start w:val="1"/>
      <w:numFmt w:val="bullet"/>
      <w:lvlText w:val=""/>
      <w:lvlJc w:val="left"/>
      <w:pPr>
        <w:ind w:left="2880" w:hanging="360"/>
      </w:pPr>
      <w:rPr>
        <w:rFonts w:ascii="Symbol" w:hAnsi="Symbol" w:hint="default"/>
      </w:rPr>
    </w:lvl>
    <w:lvl w:ilvl="4" w:tplc="F9028110" w:tentative="1">
      <w:start w:val="1"/>
      <w:numFmt w:val="bullet"/>
      <w:lvlText w:val="o"/>
      <w:lvlJc w:val="left"/>
      <w:pPr>
        <w:ind w:left="3600" w:hanging="360"/>
      </w:pPr>
      <w:rPr>
        <w:rFonts w:ascii="Courier New" w:hAnsi="Courier New" w:cs="Courier New" w:hint="default"/>
      </w:rPr>
    </w:lvl>
    <w:lvl w:ilvl="5" w:tplc="B254C264" w:tentative="1">
      <w:start w:val="1"/>
      <w:numFmt w:val="bullet"/>
      <w:lvlText w:val=""/>
      <w:lvlJc w:val="left"/>
      <w:pPr>
        <w:ind w:left="4320" w:hanging="360"/>
      </w:pPr>
      <w:rPr>
        <w:rFonts w:ascii="Wingdings" w:hAnsi="Wingdings" w:hint="default"/>
      </w:rPr>
    </w:lvl>
    <w:lvl w:ilvl="6" w:tplc="24C4FDDA" w:tentative="1">
      <w:start w:val="1"/>
      <w:numFmt w:val="bullet"/>
      <w:lvlText w:val=""/>
      <w:lvlJc w:val="left"/>
      <w:pPr>
        <w:ind w:left="5040" w:hanging="360"/>
      </w:pPr>
      <w:rPr>
        <w:rFonts w:ascii="Symbol" w:hAnsi="Symbol" w:hint="default"/>
      </w:rPr>
    </w:lvl>
    <w:lvl w:ilvl="7" w:tplc="6046D802" w:tentative="1">
      <w:start w:val="1"/>
      <w:numFmt w:val="bullet"/>
      <w:lvlText w:val="o"/>
      <w:lvlJc w:val="left"/>
      <w:pPr>
        <w:ind w:left="5760" w:hanging="360"/>
      </w:pPr>
      <w:rPr>
        <w:rFonts w:ascii="Courier New" w:hAnsi="Courier New" w:cs="Courier New" w:hint="default"/>
      </w:rPr>
    </w:lvl>
    <w:lvl w:ilvl="8" w:tplc="78AE4F3A" w:tentative="1">
      <w:start w:val="1"/>
      <w:numFmt w:val="bullet"/>
      <w:lvlText w:val=""/>
      <w:lvlJc w:val="left"/>
      <w:pPr>
        <w:ind w:left="6480" w:hanging="360"/>
      </w:pPr>
      <w:rPr>
        <w:rFonts w:ascii="Wingdings" w:hAnsi="Wingdings" w:hint="default"/>
      </w:rPr>
    </w:lvl>
  </w:abstractNum>
  <w:abstractNum w:abstractNumId="13" w15:restartNumberingAfterBreak="0">
    <w:nsid w:val="6D6C09CF"/>
    <w:multiLevelType w:val="hybridMultilevel"/>
    <w:tmpl w:val="0DAA9F68"/>
    <w:lvl w:ilvl="0" w:tplc="038ECAD6">
      <w:start w:val="1"/>
      <w:numFmt w:val="bullet"/>
      <w:pStyle w:val="Normal12aBullet2"/>
      <w:lvlText w:val="o"/>
      <w:lvlJc w:val="left"/>
      <w:pPr>
        <w:ind w:left="1080" w:hanging="360"/>
      </w:pPr>
      <w:rPr>
        <w:rFonts w:ascii="Courier New" w:hAnsi="Courier New" w:cs="Courier New" w:hint="default"/>
      </w:rPr>
    </w:lvl>
    <w:lvl w:ilvl="1" w:tplc="1F021A7E" w:tentative="1">
      <w:start w:val="1"/>
      <w:numFmt w:val="bullet"/>
      <w:lvlText w:val="o"/>
      <w:lvlJc w:val="left"/>
      <w:pPr>
        <w:ind w:left="1800" w:hanging="360"/>
      </w:pPr>
      <w:rPr>
        <w:rFonts w:ascii="Courier New" w:hAnsi="Courier New" w:cs="Courier New" w:hint="default"/>
      </w:rPr>
    </w:lvl>
    <w:lvl w:ilvl="2" w:tplc="BD609F6A" w:tentative="1">
      <w:start w:val="1"/>
      <w:numFmt w:val="bullet"/>
      <w:lvlText w:val=""/>
      <w:lvlJc w:val="left"/>
      <w:pPr>
        <w:ind w:left="2520" w:hanging="360"/>
      </w:pPr>
      <w:rPr>
        <w:rFonts w:ascii="Wingdings" w:hAnsi="Wingdings" w:hint="default"/>
      </w:rPr>
    </w:lvl>
    <w:lvl w:ilvl="3" w:tplc="3B7C6E16" w:tentative="1">
      <w:start w:val="1"/>
      <w:numFmt w:val="bullet"/>
      <w:lvlText w:val=""/>
      <w:lvlJc w:val="left"/>
      <w:pPr>
        <w:ind w:left="3240" w:hanging="360"/>
      </w:pPr>
      <w:rPr>
        <w:rFonts w:ascii="Symbol" w:hAnsi="Symbol" w:hint="default"/>
      </w:rPr>
    </w:lvl>
    <w:lvl w:ilvl="4" w:tplc="DA487466" w:tentative="1">
      <w:start w:val="1"/>
      <w:numFmt w:val="bullet"/>
      <w:lvlText w:val="o"/>
      <w:lvlJc w:val="left"/>
      <w:pPr>
        <w:ind w:left="3960" w:hanging="360"/>
      </w:pPr>
      <w:rPr>
        <w:rFonts w:ascii="Courier New" w:hAnsi="Courier New" w:cs="Courier New" w:hint="default"/>
      </w:rPr>
    </w:lvl>
    <w:lvl w:ilvl="5" w:tplc="E1BC96A2" w:tentative="1">
      <w:start w:val="1"/>
      <w:numFmt w:val="bullet"/>
      <w:lvlText w:val=""/>
      <w:lvlJc w:val="left"/>
      <w:pPr>
        <w:ind w:left="4680" w:hanging="360"/>
      </w:pPr>
      <w:rPr>
        <w:rFonts w:ascii="Wingdings" w:hAnsi="Wingdings" w:hint="default"/>
      </w:rPr>
    </w:lvl>
    <w:lvl w:ilvl="6" w:tplc="57A23F4E" w:tentative="1">
      <w:start w:val="1"/>
      <w:numFmt w:val="bullet"/>
      <w:lvlText w:val=""/>
      <w:lvlJc w:val="left"/>
      <w:pPr>
        <w:ind w:left="5400" w:hanging="360"/>
      </w:pPr>
      <w:rPr>
        <w:rFonts w:ascii="Symbol" w:hAnsi="Symbol" w:hint="default"/>
      </w:rPr>
    </w:lvl>
    <w:lvl w:ilvl="7" w:tplc="28F6AEB0" w:tentative="1">
      <w:start w:val="1"/>
      <w:numFmt w:val="bullet"/>
      <w:lvlText w:val="o"/>
      <w:lvlJc w:val="left"/>
      <w:pPr>
        <w:ind w:left="6120" w:hanging="360"/>
      </w:pPr>
      <w:rPr>
        <w:rFonts w:ascii="Courier New" w:hAnsi="Courier New" w:cs="Courier New" w:hint="default"/>
      </w:rPr>
    </w:lvl>
    <w:lvl w:ilvl="8" w:tplc="2700AD48" w:tentative="1">
      <w:start w:val="1"/>
      <w:numFmt w:val="bullet"/>
      <w:lvlText w:val=""/>
      <w:lvlJc w:val="left"/>
      <w:pPr>
        <w:ind w:left="6840" w:hanging="360"/>
      </w:pPr>
      <w:rPr>
        <w:rFonts w:ascii="Wingdings" w:hAnsi="Wingdings" w:hint="default"/>
      </w:r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 w:numId="45">
    <w:abstractNumId w:val="12"/>
  </w:num>
  <w:num w:numId="4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10-0073/2025"/>
    <w:docVar w:name="dvlangue" w:val="EN"/>
    <w:docVar w:name="dvnumam" w:val="96"/>
    <w:docVar w:name="dvpe" w:val="766.919"/>
    <w:docVar w:name="dvrapporteur" w:val="Rapporteur: "/>
    <w:docVar w:name="dvtitre" w:val="European Parliament resolution of 6 May 2025 on the European Water Resilience Strategy(2024/2104(INI))"/>
  </w:docVars>
  <w:rsids>
    <w:rsidRoot w:val="006D6731"/>
    <w:rsid w:val="00002272"/>
    <w:rsid w:val="00064002"/>
    <w:rsid w:val="000677B9"/>
    <w:rsid w:val="000831BA"/>
    <w:rsid w:val="000A42CC"/>
    <w:rsid w:val="000C0C74"/>
    <w:rsid w:val="000E7DD9"/>
    <w:rsid w:val="0010095E"/>
    <w:rsid w:val="00110923"/>
    <w:rsid w:val="00125B37"/>
    <w:rsid w:val="00160640"/>
    <w:rsid w:val="001612DC"/>
    <w:rsid w:val="00187494"/>
    <w:rsid w:val="001F32AE"/>
    <w:rsid w:val="002518BB"/>
    <w:rsid w:val="002767FF"/>
    <w:rsid w:val="002B18FE"/>
    <w:rsid w:val="002B5493"/>
    <w:rsid w:val="00343214"/>
    <w:rsid w:val="00361C00"/>
    <w:rsid w:val="00395FA1"/>
    <w:rsid w:val="003E15D4"/>
    <w:rsid w:val="00402841"/>
    <w:rsid w:val="00411CCE"/>
    <w:rsid w:val="0041666E"/>
    <w:rsid w:val="00421060"/>
    <w:rsid w:val="00471C19"/>
    <w:rsid w:val="004867E3"/>
    <w:rsid w:val="00494A28"/>
    <w:rsid w:val="004C0004"/>
    <w:rsid w:val="004C5D52"/>
    <w:rsid w:val="0050519A"/>
    <w:rsid w:val="005072A1"/>
    <w:rsid w:val="00514517"/>
    <w:rsid w:val="00545827"/>
    <w:rsid w:val="00560270"/>
    <w:rsid w:val="005754F3"/>
    <w:rsid w:val="005C2568"/>
    <w:rsid w:val="005E355D"/>
    <w:rsid w:val="005F1B17"/>
    <w:rsid w:val="006037C0"/>
    <w:rsid w:val="00604606"/>
    <w:rsid w:val="006631B6"/>
    <w:rsid w:val="00680577"/>
    <w:rsid w:val="00690FFB"/>
    <w:rsid w:val="006D6731"/>
    <w:rsid w:val="006F74FA"/>
    <w:rsid w:val="006F7BE6"/>
    <w:rsid w:val="00731ADD"/>
    <w:rsid w:val="00734777"/>
    <w:rsid w:val="00747932"/>
    <w:rsid w:val="00751A4A"/>
    <w:rsid w:val="00756632"/>
    <w:rsid w:val="00762C74"/>
    <w:rsid w:val="00786EC0"/>
    <w:rsid w:val="007D1690"/>
    <w:rsid w:val="007E22AD"/>
    <w:rsid w:val="007E7F0E"/>
    <w:rsid w:val="00817416"/>
    <w:rsid w:val="00842779"/>
    <w:rsid w:val="00865F67"/>
    <w:rsid w:val="00880F56"/>
    <w:rsid w:val="00881A7B"/>
    <w:rsid w:val="008840E5"/>
    <w:rsid w:val="00887B3E"/>
    <w:rsid w:val="008B20B2"/>
    <w:rsid w:val="008C2AC6"/>
    <w:rsid w:val="00930C23"/>
    <w:rsid w:val="0093193B"/>
    <w:rsid w:val="009509D8"/>
    <w:rsid w:val="00950B64"/>
    <w:rsid w:val="00981893"/>
    <w:rsid w:val="00A1687D"/>
    <w:rsid w:val="00A43E52"/>
    <w:rsid w:val="00A4678D"/>
    <w:rsid w:val="00A778C7"/>
    <w:rsid w:val="00AB441E"/>
    <w:rsid w:val="00AB6293"/>
    <w:rsid w:val="00AE0928"/>
    <w:rsid w:val="00AF3B82"/>
    <w:rsid w:val="00B12E95"/>
    <w:rsid w:val="00B22876"/>
    <w:rsid w:val="00B558F0"/>
    <w:rsid w:val="00BB77BD"/>
    <w:rsid w:val="00BD48FE"/>
    <w:rsid w:val="00BD7BD8"/>
    <w:rsid w:val="00BE6ADC"/>
    <w:rsid w:val="00C05BFE"/>
    <w:rsid w:val="00C23CD4"/>
    <w:rsid w:val="00C547A5"/>
    <w:rsid w:val="00C61C0C"/>
    <w:rsid w:val="00C941CB"/>
    <w:rsid w:val="00CC2357"/>
    <w:rsid w:val="00CF071A"/>
    <w:rsid w:val="00D058B8"/>
    <w:rsid w:val="00D56C11"/>
    <w:rsid w:val="00D834A0"/>
    <w:rsid w:val="00D872DF"/>
    <w:rsid w:val="00D91E21"/>
    <w:rsid w:val="00DA7FCD"/>
    <w:rsid w:val="00E35418"/>
    <w:rsid w:val="00E365E1"/>
    <w:rsid w:val="00E704A6"/>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17CBC9"/>
  <w15:chartTrackingRefBased/>
  <w15:docId w15:val="{B2EEE599-3B7B-4058-974F-66555FD23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uiPriority="20"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rsid w:val="00395FA1"/>
    <w:pPr>
      <w:keepNext/>
      <w:keepLines/>
      <w:widowControl/>
    </w:pPr>
    <w:rPr>
      <w:b/>
      <w:noProof/>
      <w:lang w:val="fr-FR" w:eastAsia="fr-FR"/>
    </w:rPr>
  </w:style>
  <w:style w:type="paragraph" w:styleId="TOC3">
    <w:name w:val="toc 3"/>
    <w:basedOn w:val="Normal"/>
    <w:next w:val="Normal"/>
    <w:autoRedefine/>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6F7BE6"/>
    <w:rPr>
      <w:b/>
      <w:kern w:val="28"/>
      <w:sz w:val="28"/>
      <w:lang w:val="fr-FR" w:eastAsia="fr-FR"/>
    </w:rPr>
  </w:style>
  <w:style w:type="character" w:customStyle="1" w:styleId="Heading2Char">
    <w:name w:val="Heading 2 Char"/>
    <w:basedOn w:val="DefaultParagraphFont"/>
    <w:link w:val="Heading2"/>
    <w:semiHidden/>
    <w:rsid w:val="006F7BE6"/>
    <w:rPr>
      <w:sz w:val="24"/>
      <w:lang w:val="fr-FR" w:eastAsia="fr-FR"/>
    </w:rPr>
  </w:style>
  <w:style w:type="character" w:customStyle="1" w:styleId="Heading3Char">
    <w:name w:val="Heading 3 Char"/>
    <w:basedOn w:val="DefaultParagraphFont"/>
    <w:link w:val="Heading3"/>
    <w:semiHidden/>
    <w:rsid w:val="006F7BE6"/>
    <w:rPr>
      <w:rFonts w:ascii="Arial" w:hAnsi="Arial"/>
      <w:sz w:val="24"/>
      <w:lang w:val="fr-FR" w:eastAsia="fr-FR"/>
    </w:rPr>
  </w:style>
  <w:style w:type="character" w:customStyle="1" w:styleId="Heading4Char">
    <w:name w:val="Heading 4 Char"/>
    <w:basedOn w:val="DefaultParagraphFont"/>
    <w:link w:val="Heading4"/>
    <w:semiHidden/>
    <w:rsid w:val="006F7BE6"/>
    <w:rPr>
      <w:sz w:val="24"/>
      <w:lang w:val="en-US" w:eastAsia="fr-FR"/>
    </w:rPr>
  </w:style>
  <w:style w:type="character" w:customStyle="1" w:styleId="Heading5Char">
    <w:name w:val="Heading 5 Char"/>
    <w:basedOn w:val="DefaultParagraphFont"/>
    <w:link w:val="Heading5"/>
    <w:semiHidden/>
    <w:rsid w:val="006F7BE6"/>
    <w:rPr>
      <w:sz w:val="24"/>
      <w:lang w:val="en-US" w:eastAsia="fr-FR"/>
    </w:rPr>
  </w:style>
  <w:style w:type="character" w:customStyle="1" w:styleId="Heading6Char">
    <w:name w:val="Heading 6 Char"/>
    <w:basedOn w:val="DefaultParagraphFont"/>
    <w:link w:val="Heading6"/>
    <w:semiHidden/>
    <w:rsid w:val="006F7BE6"/>
    <w:rPr>
      <w:i/>
      <w:sz w:val="22"/>
    </w:rPr>
  </w:style>
  <w:style w:type="character" w:customStyle="1" w:styleId="Heading7Char">
    <w:name w:val="Heading 7 Char"/>
    <w:basedOn w:val="DefaultParagraphFont"/>
    <w:link w:val="Heading7"/>
    <w:semiHidden/>
    <w:rsid w:val="006F7BE6"/>
    <w:rPr>
      <w:rFonts w:ascii="Arial" w:hAnsi="Arial"/>
      <w:sz w:val="24"/>
    </w:rPr>
  </w:style>
  <w:style w:type="character" w:customStyle="1" w:styleId="Heading8Char">
    <w:name w:val="Heading 8 Char"/>
    <w:basedOn w:val="DefaultParagraphFont"/>
    <w:link w:val="Heading8"/>
    <w:semiHidden/>
    <w:rsid w:val="006F7BE6"/>
    <w:rPr>
      <w:rFonts w:ascii="Arial" w:hAnsi="Arial"/>
      <w:i/>
      <w:sz w:val="24"/>
    </w:rPr>
  </w:style>
  <w:style w:type="character" w:customStyle="1" w:styleId="Heading9Char">
    <w:name w:val="Heading 9 Char"/>
    <w:basedOn w:val="DefaultParagraphFont"/>
    <w:link w:val="Heading9"/>
    <w:semiHidden/>
    <w:rsid w:val="006F7BE6"/>
    <w:rPr>
      <w:rFonts w:ascii="Arial" w:hAnsi="Arial"/>
      <w:b/>
      <w:i/>
      <w:sz w:val="18"/>
    </w:rPr>
  </w:style>
  <w:style w:type="paragraph" w:styleId="TOCHeading">
    <w:name w:val="TOC Heading"/>
    <w:basedOn w:val="Normal"/>
    <w:next w:val="Normal"/>
    <w:unhideWhenUsed/>
    <w:qFormat/>
    <w:rsid w:val="006F7BE6"/>
    <w:pPr>
      <w:widowControl/>
      <w:spacing w:after="240"/>
    </w:pPr>
  </w:style>
  <w:style w:type="paragraph" w:customStyle="1" w:styleId="EPComma">
    <w:name w:val="EPComma"/>
    <w:basedOn w:val="Normal"/>
    <w:rsid w:val="006F7BE6"/>
    <w:pPr>
      <w:spacing w:before="480" w:after="240"/>
    </w:pPr>
    <w:rPr>
      <w:snapToGrid w:val="0"/>
      <w:lang w:eastAsia="en-US"/>
    </w:rPr>
  </w:style>
  <w:style w:type="paragraph" w:customStyle="1" w:styleId="CoverNormal">
    <w:name w:val="CoverNormal"/>
    <w:basedOn w:val="Normal"/>
    <w:rsid w:val="006F7BE6"/>
    <w:pPr>
      <w:ind w:left="1418"/>
    </w:pPr>
    <w:rPr>
      <w:snapToGrid w:val="0"/>
      <w:lang w:eastAsia="en-US"/>
    </w:rPr>
  </w:style>
  <w:style w:type="paragraph" w:customStyle="1" w:styleId="TOCRight">
    <w:name w:val="TOC Right"/>
    <w:basedOn w:val="Normal"/>
    <w:rsid w:val="006F7BE6"/>
    <w:pPr>
      <w:spacing w:after="240"/>
      <w:jc w:val="right"/>
    </w:pPr>
    <w:rPr>
      <w:snapToGrid w:val="0"/>
      <w:lang w:eastAsia="en-US"/>
    </w:rPr>
  </w:style>
  <w:style w:type="paragraph" w:customStyle="1" w:styleId="CoverDateRefPart">
    <w:name w:val="CoverDateRefPart"/>
    <w:basedOn w:val="Normal"/>
    <w:rsid w:val="006F7BE6"/>
    <w:pPr>
      <w:spacing w:after="1200"/>
    </w:pPr>
    <w:rPr>
      <w:snapToGrid w:val="0"/>
      <w:lang w:eastAsia="en-US"/>
    </w:rPr>
  </w:style>
  <w:style w:type="paragraph" w:customStyle="1" w:styleId="EPFooter2">
    <w:name w:val="EPFooter2"/>
    <w:basedOn w:val="Normal"/>
    <w:next w:val="Normal"/>
    <w:rsid w:val="006F7BE6"/>
    <w:pPr>
      <w:widowControl/>
      <w:tabs>
        <w:tab w:val="center" w:pos="4535"/>
        <w:tab w:val="right" w:pos="9921"/>
      </w:tabs>
      <w:ind w:left="-850" w:right="-850"/>
    </w:pPr>
    <w:rPr>
      <w:rFonts w:ascii="Arial" w:hAnsi="Arial" w:cs="Arial"/>
      <w:b/>
      <w:snapToGrid w:val="0"/>
      <w:sz w:val="48"/>
      <w:lang w:eastAsia="en-US"/>
    </w:rPr>
  </w:style>
  <w:style w:type="paragraph" w:customStyle="1" w:styleId="NormalBold">
    <w:name w:val="NormalBold"/>
    <w:basedOn w:val="Normal"/>
    <w:link w:val="NormalBoldChar"/>
    <w:rsid w:val="006F7BE6"/>
    <w:rPr>
      <w:b/>
      <w:snapToGrid w:val="0"/>
      <w:lang w:eastAsia="en-US"/>
    </w:rPr>
  </w:style>
  <w:style w:type="paragraph" w:customStyle="1" w:styleId="CoverReference">
    <w:name w:val="CoverReference"/>
    <w:basedOn w:val="Normal"/>
    <w:rsid w:val="006F7BE6"/>
    <w:pPr>
      <w:spacing w:before="1080"/>
      <w:jc w:val="right"/>
    </w:pPr>
    <w:rPr>
      <w:rFonts w:ascii="Arial" w:hAnsi="Arial" w:cs="Arial"/>
      <w:b/>
      <w:snapToGrid w:val="0"/>
      <w:lang w:eastAsia="en-US"/>
    </w:rPr>
  </w:style>
  <w:style w:type="paragraph" w:customStyle="1" w:styleId="CoverNormal24a">
    <w:name w:val="CoverNormal24a"/>
    <w:basedOn w:val="Normal"/>
    <w:rsid w:val="006F7BE6"/>
    <w:pPr>
      <w:spacing w:after="480"/>
      <w:ind w:left="1417"/>
    </w:pPr>
    <w:rPr>
      <w:snapToGrid w:val="0"/>
      <w:lang w:eastAsia="en-US"/>
    </w:rPr>
  </w:style>
  <w:style w:type="paragraph" w:customStyle="1" w:styleId="TOCPage">
    <w:name w:val="TOC Page"/>
    <w:basedOn w:val="Normal"/>
    <w:next w:val="TOC1"/>
    <w:rsid w:val="006F7BE6"/>
    <w:pPr>
      <w:keepNext/>
      <w:spacing w:after="240"/>
      <w:jc w:val="right"/>
    </w:pPr>
    <w:rPr>
      <w:rFonts w:ascii="Arial" w:hAnsi="Arial"/>
      <w:b/>
      <w:snapToGrid w:val="0"/>
      <w:lang w:eastAsia="en-US"/>
    </w:rPr>
  </w:style>
  <w:style w:type="paragraph" w:customStyle="1" w:styleId="CoverDocType24a">
    <w:name w:val="CoverDocType24a"/>
    <w:basedOn w:val="Normal"/>
    <w:rsid w:val="006F7BE6"/>
    <w:pPr>
      <w:spacing w:after="480"/>
      <w:ind w:left="1418"/>
    </w:pPr>
    <w:rPr>
      <w:rFonts w:ascii="Arial" w:hAnsi="Arial"/>
      <w:b/>
      <w:snapToGrid w:val="0"/>
      <w:sz w:val="48"/>
      <w:lang w:eastAsia="en-US"/>
    </w:rPr>
  </w:style>
  <w:style w:type="paragraph" w:customStyle="1" w:styleId="NormalHanging12a">
    <w:name w:val="NormalHanging12a"/>
    <w:basedOn w:val="Normal"/>
    <w:link w:val="NormalHanging12aChar"/>
    <w:rsid w:val="006F7BE6"/>
    <w:pPr>
      <w:widowControl/>
      <w:spacing w:after="240"/>
      <w:ind w:left="567" w:hanging="567"/>
    </w:pPr>
    <w:rPr>
      <w:snapToGrid w:val="0"/>
      <w:lang w:eastAsia="en-US"/>
    </w:rPr>
  </w:style>
  <w:style w:type="paragraph" w:styleId="TOC4">
    <w:name w:val="toc 4"/>
    <w:basedOn w:val="Normal"/>
    <w:next w:val="Normal"/>
    <w:autoRedefine/>
    <w:rsid w:val="006F7BE6"/>
    <w:pPr>
      <w:ind w:left="720"/>
    </w:pPr>
    <w:rPr>
      <w:snapToGrid w:val="0"/>
      <w:lang w:eastAsia="en-US"/>
    </w:rPr>
  </w:style>
  <w:style w:type="paragraph" w:customStyle="1" w:styleId="PageHeading">
    <w:name w:val="PageHeading"/>
    <w:basedOn w:val="Normal"/>
    <w:rsid w:val="006F7BE6"/>
    <w:pPr>
      <w:keepNext/>
      <w:spacing w:after="480"/>
      <w:jc w:val="center"/>
    </w:pPr>
    <w:rPr>
      <w:rFonts w:ascii="Arial" w:hAnsi="Arial" w:cs="Arial"/>
      <w:b/>
      <w:snapToGrid w:val="0"/>
      <w:lang w:eastAsia="en-US"/>
    </w:rPr>
  </w:style>
  <w:style w:type="paragraph" w:styleId="TOC5">
    <w:name w:val="toc 5"/>
    <w:basedOn w:val="Normal"/>
    <w:next w:val="Normal"/>
    <w:autoRedefine/>
    <w:rsid w:val="006F7BE6"/>
    <w:pPr>
      <w:ind w:left="960"/>
    </w:pPr>
    <w:rPr>
      <w:snapToGrid w:val="0"/>
      <w:lang w:eastAsia="en-US"/>
    </w:rPr>
  </w:style>
  <w:style w:type="paragraph" w:styleId="TOC6">
    <w:name w:val="toc 6"/>
    <w:basedOn w:val="Normal"/>
    <w:next w:val="Normal"/>
    <w:autoRedefine/>
    <w:rsid w:val="006F7BE6"/>
    <w:pPr>
      <w:ind w:left="1200"/>
    </w:pPr>
    <w:rPr>
      <w:snapToGrid w:val="0"/>
      <w:lang w:eastAsia="en-US"/>
    </w:rPr>
  </w:style>
  <w:style w:type="paragraph" w:styleId="TOC7">
    <w:name w:val="toc 7"/>
    <w:basedOn w:val="Normal"/>
    <w:next w:val="Normal"/>
    <w:autoRedefine/>
    <w:rsid w:val="006F7BE6"/>
    <w:pPr>
      <w:ind w:left="1440"/>
    </w:pPr>
    <w:rPr>
      <w:snapToGrid w:val="0"/>
      <w:lang w:eastAsia="en-US"/>
    </w:rPr>
  </w:style>
  <w:style w:type="paragraph" w:styleId="TOC8">
    <w:name w:val="toc 8"/>
    <w:basedOn w:val="Normal"/>
    <w:next w:val="Normal"/>
    <w:autoRedefine/>
    <w:rsid w:val="006F7BE6"/>
    <w:pPr>
      <w:ind w:left="1680"/>
    </w:pPr>
    <w:rPr>
      <w:snapToGrid w:val="0"/>
      <w:lang w:eastAsia="en-US"/>
    </w:rPr>
  </w:style>
  <w:style w:type="paragraph" w:styleId="TOC9">
    <w:name w:val="toc 9"/>
    <w:basedOn w:val="Normal"/>
    <w:next w:val="Normal"/>
    <w:autoRedefine/>
    <w:rsid w:val="006F7BE6"/>
    <w:pPr>
      <w:ind w:left="1920"/>
    </w:pPr>
    <w:rPr>
      <w:snapToGrid w:val="0"/>
      <w:lang w:eastAsia="en-US"/>
    </w:rPr>
  </w:style>
  <w:style w:type="paragraph" w:customStyle="1" w:styleId="TOCSubHeading">
    <w:name w:val="TOC SubHeading"/>
    <w:basedOn w:val="Normal"/>
    <w:rsid w:val="006F7BE6"/>
    <w:pPr>
      <w:spacing w:before="480" w:after="240"/>
    </w:pPr>
    <w:rPr>
      <w:b/>
      <w:snapToGrid w:val="0"/>
      <w:lang w:eastAsia="en-US"/>
    </w:rPr>
  </w:style>
  <w:style w:type="paragraph" w:customStyle="1" w:styleId="TOCTabLeader">
    <w:name w:val="TOC TabLeader"/>
    <w:basedOn w:val="Normal"/>
    <w:rsid w:val="006F7BE6"/>
    <w:pPr>
      <w:tabs>
        <w:tab w:val="left" w:leader="dot" w:pos="5954"/>
      </w:tabs>
      <w:spacing w:after="240"/>
    </w:pPr>
    <w:rPr>
      <w:snapToGrid w:val="0"/>
      <w:lang w:eastAsia="en-US"/>
    </w:rPr>
  </w:style>
  <w:style w:type="paragraph" w:customStyle="1" w:styleId="CoverNormalHanging">
    <w:name w:val="CoverNormalHanging"/>
    <w:basedOn w:val="Normal"/>
    <w:rsid w:val="006F7BE6"/>
    <w:pPr>
      <w:ind w:left="3686" w:hanging="2268"/>
    </w:pPr>
    <w:rPr>
      <w:snapToGrid w:val="0"/>
      <w:lang w:eastAsia="en-US"/>
    </w:rPr>
  </w:style>
  <w:style w:type="paragraph" w:customStyle="1" w:styleId="EPBody">
    <w:name w:val="EPBody"/>
    <w:basedOn w:val="Normal"/>
    <w:rsid w:val="006F7BE6"/>
    <w:pPr>
      <w:jc w:val="center"/>
    </w:pPr>
    <w:rPr>
      <w:rFonts w:ascii="Arial" w:hAnsi="Arial" w:cs="Arial"/>
      <w:i/>
      <w:sz w:val="22"/>
      <w:szCs w:val="22"/>
    </w:rPr>
  </w:style>
  <w:style w:type="paragraph" w:customStyle="1" w:styleId="CoverRefPart">
    <w:name w:val="CoverRefPart"/>
    <w:basedOn w:val="Normal"/>
    <w:rsid w:val="006F7BE6"/>
    <w:pPr>
      <w:jc w:val="right"/>
    </w:pPr>
    <w:rPr>
      <w:rFonts w:ascii="Arial" w:hAnsi="Arial"/>
      <w:snapToGrid w:val="0"/>
      <w:lang w:eastAsia="en-US"/>
    </w:rPr>
  </w:style>
  <w:style w:type="paragraph" w:customStyle="1" w:styleId="Subheading">
    <w:name w:val="Subheading"/>
    <w:basedOn w:val="Normal"/>
    <w:rsid w:val="006F7BE6"/>
    <w:pPr>
      <w:spacing w:before="480" w:after="240"/>
    </w:pPr>
    <w:rPr>
      <w:b/>
      <w:bCs/>
      <w:i/>
      <w:iCs/>
      <w:snapToGrid w:val="0"/>
      <w:lang w:eastAsia="en-US"/>
    </w:rPr>
  </w:style>
  <w:style w:type="paragraph" w:customStyle="1" w:styleId="EPFooter">
    <w:name w:val="EPFooter"/>
    <w:basedOn w:val="Normal"/>
    <w:rsid w:val="006F7BE6"/>
    <w:pPr>
      <w:tabs>
        <w:tab w:val="center" w:pos="4535"/>
        <w:tab w:val="right" w:pos="9071"/>
      </w:tabs>
      <w:spacing w:before="240" w:after="240"/>
    </w:pPr>
    <w:rPr>
      <w:snapToGrid w:val="0"/>
      <w:color w:val="010000"/>
      <w:sz w:val="22"/>
      <w:lang w:eastAsia="en-US"/>
    </w:rPr>
  </w:style>
  <w:style w:type="paragraph" w:styleId="Header">
    <w:name w:val="header"/>
    <w:basedOn w:val="Normal"/>
    <w:link w:val="HeaderChar"/>
    <w:rsid w:val="006F7BE6"/>
    <w:pPr>
      <w:tabs>
        <w:tab w:val="center" w:pos="4513"/>
        <w:tab w:val="right" w:pos="9026"/>
      </w:tabs>
    </w:pPr>
    <w:rPr>
      <w:snapToGrid w:val="0"/>
      <w:lang w:eastAsia="en-US"/>
    </w:rPr>
  </w:style>
  <w:style w:type="character" w:customStyle="1" w:styleId="HeaderChar">
    <w:name w:val="Header Char"/>
    <w:basedOn w:val="DefaultParagraphFont"/>
    <w:link w:val="Header"/>
    <w:rsid w:val="006F7BE6"/>
    <w:rPr>
      <w:snapToGrid w:val="0"/>
      <w:sz w:val="24"/>
      <w:lang w:eastAsia="en-US"/>
    </w:rPr>
  </w:style>
  <w:style w:type="paragraph" w:customStyle="1" w:styleId="AmColumnHeading">
    <w:name w:val="AmColumnHeading"/>
    <w:basedOn w:val="Normal"/>
    <w:rsid w:val="006F7BE6"/>
    <w:pPr>
      <w:spacing w:after="240"/>
      <w:jc w:val="center"/>
    </w:pPr>
    <w:rPr>
      <w:i/>
    </w:rPr>
  </w:style>
  <w:style w:type="paragraph" w:customStyle="1" w:styleId="AmCrossRef">
    <w:name w:val="AmCrossRef"/>
    <w:basedOn w:val="Normal"/>
    <w:rsid w:val="006F7BE6"/>
    <w:pPr>
      <w:spacing w:before="240" w:after="240"/>
      <w:jc w:val="center"/>
    </w:pPr>
    <w:rPr>
      <w:i/>
    </w:rPr>
  </w:style>
  <w:style w:type="paragraph" w:customStyle="1" w:styleId="AmJustText">
    <w:name w:val="AmJustText"/>
    <w:basedOn w:val="Normal"/>
    <w:rsid w:val="006F7BE6"/>
    <w:pPr>
      <w:spacing w:after="240"/>
    </w:pPr>
    <w:rPr>
      <w:i/>
    </w:rPr>
  </w:style>
  <w:style w:type="paragraph" w:customStyle="1" w:styleId="AmJustTitle">
    <w:name w:val="AmJustTitle"/>
    <w:basedOn w:val="Normal"/>
    <w:next w:val="AmJustText"/>
    <w:rsid w:val="006F7BE6"/>
    <w:pPr>
      <w:keepNext/>
      <w:spacing w:before="240" w:after="240"/>
      <w:jc w:val="center"/>
    </w:pPr>
    <w:rPr>
      <w:i/>
    </w:rPr>
  </w:style>
  <w:style w:type="paragraph" w:customStyle="1" w:styleId="AmNumberTabs">
    <w:name w:val="AmNumberTabs"/>
    <w:basedOn w:val="Normal"/>
    <w:link w:val="AmNumberTabsChar"/>
    <w:rsid w:val="006F7BE6"/>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AmOrLang">
    <w:name w:val="AmOrLang"/>
    <w:basedOn w:val="Normal"/>
    <w:rsid w:val="006F7BE6"/>
    <w:pPr>
      <w:spacing w:before="240" w:after="240"/>
      <w:jc w:val="right"/>
    </w:pPr>
  </w:style>
  <w:style w:type="paragraph" w:customStyle="1" w:styleId="AnnexWPDate">
    <w:name w:val="AnnexWPDate"/>
    <w:basedOn w:val="Normal"/>
    <w:rsid w:val="006F7BE6"/>
    <w:pPr>
      <w:spacing w:before="240" w:after="480"/>
      <w:jc w:val="right"/>
    </w:pPr>
  </w:style>
  <w:style w:type="paragraph" w:customStyle="1" w:styleId="AnnexWPDocType">
    <w:name w:val="AnnexWPDocType"/>
    <w:basedOn w:val="Normal"/>
    <w:rsid w:val="006F7BE6"/>
    <w:pPr>
      <w:spacing w:after="240"/>
      <w:jc w:val="center"/>
    </w:pPr>
    <w:rPr>
      <w:b/>
    </w:rPr>
  </w:style>
  <w:style w:type="paragraph" w:customStyle="1" w:styleId="AnnexWPLogo">
    <w:name w:val="AnnexWPLogo"/>
    <w:basedOn w:val="Normal"/>
    <w:rsid w:val="006F7BE6"/>
    <w:pPr>
      <w:spacing w:before="120" w:after="120"/>
    </w:pPr>
  </w:style>
  <w:style w:type="paragraph" w:customStyle="1" w:styleId="AnnexWPSmall">
    <w:name w:val="AnnexWPSmall"/>
    <w:basedOn w:val="Normal"/>
    <w:rsid w:val="006F7BE6"/>
    <w:rPr>
      <w:smallCaps/>
      <w:sz w:val="20"/>
    </w:rPr>
  </w:style>
  <w:style w:type="paragraph" w:customStyle="1" w:styleId="AnnexWPTabs">
    <w:name w:val="AnnexWPTabs"/>
    <w:basedOn w:val="Normal"/>
    <w:rsid w:val="006F7BE6"/>
    <w:pPr>
      <w:tabs>
        <w:tab w:val="right" w:pos="3686"/>
        <w:tab w:val="left" w:pos="3827"/>
      </w:tabs>
    </w:pPr>
    <w:rPr>
      <w:b/>
    </w:rPr>
  </w:style>
  <w:style w:type="paragraph" w:customStyle="1" w:styleId="AnnexWPTitle">
    <w:name w:val="AnnexWPTitle"/>
    <w:basedOn w:val="Normal"/>
    <w:rsid w:val="006F7BE6"/>
    <w:pPr>
      <w:spacing w:before="480"/>
    </w:pPr>
    <w:rPr>
      <w:b/>
    </w:rPr>
  </w:style>
  <w:style w:type="paragraph" w:customStyle="1" w:styleId="AmHeadingConsam">
    <w:name w:val="AmHeadingConsam"/>
    <w:basedOn w:val="Normal"/>
    <w:next w:val="Normal"/>
    <w:rsid w:val="006F7BE6"/>
    <w:pPr>
      <w:spacing w:before="720" w:after="240"/>
      <w:jc w:val="center"/>
    </w:pPr>
  </w:style>
  <w:style w:type="paragraph" w:customStyle="1" w:styleId="CoverNormal12a">
    <w:name w:val="CoverNormal12a"/>
    <w:basedOn w:val="Normal"/>
    <w:rsid w:val="006F7BE6"/>
    <w:pPr>
      <w:spacing w:after="240"/>
      <w:ind w:left="1418"/>
    </w:pPr>
  </w:style>
  <w:style w:type="paragraph" w:customStyle="1" w:styleId="Confidential">
    <w:name w:val="Confidential"/>
    <w:basedOn w:val="Normal"/>
    <w:rsid w:val="006F7BE6"/>
    <w:pPr>
      <w:spacing w:before="120" w:after="120"/>
      <w:jc w:val="center"/>
    </w:pPr>
    <w:rPr>
      <w:rFonts w:ascii="Arial" w:hAnsi="Arial"/>
      <w:caps/>
    </w:rPr>
  </w:style>
  <w:style w:type="paragraph" w:customStyle="1" w:styleId="CoverReferenceIMM">
    <w:name w:val="CoverReferenceIMM"/>
    <w:basedOn w:val="Normal"/>
    <w:rsid w:val="006F7BE6"/>
    <w:pPr>
      <w:spacing w:before="360"/>
      <w:jc w:val="right"/>
    </w:pPr>
    <w:rPr>
      <w:rFonts w:ascii="Arial" w:hAnsi="Arial"/>
      <w:b/>
    </w:rPr>
  </w:style>
  <w:style w:type="paragraph" w:customStyle="1" w:styleId="CoverDate">
    <w:name w:val="CoverDate"/>
    <w:basedOn w:val="Normal"/>
    <w:rsid w:val="006F7BE6"/>
    <w:pPr>
      <w:spacing w:before="240" w:after="1200"/>
    </w:pPr>
  </w:style>
  <w:style w:type="paragraph" w:customStyle="1" w:styleId="CoverDocType">
    <w:name w:val="CoverDocType"/>
    <w:basedOn w:val="Normal"/>
    <w:rsid w:val="006F7BE6"/>
    <w:pPr>
      <w:ind w:left="1418"/>
    </w:pPr>
    <w:rPr>
      <w:rFonts w:ascii="Arial" w:hAnsi="Arial"/>
      <w:b/>
      <w:sz w:val="48"/>
    </w:rPr>
  </w:style>
  <w:style w:type="paragraph" w:customStyle="1" w:styleId="NormalBold12a">
    <w:name w:val="NormalBold12a"/>
    <w:basedOn w:val="Normal"/>
    <w:rsid w:val="006F7BE6"/>
    <w:pPr>
      <w:spacing w:after="240"/>
    </w:pPr>
    <w:rPr>
      <w:b/>
    </w:rPr>
  </w:style>
  <w:style w:type="paragraph" w:customStyle="1" w:styleId="NormalCenter12a">
    <w:name w:val="NormalCenter12a"/>
    <w:basedOn w:val="Normal"/>
    <w:rsid w:val="006F7BE6"/>
    <w:pPr>
      <w:spacing w:after="240"/>
      <w:jc w:val="center"/>
    </w:pPr>
  </w:style>
  <w:style w:type="paragraph" w:customStyle="1" w:styleId="Normal6a">
    <w:name w:val="Normal6a"/>
    <w:basedOn w:val="Normal"/>
    <w:rsid w:val="006F7BE6"/>
    <w:pPr>
      <w:spacing w:after="120"/>
    </w:pPr>
  </w:style>
  <w:style w:type="paragraph" w:customStyle="1" w:styleId="NormalBold12b">
    <w:name w:val="NormalBold12b"/>
    <w:basedOn w:val="Normal"/>
    <w:link w:val="NormalBold12bChar"/>
    <w:rsid w:val="006F7BE6"/>
    <w:pPr>
      <w:spacing w:before="240"/>
    </w:pPr>
    <w:rPr>
      <w:b/>
    </w:rPr>
  </w:style>
  <w:style w:type="paragraph" w:customStyle="1" w:styleId="Arial14CentreBold">
    <w:name w:val="Arial14CentreBold"/>
    <w:basedOn w:val="Normal"/>
    <w:qFormat/>
    <w:rsid w:val="006F7BE6"/>
    <w:pPr>
      <w:jc w:val="center"/>
    </w:pPr>
    <w:rPr>
      <w:rFonts w:ascii="Arial" w:hAnsi="Arial" w:cs="Arial"/>
      <w:b/>
      <w:sz w:val="28"/>
      <w:szCs w:val="28"/>
    </w:rPr>
  </w:style>
  <w:style w:type="character" w:customStyle="1" w:styleId="Bold">
    <w:name w:val="Bold"/>
    <w:uiPriority w:val="1"/>
    <w:rsid w:val="006F7BE6"/>
    <w:rPr>
      <w:b/>
    </w:rPr>
  </w:style>
  <w:style w:type="character" w:customStyle="1" w:styleId="BoldItalic">
    <w:name w:val="BoldItalic"/>
    <w:uiPriority w:val="1"/>
    <w:rsid w:val="006F7BE6"/>
    <w:rPr>
      <w:b/>
      <w:i/>
      <w:u w:val="none"/>
    </w:rPr>
  </w:style>
  <w:style w:type="character" w:customStyle="1" w:styleId="BoldItalicUnderline">
    <w:name w:val="BoldItalicUnderline"/>
    <w:uiPriority w:val="1"/>
    <w:rsid w:val="006F7BE6"/>
    <w:rPr>
      <w:b/>
      <w:i/>
      <w:u w:val="single"/>
    </w:rPr>
  </w:style>
  <w:style w:type="character" w:customStyle="1" w:styleId="BoldUnderline">
    <w:name w:val="BoldUnderline"/>
    <w:uiPriority w:val="1"/>
    <w:rsid w:val="006F7BE6"/>
    <w:rPr>
      <w:b/>
      <w:u w:val="single"/>
    </w:rPr>
  </w:style>
  <w:style w:type="paragraph" w:customStyle="1" w:styleId="CoverNormalLeft">
    <w:name w:val="CoverNormalLeft"/>
    <w:basedOn w:val="CoverNormal"/>
    <w:qFormat/>
    <w:rsid w:val="006F7BE6"/>
    <w:pPr>
      <w:ind w:left="0"/>
    </w:pPr>
    <w:rPr>
      <w:snapToGrid/>
      <w:lang w:eastAsia="en-GB"/>
    </w:rPr>
  </w:style>
  <w:style w:type="paragraph" w:customStyle="1" w:styleId="EPFooter2Landscape">
    <w:name w:val="EPFooter2Landscape"/>
    <w:qFormat/>
    <w:rsid w:val="006F7BE6"/>
    <w:pPr>
      <w:tabs>
        <w:tab w:val="center" w:pos="4536"/>
        <w:tab w:val="center" w:pos="9923"/>
        <w:tab w:val="right" w:pos="15026"/>
      </w:tabs>
    </w:pPr>
    <w:rPr>
      <w:rFonts w:ascii="Arial" w:hAnsi="Arial" w:cs="Arial"/>
      <w:b/>
      <w:sz w:val="48"/>
      <w:szCs w:val="22"/>
    </w:rPr>
  </w:style>
  <w:style w:type="character" w:customStyle="1" w:styleId="EPFooter2Motto">
    <w:name w:val="EPFooter2Motto"/>
    <w:uiPriority w:val="1"/>
    <w:qFormat/>
    <w:rsid w:val="006F7BE6"/>
    <w:rPr>
      <w:rFonts w:ascii="Arial" w:hAnsi="Arial"/>
      <w:b/>
      <w:i/>
      <w:color w:val="C0C0C0"/>
      <w:sz w:val="22"/>
    </w:rPr>
  </w:style>
  <w:style w:type="paragraph" w:customStyle="1" w:styleId="EPFooterLandscape">
    <w:name w:val="EPFooterLandscape"/>
    <w:qFormat/>
    <w:rsid w:val="006F7BE6"/>
    <w:pPr>
      <w:tabs>
        <w:tab w:val="center" w:pos="6804"/>
        <w:tab w:val="right" w:pos="15026"/>
      </w:tabs>
    </w:pPr>
    <w:rPr>
      <w:sz w:val="22"/>
    </w:rPr>
  </w:style>
  <w:style w:type="character" w:customStyle="1" w:styleId="Italic">
    <w:name w:val="Italic"/>
    <w:uiPriority w:val="1"/>
    <w:rsid w:val="006F7BE6"/>
    <w:rPr>
      <w:i/>
    </w:rPr>
  </w:style>
  <w:style w:type="character" w:customStyle="1" w:styleId="ItalicUnderline">
    <w:name w:val="ItalicUnderline"/>
    <w:uiPriority w:val="1"/>
    <w:rsid w:val="006F7BE6"/>
    <w:rPr>
      <w:i/>
      <w:u w:val="single"/>
    </w:rPr>
  </w:style>
  <w:style w:type="paragraph" w:customStyle="1" w:styleId="LegendSign">
    <w:name w:val="LegendSign"/>
    <w:basedOn w:val="Normal"/>
    <w:qFormat/>
    <w:rsid w:val="006F7BE6"/>
    <w:pPr>
      <w:tabs>
        <w:tab w:val="right" w:pos="454"/>
        <w:tab w:val="left" w:pos="737"/>
      </w:tabs>
      <w:ind w:left="737" w:hanging="737"/>
    </w:pPr>
    <w:rPr>
      <w:sz w:val="18"/>
    </w:rPr>
  </w:style>
  <w:style w:type="paragraph" w:customStyle="1" w:styleId="LegendStandard">
    <w:name w:val="LegendStandard"/>
    <w:basedOn w:val="LegendSign"/>
    <w:qFormat/>
    <w:rsid w:val="006F7BE6"/>
    <w:pPr>
      <w:ind w:left="0" w:firstLine="0"/>
    </w:pPr>
  </w:style>
  <w:style w:type="paragraph" w:customStyle="1" w:styleId="LegendTitle">
    <w:name w:val="LegendTitle"/>
    <w:basedOn w:val="Normal"/>
    <w:qFormat/>
    <w:rsid w:val="006F7BE6"/>
    <w:pPr>
      <w:spacing w:before="240" w:after="240"/>
    </w:pPr>
    <w:rPr>
      <w:b/>
      <w:i/>
    </w:rPr>
  </w:style>
  <w:style w:type="character" w:customStyle="1" w:styleId="HideTermComment">
    <w:name w:val="HideTermComment"/>
    <w:uiPriority w:val="1"/>
    <w:qFormat/>
    <w:rsid w:val="006F7BE6"/>
    <w:rPr>
      <w:rFonts w:ascii="Arial" w:hAnsi="Arial"/>
      <w:vanish/>
      <w:color w:val="0066CC"/>
      <w:sz w:val="18"/>
    </w:rPr>
  </w:style>
  <w:style w:type="character" w:customStyle="1" w:styleId="HideTerminTermComment">
    <w:name w:val="HideTerminTermComment"/>
    <w:basedOn w:val="HideTermComment"/>
    <w:uiPriority w:val="1"/>
    <w:qFormat/>
    <w:rsid w:val="006F7BE6"/>
    <w:rPr>
      <w:rFonts w:ascii="Arial" w:hAnsi="Arial"/>
      <w:vanish/>
      <w:color w:val="538135" w:themeColor="accent6" w:themeShade="BF"/>
      <w:sz w:val="18"/>
    </w:rPr>
  </w:style>
  <w:style w:type="paragraph" w:customStyle="1" w:styleId="Normal12a">
    <w:name w:val="Normal12a"/>
    <w:basedOn w:val="Normal"/>
    <w:rsid w:val="006F7BE6"/>
    <w:pPr>
      <w:spacing w:after="240"/>
    </w:pPr>
  </w:style>
  <w:style w:type="paragraph" w:customStyle="1" w:styleId="Normal12b">
    <w:name w:val="Normal12b"/>
    <w:basedOn w:val="Normal"/>
    <w:qFormat/>
    <w:rsid w:val="006F7BE6"/>
    <w:pPr>
      <w:spacing w:before="240"/>
    </w:pPr>
  </w:style>
  <w:style w:type="paragraph" w:customStyle="1" w:styleId="NormalBoldUnderline24b">
    <w:name w:val="NormalBoldUnderline24b"/>
    <w:basedOn w:val="Normal"/>
    <w:qFormat/>
    <w:rsid w:val="006F7BE6"/>
    <w:pPr>
      <w:spacing w:before="480"/>
    </w:pPr>
    <w:rPr>
      <w:b/>
      <w:u w:val="single"/>
    </w:rPr>
  </w:style>
  <w:style w:type="paragraph" w:customStyle="1" w:styleId="NormalBoldUnderline24b12a">
    <w:name w:val="NormalBoldUnderline24b12a"/>
    <w:basedOn w:val="NormalBoldUnderline24b"/>
    <w:qFormat/>
    <w:rsid w:val="006F7BE6"/>
    <w:pPr>
      <w:spacing w:after="240"/>
    </w:pPr>
  </w:style>
  <w:style w:type="paragraph" w:customStyle="1" w:styleId="Normal12aBullet1">
    <w:name w:val="Normal12aBullet1"/>
    <w:basedOn w:val="Normal"/>
    <w:qFormat/>
    <w:rsid w:val="006F7BE6"/>
    <w:pPr>
      <w:widowControl/>
      <w:numPr>
        <w:numId w:val="45"/>
      </w:numPr>
    </w:pPr>
  </w:style>
  <w:style w:type="paragraph" w:customStyle="1" w:styleId="Normal12aBullet2">
    <w:name w:val="Normal12aBullet2"/>
    <w:basedOn w:val="Normal"/>
    <w:qFormat/>
    <w:rsid w:val="006F7BE6"/>
    <w:pPr>
      <w:numPr>
        <w:numId w:val="46"/>
      </w:numPr>
    </w:pPr>
  </w:style>
  <w:style w:type="paragraph" w:customStyle="1" w:styleId="NormalHanging12a1">
    <w:name w:val="NormalHanging12a1"/>
    <w:basedOn w:val="Normal"/>
    <w:qFormat/>
    <w:rsid w:val="006F7BE6"/>
    <w:pPr>
      <w:spacing w:after="240"/>
      <w:ind w:left="992" w:hanging="425"/>
    </w:pPr>
  </w:style>
  <w:style w:type="paragraph" w:customStyle="1" w:styleId="NormalHanging12a2">
    <w:name w:val="NormalHanging12a2"/>
    <w:basedOn w:val="NormalHanging12a1"/>
    <w:qFormat/>
    <w:rsid w:val="006F7BE6"/>
    <w:pPr>
      <w:ind w:left="1417"/>
    </w:pPr>
  </w:style>
  <w:style w:type="paragraph" w:customStyle="1" w:styleId="NormalHanging12a3">
    <w:name w:val="NormalHanging12a3"/>
    <w:basedOn w:val="NormalHanging12a2"/>
    <w:qFormat/>
    <w:rsid w:val="006F7BE6"/>
    <w:pPr>
      <w:ind w:left="1843"/>
    </w:pPr>
  </w:style>
  <w:style w:type="paragraph" w:customStyle="1" w:styleId="NormalHanging12a4">
    <w:name w:val="NormalHanging12a4"/>
    <w:basedOn w:val="NormalHanging12a3"/>
    <w:qFormat/>
    <w:rsid w:val="006F7BE6"/>
    <w:pPr>
      <w:ind w:left="2268"/>
    </w:pPr>
  </w:style>
  <w:style w:type="paragraph" w:customStyle="1" w:styleId="NormalHanging12a5">
    <w:name w:val="NormalHanging12a5"/>
    <w:basedOn w:val="NormalHanging12a4"/>
    <w:qFormat/>
    <w:rsid w:val="006F7BE6"/>
    <w:pPr>
      <w:ind w:left="2693"/>
    </w:pPr>
  </w:style>
  <w:style w:type="paragraph" w:customStyle="1" w:styleId="NormalHanging12a6">
    <w:name w:val="NormalHanging12a6"/>
    <w:basedOn w:val="NormalHanging12a5"/>
    <w:qFormat/>
    <w:rsid w:val="006F7BE6"/>
    <w:pPr>
      <w:ind w:left="3118"/>
    </w:pPr>
  </w:style>
  <w:style w:type="paragraph" w:customStyle="1" w:styleId="NormalHanging12a7">
    <w:name w:val="NormalHanging12a7"/>
    <w:basedOn w:val="NormalHanging12a6"/>
    <w:qFormat/>
    <w:rsid w:val="006F7BE6"/>
    <w:pPr>
      <w:ind w:left="3544"/>
    </w:pPr>
  </w:style>
  <w:style w:type="paragraph" w:customStyle="1" w:styleId="NormalHangingCenter">
    <w:name w:val="NormalHangingCenter"/>
    <w:basedOn w:val="Normal"/>
    <w:qFormat/>
    <w:rsid w:val="006F7BE6"/>
    <w:pPr>
      <w:spacing w:after="240"/>
      <w:ind w:left="567" w:hanging="567"/>
      <w:jc w:val="center"/>
    </w:pPr>
  </w:style>
  <w:style w:type="paragraph" w:customStyle="1" w:styleId="NormalHangingJustified">
    <w:name w:val="NormalHangingJustified"/>
    <w:basedOn w:val="Normal"/>
    <w:qFormat/>
    <w:rsid w:val="006F7BE6"/>
    <w:pPr>
      <w:spacing w:after="240"/>
      <w:ind w:left="714" w:hanging="357"/>
      <w:jc w:val="both"/>
    </w:pPr>
  </w:style>
  <w:style w:type="paragraph" w:customStyle="1" w:styleId="NormalUnderline24b12a">
    <w:name w:val="NormalUnderline24b12a"/>
    <w:basedOn w:val="EPComma"/>
    <w:qFormat/>
    <w:rsid w:val="006F7BE6"/>
    <w:rPr>
      <w:snapToGrid/>
      <w:u w:val="single"/>
      <w:lang w:eastAsia="en-GB"/>
    </w:rPr>
  </w:style>
  <w:style w:type="paragraph" w:customStyle="1" w:styleId="Normal2">
    <w:name w:val="Normal2"/>
    <w:next w:val="Normal"/>
    <w:qFormat/>
    <w:rsid w:val="006F7BE6"/>
    <w:pPr>
      <w:spacing w:line="120" w:lineRule="auto"/>
    </w:pPr>
    <w:rPr>
      <w:color w:val="000000"/>
      <w:sz w:val="4"/>
      <w:szCs w:val="24"/>
    </w:rPr>
  </w:style>
  <w:style w:type="character" w:customStyle="1" w:styleId="NormalBI">
    <w:name w:val="NormalBI"/>
    <w:basedOn w:val="DefaultParagraphFont"/>
    <w:uiPriority w:val="1"/>
    <w:qFormat/>
    <w:rsid w:val="006F7BE6"/>
    <w:rPr>
      <w:rFonts w:ascii="Times New Roman" w:hAnsi="Times New Roman"/>
      <w:b/>
      <w:i/>
      <w:sz w:val="24"/>
    </w:rPr>
  </w:style>
  <w:style w:type="paragraph" w:customStyle="1" w:styleId="NormalBoldItalic6a">
    <w:name w:val="NormalBoldItalic6a"/>
    <w:basedOn w:val="Normal6a"/>
    <w:qFormat/>
    <w:rsid w:val="006F7BE6"/>
    <w:rPr>
      <w:b/>
      <w:i/>
    </w:rPr>
  </w:style>
  <w:style w:type="paragraph" w:customStyle="1" w:styleId="NormalBoldItalicCenter6a">
    <w:name w:val="NormalBoldItalicCenter6a"/>
    <w:basedOn w:val="Normal6a"/>
    <w:qFormat/>
    <w:rsid w:val="006F7BE6"/>
    <w:pPr>
      <w:jc w:val="center"/>
    </w:pPr>
    <w:rPr>
      <w:b/>
      <w:i/>
    </w:rPr>
  </w:style>
  <w:style w:type="paragraph" w:customStyle="1" w:styleId="NormalItalic6a">
    <w:name w:val="NormalItalic6a"/>
    <w:basedOn w:val="Normal6a"/>
    <w:qFormat/>
    <w:rsid w:val="006F7BE6"/>
    <w:rPr>
      <w:i/>
    </w:rPr>
  </w:style>
  <w:style w:type="paragraph" w:customStyle="1" w:styleId="PageHeadingNotTOC">
    <w:name w:val="PageHeadingNotTOC"/>
    <w:basedOn w:val="PageHeading"/>
    <w:rsid w:val="006F7BE6"/>
    <w:rPr>
      <w:rFonts w:cs="Times New Roman"/>
      <w:snapToGrid/>
      <w:lang w:eastAsia="en-GB"/>
    </w:rPr>
  </w:style>
  <w:style w:type="character" w:customStyle="1" w:styleId="Sub">
    <w:name w:val="Sub"/>
    <w:uiPriority w:val="1"/>
    <w:qFormat/>
    <w:rsid w:val="006F7BE6"/>
    <w:rPr>
      <w:vertAlign w:val="subscript"/>
    </w:rPr>
  </w:style>
  <w:style w:type="character" w:customStyle="1" w:styleId="SubBold">
    <w:name w:val="SubBold"/>
    <w:uiPriority w:val="1"/>
    <w:qFormat/>
    <w:rsid w:val="006F7BE6"/>
    <w:rPr>
      <w:b/>
      <w:vertAlign w:val="subscript"/>
    </w:rPr>
  </w:style>
  <w:style w:type="character" w:customStyle="1" w:styleId="SubBoldItalic">
    <w:name w:val="SubBoldItalic"/>
    <w:uiPriority w:val="1"/>
    <w:rsid w:val="006F7BE6"/>
    <w:rPr>
      <w:b/>
      <w:i/>
      <w:vertAlign w:val="subscript"/>
    </w:rPr>
  </w:style>
  <w:style w:type="character" w:customStyle="1" w:styleId="SubItalic">
    <w:name w:val="SubItalic"/>
    <w:uiPriority w:val="1"/>
    <w:qFormat/>
    <w:rsid w:val="006F7BE6"/>
    <w:rPr>
      <w:b/>
      <w:i/>
      <w:vertAlign w:val="subscript"/>
    </w:rPr>
  </w:style>
  <w:style w:type="character" w:customStyle="1" w:styleId="Sup">
    <w:name w:val="Sup"/>
    <w:uiPriority w:val="1"/>
    <w:rsid w:val="006F7BE6"/>
    <w:rPr>
      <w:vertAlign w:val="superscript"/>
    </w:rPr>
  </w:style>
  <w:style w:type="character" w:customStyle="1" w:styleId="SupBoldItalic">
    <w:name w:val="SupBoldItalic"/>
    <w:uiPriority w:val="1"/>
    <w:qFormat/>
    <w:rsid w:val="006F7BE6"/>
    <w:rPr>
      <w:b/>
      <w:i/>
      <w:vertAlign w:val="superscript"/>
    </w:rPr>
  </w:style>
  <w:style w:type="character" w:customStyle="1" w:styleId="Underline">
    <w:name w:val="Underline"/>
    <w:uiPriority w:val="1"/>
    <w:rsid w:val="006F7BE6"/>
    <w:rPr>
      <w:u w:val="single"/>
    </w:rPr>
  </w:style>
  <w:style w:type="paragraph" w:customStyle="1" w:styleId="NormalBoldCenter">
    <w:name w:val="NormalBoldCenter"/>
    <w:basedOn w:val="Normal"/>
    <w:rsid w:val="006F7BE6"/>
    <w:pPr>
      <w:jc w:val="center"/>
    </w:pPr>
    <w:rPr>
      <w:b/>
    </w:rPr>
  </w:style>
  <w:style w:type="paragraph" w:customStyle="1" w:styleId="ProcedureTable">
    <w:name w:val="ProcedureTable"/>
    <w:basedOn w:val="Normal"/>
    <w:rsid w:val="006F7BE6"/>
    <w:rPr>
      <w:sz w:val="20"/>
    </w:rPr>
  </w:style>
  <w:style w:type="paragraph" w:customStyle="1" w:styleId="ProcedureTableBold">
    <w:name w:val="ProcedureTableBold"/>
    <w:basedOn w:val="Normal"/>
    <w:rsid w:val="006F7BE6"/>
    <w:rPr>
      <w:b/>
      <w:sz w:val="20"/>
    </w:rPr>
  </w:style>
  <w:style w:type="paragraph" w:customStyle="1" w:styleId="NormalCenter">
    <w:name w:val="NormalCenter"/>
    <w:basedOn w:val="Normal"/>
    <w:rsid w:val="006F7BE6"/>
    <w:pPr>
      <w:jc w:val="center"/>
    </w:pPr>
  </w:style>
  <w:style w:type="character" w:customStyle="1" w:styleId="SubBoldItalicUnderline">
    <w:name w:val="SubBoldItalicUnderline"/>
    <w:uiPriority w:val="1"/>
    <w:rsid w:val="006F7BE6"/>
    <w:rPr>
      <w:b/>
      <w:i/>
      <w:u w:val="single"/>
      <w:vertAlign w:val="subscript"/>
    </w:rPr>
  </w:style>
  <w:style w:type="character" w:customStyle="1" w:styleId="SubBoldUnderline">
    <w:name w:val="SubBoldUnderline"/>
    <w:uiPriority w:val="1"/>
    <w:rsid w:val="006F7BE6"/>
    <w:rPr>
      <w:b/>
      <w:u w:val="single"/>
      <w:vertAlign w:val="subscript"/>
    </w:rPr>
  </w:style>
  <w:style w:type="character" w:customStyle="1" w:styleId="SubItalicUnderline">
    <w:name w:val="SubItalicUnderline"/>
    <w:uiPriority w:val="1"/>
    <w:rsid w:val="006F7BE6"/>
    <w:rPr>
      <w:i/>
      <w:u w:val="single"/>
      <w:vertAlign w:val="subscript"/>
    </w:rPr>
  </w:style>
  <w:style w:type="character" w:customStyle="1" w:styleId="SubUnderline">
    <w:name w:val="SubUnderline"/>
    <w:uiPriority w:val="1"/>
    <w:rsid w:val="006F7BE6"/>
    <w:rPr>
      <w:u w:val="single"/>
      <w:vertAlign w:val="subscript"/>
    </w:rPr>
  </w:style>
  <w:style w:type="character" w:customStyle="1" w:styleId="SupBold">
    <w:name w:val="SupBold"/>
    <w:uiPriority w:val="1"/>
    <w:rsid w:val="006F7BE6"/>
    <w:rPr>
      <w:b/>
      <w:vertAlign w:val="superscript"/>
    </w:rPr>
  </w:style>
  <w:style w:type="character" w:customStyle="1" w:styleId="SupBoldItalicUnderline">
    <w:name w:val="SupBoldItalicUnderline"/>
    <w:uiPriority w:val="1"/>
    <w:rsid w:val="006F7BE6"/>
    <w:rPr>
      <w:b/>
      <w:i/>
      <w:u w:val="single"/>
      <w:vertAlign w:val="superscript"/>
    </w:rPr>
  </w:style>
  <w:style w:type="character" w:customStyle="1" w:styleId="SupBoldUnderline">
    <w:name w:val="SupBoldUnderline"/>
    <w:uiPriority w:val="1"/>
    <w:rsid w:val="006F7BE6"/>
    <w:rPr>
      <w:b/>
      <w:u w:val="single"/>
      <w:vertAlign w:val="superscript"/>
    </w:rPr>
  </w:style>
  <w:style w:type="character" w:customStyle="1" w:styleId="SupItalic">
    <w:name w:val="SupItalic"/>
    <w:uiPriority w:val="1"/>
    <w:rsid w:val="006F7BE6"/>
    <w:rPr>
      <w:i/>
      <w:vertAlign w:val="superscript"/>
    </w:rPr>
  </w:style>
  <w:style w:type="character" w:customStyle="1" w:styleId="SupItalicUnderline">
    <w:name w:val="SupItalicUnderline"/>
    <w:uiPriority w:val="1"/>
    <w:rsid w:val="006F7BE6"/>
    <w:rPr>
      <w:i/>
      <w:u w:val="single"/>
      <w:vertAlign w:val="superscript"/>
    </w:rPr>
  </w:style>
  <w:style w:type="character" w:customStyle="1" w:styleId="SupUnderline">
    <w:name w:val="SupUnderline"/>
    <w:uiPriority w:val="1"/>
    <w:rsid w:val="006F7BE6"/>
    <w:rPr>
      <w:u w:val="single"/>
      <w:vertAlign w:val="superscript"/>
    </w:rPr>
  </w:style>
  <w:style w:type="paragraph" w:customStyle="1" w:styleId="Normal24a">
    <w:name w:val="Normal24a"/>
    <w:basedOn w:val="Normal"/>
    <w:rsid w:val="006F7BE6"/>
    <w:pPr>
      <w:spacing w:after="480"/>
    </w:pPr>
  </w:style>
  <w:style w:type="paragraph" w:customStyle="1" w:styleId="Normal12a24b">
    <w:name w:val="Normal12a24b"/>
    <w:basedOn w:val="Normal"/>
    <w:rsid w:val="006F7BE6"/>
    <w:pPr>
      <w:spacing w:before="360" w:after="240"/>
    </w:pPr>
    <w:rPr>
      <w:snapToGrid w:val="0"/>
      <w:lang w:eastAsia="en-US"/>
    </w:rPr>
  </w:style>
  <w:style w:type="paragraph" w:customStyle="1" w:styleId="NormalTab">
    <w:name w:val="NormalTab"/>
    <w:basedOn w:val="Normal"/>
    <w:rsid w:val="006F7BE6"/>
    <w:pPr>
      <w:tabs>
        <w:tab w:val="center" w:pos="284"/>
        <w:tab w:val="left" w:pos="425"/>
      </w:tabs>
    </w:pPr>
  </w:style>
  <w:style w:type="character" w:styleId="Hyperlink">
    <w:name w:val="Hyperlink"/>
    <w:basedOn w:val="DefaultParagraphFont"/>
    <w:uiPriority w:val="99"/>
    <w:rsid w:val="006F7BE6"/>
    <w:rPr>
      <w:color w:val="0000FF"/>
      <w:u w:val="single"/>
    </w:rPr>
  </w:style>
  <w:style w:type="character" w:customStyle="1" w:styleId="NormalHanging12aChar">
    <w:name w:val="NormalHanging12a Char"/>
    <w:basedOn w:val="DefaultParagraphFont"/>
    <w:link w:val="NormalHanging12a"/>
    <w:rsid w:val="006F7BE6"/>
    <w:rPr>
      <w:snapToGrid w:val="0"/>
      <w:sz w:val="24"/>
      <w:lang w:eastAsia="en-US"/>
    </w:rPr>
  </w:style>
  <w:style w:type="paragraph" w:customStyle="1" w:styleId="AmDocTypeTab">
    <w:name w:val="AmDocTypeTab"/>
    <w:basedOn w:val="Normal"/>
    <w:rsid w:val="006F7BE6"/>
    <w:pPr>
      <w:tabs>
        <w:tab w:val="right" w:pos="9071"/>
      </w:tabs>
    </w:pPr>
    <w:rPr>
      <w:b/>
    </w:rPr>
  </w:style>
  <w:style w:type="paragraph" w:customStyle="1" w:styleId="AmDateTab">
    <w:name w:val="AmDateTab"/>
    <w:basedOn w:val="Normal"/>
    <w:rsid w:val="006F7BE6"/>
    <w:pPr>
      <w:tabs>
        <w:tab w:val="right" w:pos="9071"/>
      </w:tabs>
    </w:pPr>
  </w:style>
  <w:style w:type="paragraph" w:customStyle="1" w:styleId="Footprint12b">
    <w:name w:val="Footprint12b"/>
    <w:basedOn w:val="Normal"/>
    <w:rsid w:val="006F7BE6"/>
    <w:pPr>
      <w:spacing w:before="240"/>
    </w:pPr>
    <w:rPr>
      <w:szCs w:val="24"/>
    </w:rPr>
  </w:style>
  <w:style w:type="paragraph" w:customStyle="1" w:styleId="NormalSingle">
    <w:name w:val="NormalSingle"/>
    <w:basedOn w:val="Normal"/>
    <w:qFormat/>
    <w:rsid w:val="006F7BE6"/>
    <w:rPr>
      <w:szCs w:val="24"/>
    </w:rPr>
  </w:style>
  <w:style w:type="paragraph" w:styleId="BalloonText">
    <w:name w:val="Balloon Text"/>
    <w:basedOn w:val="Normal"/>
    <w:link w:val="BalloonTextChar"/>
    <w:unhideWhenUsed/>
    <w:rsid w:val="006F7BE6"/>
    <w:rPr>
      <w:rFonts w:ascii="Segoe UI" w:hAnsi="Segoe UI" w:cs="Segoe UI"/>
      <w:sz w:val="18"/>
      <w:szCs w:val="18"/>
    </w:rPr>
  </w:style>
  <w:style w:type="character" w:customStyle="1" w:styleId="BalloonTextChar">
    <w:name w:val="Balloon Text Char"/>
    <w:basedOn w:val="DefaultParagraphFont"/>
    <w:link w:val="BalloonText"/>
    <w:rsid w:val="006F7BE6"/>
    <w:rPr>
      <w:rFonts w:ascii="Segoe UI" w:hAnsi="Segoe UI" w:cs="Segoe UI"/>
      <w:sz w:val="18"/>
      <w:szCs w:val="18"/>
    </w:rPr>
  </w:style>
  <w:style w:type="character" w:styleId="CommentReference">
    <w:name w:val="annotation reference"/>
    <w:basedOn w:val="DefaultParagraphFont"/>
    <w:rsid w:val="006F7BE6"/>
    <w:rPr>
      <w:sz w:val="16"/>
      <w:szCs w:val="16"/>
    </w:rPr>
  </w:style>
  <w:style w:type="paragraph" w:styleId="CommentText">
    <w:name w:val="annotation text"/>
    <w:basedOn w:val="Normal"/>
    <w:link w:val="CommentTextChar"/>
    <w:rsid w:val="006F7BE6"/>
    <w:rPr>
      <w:sz w:val="20"/>
    </w:rPr>
  </w:style>
  <w:style w:type="character" w:customStyle="1" w:styleId="CommentTextChar">
    <w:name w:val="Comment Text Char"/>
    <w:basedOn w:val="DefaultParagraphFont"/>
    <w:link w:val="CommentText"/>
    <w:rsid w:val="006F7BE6"/>
  </w:style>
  <w:style w:type="paragraph" w:styleId="CommentSubject">
    <w:name w:val="annotation subject"/>
    <w:basedOn w:val="CommentText"/>
    <w:next w:val="CommentText"/>
    <w:link w:val="CommentSubjectChar"/>
    <w:unhideWhenUsed/>
    <w:rsid w:val="006F7BE6"/>
    <w:rPr>
      <w:b/>
      <w:bCs/>
    </w:rPr>
  </w:style>
  <w:style w:type="character" w:customStyle="1" w:styleId="CommentSubjectChar">
    <w:name w:val="Comment Subject Char"/>
    <w:basedOn w:val="CommentTextChar"/>
    <w:link w:val="CommentSubject"/>
    <w:rsid w:val="006F7BE6"/>
    <w:rPr>
      <w:b/>
      <w:bCs/>
    </w:rPr>
  </w:style>
  <w:style w:type="character" w:styleId="FollowedHyperlink">
    <w:name w:val="FollowedHyperlink"/>
    <w:basedOn w:val="DefaultParagraphFont"/>
    <w:rsid w:val="006F7BE6"/>
    <w:rPr>
      <w:color w:val="954F72" w:themeColor="followedHyperlink"/>
      <w:u w:val="single"/>
    </w:rPr>
  </w:style>
  <w:style w:type="paragraph" w:styleId="Revision">
    <w:name w:val="Revision"/>
    <w:hidden/>
    <w:uiPriority w:val="99"/>
    <w:semiHidden/>
    <w:rsid w:val="006F7BE6"/>
    <w:rPr>
      <w:sz w:val="24"/>
    </w:rPr>
  </w:style>
  <w:style w:type="character" w:styleId="Emphasis">
    <w:name w:val="Emphasis"/>
    <w:basedOn w:val="DefaultParagraphFont"/>
    <w:uiPriority w:val="20"/>
    <w:qFormat/>
    <w:rsid w:val="006F7BE6"/>
    <w:rPr>
      <w:i/>
      <w:iCs/>
    </w:rPr>
  </w:style>
  <w:style w:type="character" w:customStyle="1" w:styleId="AmNumberTabsChar">
    <w:name w:val="AmNumberTabs Char"/>
    <w:basedOn w:val="DefaultParagraphFont"/>
    <w:link w:val="AmNumberTabs"/>
    <w:rsid w:val="006F7BE6"/>
    <w:rPr>
      <w:b/>
      <w:sz w:val="24"/>
    </w:rPr>
  </w:style>
  <w:style w:type="character" w:customStyle="1" w:styleId="NormalBold12bChar">
    <w:name w:val="NormalBold12b Char"/>
    <w:basedOn w:val="AmNumberTabsChar"/>
    <w:link w:val="NormalBold12b"/>
    <w:rsid w:val="006F7BE6"/>
    <w:rPr>
      <w:b/>
      <w:sz w:val="24"/>
    </w:rPr>
  </w:style>
  <w:style w:type="character" w:customStyle="1" w:styleId="Normal6Char">
    <w:name w:val="Normal6 Char"/>
    <w:link w:val="Normal6"/>
    <w:locked/>
    <w:rsid w:val="006F7BE6"/>
    <w:rPr>
      <w:sz w:val="24"/>
      <w:lang w:val="fr-FR"/>
    </w:rPr>
  </w:style>
  <w:style w:type="paragraph" w:customStyle="1" w:styleId="Normal6">
    <w:name w:val="Normal6"/>
    <w:basedOn w:val="Normal"/>
    <w:link w:val="Normal6Char"/>
    <w:rsid w:val="006F7BE6"/>
    <w:pPr>
      <w:spacing w:after="120"/>
    </w:pPr>
    <w:rPr>
      <w:lang w:val="fr-FR"/>
    </w:rPr>
  </w:style>
  <w:style w:type="character" w:customStyle="1" w:styleId="NormalBoldChar">
    <w:name w:val="NormalBold Char"/>
    <w:link w:val="NormalBold"/>
    <w:locked/>
    <w:rsid w:val="006F7BE6"/>
    <w:rPr>
      <w:b/>
      <w:snapToGrid w:val="0"/>
      <w:sz w:val="24"/>
      <w:lang w:eastAsia="en-US"/>
    </w:rPr>
  </w:style>
  <w:style w:type="paragraph" w:customStyle="1" w:styleId="ColumnHeading">
    <w:name w:val="ColumnHeading"/>
    <w:basedOn w:val="Normal"/>
    <w:rsid w:val="006F7BE6"/>
    <w:pPr>
      <w:spacing w:after="240"/>
      <w:jc w:val="center"/>
    </w:pPr>
    <w:rPr>
      <w:i/>
      <w:lang w:val="fr-FR"/>
    </w:rPr>
  </w:style>
  <w:style w:type="paragraph" w:customStyle="1" w:styleId="RollCallSymbols14pt">
    <w:name w:val="RollCallSymbols14pt"/>
    <w:basedOn w:val="Normal"/>
    <w:rsid w:val="006F7BE6"/>
    <w:pPr>
      <w:spacing w:before="120" w:after="120"/>
      <w:jc w:val="center"/>
    </w:pPr>
    <w:rPr>
      <w:rFonts w:ascii="Arial" w:hAnsi="Arial"/>
      <w:b/>
      <w:bCs/>
      <w:snapToGrid w:val="0"/>
      <w:sz w:val="28"/>
      <w:lang w:eastAsia="en-US"/>
    </w:rPr>
  </w:style>
  <w:style w:type="paragraph" w:customStyle="1" w:styleId="RollCallTabs">
    <w:name w:val="RollCallTabs"/>
    <w:basedOn w:val="Normal"/>
    <w:qFormat/>
    <w:rsid w:val="006F7BE6"/>
    <w:pPr>
      <w:tabs>
        <w:tab w:val="center" w:pos="284"/>
        <w:tab w:val="left" w:pos="426"/>
      </w:tabs>
    </w:pPr>
    <w:rPr>
      <w:snapToGrid w:val="0"/>
      <w:lang w:eastAsia="en-US"/>
    </w:rPr>
  </w:style>
  <w:style w:type="paragraph" w:customStyle="1" w:styleId="RollCallVotes">
    <w:name w:val="RollCallVotes"/>
    <w:basedOn w:val="Normal"/>
    <w:rsid w:val="006F7BE6"/>
    <w:pPr>
      <w:spacing w:before="120" w:after="120"/>
      <w:jc w:val="center"/>
    </w:pPr>
    <w:rPr>
      <w:b/>
      <w:bCs/>
      <w:snapToGrid w:val="0"/>
      <w:sz w:val="16"/>
      <w:lang w:eastAsia="en-US"/>
    </w:rPr>
  </w:style>
  <w:style w:type="paragraph" w:customStyle="1" w:styleId="RollCallTable">
    <w:name w:val="RollCallTable"/>
    <w:basedOn w:val="Normal"/>
    <w:rsid w:val="006F7BE6"/>
    <w:pPr>
      <w:spacing w:before="120" w:after="120"/>
    </w:pPr>
    <w:rPr>
      <w:snapToGrid w:val="0"/>
      <w:sz w:val="16"/>
      <w:lang w:eastAsia="en-US"/>
    </w:rPr>
  </w:style>
  <w:style w:type="paragraph" w:styleId="Footer">
    <w:name w:val="footer"/>
    <w:basedOn w:val="Normal"/>
    <w:link w:val="FooterChar"/>
    <w:unhideWhenUsed/>
    <w:rsid w:val="006F7BE6"/>
    <w:pPr>
      <w:tabs>
        <w:tab w:val="center" w:pos="4513"/>
        <w:tab w:val="right" w:pos="9026"/>
      </w:tabs>
    </w:pPr>
    <w:rPr>
      <w:snapToGrid w:val="0"/>
      <w:lang w:eastAsia="en-US"/>
    </w:rPr>
  </w:style>
  <w:style w:type="character" w:customStyle="1" w:styleId="FooterChar">
    <w:name w:val="Footer Char"/>
    <w:basedOn w:val="DefaultParagraphFont"/>
    <w:link w:val="Footer"/>
    <w:rsid w:val="006F7BE6"/>
    <w:rPr>
      <w:snapToGrid w:val="0"/>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2" Type="http://schemas.openxmlformats.org/officeDocument/2006/relationships/hyperlink" Target="https://www.eea.europa.eu/en/analysis/indicators/industrial-pollutant-releases-to-water" TargetMode="External"/><Relationship Id="rId1" Type="http://schemas.openxmlformats.org/officeDocument/2006/relationships/hyperlink" Target="http://data.europa.eu/eli/reg/2021/1119/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D0D390-C171-4BDB-9E4C-C87E9FA195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35</Pages>
  <Words>15249</Words>
  <Characters>89325</Characters>
  <Application>Microsoft Office Word</Application>
  <DocSecurity>0</DocSecurity>
  <Lines>744</Lines>
  <Paragraphs>208</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104366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VENNARD Ronan</cp:lastModifiedBy>
  <cp:revision>2</cp:revision>
  <cp:lastPrinted>2004-11-19T15:42:00Z</cp:lastPrinted>
  <dcterms:created xsi:type="dcterms:W3CDTF">2025-06-06T08:01:00Z</dcterms:created>
  <dcterms:modified xsi:type="dcterms:W3CDTF">2025-06-06T08:01:00Z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P10_TA(2025)0091_</vt:lpwstr>
  </property>
  <property fmtid="{D5CDD505-2E9C-101B-9397-08002B2CF9AE}" pid="4" name="&lt;Type&gt;">
    <vt:lpwstr>RR</vt:lpwstr>
  </property>
</Properties>
</file>