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4507" w14:paraId="40AB50B9" w14:textId="77777777" w:rsidTr="0010095E">
        <w:trPr>
          <w:trHeight w:hRule="exact" w:val="1418"/>
        </w:trPr>
        <w:tc>
          <w:tcPr>
            <w:tcW w:w="6804" w:type="dxa"/>
            <w:shd w:val="clear" w:color="auto" w:fill="auto"/>
            <w:vAlign w:val="center"/>
          </w:tcPr>
          <w:p w14:paraId="0C759D74" w14:textId="77777777" w:rsidR="00751A4A" w:rsidRPr="00644507" w:rsidRDefault="009444ED" w:rsidP="0010095E">
            <w:pPr>
              <w:pStyle w:val="EPName"/>
            </w:pPr>
            <w:r w:rsidRPr="00644507">
              <w:t>Parlamento Europeo</w:t>
            </w:r>
          </w:p>
          <w:p w14:paraId="17261AA6" w14:textId="77777777" w:rsidR="00751A4A" w:rsidRPr="00644507" w:rsidRDefault="005F1B17" w:rsidP="005F1B17">
            <w:pPr>
              <w:pStyle w:val="EPTerm"/>
              <w:rPr>
                <w:rStyle w:val="HideTWBExt"/>
                <w:noProof w:val="0"/>
                <w:vanish w:val="0"/>
                <w:color w:val="auto"/>
              </w:rPr>
            </w:pPr>
            <w:r w:rsidRPr="00644507">
              <w:t>2024</w:t>
            </w:r>
            <w:r w:rsidR="00817416" w:rsidRPr="00644507">
              <w:t>-202</w:t>
            </w:r>
            <w:r w:rsidRPr="00644507">
              <w:t>9</w:t>
            </w:r>
          </w:p>
        </w:tc>
        <w:tc>
          <w:tcPr>
            <w:tcW w:w="2268" w:type="dxa"/>
            <w:shd w:val="clear" w:color="auto" w:fill="auto"/>
          </w:tcPr>
          <w:p w14:paraId="2BD90BED" w14:textId="77777777" w:rsidR="00751A4A" w:rsidRPr="00644507" w:rsidRDefault="00187494" w:rsidP="0010095E">
            <w:pPr>
              <w:pStyle w:val="EPLogo"/>
            </w:pPr>
            <w:r w:rsidRPr="00644507">
              <w:rPr>
                <w:noProof/>
                <w:lang w:val="en-GB"/>
              </w:rPr>
              <w:drawing>
                <wp:inline distT="0" distB="0" distL="0" distR="0" wp14:anchorId="25449AD1" wp14:editId="53F3FE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44A9F1" w14:textId="77777777" w:rsidR="00D058B8" w:rsidRPr="00644507" w:rsidRDefault="00D058B8" w:rsidP="004C5D52">
      <w:pPr>
        <w:pStyle w:val="LineTop"/>
      </w:pPr>
    </w:p>
    <w:p w14:paraId="70384921" w14:textId="77777777" w:rsidR="00680577" w:rsidRPr="00644507" w:rsidRDefault="009444ED" w:rsidP="00680577">
      <w:pPr>
        <w:pStyle w:val="EPBodyTA1"/>
      </w:pPr>
      <w:r w:rsidRPr="00644507">
        <w:t>TEXTOS APROBADOS</w:t>
      </w:r>
    </w:p>
    <w:p w14:paraId="3A5A7B3D" w14:textId="77777777" w:rsidR="00D058B8" w:rsidRPr="00644507" w:rsidRDefault="00D058B8" w:rsidP="00D058B8">
      <w:pPr>
        <w:pStyle w:val="LineBottom"/>
      </w:pPr>
    </w:p>
    <w:p w14:paraId="3C369D91" w14:textId="77777777" w:rsidR="009444ED" w:rsidRPr="00644507" w:rsidRDefault="009444ED" w:rsidP="009444ED">
      <w:pPr>
        <w:pStyle w:val="ATHeading1"/>
      </w:pPr>
      <w:bookmarkStart w:id="0" w:name="TANumber"/>
      <w:r w:rsidRPr="00644507">
        <w:t>P10_</w:t>
      </w:r>
      <w:proofErr w:type="gramStart"/>
      <w:r w:rsidRPr="00644507">
        <w:t>TA(</w:t>
      </w:r>
      <w:proofErr w:type="gramEnd"/>
      <w:r w:rsidRPr="00644507">
        <w:t>2025)00</w:t>
      </w:r>
      <w:r w:rsidR="00120E5C" w:rsidRPr="00644507">
        <w:t>91</w:t>
      </w:r>
      <w:bookmarkEnd w:id="0"/>
    </w:p>
    <w:p w14:paraId="16478551" w14:textId="77777777" w:rsidR="009444ED" w:rsidRPr="00644507" w:rsidRDefault="009444ED" w:rsidP="009444ED">
      <w:pPr>
        <w:pStyle w:val="ATHeading2"/>
      </w:pPr>
      <w:bookmarkStart w:id="1" w:name="title"/>
      <w:r w:rsidRPr="00644507">
        <w:t>Estrategia europea de resiliencia hídrica</w:t>
      </w:r>
      <w:bookmarkEnd w:id="1"/>
    </w:p>
    <w:p w14:paraId="50D22C66" w14:textId="77777777" w:rsidR="009444ED" w:rsidRPr="00644507" w:rsidRDefault="009444ED" w:rsidP="009444ED">
      <w:pPr>
        <w:rPr>
          <w:i/>
          <w:vanish/>
        </w:rPr>
      </w:pPr>
      <w:r w:rsidRPr="00644507">
        <w:rPr>
          <w:i/>
        </w:rPr>
        <w:fldChar w:fldCharType="begin"/>
      </w:r>
      <w:r w:rsidRPr="00644507">
        <w:rPr>
          <w:i/>
        </w:rPr>
        <w:instrText xml:space="preserve"> TC"(</w:instrText>
      </w:r>
      <w:bookmarkStart w:id="2" w:name="DocNumber"/>
      <w:r w:rsidRPr="00644507">
        <w:rPr>
          <w:i/>
        </w:rPr>
        <w:instrText>A10-0073/2025</w:instrText>
      </w:r>
      <w:bookmarkEnd w:id="2"/>
      <w:r w:rsidRPr="00644507">
        <w:rPr>
          <w:i/>
        </w:rPr>
        <w:instrText xml:space="preserve"> - Ponente: Thomas Bajada)"\l3 \n&gt; \* MERGEFORMAT </w:instrText>
      </w:r>
      <w:r w:rsidRPr="00644507">
        <w:rPr>
          <w:i/>
        </w:rPr>
        <w:fldChar w:fldCharType="end"/>
      </w:r>
    </w:p>
    <w:p w14:paraId="29FE12D5" w14:textId="77777777" w:rsidR="009444ED" w:rsidRPr="00644507" w:rsidRDefault="009444ED" w:rsidP="009444ED">
      <w:pPr>
        <w:rPr>
          <w:vanish/>
        </w:rPr>
      </w:pPr>
      <w:bookmarkStart w:id="3" w:name="Commission"/>
      <w:r w:rsidRPr="00644507">
        <w:rPr>
          <w:vanish/>
        </w:rPr>
        <w:t>Comisión de Medio Ambiente, Clima y Seguridad Alimentaria</w:t>
      </w:r>
      <w:bookmarkEnd w:id="3"/>
    </w:p>
    <w:p w14:paraId="13253DB0" w14:textId="77777777" w:rsidR="009444ED" w:rsidRPr="00644507" w:rsidRDefault="009444ED" w:rsidP="009444ED">
      <w:pPr>
        <w:rPr>
          <w:vanish/>
        </w:rPr>
      </w:pPr>
      <w:bookmarkStart w:id="4" w:name="PE"/>
      <w:r w:rsidRPr="00644507">
        <w:rPr>
          <w:vanish/>
        </w:rPr>
        <w:t>PE766.919</w:t>
      </w:r>
      <w:bookmarkEnd w:id="4"/>
    </w:p>
    <w:p w14:paraId="16BC4748" w14:textId="435081E3" w:rsidR="009444ED" w:rsidRPr="00644507" w:rsidRDefault="009444ED" w:rsidP="009444ED">
      <w:pPr>
        <w:pStyle w:val="ATHeading3"/>
      </w:pPr>
      <w:bookmarkStart w:id="5" w:name="Sujet"/>
      <w:r w:rsidRPr="00644507">
        <w:t xml:space="preserve">Resolución del Parlamento Europeo, de </w:t>
      </w:r>
      <w:r w:rsidR="00120E5C" w:rsidRPr="00644507">
        <w:t>7</w:t>
      </w:r>
      <w:r w:rsidRPr="00644507">
        <w:t xml:space="preserve"> de mayo de 2025, sobre la estrategia europea de resiliencia hídrica</w:t>
      </w:r>
      <w:bookmarkEnd w:id="5"/>
      <w:r w:rsidRPr="00644507">
        <w:t xml:space="preserve"> </w:t>
      </w:r>
      <w:bookmarkStart w:id="6" w:name="References"/>
      <w:r w:rsidRPr="00644507">
        <w:t>(2024/2104(INI))</w:t>
      </w:r>
      <w:bookmarkEnd w:id="6"/>
      <w:r w:rsidR="00112454" w:rsidRPr="00644507">
        <w:rPr>
          <w:rStyle w:val="FootnoteReference"/>
        </w:rPr>
        <w:footnoteReference w:customMarkFollows="1" w:id="1"/>
        <w:t>*</w:t>
      </w:r>
    </w:p>
    <w:p w14:paraId="50074D6D" w14:textId="77777777" w:rsidR="003D4C50" w:rsidRPr="00644507" w:rsidRDefault="003D4C50" w:rsidP="003D4C50">
      <w:pPr>
        <w:pStyle w:val="EPComma"/>
      </w:pPr>
      <w:r w:rsidRPr="00644507">
        <w:rPr>
          <w:rStyle w:val="Italic"/>
        </w:rPr>
        <w:t>El Parlamento Europeo</w:t>
      </w:r>
      <w:r w:rsidRPr="00644507">
        <w:t>,</w:t>
      </w:r>
    </w:p>
    <w:p w14:paraId="4332383F" w14:textId="77777777" w:rsidR="003D4C50" w:rsidRPr="00644507" w:rsidRDefault="003D4C50" w:rsidP="003D4C50">
      <w:pPr>
        <w:pStyle w:val="NormalHanging12a"/>
      </w:pPr>
      <w:r w:rsidRPr="00644507">
        <w:t>–</w:t>
      </w:r>
      <w:r w:rsidRPr="00644507">
        <w:tab/>
        <w:t>Visto el Tratado de Funcionamiento de la Unión Europea (TFUE), y en particular su artículo 191,</w:t>
      </w:r>
    </w:p>
    <w:p w14:paraId="78A4A712" w14:textId="77777777" w:rsidR="003D4C50" w:rsidRPr="00644507" w:rsidRDefault="003D4C50" w:rsidP="003D4C50">
      <w:pPr>
        <w:pStyle w:val="NormalHanging12a"/>
      </w:pPr>
      <w:r w:rsidRPr="00644507">
        <w:t>–</w:t>
      </w:r>
      <w:r w:rsidRPr="00644507">
        <w:tab/>
        <w:t>Visto el Acuerdo adoptado, el 12 de diciembre de 2015, en la 21.ª Conferencia de las Partes en la CMNUCC (CP 21) en París (en lo sucesivo, «Acuerdo de París»),</w:t>
      </w:r>
    </w:p>
    <w:p w14:paraId="5FAA43BD" w14:textId="77777777" w:rsidR="003D4C50" w:rsidRPr="00644507" w:rsidRDefault="003D4C50" w:rsidP="003D4C50">
      <w:pPr>
        <w:pStyle w:val="NormalHanging12a"/>
        <w:rPr>
          <w:szCs w:val="24"/>
        </w:rPr>
      </w:pPr>
      <w:r w:rsidRPr="00644507">
        <w:t>–</w:t>
      </w:r>
      <w:r w:rsidRPr="00644507">
        <w:tab/>
        <w:t>Vistos la Agenda 2030 para el Desarrollo Sostenible de las Naciones Unidas y los Objetivos de Desarrollo Sostenible (ODS), especialmente el ODS n.º 6 sobre agua limpia y saneamiento,</w:t>
      </w:r>
    </w:p>
    <w:p w14:paraId="21F5A093" w14:textId="77777777" w:rsidR="003D4C50" w:rsidRPr="00644507" w:rsidRDefault="003D4C50" w:rsidP="003D4C50">
      <w:pPr>
        <w:pStyle w:val="NormalHanging12a"/>
        <w:rPr>
          <w:szCs w:val="24"/>
        </w:rPr>
      </w:pPr>
      <w:r w:rsidRPr="00644507">
        <w:t>–</w:t>
      </w:r>
      <w:r w:rsidRPr="00644507">
        <w:tab/>
        <w:t>Visto el Marco Mundial de la Diversidad Biológica de Kunming-Montreal, adoptado en diciembre de 2022,</w:t>
      </w:r>
    </w:p>
    <w:p w14:paraId="671DE4FE" w14:textId="77777777" w:rsidR="003D4C50" w:rsidRPr="00644507" w:rsidRDefault="003D4C50" w:rsidP="003D4C50">
      <w:pPr>
        <w:pStyle w:val="NormalHanging12a"/>
        <w:rPr>
          <w:szCs w:val="24"/>
        </w:rPr>
      </w:pPr>
      <w:r w:rsidRPr="00644507">
        <w:t>–</w:t>
      </w:r>
      <w:r w:rsidRPr="00644507">
        <w:tab/>
        <w:t>Visto el Convenio de Estocolmo sobre los contaminantes orgánicos persistentes de 22 de mayo de 20</w:t>
      </w:r>
      <w:r w:rsidR="0065057F" w:rsidRPr="00644507">
        <w:t>0</w:t>
      </w:r>
      <w:r w:rsidRPr="00644507">
        <w:t>1,</w:t>
      </w:r>
    </w:p>
    <w:p w14:paraId="00E6C9F5" w14:textId="77777777" w:rsidR="003D4C50" w:rsidRPr="00644507" w:rsidRDefault="003D4C50" w:rsidP="003D4C50">
      <w:pPr>
        <w:pStyle w:val="NormalHanging12a"/>
        <w:rPr>
          <w:szCs w:val="24"/>
        </w:rPr>
      </w:pPr>
      <w:r w:rsidRPr="00644507">
        <w:t>–</w:t>
      </w:r>
      <w:r w:rsidRPr="00644507">
        <w:tab/>
        <w:t>Vistos los principios de cautela y de acción preventiva, el principio de corrección de los atentados al medio ambiente, preferentemente en la fuente misma, y el principio de quien contamina paga, consagrados en el artículo 191, apartado 2, del TFUE,</w:t>
      </w:r>
    </w:p>
    <w:p w14:paraId="30DE5BC6" w14:textId="77777777" w:rsidR="003D4C50" w:rsidRPr="00644507" w:rsidRDefault="003D4C50" w:rsidP="003D4C50">
      <w:pPr>
        <w:pStyle w:val="NormalHanging12a"/>
      </w:pPr>
      <w:r w:rsidRPr="00644507">
        <w:t>–</w:t>
      </w:r>
      <w:r w:rsidRPr="00644507">
        <w:tab/>
        <w:t>Visto el Reglamento (UE) 2021/1119 del Parlamento Europeo y del Consejo, de 30 de junio de 2021, por el que se establece el marco para lograr la neutralidad climática y se modifican los Reglamentos (CE) n.º 401/2009 y (UE) 2018/1999</w:t>
      </w:r>
      <w:r w:rsidRPr="00644507">
        <w:rPr>
          <w:rStyle w:val="FootnoteReference"/>
        </w:rPr>
        <w:footnoteReference w:id="2"/>
      </w:r>
      <w:r w:rsidRPr="00644507">
        <w:t>,</w:t>
      </w:r>
    </w:p>
    <w:p w14:paraId="5D73955E" w14:textId="77777777" w:rsidR="003D4C50" w:rsidRPr="00644507" w:rsidRDefault="003D4C50" w:rsidP="003D4C50">
      <w:pPr>
        <w:pStyle w:val="NormalHanging12a"/>
      </w:pPr>
      <w:r w:rsidRPr="00644507">
        <w:lastRenderedPageBreak/>
        <w:t>–</w:t>
      </w:r>
      <w:r w:rsidRPr="00644507">
        <w:tab/>
        <w:t>Vista la Directiva 2000/60/CE del Parlamento Europeo y del Consejo, de 23 de octubre de 2000, por la que se establece un marco comunitario de actuación en el ámbito de la política de aguas</w:t>
      </w:r>
      <w:r w:rsidRPr="00644507">
        <w:rPr>
          <w:rStyle w:val="FootnoteReference"/>
        </w:rPr>
        <w:footnoteReference w:id="3"/>
      </w:r>
      <w:r w:rsidRPr="00644507">
        <w:t xml:space="preserve"> (Directiva marco sobre el agua),</w:t>
      </w:r>
    </w:p>
    <w:p w14:paraId="363625B5" w14:textId="77777777" w:rsidR="003D4C50" w:rsidRPr="00644507" w:rsidRDefault="003D4C50" w:rsidP="003D4C50">
      <w:pPr>
        <w:pStyle w:val="NormalHanging12a"/>
      </w:pPr>
      <w:r w:rsidRPr="00644507">
        <w:t>–</w:t>
      </w:r>
      <w:r w:rsidRPr="00644507">
        <w:tab/>
        <w:t>Vista la Directiva 2006/118/CE del Parlamento Europeo y del Consejo, de 12 de diciembre de 2006, relativa a la protección de las aguas subterráneas contra la contaminación y el deterioro</w:t>
      </w:r>
      <w:r w:rsidRPr="00644507">
        <w:rPr>
          <w:rStyle w:val="FootnoteReference"/>
        </w:rPr>
        <w:footnoteReference w:id="4"/>
      </w:r>
      <w:r w:rsidRPr="00644507">
        <w:t xml:space="preserve"> (Directiva sobre aguas subterráneas),</w:t>
      </w:r>
    </w:p>
    <w:p w14:paraId="565157C9" w14:textId="77777777" w:rsidR="003D4C50" w:rsidRPr="00644507" w:rsidRDefault="003D4C50" w:rsidP="003D4C50">
      <w:pPr>
        <w:pStyle w:val="NormalHanging12a"/>
      </w:pPr>
      <w:r w:rsidRPr="00644507">
        <w:t>–</w:t>
      </w:r>
      <w:r w:rsidRPr="00644507">
        <w:tab/>
        <w:t>Vista la Directiva 2008/105/CE del Parlamento Europeo y del Consejo, de 16 de diciembre de 2008, relativa a las normas de calidad ambiental en el ámbito de la política de aguas, por la que se modifican y derogan ulteriormente las Directivas 82/176/CEE, 83/513/CEE, 84/156/CEE, 84/491/CEE y 86/280/CEE del Consejo, y por la que se modifica la Directiva 2000/60/CE</w:t>
      </w:r>
      <w:r w:rsidRPr="00644507">
        <w:rPr>
          <w:rStyle w:val="FootnoteReference"/>
        </w:rPr>
        <w:footnoteReference w:id="5"/>
      </w:r>
      <w:r w:rsidRPr="00644507">
        <w:t xml:space="preserve"> (Directiva sobre las normas de calidad ambiental),</w:t>
      </w:r>
    </w:p>
    <w:p w14:paraId="09A19B5B" w14:textId="77777777" w:rsidR="003D4C50" w:rsidRPr="00644507" w:rsidRDefault="003D4C50" w:rsidP="003D4C50">
      <w:pPr>
        <w:pStyle w:val="NormalHanging12a"/>
      </w:pPr>
      <w:r w:rsidRPr="00644507">
        <w:t>–</w:t>
      </w:r>
      <w:r w:rsidRPr="00644507">
        <w:tab/>
        <w:t>Vista la Directiva 2007/60/CE del Parlamento Europeo y del Consejo, de 23 de octubre de 2007, relativa a la evaluación y gestión de los riesgos de inundación</w:t>
      </w:r>
      <w:r w:rsidRPr="00644507">
        <w:rPr>
          <w:rStyle w:val="FootnoteReference"/>
        </w:rPr>
        <w:footnoteReference w:id="6"/>
      </w:r>
      <w:r w:rsidRPr="00644507">
        <w:t>,</w:t>
      </w:r>
    </w:p>
    <w:p w14:paraId="17D1A3AA" w14:textId="77777777" w:rsidR="003D4C50" w:rsidRPr="00644507" w:rsidRDefault="003D4C50" w:rsidP="003D4C50">
      <w:pPr>
        <w:pStyle w:val="NormalHanging12a"/>
      </w:pPr>
      <w:r w:rsidRPr="00644507">
        <w:t>–</w:t>
      </w:r>
      <w:r w:rsidRPr="00644507">
        <w:tab/>
        <w:t>Vista la Directiva (UE) 2020/2184</w:t>
      </w:r>
      <w:bookmarkStart w:id="7" w:name="_GoBack"/>
      <w:bookmarkEnd w:id="7"/>
      <w:r w:rsidRPr="00644507">
        <w:t xml:space="preserve"> del Parlamento Europeo y del Consejo, de 16 de diciembre de 2020, relativa a la calidad de las aguas destinadas al consumo humano</w:t>
      </w:r>
      <w:r w:rsidRPr="00644507">
        <w:rPr>
          <w:rStyle w:val="FootnoteReference"/>
        </w:rPr>
        <w:footnoteReference w:id="7"/>
      </w:r>
      <w:r w:rsidRPr="00644507">
        <w:t>,</w:t>
      </w:r>
    </w:p>
    <w:p w14:paraId="60806DAC" w14:textId="77777777" w:rsidR="003D4C50" w:rsidRPr="00644507" w:rsidRDefault="003D4C50" w:rsidP="003D4C50">
      <w:pPr>
        <w:pStyle w:val="NormalHanging12a"/>
      </w:pPr>
      <w:r w:rsidRPr="00644507">
        <w:t>–</w:t>
      </w:r>
      <w:r w:rsidRPr="00644507">
        <w:tab/>
        <w:t>Visto el Reglamento (UE) 2020/741 del Parlamento Europeo y del Consejo, de 25 de mayo de 2020, relativo a los requisitos mínimos para la reutilización del agua</w:t>
      </w:r>
      <w:r w:rsidRPr="00644507">
        <w:rPr>
          <w:rStyle w:val="FootnoteReference"/>
        </w:rPr>
        <w:footnoteReference w:id="8"/>
      </w:r>
      <w:r w:rsidRPr="00644507">
        <w:t xml:space="preserve"> (Reglamento sobre la reutilización del agua),</w:t>
      </w:r>
    </w:p>
    <w:p w14:paraId="39FC532D" w14:textId="77777777" w:rsidR="003D4C50" w:rsidRPr="00644507" w:rsidRDefault="003D4C50" w:rsidP="003D4C50">
      <w:pPr>
        <w:pStyle w:val="NormalHanging12a"/>
      </w:pPr>
      <w:r w:rsidRPr="00644507">
        <w:t>–</w:t>
      </w:r>
      <w:r w:rsidRPr="00644507">
        <w:tab/>
        <w:t>Vista la Directiva 2008/56/CE del Parlamento Europeo y del Consejo, de 17 de junio de 2008, por la que se establece un marco de acción comunitaria para la política del medio marino (Directiva marco sobre la estrategia marina)</w:t>
      </w:r>
      <w:r w:rsidRPr="00644507">
        <w:rPr>
          <w:rStyle w:val="FootnoteReference"/>
        </w:rPr>
        <w:footnoteReference w:id="9"/>
      </w:r>
      <w:r w:rsidRPr="00644507">
        <w:t>,</w:t>
      </w:r>
    </w:p>
    <w:p w14:paraId="200FAA36" w14:textId="77777777" w:rsidR="003D4C50" w:rsidRPr="00644507" w:rsidRDefault="003D4C50" w:rsidP="003D4C50">
      <w:pPr>
        <w:pStyle w:val="NormalHanging12a"/>
      </w:pPr>
      <w:r w:rsidRPr="00644507">
        <w:t>–</w:t>
      </w:r>
      <w:r w:rsidRPr="00644507">
        <w:tab/>
        <w:t>Vista la Directiva (UE) 2024/3019 del Parlamento Europeo y del Consejo, de 27 de noviembre de 2024, sobre el tratamiento de las aguas residuales urbanas</w:t>
      </w:r>
      <w:r w:rsidRPr="00644507">
        <w:rPr>
          <w:rStyle w:val="FootnoteReference"/>
        </w:rPr>
        <w:footnoteReference w:id="10"/>
      </w:r>
      <w:r w:rsidRPr="00644507">
        <w:t>,</w:t>
      </w:r>
    </w:p>
    <w:p w14:paraId="14018A53" w14:textId="77777777" w:rsidR="003D4C50" w:rsidRPr="00644507" w:rsidRDefault="003D4C50" w:rsidP="003D4C50">
      <w:pPr>
        <w:pStyle w:val="NormalHanging12a"/>
      </w:pPr>
      <w:r w:rsidRPr="00644507">
        <w:t>–</w:t>
      </w:r>
      <w:r w:rsidRPr="00644507">
        <w:tab/>
        <w:t>Vista la Directiva (UE) 2024/1785 del Parlamento Europeo y del Consejo, de 24 de abril de 2024, por la que se modifican la Directiva 2010/75/UE del Parlamento Europeo y del Consejo sobre las emisiones industriales (prevención y control integrados de la contaminación) y la Directiva 1999/31/CE del Consejo relativa al vertido de residuos</w:t>
      </w:r>
      <w:r w:rsidRPr="00644507">
        <w:rPr>
          <w:rStyle w:val="FootnoteReference"/>
        </w:rPr>
        <w:footnoteReference w:id="11"/>
      </w:r>
      <w:r w:rsidRPr="00644507">
        <w:t>,</w:t>
      </w:r>
    </w:p>
    <w:p w14:paraId="1A24482E" w14:textId="77777777" w:rsidR="003D4C50" w:rsidRPr="00644507" w:rsidRDefault="003D4C50" w:rsidP="003D4C50">
      <w:pPr>
        <w:pStyle w:val="NormalHanging12a"/>
      </w:pPr>
      <w:r w:rsidRPr="00644507">
        <w:t>–</w:t>
      </w:r>
      <w:r w:rsidRPr="00644507">
        <w:tab/>
        <w:t>Vista la Directiva 91/676/CEE del Consejo, de 12 de diciembre de 1991, relativa a la protección de las aguas contra la contaminación producida por nitratos utilizados en la agricultura</w:t>
      </w:r>
      <w:r w:rsidRPr="00644507">
        <w:rPr>
          <w:rStyle w:val="FootnoteReference"/>
        </w:rPr>
        <w:footnoteReference w:id="12"/>
      </w:r>
      <w:r w:rsidRPr="00644507">
        <w:t>,</w:t>
      </w:r>
    </w:p>
    <w:p w14:paraId="7CF1BEC2" w14:textId="5289F8B1" w:rsidR="003D4C50" w:rsidRPr="00644507" w:rsidRDefault="00726191" w:rsidP="003D4C50">
      <w:pPr>
        <w:pStyle w:val="NormalHanging12a"/>
      </w:pPr>
      <w:r w:rsidRPr="00644507">
        <w:lastRenderedPageBreak/>
        <w:t>–</w:t>
      </w:r>
      <w:r w:rsidRPr="00644507">
        <w:tab/>
        <w:t>Visto el Reglamento (UE)</w:t>
      </w:r>
      <w:r w:rsidR="003D4C50" w:rsidRPr="00644507">
        <w:t> 2024/1991 del Parlamento Europeo y del Consejo, de 24 de junio de 2024, relativo a la restauración de la naturaleza y por el que se modifica el Reglamento (UE) 2022/869</w:t>
      </w:r>
      <w:r w:rsidR="003D4C50" w:rsidRPr="00644507">
        <w:rPr>
          <w:rStyle w:val="FootnoteReference"/>
        </w:rPr>
        <w:footnoteReference w:id="13"/>
      </w:r>
      <w:r w:rsidR="003D4C50" w:rsidRPr="00644507">
        <w:t>,</w:t>
      </w:r>
    </w:p>
    <w:p w14:paraId="61302591" w14:textId="77777777" w:rsidR="003D4C50" w:rsidRPr="00644507" w:rsidRDefault="003D4C50" w:rsidP="003D4C50">
      <w:pPr>
        <w:pStyle w:val="NormalHanging12a"/>
        <w:rPr>
          <w:szCs w:val="24"/>
        </w:rPr>
      </w:pPr>
      <w:r w:rsidRPr="00644507">
        <w:t>–</w:t>
      </w:r>
      <w:r w:rsidRPr="00644507">
        <w:tab/>
        <w:t>Vista la Directiva (UE) 2022/2557 del Parlamento Europeo y del Consejo, de 14 de diciembre de 2022, relativa a la resiliencia de las entidades críticas y por la que se deroga la Directiva 2008/114/CE del Consejo</w:t>
      </w:r>
      <w:r w:rsidRPr="00644507">
        <w:rPr>
          <w:rStyle w:val="FootnoteReference"/>
        </w:rPr>
        <w:footnoteReference w:id="14"/>
      </w:r>
      <w:r w:rsidRPr="00644507">
        <w:t>,</w:t>
      </w:r>
    </w:p>
    <w:p w14:paraId="0F1E06B8" w14:textId="77777777" w:rsidR="003D4C50" w:rsidRPr="00644507" w:rsidRDefault="003D4C50" w:rsidP="003D4C50">
      <w:pPr>
        <w:pStyle w:val="NormalHanging12a"/>
        <w:rPr>
          <w:szCs w:val="24"/>
        </w:rPr>
      </w:pPr>
      <w:r w:rsidRPr="00644507">
        <w:t>–</w:t>
      </w:r>
      <w:r w:rsidRPr="00644507">
        <w:tab/>
        <w:t>Vista la Directiva (UE) 2022/2555 Directiva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(Directiva SRI 2)</w:t>
      </w:r>
      <w:r w:rsidRPr="00644507">
        <w:rPr>
          <w:rStyle w:val="FootnoteReference"/>
        </w:rPr>
        <w:footnoteReference w:id="15"/>
      </w:r>
      <w:r w:rsidRPr="00644507">
        <w:t>,</w:t>
      </w:r>
    </w:p>
    <w:p w14:paraId="0DF4688F" w14:textId="77777777" w:rsidR="003D4C50" w:rsidRPr="00644507" w:rsidRDefault="003D4C50" w:rsidP="003D4C50">
      <w:pPr>
        <w:pStyle w:val="NormalHanging12a"/>
        <w:rPr>
          <w:szCs w:val="24"/>
        </w:rPr>
      </w:pPr>
      <w:r w:rsidRPr="00644507">
        <w:t>–</w:t>
      </w:r>
      <w:r w:rsidRPr="00644507">
        <w:tab/>
        <w:t>Vista la Directiva 2009/128/CE del Parlamento Europeo y del Consejo, de 21 de octubre de 2009, por la que se establece el marco de la actuación comunitaria para conseguir un uso sostenible de los plaguicidas</w:t>
      </w:r>
      <w:r w:rsidRPr="00644507">
        <w:rPr>
          <w:rStyle w:val="FootnoteReference"/>
        </w:rPr>
        <w:footnoteReference w:id="16"/>
      </w:r>
      <w:r w:rsidRPr="00644507">
        <w:t>,</w:t>
      </w:r>
    </w:p>
    <w:p w14:paraId="745BF3C3" w14:textId="77777777" w:rsidR="003D4C50" w:rsidRPr="00644507" w:rsidRDefault="003D4C50" w:rsidP="003D4C50">
      <w:pPr>
        <w:pStyle w:val="NormalHanging12a"/>
      </w:pPr>
      <w:r w:rsidRPr="00644507">
        <w:t>–</w:t>
      </w:r>
      <w:r w:rsidRPr="00644507">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644507">
        <w:t>Feader</w:t>
      </w:r>
      <w:proofErr w:type="spellEnd"/>
      <w:r w:rsidRPr="00644507">
        <w:t>), y por el que se derogan los Reglamentos (UE) n.º 1305/2013 y (UE) n.º 1307/2013</w:t>
      </w:r>
      <w:r w:rsidRPr="00644507">
        <w:rPr>
          <w:rStyle w:val="FootnoteReference"/>
        </w:rPr>
        <w:footnoteReference w:id="17"/>
      </w:r>
      <w:r w:rsidRPr="00644507">
        <w:t>,</w:t>
      </w:r>
    </w:p>
    <w:p w14:paraId="06A37A6D" w14:textId="77777777" w:rsidR="003D4C50" w:rsidRPr="00644507" w:rsidRDefault="003D4C50" w:rsidP="003D4C50">
      <w:pPr>
        <w:pStyle w:val="NormalHanging12a"/>
      </w:pPr>
      <w:r w:rsidRPr="00644507">
        <w:t>–</w:t>
      </w:r>
      <w:r w:rsidRPr="00644507">
        <w:tab/>
        <w:t>Visto el Reglamento (UE) 2024/3190 de la Comisión, de 19 de diciembre de 2024, sobre el uso de bisfenol A (BPA) y otros bisfenoles y derivados de bisfenoles con clasificación armonizada para propiedades peligrosas específicas en determinados materiales y objetos destinados a entrar en contacto con alimentos, por el que se modifica el Reglamento (UE) n.º 10/2011 y se deroga el Reglamento (UE) 2018/213</w:t>
      </w:r>
      <w:r w:rsidRPr="00644507">
        <w:rPr>
          <w:rStyle w:val="FootnoteReference"/>
        </w:rPr>
        <w:footnoteReference w:id="18"/>
      </w:r>
      <w:r w:rsidRPr="00644507">
        <w:t>,</w:t>
      </w:r>
    </w:p>
    <w:p w14:paraId="489C615E" w14:textId="511F5C08" w:rsidR="003D4C50" w:rsidRPr="00644507" w:rsidRDefault="003D4C50" w:rsidP="003D4C50">
      <w:pPr>
        <w:pStyle w:val="NormalHanging12a"/>
        <w:rPr>
          <w:szCs w:val="24"/>
        </w:rPr>
      </w:pPr>
      <w:r w:rsidRPr="00644507">
        <w:t>–</w:t>
      </w:r>
      <w:r w:rsidRPr="00644507">
        <w:tab/>
        <w:t>Vista la Comunicación de la Comisión, de 19 de febrero de 202</w:t>
      </w:r>
      <w:r w:rsidR="00A15574" w:rsidRPr="00644507">
        <w:t>5</w:t>
      </w:r>
      <w:r w:rsidRPr="00644507">
        <w:t>, titulada «Una visión para la agricultura y la alimentación» (COM(2025)0075),</w:t>
      </w:r>
    </w:p>
    <w:p w14:paraId="32502EB6" w14:textId="77777777" w:rsidR="003D4C50" w:rsidRPr="00644507" w:rsidRDefault="003D4C50" w:rsidP="003D4C50">
      <w:pPr>
        <w:pStyle w:val="NormalHanging12a"/>
      </w:pPr>
      <w:r w:rsidRPr="00644507">
        <w:t>–</w:t>
      </w:r>
      <w:r w:rsidRPr="00644507">
        <w:tab/>
        <w:t>Vista la Comunicación de la Comisión, de 11 de diciembre de 2019, titulada «El Pacto Verde Europeo» (</w:t>
      </w:r>
      <w:proofErr w:type="gramStart"/>
      <w:r w:rsidR="0065057F" w:rsidRPr="00644507">
        <w:t>COM(</w:t>
      </w:r>
      <w:proofErr w:type="gramEnd"/>
      <w:r w:rsidR="0065057F" w:rsidRPr="00644507">
        <w:t>2019)0640</w:t>
      </w:r>
      <w:r w:rsidRPr="00644507">
        <w:t>),</w:t>
      </w:r>
    </w:p>
    <w:p w14:paraId="491CD49B" w14:textId="77777777" w:rsidR="003D4C50" w:rsidRPr="00644507" w:rsidRDefault="003D4C50" w:rsidP="003D4C50">
      <w:pPr>
        <w:pStyle w:val="NormalHanging12a"/>
        <w:rPr>
          <w:szCs w:val="24"/>
        </w:rPr>
      </w:pPr>
      <w:r w:rsidRPr="00644507">
        <w:t>–</w:t>
      </w:r>
      <w:r w:rsidRPr="00644507">
        <w:tab/>
        <w:t>Vista la Comunicación de la Comisión, de 29 de enero de 2025, titulada «Una Brújula para la Competitividad de la UE» (</w:t>
      </w:r>
      <w:proofErr w:type="gramStart"/>
      <w:r w:rsidRPr="00644507">
        <w:t>COM(</w:t>
      </w:r>
      <w:proofErr w:type="gramEnd"/>
      <w:r w:rsidRPr="00644507">
        <w:t>2025)0030),</w:t>
      </w:r>
    </w:p>
    <w:p w14:paraId="72152C00" w14:textId="77777777" w:rsidR="003D4C50" w:rsidRPr="00644507" w:rsidRDefault="003D4C50" w:rsidP="003D4C50">
      <w:pPr>
        <w:pStyle w:val="NormalHanging12a"/>
      </w:pPr>
      <w:r w:rsidRPr="00644507">
        <w:t>–</w:t>
      </w:r>
      <w:r w:rsidRPr="00644507">
        <w:tab/>
        <w:t>Vista la Comunicación de la Comisión, de 12 de mayo de 2021, titulada «La senda hacia un planeta sano para todos – Plan de Acción de la UE: “Contaminación cero para el aire, el agua y el suelo”» (</w:t>
      </w:r>
      <w:proofErr w:type="gramStart"/>
      <w:r w:rsidR="0065057F" w:rsidRPr="00644507">
        <w:t>COM(</w:t>
      </w:r>
      <w:proofErr w:type="gramEnd"/>
      <w:r w:rsidR="0065057F" w:rsidRPr="00644507">
        <w:t>2021)0400</w:t>
      </w:r>
      <w:r w:rsidRPr="00644507">
        <w:t>),</w:t>
      </w:r>
    </w:p>
    <w:p w14:paraId="3145F935" w14:textId="77777777" w:rsidR="003D4C50" w:rsidRPr="00644507" w:rsidRDefault="003D4C50" w:rsidP="003D4C50">
      <w:pPr>
        <w:pStyle w:val="NormalHanging12a"/>
      </w:pPr>
      <w:r w:rsidRPr="00644507">
        <w:t>–</w:t>
      </w:r>
      <w:r w:rsidRPr="00644507">
        <w:tab/>
        <w:t>Vista la Comunicación de la Comisión, de 24 de febrero de 2021, titulada «Forjar una Europa resiliente frente al cambio climático – La nueva estrategia de adaptación al cambio climático de la UE» (</w:t>
      </w:r>
      <w:proofErr w:type="gramStart"/>
      <w:r w:rsidR="0065057F" w:rsidRPr="00644507">
        <w:t>COM(</w:t>
      </w:r>
      <w:proofErr w:type="gramEnd"/>
      <w:r w:rsidR="0065057F" w:rsidRPr="00644507">
        <w:t>2021)0082</w:t>
      </w:r>
      <w:r w:rsidRPr="00644507">
        <w:t>),</w:t>
      </w:r>
    </w:p>
    <w:p w14:paraId="64762DCF" w14:textId="77777777" w:rsidR="003D4C50" w:rsidRPr="00644507" w:rsidRDefault="003D4C50" w:rsidP="003D4C50">
      <w:pPr>
        <w:pStyle w:val="NormalHanging12a"/>
      </w:pPr>
      <w:r w:rsidRPr="00644507">
        <w:t>–</w:t>
      </w:r>
      <w:r w:rsidRPr="00644507">
        <w:tab/>
        <w:t>Vista la Comunicación de la Comisión, de 18 de julio de 2007, titulada «Afrontar el desafío de la escasez de agua y la sequía en la Unión Europea» (</w:t>
      </w:r>
      <w:proofErr w:type="gramStart"/>
      <w:r w:rsidR="0065057F" w:rsidRPr="00644507">
        <w:t>COM(</w:t>
      </w:r>
      <w:proofErr w:type="gramEnd"/>
      <w:r w:rsidR="0065057F" w:rsidRPr="00644507">
        <w:t>2007)0414</w:t>
      </w:r>
      <w:r w:rsidRPr="00644507">
        <w:t>),</w:t>
      </w:r>
    </w:p>
    <w:p w14:paraId="24C849F3" w14:textId="77777777" w:rsidR="003D4C50" w:rsidRPr="00644507" w:rsidRDefault="003D4C50" w:rsidP="003D4C50">
      <w:pPr>
        <w:pStyle w:val="NormalHanging12a"/>
      </w:pPr>
      <w:r w:rsidRPr="00644507">
        <w:t>–</w:t>
      </w:r>
      <w:r w:rsidRPr="00644507">
        <w:tab/>
        <w:t>Vista la Comunicación de la Comisión, de 11 de marzo de 2020, titulada «Nuevo Plan de acción para la economía circular por una Europa más limpia y más competitiva (</w:t>
      </w:r>
      <w:proofErr w:type="gramStart"/>
      <w:r w:rsidR="0065057F" w:rsidRPr="00644507">
        <w:t>COM(</w:t>
      </w:r>
      <w:proofErr w:type="gramEnd"/>
      <w:r w:rsidR="0065057F" w:rsidRPr="00644507">
        <w:t>2020)0098</w:t>
      </w:r>
      <w:r w:rsidRPr="00644507">
        <w:t>),</w:t>
      </w:r>
    </w:p>
    <w:p w14:paraId="32C9AA66" w14:textId="77777777" w:rsidR="003D4C50" w:rsidRPr="00644507" w:rsidRDefault="003D4C50" w:rsidP="003D4C50">
      <w:pPr>
        <w:pStyle w:val="NormalHanging12a"/>
      </w:pPr>
      <w:r w:rsidRPr="00644507">
        <w:t>–</w:t>
      </w:r>
      <w:r w:rsidRPr="00644507">
        <w:tab/>
        <w:t>Vista la Comunicación de la Comisión, de 14 de noviembre de 2012, titulada «Plan para salvaguardar los recursos hídricos de Europa» (</w:t>
      </w:r>
      <w:proofErr w:type="gramStart"/>
      <w:r w:rsidR="0065057F" w:rsidRPr="00644507">
        <w:t>COM(</w:t>
      </w:r>
      <w:proofErr w:type="gramEnd"/>
      <w:r w:rsidR="0065057F" w:rsidRPr="00644507">
        <w:t>2012)0673</w:t>
      </w:r>
      <w:r w:rsidRPr="00644507">
        <w:t>),</w:t>
      </w:r>
    </w:p>
    <w:p w14:paraId="7D9ACA97" w14:textId="77777777" w:rsidR="003D4C50" w:rsidRPr="00644507" w:rsidRDefault="003D4C50" w:rsidP="003D4C50">
      <w:pPr>
        <w:pStyle w:val="NormalHanging12a"/>
      </w:pPr>
      <w:r w:rsidRPr="00644507">
        <w:t>–</w:t>
      </w:r>
      <w:r w:rsidRPr="00644507">
        <w:tab/>
        <w:t>Vista la Estrategia de la UE sobre la biodiversidad de aquí a 2030,</w:t>
      </w:r>
    </w:p>
    <w:p w14:paraId="365B0442" w14:textId="77777777" w:rsidR="003D4C50" w:rsidRPr="00644507" w:rsidRDefault="003D4C50" w:rsidP="003D4C50">
      <w:pPr>
        <w:pStyle w:val="NormalHanging12a"/>
        <w:rPr>
          <w:szCs w:val="24"/>
        </w:rPr>
      </w:pPr>
      <w:r w:rsidRPr="00644507">
        <w:t>–</w:t>
      </w:r>
      <w:r w:rsidRPr="00644507">
        <w:tab/>
        <w:t>Vista la Declaración COP29 sobre el agua para la acción climática, respaldada por la Unión Europea,</w:t>
      </w:r>
    </w:p>
    <w:p w14:paraId="5CBF2620" w14:textId="77777777" w:rsidR="003D4C50" w:rsidRPr="00644507" w:rsidRDefault="003D4C50" w:rsidP="003D4C50">
      <w:pPr>
        <w:pStyle w:val="NormalHanging12a"/>
      </w:pPr>
      <w:r w:rsidRPr="00644507">
        <w:t>–</w:t>
      </w:r>
      <w:r w:rsidRPr="00644507">
        <w:tab/>
        <w:t xml:space="preserve">Visto el pacto europeo de los océanos anunciado por la presidenta de la Comisión, </w:t>
      </w:r>
      <w:proofErr w:type="spellStart"/>
      <w:r w:rsidRPr="00644507">
        <w:t>Ursula</w:t>
      </w:r>
      <w:proofErr w:type="spellEnd"/>
      <w:r w:rsidRPr="00644507">
        <w:t> Von der </w:t>
      </w:r>
      <w:proofErr w:type="spellStart"/>
      <w:r w:rsidRPr="00644507">
        <w:t>Leyen</w:t>
      </w:r>
      <w:proofErr w:type="spellEnd"/>
      <w:r w:rsidRPr="00644507">
        <w:t>, en sus orientaciones políticas para la próxima Comisión Europea (2024</w:t>
      </w:r>
      <w:r w:rsidRPr="00644507">
        <w:noBreakHyphen/>
        <w:t>2029) el 18 de julio de 2024,</w:t>
      </w:r>
    </w:p>
    <w:p w14:paraId="2C2684C6" w14:textId="77777777" w:rsidR="003D4C50" w:rsidRPr="00644507" w:rsidRDefault="003D4C50" w:rsidP="003D4C50">
      <w:pPr>
        <w:pStyle w:val="NormalHanging12a"/>
      </w:pPr>
      <w:r w:rsidRPr="00644507">
        <w:t>–</w:t>
      </w:r>
      <w:r w:rsidRPr="00644507">
        <w:tab/>
        <w:t xml:space="preserve">Vistos el plan europeo de adaptación al cambio climático y la estrategia europea de resiliencia hídrica anunciados por la presidenta de la Comisión, </w:t>
      </w:r>
      <w:proofErr w:type="spellStart"/>
      <w:r w:rsidRPr="00644507">
        <w:t>Ursula</w:t>
      </w:r>
      <w:proofErr w:type="spellEnd"/>
      <w:r w:rsidRPr="00644507">
        <w:t> Von der </w:t>
      </w:r>
      <w:proofErr w:type="spellStart"/>
      <w:r w:rsidRPr="00644507">
        <w:t>Leyen</w:t>
      </w:r>
      <w:proofErr w:type="spellEnd"/>
      <w:r w:rsidRPr="00644507">
        <w:t>, en sus orientaciones políticas para la próxima Comisión Europea (2024-2029) el 18 de julio de 2024,</w:t>
      </w:r>
    </w:p>
    <w:p w14:paraId="5CC07007" w14:textId="77777777" w:rsidR="003D4C50" w:rsidRPr="00644507" w:rsidRDefault="003D4C50" w:rsidP="003D4C50">
      <w:pPr>
        <w:pStyle w:val="NormalHanging12a"/>
      </w:pPr>
      <w:r w:rsidRPr="00644507">
        <w:t>–</w:t>
      </w:r>
      <w:r w:rsidRPr="00644507">
        <w:tab/>
        <w:t>Visto el Octavo Programa de Acción en materia de Medio Ambiente de la Unión,</w:t>
      </w:r>
    </w:p>
    <w:p w14:paraId="5D969D0D" w14:textId="77777777" w:rsidR="003D4C50" w:rsidRPr="00644507" w:rsidRDefault="003D4C50" w:rsidP="003D4C50">
      <w:pPr>
        <w:pStyle w:val="NormalHanging12a"/>
        <w:rPr>
          <w:szCs w:val="24"/>
        </w:rPr>
      </w:pPr>
      <w:r w:rsidRPr="00644507">
        <w:t>–</w:t>
      </w:r>
      <w:r w:rsidRPr="00644507">
        <w:tab/>
        <w:t>Vista su Resolución, de 5 de octubre de 2022, sobre el acceso al agua como derecho humano: dimensión exterior</w:t>
      </w:r>
      <w:r w:rsidRPr="00644507">
        <w:rPr>
          <w:rStyle w:val="FootnoteReference"/>
        </w:rPr>
        <w:footnoteReference w:id="19"/>
      </w:r>
      <w:r w:rsidRPr="00644507">
        <w:t>,</w:t>
      </w:r>
    </w:p>
    <w:p w14:paraId="7613D3C3" w14:textId="4785476A" w:rsidR="003D4C50" w:rsidRPr="00644507" w:rsidRDefault="00E36591" w:rsidP="003D4C50">
      <w:pPr>
        <w:pStyle w:val="NormalHanging12a"/>
        <w:rPr>
          <w:szCs w:val="24"/>
        </w:rPr>
      </w:pPr>
      <w:r w:rsidRPr="00644507">
        <w:t>–</w:t>
      </w:r>
      <w:r w:rsidRPr="00644507">
        <w:tab/>
        <w:t xml:space="preserve">Vista su resolución, de 19 de </w:t>
      </w:r>
      <w:r w:rsidR="003D4C50" w:rsidRPr="00644507">
        <w:t>septiembre de 2024, sobre las devastadoras inundaciones en Europa oriental y central, la pérdida de vidas y la capacidad de la Unión para actuar ante este tipo de catástrofes exacerbadas por el cambio climático</w:t>
      </w:r>
      <w:r w:rsidR="003D4C50" w:rsidRPr="00644507">
        <w:rPr>
          <w:rStyle w:val="FootnoteReference"/>
        </w:rPr>
        <w:footnoteReference w:id="20"/>
      </w:r>
      <w:r w:rsidR="003D4C50" w:rsidRPr="00644507">
        <w:t>,</w:t>
      </w:r>
    </w:p>
    <w:p w14:paraId="71AFCA16" w14:textId="77777777" w:rsidR="003D4C50" w:rsidRPr="00644507" w:rsidRDefault="003D4C50" w:rsidP="003D4C50">
      <w:pPr>
        <w:pStyle w:val="NormalHanging12a"/>
        <w:rPr>
          <w:szCs w:val="24"/>
        </w:rPr>
      </w:pPr>
      <w:r w:rsidRPr="00644507">
        <w:t>–</w:t>
      </w:r>
      <w:r w:rsidRPr="00644507">
        <w:tab/>
        <w:t>Vista su Resolución, de 6 de octubre de 2022, sobre el impulso para los océanos: reforzar la gobernanza de los océanos y la biodiversidad</w:t>
      </w:r>
      <w:r w:rsidRPr="00644507">
        <w:rPr>
          <w:vertAlign w:val="superscript"/>
        </w:rPr>
        <w:footnoteReference w:id="21"/>
      </w:r>
      <w:r w:rsidRPr="00644507">
        <w:t>,</w:t>
      </w:r>
    </w:p>
    <w:p w14:paraId="7FE89DB5" w14:textId="77777777" w:rsidR="003D4C50" w:rsidRPr="00644507" w:rsidRDefault="003D4C50" w:rsidP="003D4C50">
      <w:pPr>
        <w:pStyle w:val="NormalHanging12a"/>
      </w:pPr>
      <w:r w:rsidRPr="00644507">
        <w:t>–</w:t>
      </w:r>
      <w:r w:rsidRPr="00644507">
        <w:tab/>
        <w:t>Vista su Resolución, de 28 de noviembre de 2019, sobre la situación de emergencia climática y medioambiental</w:t>
      </w:r>
      <w:r w:rsidRPr="00644507">
        <w:rPr>
          <w:rStyle w:val="FootnoteReference"/>
        </w:rPr>
        <w:footnoteReference w:id="22"/>
      </w:r>
      <w:r w:rsidRPr="00644507">
        <w:t>,</w:t>
      </w:r>
    </w:p>
    <w:p w14:paraId="19F7225D" w14:textId="77777777" w:rsidR="003D4C50" w:rsidRPr="00644507" w:rsidRDefault="003D4C50" w:rsidP="003D4C50">
      <w:pPr>
        <w:pStyle w:val="NormalHanging12a"/>
      </w:pPr>
      <w:r w:rsidRPr="00644507">
        <w:t>–</w:t>
      </w:r>
      <w:r w:rsidRPr="00644507">
        <w:tab/>
        <w:t>Vista su Resolución, de 14 de noviembre de 2024, sobre la Conferencia de las Naciones Unidas sobre el Cambio Climático de 2024 (CP29) en Bakú (Azerbaiyán)</w:t>
      </w:r>
      <w:r w:rsidRPr="00644507">
        <w:rPr>
          <w:rStyle w:val="FootnoteReference"/>
        </w:rPr>
        <w:footnoteReference w:id="23"/>
      </w:r>
      <w:r w:rsidRPr="00644507">
        <w:t>,</w:t>
      </w:r>
    </w:p>
    <w:p w14:paraId="38EE1C22" w14:textId="77777777" w:rsidR="003D4C50" w:rsidRPr="00644507" w:rsidRDefault="003D4C50" w:rsidP="003D4C50">
      <w:pPr>
        <w:pStyle w:val="NormalHanging12a"/>
        <w:rPr>
          <w:szCs w:val="24"/>
        </w:rPr>
      </w:pPr>
      <w:r w:rsidRPr="00644507">
        <w:t>–</w:t>
      </w:r>
      <w:r w:rsidRPr="00644507">
        <w:tab/>
        <w:t>Visto el informe de la Comisión, de 4 de febrero de 2025, sobre la aplicación de la Directiva marco sobre el agua (2000/60/CE) y la Directiva sobre inundaciones (2007/60/CE), titulado «Terceros planes hidrológicos de cuenca. Segundos planes de gestión del riesgo de inundación» (</w:t>
      </w:r>
      <w:proofErr w:type="gramStart"/>
      <w:r w:rsidRPr="00644507">
        <w:t>COM(</w:t>
      </w:r>
      <w:proofErr w:type="gramEnd"/>
      <w:r w:rsidRPr="00644507">
        <w:t>2025)0002),</w:t>
      </w:r>
    </w:p>
    <w:p w14:paraId="21BA0FBB" w14:textId="0294B145" w:rsidR="003D4C50" w:rsidRPr="00644507" w:rsidRDefault="0097099A" w:rsidP="003D4C50">
      <w:pPr>
        <w:pStyle w:val="NormalHanging12a"/>
        <w:rPr>
          <w:szCs w:val="24"/>
        </w:rPr>
      </w:pPr>
      <w:r w:rsidRPr="00644507">
        <w:t>–</w:t>
      </w:r>
      <w:r w:rsidRPr="00644507">
        <w:tab/>
        <w:t>Visto el Informe Especial </w:t>
      </w:r>
      <w:r w:rsidR="003D4C50" w:rsidRPr="00644507">
        <w:t>15/2024 del Tribunal de Cuentas Europeo, de 16</w:t>
      </w:r>
      <w:r w:rsidR="00394D09" w:rsidRPr="00644507">
        <w:t> </w:t>
      </w:r>
      <w:r w:rsidR="003D4C50" w:rsidRPr="00644507">
        <w:t>de octubre de 2024, titulado «Adaptación al cambio climático en la UE – La acción no está a la altura de la ambición»,</w:t>
      </w:r>
    </w:p>
    <w:p w14:paraId="79FA486E" w14:textId="77777777" w:rsidR="003D4C50" w:rsidRPr="00644507" w:rsidRDefault="003D4C50" w:rsidP="003D4C50">
      <w:pPr>
        <w:pStyle w:val="NormalHanging12a"/>
        <w:rPr>
          <w:szCs w:val="24"/>
        </w:rPr>
      </w:pPr>
      <w:r w:rsidRPr="00644507">
        <w:t>–</w:t>
      </w:r>
      <w:r w:rsidRPr="00644507">
        <w:tab/>
        <w:t xml:space="preserve">Visto el informe del expresidente finlandés, </w:t>
      </w:r>
      <w:proofErr w:type="spellStart"/>
      <w:r w:rsidRPr="00644507">
        <w:t>Sauli</w:t>
      </w:r>
      <w:proofErr w:type="spellEnd"/>
      <w:r w:rsidRPr="00644507">
        <w:t xml:space="preserve"> </w:t>
      </w:r>
      <w:proofErr w:type="spellStart"/>
      <w:r w:rsidRPr="00644507">
        <w:t>Niinistö</w:t>
      </w:r>
      <w:proofErr w:type="spellEnd"/>
      <w:r w:rsidRPr="00644507">
        <w:t>, de 30 de octubre de 2024, titulado «</w:t>
      </w:r>
      <w:proofErr w:type="spellStart"/>
      <w:r w:rsidRPr="00644507">
        <w:t>Safer</w:t>
      </w:r>
      <w:proofErr w:type="spellEnd"/>
      <w:r w:rsidRPr="00644507">
        <w:t xml:space="preserve"> </w:t>
      </w:r>
      <w:proofErr w:type="spellStart"/>
      <w:r w:rsidRPr="00644507">
        <w:t>Together</w:t>
      </w:r>
      <w:proofErr w:type="spellEnd"/>
      <w:r w:rsidRPr="00644507">
        <w:t xml:space="preserve"> – </w:t>
      </w:r>
      <w:proofErr w:type="spellStart"/>
      <w:r w:rsidRPr="00644507">
        <w:t>Strengthening</w:t>
      </w:r>
      <w:proofErr w:type="spellEnd"/>
      <w:r w:rsidRPr="00644507">
        <w:t xml:space="preserve"> of </w:t>
      </w:r>
      <w:proofErr w:type="spellStart"/>
      <w:r w:rsidRPr="00644507">
        <w:t>Europe’s</w:t>
      </w:r>
      <w:proofErr w:type="spellEnd"/>
      <w:r w:rsidRPr="00644507">
        <w:t xml:space="preserve"> </w:t>
      </w:r>
      <w:proofErr w:type="spellStart"/>
      <w:r w:rsidRPr="00644507">
        <w:t>Civilian</w:t>
      </w:r>
      <w:proofErr w:type="spellEnd"/>
      <w:r w:rsidRPr="00644507">
        <w:t xml:space="preserve"> and </w:t>
      </w:r>
      <w:proofErr w:type="spellStart"/>
      <w:r w:rsidRPr="00644507">
        <w:t>Military</w:t>
      </w:r>
      <w:proofErr w:type="spellEnd"/>
      <w:r w:rsidRPr="00644507">
        <w:t xml:space="preserve"> </w:t>
      </w:r>
      <w:proofErr w:type="spellStart"/>
      <w:r w:rsidRPr="00644507">
        <w:t>Preparedness</w:t>
      </w:r>
      <w:proofErr w:type="spellEnd"/>
      <w:r w:rsidRPr="00644507">
        <w:t xml:space="preserve"> and </w:t>
      </w:r>
      <w:proofErr w:type="spellStart"/>
      <w:r w:rsidRPr="00644507">
        <w:t>Readiness</w:t>
      </w:r>
      <w:proofErr w:type="spellEnd"/>
      <w:r w:rsidRPr="00644507">
        <w:t>» (Más seguros juntos: fortalecimiento de la respuesta y la preparación civil y militar de Europa),</w:t>
      </w:r>
    </w:p>
    <w:p w14:paraId="11B99974" w14:textId="77777777" w:rsidR="003D4C50" w:rsidRPr="00644507" w:rsidRDefault="003D4C50" w:rsidP="003D4C50">
      <w:pPr>
        <w:pStyle w:val="NormalHanging12a"/>
        <w:rPr>
          <w:szCs w:val="24"/>
        </w:rPr>
      </w:pPr>
      <w:r w:rsidRPr="00644507">
        <w:t>–</w:t>
      </w:r>
      <w:r w:rsidRPr="00644507">
        <w:tab/>
        <w:t xml:space="preserve">Visto el informe de Enrico </w:t>
      </w:r>
      <w:proofErr w:type="spellStart"/>
      <w:r w:rsidRPr="00644507">
        <w:t>Letta</w:t>
      </w:r>
      <w:proofErr w:type="spellEnd"/>
      <w:r w:rsidRPr="00644507">
        <w:t>, de abril de 2024, titulado «</w:t>
      </w:r>
      <w:proofErr w:type="spellStart"/>
      <w:r w:rsidRPr="00644507">
        <w:t>Much</w:t>
      </w:r>
      <w:proofErr w:type="spellEnd"/>
      <w:r w:rsidRPr="00644507">
        <w:t xml:space="preserve"> more </w:t>
      </w:r>
      <w:proofErr w:type="spellStart"/>
      <w:r w:rsidRPr="00644507">
        <w:t>than</w:t>
      </w:r>
      <w:proofErr w:type="spellEnd"/>
      <w:r w:rsidRPr="00644507">
        <w:t xml:space="preserve"> a </w:t>
      </w:r>
      <w:proofErr w:type="spellStart"/>
      <w:r w:rsidRPr="00644507">
        <w:t>market</w:t>
      </w:r>
      <w:proofErr w:type="spellEnd"/>
      <w:r w:rsidRPr="00644507">
        <w:t>» (Mucho más que un mercado),</w:t>
      </w:r>
    </w:p>
    <w:p w14:paraId="1840A36D" w14:textId="77777777" w:rsidR="003D4C50" w:rsidRPr="00644507" w:rsidRDefault="003D4C50" w:rsidP="003D4C50">
      <w:pPr>
        <w:pStyle w:val="NormalHanging12a"/>
      </w:pPr>
      <w:r w:rsidRPr="00644507">
        <w:t>–</w:t>
      </w:r>
      <w:r w:rsidRPr="00644507">
        <w:tab/>
        <w:t>Vista su Resolución, de 17 de diciembre de 2020, sobre la aplicación de la legislación de la Unión relativa a las aguas</w:t>
      </w:r>
      <w:r w:rsidRPr="00644507">
        <w:rPr>
          <w:rStyle w:val="FootnoteReference"/>
        </w:rPr>
        <w:footnoteReference w:id="24"/>
      </w:r>
      <w:r w:rsidRPr="00644507">
        <w:t>,</w:t>
      </w:r>
    </w:p>
    <w:p w14:paraId="02CA4D7D" w14:textId="0C5BDF03" w:rsidR="003D4C50" w:rsidRPr="00644507" w:rsidRDefault="00542CF4" w:rsidP="003D4C50">
      <w:pPr>
        <w:pStyle w:val="NormalHanging12a"/>
        <w:rPr>
          <w:szCs w:val="24"/>
        </w:rPr>
      </w:pPr>
      <w:r w:rsidRPr="00644507">
        <w:t>–</w:t>
      </w:r>
      <w:r w:rsidRPr="00644507">
        <w:tab/>
        <w:t>Visto el Informe Especial </w:t>
      </w:r>
      <w:r w:rsidR="003D4C50" w:rsidRPr="00644507">
        <w:t>33/2018 del Tribunal de Cuentas Europeo, de 18 de diciembre de 2018, titulado «La lucha contra la desertificación en la UE: una amenaza creciente contra la que se debe actuar más intensamente»,</w:t>
      </w:r>
    </w:p>
    <w:p w14:paraId="260B736D" w14:textId="77777777" w:rsidR="003D4C50" w:rsidRPr="00644507" w:rsidRDefault="003D4C50" w:rsidP="003D4C50">
      <w:pPr>
        <w:pStyle w:val="NormalHanging12a"/>
        <w:rPr>
          <w:szCs w:val="24"/>
        </w:rPr>
      </w:pPr>
      <w:r w:rsidRPr="00644507">
        <w:t>–</w:t>
      </w:r>
      <w:r w:rsidRPr="00644507">
        <w:tab/>
        <w:t>Vista la iniciativa ciudadana europea (ICE) sobre el derecho al agua,</w:t>
      </w:r>
    </w:p>
    <w:p w14:paraId="2057ED3A" w14:textId="77777777" w:rsidR="003D4C50" w:rsidRPr="00644507" w:rsidRDefault="003D4C50" w:rsidP="003D4C50">
      <w:pPr>
        <w:pStyle w:val="NormalHanging12a"/>
      </w:pPr>
      <w:r w:rsidRPr="00644507">
        <w:t>–</w:t>
      </w:r>
      <w:r w:rsidRPr="00644507">
        <w:tab/>
        <w:t>Vista su Resolución, de 8 de septiembre de 2015, sobre el seguimiento de la Iniciativa Ciudadana Europea Right2Water</w:t>
      </w:r>
      <w:r w:rsidRPr="00644507">
        <w:rPr>
          <w:rStyle w:val="FootnoteReference"/>
        </w:rPr>
        <w:footnoteReference w:id="25"/>
      </w:r>
      <w:r w:rsidRPr="00644507">
        <w:t>,</w:t>
      </w:r>
    </w:p>
    <w:p w14:paraId="68347F44" w14:textId="77777777" w:rsidR="003D4C50" w:rsidRPr="00644507" w:rsidRDefault="003D4C50" w:rsidP="003D4C50">
      <w:pPr>
        <w:pStyle w:val="NormalHanging12a"/>
      </w:pPr>
      <w:r w:rsidRPr="00644507">
        <w:t>–</w:t>
      </w:r>
      <w:r w:rsidRPr="00644507">
        <w:tab/>
        <w:t>Vista la Resolución 64/292 de la Asamblea General de las Naciones Unidas, de 28 de julio de 2010, que reconoce el derecho humano al agua y al saneamiento,</w:t>
      </w:r>
    </w:p>
    <w:p w14:paraId="4103528F" w14:textId="77777777" w:rsidR="003D4C50" w:rsidRPr="00644507" w:rsidRDefault="003D4C50" w:rsidP="003D4C50">
      <w:pPr>
        <w:pStyle w:val="NormalHanging12a"/>
      </w:pPr>
      <w:r w:rsidRPr="00644507">
        <w:t>–</w:t>
      </w:r>
      <w:r w:rsidRPr="00644507">
        <w:tab/>
        <w:t>Visto el diálogo estratégico sobre el futuro de la agricultura de la Unión,</w:t>
      </w:r>
    </w:p>
    <w:p w14:paraId="3782FF48" w14:textId="5F7A2D4E" w:rsidR="003D4C50" w:rsidRPr="00644507" w:rsidRDefault="00C3556E" w:rsidP="003D4C50">
      <w:pPr>
        <w:pStyle w:val="NormalHanging12a"/>
      </w:pPr>
      <w:r w:rsidRPr="00644507">
        <w:t>–</w:t>
      </w:r>
      <w:r w:rsidRPr="00644507">
        <w:tab/>
        <w:t>Visto el Informe Especial </w:t>
      </w:r>
      <w:r w:rsidR="003D4C50" w:rsidRPr="00644507">
        <w:t>20/2024 del Tribunal de Cuentas Europeo, de 30 de septiembre de 2024, titulado «Planes de la política agrícola común: Son más ecológicos, pero no coinciden con las ambiciones de la UE en materia de clima y medio ambiente»,</w:t>
      </w:r>
    </w:p>
    <w:p w14:paraId="37884400" w14:textId="703BA57B" w:rsidR="003D4C50" w:rsidRPr="00644507" w:rsidRDefault="003D4C50" w:rsidP="003D4C50">
      <w:pPr>
        <w:pStyle w:val="NormalHanging12a"/>
      </w:pPr>
      <w:r w:rsidRPr="00644507">
        <w:t>–</w:t>
      </w:r>
      <w:r w:rsidRPr="00644507">
        <w:tab/>
        <w:t>Visto el informe</w:t>
      </w:r>
      <w:r w:rsidR="00D47691" w:rsidRPr="00644507">
        <w:t> 0</w:t>
      </w:r>
      <w:r w:rsidRPr="00644507">
        <w:t>7/2024 de la Agencia Europea de Medio Ambiente, de 15 de octubre de 2024, titulado «</w:t>
      </w:r>
      <w:proofErr w:type="spellStart"/>
      <w:r w:rsidRPr="00644507">
        <w:t>Europe’s</w:t>
      </w:r>
      <w:proofErr w:type="spellEnd"/>
      <w:r w:rsidRPr="00644507">
        <w:t xml:space="preserve"> </w:t>
      </w:r>
      <w:proofErr w:type="spellStart"/>
      <w:r w:rsidRPr="00644507">
        <w:t>state</w:t>
      </w:r>
      <w:proofErr w:type="spellEnd"/>
      <w:r w:rsidRPr="00644507">
        <w:t xml:space="preserve"> of </w:t>
      </w:r>
      <w:proofErr w:type="spellStart"/>
      <w:r w:rsidRPr="00644507">
        <w:t>water</w:t>
      </w:r>
      <w:proofErr w:type="spellEnd"/>
      <w:r w:rsidRPr="00644507">
        <w:t xml:space="preserve"> 2024: </w:t>
      </w:r>
      <w:proofErr w:type="spellStart"/>
      <w:r w:rsidRPr="00644507">
        <w:t>the</w:t>
      </w:r>
      <w:proofErr w:type="spellEnd"/>
      <w:r w:rsidRPr="00644507">
        <w:t xml:space="preserve"> </w:t>
      </w:r>
      <w:proofErr w:type="spellStart"/>
      <w:r w:rsidRPr="00644507">
        <w:t>need</w:t>
      </w:r>
      <w:proofErr w:type="spellEnd"/>
      <w:r w:rsidRPr="00644507">
        <w:t xml:space="preserve"> </w:t>
      </w:r>
      <w:proofErr w:type="spellStart"/>
      <w:r w:rsidRPr="00644507">
        <w:t>for</w:t>
      </w:r>
      <w:proofErr w:type="spellEnd"/>
      <w:r w:rsidRPr="00644507">
        <w:t xml:space="preserve"> </w:t>
      </w:r>
      <w:proofErr w:type="spellStart"/>
      <w:r w:rsidRPr="00644507">
        <w:t>improved</w:t>
      </w:r>
      <w:proofErr w:type="spellEnd"/>
      <w:r w:rsidRPr="00644507">
        <w:t xml:space="preserve"> </w:t>
      </w:r>
      <w:proofErr w:type="spellStart"/>
      <w:r w:rsidRPr="00644507">
        <w:t>water</w:t>
      </w:r>
      <w:proofErr w:type="spellEnd"/>
      <w:r w:rsidRPr="00644507">
        <w:t xml:space="preserve"> </w:t>
      </w:r>
      <w:proofErr w:type="spellStart"/>
      <w:r w:rsidRPr="00644507">
        <w:t>resilience</w:t>
      </w:r>
      <w:proofErr w:type="spellEnd"/>
      <w:r w:rsidRPr="00644507">
        <w:t>» (El estado del agua en Europa en 2024: la necesidad de mejorar la resiliencia hídrica) (Informe 07/2024 de la AEMA),</w:t>
      </w:r>
    </w:p>
    <w:p w14:paraId="01A57B7C" w14:textId="77777777" w:rsidR="003D4C50" w:rsidRPr="00644507" w:rsidRDefault="003D4C50" w:rsidP="003D4C50">
      <w:pPr>
        <w:pStyle w:val="NormalHanging12a"/>
      </w:pPr>
      <w:r w:rsidRPr="00644507">
        <w:t>–</w:t>
      </w:r>
      <w:r w:rsidRPr="00644507">
        <w:tab/>
        <w:t>Vistas las Conclusiones del Consejo de Medio Ambiente, de 17 de junio de 2024, sobre el 8.º Programa de Acción en Materia de Medio Ambiente,</w:t>
      </w:r>
    </w:p>
    <w:p w14:paraId="447F0276" w14:textId="77777777" w:rsidR="003D4C50" w:rsidRPr="00644507" w:rsidRDefault="003D4C50" w:rsidP="003D4C50">
      <w:pPr>
        <w:pStyle w:val="NormalHanging12a"/>
      </w:pPr>
      <w:r w:rsidRPr="00644507">
        <w:t>–</w:t>
      </w:r>
      <w:r w:rsidRPr="00644507">
        <w:tab/>
        <w:t>Visto el Informe Especial 20/2021 del Tribunal de Cuentas Europeo, de 28 de septiembre de 2021, titulado «Uso sostenible del agua en la agricultura: probablemente, los fondos de la PAC favorecen un consumo de agua mayor, pero no más eficiente»,</w:t>
      </w:r>
    </w:p>
    <w:p w14:paraId="578E4E78" w14:textId="77777777" w:rsidR="003D4C50" w:rsidRPr="00644507" w:rsidRDefault="003D4C50" w:rsidP="003D4C50">
      <w:pPr>
        <w:pStyle w:val="NormalHanging12a"/>
      </w:pPr>
      <w:r w:rsidRPr="00644507">
        <w:t>–</w:t>
      </w:r>
      <w:r w:rsidRPr="00644507">
        <w:tab/>
        <w:t>Vista la Declaración del Comité Económico y Social Europeo, de 26 de octubre de 2023, por un Pacto Azul Europeo,</w:t>
      </w:r>
    </w:p>
    <w:p w14:paraId="09654297" w14:textId="77777777" w:rsidR="003D4C50" w:rsidRPr="00644507" w:rsidRDefault="003D4C50" w:rsidP="003D4C50">
      <w:pPr>
        <w:pStyle w:val="NormalHanging12a"/>
        <w:rPr>
          <w:szCs w:val="24"/>
        </w:rPr>
      </w:pPr>
      <w:r w:rsidRPr="00644507">
        <w:t>–</w:t>
      </w:r>
      <w:r w:rsidRPr="00644507">
        <w:tab/>
        <w:t>Vista la propuesta de la Comisión, de 5 de julio de 2023, de Directiva del Parlamento Europeo y del Consejo relativa a la vigilancia y la resiliencia del suelo (Ley de vigilancia del suelo) (</w:t>
      </w:r>
      <w:proofErr w:type="gramStart"/>
      <w:r w:rsidRPr="00644507">
        <w:t>COM(</w:t>
      </w:r>
      <w:proofErr w:type="gramEnd"/>
      <w:r w:rsidRPr="00644507">
        <w:t>2023)0416),</w:t>
      </w:r>
    </w:p>
    <w:p w14:paraId="0CB84B0A" w14:textId="77777777" w:rsidR="003D4C50" w:rsidRPr="00644507" w:rsidRDefault="003D4C50" w:rsidP="003D4C50">
      <w:pPr>
        <w:pStyle w:val="NormalHanging12a"/>
      </w:pPr>
      <w:r w:rsidRPr="00644507">
        <w:t>–</w:t>
      </w:r>
      <w:r w:rsidRPr="00644507">
        <w:tab/>
        <w:t>Vista su Posición en primera lectura, de 24 de abril de 2024, sobre la propuesta de Directiva del Parlamento Europeo y del Consejo que modifica la Directiva 2000/60/CE, por la que se establece un marco comunitario de actuación en el ámbito de la política de aguas, la Directiva 2006/118/CE, relativa a la protección de las aguas subterráneas contra la contaminación y el deterioro, y la Directiva 2008/105/CE, relativa a las normas de calidad ambiental en el ámbito de la política de aguas</w:t>
      </w:r>
      <w:r w:rsidRPr="00644507">
        <w:rPr>
          <w:rStyle w:val="FootnoteReference"/>
        </w:rPr>
        <w:footnoteReference w:id="26"/>
      </w:r>
      <w:r w:rsidRPr="00644507">
        <w:t>,</w:t>
      </w:r>
    </w:p>
    <w:p w14:paraId="15236A3E" w14:textId="77777777" w:rsidR="003D4C50" w:rsidRPr="00644507" w:rsidRDefault="003D4C50" w:rsidP="003D4C50">
      <w:pPr>
        <w:pStyle w:val="NormalHanging12a"/>
      </w:pPr>
      <w:r w:rsidRPr="00644507">
        <w:t>–</w:t>
      </w:r>
      <w:r w:rsidRPr="00644507">
        <w:tab/>
        <w:t>Visto el artículo 55 de su Reglamento interno,</w:t>
      </w:r>
    </w:p>
    <w:p w14:paraId="0AAF9B6D" w14:textId="77777777" w:rsidR="003D4C50" w:rsidRPr="00644507" w:rsidRDefault="003D4C50" w:rsidP="003D4C50">
      <w:pPr>
        <w:pStyle w:val="NormalHanging12a"/>
      </w:pPr>
      <w:r w:rsidRPr="00644507">
        <w:t>–</w:t>
      </w:r>
      <w:r w:rsidRPr="00644507">
        <w:tab/>
        <w:t>Vista la opinión de la Comisión de Agricultura y Desarrollo Rural,</w:t>
      </w:r>
    </w:p>
    <w:p w14:paraId="0DEA6258" w14:textId="77777777" w:rsidR="003D4C50" w:rsidRPr="00644507" w:rsidRDefault="003D4C50" w:rsidP="003D4C50">
      <w:pPr>
        <w:pStyle w:val="NormalHanging12a"/>
      </w:pPr>
      <w:r w:rsidRPr="00644507">
        <w:t>–</w:t>
      </w:r>
      <w:r w:rsidRPr="00644507">
        <w:tab/>
        <w:t>Visto el informe de la Comisión de Medio Ambiente, Clima y Seguridad Alimentaria (A10</w:t>
      </w:r>
      <w:r w:rsidRPr="00644507">
        <w:noBreakHyphen/>
        <w:t>0073/2025),</w:t>
      </w:r>
    </w:p>
    <w:p w14:paraId="73CB70DB" w14:textId="77777777" w:rsidR="003D4C50" w:rsidRPr="00644507" w:rsidRDefault="003D4C50" w:rsidP="003D4C50">
      <w:pPr>
        <w:pStyle w:val="NormalHanging12a"/>
        <w:rPr>
          <w:szCs w:val="24"/>
        </w:rPr>
      </w:pPr>
      <w:r w:rsidRPr="00644507">
        <w:t>A.</w:t>
      </w:r>
      <w:r w:rsidRPr="00644507">
        <w:tab/>
        <w:t>Considerando que el agua es esencial para la vida y la humanidad; que la Unión debe gestionar de manera eficiente los recursos hídricos actuales y futuros y responder eficazmente a los retos actuales en relación con el agua, ya que afectan directamente a la salud humana, el medio ambiente y sus ecosistemas, las actividades socioeconómicas estratégicas, como la producción de energía, la agricultura y la seguridad alimentaria y la competitividad de la Unión;</w:t>
      </w:r>
    </w:p>
    <w:p w14:paraId="5EB565D0" w14:textId="77777777" w:rsidR="003D4C50" w:rsidRPr="00644507" w:rsidRDefault="003D4C50" w:rsidP="003D4C50">
      <w:pPr>
        <w:pStyle w:val="NormalHanging12a"/>
        <w:rPr>
          <w:szCs w:val="24"/>
        </w:rPr>
      </w:pPr>
      <w:r w:rsidRPr="00644507">
        <w:t>B.</w:t>
      </w:r>
      <w:r w:rsidRPr="00644507">
        <w:tab/>
        <w:t>Considerando que el agua es un recurso escaso y limitado, y que, mientras que el 70 % de la superficie de la Tierra está cubierta de agua, el agua dulce disponible y utilizable solo representa el 0,5 % del agua del planeta</w:t>
      </w:r>
      <w:r w:rsidRPr="00644507">
        <w:rPr>
          <w:vertAlign w:val="superscript"/>
        </w:rPr>
        <w:footnoteReference w:id="27"/>
      </w:r>
      <w:r w:rsidRPr="00644507">
        <w:t>; que las montañas son torres de agua reales e importantes depósitos de agua dulce en Europa, y que solo los Alpes proporcionan el 40 % del agua dulce europea</w:t>
      </w:r>
      <w:r w:rsidRPr="00644507">
        <w:rPr>
          <w:vertAlign w:val="superscript"/>
        </w:rPr>
        <w:footnoteReference w:id="28"/>
      </w:r>
      <w:r w:rsidRPr="00644507">
        <w:t>;</w:t>
      </w:r>
    </w:p>
    <w:p w14:paraId="700FB7E6" w14:textId="77777777" w:rsidR="003D4C50" w:rsidRPr="00644507" w:rsidRDefault="003D4C50" w:rsidP="003D4C50">
      <w:pPr>
        <w:pStyle w:val="NormalHanging12a"/>
        <w:rPr>
          <w:szCs w:val="24"/>
        </w:rPr>
      </w:pPr>
      <w:r w:rsidRPr="00644507">
        <w:t>C.</w:t>
      </w:r>
      <w:r w:rsidRPr="00644507">
        <w:tab/>
        <w:t>Considerando que las aguas subterráneas suministran dos tercios del agua potable de la Unión y sostienen muchos ecosistemas</w:t>
      </w:r>
      <w:r w:rsidRPr="00644507">
        <w:rPr>
          <w:vertAlign w:val="superscript"/>
        </w:rPr>
        <w:footnoteReference w:id="29"/>
      </w:r>
      <w:r w:rsidRPr="00644507">
        <w:t>; que los servicios prestados por los ecosistemas de agua dulce tienen un valor de más de 11 billones EUR en Europa, y suponen beneficios considerables para la salud y el ocio, como los derivados de la pesca deportiva</w:t>
      </w:r>
      <w:r w:rsidRPr="00644507">
        <w:rPr>
          <w:vertAlign w:val="superscript"/>
        </w:rPr>
        <w:footnoteReference w:id="30"/>
      </w:r>
      <w:r w:rsidRPr="00644507">
        <w:t>;</w:t>
      </w:r>
    </w:p>
    <w:p w14:paraId="260EDC81" w14:textId="77777777" w:rsidR="003D4C50" w:rsidRPr="00644507" w:rsidRDefault="003D4C50" w:rsidP="003D4C50">
      <w:pPr>
        <w:pStyle w:val="NormalHanging12a"/>
        <w:rPr>
          <w:szCs w:val="24"/>
        </w:rPr>
      </w:pPr>
      <w:r w:rsidRPr="00644507">
        <w:t>D.</w:t>
      </w:r>
      <w:r w:rsidRPr="00644507">
        <w:tab/>
        <w:t>Considerando que en Europa ya se está produciendo estrés hídrico, que afecta a aproximadamente el 20 % del territorio europeo y al 30 % de la población de media cada año, cifras que son susceptibles de aumentar en el futuro debido al cambio climático</w:t>
      </w:r>
      <w:r w:rsidRPr="00644507">
        <w:rPr>
          <w:vertAlign w:val="superscript"/>
        </w:rPr>
        <w:footnoteReference w:id="31"/>
      </w:r>
      <w:r w:rsidRPr="00644507">
        <w:t>, a pesar de que la extracción de agua total en la EU</w:t>
      </w:r>
      <w:r w:rsidRPr="00644507">
        <w:noBreakHyphen/>
        <w:t>27 pareció disminuir un 15 % entre 2000 y 2019; que el aumento en el número y la recurrencia de fenómenos meteorológicos extremos como sequías e inundaciones, así como las previsiones de que sigan aumentando en el futuro cercano, suponen un riesgo para la vida humana y la soberanía alimentaria de la Unión y podrían provocar que algunas regiones de Europa se vuelvan inhabitables;</w:t>
      </w:r>
    </w:p>
    <w:p w14:paraId="232E14B6" w14:textId="77777777" w:rsidR="003D4C50" w:rsidRPr="00644507" w:rsidRDefault="003D4C50" w:rsidP="003D4C50">
      <w:pPr>
        <w:pStyle w:val="NormalHanging12a"/>
        <w:rPr>
          <w:szCs w:val="24"/>
        </w:rPr>
      </w:pPr>
      <w:r w:rsidRPr="00644507">
        <w:t>E.</w:t>
      </w:r>
      <w:r w:rsidRPr="00644507">
        <w:tab/>
        <w:t>Considerando que el 78 % de los europeos opina que la Unión debe proponer nuevas medidas para solucionar los problemas relativos al agua en Europa y que el 21 % de los europeos estima que la contaminación es la principal amenaza relacionada con el agua en su país</w:t>
      </w:r>
      <w:r w:rsidRPr="00644507">
        <w:rPr>
          <w:vertAlign w:val="superscript"/>
        </w:rPr>
        <w:footnoteReference w:id="32"/>
      </w:r>
      <w:r w:rsidRPr="00644507">
        <w:t>;</w:t>
      </w:r>
    </w:p>
    <w:p w14:paraId="39DD4769" w14:textId="77777777" w:rsidR="003D4C50" w:rsidRPr="00644507" w:rsidRDefault="003D4C50" w:rsidP="003D4C50">
      <w:pPr>
        <w:pStyle w:val="NormalHanging12a"/>
        <w:rPr>
          <w:szCs w:val="24"/>
        </w:rPr>
      </w:pPr>
      <w:r w:rsidRPr="00644507">
        <w:t>F.</w:t>
      </w:r>
      <w:r w:rsidRPr="00644507">
        <w:tab/>
        <w:t>Considerando que el derecho humano al agua y el saneamiento fue reconocido como derecho humano en una resolución adoptada por la Asamblea General de las Naciones Unidas el 28 de julio de 2010;</w:t>
      </w:r>
    </w:p>
    <w:p w14:paraId="790950F2" w14:textId="77777777" w:rsidR="003D4C50" w:rsidRPr="00644507" w:rsidRDefault="003D4C50" w:rsidP="003D4C50">
      <w:pPr>
        <w:pStyle w:val="NormalHanging12a"/>
        <w:rPr>
          <w:szCs w:val="24"/>
        </w:rPr>
      </w:pPr>
      <w:r w:rsidRPr="00644507">
        <w:t>G.</w:t>
      </w:r>
      <w:r w:rsidRPr="00644507">
        <w:tab/>
        <w:t>Considerando que la iniciativa ciudadana europea Right2Water fue la primera en reunir al número necesario de firmantes para pedir a la Unión que garantizara el derecho al agua para todos;</w:t>
      </w:r>
    </w:p>
    <w:p w14:paraId="757350E4" w14:textId="77777777" w:rsidR="003D4C50" w:rsidRPr="00644507" w:rsidRDefault="003D4C50" w:rsidP="003D4C50">
      <w:pPr>
        <w:pStyle w:val="NormalHanging12a"/>
        <w:rPr>
          <w:szCs w:val="24"/>
        </w:rPr>
      </w:pPr>
      <w:r w:rsidRPr="00644507">
        <w:t>H.</w:t>
      </w:r>
      <w:r w:rsidRPr="00644507">
        <w:tab/>
        <w:t>Considerando que las disposiciones del artículo 14 del TFUE y de su Protocolo n.º 26 sobre los servicios de interés general son fundamentales y deben ser prioritarias en todos los aspectos del diseño y la aplicación de la estrategia europea de resiliencia hídrica, salvaguardando así el estatuto de los servicios hídricos europeos como servicios públicos esenciales y garantizando la accesibilidad, la equidad, la asequibilidad y el mantenimiento de normas de alta calidad;</w:t>
      </w:r>
    </w:p>
    <w:p w14:paraId="63F33A21" w14:textId="77777777" w:rsidR="003D4C50" w:rsidRPr="00644507" w:rsidRDefault="003D4C50" w:rsidP="003D4C50">
      <w:pPr>
        <w:pStyle w:val="NormalHanging12a"/>
        <w:rPr>
          <w:szCs w:val="24"/>
        </w:rPr>
      </w:pPr>
      <w:r w:rsidRPr="00644507">
        <w:t>I.</w:t>
      </w:r>
      <w:r w:rsidRPr="00644507">
        <w:tab/>
        <w:t>Considerando que los Estados miembros deben hacer un seguimiento de las recomendaciones del informe de la Comisión de noviembre de 2023</w:t>
      </w:r>
      <w:r w:rsidRPr="00644507">
        <w:rPr>
          <w:rStyle w:val="FootnoteReference"/>
        </w:rPr>
        <w:footnoteReference w:id="33"/>
      </w:r>
      <w:r w:rsidRPr="00644507">
        <w:t xml:space="preserve"> con el fin de mejorar el equilibrio hídrico como base de conocimientos para la toma de decisiones sobre la asignación del agua;</w:t>
      </w:r>
    </w:p>
    <w:p w14:paraId="0509F535" w14:textId="77777777" w:rsidR="003D4C50" w:rsidRPr="00644507" w:rsidRDefault="003D4C50" w:rsidP="003D4C50">
      <w:pPr>
        <w:pStyle w:val="NormalHanging12a"/>
        <w:rPr>
          <w:szCs w:val="24"/>
        </w:rPr>
      </w:pPr>
      <w:r w:rsidRPr="00644507">
        <w:t>J.</w:t>
      </w:r>
      <w:r w:rsidRPr="00644507">
        <w:tab/>
        <w:t>Considerando que una parte considerable del valor de las empresas puede estar en peligro debido al agravamiento de la inseguridad hídrica, lo que podría suponer una disminución de la capacidad de producción o su consiguiente paralización; que los activos de las regiones con estrés hídrico podrían quedar obsoletos de forma temporal o permanente si las hipótesis sobre la disponibilidad y el acceso al agua resultan inexactas, si no se anticipan respuestas reglamentarias o si no se establecen planes de mitigación y gestión de riesgos</w:t>
      </w:r>
      <w:r w:rsidRPr="00644507">
        <w:rPr>
          <w:vertAlign w:val="superscript"/>
        </w:rPr>
        <w:footnoteReference w:id="34"/>
      </w:r>
      <w:r w:rsidRPr="00644507">
        <w:t>;</w:t>
      </w:r>
    </w:p>
    <w:p w14:paraId="6A10B756" w14:textId="77777777" w:rsidR="003D4C50" w:rsidRPr="00644507" w:rsidRDefault="003D4C50" w:rsidP="003D4C50">
      <w:pPr>
        <w:pStyle w:val="NormalHanging12a"/>
        <w:rPr>
          <w:szCs w:val="24"/>
        </w:rPr>
      </w:pPr>
      <w:r w:rsidRPr="00644507">
        <w:t>K.</w:t>
      </w:r>
      <w:r w:rsidRPr="00644507">
        <w:tab/>
        <w:t>Considerando que el plazo establecido en la Directiva marco sobre el agua para que los ríos, los lagos, las aguas de transición, las aguas costeras y las aguas subterráneas en Europa alcanzasen un buen estado era 2015, con posibilidad de posponerse a 2027 si se cumplían condiciones específicas; que el objetivo de lograr un buen estado químico de todas las masas de agua de la Unión de aquí a 2027 dista mucho de haberse alcanzado, en particular debido a sustancias como el mercurio, los materiales ignífugos bromados y los hidrocarburos aromáticos policíclicos</w:t>
      </w:r>
      <w:r w:rsidRPr="00644507">
        <w:rPr>
          <w:vertAlign w:val="superscript"/>
        </w:rPr>
        <w:footnoteReference w:id="35"/>
      </w:r>
      <w:r w:rsidRPr="00644507">
        <w:t>;</w:t>
      </w:r>
    </w:p>
    <w:p w14:paraId="1E564A37" w14:textId="77777777" w:rsidR="003D4C50" w:rsidRPr="00644507" w:rsidRDefault="003D4C50" w:rsidP="003D4C50">
      <w:pPr>
        <w:pStyle w:val="NormalHanging12a"/>
        <w:rPr>
          <w:szCs w:val="24"/>
        </w:rPr>
      </w:pPr>
      <w:r w:rsidRPr="00644507">
        <w:t>L.</w:t>
      </w:r>
      <w:r w:rsidRPr="00644507">
        <w:tab/>
        <w:t>Considerando que el informe de 2025 sobre la aplicación de la Directiva marco sobre el agua ha puesto de manifiesto que los retrasos en el cumplimiento de los objetivos de la Directiva marco sobre el agua no se deben a una deficiencia en la legislación, sino a una falta de financiación, a una aplicación lenta y a una integración insuficiente de los objetivos medioambientales en las políticas sectoriales; que los análisis han demostrado que los Estados miembros no están satisfaciendo las necesidades anuales de inversión, que se estiman en 77 000 </w:t>
      </w:r>
      <w:r w:rsidR="007911A4" w:rsidRPr="00644507">
        <w:t>000 000</w:t>
      </w:r>
      <w:r w:rsidRPr="00644507">
        <w:t> EUR, y que el déficit de financiación se estima actualmente en unos 25 000 </w:t>
      </w:r>
      <w:r w:rsidR="007911A4" w:rsidRPr="00644507">
        <w:t>000 000</w:t>
      </w:r>
      <w:r w:rsidRPr="00644507">
        <w:t> EUR anuales; que el informe también ha revelado la clara necesidad de que los Estados miembros eleven su nivel de ambición y aceleren la acción para reducir el déficit de cumplimiento en la medida de lo posible antes de 2027, aumenten la inversión y garanticen una financiación adecuada, especialmente los fondos de la Unión, para alcanzar los objetivos de sus programas de medidas, así como de que pongan en marcha nuevas medidas para reducir los retos medioambientales persistentes existentes y mejorar la cooperación transfronteriza;</w:t>
      </w:r>
    </w:p>
    <w:p w14:paraId="6F69F000" w14:textId="77777777" w:rsidR="003D4C50" w:rsidRPr="00644507" w:rsidRDefault="003D4C50" w:rsidP="003D4C50">
      <w:pPr>
        <w:pStyle w:val="NormalHanging12a"/>
        <w:rPr>
          <w:szCs w:val="24"/>
        </w:rPr>
      </w:pPr>
      <w:r w:rsidRPr="00644507">
        <w:t>M.</w:t>
      </w:r>
      <w:r w:rsidRPr="00644507">
        <w:tab/>
        <w:t>Considerando que la legislación sobre el agua se ha evaluado y estimado adecuada para su finalidad; que establece un marco para la protección de las aguas superficiales continentales, de transición, costeras y subterráneas; que, al mismo tiempo, permite alcanzar objetivos medioambientales menos estrictos si las necesidades socioeconómicas a las que atiende dicha actividad humana no pueden suplirse por otros medios y permite que no se alcancen los objetivos establecidos para las masas de agua si la razón para ello es de interés público superior; que la legislación es proporcionada y obliga a las autoridades de los Estados miembros, en consonancia con el principio de subsidiariedad, a decidir sobre el interés público superior; que, en algunos casos, dicho interés público superior puede ser la protección del medio ambiente y, en otros, una actividad socioeconómica;</w:t>
      </w:r>
    </w:p>
    <w:p w14:paraId="4E292FE7" w14:textId="77777777" w:rsidR="003D4C50" w:rsidRPr="00644507" w:rsidRDefault="003D4C50" w:rsidP="003D4C50">
      <w:pPr>
        <w:pStyle w:val="NormalHanging12a"/>
        <w:rPr>
          <w:szCs w:val="24"/>
        </w:rPr>
      </w:pPr>
      <w:r w:rsidRPr="00644507">
        <w:t>N.</w:t>
      </w:r>
      <w:r w:rsidRPr="00644507">
        <w:tab/>
        <w:t>Considerando que la industria representa aproximadamente el 40 % de la extracción total de agua en Europa; que las mayores categorías de captación anual de agua en la EU-27, con arreglo a la nomenclatura estadística de actividades económicas de la Unión Europea (NACE), son la captación para la refrigeración en la generación de electricidad (34 %), seguida de la captación para la agricultura (29 %), el suministro público de agua (21 %) y la industria manufacturera (15 %)</w:t>
      </w:r>
      <w:r w:rsidRPr="00644507">
        <w:rPr>
          <w:vertAlign w:val="superscript"/>
        </w:rPr>
        <w:footnoteReference w:id="36"/>
      </w:r>
      <w:r w:rsidRPr="00644507">
        <w:t>; que los datos sobre la extracción y el uso del agua en la Unión son obsoletos y deficientes</w:t>
      </w:r>
      <w:r w:rsidRPr="00644507">
        <w:rPr>
          <w:vertAlign w:val="superscript"/>
        </w:rPr>
        <w:footnoteReference w:id="37"/>
      </w:r>
      <w:r w:rsidRPr="00644507">
        <w:t>;</w:t>
      </w:r>
    </w:p>
    <w:p w14:paraId="1D1F8D28" w14:textId="77777777" w:rsidR="003D4C50" w:rsidRPr="00644507" w:rsidRDefault="003D4C50" w:rsidP="003D4C50">
      <w:pPr>
        <w:pStyle w:val="NormalHanging12a"/>
        <w:rPr>
          <w:szCs w:val="24"/>
        </w:rPr>
      </w:pPr>
      <w:r w:rsidRPr="00644507">
        <w:t>O.</w:t>
      </w:r>
      <w:r w:rsidRPr="00644507">
        <w:tab/>
        <w:t>que la producción de electricidad es el mayor sector de extracción de agua, pero que la mayor parte del agua se devuelve al medio ambiente tras la refrigeración o la propulsión de turbinas; que, en general, la agricultura es el sector con mayor consumo neto de agua a escala de la Unión, ya que la mayor parte del agua es consumida por los cultivos o se evapora; que otros usos, como la industria y el aprovechamiento de aguas, extraen y consumen comparativamente menos agua, pero pueden representar presiones significativas a nivel local, especialmente en las aguas subterráneas</w:t>
      </w:r>
      <w:r w:rsidRPr="00644507">
        <w:rPr>
          <w:vertAlign w:val="superscript"/>
        </w:rPr>
        <w:footnoteReference w:id="38"/>
      </w:r>
      <w:r w:rsidRPr="00644507">
        <w:t>;</w:t>
      </w:r>
    </w:p>
    <w:p w14:paraId="5E770202" w14:textId="77777777" w:rsidR="003D4C50" w:rsidRPr="00644507" w:rsidRDefault="003D4C50" w:rsidP="003D4C50">
      <w:pPr>
        <w:pStyle w:val="NormalHanging12a"/>
        <w:rPr>
          <w:szCs w:val="24"/>
        </w:rPr>
      </w:pPr>
      <w:r w:rsidRPr="00644507">
        <w:t>P.</w:t>
      </w:r>
      <w:r w:rsidRPr="00644507">
        <w:tab/>
        <w:t>Considerando que toda actividad industrial requiere agua para producir sus productos finales o para apoyar las actividades de producción; que las empresas dependen del agua para sus operaciones cotidianas y que, a medida que aumenta la escasez de agua, puede perturbar las operaciones, aumentar los costes y crear riesgos reglamentarios y para la reputación;</w:t>
      </w:r>
    </w:p>
    <w:p w14:paraId="1694F5B3" w14:textId="77777777" w:rsidR="003D4C50" w:rsidRPr="00644507" w:rsidRDefault="003D4C50" w:rsidP="003D4C50">
      <w:pPr>
        <w:pStyle w:val="NormalHanging12a"/>
        <w:rPr>
          <w:szCs w:val="24"/>
        </w:rPr>
      </w:pPr>
      <w:r w:rsidRPr="00644507">
        <w:t>Q.</w:t>
      </w:r>
      <w:r w:rsidRPr="00644507">
        <w:tab/>
        <w:t>Considerando que el sector energético depende en gran medida de los recursos hídricos; que esta dependencia plantea un grave riesgo, ya que la escasez de agua puede afectar a los procesos de producción de energía y a la seguridad del suministro, especialmente cuando el agua se utiliza como materia prima o para refrigeración; que la transición hacia las energías renovables, en particular la energía eólica y solar, ofrece vías de descarbonización sostenibles y eficientes en el uso del agua y la oportunidad de detener o invertir la tendencia al aumento del consumo de agua;</w:t>
      </w:r>
    </w:p>
    <w:p w14:paraId="6BA287E0" w14:textId="77777777" w:rsidR="003D4C50" w:rsidRPr="00644507" w:rsidRDefault="003D4C50" w:rsidP="003D4C50">
      <w:pPr>
        <w:pStyle w:val="NormalHanging12a"/>
      </w:pPr>
      <w:r w:rsidRPr="00644507">
        <w:t>R.</w:t>
      </w:r>
      <w:r w:rsidRPr="00644507">
        <w:tab/>
        <w:t>Considerando que el agua es un recurso esencial para la agricultura en lo que respecta a la producción de alimentos, piensos y materias primas renovables de alta calidad; que la agricultura depende de la disponibilidad de agua y el riego contribuye a proteger a los agricultores de las precipitaciones irregulares y a aumentar la viabilidad, el rendimiento y la calidad de los cultivos, pero que supone un drenaje significativo de los recursos hídricos; que, en vista del cambio climático, los cambios en los patrones meteorológicos y el aumento de la frecuencia de las inundaciones y las sequías, la importancia del agua como recurso para la producción de productos agrícolas de alta calidad y la necesidad de un uso eficiente del agua serán, por tanto, fundamentales para la seguridad del suministro de alimentos y para las soluciones para hacer frente a la escasez de agua; que la reducción de la presión sobre las aguas superficiales y subterráneas de la agricultura debe ir acompañada de inversiones destinadas al uso de aguas regeneradas y de tecnologías innovadoras de desalinización, logrando así un mejor equilibrio hídrico y promoviendo energías alternativas limpias, como el hidrógeno renovable;</w:t>
      </w:r>
    </w:p>
    <w:p w14:paraId="554390E3" w14:textId="40F63FD3" w:rsidR="00120E5C" w:rsidRPr="00644507" w:rsidRDefault="00FB2312" w:rsidP="003D4C50">
      <w:pPr>
        <w:pStyle w:val="NormalHanging12a"/>
        <w:rPr>
          <w:szCs w:val="24"/>
        </w:rPr>
      </w:pPr>
      <w:r w:rsidRPr="00644507">
        <w:t>S</w:t>
      </w:r>
      <w:r w:rsidR="00120E5C" w:rsidRPr="00644507">
        <w:t>.</w:t>
      </w:r>
      <w:r w:rsidR="00120E5C" w:rsidRPr="00644507">
        <w:tab/>
        <w:t>Considerando que el crecimiento de la población mundial requiere un aumento de la producción de alimentos y que la Unión debe garantizar la soberanía alimentaria, tal como se establece en el artículo 39 del TFUE;</w:t>
      </w:r>
    </w:p>
    <w:p w14:paraId="1C1A3FB1" w14:textId="4C1E7684" w:rsidR="003D4C50" w:rsidRPr="00644507" w:rsidRDefault="00FB2312" w:rsidP="003D4C50">
      <w:pPr>
        <w:pStyle w:val="NormalHanging12a"/>
        <w:rPr>
          <w:szCs w:val="24"/>
        </w:rPr>
      </w:pPr>
      <w:r w:rsidRPr="00644507">
        <w:t>T</w:t>
      </w:r>
      <w:r w:rsidR="003D4C50" w:rsidRPr="00644507">
        <w:t>.</w:t>
      </w:r>
      <w:r w:rsidR="003D4C50" w:rsidRPr="00644507">
        <w:tab/>
        <w:t>Considerando que unos datos fiables sobre la contabilidad del agua, es decir, el estudio sistemático del estado actual y las tendencias de la oferta, la demanda, la accesibilidad y el uso de agua en ámbitos específicos</w:t>
      </w:r>
      <w:r w:rsidR="003D4C50" w:rsidRPr="00644507">
        <w:rPr>
          <w:vertAlign w:val="superscript"/>
        </w:rPr>
        <w:footnoteReference w:id="39"/>
      </w:r>
      <w:r w:rsidR="003D4C50" w:rsidRPr="00644507">
        <w:t xml:space="preserve"> son cruciales para evaluar la situación actual en la Unión y para la competitividad europea;</w:t>
      </w:r>
    </w:p>
    <w:p w14:paraId="360A1A01" w14:textId="39FDB9BF" w:rsidR="003D4C50" w:rsidRPr="00644507" w:rsidRDefault="00FB2312" w:rsidP="003D4C50">
      <w:pPr>
        <w:pStyle w:val="NormalHanging12a"/>
        <w:rPr>
          <w:szCs w:val="24"/>
        </w:rPr>
      </w:pPr>
      <w:r w:rsidRPr="00644507">
        <w:t>U</w:t>
      </w:r>
      <w:r w:rsidR="003D4C50" w:rsidRPr="00644507">
        <w:t>.</w:t>
      </w:r>
      <w:r w:rsidR="003D4C50" w:rsidRPr="00644507">
        <w:tab/>
        <w:t>Considerando que se subestima el potencial de las aguas residuales como fuente alternativa de suministro de agua, dado que entre el 60 y el 70 % del valor potencial de las aguas residuales en toda la Unión está actualmente sin explotar</w:t>
      </w:r>
      <w:r w:rsidR="003D4C50" w:rsidRPr="00644507">
        <w:rPr>
          <w:vertAlign w:val="superscript"/>
        </w:rPr>
        <w:footnoteReference w:id="40"/>
      </w:r>
      <w:r w:rsidR="003D4C50" w:rsidRPr="00644507">
        <w:t xml:space="preserve"> y menos del 3 % de las aguas residuales tratadas se reutilizan en la Unión</w:t>
      </w:r>
      <w:r w:rsidR="003D4C50" w:rsidRPr="00644507">
        <w:rPr>
          <w:vertAlign w:val="superscript"/>
        </w:rPr>
        <w:footnoteReference w:id="41"/>
      </w:r>
      <w:r w:rsidR="003D4C50" w:rsidRPr="00644507">
        <w:t>; que los enfoques circulares del agua en los hogares tienen un gran potencial, ya que solo una pequeña cantidad del agua de los hogares se destina al consumo y precisa, por tanto, de las normas de calidad más estrictas;</w:t>
      </w:r>
    </w:p>
    <w:p w14:paraId="3C9474C0" w14:textId="55CBB498" w:rsidR="003D4C50" w:rsidRPr="00644507" w:rsidRDefault="00FB2312" w:rsidP="003D4C50">
      <w:pPr>
        <w:pStyle w:val="NormalHanging12a"/>
        <w:rPr>
          <w:szCs w:val="24"/>
        </w:rPr>
      </w:pPr>
      <w:r w:rsidRPr="00644507">
        <w:t>V</w:t>
      </w:r>
      <w:r w:rsidR="003D4C50" w:rsidRPr="00644507">
        <w:t>.</w:t>
      </w:r>
      <w:r w:rsidR="003D4C50" w:rsidRPr="00644507">
        <w:tab/>
        <w:t>Considerando que se pierde una gran cantidad de agua debido al estado obsoleto o envejecido de las redes de agua y a la falta de mantenimiento necesario; que las inversiones en el mantenimiento, mejora y desarrollo de infraestructuras resilientes e innovadoras de regadío tienen un impacto crucial en una mayor eficiencia y la reducción del consumo de agua en la agricultura; que esta mejora en la eficiencia permite que el agua ahorrada se destine a otros usos o permita mantener los caudales naturales;</w:t>
      </w:r>
    </w:p>
    <w:p w14:paraId="264FC22B" w14:textId="02DC0DC1" w:rsidR="003D4C50" w:rsidRPr="00644507" w:rsidRDefault="00FB2312" w:rsidP="003D4C50">
      <w:pPr>
        <w:pStyle w:val="NormalHanging12a"/>
        <w:rPr>
          <w:szCs w:val="24"/>
        </w:rPr>
      </w:pPr>
      <w:r w:rsidRPr="00644507">
        <w:t>W</w:t>
      </w:r>
      <w:r w:rsidR="003D4C50" w:rsidRPr="00644507">
        <w:t>.</w:t>
      </w:r>
      <w:r w:rsidR="003D4C50" w:rsidRPr="00644507">
        <w:tab/>
        <w:t>Considerando que el agua limpia y en suficientes cantidades es un elemento fundamental para establecer y lograr una auténtica economía circular sostenible en la Unión;</w:t>
      </w:r>
    </w:p>
    <w:p w14:paraId="5CD8ABFC" w14:textId="4F08531E" w:rsidR="003D4C50" w:rsidRPr="00644507" w:rsidRDefault="00FB2312" w:rsidP="003D4C50">
      <w:pPr>
        <w:pStyle w:val="NormalHanging12a"/>
        <w:rPr>
          <w:szCs w:val="24"/>
        </w:rPr>
      </w:pPr>
      <w:r w:rsidRPr="00644507">
        <w:t>X</w:t>
      </w:r>
      <w:r w:rsidR="003D4C50" w:rsidRPr="00644507">
        <w:t>.</w:t>
      </w:r>
      <w:r w:rsidR="003D4C50" w:rsidRPr="00644507">
        <w:tab/>
        <w:t>Considerando que las fugas de agua son un problema subestimado a escala mundial que agrava significativamente la escasez de agua, ya que una media del 23 % de las aguas tratadas se pierden durante su distribución en la Unión debido a las fugas de tuberías, instalaciones de tratamiento obsoletas y depósitos insuficientes</w:t>
      </w:r>
      <w:r w:rsidR="003D4C50" w:rsidRPr="00644507">
        <w:rPr>
          <w:vertAlign w:val="superscript"/>
        </w:rPr>
        <w:footnoteReference w:id="42"/>
      </w:r>
      <w:r w:rsidR="003D4C50" w:rsidRPr="00644507">
        <w:t>; que la Directiva relativa a la calidad de las aguas destinadas al consumo humano incluía medidas para reducir las fugas de agua, así como la evaluación y gestión de riesgos de las zonas de captación de los puntos de extracción del agua destinada al consumo humano;</w:t>
      </w:r>
    </w:p>
    <w:p w14:paraId="7F4ABD82" w14:textId="0D6993F9" w:rsidR="003D4C50" w:rsidRPr="00644507" w:rsidRDefault="00FB2312" w:rsidP="003D4C50">
      <w:pPr>
        <w:pStyle w:val="NormalHanging12a"/>
        <w:rPr>
          <w:szCs w:val="24"/>
        </w:rPr>
      </w:pPr>
      <w:r w:rsidRPr="00644507">
        <w:t>Y</w:t>
      </w:r>
      <w:r w:rsidR="003D4C50" w:rsidRPr="00644507">
        <w:t>.</w:t>
      </w:r>
      <w:r w:rsidR="003D4C50" w:rsidRPr="00644507">
        <w:tab/>
        <w:t>Considerando que, en 2021, los informes indicaban que 91 % de las masas de agua subterránea de Europa habían alcanzado un «buen estado cuantitativo», mientras que el 77 % de las masas de agua subterránea tenían un «buen estado químico»</w:t>
      </w:r>
      <w:r w:rsidR="003D4C50" w:rsidRPr="00644507">
        <w:rPr>
          <w:vertAlign w:val="superscript"/>
        </w:rPr>
        <w:footnoteReference w:id="43"/>
      </w:r>
      <w:r w:rsidR="003D4C50" w:rsidRPr="00644507">
        <w:t>;</w:t>
      </w:r>
    </w:p>
    <w:p w14:paraId="715511B2" w14:textId="265E7B6B" w:rsidR="003D4C50" w:rsidRPr="00644507" w:rsidRDefault="00FB2312" w:rsidP="003D4C50">
      <w:pPr>
        <w:pStyle w:val="NormalHanging12a"/>
        <w:rPr>
          <w:szCs w:val="24"/>
        </w:rPr>
      </w:pPr>
      <w:r w:rsidRPr="00644507">
        <w:t>Z</w:t>
      </w:r>
      <w:r w:rsidR="003D4C50" w:rsidRPr="00644507">
        <w:t>.</w:t>
      </w:r>
      <w:r w:rsidR="003D4C50" w:rsidRPr="00644507">
        <w:tab/>
        <w:t>Considerando que, en 2021, los informes indicaban que solo el 37 % de las masas de aguas superficiales de Europa habían alcanzado un estado ecológico «bueno» o «muy bueno», mientras que el 29 % alcanzó un estado químico «bueno»</w:t>
      </w:r>
      <w:r w:rsidR="003D4C50" w:rsidRPr="00644507">
        <w:rPr>
          <w:vertAlign w:val="superscript"/>
        </w:rPr>
        <w:footnoteReference w:id="44"/>
      </w:r>
      <w:r w:rsidR="003D4C50" w:rsidRPr="00644507">
        <w:t>;</w:t>
      </w:r>
    </w:p>
    <w:p w14:paraId="6794C209" w14:textId="11B1880C" w:rsidR="003D4C50" w:rsidRPr="00644507" w:rsidRDefault="00FB2312" w:rsidP="003D4C50">
      <w:pPr>
        <w:pStyle w:val="NormalHanging12a"/>
        <w:rPr>
          <w:szCs w:val="24"/>
        </w:rPr>
      </w:pPr>
      <w:r w:rsidRPr="00644507">
        <w:t>AA</w:t>
      </w:r>
      <w:r w:rsidR="003D4C50" w:rsidRPr="00644507">
        <w:t>.</w:t>
      </w:r>
      <w:r w:rsidR="003D4C50" w:rsidRPr="00644507">
        <w:tab/>
        <w:t>Considerando que la Agencia Europea de Medio Ambiente hace hincapié en que la proporción de aguas superficiales que no logran un buen estado ecológico es desigual en toda Europa y que estas son más frecuentes en partes de Europa central y occidental, y subraya que las diferencias en el estado de las aguas entre los Estados miembros pueden deberse a presiones diferentes, pero que estas diferencias también pueden deberse a diferentes enfoques de seguimiento y evaluación</w:t>
      </w:r>
      <w:r w:rsidR="003D4C50" w:rsidRPr="00644507">
        <w:rPr>
          <w:vertAlign w:val="superscript"/>
        </w:rPr>
        <w:footnoteReference w:id="45"/>
      </w:r>
      <w:r w:rsidR="003D4C50" w:rsidRPr="00644507">
        <w:t>;</w:t>
      </w:r>
    </w:p>
    <w:p w14:paraId="50E4D485" w14:textId="62BCF578" w:rsidR="003D4C50" w:rsidRPr="00644507" w:rsidRDefault="00FB2312" w:rsidP="003D4C50">
      <w:pPr>
        <w:pStyle w:val="NormalHanging12a"/>
        <w:rPr>
          <w:szCs w:val="24"/>
        </w:rPr>
      </w:pPr>
      <w:r w:rsidRPr="00644507">
        <w:t>AB</w:t>
      </w:r>
      <w:r w:rsidR="003D4C50" w:rsidRPr="00644507">
        <w:t>.</w:t>
      </w:r>
      <w:r w:rsidR="003D4C50" w:rsidRPr="00644507">
        <w:tab/>
        <w:t>Considerando que la calidad de las aguas superficiales en todo el continente refleja presiones continuas y combinadas, en particular la contaminación difusa y la degradación de su caudal natural y de sus características físicas; que continúa la contaminación por nutrientes y sustancias prioritarias persistentes, así como por sustancias emergentes como contaminantes; que las aguas subterráneas se ven afectadas por la contaminación difusa y también sufren una extracción intensiva</w:t>
      </w:r>
      <w:r w:rsidR="003D4C50" w:rsidRPr="00644507">
        <w:rPr>
          <w:vertAlign w:val="superscript"/>
        </w:rPr>
        <w:footnoteReference w:id="46"/>
      </w:r>
      <w:r w:rsidR="003D4C50" w:rsidRPr="00644507">
        <w:t>;</w:t>
      </w:r>
    </w:p>
    <w:p w14:paraId="75B9D8D1" w14:textId="0621F6E1" w:rsidR="003D4C50" w:rsidRPr="00644507" w:rsidRDefault="00FB2312" w:rsidP="003D4C50">
      <w:pPr>
        <w:pStyle w:val="NormalHanging12a"/>
        <w:rPr>
          <w:szCs w:val="24"/>
        </w:rPr>
      </w:pPr>
      <w:r w:rsidRPr="00644507">
        <w:t>AC</w:t>
      </w:r>
      <w:r w:rsidR="003D4C50" w:rsidRPr="00644507">
        <w:t>.</w:t>
      </w:r>
      <w:r w:rsidR="003D4C50" w:rsidRPr="00644507">
        <w:tab/>
        <w:t>Considerando que las aguas subterráneas suministran el 65 % del agua potable y el 25 % del agua para el riego agrícola en la Unión</w:t>
      </w:r>
      <w:r w:rsidR="003D4C50" w:rsidRPr="00644507">
        <w:rPr>
          <w:vertAlign w:val="superscript"/>
        </w:rPr>
        <w:footnoteReference w:id="47"/>
      </w:r>
      <w:r w:rsidR="003D4C50" w:rsidRPr="00644507">
        <w:t>; que se trata de un recurso finito que debe protegerse de la contaminación y la sobreexplotación</w:t>
      </w:r>
      <w:r w:rsidR="003D4C50" w:rsidRPr="00644507">
        <w:rPr>
          <w:vertAlign w:val="superscript"/>
        </w:rPr>
        <w:footnoteReference w:id="48"/>
      </w:r>
      <w:r w:rsidR="003D4C50" w:rsidRPr="00644507">
        <w:t>;</w:t>
      </w:r>
    </w:p>
    <w:p w14:paraId="75BFB658" w14:textId="6008D9FF" w:rsidR="003D4C50" w:rsidRPr="00644507" w:rsidRDefault="00FB2312" w:rsidP="003D4C50">
      <w:pPr>
        <w:pStyle w:val="NormalHanging12a"/>
        <w:rPr>
          <w:szCs w:val="24"/>
        </w:rPr>
      </w:pPr>
      <w:r w:rsidRPr="00644507">
        <w:t>AD</w:t>
      </w:r>
      <w:r w:rsidR="003D4C50" w:rsidRPr="00644507">
        <w:t>.</w:t>
      </w:r>
      <w:r w:rsidR="003D4C50" w:rsidRPr="00644507">
        <w:tab/>
        <w:t xml:space="preserve">Considerando que los datos de seguimiento de la Agencia Europea de Medio Ambiente indican una contaminación generalizada por sustancias perfluoroalquiladas y polifluoroalquiladas (PFAS), comúnmente conocidas como «sustancias químicas eternas» en aguas europeas, lo que plantea riesgos significativos para los ecosistemas acuáticos y la salud humana; que se ha detectado ácido </w:t>
      </w:r>
      <w:proofErr w:type="spellStart"/>
      <w:r w:rsidR="003D4C50" w:rsidRPr="00644507">
        <w:t>trifluoroacético</w:t>
      </w:r>
      <w:proofErr w:type="spellEnd"/>
      <w:r w:rsidR="003D4C50" w:rsidRPr="00644507">
        <w:t xml:space="preserve"> (TFA) de PFAS de cadena corta en el agua potable en toda Europa; que las PFAS, persisten en el medio ambiente, se </w:t>
      </w:r>
      <w:proofErr w:type="spellStart"/>
      <w:r w:rsidR="003D4C50" w:rsidRPr="00644507">
        <w:t>bioacumulan</w:t>
      </w:r>
      <w:proofErr w:type="spellEnd"/>
      <w:r w:rsidR="003D4C50" w:rsidRPr="00644507">
        <w:t xml:space="preserve"> en organismos vivos y causan efectos (eco)toxicológicos adversos; que, de un grupo de entre 6 000 y 10 000 sustancias individuales, son pocas las que han sido estudiadas en profundidad y cuyo impacto en la salud humana y el medio ambiente se conoce; que el 99 % de las PFAS siguen sin detectarse en el medio ambiente debido a las limitaciones de los controles;</w:t>
      </w:r>
    </w:p>
    <w:p w14:paraId="56C347E0" w14:textId="4E9FF7AF" w:rsidR="003D4C50" w:rsidRPr="00644507" w:rsidRDefault="00FB2312" w:rsidP="003D4C50">
      <w:pPr>
        <w:pStyle w:val="NormalHanging12a"/>
        <w:rPr>
          <w:szCs w:val="24"/>
        </w:rPr>
      </w:pPr>
      <w:r w:rsidRPr="00644507">
        <w:t>AE</w:t>
      </w:r>
      <w:r w:rsidR="003D4C50" w:rsidRPr="00644507">
        <w:t>.</w:t>
      </w:r>
      <w:r w:rsidR="003D4C50" w:rsidRPr="00644507">
        <w:tab/>
        <w:t>Considerando que la falta de normas de calidad a escala de la Unión para las PFAS en las aguas subterráneas y el seguimiento insuficiente de los compuestos de PFAS menos estudiados agravan el reto de lograr un buen estado químico de las aguas de la Unión en consonancia con la Directiva marco sobre el agua y suponen una carga técnica y financiera considerable para los sistemas sanitarios y los proveedores de servicios de agua, al tiempo que ponen en peligro las aplicaciones de reutilización del agua y los lodos de depuradora;</w:t>
      </w:r>
    </w:p>
    <w:p w14:paraId="1CA94A99" w14:textId="69EDCB90" w:rsidR="003D4C50" w:rsidRPr="00644507" w:rsidRDefault="00FB2312" w:rsidP="003D4C50">
      <w:pPr>
        <w:pStyle w:val="NormalHanging12a"/>
        <w:rPr>
          <w:szCs w:val="24"/>
        </w:rPr>
      </w:pPr>
      <w:r w:rsidRPr="00644507">
        <w:t>AF</w:t>
      </w:r>
      <w:r w:rsidR="003D4C50" w:rsidRPr="00644507">
        <w:t>.</w:t>
      </w:r>
      <w:r w:rsidR="003D4C50" w:rsidRPr="00644507">
        <w:tab/>
        <w:t>Considerando que las sustancias químicas peligrosas, en particular metales pesados y otros contaminantes, liberadas en las masas de agua a causa de las actividades industriales afectan significativamente a la calidad del agua y a los ecosistemas acuáticos</w:t>
      </w:r>
      <w:r w:rsidR="003D4C50" w:rsidRPr="00644507">
        <w:rPr>
          <w:vertAlign w:val="superscript"/>
        </w:rPr>
        <w:footnoteReference w:id="49"/>
      </w:r>
      <w:r w:rsidR="003D4C50" w:rsidRPr="00644507">
        <w:t>;</w:t>
      </w:r>
    </w:p>
    <w:p w14:paraId="259F8A7A" w14:textId="62A74F18" w:rsidR="003D4C50" w:rsidRPr="00644507" w:rsidRDefault="00FB2312" w:rsidP="003D4C50">
      <w:pPr>
        <w:pStyle w:val="NormalHanging12a"/>
        <w:rPr>
          <w:szCs w:val="24"/>
        </w:rPr>
      </w:pPr>
      <w:r w:rsidRPr="00644507">
        <w:t>AG</w:t>
      </w:r>
      <w:r w:rsidR="003D4C50" w:rsidRPr="00644507">
        <w:t>.</w:t>
      </w:r>
      <w:r w:rsidR="003D4C50" w:rsidRPr="00644507">
        <w:tab/>
        <w:t>Considerando que cada vez se detectan más fármacos en las aguas superficiales y subterráneas; que la contaminación causada por los residuos farmacéuticos requiere tecnologías de tratamiento del agua avanzadas, como la filtración por membrana, el tratamiento con carbón activado, procesos avanzados de oxidación y otras técnicas innovadoras de depuración;</w:t>
      </w:r>
    </w:p>
    <w:p w14:paraId="74903B51" w14:textId="47922841" w:rsidR="003D4C50" w:rsidRPr="00644507" w:rsidRDefault="00FB2312" w:rsidP="003D4C50">
      <w:pPr>
        <w:pStyle w:val="NormalHanging12a"/>
        <w:rPr>
          <w:szCs w:val="24"/>
        </w:rPr>
      </w:pPr>
      <w:r w:rsidRPr="00644507">
        <w:t>AH</w:t>
      </w:r>
      <w:r w:rsidR="003D4C50" w:rsidRPr="00644507">
        <w:t>.</w:t>
      </w:r>
      <w:r w:rsidR="003D4C50" w:rsidRPr="00644507">
        <w:tab/>
        <w:t>Considerando que la Directiva 2010/75/UE</w:t>
      </w:r>
      <w:r w:rsidR="003D4C50" w:rsidRPr="00644507">
        <w:rPr>
          <w:rStyle w:val="FootnoteReference"/>
        </w:rPr>
        <w:footnoteReference w:id="50"/>
      </w:r>
      <w:r w:rsidR="003D4C50" w:rsidRPr="00644507">
        <w:t xml:space="preserve"> exige que el posible agravamiento del impacto de los vertidos industriales en el estado de las masas de agua debido a las variaciones de la dinámica del flujo de agua se tenga en cuenta explícitamente en la concesión y revisión de los permisos; que las mejores técnicas disponibles incorporarán nuevos conocimientos acerca de los niveles de comportamiento medioambiental relacionados con el agua, así como permisos que traduzcan el uso de estas técnicas en valores límite de comportamiento medioambiental; que se trata de un cambio positivo que podría mejorar la resiliencia de la industria, ya que es posible que las instalaciones de la Unión ya se estén enfrentando estacionalmente a una menor capacidad de producción debido a la escasez de agua;</w:t>
      </w:r>
    </w:p>
    <w:p w14:paraId="5C4079D3" w14:textId="4D1F2BF7" w:rsidR="003D4C50" w:rsidRPr="00644507" w:rsidRDefault="00FB2312" w:rsidP="003D4C50">
      <w:pPr>
        <w:pStyle w:val="NormalHanging12a"/>
        <w:rPr>
          <w:szCs w:val="24"/>
        </w:rPr>
      </w:pPr>
      <w:r w:rsidRPr="00644507">
        <w:t>AI</w:t>
      </w:r>
      <w:r w:rsidR="003D4C50" w:rsidRPr="00644507">
        <w:t>.</w:t>
      </w:r>
      <w:r w:rsidR="003D4C50" w:rsidRPr="00644507">
        <w:tab/>
        <w:t>Considerando que las aguas residuales urbanas son una de las principales fuentes de contaminación del agua, si no se recogen y tratan adecuadamente; que no deben reducirse los objetivos de la Directiva sobre el tratamiento de las aguas residuales urbanas y que su ámbito de aplicación debe extenderse a otros sectores y sustancias que contribuyen a la contaminación del agua;</w:t>
      </w:r>
    </w:p>
    <w:p w14:paraId="308E86F8" w14:textId="3FE68137" w:rsidR="003D4C50" w:rsidRPr="00644507" w:rsidRDefault="00FB2312" w:rsidP="003D4C50">
      <w:pPr>
        <w:pStyle w:val="NormalHanging12a"/>
        <w:rPr>
          <w:szCs w:val="24"/>
        </w:rPr>
      </w:pPr>
      <w:r w:rsidRPr="00644507">
        <w:t>AJ</w:t>
      </w:r>
      <w:r w:rsidR="003D4C50" w:rsidRPr="00644507">
        <w:t>.</w:t>
      </w:r>
      <w:r w:rsidR="003D4C50" w:rsidRPr="00644507">
        <w:tab/>
        <w:t>Considerando que la contaminación por nutrientes en las masas de agua de la Unión provoca eutrofización, pérdida de biodiversidad y degradación de los ecosistemas acuáticos</w:t>
      </w:r>
      <w:r w:rsidR="003D4C50" w:rsidRPr="00644507">
        <w:rPr>
          <w:vertAlign w:val="superscript"/>
        </w:rPr>
        <w:footnoteReference w:id="51"/>
      </w:r>
      <w:r w:rsidR="003D4C50" w:rsidRPr="00644507">
        <w:t>; que la escorrentía de plaguicidas contamina las aguas superficiales y subterráneas, lo que pone en peligro la calidad del agua y la salud humana;</w:t>
      </w:r>
    </w:p>
    <w:p w14:paraId="66DCA079" w14:textId="08F7F6B2" w:rsidR="003D4C50" w:rsidRPr="00644507" w:rsidRDefault="00FB2312" w:rsidP="003D4C50">
      <w:pPr>
        <w:pStyle w:val="NormalHanging12a"/>
        <w:rPr>
          <w:szCs w:val="24"/>
        </w:rPr>
      </w:pPr>
      <w:r w:rsidRPr="00644507">
        <w:t>AK</w:t>
      </w:r>
      <w:r w:rsidR="003D4C50" w:rsidRPr="00644507">
        <w:t>.</w:t>
      </w:r>
      <w:r w:rsidR="003D4C50" w:rsidRPr="00644507">
        <w:tab/>
        <w:t>Considerando que, según las investigaciones científicas, la exposición en Europa al bisfenol A (BPA), una sustancia química sintética que se utiliza en productos de diversos tipos, desde recipientes de plástico y metal para alimentos hasta botellas de agua reutilizables está muy por encima de los niveles aceptables de seguridad para la salud</w:t>
      </w:r>
      <w:r w:rsidR="003D4C50" w:rsidRPr="00644507">
        <w:rPr>
          <w:vertAlign w:val="superscript"/>
        </w:rPr>
        <w:footnoteReference w:id="52"/>
      </w:r>
      <w:r w:rsidR="003D4C50" w:rsidRPr="00644507">
        <w:t>;</w:t>
      </w:r>
    </w:p>
    <w:p w14:paraId="39052DA1" w14:textId="2BBFCABB" w:rsidR="003D4C50" w:rsidRPr="00644507" w:rsidRDefault="00FB2312" w:rsidP="003D4C50">
      <w:pPr>
        <w:pStyle w:val="NormalHanging12a"/>
        <w:rPr>
          <w:szCs w:val="24"/>
        </w:rPr>
      </w:pPr>
      <w:r w:rsidRPr="00644507">
        <w:t>AL</w:t>
      </w:r>
      <w:r w:rsidR="003D4C50" w:rsidRPr="00644507">
        <w:t>.</w:t>
      </w:r>
      <w:r w:rsidR="003D4C50" w:rsidRPr="00644507">
        <w:tab/>
        <w:t>Considerando que la gestión del suelo y de los nutrientes es la base de la mejora de la calidad y la disponibilidad del agua; considerando que la estrategia europea de resiliencia hídrica debe dar prioridad a mejorar la gestión de los nutrientes, con el objetivo de cerrar los circuitos de nutrientes para reducir sus emisiones a las vías navegables; que el uso seguro de los lodos de depuradora en la agricultura también reducirá la enorme dependencia de la Unión de la importación de abonos minerales con fósforo, por ejemplo, procedentes de Rusia; que, por lo tanto, también debe considerarse que el uso seguro de los lodos contribuye a la resiliencia y la autonomía estratégica europeas;</w:t>
      </w:r>
    </w:p>
    <w:p w14:paraId="16B45401" w14:textId="77D12705" w:rsidR="003D4C50" w:rsidRPr="00644507" w:rsidRDefault="00FB2312" w:rsidP="003D4C50">
      <w:pPr>
        <w:pStyle w:val="NormalHanging12a"/>
        <w:rPr>
          <w:szCs w:val="24"/>
        </w:rPr>
      </w:pPr>
      <w:r w:rsidRPr="00644507">
        <w:t>AM</w:t>
      </w:r>
      <w:r w:rsidR="003D4C50" w:rsidRPr="00644507">
        <w:t>.</w:t>
      </w:r>
      <w:r w:rsidR="003D4C50" w:rsidRPr="00644507">
        <w:tab/>
        <w:t>Considerando que el cambio climático representa una grave amenaza para los recursos hídricos y los ecosistemas acuáticos; que un gran número de efectos del cambio climático se manifiestan a través del agua, como por ejemplo sequías más intensas y frecuentes, inundaciones más extremas y precipitaciones estacionales más erráticas; que las inundaciones y la escasez de agua ponen en peligro la seguridad alimentaria e hídrica, así como la salud de la población en general, lo que afecta en última instancia a la cohesión social, la prosperidad económica y a la estabilidad, y pone en peligro la disponibilidad a largo plazo de este valioso recurso;</w:t>
      </w:r>
    </w:p>
    <w:p w14:paraId="1F076E07" w14:textId="2DD2E8C6" w:rsidR="003D4C50" w:rsidRPr="00644507" w:rsidRDefault="00FB2312" w:rsidP="003D4C50">
      <w:pPr>
        <w:pStyle w:val="NormalHanging12a"/>
        <w:rPr>
          <w:szCs w:val="24"/>
        </w:rPr>
      </w:pPr>
      <w:r w:rsidRPr="00644507">
        <w:t>AN</w:t>
      </w:r>
      <w:r w:rsidR="003D4C50" w:rsidRPr="00644507">
        <w:t>.</w:t>
      </w:r>
      <w:r w:rsidR="003D4C50" w:rsidRPr="00644507">
        <w:tab/>
        <w:t>Considerando que la evaluación europea del riesgo climático reconoció que las políticas y las medidas de adaptación de Europa no están a la altura de los riesgos, los cuales crecen cada vez más rápido y amenazan a los ecosistemas, las infraestructuras, el suministro de alimentos y agua, la salud de las personas, la economía y las finanzas</w:t>
      </w:r>
      <w:r w:rsidR="003D4C50" w:rsidRPr="00644507">
        <w:rPr>
          <w:vertAlign w:val="superscript"/>
        </w:rPr>
        <w:footnoteReference w:id="53"/>
      </w:r>
      <w:r w:rsidR="003D4C50" w:rsidRPr="00644507">
        <w:t>;</w:t>
      </w:r>
    </w:p>
    <w:p w14:paraId="7B14B6D7" w14:textId="0F38B472" w:rsidR="003D4C50" w:rsidRPr="00644507" w:rsidRDefault="00FB2312" w:rsidP="003D4C50">
      <w:pPr>
        <w:pStyle w:val="NormalHanging12a"/>
        <w:rPr>
          <w:szCs w:val="24"/>
        </w:rPr>
      </w:pPr>
      <w:r w:rsidRPr="00644507">
        <w:t>AO</w:t>
      </w:r>
      <w:r w:rsidR="003D4C50" w:rsidRPr="00644507">
        <w:t>.</w:t>
      </w:r>
      <w:r w:rsidR="003D4C50" w:rsidRPr="00644507">
        <w:tab/>
        <w:t>Considerando que las evaluaciones del Grupo Intergubernamental de Expertos sobre el Cambio Climático muestran que el aumento del nivel del mar debido al cambio climático está provocando un incremento de la salinidad de los suelos y del agua dulce, lo que pone en peligro la salud de los ecosistemas y la calidad del agua y afecta a ochenta millones de europeos que viven en zonas costeras de baja altitud y llanuras aluviales; que los ecosistemas marinos y de agua dulce están interconectados, ya que la contaminación fluvial, la perturbación de los flujos de sedimentos y la escasez de agua tienen un fuerte impacto en la salud de los ecosistemas marinos, en particular de los costeros, así como en la viabilidad de las actividades sociales y económicas que dependen de ellos, como el transporte, la pesca, la agricultura, la acuicultura y el turismo;</w:t>
      </w:r>
    </w:p>
    <w:p w14:paraId="64B74E10" w14:textId="0D6F3BF4" w:rsidR="003D4C50" w:rsidRPr="00644507" w:rsidRDefault="00FB2312" w:rsidP="003D4C50">
      <w:pPr>
        <w:pStyle w:val="NormalHanging12a"/>
        <w:rPr>
          <w:szCs w:val="24"/>
        </w:rPr>
      </w:pPr>
      <w:r w:rsidRPr="00644507">
        <w:t>AP</w:t>
      </w:r>
      <w:r w:rsidR="003D4C50" w:rsidRPr="00644507">
        <w:t>.</w:t>
      </w:r>
      <w:r w:rsidR="003D4C50" w:rsidRPr="00644507">
        <w:tab/>
        <w:t>Considerando que los episodios de sequía prolongada, calor extremo e inundaciones a gran escala provocados por los cambios en los patrones meteorológicos se intensificarán y se volverán más frecuentes en todo el continente, provocando daños en los ecosistemas y la salud humana, así como graves perturbaciones en las actividades económicas y reduciendo la cantidad y la calidad del agua disponible en general; que preservar los recursos hídricos y las funciones naturales de los ríos, al tiempo que se garantiza un suministro suficiente de agua de buena calidad, se está convirtiendo en un reto importante que requerirá mayores esfuerzos de mitigación del cambio climático y adaptación a este, una gestión eficaz y medidas innovadoras para aumentar la disponibilidad de agua; que la gestión asequible y sostenible de los riesgos de escasez de agua y de inundación será cada vez más importante en toda la Unión;</w:t>
      </w:r>
    </w:p>
    <w:p w14:paraId="673AB4AB" w14:textId="7F5BBE80" w:rsidR="003D4C50" w:rsidRPr="00644507" w:rsidRDefault="00FB2312" w:rsidP="003D4C50">
      <w:pPr>
        <w:pStyle w:val="NormalHanging12a"/>
        <w:rPr>
          <w:szCs w:val="24"/>
        </w:rPr>
      </w:pPr>
      <w:r w:rsidRPr="00644507">
        <w:t>AQ</w:t>
      </w:r>
      <w:r w:rsidR="003D4C50" w:rsidRPr="00644507">
        <w:t>.</w:t>
      </w:r>
      <w:r w:rsidR="003D4C50" w:rsidRPr="00644507">
        <w:tab/>
        <w:t>Considerando que, en 2022, Europa experimentó su verano más cálido y el segundo año más cálido desde que se tienen registros, lo que dio lugar a una sequía que afectó a más del 15 % del territorio de la Unión; que, según los cálculos, las pérdidas económicas medias anuales causadas por las sequías en la Unión entre 1981 y 2010 ascendieron a cerca de 9 000</w:t>
      </w:r>
      <w:r w:rsidR="007911A4" w:rsidRPr="00644507">
        <w:t> 000 000</w:t>
      </w:r>
      <w:r w:rsidR="003D4C50" w:rsidRPr="00644507">
        <w:t xml:space="preserve"> EUR al año; que, sin medidas de adaptación, se estima que las pérdidas anuales por la sequía en Europa y el Reino Unido podrían aumentar a 45 000 </w:t>
      </w:r>
      <w:r w:rsidR="007911A4" w:rsidRPr="00644507">
        <w:t>000 000</w:t>
      </w:r>
      <w:r w:rsidR="003D4C50" w:rsidRPr="00644507">
        <w:t> EUR al año hasta 2100, con un calentamiento de 3 °C</w:t>
      </w:r>
      <w:r w:rsidR="003D4C50" w:rsidRPr="00644507">
        <w:rPr>
          <w:vertAlign w:val="superscript"/>
        </w:rPr>
        <w:footnoteReference w:id="54"/>
      </w:r>
      <w:r w:rsidR="003D4C50" w:rsidRPr="00644507">
        <w:t>; que durante el período 1998-2020 las inundaciones representaron el 43 % de todas las catástrofes ocurridas en Europa; que los efectos del cambio climático y la evolución socioeconómica están provocando inundaciones más frecuentes que afectan a un número creciente de personas y causan daños cada vez mayores; que el 12 % de la población europea vive en llanuras aluviales</w:t>
      </w:r>
      <w:r w:rsidR="003D4C50" w:rsidRPr="00644507">
        <w:rPr>
          <w:vertAlign w:val="superscript"/>
        </w:rPr>
        <w:footnoteReference w:id="55"/>
      </w:r>
      <w:r w:rsidR="003D4C50" w:rsidRPr="00644507">
        <w:t>;</w:t>
      </w:r>
    </w:p>
    <w:p w14:paraId="523203CC" w14:textId="7DA843E9" w:rsidR="003D4C50" w:rsidRPr="00644507" w:rsidRDefault="00FB2312" w:rsidP="003D4C50">
      <w:pPr>
        <w:pStyle w:val="NormalHanging12a"/>
        <w:rPr>
          <w:szCs w:val="24"/>
        </w:rPr>
      </w:pPr>
      <w:r w:rsidRPr="00644507">
        <w:t>AR</w:t>
      </w:r>
      <w:r w:rsidR="003D4C50" w:rsidRPr="00644507">
        <w:t>.</w:t>
      </w:r>
      <w:r w:rsidR="003D4C50" w:rsidRPr="00644507">
        <w:tab/>
        <w:t>Considerando que el coste de la inacción a la hora de abordar los retos relacionados con el agua es extremadamente elevado, dado que el 90 % de las catástrofes están relacionadas con el agua</w:t>
      </w:r>
      <w:r w:rsidR="003D4C50" w:rsidRPr="00644507">
        <w:rPr>
          <w:vertAlign w:val="superscript"/>
        </w:rPr>
        <w:footnoteReference w:id="56"/>
      </w:r>
      <w:r w:rsidR="003D4C50" w:rsidRPr="00644507">
        <w:t>; que, si no se toman medidas políticas, el coste anual de las pérdidas económicas derivadas solo de las inundaciones costeras podría exceder de 1 billón EUR a finales de siglo en la Unión</w:t>
      </w:r>
      <w:r w:rsidR="003D4C50" w:rsidRPr="00644507">
        <w:rPr>
          <w:vertAlign w:val="superscript"/>
        </w:rPr>
        <w:footnoteReference w:id="57"/>
      </w:r>
      <w:r w:rsidR="003D4C50" w:rsidRPr="00644507">
        <w:t xml:space="preserve"> y el coste económico de las sequías en Europa podría superar los 65 000 </w:t>
      </w:r>
      <w:r w:rsidR="007911A4" w:rsidRPr="00644507">
        <w:t>000 000</w:t>
      </w:r>
      <w:r w:rsidR="003D4C50" w:rsidRPr="00644507">
        <w:t> EUR al año de aquí a 2100</w:t>
      </w:r>
      <w:r w:rsidR="003D4C50" w:rsidRPr="00644507">
        <w:rPr>
          <w:vertAlign w:val="superscript"/>
        </w:rPr>
        <w:footnoteReference w:id="58"/>
      </w:r>
      <w:r w:rsidR="003D4C50" w:rsidRPr="00644507">
        <w:t>;</w:t>
      </w:r>
    </w:p>
    <w:p w14:paraId="63C896BA" w14:textId="3B4234F6" w:rsidR="003D4C50" w:rsidRPr="00644507" w:rsidRDefault="00FB2312" w:rsidP="003D4C50">
      <w:pPr>
        <w:pStyle w:val="NormalHanging12a"/>
        <w:rPr>
          <w:szCs w:val="24"/>
        </w:rPr>
      </w:pPr>
      <w:r w:rsidRPr="00644507">
        <w:t>AS</w:t>
      </w:r>
      <w:r w:rsidR="003D4C50" w:rsidRPr="00644507">
        <w:t>.</w:t>
      </w:r>
      <w:r w:rsidR="003D4C50" w:rsidRPr="00644507">
        <w:tab/>
        <w:t>Considerando que existen diferencias significativas entre los Estados miembros en cuanto a disponibilidad de agua, estrategias de gestión y patrones de uso, y que la vulnerabilidad a los efectos del cambio climático puede variar considerablemente; que es necesario un enfoque adaptado para mejorar la resiliencia hídrica y garantizar una gestión sostenible del agua;</w:t>
      </w:r>
    </w:p>
    <w:p w14:paraId="214B53CF" w14:textId="75F689D2" w:rsidR="003D4C50" w:rsidRPr="00644507" w:rsidRDefault="00FB2312" w:rsidP="003D4C50">
      <w:pPr>
        <w:pStyle w:val="NormalHanging12a"/>
        <w:rPr>
          <w:szCs w:val="24"/>
        </w:rPr>
      </w:pPr>
      <w:r w:rsidRPr="00644507">
        <w:t>AT</w:t>
      </w:r>
      <w:r w:rsidR="003D4C50" w:rsidRPr="00644507">
        <w:t>.</w:t>
      </w:r>
      <w:r w:rsidR="003D4C50" w:rsidRPr="00644507">
        <w:tab/>
        <w:t>Considerando que las sequías son una de las primeras consecuencias catastróficas del cambio climático; que alrededor del 23 % del territorio de la Unión es moderadamente sensible a la desertificación y que un 8 % es altamente susceptible; que Hungría, Bulgaria, España e Italia se encuentran entre los países más afectados y que, en España, el 74 % del país está en riesgo de desertificación; que la estrategia europea de resiliencia hídrica no debe limitarse a las sequías prolongadas, sino que debe hacer frente a la realidad de que la línea semiárida se está desplazando al norte, lo que dará lugar a un aumento de las zonas de la Unión que padecerán a largo plazo una falta crónica de disponibilidad de suficientes recursos de agua dulce;</w:t>
      </w:r>
    </w:p>
    <w:p w14:paraId="61DAF7CD" w14:textId="0E122FEF" w:rsidR="003D4C50" w:rsidRPr="00644507" w:rsidRDefault="00FB2312" w:rsidP="003D4C50">
      <w:pPr>
        <w:pStyle w:val="NormalHanging12a"/>
        <w:rPr>
          <w:szCs w:val="24"/>
        </w:rPr>
      </w:pPr>
      <w:r w:rsidRPr="00644507">
        <w:t>AU</w:t>
      </w:r>
      <w:r w:rsidR="003D4C50" w:rsidRPr="00644507">
        <w:t>.</w:t>
      </w:r>
      <w:r w:rsidR="003D4C50" w:rsidRPr="00644507">
        <w:tab/>
        <w:t>Considerando que las políticas sobre desertificación, consumo de agua y cambio climático están estrechamente interconectadas; que, como parte de la Convención de las Naciones Unidas de Lucha contra la Desertificación, la Unión reafirmó en 2015 y posteriormente volvió a confirmar en 2024</w:t>
      </w:r>
      <w:r w:rsidR="003D4C50" w:rsidRPr="00644507">
        <w:rPr>
          <w:vertAlign w:val="superscript"/>
        </w:rPr>
        <w:footnoteReference w:id="59"/>
      </w:r>
      <w:r w:rsidR="003D4C50" w:rsidRPr="00644507">
        <w:t xml:space="preserve"> su compromiso de alcanzar la neutralidad en la degradación del suelo de aquí a 2030, lo que, según el Informe Especial del Tribunal de Cuentas Europeo sobre la desertificación, es poco probable que se logre;</w:t>
      </w:r>
    </w:p>
    <w:p w14:paraId="286157E1" w14:textId="6AC59400" w:rsidR="003D4C50" w:rsidRPr="00644507" w:rsidRDefault="00FB2312" w:rsidP="003D4C50">
      <w:pPr>
        <w:pStyle w:val="NormalHanging12a"/>
        <w:rPr>
          <w:szCs w:val="24"/>
        </w:rPr>
      </w:pPr>
      <w:r w:rsidRPr="00644507">
        <w:t>AV</w:t>
      </w:r>
      <w:r w:rsidR="003D4C50" w:rsidRPr="00644507">
        <w:t>.</w:t>
      </w:r>
      <w:r w:rsidR="003D4C50" w:rsidRPr="00644507">
        <w:tab/>
        <w:t>Considerando que las infraestructuras hídricas pueden contribuir al mantenimiento de un caudal y un suministro constante y predecible de agua; que, en 2022, la media anual de la aportación fluvial en toda Europa fue la segunda más baja desde que se empezaron a tomar registros en 1991</w:t>
      </w:r>
      <w:r w:rsidR="003D4C50" w:rsidRPr="00644507">
        <w:rPr>
          <w:vertAlign w:val="superscript"/>
        </w:rPr>
        <w:footnoteReference w:id="60"/>
      </w:r>
      <w:r w:rsidR="003D4C50" w:rsidRPr="00644507">
        <w:t>;</w:t>
      </w:r>
    </w:p>
    <w:p w14:paraId="39751580" w14:textId="38CBBC56" w:rsidR="003D4C50" w:rsidRPr="00644507" w:rsidRDefault="00FB2312" w:rsidP="003D4C50">
      <w:pPr>
        <w:pStyle w:val="NormalHanging12a"/>
        <w:rPr>
          <w:szCs w:val="24"/>
        </w:rPr>
      </w:pPr>
      <w:r w:rsidRPr="00644507">
        <w:t>AW</w:t>
      </w:r>
      <w:r w:rsidR="003D4C50" w:rsidRPr="00644507">
        <w:t>.</w:t>
      </w:r>
      <w:r w:rsidR="003D4C50" w:rsidRPr="00644507">
        <w:tab/>
        <w:t>Considerando que las zonas situadas aguas abajo dependen particularmente de la gestión y la captación de los recursos hídricos que se haga aguas arriba; que, de conformidad con la Directiva marco sobre el agua, los Estados miembros deben abstenerse de aplicar medidas que hagan aumentar de modo significativo el riesgo de inundación en regiones de otros países situadas río abajo o río arriba en la misma cuenca hidrográfica;</w:t>
      </w:r>
    </w:p>
    <w:p w14:paraId="5BC6A345" w14:textId="7B04FE4A" w:rsidR="003D4C50" w:rsidRPr="00644507" w:rsidRDefault="00FB2312" w:rsidP="003D4C50">
      <w:pPr>
        <w:pStyle w:val="NormalHanging12a"/>
        <w:rPr>
          <w:szCs w:val="24"/>
        </w:rPr>
      </w:pPr>
      <w:r w:rsidRPr="00644507">
        <w:t>AX</w:t>
      </w:r>
      <w:r w:rsidR="003D4C50" w:rsidRPr="00644507">
        <w:t>.</w:t>
      </w:r>
      <w:r w:rsidR="003D4C50" w:rsidRPr="00644507">
        <w:tab/>
        <w:t>Considerando que las soluciones basadas en la naturaleza son intervenciones pertinentes que, si se adaptan a ecosistemas y necesidades específicos, pueden aumentar la resiliencia en el ciclo del agua y aportar múltiples beneficios en términos de protección de la biodiversidad, captura de carbono, mejora de la calidad del agua, retención de nutrientes, suministro de agua potable, prevención de incendios forestales y mitigación del riesgo de inundación; que las soluciones basadas en la naturaleza pueden mejorar la eficacia y la vida útil de las infraestructuras hídricas, garantizando así, en muchos casos, la complementariedad de ambas soluciones;</w:t>
      </w:r>
    </w:p>
    <w:p w14:paraId="6E726AC0" w14:textId="099C4EED" w:rsidR="003D4C50" w:rsidRPr="00644507" w:rsidRDefault="00FB2312" w:rsidP="003D4C50">
      <w:pPr>
        <w:pStyle w:val="NormalHanging12a"/>
        <w:rPr>
          <w:szCs w:val="24"/>
        </w:rPr>
      </w:pPr>
      <w:r w:rsidRPr="00644507">
        <w:t>AY</w:t>
      </w:r>
      <w:r w:rsidR="003D4C50" w:rsidRPr="00644507">
        <w:t>.</w:t>
      </w:r>
      <w:r w:rsidR="003D4C50" w:rsidRPr="00644507">
        <w:tab/>
        <w:t>Considerando que las medidas de retención natural del agua son soluciones basadas en la naturaleza cuyo objetivo es almacenar agua en entornos naturales, agrícolas, forestales y urbanos;</w:t>
      </w:r>
    </w:p>
    <w:p w14:paraId="36763C0A" w14:textId="4C8C9F42" w:rsidR="003D4C50" w:rsidRPr="00644507" w:rsidRDefault="00FB2312" w:rsidP="003D4C50">
      <w:pPr>
        <w:pStyle w:val="NormalHanging12a"/>
        <w:rPr>
          <w:szCs w:val="24"/>
        </w:rPr>
      </w:pPr>
      <w:r w:rsidRPr="00644507">
        <w:t>AZ</w:t>
      </w:r>
      <w:r w:rsidR="003D4C50" w:rsidRPr="00644507">
        <w:t>.</w:t>
      </w:r>
      <w:r w:rsidR="003D4C50" w:rsidRPr="00644507">
        <w:tab/>
        <w:t>Considerando que el agua no es un bien comercial como los demás, sino un patrimonio que hay que proteger, defender y tratar como tal; que, de conformidad con la Directiva (UE) 2024/1203 relativa a la protección del medio ambiente mediante el Derecho penal</w:t>
      </w:r>
      <w:r w:rsidR="003D4C50" w:rsidRPr="00644507">
        <w:rPr>
          <w:rStyle w:val="FootnoteReference"/>
        </w:rPr>
        <w:footnoteReference w:id="61"/>
      </w:r>
      <w:r w:rsidR="003D4C50" w:rsidRPr="00644507">
        <w:t>, la extracción de aguas superficiales o aguas subterráneas en el sentido de la Directiva marco sobre el agua constituye un delito cuando dicha conducta sea ilícita e intencionada y cause o pueda causar daños sustanciales al estado ecológico o al potencial ecológico de las masas de agua superficial o al estado cuantitativo de las masas de agua subterránea;</w:t>
      </w:r>
    </w:p>
    <w:p w14:paraId="70EA21DF" w14:textId="49C6738E" w:rsidR="003D4C50" w:rsidRPr="00644507" w:rsidRDefault="00FB2312" w:rsidP="003D4C50">
      <w:pPr>
        <w:pStyle w:val="NormalHanging12a"/>
        <w:rPr>
          <w:szCs w:val="24"/>
        </w:rPr>
      </w:pPr>
      <w:r w:rsidRPr="00644507">
        <w:t>BA</w:t>
      </w:r>
      <w:r w:rsidR="003D4C50" w:rsidRPr="00644507">
        <w:t>.</w:t>
      </w:r>
      <w:r w:rsidR="003D4C50" w:rsidRPr="00644507">
        <w:tab/>
        <w:t>Considerando que la biodiversidad del suelo y su contenido en carbono orgánico afectan a la capacidad de retención de agua; que la erosión del suelo, su compactación y determinadas prácticas de gestión del suelo que provocan su degradación dan lugar a una disminución constante de su capacidad de retención de agua, lo que tiene como consecuencia un agravamiento de las sequías y las inundaciones, con un efecto negativo directo en la agricultura; que, por lo tanto, un suelo sano es uno de los factores que impulsan la resiliencia hídrica, que a su vez debe abordarse y gestionarse individualmente en cada cuenca hidrográfica; que una mejor gestión del territorio es fundamental para la prevención de catástrofes;</w:t>
      </w:r>
    </w:p>
    <w:p w14:paraId="61226AD6" w14:textId="5D4BDA7D" w:rsidR="003D4C50" w:rsidRPr="00644507" w:rsidRDefault="00FB2312" w:rsidP="003D4C50">
      <w:pPr>
        <w:pStyle w:val="NormalHanging12a"/>
        <w:rPr>
          <w:szCs w:val="24"/>
        </w:rPr>
      </w:pPr>
      <w:r w:rsidRPr="00644507">
        <w:t>BB</w:t>
      </w:r>
      <w:r w:rsidR="003D4C50" w:rsidRPr="00644507">
        <w:t>.</w:t>
      </w:r>
      <w:r w:rsidR="003D4C50" w:rsidRPr="00644507">
        <w:tab/>
        <w:t>Considerando que el actual marco financiero plurianual (MFP) incluye un objetivo ambicioso, pero no vinculante de dedicar al menos el 7,5 % del gasto anual de la Unión a los objetivos de biodiversidad en 2024 y el 10 % tanto en 2026 como en 2027; que el nuevo marco financiero debe dar prioridad al agua con vistas a asignar recursos suficientes a la futura estrategia europea de resiliencia hídrica con el fin de garantizar la resiliencia de las infraestructuras y los ecosistemas hídricos, la seguridad del suministro de agua, y facilitar las inversiones en soluciones innovadoras;</w:t>
      </w:r>
    </w:p>
    <w:p w14:paraId="00697348" w14:textId="4209C753" w:rsidR="003D4C50" w:rsidRPr="00644507" w:rsidRDefault="00FB2312" w:rsidP="003D4C50">
      <w:pPr>
        <w:pStyle w:val="NormalHanging12a"/>
        <w:rPr>
          <w:szCs w:val="24"/>
        </w:rPr>
      </w:pPr>
      <w:r w:rsidRPr="00644507">
        <w:t>BC</w:t>
      </w:r>
      <w:r w:rsidR="003D4C50" w:rsidRPr="00644507">
        <w:t>.</w:t>
      </w:r>
      <w:r w:rsidR="003D4C50" w:rsidRPr="00644507">
        <w:tab/>
        <w:t>Considerando que la financiación de la cohesión ha resultado fundamental en la mejora de los servicios de agua y saneamiento en todos los Estados miembros; que se requiere un apoyo continuo para garantizar su resiliencia a largo plazo y el cumplimiento de normas de calidad cada vez más estrictas;</w:t>
      </w:r>
    </w:p>
    <w:p w14:paraId="687834F8" w14:textId="0C3093CC" w:rsidR="003D4C50" w:rsidRPr="00644507" w:rsidRDefault="00FB2312" w:rsidP="003D4C50">
      <w:pPr>
        <w:pStyle w:val="NormalHanging12a"/>
        <w:rPr>
          <w:szCs w:val="24"/>
        </w:rPr>
      </w:pPr>
      <w:r w:rsidRPr="00644507">
        <w:t>BD</w:t>
      </w:r>
      <w:r w:rsidR="003D4C50" w:rsidRPr="00644507">
        <w:t>.</w:t>
      </w:r>
      <w:r w:rsidR="003D4C50" w:rsidRPr="00644507">
        <w:tab/>
        <w:t>Considerando que las políticas de precios pueden mejorar la eficiencia del uso del agua; que estas políticas son competencia nacional y tienen en cuenta las diferencias regionales en lo que respecta a la disponibilidad de agua y las fuentes de suministro de agua; que los precios pueden jugar un papel importante a la hora de animar a los hogares y a otros sectores de la economía a optimizar el consumo, así como para garantizar que los usuarios del agua participen efectivamente en la recuperación de los costes de los servicios relacionados con el agua; que las políticas de precios también deben tener en cuenta la asequibilidad para los hogares y las pequeñas empresas;</w:t>
      </w:r>
    </w:p>
    <w:p w14:paraId="6695078D" w14:textId="3EA2A804" w:rsidR="003D4C50" w:rsidRPr="00644507" w:rsidRDefault="00FB2312" w:rsidP="003D4C50">
      <w:pPr>
        <w:pStyle w:val="NormalHanging12a"/>
        <w:rPr>
          <w:szCs w:val="24"/>
        </w:rPr>
      </w:pPr>
      <w:r w:rsidRPr="00644507">
        <w:t>BE</w:t>
      </w:r>
      <w:r w:rsidR="003D4C50" w:rsidRPr="00644507">
        <w:t>.</w:t>
      </w:r>
      <w:r w:rsidR="003D4C50" w:rsidRPr="00644507">
        <w:tab/>
        <w:t>Considerando que la digitalización y la innovación pueden ayudar eficazmente a los Estados miembros, a los organismos regionales y a la Comisión a recopilar datos sobre la gestión del agua y a supervisar dicha gestión; que la Unión está a la vanguardia de los nuevos avances tecnológicos en el sector del agua, ya que posee el 40 % de todas las familias internacionales de patentes en este sector entre 1992 y 2021</w:t>
      </w:r>
      <w:r w:rsidR="003D4C50" w:rsidRPr="00644507">
        <w:rPr>
          <w:vertAlign w:val="superscript"/>
        </w:rPr>
        <w:footnoteReference w:id="62"/>
      </w:r>
      <w:r w:rsidR="003D4C50" w:rsidRPr="00644507">
        <w:t>, que debe fomentarse y apoyarse esta posición, y aprovecharse plenamente el potencial del mercado interior; que es necesario examinar los obstáculos a la introducción y la expansión de las nuevas tecnologías relacionadas con el agua y garantizar unas condiciones de competencia equitativas a escala europea; que es necesario seguir apoyando la investigación en innovación en tecnologías relacionadas con el agua para garantizar y crear puestos de trabajo e impulsar la competitividad europea;</w:t>
      </w:r>
    </w:p>
    <w:p w14:paraId="7E4FA54E" w14:textId="0114700F" w:rsidR="003D4C50" w:rsidRPr="00644507" w:rsidRDefault="00FB2312" w:rsidP="003D4C50">
      <w:pPr>
        <w:pStyle w:val="NormalHanging12a"/>
        <w:rPr>
          <w:szCs w:val="24"/>
        </w:rPr>
      </w:pPr>
      <w:r w:rsidRPr="00644507">
        <w:t>BF</w:t>
      </w:r>
      <w:r w:rsidR="003D4C50" w:rsidRPr="00644507">
        <w:t>.</w:t>
      </w:r>
      <w:r w:rsidR="003D4C50" w:rsidRPr="00644507">
        <w:tab/>
        <w:t>Considerando que la innovación es una herramienta crucial para ayudar al sector del agua a afrontar los retos de los ODS de las Naciones Unidas, adaptarse al cambio climático y aumentar su eficiencia hídrica;</w:t>
      </w:r>
    </w:p>
    <w:p w14:paraId="50858F8E" w14:textId="081B9152" w:rsidR="003D4C50" w:rsidRPr="00644507" w:rsidRDefault="00FB2312" w:rsidP="003D4C50">
      <w:pPr>
        <w:pStyle w:val="NormalHanging12a"/>
        <w:rPr>
          <w:szCs w:val="24"/>
        </w:rPr>
      </w:pPr>
      <w:r w:rsidRPr="00644507">
        <w:t>BG</w:t>
      </w:r>
      <w:r w:rsidR="003D4C50" w:rsidRPr="00644507">
        <w:t>.</w:t>
      </w:r>
      <w:r w:rsidR="003D4C50" w:rsidRPr="00644507">
        <w:tab/>
        <w:t>Considerando que el despliegue de tecnologías de seguimiento y modelización sigue retrasado en muchos Estados miembros y que la digitalización del sector es demasiado lenta; que las disposiciones sobre los planes hidrológicos de cuenca de la Directiva marco sobre el agua no incluyen explícitamente medidas concretas para digitalizar el sector del agua; que las deficiencias comunes de las políticas actuales para aprovechar las posibles soluciones digitales están relacionadas con la falta de orientación tecnológica, normas de seguimiento, integración de políticas, normalización y participación pública;</w:t>
      </w:r>
    </w:p>
    <w:p w14:paraId="2EE11BEB" w14:textId="24A2AE2A" w:rsidR="003D4C50" w:rsidRPr="00644507" w:rsidRDefault="00FB2312" w:rsidP="003D4C50">
      <w:pPr>
        <w:pStyle w:val="NormalHanging12a"/>
        <w:rPr>
          <w:szCs w:val="24"/>
        </w:rPr>
      </w:pPr>
      <w:r w:rsidRPr="00644507">
        <w:t>BH</w:t>
      </w:r>
      <w:r w:rsidR="003D4C50" w:rsidRPr="00644507">
        <w:t>.</w:t>
      </w:r>
      <w:r w:rsidR="003D4C50" w:rsidRPr="00644507">
        <w:tab/>
        <w:t>Considerando que el sector del agua es vulnerable a diversas amenazas, en particular ataques físicos, ciberataques y contaminación por agentes nocivos; que estos incidentes podrían dar lugar a la propagación de enfermedades, muertes y perturbaciones del servicio, lo que afectaría significativamente a la salud pública, el medio ambiente y la estabilidad económica; que la digitalización de la gestión del agua podría añadir nuevos riesgos para la seguridad en un contexto de aumento de los ataques hostiles a infraestructuras críticas; que la aplicación de la Directiva SRI 2 y de la Directiva relativa a la resiliencia de las entidades críticas puede contribuir a mitigar los riesgos derivados de tensiones geopolíticas para la seguridad de las infraestructuras y los sistemas de agua (potable) vitales;</w:t>
      </w:r>
    </w:p>
    <w:p w14:paraId="0CF8DE57" w14:textId="10004928" w:rsidR="003D4C50" w:rsidRPr="00644507" w:rsidRDefault="00FB2312" w:rsidP="003D4C50">
      <w:pPr>
        <w:pStyle w:val="NormalHanging12a"/>
        <w:rPr>
          <w:szCs w:val="24"/>
        </w:rPr>
      </w:pPr>
      <w:r w:rsidRPr="00644507">
        <w:t>BI</w:t>
      </w:r>
      <w:r w:rsidR="003D4C50" w:rsidRPr="00644507">
        <w:t>.</w:t>
      </w:r>
      <w:r w:rsidR="003D4C50" w:rsidRPr="00644507">
        <w:tab/>
        <w:t>Considerando que los avances en tecnología de sensores, informática, inteligencia artificial (IA) y gestión de macrodatos pueden ayudar a realizar un seguimiento de la cantidad y la calidad del agua y a fundamentar las decisiones operativas de los responsables políticos y las empresas de gestión del agua; que existen innovaciones en el ámbito de los sistemas basados en la naturaleza para gestionar el agua que pueden contribuir a una gestión resiliente del agua;</w:t>
      </w:r>
    </w:p>
    <w:p w14:paraId="42766C86" w14:textId="76032EB9" w:rsidR="003D4C50" w:rsidRPr="00644507" w:rsidRDefault="00FB2312" w:rsidP="003D4C50">
      <w:pPr>
        <w:pStyle w:val="NormalHanging12a"/>
        <w:rPr>
          <w:szCs w:val="24"/>
        </w:rPr>
      </w:pPr>
      <w:r w:rsidRPr="00644507">
        <w:t>BJ</w:t>
      </w:r>
      <w:r w:rsidR="003D4C50" w:rsidRPr="00644507">
        <w:t>.</w:t>
      </w:r>
      <w:r w:rsidR="003D4C50" w:rsidRPr="00644507">
        <w:tab/>
        <w:t>Considerando que el consumo de agua es un componente crítico en el ciclo de vida de la IA, tanto en la operación de los centros de datos como en la fabricación de hardware; considerando que la rápida expansión de la tecnología podría llevar a un aumento exponencial en su demanda de recursos hídricos; considerando que esta dependencia de un recurso cada vez más escaso plantea desafíos significativos en términos de sostenibilidad; que las tecnologías estratégicas, como los semiconductores, el hidrógeno, las baterías de vehículos eléctricos y los centros de datos, desempeñan un papel clave en la consecución de una Unión competitiva y autónoma;</w:t>
      </w:r>
    </w:p>
    <w:p w14:paraId="542E1E01" w14:textId="732477B0" w:rsidR="003D4C50" w:rsidRPr="00644507" w:rsidRDefault="00FB2312" w:rsidP="003D4C50">
      <w:pPr>
        <w:pStyle w:val="NormalHanging12a"/>
        <w:rPr>
          <w:szCs w:val="24"/>
        </w:rPr>
      </w:pPr>
      <w:r w:rsidRPr="00644507">
        <w:t>BK</w:t>
      </w:r>
      <w:r w:rsidR="003D4C50" w:rsidRPr="00644507">
        <w:t>.</w:t>
      </w:r>
      <w:r w:rsidR="003D4C50" w:rsidRPr="00644507">
        <w:tab/>
        <w:t>Considerando que ya hay disponibles enfriadores y sistemas de torre de refrigeración basados en tecnologías de refrigeración innovadoras, como el enfriamiento por evaporación de agua y la refrigeración de circuito cerrado, que pueden contribuir a reducir el consumo de agua en aplicaciones industriales, sistemas de calefacción, ventilación y aire acondicionado;</w:t>
      </w:r>
    </w:p>
    <w:p w14:paraId="0841F797" w14:textId="59108290" w:rsidR="003D4C50" w:rsidRPr="00644507" w:rsidRDefault="00FB2312" w:rsidP="003D4C50">
      <w:pPr>
        <w:pStyle w:val="NormalHanging12a"/>
        <w:rPr>
          <w:szCs w:val="24"/>
        </w:rPr>
      </w:pPr>
      <w:r w:rsidRPr="00644507">
        <w:t>BL</w:t>
      </w:r>
      <w:r w:rsidR="003D4C50" w:rsidRPr="00644507">
        <w:t>.</w:t>
      </w:r>
      <w:r w:rsidR="003D4C50" w:rsidRPr="00644507">
        <w:tab/>
        <w:t>Se debe potenciar la investigación para lograr materias activas alternativas para luchar contra las plagas, a fin de garantizar una mayor sanidad vegetal y reducir el uso de insumos y productos fitosanitarios;</w:t>
      </w:r>
    </w:p>
    <w:p w14:paraId="65C40C8F" w14:textId="696DB03E" w:rsidR="003D4C50" w:rsidRPr="00644507" w:rsidRDefault="00FB2312" w:rsidP="003D4C50">
      <w:pPr>
        <w:pStyle w:val="NormalHanging12a"/>
      </w:pPr>
      <w:r w:rsidRPr="00644507">
        <w:t>BM</w:t>
      </w:r>
      <w:r w:rsidR="003D4C50" w:rsidRPr="00644507">
        <w:t>.</w:t>
      </w:r>
      <w:r w:rsidR="003D4C50" w:rsidRPr="00644507">
        <w:tab/>
        <w:t>Considerando que la resiliencia hídrica es crucial para la educación y la enseñanza, así como para la sensibilización y la información sobre el funcionamiento del ciclo del agua;</w:t>
      </w:r>
    </w:p>
    <w:p w14:paraId="2D22A656" w14:textId="300F23E0" w:rsidR="003D4C50" w:rsidRPr="00644507" w:rsidRDefault="00FB2312" w:rsidP="003D4C50">
      <w:pPr>
        <w:pStyle w:val="NormalHanging12a"/>
      </w:pPr>
      <w:r w:rsidRPr="00644507">
        <w:t>BN</w:t>
      </w:r>
      <w:r w:rsidR="003D4C50" w:rsidRPr="00644507">
        <w:t>.</w:t>
      </w:r>
      <w:r w:rsidR="003D4C50" w:rsidRPr="00644507">
        <w:tab/>
        <w:t>Considerando que el acceso limitado al agua y a las infraestructuras conexas tiene un impacto negativo, especialmente en las mujeres, ya que perjudica a la realización de otros derechos humanos, como la autodeterminación, la independencia económica y la educación;</w:t>
      </w:r>
    </w:p>
    <w:p w14:paraId="255409A9" w14:textId="4FE00AB0" w:rsidR="003D4C50" w:rsidRPr="00644507" w:rsidRDefault="00FB2312" w:rsidP="003D4C50">
      <w:pPr>
        <w:pStyle w:val="NormalHanging12a"/>
        <w:rPr>
          <w:szCs w:val="24"/>
        </w:rPr>
      </w:pPr>
      <w:r w:rsidRPr="00644507">
        <w:t>BO</w:t>
      </w:r>
      <w:r w:rsidR="003D4C50" w:rsidRPr="00644507">
        <w:t>.</w:t>
      </w:r>
      <w:r w:rsidR="003D4C50" w:rsidRPr="00644507">
        <w:tab/>
        <w:t>Considerando que el 60 % de las demarcaciones hidrográficas europeas son transnacionales, lo que hace esencial una cooperación transfronteriza eficaz; que veinte países europeos dependen de otros países para más del 10 % de sus recursos hídricos y que, en el caso de cinco países, más del 75 % de los recursos proceden del extranjero a través de ríos</w:t>
      </w:r>
      <w:r w:rsidR="003D4C50" w:rsidRPr="00644507">
        <w:rPr>
          <w:vertAlign w:val="superscript"/>
        </w:rPr>
        <w:footnoteReference w:id="63"/>
      </w:r>
      <w:r w:rsidR="003D4C50" w:rsidRPr="00644507">
        <w:t>; que conviene reforzar esta cooperación para tener en cuenta los retos climáticos actuales y futuros, como las sequías y las inundaciones;</w:t>
      </w:r>
    </w:p>
    <w:p w14:paraId="240358C3" w14:textId="6106D242" w:rsidR="003D4C50" w:rsidRPr="00644507" w:rsidRDefault="00FB2312" w:rsidP="003D4C50">
      <w:pPr>
        <w:pStyle w:val="NormalHanging12a"/>
        <w:rPr>
          <w:szCs w:val="24"/>
        </w:rPr>
      </w:pPr>
      <w:r w:rsidRPr="00644507">
        <w:t>BP</w:t>
      </w:r>
      <w:r w:rsidR="003D4C50" w:rsidRPr="00644507">
        <w:t>.</w:t>
      </w:r>
      <w:r w:rsidR="003D4C50" w:rsidRPr="00644507">
        <w:tab/>
        <w:t xml:space="preserve">Considerando que el secretario general de las Naciones Unidas, </w:t>
      </w:r>
      <w:proofErr w:type="spellStart"/>
      <w:r w:rsidR="003D4C50" w:rsidRPr="00644507">
        <w:t>António</w:t>
      </w:r>
      <w:proofErr w:type="spellEnd"/>
      <w:r w:rsidR="003D4C50" w:rsidRPr="00644507">
        <w:t> </w:t>
      </w:r>
      <w:proofErr w:type="spellStart"/>
      <w:r w:rsidR="003D4C50" w:rsidRPr="00644507">
        <w:t>Guterres</w:t>
      </w:r>
      <w:proofErr w:type="spellEnd"/>
      <w:r w:rsidR="003D4C50" w:rsidRPr="00644507">
        <w:t>, nombró una enviada especial para el agua, con el objetivo de mejorar la cooperación internacional y las sinergias entre los procesos internacionales del agua;</w:t>
      </w:r>
    </w:p>
    <w:p w14:paraId="2F70E571" w14:textId="5DBD2363" w:rsidR="003D4C50" w:rsidRPr="00644507" w:rsidRDefault="00FB2312" w:rsidP="003D4C50">
      <w:pPr>
        <w:pStyle w:val="NormalHanging12a"/>
        <w:rPr>
          <w:szCs w:val="24"/>
        </w:rPr>
      </w:pPr>
      <w:r w:rsidRPr="00644507">
        <w:t>BQ</w:t>
      </w:r>
      <w:r w:rsidR="003D4C50" w:rsidRPr="00644507">
        <w:t>.</w:t>
      </w:r>
      <w:r w:rsidR="003D4C50" w:rsidRPr="00644507">
        <w:tab/>
        <w:t>Considerando que el acceso a agua limpia y las infraestructuras de saneamiento sostenibles y resilientes son componentes clave del concepto «Una sola salud», que reconoce la interconexión entre la salud humana y la contaminación del agua;</w:t>
      </w:r>
    </w:p>
    <w:p w14:paraId="191EE729" w14:textId="3C037F02" w:rsidR="003D4C50" w:rsidRPr="00644507" w:rsidRDefault="00FB2312" w:rsidP="003D4C50">
      <w:pPr>
        <w:pStyle w:val="NormalHanging12a"/>
        <w:rPr>
          <w:szCs w:val="24"/>
        </w:rPr>
      </w:pPr>
      <w:r w:rsidRPr="00644507">
        <w:t>BR</w:t>
      </w:r>
      <w:r w:rsidR="003D4C50" w:rsidRPr="00644507">
        <w:t>.</w:t>
      </w:r>
      <w:r w:rsidR="003D4C50" w:rsidRPr="00644507">
        <w:tab/>
        <w:t>Considerando que la cooperación en materia de agua entre fronteras y sectores genera multitud de beneficios, entre otras cosas mejorando la seguridad alimentaria, sosteniendo medios de vida y ecosistemas saludables, ayudando a abordar la resiliencia al cambio climático, contribuyendo a la reducción del riesgo de catástrofes, facilitando energía renovable, apoyando a las ciudades y la industria y fomentando la integración regional y la paz;</w:t>
      </w:r>
    </w:p>
    <w:p w14:paraId="5196D1D5" w14:textId="6D2C34BC" w:rsidR="003D4C50" w:rsidRPr="00644507" w:rsidRDefault="00FB2312" w:rsidP="003D4C50">
      <w:pPr>
        <w:pStyle w:val="NormalHanging12a"/>
        <w:rPr>
          <w:szCs w:val="24"/>
        </w:rPr>
      </w:pPr>
      <w:r w:rsidRPr="00644507">
        <w:t>BS</w:t>
      </w:r>
      <w:r w:rsidR="003D4C50" w:rsidRPr="00644507">
        <w:t>.</w:t>
      </w:r>
      <w:r w:rsidR="003D4C50" w:rsidRPr="00644507">
        <w:tab/>
        <w:t>Considerando que los acontecimientos geopolíticos demuestran que la Unión debe estar preparada para hacer frente a los retos que van más allá del ámbito medioambiental; que las amenazas no medioambientales, como los recientes accidentes derivados del cable dañado en el mar Báltico, envían a la Unión un mensaje claro de que el refuerzo de la cooperación transfronteriza es la clave para abordar los objetivos tanto medioambientales como de seguridad;</w:t>
      </w:r>
    </w:p>
    <w:p w14:paraId="21FCAC3A" w14:textId="53EFF54D" w:rsidR="003D4C50" w:rsidRPr="00644507" w:rsidRDefault="00FB2312" w:rsidP="003D4C50">
      <w:pPr>
        <w:pStyle w:val="NormalHanging12a"/>
        <w:rPr>
          <w:szCs w:val="24"/>
        </w:rPr>
      </w:pPr>
      <w:r w:rsidRPr="00644507">
        <w:t>BT</w:t>
      </w:r>
      <w:r w:rsidR="003D4C50" w:rsidRPr="00644507">
        <w:t>.</w:t>
      </w:r>
      <w:r w:rsidR="003D4C50" w:rsidRPr="00644507">
        <w:tab/>
        <w:t>Considerando que a través de veinticinco Estados miembros transcurren alrededor de 41 000 kilómetros de vías navegables interiores; que las vías navegables interiores, que dependen de la disponibilidad de recursos hídricos, desempeñan un papel crucial a la hora de optimizar el suministro de agua y mitigar el efecto de las sequías e inundaciones, así como de favorecer las actividades económicas y el desarrollo de las regiones;</w:t>
      </w:r>
    </w:p>
    <w:p w14:paraId="7567EA5C" w14:textId="37A25F1E" w:rsidR="003D4C50" w:rsidRPr="00644507" w:rsidRDefault="00FB2312" w:rsidP="003D4C50">
      <w:pPr>
        <w:pStyle w:val="NormalHanging12a"/>
      </w:pPr>
      <w:r w:rsidRPr="00644507">
        <w:t>BU</w:t>
      </w:r>
      <w:r w:rsidR="003D4C50" w:rsidRPr="00644507">
        <w:t>.</w:t>
      </w:r>
      <w:r w:rsidR="003D4C50" w:rsidRPr="00644507">
        <w:tab/>
        <w:t>Considerando que la creciente escasez de agua, las desigualdades en el acceso al agua y las perturbaciones externas en el sector del agua han aumentado las interdependencias, lo que, a su vez, aumenta la competencia por el agua y da lugar a complejas repercusiones económicas;</w:t>
      </w:r>
    </w:p>
    <w:p w14:paraId="2E96BB97" w14:textId="77777777" w:rsidR="003D4C50" w:rsidRPr="00644507" w:rsidRDefault="003D4C50" w:rsidP="003D4C50">
      <w:pPr>
        <w:pStyle w:val="Normal12a24b"/>
      </w:pPr>
      <w:r w:rsidRPr="00644507">
        <w:rPr>
          <w:rStyle w:val="BoldItalic"/>
        </w:rPr>
        <w:t>Observaciones generales</w:t>
      </w:r>
    </w:p>
    <w:p w14:paraId="67A7668C" w14:textId="77777777" w:rsidR="003D4C50" w:rsidRPr="00644507" w:rsidRDefault="003D4C50" w:rsidP="003D4C50">
      <w:pPr>
        <w:pStyle w:val="NormalHanging12a"/>
        <w:rPr>
          <w:szCs w:val="24"/>
        </w:rPr>
      </w:pPr>
      <w:r w:rsidRPr="00644507">
        <w:t>1.</w:t>
      </w:r>
      <w:r w:rsidRPr="00644507">
        <w:tab/>
        <w:t>Acoge con satisfacción y apoya el anuncio de la presidenta Von der </w:t>
      </w:r>
      <w:proofErr w:type="spellStart"/>
      <w:r w:rsidRPr="00644507">
        <w:t>Leyen</w:t>
      </w:r>
      <w:proofErr w:type="spellEnd"/>
      <w:r w:rsidRPr="00644507">
        <w:t xml:space="preserve"> en las orientaciones políticas para la próxima Comisión Europea (2024</w:t>
      </w:r>
      <w:r w:rsidRPr="00644507">
        <w:noBreakHyphen/>
        <w:t>2029) sobre la presentación de una estrategia europea de resiliencia hídrica que aborde la eficiencia hídrica, la escasez, la contaminación y los riesgos relacionados con el agua, así como el reconocimiento de que el agua es un recurso indispensable que está cada vez más amenazado por el cambio climático y el aumento de la demanda;</w:t>
      </w:r>
    </w:p>
    <w:p w14:paraId="1C15E8C5" w14:textId="77777777" w:rsidR="003D4C50" w:rsidRPr="00644507" w:rsidRDefault="003D4C50" w:rsidP="003D4C50">
      <w:pPr>
        <w:pStyle w:val="NormalHanging12a"/>
        <w:rPr>
          <w:szCs w:val="24"/>
        </w:rPr>
      </w:pPr>
      <w:r w:rsidRPr="00644507">
        <w:t>2.</w:t>
      </w:r>
      <w:r w:rsidRPr="00644507">
        <w:tab/>
        <w:t>Considera que, al aplicar la legislación, debe tenerse en cuenta la competitividad económica, en consonancia con la Brújula para la Competitividad; pide la aplicación de la legislación medioambiental de la Unión con el fin de construir una Europa resiliente y competitiva, mitigar el cambio climático y adaptarse a él, detener la pérdida de biodiversidad, prevenir la contaminación, garantizar la seguridad alimentaria, limitar el uso y el desperdicio de recursos, y esforzarse por un uso eficiente de los recursos, incluida el agua, teniendo en cuenta al mismo tiempo los principios de precaución, de control en la fuente y de que quien contamina paga; destaca el hecho de que la disponibilidad de agua afecta a la cantidad, la calidad, la variedad y la disponibilidad estacional de los alimentos que pueden producirse;</w:t>
      </w:r>
    </w:p>
    <w:p w14:paraId="0F8F943A" w14:textId="77777777" w:rsidR="003D4C50" w:rsidRPr="00644507" w:rsidRDefault="003D4C50" w:rsidP="003D4C50">
      <w:pPr>
        <w:pStyle w:val="NormalHanging12a"/>
        <w:rPr>
          <w:szCs w:val="24"/>
        </w:rPr>
      </w:pPr>
      <w:r w:rsidRPr="00644507">
        <w:t>3.</w:t>
      </w:r>
      <w:r w:rsidRPr="00644507">
        <w:tab/>
        <w:t>Pide a la Unión que integre sus compromisos con el Diálogo de Bakú sobre el Agua para la Acción Climática (CP29) y la Conferencia de las Naciones Unidas sobre el Agua de 2023 en la dimensión internacional de la estrategia;</w:t>
      </w:r>
    </w:p>
    <w:p w14:paraId="12363390" w14:textId="77777777" w:rsidR="003D4C50" w:rsidRPr="00644507" w:rsidRDefault="003D4C50" w:rsidP="003D4C50">
      <w:pPr>
        <w:pStyle w:val="NormalHanging12a"/>
        <w:rPr>
          <w:szCs w:val="24"/>
        </w:rPr>
      </w:pPr>
      <w:r w:rsidRPr="00644507">
        <w:t>4.</w:t>
      </w:r>
      <w:r w:rsidRPr="00644507">
        <w:tab/>
        <w:t>Destaca la necesidad urgente de mejorar la resiliencia hídrica y la gestión del agua para garantizar un suministro sostenible de agua dulce para las personas, la economía y el medio ambiente; hace hincapié en que la estrategia europea de resiliencia hídrica debe desarrollarse en coordinación con el pacto europeo de los océanos, garantizando un enfoque coherente e integrado para la gestión del agua dulce y de los recursos oceánicos, abordando los retos interconectados, mejorando la competitividad, promoviendo la gestión sostenible del agua en todos los entornos interiores y marinos, y velando al mismo tiempo por un enfoque holístico «del manantial al mar»;</w:t>
      </w:r>
    </w:p>
    <w:p w14:paraId="4464E185" w14:textId="77777777" w:rsidR="003D4C50" w:rsidRPr="00644507" w:rsidRDefault="003D4C50" w:rsidP="003D4C50">
      <w:pPr>
        <w:pStyle w:val="NormalHanging12a"/>
        <w:rPr>
          <w:szCs w:val="24"/>
        </w:rPr>
      </w:pPr>
      <w:r w:rsidRPr="00644507">
        <w:t>5.</w:t>
      </w:r>
      <w:r w:rsidRPr="00644507">
        <w:tab/>
        <w:t>Insiste en la necesidad de una estrategia europea de resiliencia hídrica global y holística que integre aspectos relacionados con la calidad, la cantidad, la seguridad, las infraestructuras, la tecnología y la gestión del agua e incluya la restauración del ciclo del agua como elemento clave, ya que sustenta las actividades económicas, garantiza la disponibilidad de recursos y contribuye a la regulación del clima;</w:t>
      </w:r>
    </w:p>
    <w:p w14:paraId="6D2C8CB9" w14:textId="77777777" w:rsidR="003D4C50" w:rsidRPr="00644507" w:rsidRDefault="003D4C50" w:rsidP="003D4C50">
      <w:pPr>
        <w:pStyle w:val="NormalHanging12a"/>
        <w:rPr>
          <w:szCs w:val="24"/>
        </w:rPr>
      </w:pPr>
      <w:r w:rsidRPr="00644507">
        <w:t>6.</w:t>
      </w:r>
      <w:r w:rsidRPr="00644507">
        <w:tab/>
        <w:t>Destaca la importancia del suministro de agua, en particular de agua potable, así como de la seguridad del suministro de agua; señala que todos los proyectos de restauración medioambiental deben tener en cuenta los aspectos de seguridad hídrica, dando prioridad a soluciones que no solo aporten beneficios medioambientales, sino que también garanticen el suministro y la gestión eficiente del agua; hace hincapié, además, en que las medidas de restauración ecológica deben llevarse a cabo en sinergia con el desarrollo del potencial de la Unión en materia de energías renovables y no afectar a la resiliencia energética general;</w:t>
      </w:r>
    </w:p>
    <w:p w14:paraId="611F7424" w14:textId="77777777" w:rsidR="003D4C50" w:rsidRPr="00644507" w:rsidRDefault="003D4C50" w:rsidP="003D4C50">
      <w:pPr>
        <w:pStyle w:val="NormalHanging12a"/>
        <w:rPr>
          <w:szCs w:val="24"/>
        </w:rPr>
      </w:pPr>
      <w:r w:rsidRPr="00644507">
        <w:t>7.</w:t>
      </w:r>
      <w:r w:rsidRPr="00644507">
        <w:tab/>
        <w:t>Recomienda que en la estrategia se incluyan los lagos y otros hábitats que dependen del agua dulce, junto a los ríos, las aguas de transición y las aguas subterráneas, como componentes esenciales de las iniciativas de la Unión en materia de resiliencia hídrica;</w:t>
      </w:r>
    </w:p>
    <w:p w14:paraId="0EB76851" w14:textId="77777777" w:rsidR="003D4C50" w:rsidRPr="00644507" w:rsidRDefault="003D4C50" w:rsidP="003D4C50">
      <w:pPr>
        <w:pStyle w:val="NormalHanging12a"/>
        <w:rPr>
          <w:szCs w:val="24"/>
        </w:rPr>
      </w:pPr>
      <w:r w:rsidRPr="00644507">
        <w:t>8.</w:t>
      </w:r>
      <w:r w:rsidRPr="00644507">
        <w:tab/>
        <w:t>Destaca la necesidad urgente de mejorar los sistemas de alerta de crisis respecto a incidentes relacionados con fuertes lluvias, así como de mejorar las medidas preventivas;</w:t>
      </w:r>
    </w:p>
    <w:p w14:paraId="2D2999BC" w14:textId="77777777" w:rsidR="003D4C50" w:rsidRPr="00644507" w:rsidRDefault="003D4C50" w:rsidP="003D4C50">
      <w:pPr>
        <w:pStyle w:val="NormalHanging12a"/>
        <w:rPr>
          <w:szCs w:val="24"/>
        </w:rPr>
      </w:pPr>
      <w:r w:rsidRPr="00644507">
        <w:t>9.</w:t>
      </w:r>
      <w:r w:rsidRPr="00644507">
        <w:tab/>
        <w:t>Pide a la Comisión que presente un plan europeo de adaptación al cambio climático que incluya propuestas legislativas y acciones concretas, en particular en lo que respecta a la resiliencia de las infraestructuras, la gestión del agua y las soluciones basadas en la naturaleza, dando prioridad a la protección de las comunidades vulnerables, a fin de aumentar la resiliencia de la Unión y predicar con el ejemplo;</w:t>
      </w:r>
    </w:p>
    <w:p w14:paraId="2FFB7E84" w14:textId="77777777" w:rsidR="003D4C50" w:rsidRPr="00644507" w:rsidRDefault="003D4C50" w:rsidP="003D4C50">
      <w:pPr>
        <w:pStyle w:val="NormalHanging12a"/>
      </w:pPr>
      <w:r w:rsidRPr="00644507">
        <w:t>10.</w:t>
      </w:r>
      <w:r w:rsidRPr="00644507">
        <w:tab/>
        <w:t>Reitera que el acceso al agua potable limpia y segura y al saneamiento es un derecho humano; hace hincapié en que este derecho debe garantizarse inequívocamente, y que todas las personas deben tener acceso a servicios de agua asequibles y de buena calidad, incluidos los habitantes de las islas y las regiones ultraperiféricas;</w:t>
      </w:r>
    </w:p>
    <w:p w14:paraId="5E3150CA" w14:textId="70FF5449" w:rsidR="00120E5C" w:rsidRPr="00644507" w:rsidRDefault="00FB2312" w:rsidP="003D4C50">
      <w:pPr>
        <w:pStyle w:val="NormalHanging12a"/>
        <w:rPr>
          <w:szCs w:val="24"/>
        </w:rPr>
      </w:pPr>
      <w:r w:rsidRPr="00644507">
        <w:t>11</w:t>
      </w:r>
      <w:r w:rsidR="00120E5C" w:rsidRPr="00644507">
        <w:t>.</w:t>
      </w:r>
      <w:r w:rsidR="00120E5C" w:rsidRPr="00644507">
        <w:tab/>
        <w:t>Subraya que no debe denegarse a ninguna persona, ya sea en lugares públicos o en establecimientos privados, el acceso al agua suministrada a través de una red de distribución destinada al consumo humano cuando exista;</w:t>
      </w:r>
    </w:p>
    <w:p w14:paraId="24F5301F" w14:textId="6B27DB10" w:rsidR="003D4C50" w:rsidRPr="00644507" w:rsidRDefault="00FB2312" w:rsidP="003D4C50">
      <w:pPr>
        <w:pStyle w:val="NormalHanging12a"/>
        <w:rPr>
          <w:szCs w:val="24"/>
        </w:rPr>
      </w:pPr>
      <w:r w:rsidRPr="00644507">
        <w:t>12</w:t>
      </w:r>
      <w:r w:rsidR="003D4C50" w:rsidRPr="00644507">
        <w:t>.</w:t>
      </w:r>
      <w:r w:rsidR="003D4C50" w:rsidRPr="00644507">
        <w:tab/>
        <w:t>Señala que las actividades industriales y la producción agrícola requieren agua para producir sus productos finales o para apoyar las actividades de producción, y que la cantidad de agua utilizada varía en función del tipo de actividad; destaca que garantizar la competitividad y la autonomía estratégica de Europa requiere una sociedad que haga un uso inteligente del agua y en la que la tecnología y los datos potencien una economía circular, fomentando prácticas sostenibles y eficientes en el uso del agua; pide a todos los agentes pertinentes que aceleren la transición hacia una industria y una agricultura circulares y eficientes en el uso del agua, promoviendo e invirtiendo en soluciones innovadoras como las herramientas y tecnologías digitales, la recuperación de recursos, la reutilización del agua, la producción de energías renovables, la infraestructura, las soluciones basadas en la naturaleza y mecanismos de gobernanza inclusiva;</w:t>
      </w:r>
    </w:p>
    <w:p w14:paraId="6D43EDD3" w14:textId="730BD47E" w:rsidR="003D4C50" w:rsidRPr="00644507" w:rsidRDefault="00FB2312" w:rsidP="003D4C50">
      <w:pPr>
        <w:pStyle w:val="NormalHanging12a"/>
        <w:rPr>
          <w:szCs w:val="24"/>
        </w:rPr>
      </w:pPr>
      <w:r w:rsidRPr="00644507">
        <w:t>13</w:t>
      </w:r>
      <w:r w:rsidR="003D4C50" w:rsidRPr="00644507">
        <w:t>.</w:t>
      </w:r>
      <w:r w:rsidR="003D4C50" w:rsidRPr="00644507">
        <w:tab/>
        <w:t xml:space="preserve">Insta a la Comisión a que integre y </w:t>
      </w:r>
      <w:proofErr w:type="spellStart"/>
      <w:r w:rsidR="003D4C50" w:rsidRPr="00644507">
        <w:t>transversalice</w:t>
      </w:r>
      <w:proofErr w:type="spellEnd"/>
      <w:r w:rsidR="003D4C50" w:rsidRPr="00644507">
        <w:t xml:space="preserve"> la dimensión del agua en las políticas internas y exteriores de la Unión mediante un enfoque intersectorial, con el fin de garantizar que la resiliencia, la sostenibilidad y la seguridad del agua se entrelacen en el tejido de las políticas europeas; pide a la Comisión, en particular, que lleve a cabo una evaluación relacionada con el agua de cualquier medida reglamentaria, incluidas las relativas a la energía, como parte de la evaluación de impacto socioeconómico y medioambiental; hace hincapié en que evaluar el modo en que cada política de la Unión y los proyectos e infraestructura financiados por esta pueden afectar a los recursos hídricos en términos de cantidad, calidad y accesibilidad garantizaría que la resiliencia hídrica sea una piedra angular de la formulación y aplicación de las políticas, cambiando así el paradigma de tratar el agua como si fuera un recurso infinito por el de reconocer su valor intrínseco para la humanidad y para el paisaje ecológico y socioeconómico de la Unión, así como para su competitividad;</w:t>
      </w:r>
    </w:p>
    <w:p w14:paraId="6207AC50" w14:textId="77777777" w:rsidR="003D4C50" w:rsidRPr="00644507" w:rsidRDefault="003D4C50" w:rsidP="003D4C50">
      <w:pPr>
        <w:pStyle w:val="Normal12a24b"/>
      </w:pPr>
      <w:r w:rsidRPr="00644507">
        <w:rPr>
          <w:rStyle w:val="BoldItalic"/>
        </w:rPr>
        <w:t>Eficiencia hídrica</w:t>
      </w:r>
    </w:p>
    <w:p w14:paraId="5B6A7238" w14:textId="27E3E454" w:rsidR="003D4C50" w:rsidRPr="00644507" w:rsidRDefault="00FB2312" w:rsidP="003D4C50">
      <w:pPr>
        <w:pStyle w:val="NormalHanging12a"/>
        <w:rPr>
          <w:szCs w:val="24"/>
        </w:rPr>
      </w:pPr>
      <w:r w:rsidRPr="00644507">
        <w:t>14</w:t>
      </w:r>
      <w:r w:rsidR="003D4C50" w:rsidRPr="00644507">
        <w:t>.</w:t>
      </w:r>
      <w:r w:rsidR="003D4C50" w:rsidRPr="00644507">
        <w:tab/>
        <w:t>Subraya que el uso eficiente del agua es esencial para preservar los recursos hídricos de la Unión y que la eficiencia hídrica debe ser un objetivo clave de la Unión; pide, a este respecto, la consiguiente reducción de la demanda de agua, en particular abordando los niveles excesivos de fugas, invirtiendo en investigación y soluciones innovadoras, modernizando los procesos industriales y de producción, modernizando las infraestructuras hídricas, gestionando los recursos hídricos y los picos de demanda de manera sostenible, priorizando los usos y garantizando que una mayor eficiencia hídrica dé lugar a una reducción del consumo general de agua dulce, así como a un aumento de la disponibilidad de agua en las zonas con estrés hídrico a escala local y regional; considera que debe darse prioridad a las zonas afectadas por una sequía prolongada y por la desertificación;</w:t>
      </w:r>
    </w:p>
    <w:p w14:paraId="1DACC389" w14:textId="6CBB3C69" w:rsidR="003D4C50" w:rsidRPr="00644507" w:rsidRDefault="00FB2312" w:rsidP="003D4C50">
      <w:pPr>
        <w:pStyle w:val="NormalHanging12a"/>
        <w:rPr>
          <w:szCs w:val="24"/>
        </w:rPr>
      </w:pPr>
      <w:r w:rsidRPr="00644507">
        <w:t>15</w:t>
      </w:r>
      <w:r w:rsidR="003D4C50" w:rsidRPr="00644507">
        <w:t>.</w:t>
      </w:r>
      <w:r w:rsidR="003D4C50" w:rsidRPr="00644507">
        <w:tab/>
        <w:t>Pide un marco legislativo que establezca objetivos sectoriales en materia de eficiencia hídrica y captación de aguas a nivel de cuenca, sobre la base de evaluaciones actualizadas de la disponibilidad de agua y los riesgos climáticos, en particular de un enfoque que valore el agua teniendo en cuenta los servicios ecosistémicos y la sostenibilidad a largo plazo, y que abarque todos los usos del agua, incluidos la industria, la energía, la agricultura, los servicios públicos y los hogares; subraya el hecho de que estos objetivos deben ser ambiciosos pero adaptables, teniendo en cuenta las circunstancias específicas y los avances ya alcanzados por cada Estado miembro para garantizar la continuidad de los esfuerzos por aumentar la eficiencia en todas las regiones; destaca la importancia de unas prácticas eficientes y uniformes de recopilación de datos en todos los Estados miembros y en todos los sectores, también mediante el uso de tecnologías innovadoras, así como de los puntos de recopilación de datos en tiempo real, en aras de una mayor transparencia en el consumo de agua; hace hincapié en la necesidad de llevar a cabo una evaluación adecuada de las repercusiones medioambientales y socioeconómicas del uso del agua;</w:t>
      </w:r>
      <w:r w:rsidR="00120E5C" w:rsidRPr="00644507">
        <w:t xml:space="preserve"> subraya que la importancia estratégica de la producción de alimentos no debe verse comprometida; hace hincapié en que la ciencia, la investigación y la tecnología son importantes para la eficiencia hídrica y el uso del agua, así como para la economía circular a este respecto; pide la creación y la promoción de nuevos sistemas de riego inteligentes y de alto rendimiento, de la retención de aguas pluviales y reutilizadas, así de como sistemas de riego eficientes en el uso del agua;</w:t>
      </w:r>
    </w:p>
    <w:p w14:paraId="07D6158C" w14:textId="66097670" w:rsidR="003D4C50" w:rsidRPr="00644507" w:rsidRDefault="00FB2312" w:rsidP="003D4C50">
      <w:pPr>
        <w:pStyle w:val="NormalHanging12a"/>
        <w:rPr>
          <w:szCs w:val="24"/>
        </w:rPr>
      </w:pPr>
      <w:r w:rsidRPr="00644507">
        <w:t>16</w:t>
      </w:r>
      <w:r w:rsidR="003D4C50" w:rsidRPr="00644507">
        <w:t>.</w:t>
      </w:r>
      <w:r w:rsidR="003D4C50" w:rsidRPr="00644507">
        <w:tab/>
        <w:t>Reitera la necesidad de desarrollar una metodología común de la Unión para establecer objetivos en materia de eficiencia hídrica y captación de aguas a fin de garantizar el uso sostenible de los recursos hídricos renovables disponibles dentro de un marco de gestión integrada de los recursos hídricos que tenga debidamente en consideración los vínculos más allá del sector del agua a través del nexo agua-energía-alimentación-ecosistemas, permitiendo así que los responsables de la toma de decisiones y los agentes económicos planifiquen la inversión necesaria para garantizar la seguridad del suministro de agua de manera cada vez más sostenible, teniendo al mismo tiempo debidamente en cuenta las características de las masas de agua afectadas;</w:t>
      </w:r>
    </w:p>
    <w:p w14:paraId="3B0546DE" w14:textId="14118EEA" w:rsidR="003D4C50" w:rsidRPr="00644507" w:rsidRDefault="00FB2312" w:rsidP="003D4C50">
      <w:pPr>
        <w:pStyle w:val="NormalHanging12a"/>
        <w:rPr>
          <w:szCs w:val="24"/>
        </w:rPr>
      </w:pPr>
      <w:r w:rsidRPr="00644507">
        <w:t>17</w:t>
      </w:r>
      <w:r w:rsidR="003D4C50" w:rsidRPr="00644507">
        <w:t>.</w:t>
      </w:r>
      <w:r w:rsidR="003D4C50" w:rsidRPr="00644507">
        <w:tab/>
        <w:t>Pide una estrecha colaboración en materia de planificación integrada de los recursos energéticos e hídricos y las tecnologías conexas en todos los sectores a escala nacional, regional y local, y también entre todas las partes interesadas, con el fin de establecer mecanismos para garantizar la coherencia de las políticas de agua y de energía;</w:t>
      </w:r>
    </w:p>
    <w:p w14:paraId="547C9687" w14:textId="00A473E3" w:rsidR="003D4C50" w:rsidRPr="00644507" w:rsidRDefault="00FB2312" w:rsidP="003D4C50">
      <w:pPr>
        <w:pStyle w:val="NormalHanging12a"/>
        <w:rPr>
          <w:szCs w:val="24"/>
        </w:rPr>
      </w:pPr>
      <w:r w:rsidRPr="00644507">
        <w:t>18</w:t>
      </w:r>
      <w:r w:rsidR="003D4C50" w:rsidRPr="00644507">
        <w:t>.</w:t>
      </w:r>
      <w:r w:rsidR="003D4C50" w:rsidRPr="00644507">
        <w:tab/>
        <w:t>Pide a la Comisión que presente una política global de gestión sostenible del agua para la industria basada en la reducción, la recuperación, la reutilización y el reciclado, que preste atención también al uso de tecnologías circulares y eficientes en el uso del agua, al reciclado del agua, a las estrategias de reducción de contaminantes y a la promoción de sistemas de circuito cerrado;</w:t>
      </w:r>
    </w:p>
    <w:p w14:paraId="4AA797C1" w14:textId="3FFE8CE1" w:rsidR="003D4C50" w:rsidRPr="00644507" w:rsidRDefault="00FB2312" w:rsidP="003D4C50">
      <w:pPr>
        <w:pStyle w:val="NormalHanging12a"/>
        <w:rPr>
          <w:szCs w:val="24"/>
        </w:rPr>
      </w:pPr>
      <w:r w:rsidRPr="00644507">
        <w:t>19</w:t>
      </w:r>
      <w:r w:rsidR="003D4C50" w:rsidRPr="00644507">
        <w:t>.</w:t>
      </w:r>
      <w:r w:rsidR="003D4C50" w:rsidRPr="00644507">
        <w:tab/>
        <w:t>Recuerda que la creciente amenaza de escasez de agua pone en peligro industrias y proyectos que son clave para impulsar la competitividad de Europa, entre ellos los de semiconductores, centros de datos, hidrógeno renovable y producción de baterías para vehículos eléctricos; señala que estas industrias se verán cada vez más presionadas a reducir su impacto medioambiental y mejorar la eficiencia de los recursos hídricos, incluido el uso directo e indirecto del agua; pide a los Estados miembros que apoyen a las industrias intensivas en agua para que establezcan planes de eficiencia hídrica con miras a ahorrar, reutilizar y reciclar el agua, prevenir la contaminación del agua y aplicar tecnologías eficientes en el uso del agua; pide a la Comisión que incorpore estrategias globales de gestión del agua en las políticas industriales pertinentes de la Unión y en los itinerarios de transición específicos de cada sector, prestando especial atención a aquellos sectores estratégicos intensivos en agua;</w:t>
      </w:r>
    </w:p>
    <w:p w14:paraId="1A75915F" w14:textId="236F5D2C" w:rsidR="003D4C50" w:rsidRPr="00644507" w:rsidRDefault="00FB2312" w:rsidP="003D4C50">
      <w:pPr>
        <w:pStyle w:val="NormalHanging12a"/>
        <w:rPr>
          <w:szCs w:val="24"/>
        </w:rPr>
      </w:pPr>
      <w:r w:rsidRPr="00644507">
        <w:t>20</w:t>
      </w:r>
      <w:r w:rsidR="003D4C50" w:rsidRPr="00644507">
        <w:t>.</w:t>
      </w:r>
      <w:r w:rsidR="003D4C50" w:rsidRPr="00644507">
        <w:tab/>
        <w:t>Destaca que el conocimiento, los datos, la investigación y la tecnología son fundamentales para la eficiencia hídrica; pide que se preste un apoyo financiero y técnico adecuado a los Estados miembros para que apliquen medidas eficientes de gestión del agua, también mediante tecnologías innovadoras y modernas;</w:t>
      </w:r>
    </w:p>
    <w:p w14:paraId="2B569D37" w14:textId="0256203A" w:rsidR="003D4C50" w:rsidRPr="00644507" w:rsidRDefault="00FB2312" w:rsidP="003D4C50">
      <w:pPr>
        <w:pStyle w:val="NormalHanging12a"/>
        <w:rPr>
          <w:szCs w:val="24"/>
        </w:rPr>
      </w:pPr>
      <w:r w:rsidRPr="00644507">
        <w:t>21</w:t>
      </w:r>
      <w:r w:rsidR="003D4C50" w:rsidRPr="00644507">
        <w:t>.</w:t>
      </w:r>
      <w:r w:rsidR="003D4C50" w:rsidRPr="00644507">
        <w:tab/>
        <w:t>Acoge con satisfacción las recomendaciones del informe final del diálogo estratégico sobre el futuro de la agricultura de la Unión, en las que se subraya la necesidad de extender las prácticas agrícolas sostenibles y los nuevos modelos de negocio para promover un uso más eficiente de los recursos naturales, especialmente del agua;</w:t>
      </w:r>
    </w:p>
    <w:p w14:paraId="34DA0732" w14:textId="3D1F103C" w:rsidR="003D4C50" w:rsidRPr="00644507" w:rsidRDefault="00FB2312" w:rsidP="003D4C50">
      <w:pPr>
        <w:pStyle w:val="NormalHanging12a"/>
        <w:rPr>
          <w:szCs w:val="24"/>
        </w:rPr>
      </w:pPr>
      <w:r w:rsidRPr="00644507">
        <w:t>22</w:t>
      </w:r>
      <w:r w:rsidR="003D4C50" w:rsidRPr="00644507">
        <w:t>.</w:t>
      </w:r>
      <w:r w:rsidR="003D4C50" w:rsidRPr="00644507">
        <w:tab/>
        <w:t>Pide la transición hacia un modelo agrícola más sostenible y competitivo, ayudado por la aplicación de prácticas sostenibles y soluciones innovadoras que promuevan la biodiversidad, reduzcan los insumos químicos y permitan una gestión eficiente de los recursos hídricos, entre ellas las soluciones basadas en la naturaleza, la gestión regenerativa, las tecnologías inteligentes de riego de precisión, los sistemas digitales de monitorización, los métodos avanzados de tratamiento y las redes inteligentes de distribución de agua, optimizando el consumo y evitando el agotamiento de los recursos hídricos, y que contribuyan a garantizar una productividad continuada, permitiendo al mismo tiempo que la agricultura reduzca la contaminación, utilice de manera eficiente los plaguicidas y fertilizantes, mejore el ciclo hidrológico, impulse la recarga de las aguas subterráneas y se adapte a un menor consumo de agua; considera que las soluciones tecnológicas también pueden incluir medidas capaces de aumentar la absorción, la infiltración y la retención de agua en los sistemas agrícolas, que son importantes en un contexto de aumento tanto de la sequía como de las lluvias intensas;</w:t>
      </w:r>
    </w:p>
    <w:p w14:paraId="2B52D631" w14:textId="6BBEAC5B" w:rsidR="003D4C50" w:rsidRPr="00644507" w:rsidRDefault="00FB2312" w:rsidP="003D4C50">
      <w:pPr>
        <w:pStyle w:val="NormalHanging12a"/>
        <w:rPr>
          <w:szCs w:val="24"/>
        </w:rPr>
      </w:pPr>
      <w:r w:rsidRPr="00644507">
        <w:t>23</w:t>
      </w:r>
      <w:r w:rsidR="003D4C50" w:rsidRPr="00644507">
        <w:t>.</w:t>
      </w:r>
      <w:r w:rsidR="003D4C50" w:rsidRPr="00644507">
        <w:tab/>
        <w:t>Señala que las prácticas y soluciones de riego innovadoras pueden mejorar la eficiencia hídrica en la agricultura, aportando una ventaja económica y reduciendo, a su vez, las cargas medioambientales; observa que, en general, los agricultores carecen de medios e incentivos suficientes para tener conocimiento del agua que usan los cultivos, las aplicaciones reales del riego, la respuesta productiva de los cultivos a distintas prácticas de gestión del agua y, por lo tanto, de los niveles actuales de eficiencia hídrica en las explotaciones; pide a la Comisión y a los Estados miembros que incentiven la adopción y el apoyo al mantenimiento de soluciones de riego innovadoras, como el riego por goteo, para hacer posible una gestión activa de los niveles del agua y un uso eficiente de los recursos hídricos, y que promuevan el intercambio continuo de conocimientos para que todas las partes interesadas pertinentes puedan asumir una mayor responsabilidad en toda la cadena de suministro de agua;</w:t>
      </w:r>
    </w:p>
    <w:p w14:paraId="23EFE527" w14:textId="18AD0A44" w:rsidR="003D4C50" w:rsidRPr="00644507" w:rsidRDefault="00FB2312" w:rsidP="003D4C50">
      <w:pPr>
        <w:pStyle w:val="NormalHanging12a"/>
      </w:pPr>
      <w:r w:rsidRPr="00644507">
        <w:t>24</w:t>
      </w:r>
      <w:r w:rsidR="003D4C50" w:rsidRPr="00644507">
        <w:t>.</w:t>
      </w:r>
      <w:r w:rsidR="003D4C50" w:rsidRPr="00644507">
        <w:tab/>
      </w:r>
      <w:r w:rsidR="00120E5C" w:rsidRPr="00644507">
        <w:t>Recuerda que el uso de nutrientes como el nitrato y el fosfato es esencial para la producción de alimentos, ya que esta actividad no sería posible sin su uso; r</w:t>
      </w:r>
      <w:r w:rsidR="003D4C50" w:rsidRPr="00644507">
        <w:t>ecomienda que se tengan más en cuenta el ciclo de nutrientes en la producción agrícola y la explotación del valor en las aguas residuales urbanas; aboga por intensificar la investigación sobre el uso eficaz de los nutrientes y el desarrollo de tecnologías de recuperación de nutrientes para reducir la dependencia de la Unión de las materias primas importadas; reconoce el elevado potencial de recuperación de nutrientes del agua y pide a los Estados miembros que apoyen al sector agrícola para que optimice su consumo de nutrientes, también mediante el uso de recursos (nitratos y fósforo) recuperados de las plantas de tratamiento de aguas residuales; pide a la Comisión que proponga un plan de acción integrado de gestión de nutrientes para abordar eficazmente la pérdida de insumos agrícolas valiosos, el reciclado de nutrientes, la contaminación por nutrientes y las ineficiencias en el ciclo de los nutrientes;</w:t>
      </w:r>
      <w:r w:rsidR="00120E5C" w:rsidRPr="00644507">
        <w:t xml:space="preserve"> pide la recuperación adecuada y segura del fósforo procedente de fuentes orgánicas y que se incentiven las inversiones en su recuperación y en la gestión circular de nutrientes de conformidad con la publicación del Centro Común de Investigación de la Comisión</w:t>
      </w:r>
      <w:r w:rsidR="00120E5C" w:rsidRPr="00644507">
        <w:rPr>
          <w:rStyle w:val="FootnoteReference"/>
        </w:rPr>
        <w:footnoteReference w:id="64"/>
      </w:r>
      <w:r w:rsidR="00120E5C" w:rsidRPr="00644507">
        <w:t>;</w:t>
      </w:r>
    </w:p>
    <w:p w14:paraId="4536CA5B" w14:textId="59D24AEC" w:rsidR="00120E5C" w:rsidRPr="00644507" w:rsidRDefault="00FB2312" w:rsidP="003D4C50">
      <w:pPr>
        <w:pStyle w:val="NormalHanging12a"/>
        <w:rPr>
          <w:szCs w:val="24"/>
        </w:rPr>
      </w:pPr>
      <w:r w:rsidRPr="00644507">
        <w:t>25</w:t>
      </w:r>
      <w:r w:rsidR="00120E5C" w:rsidRPr="00644507">
        <w:t>.</w:t>
      </w:r>
      <w:r w:rsidR="00120E5C" w:rsidRPr="00644507">
        <w:tab/>
        <w:t>Destaca que la actual Directiva sobre nitratos debe revisarse, ya que ciertas disposiciones obsoletas promueven el uso de fertilizantes artificiales en lugar de estiércol orgánico; pide un examen urgente de la Directiva sobre nitratos antes de que finalice este año, y su revisión para promover la gestión circular de los nutrientes;</w:t>
      </w:r>
    </w:p>
    <w:p w14:paraId="61FDDFF2" w14:textId="416F92FE" w:rsidR="003D4C50" w:rsidRPr="00644507" w:rsidRDefault="00FB2312" w:rsidP="003D4C50">
      <w:pPr>
        <w:pStyle w:val="NormalHanging12a"/>
        <w:rPr>
          <w:szCs w:val="24"/>
        </w:rPr>
      </w:pPr>
      <w:r w:rsidRPr="00644507">
        <w:t>26</w:t>
      </w:r>
      <w:r w:rsidR="003D4C50" w:rsidRPr="00644507">
        <w:t>.</w:t>
      </w:r>
      <w:r w:rsidR="003D4C50" w:rsidRPr="00644507">
        <w:tab/>
        <w:t>Hace hincapié, en consonancia con el informe final del diálogo estratégico sobre el futuro de la agricultura de la Unión, en la necesidad de apoyar la transición a variedades de cultivos y semillas adaptadas a las regiones y el cambio a cultivos diferentes, con menor necesidad de agua y mayor resistencia a la sequía, así como la necesidad de apoyar la adopción de prácticas de gestión del suelo adecuadas; considera la necesidad de un mayor apoyo a la investigación científica y al desarrollo tecnológico en el ámbito del cultivo de nuevas especies, para permitir la diversificación de la producción y de la oferta alimentaria, así como una mejora de su calidad, aumentando a la par el nivel de protección de la salud humana y del medio ambiente; señala el potencial de las variedades vegetales que son más resistentes al estrés hídrico y a las plagas y podrían desempeñar un papel en disminuir el uso de agua y reducir la huella ambiental de los cultivos;</w:t>
      </w:r>
    </w:p>
    <w:p w14:paraId="63852D6A" w14:textId="7066EE44" w:rsidR="003D4C50" w:rsidRPr="00644507" w:rsidRDefault="00FB2312" w:rsidP="003D4C50">
      <w:pPr>
        <w:pStyle w:val="NormalHanging12a"/>
      </w:pPr>
      <w:r w:rsidRPr="00644507">
        <w:t>27</w:t>
      </w:r>
      <w:r w:rsidR="003D4C50" w:rsidRPr="00644507">
        <w:t>.</w:t>
      </w:r>
      <w:r w:rsidR="003D4C50" w:rsidRPr="00644507">
        <w:tab/>
        <w:t>Reclama apoyo financiero y técnico para los agricultores y las comunidades rurales, en particular en las zonas con estrés hídrico, para ayudarlas a que adopten prácticas de gestión sostenible de la tierra que mejoren la calidad del suelo y del agua, contribuyan a la biodiversidad y mitiguen el cambio climático; hace hincapié en la necesidad de prestar una atención especial a las regiones que son especialmente vulnerables a la degradación del suelo y la escasez de agua;</w:t>
      </w:r>
    </w:p>
    <w:p w14:paraId="072C27EF" w14:textId="3B154D0B" w:rsidR="00120E5C" w:rsidRPr="00644507" w:rsidRDefault="00FB2312" w:rsidP="003D4C50">
      <w:pPr>
        <w:pStyle w:val="NormalHanging12a"/>
        <w:rPr>
          <w:szCs w:val="24"/>
        </w:rPr>
      </w:pPr>
      <w:r w:rsidRPr="00644507">
        <w:t>28</w:t>
      </w:r>
      <w:r w:rsidR="00120E5C" w:rsidRPr="00644507">
        <w:t>.</w:t>
      </w:r>
      <w:r w:rsidR="00120E5C" w:rsidRPr="00644507">
        <w:tab/>
        <w:t>Reconoce los importantes esfuerzos realizados por los agricultores para mejorar la calidad del agua y hace hincapié en la necesidad de un plazo adecuado que permita evaluar con precisión los efectos de estas medidas;</w:t>
      </w:r>
    </w:p>
    <w:p w14:paraId="4404A8EE" w14:textId="444A9E8C" w:rsidR="003D4C50" w:rsidRPr="00644507" w:rsidRDefault="00FB2312" w:rsidP="003D4C50">
      <w:pPr>
        <w:pStyle w:val="NormalHanging12a"/>
        <w:rPr>
          <w:szCs w:val="24"/>
        </w:rPr>
      </w:pPr>
      <w:r w:rsidRPr="00644507">
        <w:t>29</w:t>
      </w:r>
      <w:r w:rsidR="003D4C50" w:rsidRPr="00644507">
        <w:t>.</w:t>
      </w:r>
      <w:r w:rsidR="003D4C50" w:rsidRPr="00644507">
        <w:tab/>
        <w:t xml:space="preserve">Señala el éxito de la Asociación Europea para la Innovación agrícola </w:t>
      </w:r>
      <w:r w:rsidR="00112454" w:rsidRPr="00644507">
        <w:t xml:space="preserve">del grupo temático de la </w:t>
      </w:r>
      <w:r w:rsidR="003D4C50" w:rsidRPr="00644507">
        <w:t>AEI</w:t>
      </w:r>
      <w:r w:rsidR="003D4C50" w:rsidRPr="00644507">
        <w:noBreakHyphen/>
        <w:t xml:space="preserve">AGRI </w:t>
      </w:r>
      <w:r w:rsidR="00112454" w:rsidRPr="00644507">
        <w:t xml:space="preserve">sobre agrosilvicultura </w:t>
      </w:r>
      <w:r w:rsidR="003D4C50" w:rsidRPr="00644507">
        <w:t>y pide que se prosiga el intercambio de conocimientos, la experiencia y el aprendizaje entre iguales a través de la red de la política agrícola común (PAC) de la UE;</w:t>
      </w:r>
    </w:p>
    <w:p w14:paraId="01D199A4" w14:textId="32125D2C" w:rsidR="003D4C50" w:rsidRPr="00644507" w:rsidRDefault="00FB2312" w:rsidP="003D4C50">
      <w:pPr>
        <w:pStyle w:val="NormalHanging12a"/>
        <w:rPr>
          <w:szCs w:val="24"/>
        </w:rPr>
      </w:pPr>
      <w:r w:rsidRPr="00644507">
        <w:t>30</w:t>
      </w:r>
      <w:r w:rsidR="003D4C50" w:rsidRPr="00644507">
        <w:t>.</w:t>
      </w:r>
      <w:r w:rsidR="003D4C50" w:rsidRPr="00644507">
        <w:tab/>
        <w:t>Toma nota de los vínculos entre los sumideros de carbono y la disponibilidad de agua, y pide coherencia entre la estrategia de resiliencia hídrica y los sistemas de captura de dióxido de carbono en suelos agrícolas;</w:t>
      </w:r>
    </w:p>
    <w:p w14:paraId="60FFE09F" w14:textId="058D385B" w:rsidR="003D4C50" w:rsidRPr="00644507" w:rsidRDefault="00FB2312" w:rsidP="003D4C50">
      <w:pPr>
        <w:pStyle w:val="NormalHanging12a"/>
        <w:rPr>
          <w:szCs w:val="24"/>
        </w:rPr>
      </w:pPr>
      <w:r w:rsidRPr="00644507">
        <w:t>31</w:t>
      </w:r>
      <w:r w:rsidR="003D4C50" w:rsidRPr="00644507">
        <w:t>.</w:t>
      </w:r>
      <w:r w:rsidR="003D4C50" w:rsidRPr="00644507">
        <w:tab/>
        <w:t>Reitera que el Reglamento sobre la reutilización del agua tiene por objeto reducir la presión sobre las masas de agua mediante el establecimiento de disposiciones sobre la reutilización del agua después de un tratamiento adecuado que amplíe su ciclo de vida, preservando así los recursos hídricos; hace hincapié, no obstante, en que las barreras reglamentarias, financieras y tecnológicas, como la competitividad económica de las aguas residuales regeneradas, la planificación de la gestión de riesgos y el reparto de responsabilidades, contribuyen a la lenta implantación de la reutilización de las aguas regeneradas en la agricultura; pide, por tanto, a la Comisión y a los Estados miembros que adopten políticas de apoyo, tanto a escala de la Unión como local, que incentiven las prácticas de reutilización del agua, teniendo en cuenta la importancia de la adaptación de los requisitos de tratamiento de aguas residuales y de calidad al uso previsto del agua; observa que las aguas residuales tratadas también encuentran aplicaciones valiosas en diversos procesos industriales y contextos urbanos, lo que contribuye a reducir la presión sobre los recursos de agua dulce y la conservación del agua potable; pide, por consiguiente, a la Comisión que evalúe una posible ampliación del ámbito de aplicación del Reglamento sobre la reutilización del agua para establecer, a escala de la Unión, normas mínimas de calidad del agua para la reutilización segura del agua con fines industriales y urbanos;</w:t>
      </w:r>
    </w:p>
    <w:p w14:paraId="53592EDF" w14:textId="15B7A698" w:rsidR="003D4C50" w:rsidRPr="00644507" w:rsidRDefault="00FB2312" w:rsidP="003D4C50">
      <w:pPr>
        <w:pStyle w:val="NormalHanging12a"/>
        <w:rPr>
          <w:szCs w:val="24"/>
        </w:rPr>
      </w:pPr>
      <w:r w:rsidRPr="00644507">
        <w:t>32</w:t>
      </w:r>
      <w:r w:rsidR="003D4C50" w:rsidRPr="00644507">
        <w:t>.</w:t>
      </w:r>
      <w:r w:rsidR="003D4C50" w:rsidRPr="00644507">
        <w:tab/>
        <w:t>Pide a la Comisión y a los Estados miembros que especifiquen los sistemas de incentivos normativos y financieros para la reutilización de aguas residuales tratadas en sectores intensivos en agua y que proporcionen financiación específica para la construcción de infraestructuras que conecten las instalaciones de tratamiento de aguas residuales y las redes de distribución de agua refinada; insta a que se adopte un enfoque racionalizado en la legislación de la Unión para eliminar las barreras administrativas y promover el reciclado de agua seguro y eficiente en todos los Estados miembros; pide a los Estados miembros que establezcan planes nacionales de reutilización y ahorro del agua para incentivar la cooperación intersectorial en la gestión del agua;</w:t>
      </w:r>
    </w:p>
    <w:p w14:paraId="1F67FC34" w14:textId="417EDD26" w:rsidR="003D4C50" w:rsidRPr="00644507" w:rsidRDefault="00FB2312" w:rsidP="003D4C50">
      <w:pPr>
        <w:pStyle w:val="NormalHanging12a"/>
        <w:rPr>
          <w:szCs w:val="24"/>
        </w:rPr>
      </w:pPr>
      <w:r w:rsidRPr="00644507">
        <w:t>33</w:t>
      </w:r>
      <w:r w:rsidR="003D4C50" w:rsidRPr="00644507">
        <w:t>.</w:t>
      </w:r>
      <w:r w:rsidR="003D4C50" w:rsidRPr="00644507">
        <w:tab/>
        <w:t>Reitera que el agua reutilizada pueda mitigar la extracción de ríos, lagos y aguas subterráneas para la agricultura de regadío; subraya el hecho de que el agua reutilizada pueda contribuir a mantener los caudales permanentes y los niveles mínimos de agua durante los períodos secos;</w:t>
      </w:r>
    </w:p>
    <w:p w14:paraId="73430C89" w14:textId="3AF6E308" w:rsidR="003D4C50" w:rsidRPr="00644507" w:rsidRDefault="00FB2312" w:rsidP="003D4C50">
      <w:pPr>
        <w:pStyle w:val="NormalHanging12a"/>
        <w:rPr>
          <w:szCs w:val="24"/>
        </w:rPr>
      </w:pPr>
      <w:r w:rsidRPr="00644507">
        <w:t>34</w:t>
      </w:r>
      <w:r w:rsidR="003D4C50" w:rsidRPr="00644507">
        <w:t>.</w:t>
      </w:r>
      <w:r w:rsidR="003D4C50" w:rsidRPr="00644507">
        <w:tab/>
        <w:t xml:space="preserve">Destaca el potencial de ahorro de agua del sector de la construcción, por ejemplo con la ayuda de sistemas de </w:t>
      </w:r>
      <w:proofErr w:type="spellStart"/>
      <w:r w:rsidR="003D4C50" w:rsidRPr="00644507">
        <w:t>subcontaje</w:t>
      </w:r>
      <w:proofErr w:type="spellEnd"/>
      <w:r w:rsidR="003D4C50" w:rsidRPr="00644507">
        <w:t xml:space="preserve"> inteligentes, sistemas eficientes de aguas grises, reutilización de aguas residuales domésticas o recogida de aguas pluviales; subraya que la eficiencia energética de los edificios puede mejorarse con la eficiencia hídrica, reduciéndose las emisiones de gases de efecto invernadero; pide a los Estados miembros y a las autoridades locales que incentiven los elementos de ahorro de agua en los edificios nuevos; subraya, a este respecto, que las prácticas eficientes en el uso del agua deben tenerse en cuenta en la planificación urbana; destaca el hecho de que recoger aguas pluviales, así como utilizar y reutilizar el agua eficientemente, puede mejorar la adaptación al cambio climático en las ciudades;</w:t>
      </w:r>
    </w:p>
    <w:p w14:paraId="6E44E611" w14:textId="2C7076C9" w:rsidR="003D4C50" w:rsidRPr="00644507" w:rsidRDefault="00FB2312" w:rsidP="003D4C50">
      <w:pPr>
        <w:pStyle w:val="NormalHanging12a"/>
        <w:rPr>
          <w:szCs w:val="24"/>
        </w:rPr>
      </w:pPr>
      <w:r w:rsidRPr="00644507">
        <w:t>35</w:t>
      </w:r>
      <w:r w:rsidR="003D4C50" w:rsidRPr="00644507">
        <w:t>.</w:t>
      </w:r>
      <w:r w:rsidR="003D4C50" w:rsidRPr="00644507">
        <w:tab/>
        <w:t>Insta a la transición, en la industria y en los sectores energético y digital, a una optimización de la eficiencia de la refrigeración y métodos alternativos de refrigeración menos dependientes del agua, a fin de garantizar un ahorro significativo de agua en estos sectores;</w:t>
      </w:r>
    </w:p>
    <w:p w14:paraId="643B1595" w14:textId="7189BE6E" w:rsidR="003D4C50" w:rsidRPr="00644507" w:rsidRDefault="00FB2312" w:rsidP="003D4C50">
      <w:pPr>
        <w:pStyle w:val="NormalHanging12a"/>
        <w:rPr>
          <w:szCs w:val="24"/>
        </w:rPr>
      </w:pPr>
      <w:r w:rsidRPr="00644507">
        <w:t>36</w:t>
      </w:r>
      <w:r w:rsidR="003D4C50" w:rsidRPr="00644507">
        <w:t>.</w:t>
      </w:r>
      <w:r w:rsidR="003D4C50" w:rsidRPr="00644507">
        <w:tab/>
        <w:t>Señala que, si bien los hogares representan el 10 % del consumo total de agua en la Unión, también se requieren medidas para mejorar la eficiencia hídrica en el ámbito doméstico; observa que existen soluciones tecnológicas de ahorro de agua fácilmente disponibles y que pueden reducir el consumo de agua en los hogares, sin comprometer la comodidad ni requerir una gran inversión; pide a los Estados miembros que apoyen a los consumidores en la transición a tecnologías de esa índole y que refuercen la conciencia de los consumidores con respecto al consumo de agua y las posibles mejoras de eficiencia mediante la fijación de la eficiencia hídrica doméstica en las políticas de agua, construcción y consumo en toda la Unión;</w:t>
      </w:r>
    </w:p>
    <w:p w14:paraId="49B7D543" w14:textId="4C5B71C1" w:rsidR="003D4C50" w:rsidRPr="00644507" w:rsidRDefault="00FB2312" w:rsidP="003D4C50">
      <w:pPr>
        <w:pStyle w:val="NormalHanging12a"/>
        <w:rPr>
          <w:szCs w:val="24"/>
        </w:rPr>
      </w:pPr>
      <w:r w:rsidRPr="00644507">
        <w:t>37</w:t>
      </w:r>
      <w:r w:rsidR="003D4C50" w:rsidRPr="00644507">
        <w:t>.</w:t>
      </w:r>
      <w:r w:rsidR="003D4C50" w:rsidRPr="00644507">
        <w:tab/>
        <w:t>Observa que en algunos Estados miembros las tasas de fuga de las tuberías son elevadas, lo que aumenta el porcentaje total del consumo doméstico de agua; acoge con satisfacción las disposiciones de la nueva Directiva relativa a la calidad de las aguas destinadas al consumo humano en lo que respecta a las tasas de fuga y el trabajo en curso de la Comisión para evaluar dichas tasas y establecer valores umbral que den lugar a la adopción de medidas en los Estados miembros afectados; pide a los Estados miembros que aborden urgentemente las fugas en las redes de suministro de agua y que apliquen íntegramente los requisitos de seguimiento y notificación de la Directiva relativa a la calidad de las aguas destinadas al consumo humano, a fin de que la Comisión pueda establecer un valor umbral para las fugas en enero de 2028 a más tardar; hace hincapié en la necesidad de que las redes de riego urbano sostenible se modernicen para frenar las fugas y reducir su huella hídrica; pide a los Estados miembros que informen periódicamente al público sobre la eficiencia y la eficacia de sus reservas de agua;</w:t>
      </w:r>
    </w:p>
    <w:p w14:paraId="2C7D46E7" w14:textId="6B27D340" w:rsidR="003D4C50" w:rsidRPr="00644507" w:rsidRDefault="00FB2312" w:rsidP="003D4C50">
      <w:pPr>
        <w:pStyle w:val="NormalHanging12a"/>
        <w:rPr>
          <w:szCs w:val="24"/>
        </w:rPr>
      </w:pPr>
      <w:r w:rsidRPr="00644507">
        <w:t>38</w:t>
      </w:r>
      <w:r w:rsidR="003D4C50" w:rsidRPr="00644507">
        <w:t>.</w:t>
      </w:r>
      <w:r w:rsidR="003D4C50" w:rsidRPr="00644507">
        <w:tab/>
        <w:t>Señala que las organizaciones del sector público ofrecen un importante potencial para el ahorro de agua aún sin explotar en virtud de su tamaño o su naturaleza de organizaciones públicas; considera que el sector público debe servir de modelo para otros sectores;</w:t>
      </w:r>
    </w:p>
    <w:p w14:paraId="5D15E468" w14:textId="71E02BCB" w:rsidR="003D4C50" w:rsidRPr="00644507" w:rsidRDefault="00FB2312" w:rsidP="003D4C50">
      <w:pPr>
        <w:pStyle w:val="NormalHanging12a"/>
        <w:rPr>
          <w:szCs w:val="24"/>
        </w:rPr>
      </w:pPr>
      <w:r w:rsidRPr="00644507">
        <w:t>39</w:t>
      </w:r>
      <w:r w:rsidR="003D4C50" w:rsidRPr="00644507">
        <w:t>.</w:t>
      </w:r>
      <w:r w:rsidR="003D4C50" w:rsidRPr="00644507">
        <w:tab/>
        <w:t>Pide a la Comisión y a los Estados miembros que promuevan programas de información, formación y asesoramiento, así como campañas informativas, gratuitos y fácilmente accesibles, con el fin de sensibilizar a la opinión pública sobre la gestión sostenible de los recursos hídricos;</w:t>
      </w:r>
    </w:p>
    <w:p w14:paraId="2BE8577A" w14:textId="3FFCFA2A" w:rsidR="003D4C50" w:rsidRPr="00644507" w:rsidRDefault="00FB2312" w:rsidP="003D4C50">
      <w:pPr>
        <w:pStyle w:val="NormalHanging12a"/>
        <w:rPr>
          <w:szCs w:val="24"/>
        </w:rPr>
      </w:pPr>
      <w:r w:rsidRPr="00644507">
        <w:t>40</w:t>
      </w:r>
      <w:r w:rsidR="003D4C50" w:rsidRPr="00644507">
        <w:t>.</w:t>
      </w:r>
      <w:r w:rsidR="003D4C50" w:rsidRPr="00644507">
        <w:tab/>
        <w:t>Recomienda que en la próxima revisión del marco de la contratación pública se integren cuestiones relacionadas con la eficiencia hídrica, como la reducción de la pérdida de agua y su reutilización;</w:t>
      </w:r>
    </w:p>
    <w:p w14:paraId="0B70BA2A" w14:textId="77777777" w:rsidR="003D4C50" w:rsidRPr="00644507" w:rsidRDefault="003D4C50" w:rsidP="003D4C50">
      <w:pPr>
        <w:pStyle w:val="Normal12a24b"/>
      </w:pPr>
      <w:r w:rsidRPr="00644507">
        <w:rPr>
          <w:rStyle w:val="BoldItalic"/>
        </w:rPr>
        <w:t>Contaminación del agua</w:t>
      </w:r>
    </w:p>
    <w:p w14:paraId="7EA2A4BC" w14:textId="6715FAFE" w:rsidR="003D4C50" w:rsidRPr="00644507" w:rsidRDefault="00FB2312" w:rsidP="003D4C50">
      <w:pPr>
        <w:pStyle w:val="NormalHanging12a"/>
        <w:rPr>
          <w:szCs w:val="24"/>
        </w:rPr>
      </w:pPr>
      <w:r w:rsidRPr="00644507">
        <w:t>41</w:t>
      </w:r>
      <w:r w:rsidR="003D4C50" w:rsidRPr="00644507">
        <w:t>.</w:t>
      </w:r>
      <w:r w:rsidR="003D4C50" w:rsidRPr="00644507">
        <w:tab/>
        <w:t>Subraya que el actual marco de la política de aguas de la Unión está diseñado para abordar la gestión eficaz de los recursos hídricos y la protección y restauración de los ecosistemas de agua dulce y marinos, pero que su aplicación y cumplimiento deficientes, su insuficiente financiación y la falta de análisis coste-beneficio adecuados de las medidas de aplicación socavan su efectividad;</w:t>
      </w:r>
    </w:p>
    <w:p w14:paraId="4096CB70" w14:textId="514AC507" w:rsidR="003D4C50" w:rsidRPr="00644507" w:rsidRDefault="00FB2312" w:rsidP="003D4C50">
      <w:pPr>
        <w:pStyle w:val="NormalHanging12a"/>
        <w:rPr>
          <w:szCs w:val="24"/>
        </w:rPr>
      </w:pPr>
      <w:r w:rsidRPr="00644507">
        <w:t>42</w:t>
      </w:r>
      <w:r w:rsidR="003D4C50" w:rsidRPr="00644507">
        <w:t>.</w:t>
      </w:r>
      <w:r w:rsidR="003D4C50" w:rsidRPr="00644507">
        <w:tab/>
        <w:t>Pide a la Comisión y a los Estados miembros que apliquen y cumplan la legislación vigente, en particular la Directiva marco sobre el agua y sus Directivas derivadas (la Directiva sobre las aguas subterráneas y la Directiva sobre normas de calidad ambiental), prestando especial atención al refuerzo de los mecanismos de seguimiento y presentación de información con el fin de garantizar que todos los Estados miembros apliquen las medidas de protección del agua necesarias de un modo coherente; recuerda la necesidad de una financiación suficiente para aplicar estos actos;</w:t>
      </w:r>
    </w:p>
    <w:p w14:paraId="74076D5D" w14:textId="3C7586D1" w:rsidR="003D4C50" w:rsidRPr="00644507" w:rsidRDefault="00FB2312" w:rsidP="003D4C50">
      <w:pPr>
        <w:pStyle w:val="NormalHanging12a"/>
        <w:rPr>
          <w:szCs w:val="24"/>
        </w:rPr>
      </w:pPr>
      <w:r w:rsidRPr="00644507">
        <w:t>43</w:t>
      </w:r>
      <w:r w:rsidR="003D4C50" w:rsidRPr="00644507">
        <w:t>.</w:t>
      </w:r>
      <w:r w:rsidR="003D4C50" w:rsidRPr="00644507">
        <w:tab/>
        <w:t>Subraya que la contaminación química de las aguas superficiales y subterráneas representa una amenaza para el medio acuático, con efectos tales como la toxicidad aguda y crónica en organismos acuáticos, la acumulación de contaminantes en el ecosistema y la pérdida de hábitats y de biodiversidad, así como para la salud humana;</w:t>
      </w:r>
    </w:p>
    <w:p w14:paraId="5BFB7548" w14:textId="6EEBAA48" w:rsidR="003D4C50" w:rsidRPr="00644507" w:rsidRDefault="00FB2312" w:rsidP="003D4C50">
      <w:pPr>
        <w:pStyle w:val="NormalHanging12a"/>
        <w:rPr>
          <w:szCs w:val="24"/>
        </w:rPr>
      </w:pPr>
      <w:r w:rsidRPr="00644507">
        <w:t>44</w:t>
      </w:r>
      <w:r w:rsidR="003D4C50" w:rsidRPr="00644507">
        <w:t>.</w:t>
      </w:r>
      <w:r w:rsidR="003D4C50" w:rsidRPr="00644507">
        <w:tab/>
      </w:r>
      <w:r w:rsidR="00120E5C" w:rsidRPr="00644507">
        <w:t>Pide el establecimiento de normas exhaustivas de calidad a escala de la Unión para los PFAS en las aguas subterráneas y superficiales</w:t>
      </w:r>
      <w:r w:rsidR="003D4C50" w:rsidRPr="00644507">
        <w:t>; subraya que las respectivas actualizaciones de las Directivas pertinentes son esenciales para proteger la calidad del agua y lograr un buen estado químico para las masas de agua, según lo previsto en la Directiva marco sobre el agua;</w:t>
      </w:r>
    </w:p>
    <w:p w14:paraId="58CF2598" w14:textId="474DC67F" w:rsidR="003D4C50" w:rsidRPr="00644507" w:rsidRDefault="00FB2312" w:rsidP="003D4C50">
      <w:pPr>
        <w:pStyle w:val="NormalHanging12a"/>
        <w:rPr>
          <w:szCs w:val="24"/>
        </w:rPr>
      </w:pPr>
      <w:r w:rsidRPr="00644507">
        <w:t>45</w:t>
      </w:r>
      <w:r w:rsidR="003D4C50" w:rsidRPr="00644507">
        <w:t>.</w:t>
      </w:r>
      <w:r w:rsidR="003D4C50" w:rsidRPr="00644507">
        <w:tab/>
      </w:r>
      <w:r w:rsidR="00120E5C" w:rsidRPr="00644507">
        <w:t>Insiste en que, en el contexto de las futuras propuestas legislativas y no legislativas, no se pongan en peligro los usos esenciales de las PFAS en sectores críticos, como los dispositivos médicos, los productos farmacéuticos y los productos necesarios para la transición a una economía climáticamente neutra y digital; pide a la Comisión que proponga la eliminación progresiva de las sustancias perfluoroalquiladas y polifluoroalquiladas (PFAS) —empezando por los bienes de consumo— asociadas a efectos nocivos para la salud humana y el medio ambiente, sobre la base de pruebas científicas y permitiendo su uso cuando existan alternativas seguras; subraya la necesidad de aumentar las inversiones y acelerar la investigación y el desarrollo de alternativas equivalentes y seguras</w:t>
      </w:r>
      <w:r w:rsidR="003D4C50" w:rsidRPr="00644507">
        <w:t>;</w:t>
      </w:r>
    </w:p>
    <w:p w14:paraId="1DE21B47" w14:textId="0DC4C39E" w:rsidR="003D4C50" w:rsidRPr="00644507" w:rsidRDefault="00FB2312" w:rsidP="003D4C50">
      <w:pPr>
        <w:pStyle w:val="NormalHanging12a"/>
        <w:rPr>
          <w:szCs w:val="24"/>
        </w:rPr>
      </w:pPr>
      <w:r w:rsidRPr="00644507">
        <w:t>46</w:t>
      </w:r>
      <w:r w:rsidR="003D4C50" w:rsidRPr="00644507">
        <w:t>.</w:t>
      </w:r>
      <w:r w:rsidR="003D4C50" w:rsidRPr="00644507">
        <w:tab/>
        <w:t>Pide a la Comisión que proponga límites actualizados para las PFAS en el agua destinada al consumo humano, teniendo en cuenta los conocimientos científicos más recientes;</w:t>
      </w:r>
    </w:p>
    <w:p w14:paraId="063D2B38" w14:textId="509130D5" w:rsidR="003D4C50" w:rsidRPr="00644507" w:rsidRDefault="00FB2312" w:rsidP="003D4C50">
      <w:pPr>
        <w:pStyle w:val="NormalHanging12a"/>
        <w:rPr>
          <w:szCs w:val="24"/>
        </w:rPr>
      </w:pPr>
      <w:r w:rsidRPr="00644507">
        <w:t>47</w:t>
      </w:r>
      <w:r w:rsidR="003D4C50" w:rsidRPr="00644507">
        <w:t>.</w:t>
      </w:r>
      <w:r w:rsidR="003D4C50" w:rsidRPr="00644507">
        <w:tab/>
        <w:t>Hace hincapié en la urgencia de abordar, principalmente en la fuente, y controlar de manera efectiva la contaminación procedente de productos farmacéuticos, bisfenoles, genes de resistencia a los antimicrobianos, contaminantes orgánicos persistentes y otros contaminantes existentes y emergentes para ajustarse a la ambición de una contaminación cero de la Unión y al objetivo de lograr un buen estado químico para todas las masas de agua;</w:t>
      </w:r>
    </w:p>
    <w:p w14:paraId="73AFAE33" w14:textId="6D0B2A33" w:rsidR="003D4C50" w:rsidRPr="00644507" w:rsidRDefault="00FB2312" w:rsidP="003D4C50">
      <w:pPr>
        <w:pStyle w:val="NormalHanging12a"/>
        <w:rPr>
          <w:szCs w:val="24"/>
        </w:rPr>
      </w:pPr>
      <w:r w:rsidRPr="00644507">
        <w:t>48</w:t>
      </w:r>
      <w:r w:rsidR="003D4C50" w:rsidRPr="00644507">
        <w:t>.</w:t>
      </w:r>
      <w:r w:rsidR="003D4C50" w:rsidRPr="00644507">
        <w:tab/>
        <w:t>Pide a la Comisión que reduzca las brechas con una financiación mejorada y el cumplimiento de la legislación actual, y mediante la integración de los principios de la economía circular para mitigar la contaminación en su origen y salvaguardar los ecosistemas hídricos para las generaciones futuras; subraya que las bacterias resistentes a los antibióticos y determinados contaminantes emergentes siguen sin abordarse suficientemente, por lo que se requiere más innovación e inversión; hace hincapié en la necesidad de que todos los sectores apliquen procesos de producción sostenibles y prácticas circulares, evitando de forma proactiva que los contaminantes entren en los sistemas hídricos;</w:t>
      </w:r>
    </w:p>
    <w:p w14:paraId="35BAD6D6" w14:textId="605EEA06" w:rsidR="003D4C50" w:rsidRPr="00644507" w:rsidRDefault="00FB2312" w:rsidP="003D4C50">
      <w:pPr>
        <w:pStyle w:val="NormalHanging12a"/>
        <w:rPr>
          <w:szCs w:val="24"/>
        </w:rPr>
      </w:pPr>
      <w:r w:rsidRPr="00644507">
        <w:t>49</w:t>
      </w:r>
      <w:r w:rsidR="003D4C50" w:rsidRPr="00644507">
        <w:t>.</w:t>
      </w:r>
      <w:r w:rsidR="003D4C50" w:rsidRPr="00644507">
        <w:tab/>
        <w:t>Recuerda que los microplásticos pueden entrar en las fuentes de agua potable de varias maneras: desde la escorrentía superficial (por ejemplo, después de un fenómeno de lluvia) hasta el efluente de aguas residuales (tanto tratadas como no tratadas), los desbordamientos de alcantarillado combinados, los efluentes industriales, los residuos plásticos degradados y el depósito atmosférico; pide a la Comisión que presente, en consonancia con los requisitos de la Directiva relativa a la calidad de las aguas destinadas al consumo humano, una evaluación completa del riesgo de los microplásticos en el agua potable, al tiempo que trabaja continuamente en métodos de muestreo y análisis fiables y sólidos para abordar adecuadamente la posible amenaza de este contaminante emergente para las fuentes de agua destinadas al consumo humano;</w:t>
      </w:r>
    </w:p>
    <w:p w14:paraId="5BD09067" w14:textId="3444DFFE" w:rsidR="003D4C50" w:rsidRPr="00644507" w:rsidRDefault="00FB2312" w:rsidP="003D4C50">
      <w:pPr>
        <w:pStyle w:val="NormalHanging12a"/>
        <w:rPr>
          <w:szCs w:val="24"/>
        </w:rPr>
      </w:pPr>
      <w:r w:rsidRPr="00644507">
        <w:t>50</w:t>
      </w:r>
      <w:r w:rsidR="003D4C50" w:rsidRPr="00644507">
        <w:t>.</w:t>
      </w:r>
      <w:r w:rsidR="003D4C50" w:rsidRPr="00644507">
        <w:tab/>
        <w:t>Hace hincapié en la necesidad de mejorar el control y la regulación de la contaminación por plásticos en entornos marinos y de agua dulce, prestando especial atención a los microplásticos y los plásticos de un solo uso; anima a la Comisión a que evalúe los mecanismos de ejecución actuales y considere nuevas medidas para proteger la calidad del agua;</w:t>
      </w:r>
    </w:p>
    <w:p w14:paraId="6B40B640" w14:textId="3BC0A708" w:rsidR="003D4C50" w:rsidRPr="00644507" w:rsidRDefault="00FB2312" w:rsidP="003D4C50">
      <w:pPr>
        <w:pStyle w:val="NormalHanging12a"/>
      </w:pPr>
      <w:r w:rsidRPr="00644507">
        <w:t>51</w:t>
      </w:r>
      <w:r w:rsidR="003D4C50" w:rsidRPr="00644507">
        <w:t>.</w:t>
      </w:r>
      <w:r w:rsidR="003D4C50" w:rsidRPr="00644507">
        <w:tab/>
        <w:t>Pide a las partes interesadas que desarrollen materiales seguros en contacto con el agua, sustituyan el BPA y otros bisfenoles y garanticen e</w:t>
      </w:r>
      <w:r w:rsidR="00E33CDC" w:rsidRPr="00644507">
        <w:t>l cumplimiento del Reglamento (C</w:t>
      </w:r>
      <w:r w:rsidR="003D4C50" w:rsidRPr="00644507">
        <w:t>E)</w:t>
      </w:r>
      <w:r w:rsidR="00E33CDC" w:rsidRPr="00644507">
        <w:t xml:space="preserve"> n.° </w:t>
      </w:r>
      <w:r w:rsidR="003D4C50" w:rsidRPr="00644507">
        <w:t>1935/2004 sobre los materiales y objetos destinados a entrar en contacto con alimentos</w:t>
      </w:r>
      <w:r w:rsidR="003D4C50" w:rsidRPr="00644507">
        <w:rPr>
          <w:rStyle w:val="FootnoteReference"/>
        </w:rPr>
        <w:footnoteReference w:id="65"/>
      </w:r>
      <w:r w:rsidR="003D4C50" w:rsidRPr="00644507">
        <w:t xml:space="preserve"> y las disposiciones recientemente adoptadas en lo que respecta al uso de BPA y otros bisfenoles y derivados de bisfenoles [Reglamento (UE) 2024/3190 de la Comisión];</w:t>
      </w:r>
    </w:p>
    <w:p w14:paraId="2C9CB89A" w14:textId="4BCF0811" w:rsidR="003D4C50" w:rsidRPr="00644507" w:rsidRDefault="00FB2312" w:rsidP="003D4C50">
      <w:pPr>
        <w:pStyle w:val="NormalHanging12a"/>
        <w:rPr>
          <w:szCs w:val="24"/>
        </w:rPr>
      </w:pPr>
      <w:r w:rsidRPr="00644507">
        <w:t>52</w:t>
      </w:r>
      <w:r w:rsidR="003D4C50" w:rsidRPr="00644507">
        <w:t>.</w:t>
      </w:r>
      <w:r w:rsidR="003D4C50" w:rsidRPr="00644507">
        <w:tab/>
        <w:t>Recuerda que la Directiva revisada sobre el tratamiento de las aguas residuales urbanas, en vigor desde el 1 de enero de 2025, impone nuevas obligaciones en relación con la purificación del agua, al obligar a los productores farmacéuticos y de cosméticos a que cubran al menos el 80 % de los costes destinados a la eliminación de los microcontaminantes de las aguas residuales, con el objetivo de reducir las sustancias nocivas del medio ambiente;</w:t>
      </w:r>
      <w:r w:rsidR="00120E5C" w:rsidRPr="00644507">
        <w:t xml:space="preserve"> señala la existencia de cifras y evaluaciones divergentes sobre el impacto que esto tendría en el sector farmacéutico y, por consiguiente, en la disponibilidad y asequibilidad de los medicamentos, por lo que pide a la Comisión que lleve a cabo una nueva evaluación exhaustiva del impacto en este sector;</w:t>
      </w:r>
    </w:p>
    <w:p w14:paraId="1362AF75" w14:textId="60753ECD" w:rsidR="003D4C50" w:rsidRPr="00644507" w:rsidRDefault="00FB2312" w:rsidP="003D4C50">
      <w:pPr>
        <w:pStyle w:val="NormalHanging12a"/>
        <w:rPr>
          <w:szCs w:val="24"/>
        </w:rPr>
      </w:pPr>
      <w:r w:rsidRPr="00644507">
        <w:t>53</w:t>
      </w:r>
      <w:r w:rsidR="003D4C50" w:rsidRPr="00644507">
        <w:t>.</w:t>
      </w:r>
      <w:r w:rsidR="003D4C50" w:rsidRPr="00644507">
        <w:tab/>
        <w:t>Pide un mayor apoyo de la Unión a las autoridades locales para la modernización de las instalaciones de tratamiento de aguas residuales y la promoción de la reutilización del agua con el fin de ajustarse a la ambición de una contaminación cero de la Unión, garantizando que la gestión de las aguas residuales municipales contribuya de forma eficaz al buen estado químico y ecológico del agua;</w:t>
      </w:r>
    </w:p>
    <w:p w14:paraId="4BF1E83B" w14:textId="0CF73B62" w:rsidR="003D4C50" w:rsidRPr="00644507" w:rsidRDefault="00FB2312" w:rsidP="003D4C50">
      <w:pPr>
        <w:pStyle w:val="NormalHanging12a"/>
        <w:rPr>
          <w:szCs w:val="24"/>
        </w:rPr>
      </w:pPr>
      <w:r w:rsidRPr="00644507">
        <w:t>54</w:t>
      </w:r>
      <w:r w:rsidR="003D4C50" w:rsidRPr="00644507">
        <w:t>.</w:t>
      </w:r>
      <w:r w:rsidR="003D4C50" w:rsidRPr="00644507">
        <w:tab/>
        <w:t>Pide un mayor control de los residuos de plaguicidas en las masas de agua y una ejecución de la normativa sobre la aplicación de plaguicidas para mitigar su impacto en la calidad del agua; destaca la necesidad de aumentar la financiación para apoyar a los agricultores en la adopción de prácticas de agricultura ecológica y de bajos insumos que reduzcan la dependencia de plaguicidas y fertilizantes químicos, así como de proporcionar formación adecuada y servicios de asesoramiento independientes a los agricultores y otros operadores sobre el uso, la eficacia y la toxicidad de los plaguicidas, así como sobre las mejores prácticas;</w:t>
      </w:r>
    </w:p>
    <w:p w14:paraId="1A66F946" w14:textId="03ADCA37" w:rsidR="003D4C50" w:rsidRPr="00644507" w:rsidRDefault="00FB2312" w:rsidP="003D4C50">
      <w:pPr>
        <w:pStyle w:val="NormalHanging12a"/>
        <w:rPr>
          <w:szCs w:val="24"/>
        </w:rPr>
      </w:pPr>
      <w:r w:rsidRPr="00644507">
        <w:t>55</w:t>
      </w:r>
      <w:r w:rsidR="003D4C50" w:rsidRPr="00644507">
        <w:t>.</w:t>
      </w:r>
      <w:r w:rsidR="003D4C50" w:rsidRPr="00644507">
        <w:tab/>
        <w:t>Insiste en la integración de los principios de la economía circular para reducir el uso de sustancias químicas peligrosas en los procesos industriales; subraya la necesidad de financiación adicional para apoyar a las industrias en la transición hacia tecnologías limpias que minimicen la contaminación del agua</w:t>
      </w:r>
      <w:r w:rsidR="003D4C50" w:rsidRPr="00644507">
        <w:rPr>
          <w:vertAlign w:val="superscript"/>
        </w:rPr>
        <w:footnoteReference w:id="66"/>
      </w:r>
      <w:r w:rsidR="003D4C50" w:rsidRPr="00644507">
        <w:t>;</w:t>
      </w:r>
    </w:p>
    <w:p w14:paraId="7B75C419" w14:textId="3D334884" w:rsidR="003D4C50" w:rsidRPr="00644507" w:rsidRDefault="00FB2312" w:rsidP="003D4C50">
      <w:pPr>
        <w:pStyle w:val="NormalHanging12a"/>
        <w:rPr>
          <w:szCs w:val="24"/>
        </w:rPr>
      </w:pPr>
      <w:r w:rsidRPr="00644507">
        <w:t>56</w:t>
      </w:r>
      <w:r w:rsidR="003D4C50" w:rsidRPr="00644507">
        <w:t>.</w:t>
      </w:r>
      <w:r w:rsidR="003D4C50" w:rsidRPr="00644507">
        <w:tab/>
        <w:t>Reconoce el papel de los lodos tratados como una fuente local y circular de fertilizantes que contribuye a la salud del suelo, al reciclaje de nutrientes y a la reducción de la dependencia de los fertilizantes sintéticos; hace hincapié en la importancia de evitar que las PFAS, los metales pesados, los microplásticos y otras sustancias nocivas entren en las redes de alcantarillado con el fin de permitir el uso seguro y sostenible de lodos de depuradora de alta calidad en la agricultura;</w:t>
      </w:r>
    </w:p>
    <w:p w14:paraId="6FF0F2D5" w14:textId="7371D40E" w:rsidR="003D4C50" w:rsidRPr="00644507" w:rsidRDefault="00FB2312" w:rsidP="003D4C50">
      <w:pPr>
        <w:pStyle w:val="NormalHanging12a"/>
        <w:rPr>
          <w:szCs w:val="24"/>
        </w:rPr>
      </w:pPr>
      <w:r w:rsidRPr="00644507">
        <w:t>57</w:t>
      </w:r>
      <w:r w:rsidR="003D4C50" w:rsidRPr="00644507">
        <w:t>.</w:t>
      </w:r>
      <w:r w:rsidR="003D4C50" w:rsidRPr="00644507">
        <w:tab/>
        <w:t>Pide a la Comisión que incluya un resumen de las medidas en un anexo de la estrategia europea de resiliencia hídrica, con un calendario para la consecución de los objetivos en cuestión;</w:t>
      </w:r>
    </w:p>
    <w:p w14:paraId="09A0CA0C" w14:textId="77777777" w:rsidR="003D4C50" w:rsidRPr="00644507" w:rsidRDefault="003D4C50" w:rsidP="003D4C50">
      <w:pPr>
        <w:pStyle w:val="NormalHanging12a"/>
        <w:ind w:left="0" w:firstLine="0"/>
        <w:rPr>
          <w:szCs w:val="24"/>
        </w:rPr>
      </w:pPr>
      <w:r w:rsidRPr="00644507">
        <w:rPr>
          <w:b/>
          <w:i/>
        </w:rPr>
        <w:t>Adaptación al cambio climático: inundaciones, sequías, zonas de estrés, preparación ante catástrofes</w:t>
      </w:r>
    </w:p>
    <w:p w14:paraId="7873DACA" w14:textId="70E110B3" w:rsidR="003D4C50" w:rsidRPr="00644507" w:rsidRDefault="00FB2312" w:rsidP="003D4C50">
      <w:pPr>
        <w:pStyle w:val="NormalHanging12a"/>
        <w:rPr>
          <w:szCs w:val="24"/>
        </w:rPr>
      </w:pPr>
      <w:r w:rsidRPr="00644507">
        <w:t>58</w:t>
      </w:r>
      <w:r w:rsidR="003D4C50" w:rsidRPr="00644507">
        <w:t>.</w:t>
      </w:r>
      <w:r w:rsidR="003D4C50" w:rsidRPr="00644507">
        <w:tab/>
        <w:t>Pide que todos los nuevos actos legislativos y no legislativos de la Unión se adapten al cambio climático con el fin de garantizar la integración de la adaptación al cambio climático en los planes sectoriales y las medidas políticas que afectan al uso del agua y del suelo; destaca, a este respecto, la necesidad de una mayor ambición climática como parte de la lucha contra el cambio climático, al tiempo que insta a los Estados miembros a garantizar que todas las medidas de adaptación al cambio climático que afectan al uso del agua contribuyan a mejorar la resiliencia hídrica a largo plazo; pide a la Comisión que tenga plenamente en cuenta las condiciones geográficas y ambientales de los Estados miembros, así como la situación específica de las islas, las regiones ultraperiféricas y otras zonas con una vulnerabilidad elevada, como las zonas afectadas por la desertificación, a la hora de adoptar nuevas propuestas legislativas y no legislativas; pide a la Comisión que presente una hoja de ruta de medidas políticas actuales y en curso, legislativas y no legislativas, incluidos los objetivos y los requisitos de seguimiento que afectan al agua y al uso del suelo;</w:t>
      </w:r>
    </w:p>
    <w:p w14:paraId="0F9D6C93" w14:textId="054A875C" w:rsidR="003D4C50" w:rsidRPr="00644507" w:rsidRDefault="00FB2312" w:rsidP="003D4C50">
      <w:pPr>
        <w:pStyle w:val="NormalHanging12a"/>
        <w:rPr>
          <w:szCs w:val="24"/>
        </w:rPr>
      </w:pPr>
      <w:r w:rsidRPr="00644507">
        <w:t>59</w:t>
      </w:r>
      <w:r w:rsidR="003D4C50" w:rsidRPr="00644507">
        <w:t>.</w:t>
      </w:r>
      <w:r w:rsidR="003D4C50" w:rsidRPr="00644507">
        <w:tab/>
        <w:t>Hace hincapié en la necesidad de unas medidas de adaptación al cambio climático adaptadas para las regiones mediterráneas, que se enfrentan a retos muy concretos como las sequías prolongadas y la intrusión salina en los recursos de agua dulce;</w:t>
      </w:r>
    </w:p>
    <w:p w14:paraId="255AFA2D" w14:textId="1737904B" w:rsidR="003D4C50" w:rsidRPr="00644507" w:rsidRDefault="00FB2312" w:rsidP="003D4C50">
      <w:pPr>
        <w:pStyle w:val="NormalHanging12a"/>
        <w:rPr>
          <w:szCs w:val="24"/>
        </w:rPr>
      </w:pPr>
      <w:r w:rsidRPr="00644507">
        <w:t>60</w:t>
      </w:r>
      <w:r w:rsidR="003D4C50" w:rsidRPr="00644507">
        <w:t>.</w:t>
      </w:r>
      <w:r w:rsidR="003D4C50" w:rsidRPr="00644507">
        <w:tab/>
        <w:t>Destaca los retos específicos a los que se enfrentan las zonas insulares debido a la escasez de agua potable y pide medidas específicas para proteger los recursos hídricos insulares, en particular, la mejora de las infraestructuras de recogida y almacenamiento de aguas pluviales y la aplicación de fuentes alternativas de agua, así como la mejora de los sistemas de seguimiento y gestión de los recursos hídricos; pide también a los Estados miembros que presten más atención a las regiones montañosas en los planes nacionales de adaptación para hacer frente a los retos específicos de la gestión del agua en las zonas montañosas;</w:t>
      </w:r>
    </w:p>
    <w:p w14:paraId="2E3C61B9" w14:textId="49A745BE" w:rsidR="003D4C50" w:rsidRPr="00644507" w:rsidRDefault="00FB2312" w:rsidP="003D4C50">
      <w:pPr>
        <w:pStyle w:val="NormalHanging12a"/>
        <w:rPr>
          <w:szCs w:val="24"/>
        </w:rPr>
      </w:pPr>
      <w:r w:rsidRPr="00644507">
        <w:t>61</w:t>
      </w:r>
      <w:r w:rsidR="003D4C50" w:rsidRPr="00644507">
        <w:t>.</w:t>
      </w:r>
      <w:r w:rsidR="003D4C50" w:rsidRPr="00644507">
        <w:tab/>
        <w:t>Reitera que las soluciones de mitigación del cambio climático y adaptación al mismo no deben aplicarse a costa de la degradación de los ecosistemas y deben evitar aumentar la demanda de actividades que requieran un gran consumo de agua y energía, y, que, en lugar de ello, deben dar prioridad a la innovación y las tecnologías eficientes en el uso de la energía y el agua como parte de la transición hacia una economía más eficiente en el uso de los recursos, sin socavar su productividad y garantizando al mismo tiempo un acceso equitativo al agua para todos; señala que, para que sean eficaces, las soluciones de mitigación del cambio climático y adaptación al mismo deben adecuarse a las circunstancias nacionales, mejorando al mismo tiempo la competitividad y la productividad a corto y largo plazo; señala las posibilidades de sinergias, a este respecto, con la producción innovadora de energía, como la fotovoltaica y el biogás, ya que también pueden contribuir al aumento de la renta agrícola;</w:t>
      </w:r>
    </w:p>
    <w:p w14:paraId="5D7DB3B9" w14:textId="312B6237" w:rsidR="003D4C50" w:rsidRPr="00644507" w:rsidRDefault="00FB2312" w:rsidP="003D4C50">
      <w:pPr>
        <w:pStyle w:val="NormalHanging12a"/>
        <w:rPr>
          <w:szCs w:val="24"/>
        </w:rPr>
      </w:pPr>
      <w:r w:rsidRPr="00644507">
        <w:t>62</w:t>
      </w:r>
      <w:r w:rsidR="003D4C50" w:rsidRPr="00644507">
        <w:t>.</w:t>
      </w:r>
      <w:r w:rsidR="003D4C50" w:rsidRPr="00644507">
        <w:tab/>
        <w:t>Reconoce la importancia de reservar el agua para la naturaleza y la necesidad de mantener el buen estado de los ecosistemas de agua dulce en aras del buen funcionamiento del ciclo del agua, para las actividades humanas y para la mitigación de los efectos de las sequías y la escasez de agua; subraya, en el contexto de la restauración de los ecosistemas de agua dulce y las funciones naturales de los ríos, la importancia de eliminar las «barreras obsoletas», es decir, las barreras artificiales que ya no cumplen su finalidad original o que ya no son necesarias, siempre que existan tales oportunidades, sobre la base de los conocimientos y la experiencia actuales; pide la creación de programas específicos para la limpieza y conservación de los cauces fluviales, garantizando un caudal mínimo y reduciendo la acumulación de residuos y sedimentos que puedan afectar a la capacidad de almacenamiento y distribución del agua;</w:t>
      </w:r>
    </w:p>
    <w:p w14:paraId="3A649EEB" w14:textId="6863A9CD" w:rsidR="003D4C50" w:rsidRPr="00644507" w:rsidRDefault="00FB2312" w:rsidP="003D4C50">
      <w:pPr>
        <w:pStyle w:val="NormalHanging12a"/>
        <w:rPr>
          <w:szCs w:val="24"/>
        </w:rPr>
      </w:pPr>
      <w:r w:rsidRPr="00644507">
        <w:t>63</w:t>
      </w:r>
      <w:r w:rsidR="003D4C50" w:rsidRPr="00644507">
        <w:t>.</w:t>
      </w:r>
      <w:r w:rsidR="003D4C50" w:rsidRPr="00644507">
        <w:tab/>
        <w:t>Insiste en que, dado que el impacto del cambio climático es cada vez más persistente, la gestión de las inundaciones y las sequías debe integrar plenamente los riesgos derivados, por ejemplo, los cambios en los patrones meteorológicos, como el aumento de los patrones de las precipitaciones, que lleva a un exceso de agua; expresa su convencimiento de que una combinación de seguimiento y recopilación de datos, preparación, respuestas de emergencia y recuperación teniendo en cuenta el principio de «reconstruir para mejorar»</w:t>
      </w:r>
      <w:r w:rsidR="003D4C50" w:rsidRPr="00644507">
        <w:rPr>
          <w:vertAlign w:val="superscript"/>
        </w:rPr>
        <w:footnoteReference w:id="67"/>
      </w:r>
      <w:r w:rsidR="003D4C50" w:rsidRPr="00644507">
        <w:t>, por una parte, y de adaptación de las actividades sociales y económicas, por otra, es esencial para reducir la vulnerabilidad y aumentar la resiliencia, especialmente a la luz del aspecto cuantitativo de que el agua es cada vez más importante; destaca en este sentido la necesidad de contar con soluciones basadas en la naturaleza e infraestructuras climáticamente resilientes que tengan en cuenta en su desarrollo el impacto de eventos climáticos extremos para asegurar su viabilidad en caso de que se produzcan;</w:t>
      </w:r>
    </w:p>
    <w:p w14:paraId="413167A0" w14:textId="527604CC" w:rsidR="003D4C50" w:rsidRPr="00644507" w:rsidRDefault="00FB2312" w:rsidP="003D4C50">
      <w:pPr>
        <w:pStyle w:val="NormalHanging12a"/>
        <w:rPr>
          <w:szCs w:val="24"/>
        </w:rPr>
      </w:pPr>
      <w:r w:rsidRPr="00644507">
        <w:t>64</w:t>
      </w:r>
      <w:r w:rsidR="003D4C50" w:rsidRPr="00644507">
        <w:t>.</w:t>
      </w:r>
      <w:r w:rsidR="003D4C50" w:rsidRPr="00644507">
        <w:tab/>
        <w:t>Recuerda que, en 2007, la Directiva marco sobre el agua se complementó con la Directiva 2007/60/CE relativa a la evaluación y gestión de los riesgos de inundación, cuyo objetivo es establecer un marco para reducir las consecuencias adversas de las inundaciones para la salud humana, el medio ambiente, el patrimonio cultural y la actividad económica; señala que la compatibilidad entre ambas Directivas se logra mediante planes de gestión de riesgos y planes hidrológicos de cuenca como componentes de un sistema integrado de gestión del agua en el que la coordinación es crucial; recuerda que la prevención de inundaciones está estrechamente relacionada con los espacios verdes urbanos, las estrategias de protección del suelo y la inversión en redes de drenaje;</w:t>
      </w:r>
    </w:p>
    <w:p w14:paraId="1F613F31" w14:textId="14A2F275" w:rsidR="003D4C50" w:rsidRPr="00644507" w:rsidRDefault="00FB2312" w:rsidP="003D4C50">
      <w:pPr>
        <w:pStyle w:val="NormalHanging12a"/>
        <w:rPr>
          <w:szCs w:val="24"/>
        </w:rPr>
      </w:pPr>
      <w:r w:rsidRPr="00644507">
        <w:t>65</w:t>
      </w:r>
      <w:r w:rsidR="003D4C50" w:rsidRPr="00644507">
        <w:t>.</w:t>
      </w:r>
      <w:r w:rsidR="003D4C50" w:rsidRPr="00644507">
        <w:tab/>
        <w:t>Destaca que la preparación ante la escasez de agua y la sequía puede mejorarse significativamente en la Unión, teniendo en cuenta que en varios Estados miembros no existen planes de gestión de la sequía</w:t>
      </w:r>
      <w:r w:rsidR="003D4C50" w:rsidRPr="00644507">
        <w:rPr>
          <w:vertAlign w:val="superscript"/>
        </w:rPr>
        <w:footnoteReference w:id="68"/>
      </w:r>
      <w:r w:rsidR="003D4C50" w:rsidRPr="00644507">
        <w:t>; pide a los Estados miembros y, en su caso, a las autoridades regionales y locales competentes, que desarrollen planes de gestión de la sequía, en particular con vistas a garantizar el suministro de agua potable, garantizar la producción de alimentos e integrar sistemas digitalizados de seguimiento, control y alerta temprana con el fin de apoyar decisiones eficaces y basadas en datos sobre medidas de protección, respuesta y comunicación con ámbitos de responsabilidad claramente definidos; señala la necesidad de introducir disposiciones a escala de la Unión en lo que respecta a los planes de gestión de la sequía, similares a las relativas a los planes de gestión de inundaciones;</w:t>
      </w:r>
    </w:p>
    <w:p w14:paraId="70C1FB03" w14:textId="4A3C3F01" w:rsidR="003D4C50" w:rsidRPr="00644507" w:rsidRDefault="00FB2312" w:rsidP="003D4C50">
      <w:pPr>
        <w:pStyle w:val="NormalHanging12a"/>
        <w:rPr>
          <w:szCs w:val="24"/>
        </w:rPr>
      </w:pPr>
      <w:r w:rsidRPr="00644507">
        <w:t>66</w:t>
      </w:r>
      <w:r w:rsidR="003D4C50" w:rsidRPr="00644507">
        <w:t>.</w:t>
      </w:r>
      <w:r w:rsidR="003D4C50" w:rsidRPr="00644507">
        <w:tab/>
        <w:t>Insiste, habida cuenta de los numerosos episodios climáticos como inundaciones, sequías y ciclones que han afectado a Europa, en la importancia de que la Unión cuente con un mecanismo sólido para hacer frente a estas crisis, que incluya sistemas de alerta y atención a la población civil; señala que el seguimiento digital, la adecuada visualización pública de los datos pertinentes y los sistemas de alerta temprana son fundamentales para desarrollar planes eficaces de gestión de sequías e inundaciones a escala de los Estados miembros; hace hincapié, además, en la importancia de utilizar plenamente las herramientas disponibles de la Unión, como las previsiones de inundaciones del sistema europeo de alerta de inundaciones y del sistema mundial de alerta de inundaciones, así como la herramienta de vigilancia mundial de inundaciones, como parte del Servicio de Gestión de Emergencias de Copernicus;</w:t>
      </w:r>
    </w:p>
    <w:p w14:paraId="5CC7957A" w14:textId="0449F4AA" w:rsidR="003D4C50" w:rsidRPr="00644507" w:rsidRDefault="00FB2312" w:rsidP="003D4C50">
      <w:pPr>
        <w:pStyle w:val="NormalHanging12a"/>
        <w:rPr>
          <w:szCs w:val="24"/>
        </w:rPr>
      </w:pPr>
      <w:r w:rsidRPr="00644507">
        <w:t>67</w:t>
      </w:r>
      <w:r w:rsidR="003D4C50" w:rsidRPr="00644507">
        <w:t>.</w:t>
      </w:r>
      <w:r w:rsidR="003D4C50" w:rsidRPr="00644507">
        <w:tab/>
        <w:t>Destaca la importancia del Mecanismo de Protección Civil de la Unión (MPCU) a la hora de ayudar a los países afectados por catástrofes relacionadas con el agua, como inundaciones y sequías; pide un incremento de la financiación para dotar al Mecanismo de recursos suficientes y mejorados con miras a aumentar la preparación y mejorar el desarrollo de capacidades;</w:t>
      </w:r>
    </w:p>
    <w:p w14:paraId="6FBE5F08" w14:textId="243BD56E" w:rsidR="003D4C50" w:rsidRPr="00644507" w:rsidRDefault="00FB2312" w:rsidP="003D4C50">
      <w:pPr>
        <w:pStyle w:val="NormalHanging12a"/>
        <w:rPr>
          <w:szCs w:val="24"/>
        </w:rPr>
      </w:pPr>
      <w:r w:rsidRPr="00644507">
        <w:t>68</w:t>
      </w:r>
      <w:r w:rsidR="003D4C50" w:rsidRPr="00644507">
        <w:t>.</w:t>
      </w:r>
      <w:r w:rsidR="003D4C50" w:rsidRPr="00644507">
        <w:tab/>
        <w:t>Pide a la Comisión y a los Estados miembros que mejoren la preparación de los ciudadanos en caso de catástrofes o crisis relacionadas con el agua; destaca la importancia de las campañas de información y los simulacros en centros educativos, administraciones públicas y empresas con el fin de crear una «cultura de preparación» para los ciudadanos;</w:t>
      </w:r>
    </w:p>
    <w:p w14:paraId="75509D74" w14:textId="2677B53A" w:rsidR="003D4C50" w:rsidRPr="00644507" w:rsidRDefault="00FB2312" w:rsidP="003D4C50">
      <w:pPr>
        <w:pStyle w:val="NormalHanging12a"/>
        <w:rPr>
          <w:szCs w:val="24"/>
        </w:rPr>
      </w:pPr>
      <w:r w:rsidRPr="00644507">
        <w:t>69</w:t>
      </w:r>
      <w:r w:rsidR="003D4C50" w:rsidRPr="00644507">
        <w:t>.</w:t>
      </w:r>
      <w:r w:rsidR="003D4C50" w:rsidRPr="00644507">
        <w:tab/>
        <w:t>Pide a los Estados miembros que renueven y mejoren sistemáticamente sus infraestructuras hídricas, incluidas las infraestructuras de agua potable y saneamiento, así como las infraestructuras que regulan los caudales fluviales, y que inviertan en soluciones innovadoras basadas en buenas prácticas de modo que los sistemas hídricos se hagan más resilientes al cambio climático, se garantice un suministro estable de agua potable, se permita la detección temprana de pérdidas y se reduzcan las fugas y el desperdicio de agua, optimizando al mismo tiempo los sistemas de transporte y almacenamiento de agua; destaca que la financiación de las infraestructuras hídricas innovadoras es insuficiente en comparación con las necesidades de inversión en toda la Unión; pide, a este respecto, una financiación específica, a escala nacional, regional o de la Unión, para garantizar una financiación adecuada para el desarrollo, el mantenimiento y la modernización de infraestructuras de resiliencia hídrica, fomentar soluciones y tecnologías innovadoras y garantizar la sostenibilidad a largo plazo de dichas infraestructuras hídricas;</w:t>
      </w:r>
    </w:p>
    <w:p w14:paraId="30B56C8B" w14:textId="59704ADC" w:rsidR="003D4C50" w:rsidRPr="00644507" w:rsidRDefault="00FB2312" w:rsidP="003D4C50">
      <w:pPr>
        <w:pStyle w:val="NormalHanging12a"/>
        <w:rPr>
          <w:szCs w:val="24"/>
        </w:rPr>
      </w:pPr>
      <w:r w:rsidRPr="00644507">
        <w:t>70</w:t>
      </w:r>
      <w:r w:rsidR="003D4C50" w:rsidRPr="00644507">
        <w:t>.</w:t>
      </w:r>
      <w:r w:rsidR="003D4C50" w:rsidRPr="00644507">
        <w:tab/>
        <w:t>Lamenta que, a pesar de la amenaza que la desertificación representa para la calidad y disponibilidad del agua y para la fertilidad del suelo y la producción de alimentos, y de que trece Estados miembros hayan declarado estar afectados por la desertificación en el marco de la Convención de las Naciones Unidas de lucha contra la desertificación, la Comisión no esté abordando la desertificación de manera eficaz y eficiente; insta, por tanto, a la Comisión, en consonancia con las Conclusiones del Consejo de 14 de octubre de 2024 sobre la desertificación, la degradación de las tierras y la sequía, a que presente un plan de acción integrado a escala de la Unión para luchar contra la desertificación, la degradación de las tierras y la sequía, con el objetivo de reforzar la resiliencia frente a la sequía y lograr la neutralidad en materia de degradación de las tierras en la Unión de aquí a 2030, sobre la base de una evaluación de impacto completa;</w:t>
      </w:r>
    </w:p>
    <w:p w14:paraId="3B11DEA6" w14:textId="1F086159" w:rsidR="003D4C50" w:rsidRPr="00644507" w:rsidRDefault="00FB2312" w:rsidP="003D4C50">
      <w:pPr>
        <w:pStyle w:val="NormalHanging12a"/>
        <w:rPr>
          <w:szCs w:val="24"/>
        </w:rPr>
      </w:pPr>
      <w:r w:rsidRPr="00644507">
        <w:t>71</w:t>
      </w:r>
      <w:r w:rsidR="003D4C50" w:rsidRPr="00644507">
        <w:t>.</w:t>
      </w:r>
      <w:r w:rsidR="003D4C50" w:rsidRPr="00644507">
        <w:tab/>
      </w:r>
      <w:r w:rsidR="00120E5C" w:rsidRPr="00644507">
        <w:t>Insiste en que se siga apoyando al sector agrícola en la aplicación de nuevas tecnologías para reducir la demanda de agua, aumentando al mismo tiempo el acceso al agua, en particular apoyando la retención de agua y la recarga de aguas subterráneas; pide que los resultados de las investigaciones, por ejemplo sobre la desalinización del agua de mar, sean accesibles y que se facilite el despliegue de soluciones innovadoras de desalinización; p</w:t>
      </w:r>
      <w:r w:rsidR="003D4C50" w:rsidRPr="00644507">
        <w:t>ide a los Estados miembros que creen reservas naturales de agua sobre la base de evaluaciones actualizadas de los riesgos climáticos a fin de proteger los suministros de agua críticos y sus cuencas, y teniendo en cuenta el impacto medioambiental y socioeconómico del desarrollo de dichas reservas; señala que estas reservas naturales de agua complementarían el requisito de la Directiva marco sobre el agua de que los Estados miembros identifiquen las masas de agua utilizadas para la extracción de agua potable, asegurándose de que cumplan los objetivos establecidos en el artículo 4 de la Directiva marco sobre el agua y la Directiva relativa a la calidad de las aguas destinadas al consumo humano, y garantizarían su necesaria protección; observa que estas reservas naturales de agua ya existen bajo diferentes formas en distintos Estados miembros; subraya que debe prestarse asistencia a los Estados miembros o a las administraciones locales y regionales para ayudarles a desarrollar reservas naturales de agua;</w:t>
      </w:r>
    </w:p>
    <w:p w14:paraId="37974B17" w14:textId="1F8B5C51" w:rsidR="003D4C50" w:rsidRPr="00644507" w:rsidRDefault="00FB2312" w:rsidP="003D4C50">
      <w:pPr>
        <w:pStyle w:val="NormalHanging12a"/>
        <w:rPr>
          <w:szCs w:val="24"/>
        </w:rPr>
      </w:pPr>
      <w:r w:rsidRPr="00644507">
        <w:t>72</w:t>
      </w:r>
      <w:r w:rsidR="003D4C50" w:rsidRPr="00644507">
        <w:t>.</w:t>
      </w:r>
      <w:r w:rsidR="003D4C50" w:rsidRPr="00644507">
        <w:tab/>
        <w:t>Señala el potencial de las infraestructuras de retención como ejemplo de sistemas de generación de agua creados utilizando las mejores técnicas rentables disponibles con el menor impacto medioambiental, también mediante la reutilización de aguas residuales o la recogida de aguas pluviales, con el fin de reducir los riesgos de sequías e inundaciones, aumentar la seguridad hídrica y fomentar la circularidad y la recuperación y reutilización del agua; sostiene que las instalaciones de retención de agua pueden ser herramientas útiles siempre que estén autorizadas por las autoridades locales o nacionales en condiciones claras, incluida la capacidad de las aguas subterráneas locales para sostener tales actividades y la necesidad de que los agricultores que acceden al recurso hídrico adapten sus prácticas para hacerlas más sostenibles, en particular en términos de necesidades hídricas y calidad del agua; pide a la Comisión que utilice las herramientas de que dispone, incluido el apoyo financiero, para agilizar este enfoque entre los Estados miembros;</w:t>
      </w:r>
    </w:p>
    <w:p w14:paraId="42288174" w14:textId="40613FC1" w:rsidR="003D4C50" w:rsidRPr="00644507" w:rsidRDefault="00FB2312" w:rsidP="003D4C50">
      <w:pPr>
        <w:pStyle w:val="NormalHanging12a"/>
        <w:rPr>
          <w:szCs w:val="24"/>
        </w:rPr>
      </w:pPr>
      <w:r w:rsidRPr="00644507">
        <w:t>73</w:t>
      </w:r>
      <w:r w:rsidR="003D4C50" w:rsidRPr="00644507">
        <w:t>.</w:t>
      </w:r>
      <w:r w:rsidR="003D4C50" w:rsidRPr="00644507">
        <w:tab/>
        <w:t>Lamenta la extracción ilícita o intencionada de agua, que puede causar daños sustanciales a las masas de agua; pide que se apliquen medidas disuasorias contundentes, también a través del Derecho penal, para proteger el estado ecológico o el potencial ecológico de las masas de agua superficial o del estado cuantitativo de las masas de agua subterránea; señala que es necesario un apoyo adicional a la formación y la transferencia de conocimientos para las capacidades nacionales de ejecución;</w:t>
      </w:r>
    </w:p>
    <w:p w14:paraId="26FB1FA6" w14:textId="06623FD7" w:rsidR="003D4C50" w:rsidRPr="00644507" w:rsidRDefault="00FB2312" w:rsidP="003D4C50">
      <w:pPr>
        <w:pStyle w:val="NormalHanging12a"/>
      </w:pPr>
      <w:r w:rsidRPr="00644507">
        <w:t>74</w:t>
      </w:r>
      <w:r w:rsidR="003D4C50" w:rsidRPr="00644507">
        <w:t>.</w:t>
      </w:r>
      <w:r w:rsidR="003D4C50" w:rsidRPr="00644507">
        <w:tab/>
        <w:t>Observa el papel transversal crucial de las soluciones basadas en la naturaleza para hacer frente a los retos de la triple crisis planetaria y restaurar el ciclo del agua natural; pide a la Comisión y a los Estados miembros que den prioridad, teniendo en cuenta los impactos medioambientales y socioeconómicos, al despliegue de soluciones basadas en la naturaleza para la resiliencia hídrica en sus acciones y recomendaciones políticas, como la rehumidificación de humedales y turberas para aumentar la disponibilidad de agua subterránea y la humedad del suelo circundante, la restauración y protección de las llanuras aluviales, las medidas de retención natural de agua, la revegetación como barrera contra las inundaciones y la conservación de las aguas pluviales, con el fin de reforzar la disponibilidad de agua, mitigar los riesgos del cambio climático y apoyar la resiliencia a largo plazo de las comunidades, las empresas y la producción de alimentos; subraya que, además de las soluciones basadas en la naturaleza, sigue siendo necesaria la inversión complementaria en soluciones de ingeniería para garantizar el éxito de la adaptación al cambio climático y la resiliencia hídrica a largo plazo;</w:t>
      </w:r>
    </w:p>
    <w:p w14:paraId="0AF9FB59" w14:textId="77777777" w:rsidR="003D4C50" w:rsidRPr="00644507" w:rsidRDefault="003D4C50" w:rsidP="003D4C50">
      <w:pPr>
        <w:pStyle w:val="Normal12a24b"/>
      </w:pPr>
      <w:r w:rsidRPr="00644507">
        <w:rPr>
          <w:rStyle w:val="BoldItalic"/>
        </w:rPr>
        <w:t>Financiación y fijación de precios</w:t>
      </w:r>
    </w:p>
    <w:p w14:paraId="332C4938" w14:textId="0237D9AD" w:rsidR="003D4C50" w:rsidRPr="00644507" w:rsidRDefault="00FB2312" w:rsidP="003D4C50">
      <w:pPr>
        <w:pStyle w:val="NormalHanging12a"/>
        <w:rPr>
          <w:szCs w:val="24"/>
        </w:rPr>
      </w:pPr>
      <w:r w:rsidRPr="00644507">
        <w:t>75</w:t>
      </w:r>
      <w:r w:rsidR="003D4C50" w:rsidRPr="00644507">
        <w:t>.</w:t>
      </w:r>
      <w:r w:rsidR="003D4C50" w:rsidRPr="00644507">
        <w:tab/>
        <w:t>Observa que las soluciones basadas en la naturaleza y las medidas de retención natural del agua tienen el potencial de restaurar los niveles de las aguas subterráneas y apoyar los caudales ecológicos, reduciendo al mismo tiempo los riesgos relacionados con el agua derivados de la escasez de agua, las inundaciones y las sequías; observa que, en la gestión de inundaciones, las soluciones basadas en la naturaleza no suelen poder sustituir a las soluciones existentes y pueden no ser eficaces para los fenómenos más extremos; señala, no obstante, que las soluciones basadas en la naturaleza pueden mejorar la eficacia y la vida útil de las infraestructuras grises al aumentar la capacidad de absorción de agua, reducir la velocidad del agua y regular los caudales máximos; reitera a este respecto que la eficacia de las soluciones basadas en la naturaleza es específica del contexto y debe adaptarse a la situación local; hace hincapié, a este respecto, en que no existe una «solución única para todos»;</w:t>
      </w:r>
    </w:p>
    <w:p w14:paraId="4501B28C" w14:textId="33A668A9" w:rsidR="003D4C50" w:rsidRPr="00644507" w:rsidRDefault="00FB2312" w:rsidP="003D4C50">
      <w:pPr>
        <w:pStyle w:val="NormalHanging12a"/>
        <w:rPr>
          <w:szCs w:val="24"/>
        </w:rPr>
      </w:pPr>
      <w:r w:rsidRPr="00644507">
        <w:t>76</w:t>
      </w:r>
      <w:r w:rsidR="003D4C50" w:rsidRPr="00644507">
        <w:t>.</w:t>
      </w:r>
      <w:r w:rsidR="003D4C50" w:rsidRPr="00644507">
        <w:tab/>
        <w:t>Destaca la necesidad de proporcionar apoyo financiero a los métodos y soluciones innovadores y sostenibles, teniendo debidamente en cuenta las asociaciones público-privadas;</w:t>
      </w:r>
    </w:p>
    <w:p w14:paraId="6D2B9074" w14:textId="1209F8B0" w:rsidR="003D4C50" w:rsidRPr="00644507" w:rsidRDefault="00FB2312" w:rsidP="003D4C50">
      <w:pPr>
        <w:pStyle w:val="NormalHanging12a"/>
        <w:rPr>
          <w:szCs w:val="24"/>
        </w:rPr>
      </w:pPr>
      <w:r w:rsidRPr="00644507">
        <w:t>77</w:t>
      </w:r>
      <w:r w:rsidR="003D4C50" w:rsidRPr="00644507">
        <w:t>.</w:t>
      </w:r>
      <w:r w:rsidR="003D4C50" w:rsidRPr="00644507">
        <w:tab/>
        <w:t xml:space="preserve">Subraya, en el contexto de la adaptación climática, la importancia de unos suelos sanos para garantizar la seguridad y la circularidad del agua; hace hincapié en que la retención natural de agua de los suelos debe mejorarse mediante medidas para mejorar la salud del suelo que minimicen las pérdidas de carbono, así como mediante acciones a nivel de la masa de agua, como la estabilización de las riberas fluviales, en particular mediante la </w:t>
      </w:r>
      <w:proofErr w:type="spellStart"/>
      <w:r w:rsidR="003D4C50" w:rsidRPr="00644507">
        <w:t>renaturalización</w:t>
      </w:r>
      <w:proofErr w:type="spellEnd"/>
      <w:r w:rsidR="003D4C50" w:rsidRPr="00644507">
        <w:t>, y la restauración de las capacidades de retención de los acuíferos;</w:t>
      </w:r>
    </w:p>
    <w:p w14:paraId="3B51AC0D" w14:textId="23962186" w:rsidR="003D4C50" w:rsidRPr="00644507" w:rsidRDefault="00FB2312" w:rsidP="003D4C50">
      <w:pPr>
        <w:pStyle w:val="NormalHanging12a"/>
        <w:rPr>
          <w:szCs w:val="24"/>
        </w:rPr>
      </w:pPr>
      <w:r w:rsidRPr="00644507">
        <w:t>78</w:t>
      </w:r>
      <w:r w:rsidR="003D4C50" w:rsidRPr="00644507">
        <w:t>.</w:t>
      </w:r>
      <w:r w:rsidR="003D4C50" w:rsidRPr="00644507">
        <w:tab/>
        <w:t>Señala que unas medidas de gestión forestal cuidadosamente diseñadas pueden mejorar la salud de las cuencas hidrográficas, regular el caudal y reducir el estrés por sequías e inundaciones, dado el papel esencial de los árboles y los bosques en la regulación del ciclo del agua, a través de su capacidad para depurar el agua, aumentar la disponibilidad de recursos hídricos y mejorar la retención de humedad de los suelos; propone que esto se tenga debidamente en cuenta cuando la Comisión, en cooperación con los Estados miembros, desarrolle los objetivos de resiliencia de la Unión ante catástrofes, y que se tenga en cuenta en el desarrollo y perfeccionamiento de la gestión del riesgo de catástrofes y la planificación de contingencias; destaca, a este respecto, la necesidad de más investigación, recopilación de datos, innovación y financiación para ayudar a los gestores de tierras a prevenir los efectos de los factores de estrés medioambientales, como las sequías, las inundaciones y la disminución de la función de la cuenca hidrográfica;</w:t>
      </w:r>
    </w:p>
    <w:p w14:paraId="47423694" w14:textId="5190E440" w:rsidR="003D4C50" w:rsidRPr="00644507" w:rsidRDefault="00FB2312" w:rsidP="003D4C50">
      <w:pPr>
        <w:pStyle w:val="NormalHanging12a"/>
        <w:rPr>
          <w:szCs w:val="24"/>
        </w:rPr>
      </w:pPr>
      <w:r w:rsidRPr="00644507">
        <w:t>79</w:t>
      </w:r>
      <w:r w:rsidR="003D4C50" w:rsidRPr="00644507">
        <w:t>.</w:t>
      </w:r>
      <w:r w:rsidR="003D4C50" w:rsidRPr="00644507">
        <w:tab/>
        <w:t>Reconoce que las zonas urbanas son cada vez más vulnerables a los riesgos climáticos relacionados con el agua, tales como las inundaciones, la escasez de agua y el estrés térmico; pide la integración de la planificación de la resiliencia hídrica urbana en las estrategias de adaptación al cambio climático, incluida la inversión en cubiertas verdes, infraestructuras permeables, sistemas de recogida de aguas pluviales y retención de aguas de tormenta, así como medidas destinadas a aumentar los espacios verdes y azules en las zonas urbanas, con el fin de mitigar las repercusiones de los fenómenos meteorológicos extremos y reducir los riesgos para la vida humana y los bienes; pide, además, que se mantengan las vías navegables urbanas en las ciudades y se recupere el acceso a dichas vías;</w:t>
      </w:r>
    </w:p>
    <w:p w14:paraId="5234AD06" w14:textId="3E914B89" w:rsidR="003D4C50" w:rsidRPr="00644507" w:rsidRDefault="00FB2312" w:rsidP="003D4C50">
      <w:pPr>
        <w:pStyle w:val="NormalHanging12a"/>
        <w:rPr>
          <w:szCs w:val="24"/>
        </w:rPr>
      </w:pPr>
      <w:r w:rsidRPr="00644507">
        <w:t>80</w:t>
      </w:r>
      <w:r w:rsidR="003D4C50" w:rsidRPr="00644507">
        <w:t>.</w:t>
      </w:r>
      <w:r w:rsidR="003D4C50" w:rsidRPr="00644507">
        <w:tab/>
        <w:t>Hace hincapié en que la estrategia europea de resiliencia hídrica debe garantizar una financiación adecuada procedente de fuentes públicas y privadas para apoyar la modernización, la mejora, la adaptación y el mantenimiento de infraestructuras hídricas resilientes, la gestión sostenible del agua, la recopilación de datos, la investigación, el seguimiento efectivo, la digitalización, la mejora de las capacidades, las soluciones basadas en la naturaleza y el desarrollo y la adopción de tecnologías innovadoras eficientes en el uso del agua, así como para para garantizar la sostenibilidad medioambiental y socioeconómica en consonancia con los objetivos establecidos por la nueva Brújula para la Competitividad de la UE;</w:t>
      </w:r>
    </w:p>
    <w:p w14:paraId="49DE902D" w14:textId="670B89E7" w:rsidR="003D4C50" w:rsidRPr="00644507" w:rsidRDefault="00FB2312" w:rsidP="003D4C50">
      <w:pPr>
        <w:pStyle w:val="NormalHanging12a"/>
        <w:rPr>
          <w:szCs w:val="24"/>
        </w:rPr>
      </w:pPr>
      <w:r w:rsidRPr="00644507">
        <w:t>81</w:t>
      </w:r>
      <w:r w:rsidR="003D4C50" w:rsidRPr="00644507">
        <w:t>.</w:t>
      </w:r>
      <w:r w:rsidR="003D4C50" w:rsidRPr="00644507">
        <w:tab/>
        <w:t>Pide a la Comisión que cree un fondo independiente y específico para la resiliencia hídrica en el próximo MFP; considera que deben establecerse mecanismos financieros específicos en el marco del Fondo Europeo de Desarrollo Regional y del Fondo de Cohesión para apoyar las tecnologías inteligentes en materia de agua y las inversiones hídricas; cree firmemente que, mientras tanto, debe darse prioridad al agua en los marcos de financiación existentes, incluido el Fondo de Cohesión; destaca que los mecanismos de financiación de la Unión deben incorporar consideraciones de equidad social y asequibilidad, en particular en el contexto de la prestación de servicios hídricos a la población, garantizando el apoyo a los Estados miembros y ciudadanos con mayores limitaciones financieras y realidades específicas al mismo tiempo que se cumplen las obligaciones en materia de gestión del agua; destaca la importancia de adaptar la financiación, las subvenciones y los flujos financieros existentes relacionados con la gestión del agua y otros usos de la tierra conexos, pasando de soluciones de ingeniería obsoletas a soluciones de ingeniería innovadoras, así como a soluciones basadas en la naturaleza o a una combinación de ambas;</w:t>
      </w:r>
    </w:p>
    <w:p w14:paraId="7A4DF5BF" w14:textId="40B65988" w:rsidR="003D4C50" w:rsidRPr="00644507" w:rsidRDefault="00FB2312" w:rsidP="003D4C50">
      <w:pPr>
        <w:pStyle w:val="NormalHanging12a"/>
        <w:rPr>
          <w:szCs w:val="24"/>
        </w:rPr>
      </w:pPr>
      <w:r w:rsidRPr="00644507">
        <w:t>82</w:t>
      </w:r>
      <w:r w:rsidR="003D4C50" w:rsidRPr="00644507">
        <w:t>.</w:t>
      </w:r>
      <w:r w:rsidR="003D4C50" w:rsidRPr="00644507">
        <w:tab/>
        <w:t>Pide una financiación específica a través de Horizonte Europa y AEI-AGRI para ensayos sobre el terreno sobre las relaciones hídricas de los diferentes sistemas de cultivo; pide que se reconozca el papel de las mujeres en las políticas hídricas y que se identifiquen fondos específicos para promover su acceso a la agricultura;</w:t>
      </w:r>
    </w:p>
    <w:p w14:paraId="1BD993B4" w14:textId="2E957E7D" w:rsidR="003D4C50" w:rsidRPr="00644507" w:rsidRDefault="00FB2312" w:rsidP="003D4C50">
      <w:pPr>
        <w:pStyle w:val="NormalHanging12a"/>
        <w:rPr>
          <w:szCs w:val="24"/>
        </w:rPr>
      </w:pPr>
      <w:r w:rsidRPr="00644507">
        <w:t>83</w:t>
      </w:r>
      <w:r w:rsidR="003D4C50" w:rsidRPr="00644507">
        <w:t>.</w:t>
      </w:r>
      <w:r w:rsidR="003D4C50" w:rsidRPr="00644507">
        <w:tab/>
        <w:t>Recuerda que la falta de financiación específica en materia de agua o de objetivos de financiación vinculantes en el actual MFP limita la capacidad de la Unión para dirigir inversiones específicas hacia medidas esenciales de resiliencia hídrica —en particular medidas de modernización de infraestructuras, innovación y adaptación climática y la aplicación de soluciones basadas en la naturaleza— y con ello la capacidad competitiva, ya que la falta de equilibrio hídrico genera una carga adicional para la economía de las regiones; señala que las regiones ultraperiféricas y montañosas y las islas de la Unión tienen especial dificultades para acceder a la financiación o a las asociaciones público-privadas para apoyar la inversión local y regional en la gestión del agua y las infraestructuras hídricas;</w:t>
      </w:r>
    </w:p>
    <w:p w14:paraId="050428DA" w14:textId="17924941" w:rsidR="003D4C50" w:rsidRPr="00644507" w:rsidRDefault="00FB2312" w:rsidP="003D4C50">
      <w:pPr>
        <w:pStyle w:val="NormalHanging12a"/>
        <w:rPr>
          <w:szCs w:val="24"/>
        </w:rPr>
      </w:pPr>
      <w:r w:rsidRPr="00644507">
        <w:t>84</w:t>
      </w:r>
      <w:r w:rsidR="003D4C50" w:rsidRPr="00644507">
        <w:t>.</w:t>
      </w:r>
      <w:r w:rsidR="003D4C50" w:rsidRPr="00644507">
        <w:tab/>
        <w:t>Destaca el importante papel del Banco Europeo de Inversiones (BEI) en la financiación hídrica; hace hincapié en que el BEI invierte de manera activa en el sector del agua y lo apoya; destaca que la Unión debe colaborar con el BEI para compartir buenas prácticas y pide, además, al BEI y a otras instituciones financieras que refuercen su papel en la financiación de infraestructuras hídricas innovadoras y resilientes, la mejora de las infraestructuras de saneamiento y agua potable y la digitalización, así como que apoyen proyectos destinados a la reducción del riesgo de inundaciones, la prevención de la erosión y la revitalización de los cursos de agua, facilitando unas condiciones favorables para la inversión en agua;</w:t>
      </w:r>
    </w:p>
    <w:p w14:paraId="0B9FD91D" w14:textId="621104C6" w:rsidR="003D4C50" w:rsidRPr="00644507" w:rsidRDefault="00FB2312" w:rsidP="003D4C50">
      <w:pPr>
        <w:pStyle w:val="NormalHanging12a"/>
        <w:rPr>
          <w:szCs w:val="24"/>
        </w:rPr>
      </w:pPr>
      <w:r w:rsidRPr="00644507">
        <w:t>85</w:t>
      </w:r>
      <w:r w:rsidR="003D4C50" w:rsidRPr="00644507">
        <w:t>.</w:t>
      </w:r>
      <w:r w:rsidR="003D4C50" w:rsidRPr="00644507">
        <w:tab/>
        <w:t>Insta a la Comisión a que explore y promueva mecanismos de financiación innovadores, incluidos los pagos por servicios ecosistémicos y los bonos verdes, garantizando al mismo tiempo la claridad normativa y las salvaguardias para evitar distorsiones del mercado; pide al BEI y a otras instituciones financieras que den prioridad a los préstamos y créditos a bajo interés para los Estados miembros y las autoridades regionales y locales que emprendan proyectos de restauración a gran escala, con disposiciones específicas para apoyar a las regiones económicamente desfavorecidas;</w:t>
      </w:r>
    </w:p>
    <w:p w14:paraId="0E58DD91" w14:textId="41F108AE" w:rsidR="003D4C50" w:rsidRPr="00644507" w:rsidRDefault="00FB2312" w:rsidP="003D4C50">
      <w:pPr>
        <w:pStyle w:val="NormalHanging12a"/>
        <w:rPr>
          <w:szCs w:val="24"/>
        </w:rPr>
      </w:pPr>
      <w:r w:rsidRPr="00644507">
        <w:t>86</w:t>
      </w:r>
      <w:r w:rsidR="003D4C50" w:rsidRPr="00644507">
        <w:t>.</w:t>
      </w:r>
      <w:r w:rsidR="003D4C50" w:rsidRPr="00644507">
        <w:tab/>
        <w:t>Destaca la importancia de las asociaciones público-privadas como fuente de financiación para inversiones hídricas; pide a la Comisión que incentive las inversiones privadas en el sector del agua mediante la creación de un marco regulador de apoyo que pueda incluir oportunidades de cofinanciación y asociaciones público-privadas con el fin de impulsar la innovación, mejorar las infraestructuras y garantizar soluciones sostenibles de gestión del agua en todos los Estados miembros; Subraya que la participación de las inversiones privadas en el sector del agua de la Unión no debe socavar el estado del agua como bien público y servicio público, y que debe garantizarse la resiliencia a largo plazo del sector, así como los principios de accesibilidad, asequibilidad y sostenibilidad;</w:t>
      </w:r>
    </w:p>
    <w:p w14:paraId="0238C7B7" w14:textId="56E6D280" w:rsidR="003D4C50" w:rsidRPr="00644507" w:rsidRDefault="00FB2312" w:rsidP="003D4C50">
      <w:pPr>
        <w:pStyle w:val="NormalHanging12a"/>
        <w:rPr>
          <w:szCs w:val="24"/>
        </w:rPr>
      </w:pPr>
      <w:r w:rsidRPr="00644507">
        <w:t>87</w:t>
      </w:r>
      <w:r w:rsidR="003D4C50" w:rsidRPr="00644507">
        <w:t>.</w:t>
      </w:r>
      <w:r w:rsidR="003D4C50" w:rsidRPr="00644507">
        <w:tab/>
        <w:t>Pide a los Estados miembros que adopten marcos de gobernanza que definan claramente las funciones y responsabilidades de las partes interesadas en la planificación, la financiación y la aplicación de soluciones basadas en la naturaleza; considera que estos marcos deben integrar la financiación procedente de diversas fuentes, incluidas las contribuciones filantrópicas y las asociaciones del sector privado, al tiempo que garantizan un acceso equitativo a los recursos para proyectos a pequeña escala, especialmente gestionados a nivel local o regional;</w:t>
      </w:r>
    </w:p>
    <w:p w14:paraId="57526842" w14:textId="702669CA" w:rsidR="003D4C50" w:rsidRPr="00644507" w:rsidRDefault="00FB2312" w:rsidP="003D4C50">
      <w:pPr>
        <w:pStyle w:val="NormalHanging12a"/>
        <w:rPr>
          <w:szCs w:val="24"/>
        </w:rPr>
      </w:pPr>
      <w:r w:rsidRPr="00644507">
        <w:t>88</w:t>
      </w:r>
      <w:r w:rsidR="003D4C50" w:rsidRPr="00644507">
        <w:t>.</w:t>
      </w:r>
      <w:r w:rsidR="003D4C50" w:rsidRPr="00644507">
        <w:tab/>
        <w:t>Insta a la Comisión y a los Estados miembros a abordar los aspectos relacionados con el agua en sus presupuestos y que mejoren la gobernanza en las regiones respecto a la utilización de los fondos europeos;</w:t>
      </w:r>
    </w:p>
    <w:p w14:paraId="0F768F56" w14:textId="0CB55CCD" w:rsidR="003D4C50" w:rsidRPr="00644507" w:rsidRDefault="00FB2312" w:rsidP="003D4C50">
      <w:pPr>
        <w:pStyle w:val="NormalHanging12a"/>
        <w:rPr>
          <w:szCs w:val="24"/>
        </w:rPr>
      </w:pPr>
      <w:r w:rsidRPr="00644507">
        <w:t>89</w:t>
      </w:r>
      <w:r w:rsidR="003D4C50" w:rsidRPr="00644507">
        <w:t>.</w:t>
      </w:r>
      <w:r w:rsidR="003D4C50" w:rsidRPr="00644507">
        <w:tab/>
        <w:t>Subraya la necesidad de proporcionar asistencia financiera y técnica específica a los municipios a fin de facilitar el cumplimiento de la legislación relativa al agua;</w:t>
      </w:r>
    </w:p>
    <w:p w14:paraId="52659B2D" w14:textId="24B5E609" w:rsidR="003D4C50" w:rsidRPr="00644507" w:rsidRDefault="00FB2312" w:rsidP="003D4C50">
      <w:pPr>
        <w:pStyle w:val="NormalHanging12a"/>
        <w:rPr>
          <w:szCs w:val="24"/>
        </w:rPr>
      </w:pPr>
      <w:r w:rsidRPr="00644507">
        <w:t>90</w:t>
      </w:r>
      <w:r w:rsidR="003D4C50" w:rsidRPr="00644507">
        <w:t>.</w:t>
      </w:r>
      <w:r w:rsidR="003D4C50" w:rsidRPr="00644507">
        <w:tab/>
        <w:t>Anima a los Estados miembros a que aceleren la concesión de autorizaciones para proyectos de infraestructuras hídricas resilientes sostenibles e innovadores a fin de permitir su rápida ejecución ante los retos urgentes;</w:t>
      </w:r>
    </w:p>
    <w:p w14:paraId="1EFEEB63" w14:textId="7146BEA2" w:rsidR="003D4C50" w:rsidRPr="00644507" w:rsidRDefault="00FB2312" w:rsidP="003D4C50">
      <w:pPr>
        <w:pStyle w:val="NormalHanging12a"/>
        <w:rPr>
          <w:szCs w:val="24"/>
        </w:rPr>
      </w:pPr>
      <w:r w:rsidRPr="00644507">
        <w:t>91</w:t>
      </w:r>
      <w:r w:rsidR="003D4C50" w:rsidRPr="00644507">
        <w:t>.</w:t>
      </w:r>
      <w:r w:rsidR="003D4C50" w:rsidRPr="00644507">
        <w:tab/>
        <w:t>Observa que la aplicación del principio de recuperación de costes en los servicios hídricos, que establece que todos los usuarios del agua participen financieramente de forma efectiva y proporcional en la recuperación de los costes de los servicios relacionados con el agua, sigue siendo escasa o inexistente en varios Estados miembros; pide a los Estados miembros y a sus autoridades regionales que apliquen políticas adecuadas de tarificación del agua y apliquen el principio de recuperación de costes tanto para los costes medioambientales como para los costes de recursos, en consonancia con la Directiva marco sobre el agua; pide a los Estados miembros que tengan en cuenta los largos ciclos de inversión a la hora de aplicar el principio de recuperación de costes y que garanticen que se dispone de financiación suficiente para las inversiones o reinversiones necesarias;</w:t>
      </w:r>
    </w:p>
    <w:p w14:paraId="3498E6DE" w14:textId="420C451D" w:rsidR="003D4C50" w:rsidRPr="00644507" w:rsidRDefault="00FB2312" w:rsidP="003D4C50">
      <w:pPr>
        <w:pStyle w:val="NormalHanging12a"/>
        <w:rPr>
          <w:szCs w:val="24"/>
        </w:rPr>
      </w:pPr>
      <w:r w:rsidRPr="00644507">
        <w:t>92</w:t>
      </w:r>
      <w:r w:rsidR="003D4C50" w:rsidRPr="00644507">
        <w:t>.</w:t>
      </w:r>
      <w:r w:rsidR="003D4C50" w:rsidRPr="00644507">
        <w:tab/>
        <w:t>Destaca la importancia de garantizar que la tarificación del agua apoye la seguridad hídrica a largo plazo, reflejando los costes económicos, medioambientales y de recursos del uso del agua; anima a los Estados miembros y a las autoridades regionales y locales competentes a que velen por que la tarificación del agua sea económicamente sostenible y socialmente justa y promueva un uso eficiente del agua, y que refleje la disponibilidad de agua en los distintos Estados miembros y regiones, en particular en las regiones con estrés hídrico, salvaguardando al mismo tiempo la asequibilidad para los hogares y las pequeñas empresas; pide a los Estados miembros y a las autoridades regionales y locales competentes que garanticen unos precios transparentes del agua y que sensibilicen sobre el valor de los servicios relacionados con el agua;</w:t>
      </w:r>
    </w:p>
    <w:p w14:paraId="68DDAB70" w14:textId="6BC4318A" w:rsidR="003D4C50" w:rsidRPr="00644507" w:rsidRDefault="00FB2312" w:rsidP="003D4C50">
      <w:pPr>
        <w:pStyle w:val="NormalHanging12a"/>
        <w:rPr>
          <w:szCs w:val="24"/>
        </w:rPr>
      </w:pPr>
      <w:r w:rsidRPr="00644507">
        <w:t>93</w:t>
      </w:r>
      <w:r w:rsidR="003D4C50" w:rsidRPr="00644507">
        <w:t>.</w:t>
      </w:r>
      <w:r w:rsidR="003D4C50" w:rsidRPr="00644507">
        <w:tab/>
        <w:t>Señala que las autoridades del agua nacionales competentes desempeñarán un papel central en la aplicación de nuevos planes de gestión y conservación del agua a escala de los Estados miembros; pide, por tanto, a los Estados miembros que aumenten, desde el punto de vista financiero y técnico, la capacidad de dichas autoridades competentes para desempeñar un papel más significativo de apoyo y asesoramiento en lo relativo a infraestructuras de gestión y almacenamiento de agua sostenibles y preparadas para el futuro; considera que los fondos de la Unión, como el Fondo de Transición Justa, deben utilizarse para seguir ayudando a los Estados miembros y a las agencias del agua en la aplicación;</w:t>
      </w:r>
    </w:p>
    <w:p w14:paraId="1B06CAE5" w14:textId="77777777" w:rsidR="003D4C50" w:rsidRPr="00644507" w:rsidRDefault="003D4C50" w:rsidP="003D4C50">
      <w:pPr>
        <w:pStyle w:val="NormalHanging12a"/>
        <w:rPr>
          <w:b/>
          <w:i/>
          <w:szCs w:val="24"/>
        </w:rPr>
      </w:pPr>
      <w:r w:rsidRPr="00644507">
        <w:rPr>
          <w:b/>
          <w:i/>
        </w:rPr>
        <w:t>Digitalización, seguridad e innovación tecnológica</w:t>
      </w:r>
    </w:p>
    <w:p w14:paraId="6EA2798C" w14:textId="60AD6A53" w:rsidR="003D4C50" w:rsidRPr="00644507" w:rsidRDefault="00FB2312" w:rsidP="003D4C50">
      <w:pPr>
        <w:pStyle w:val="NormalHanging12a"/>
        <w:rPr>
          <w:szCs w:val="24"/>
        </w:rPr>
      </w:pPr>
      <w:r w:rsidRPr="00644507">
        <w:t>94</w:t>
      </w:r>
      <w:r w:rsidR="003D4C50" w:rsidRPr="00644507">
        <w:t>.</w:t>
      </w:r>
      <w:r w:rsidR="003D4C50" w:rsidRPr="00644507">
        <w:tab/>
        <w:t>Destaca el potencial y la necesidad de la digitalización y la inteligencia artificial para mejorar la gestión y el seguimiento de las masas de agua y las infraestructuras hídricas, así como para notificar los datos que reflejan distintas condiciones geográficas de caudal y garantizar su comparabilidad;</w:t>
      </w:r>
    </w:p>
    <w:p w14:paraId="6A1DDF33" w14:textId="77D4E145" w:rsidR="003D4C50" w:rsidRPr="00644507" w:rsidRDefault="00FB2312" w:rsidP="003D4C50">
      <w:pPr>
        <w:pStyle w:val="NormalHanging12a"/>
        <w:rPr>
          <w:szCs w:val="24"/>
        </w:rPr>
      </w:pPr>
      <w:r w:rsidRPr="00644507">
        <w:t>95</w:t>
      </w:r>
      <w:r w:rsidR="003D4C50" w:rsidRPr="00644507">
        <w:t>.</w:t>
      </w:r>
      <w:r w:rsidR="003D4C50" w:rsidRPr="00644507">
        <w:tab/>
        <w:t>Pide a la Comisión, a los Estados miembros y a los proveedores de agua que integren la transparencia y la digitalización como principios fundamentales en la gestión del agua y que mejoren el uso de los datos de gestión y medición, con el objetivo de fortalecer el seguimiento, la evaluación, la rendición de cuentas y la toma de decisiones, optimizando y simplificando al mismo tiempo las obligaciones de información; pide tecnologías digitales relacionadas con el agua que faciliten un seguimiento y notificación en tiempo real, basados en muestras y a distancia, de la calidad del agua, las fugas, el uso del agua y los recursos hídricos; insta a mejorar la eficiencia en la utilización de los fondos públicos y el gasto público en este ámbito; reconoce que el despliegue generalizado de tecnologías digitales innovadoras debe ir acompañado de formación en competencias digitales;</w:t>
      </w:r>
    </w:p>
    <w:p w14:paraId="1708A4BC" w14:textId="3CD2FC38" w:rsidR="003D4C50" w:rsidRPr="00644507" w:rsidRDefault="00FB2312" w:rsidP="003D4C50">
      <w:pPr>
        <w:pStyle w:val="NormalHanging12a"/>
        <w:rPr>
          <w:szCs w:val="24"/>
        </w:rPr>
      </w:pPr>
      <w:r w:rsidRPr="00644507">
        <w:t>96</w:t>
      </w:r>
      <w:r w:rsidR="003D4C50" w:rsidRPr="00644507">
        <w:t>.</w:t>
      </w:r>
      <w:r w:rsidR="003D4C50" w:rsidRPr="00644507">
        <w:tab/>
        <w:t>Hace hincapié en la necesidad de promover la digitalización y las soluciones centradas en los datos para construir una sociedad inteligente en el uso del agua; destaca la necesidad de desarrollar soluciones digitales para realizar un seguimiento del consumo de agua y optimizar el uso de los recursos hídricos en todos los sectores; pide a la Comisión que, en cooperación con los Estados miembros, preste apoyo financiero para la aplicación de sistemas inteligentes de gestión del agua, centrándose en las necesidades de las pymes;</w:t>
      </w:r>
    </w:p>
    <w:p w14:paraId="41A487C7" w14:textId="0522B668" w:rsidR="003D4C50" w:rsidRPr="00644507" w:rsidRDefault="00FB2312" w:rsidP="003D4C50">
      <w:pPr>
        <w:pStyle w:val="NormalHanging12a"/>
        <w:rPr>
          <w:szCs w:val="24"/>
        </w:rPr>
      </w:pPr>
      <w:r w:rsidRPr="00644507">
        <w:t>97</w:t>
      </w:r>
      <w:r w:rsidR="003D4C50" w:rsidRPr="00644507">
        <w:t>.</w:t>
      </w:r>
      <w:r w:rsidR="003D4C50" w:rsidRPr="00644507">
        <w:tab/>
        <w:t>Señala que los sistemas hídricos, incluidos los sistemas de tratamiento y distribución de agua, se consideran una de las infraestructuras críticas y pilares de seguridad nacionales y, por tanto, fundamentales para la autonomía estratégica de la Unión, y que requieren una mayor protección y la capacidad de los servicios de suministro para detectar, responder y recuperarse de amenazas y ataques físicos y cibernéticos; observa que un mayor nivel de digitalización conlleva nuevas vulnerabilidades; señala que, en caso de amenaza o ataque, los operadores de los sistemas hídricos pueden perder la capacidad de controlar el caudal y la calidad del agua o de rastrear el verdadero estado del sistema hídrico; insiste en que las evaluaciones de vulnerabilidad y un plan de respuesta ante emergencias deben ser parte integrante del sistema de gestión del agua en todos los Estados miembros; anima a promover el intercambio de información sobre amenazas a la ciberseguridad y procedimientos para intercambiar buenas prácticas entre operadores, así como a establecer una cultura de ciberseguridad a través de medidas técnicas de seguridad, desarrollo de competencias y creación de conciencia y comunicación; llama la atención sobre las medidas y disposiciones de la Directiva SRI 2 y la Directiva relativa a la resiliencia de las entidades críticas que podrían ayudar a mitigar estos riesgos para la seguridad; pide a la Comisión que tome la iniciativa de reforzar los formatos de coordinación a escala de la Unión y proponga instrumentos eficaces en la futura Estrategia de Preparación de la Unión con el fin de garantizar una preparación oportuna para hacer frente a los riesgos medioambientales y no medioambientales para las masas de agua que amenazan la seguridad general de la Unión;</w:t>
      </w:r>
    </w:p>
    <w:p w14:paraId="5FF9C212" w14:textId="1FBC60E4" w:rsidR="003D4C50" w:rsidRPr="00644507" w:rsidRDefault="00FB2312" w:rsidP="003D4C50">
      <w:pPr>
        <w:pStyle w:val="NormalHanging12a"/>
      </w:pPr>
      <w:r w:rsidRPr="00644507">
        <w:t>98</w:t>
      </w:r>
      <w:r w:rsidR="003D4C50" w:rsidRPr="00644507">
        <w:t>.</w:t>
      </w:r>
      <w:r w:rsidR="003D4C50" w:rsidRPr="00644507">
        <w:tab/>
        <w:t>Pide a la Comisión y a los Estados miembros que aumenten la participación de las mujeres en las decisiones relativas a la resiliencia hídrica; pide que se adopte un enfoque metodológico que tenga efectivamente en cuenta las necesidades relacionadas con el género en la ejecución de los proyectos de suministro de agua, mediante una aplicación de un control, una presentación de informes y un seguimiento que utilicen herramientas e indicadores desglosados por género;</w:t>
      </w:r>
    </w:p>
    <w:p w14:paraId="0B971225" w14:textId="18DDCBA5" w:rsidR="003D4C50" w:rsidRPr="00644507" w:rsidRDefault="00FB2312" w:rsidP="003D4C50">
      <w:pPr>
        <w:pStyle w:val="NormalHanging12a"/>
        <w:rPr>
          <w:szCs w:val="24"/>
        </w:rPr>
      </w:pPr>
      <w:r w:rsidRPr="00644507">
        <w:t>99</w:t>
      </w:r>
      <w:r w:rsidR="003D4C50" w:rsidRPr="00644507">
        <w:t>.</w:t>
      </w:r>
      <w:r w:rsidR="003D4C50" w:rsidRPr="00644507">
        <w:tab/>
        <w:t>Señala que la mejora de los datos y de su análisis es fundamental para la toma de decisiones basada en pruebas y la rápida identificación de pequeños cambios en la calidad del agua que podrían suponer una amenaza para las masas de agua, junto con la evaluación de buenas prácticas y la determinación de las medidas más rentables y eficaces;</w:t>
      </w:r>
    </w:p>
    <w:p w14:paraId="3D9FD49B" w14:textId="0FDA30FE" w:rsidR="003D4C50" w:rsidRPr="00644507" w:rsidRDefault="00FB2312" w:rsidP="003D4C50">
      <w:pPr>
        <w:pStyle w:val="NormalHanging12a"/>
        <w:rPr>
          <w:szCs w:val="24"/>
        </w:rPr>
      </w:pPr>
      <w:r w:rsidRPr="00644507">
        <w:t>100</w:t>
      </w:r>
      <w:r w:rsidR="003D4C50" w:rsidRPr="00644507">
        <w:t>.</w:t>
      </w:r>
      <w:r w:rsidR="003D4C50" w:rsidRPr="00644507">
        <w:tab/>
        <w:t>Subraya que se necesitan datos mejorados, fiables e interoperables sobre el suministro, la demanda, la distribución, la accesibilidad y el uso del agua, y que es necesario establecer puntos de datos; insta a la Comisión y a los Estados miembros a que mejoren la recogida de datos y la interoperabilidad de los datos en todos los niveles para apoyar la aplicación de la legislación vigente en materia de agua, así como para facilitar la economía circular y las estrategias de simbiosis industrial inteligentes en materia de agua; destaca que los datos y la IA podrían utilizarse para modelizar el consumo de agua y energía, así como las capacidades de reutilización y reciclaje;</w:t>
      </w:r>
    </w:p>
    <w:p w14:paraId="37AC1CDE" w14:textId="40962EA8" w:rsidR="003D4C50" w:rsidRPr="00644507" w:rsidRDefault="00FB2312" w:rsidP="003D4C50">
      <w:pPr>
        <w:pStyle w:val="NormalHanging12a"/>
        <w:rPr>
          <w:szCs w:val="24"/>
        </w:rPr>
      </w:pPr>
      <w:r w:rsidRPr="00644507">
        <w:t>101</w:t>
      </w:r>
      <w:r w:rsidR="003D4C50" w:rsidRPr="00644507">
        <w:t>.</w:t>
      </w:r>
      <w:r w:rsidR="003D4C50" w:rsidRPr="00644507">
        <w:tab/>
        <w:t>Pide a la Comisión que reconozca mejor el papel fundamental del sector del agua en el refuerzo de la competitividad de la Unión mediante el fomento de la investigación y la innovación y la promoción del espíritu empresarial y el talento; hace hincapié, a este respecto, en la importancia de aumentar la innovación en el sector hídrico; señala que el Centro Europeo para la Transformación Industrial y la Emisiones, creado en el marco de la Directiva 2010/75/UE, podría desempeñar un papel en este sentido, ya que evalúa el comportamiento medioambiental de las tecnologías industriales y recoge información sobre técnicas medioambientales industriales innovadoras; señala, además, las asociaciones existentes, como la asociación Water4All, un programa de financiación para la investigación científica;</w:t>
      </w:r>
    </w:p>
    <w:p w14:paraId="60DC5354" w14:textId="5C88A737" w:rsidR="003D4C50" w:rsidRPr="00644507" w:rsidRDefault="00FB2312" w:rsidP="003D4C50">
      <w:pPr>
        <w:pStyle w:val="NormalHanging12a"/>
        <w:rPr>
          <w:szCs w:val="24"/>
        </w:rPr>
      </w:pPr>
      <w:r w:rsidRPr="00644507">
        <w:t>102</w:t>
      </w:r>
      <w:r w:rsidR="003D4C50" w:rsidRPr="00644507">
        <w:t>.</w:t>
      </w:r>
      <w:r w:rsidR="003D4C50" w:rsidRPr="00644507">
        <w:tab/>
        <w:t>Sostiene que es necesario crear y fomentar plataformas de múltiples partes interesadas para promover la adopción de innovaciones en todos los niveles, tanto el local como el nacional; recomienda que estas plataformas cuenten con una amplia gama de participantes (los sectores público y privado, así como las asociaciones de la sociedad civil) para construir una coalición de socios que genere cambios; apoya la promoción del intercambio de conocimientos sobre cómo las tecnologías digitales del agua pueden apoyar la aplicación de la legislación vigente de la Unión en materia de agua, así como el desarrollo de capacidades a nivel local, regional y nacional; insta a la Comisión y a los Estados miembros a que amplíen las competencias digitales y los programas de investigación y desarrollo centrados en el agua, incluso mediante la colaboración con universidades, centros de investigación y pymes;</w:t>
      </w:r>
    </w:p>
    <w:p w14:paraId="7F759FD1" w14:textId="0183CE10" w:rsidR="003D4C50" w:rsidRPr="00644507" w:rsidRDefault="00FB2312" w:rsidP="003D4C50">
      <w:pPr>
        <w:pStyle w:val="NormalHanging12a"/>
        <w:rPr>
          <w:szCs w:val="24"/>
        </w:rPr>
      </w:pPr>
      <w:r w:rsidRPr="00644507">
        <w:t>103</w:t>
      </w:r>
      <w:r w:rsidR="003D4C50" w:rsidRPr="00644507">
        <w:t>.</w:t>
      </w:r>
      <w:r w:rsidR="003D4C50" w:rsidRPr="00644507">
        <w:tab/>
        <w:t>Reconoce el papel fundamental de los centros de datos en la economía digital; observa con preocupación que la rápida expansión de la tecnología podría llevar a un aumento sustancial en la demanda de recursos hídricos por parte de la IA asociados al funcionamiento de estos centros, lo que podría socavar los beneficios ambientales que la IA promete aportar, como la optimización de recursos y la reducción de las emisiones de carbono, y destaca la necesidad de integrar medidas de eficiencia hídrica en el diseño y funcionamiento de los centros de datos; insta a la Comisión a que, en su estrategia europea de resiliencia hídrica, aborde el uso de los recursos hídricos por parte de las tecnologías de la información y la comunicación (TIC) y, especialmente, por parte de la IA y los centros de datos, en particular animando a los centros de datos a que reutilicen el agua tratada y promoviendo el diseño de chips y componentes más eficientes para reducir la necesidad de refrigeración; recomienda a los Estados miembros que den prioridad a las estrategias de resiliencia hídrica que aborden los desafíos específicos que plantean los centros de datos para garantizar la sostenibilidad de las agendas digital y medioambiental;</w:t>
      </w:r>
    </w:p>
    <w:p w14:paraId="5E81211D" w14:textId="3884F090" w:rsidR="003D4C50" w:rsidRPr="00644507" w:rsidRDefault="00FB2312" w:rsidP="003D4C50">
      <w:pPr>
        <w:pStyle w:val="NormalHanging12a"/>
        <w:rPr>
          <w:szCs w:val="24"/>
        </w:rPr>
      </w:pPr>
      <w:r w:rsidRPr="00644507">
        <w:t>104</w:t>
      </w:r>
      <w:r w:rsidR="003D4C50" w:rsidRPr="00644507">
        <w:t>.</w:t>
      </w:r>
      <w:r w:rsidR="003D4C50" w:rsidRPr="00644507">
        <w:tab/>
        <w:t>Recuerda que la desalinización del agua de mar es el proceso de eliminar la sal del agua de mar o salobre para hacerla utilizable para una serie de fines «aptos para el uso», incluido el consumo, por lo que constituye una solución tecnológica importante para la vida de las personas; señala que, al mismo tiempo, la desalinización es un proceso que consume mucha energía y que, idealmente, debería realizarse utilizando energías renovables siempre que sea posible para minimizar los impactos ambientales; reitera que la desalinización produce un subproducto, la salmuera (una solución salina concentrada), que debe eliminarse adecuadamente para evitar impactos adversos en el medio marino; considera, por lo tanto, que la desalinización, basada en la ósmosis inversa o en tecnologías térmicas, debe aplicarse si no se dispone de otras opciones más sostenibles desde el punto de vista medioambiental o si estas no pueden aplicarse, especialmente en zonas remotas e islas; destaca en este sentido el trabajo en curso sobre nuevas soluciones tecnológicas, como las células de desalinización microbiana, que ofrecen una alternativa innovadora y sostenible para el medio ambiente a los métodos tradicionales de desalinización, en particular para proporcionar agua limpia y tratamiento de aguas residuales a lugares pequeños y aislados sin electricidad;</w:t>
      </w:r>
    </w:p>
    <w:p w14:paraId="1AE0500C" w14:textId="5F0D995B" w:rsidR="003D4C50" w:rsidRPr="00644507" w:rsidRDefault="00FB2312" w:rsidP="003D4C50">
      <w:pPr>
        <w:pStyle w:val="NormalHanging12a"/>
        <w:rPr>
          <w:szCs w:val="24"/>
        </w:rPr>
      </w:pPr>
      <w:r w:rsidRPr="00644507">
        <w:t>105</w:t>
      </w:r>
      <w:r w:rsidR="003D4C50" w:rsidRPr="00644507">
        <w:t>.</w:t>
      </w:r>
      <w:r w:rsidR="003D4C50" w:rsidRPr="00644507">
        <w:tab/>
        <w:t>Destaca la necesidad de aumentar la financiación y la I+D en tecnologías como las técnicas de desalinización innovadoras con el fin de aumentar la eficiencia, la sostenibilidad y la expansión de dichas tecnologías; pide que se estudien las posibilidades de utilizar estas tecnologías en la agricultura para diversificar los puntos de suministro de agua y reducir así la vulnerabilidad del sector al estrés hídrico;</w:t>
      </w:r>
    </w:p>
    <w:p w14:paraId="2A6B8F2A" w14:textId="27C12395" w:rsidR="003D4C50" w:rsidRPr="00644507" w:rsidRDefault="00FB2312" w:rsidP="003D4C50">
      <w:pPr>
        <w:pStyle w:val="NormalHanging12a"/>
        <w:rPr>
          <w:szCs w:val="24"/>
        </w:rPr>
      </w:pPr>
      <w:r w:rsidRPr="00644507">
        <w:t>106</w:t>
      </w:r>
      <w:r w:rsidR="003D4C50" w:rsidRPr="00644507">
        <w:t>.</w:t>
      </w:r>
      <w:r w:rsidR="003D4C50" w:rsidRPr="00644507">
        <w:tab/>
        <w:t>Observa que en la última década se han producido muchos avances científicos para hacer que el tratamiento del agua sea más inteligente y circular, con estas soluciones que ofrecen oportunidades para utilizar soluciones digitales, inteligencia artificial y teledetección para utilizar el agua de manera más eficiente y reutilizar las aguas residuales tratadas para el riego y recuperar energía y nutrientes de las aguas residuales;</w:t>
      </w:r>
    </w:p>
    <w:p w14:paraId="7B5FF793" w14:textId="377ED7B5" w:rsidR="003D4C50" w:rsidRPr="00644507" w:rsidRDefault="00FB2312" w:rsidP="003D4C50">
      <w:pPr>
        <w:pStyle w:val="NormalHanging12a"/>
        <w:rPr>
          <w:szCs w:val="24"/>
        </w:rPr>
      </w:pPr>
      <w:r w:rsidRPr="00644507">
        <w:t>107</w:t>
      </w:r>
      <w:r w:rsidR="003D4C50" w:rsidRPr="00644507">
        <w:t>.</w:t>
      </w:r>
      <w:r w:rsidR="003D4C50" w:rsidRPr="00644507">
        <w:tab/>
        <w:t xml:space="preserve">Pide a la Comisión y a los Estados miembros que aborden los obstáculos reglamentarios en el mercado único con el fin de facilitar el desarrollo, la expansión y la comercialización de soluciones innovadoras de biotecnología y </w:t>
      </w:r>
      <w:proofErr w:type="spellStart"/>
      <w:r w:rsidR="003D4C50" w:rsidRPr="00644507">
        <w:t>biofabricación</w:t>
      </w:r>
      <w:proofErr w:type="spellEnd"/>
      <w:r w:rsidR="003D4C50" w:rsidRPr="00644507">
        <w:t>, así como la promoción de una fabricación más limpia y de la circularidad;</w:t>
      </w:r>
    </w:p>
    <w:p w14:paraId="2BA9C0E2" w14:textId="182606A9" w:rsidR="003D4C50" w:rsidRPr="00644507" w:rsidRDefault="00FB2312" w:rsidP="003D4C50">
      <w:pPr>
        <w:pStyle w:val="NormalHanging12a"/>
        <w:rPr>
          <w:szCs w:val="24"/>
        </w:rPr>
      </w:pPr>
      <w:r w:rsidRPr="00644507">
        <w:t>108</w:t>
      </w:r>
      <w:r w:rsidR="003D4C50" w:rsidRPr="00644507">
        <w:t>.</w:t>
      </w:r>
      <w:r w:rsidR="003D4C50" w:rsidRPr="00644507">
        <w:tab/>
        <w:t>Pide la financiación, el desarrollo y la autorización de soluciones innovadoras para la protección de los cultivos y la fertilización, incluidos agentes de control biológico y sustancias activas con menor impacto en el medio ambiente, que son necesarias para una transición justa hacia sistemas agrícolas más sostenibles;</w:t>
      </w:r>
    </w:p>
    <w:p w14:paraId="2A5968F5" w14:textId="05DA34F3" w:rsidR="003D4C50" w:rsidRPr="00644507" w:rsidRDefault="00FB2312" w:rsidP="003D4C50">
      <w:pPr>
        <w:pStyle w:val="NormalHanging12a"/>
      </w:pPr>
      <w:r w:rsidRPr="00644507">
        <w:t>109</w:t>
      </w:r>
      <w:r w:rsidR="003D4C50" w:rsidRPr="00644507">
        <w:t>.</w:t>
      </w:r>
      <w:r w:rsidR="003D4C50" w:rsidRPr="00644507">
        <w:tab/>
        <w:t>Pide que se establezcan programas específicos para la limpieza y conservación de los cauces fluviales, garantizando un caudal adecuado y reduciendo la acumulación de residuos y sedimentos que puedan afectar a la capacidad de almacenamiento y distribución del agua;</w:t>
      </w:r>
    </w:p>
    <w:p w14:paraId="431C4417" w14:textId="77777777" w:rsidR="003D4C50" w:rsidRPr="00644507" w:rsidRDefault="003D4C50" w:rsidP="003D4C50">
      <w:pPr>
        <w:pStyle w:val="NormalHanging12a"/>
        <w:rPr>
          <w:b/>
          <w:i/>
          <w:szCs w:val="24"/>
        </w:rPr>
      </w:pPr>
      <w:r w:rsidRPr="00644507">
        <w:rPr>
          <w:b/>
          <w:i/>
        </w:rPr>
        <w:t>Cooperación transfronteriza e internacional</w:t>
      </w:r>
    </w:p>
    <w:p w14:paraId="2E6CEBF7" w14:textId="1F2E008E" w:rsidR="003D4C50" w:rsidRPr="00644507" w:rsidRDefault="00FB2312" w:rsidP="003D4C50">
      <w:pPr>
        <w:pStyle w:val="NormalHanging12a"/>
        <w:rPr>
          <w:szCs w:val="24"/>
        </w:rPr>
      </w:pPr>
      <w:r w:rsidRPr="00644507">
        <w:t>110</w:t>
      </w:r>
      <w:r w:rsidR="003D4C50" w:rsidRPr="00644507">
        <w:t>.</w:t>
      </w:r>
      <w:r w:rsidR="003D4C50" w:rsidRPr="00644507">
        <w:tab/>
        <w:t>Destaca la necesidad de una estrategia europea de resiliencia hídrica integral que fomente la cooperación transfronteriza y una recopilación y notificación de datos más uniformes, compartiendo buenas prácticas entre los agentes locales, regionales y nacionales, garantizando una gestión sostenible del agua y una distribución equitativa de los recursos entre los Estados miembros y evitando que retos relacionados con el agua, como la escasez y el riesgo de inundación, se trasladen a otros Estados miembros;</w:t>
      </w:r>
    </w:p>
    <w:p w14:paraId="23A532C2" w14:textId="42D81CDB" w:rsidR="003D4C50" w:rsidRPr="00644507" w:rsidRDefault="00FB2312" w:rsidP="003D4C50">
      <w:pPr>
        <w:pStyle w:val="NormalHanging12a"/>
        <w:rPr>
          <w:szCs w:val="24"/>
        </w:rPr>
      </w:pPr>
      <w:r w:rsidRPr="00644507">
        <w:t>111</w:t>
      </w:r>
      <w:r w:rsidR="003D4C50" w:rsidRPr="00644507">
        <w:t>.</w:t>
      </w:r>
      <w:r w:rsidR="003D4C50" w:rsidRPr="00644507">
        <w:tab/>
        <w:t>Hace hincapié en que el cambio climático representa una grave amenaza para los recursos hídricos y los ecosistemas acuáticos; observa que las inundaciones y la escasez de agua ponen en peligro la seguridad alimentaria e hídrica y la salud de la población en general, afectando en última instancia a la cohesión social y a la estabilidad; reconoce que la resiliencia hídrica es crucial para prevenir y abordar las crisis sanitarias, alimentarias, energéticas y de seguridad actuales y futuras; destaca que la resiliencia hídrica promueve la cooperación transfronteriza en materia de agua, sirviendo como catalizador para la paz y la seguridad, ya que los países están interconectados a través de ríos y recursos de aguas subterráneas compartidos;</w:t>
      </w:r>
    </w:p>
    <w:p w14:paraId="1398EFA8" w14:textId="77D7CC28" w:rsidR="003D4C50" w:rsidRPr="00644507" w:rsidRDefault="00FB2312" w:rsidP="003D4C50">
      <w:pPr>
        <w:pStyle w:val="NormalHanging12a"/>
        <w:rPr>
          <w:szCs w:val="24"/>
        </w:rPr>
      </w:pPr>
      <w:r w:rsidRPr="00644507">
        <w:t>112</w:t>
      </w:r>
      <w:r w:rsidR="003D4C50" w:rsidRPr="00644507">
        <w:t>.</w:t>
      </w:r>
      <w:r w:rsidR="003D4C50" w:rsidRPr="00644507">
        <w:tab/>
        <w:t>Pide una mayor cooperación transfronteriza entre los Estados miembros en la gestión de las cuencas fluviales y acuíferos subterráneos compartidos y en la recogida y el intercambio eficaces de datos sobre la calidad del agua, los niveles de contaminación y los niveles de agua; recomienda el establecimiento de centros de cooperación regional para coordinar la aplicación de estrategias conjuntas de resiliencia hídrica que tengan en cuenta los desafíos climáticos, sociales y económicos de cada territorio;</w:t>
      </w:r>
    </w:p>
    <w:p w14:paraId="6D2EB5D4" w14:textId="2CC00920" w:rsidR="003D4C50" w:rsidRPr="00644507" w:rsidRDefault="00FB2312" w:rsidP="003D4C50">
      <w:pPr>
        <w:pStyle w:val="NormalHanging12a"/>
        <w:rPr>
          <w:szCs w:val="24"/>
        </w:rPr>
      </w:pPr>
      <w:r w:rsidRPr="00644507">
        <w:t>113</w:t>
      </w:r>
      <w:r w:rsidR="003D4C50" w:rsidRPr="00644507">
        <w:t>.</w:t>
      </w:r>
      <w:r w:rsidR="003D4C50" w:rsidRPr="00644507">
        <w:tab/>
        <w:t>Pide una mayor cooperación internacional, también a nivel de las cuencas hidrográficas, para hacer frente a la creciente crisis hídrica, garantizar un agua limpia y de alta calidad, promover una gestión sostenible del agua y aplicar diversas tecnologías hídricas innovadoras, incluidas soluciones basadas en la naturaleza; pide que se afiance la cooperación transfronteriza a nivel operativo, táctico y estratégico;</w:t>
      </w:r>
    </w:p>
    <w:p w14:paraId="34026FE4" w14:textId="5E2AEE5C" w:rsidR="003D4C50" w:rsidRPr="00644507" w:rsidRDefault="00FB2312" w:rsidP="003D4C50">
      <w:pPr>
        <w:pStyle w:val="NormalHanging12a"/>
        <w:rPr>
          <w:szCs w:val="24"/>
        </w:rPr>
      </w:pPr>
      <w:r w:rsidRPr="00644507">
        <w:t>114</w:t>
      </w:r>
      <w:r w:rsidR="003D4C50" w:rsidRPr="00644507">
        <w:t>.</w:t>
      </w:r>
      <w:r w:rsidR="003D4C50" w:rsidRPr="00644507">
        <w:tab/>
        <w:t>Pide el establecimiento de proyectos transfronterizos en el marco de Interreg y otros fondos de la Unión para mejorar la cooperación regional en la gestión de los recursos hídricos, con especial atención a garantizar la distribución equitativa del agua entre sectores y entre Estados miembros;</w:t>
      </w:r>
    </w:p>
    <w:p w14:paraId="5C8B4AA1" w14:textId="3007222E" w:rsidR="003D4C50" w:rsidRPr="00644507" w:rsidRDefault="00FB2312" w:rsidP="003D4C50">
      <w:pPr>
        <w:pStyle w:val="NormalHanging12a"/>
        <w:rPr>
          <w:szCs w:val="24"/>
        </w:rPr>
      </w:pPr>
      <w:r w:rsidRPr="00644507">
        <w:t>115</w:t>
      </w:r>
      <w:r w:rsidR="003D4C50" w:rsidRPr="00644507">
        <w:t>.</w:t>
      </w:r>
      <w:r w:rsidR="003D4C50" w:rsidRPr="00644507">
        <w:tab/>
        <w:t>Destaca la necesidad de reforzar las capacidades de seguimiento de la Unión a través de la digitalización y las tecnologías modernas, incluida la vigilancia por satélite y el seguimiento de la contaminación en tiempo real, que son esenciales para prevenir y combatir la contaminación transfronteriza;</w:t>
      </w:r>
    </w:p>
    <w:p w14:paraId="66BAE34B" w14:textId="1CB701A0" w:rsidR="003D4C50" w:rsidRPr="00644507" w:rsidRDefault="00FB2312" w:rsidP="003D4C50">
      <w:pPr>
        <w:pStyle w:val="NormalHanging12a"/>
      </w:pPr>
      <w:r w:rsidRPr="00644507">
        <w:t>116</w:t>
      </w:r>
      <w:r w:rsidR="003D4C50" w:rsidRPr="00644507">
        <w:t>.</w:t>
      </w:r>
      <w:r w:rsidR="003D4C50" w:rsidRPr="00644507">
        <w:tab/>
        <w:t>Insta a la Comisión a que desempeñe un papel diplomático específico para la resolución de conflictos relacionados con el agua, la promoción de la cooperación hídrica y la protección de las fuentes y los sistemas hídricos, en particular durante los conflictos armados y en contextos transfronterizos;</w:t>
      </w:r>
    </w:p>
    <w:p w14:paraId="2AAEA829" w14:textId="33C61278" w:rsidR="003D4C50" w:rsidRPr="00644507" w:rsidRDefault="00FB2312" w:rsidP="003D4C50">
      <w:pPr>
        <w:pStyle w:val="NormalHanging12a"/>
        <w:rPr>
          <w:szCs w:val="24"/>
        </w:rPr>
      </w:pPr>
      <w:r w:rsidRPr="00644507">
        <w:t>117</w:t>
      </w:r>
      <w:r w:rsidR="003D4C50" w:rsidRPr="00644507">
        <w:t>.</w:t>
      </w:r>
      <w:r w:rsidR="003D4C50" w:rsidRPr="00644507">
        <w:tab/>
        <w:t>Insta a la Unión a que lidere los esfuerzos internacionales para proteger y restaurar los ecosistemas acuáticos, en consonancia con el ODS 6 sobre agua limpia y saneamiento;</w:t>
      </w:r>
    </w:p>
    <w:p w14:paraId="097606AA" w14:textId="77777777" w:rsidR="003D4C50" w:rsidRPr="00644507" w:rsidRDefault="003D4C50" w:rsidP="003D4C50">
      <w:pPr>
        <w:pStyle w:val="NormalCenter12a"/>
      </w:pPr>
      <w:r w:rsidRPr="00644507">
        <w:t>°</w:t>
      </w:r>
    </w:p>
    <w:p w14:paraId="0FEA4C1A" w14:textId="77777777" w:rsidR="003D4C50" w:rsidRPr="00644507" w:rsidRDefault="003D4C50" w:rsidP="003D4C50">
      <w:pPr>
        <w:pStyle w:val="NormalCenter12a"/>
      </w:pPr>
      <w:r w:rsidRPr="00644507">
        <w:t>°</w:t>
      </w:r>
      <w:r w:rsidRPr="00644507">
        <w:tab/>
        <w:t>°</w:t>
      </w:r>
    </w:p>
    <w:p w14:paraId="2A763898" w14:textId="50BF5A0A" w:rsidR="007C625B" w:rsidRPr="00644507" w:rsidRDefault="00FB2312" w:rsidP="007C625B">
      <w:pPr>
        <w:pStyle w:val="NormalHanging12a"/>
      </w:pPr>
      <w:r w:rsidRPr="00644507">
        <w:t>118</w:t>
      </w:r>
      <w:r w:rsidR="003D4C50" w:rsidRPr="00644507">
        <w:t>.</w:t>
      </w:r>
      <w:r w:rsidR="003D4C50" w:rsidRPr="00644507">
        <w:tab/>
        <w:t>Encarga a su presidenta que transmita la presente Resolución al Consejo y a la Comisión.</w:t>
      </w:r>
    </w:p>
    <w:p w14:paraId="1465ED12" w14:textId="77777777" w:rsidR="00E365E1" w:rsidRPr="00644507" w:rsidRDefault="00E365E1" w:rsidP="009444ED"/>
    <w:sectPr w:rsidR="00E365E1" w:rsidRPr="00644507" w:rsidSect="007C62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CAE5A" w14:textId="77777777" w:rsidR="009444ED" w:rsidRPr="007C625B" w:rsidRDefault="009444ED">
      <w:r w:rsidRPr="007C625B">
        <w:separator/>
      </w:r>
    </w:p>
  </w:endnote>
  <w:endnote w:type="continuationSeparator" w:id="0">
    <w:p w14:paraId="26B81F9A" w14:textId="77777777" w:rsidR="009444ED" w:rsidRPr="007C625B" w:rsidRDefault="009444ED">
      <w:r w:rsidRPr="007C62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3BBC1B" w14:textId="77777777" w:rsidR="009444ED" w:rsidRPr="007C625B" w:rsidRDefault="009444ED">
      <w:r w:rsidRPr="007C625B">
        <w:separator/>
      </w:r>
    </w:p>
  </w:footnote>
  <w:footnote w:type="continuationSeparator" w:id="0">
    <w:p w14:paraId="42C8CCAF" w14:textId="77777777" w:rsidR="009444ED" w:rsidRPr="007C625B" w:rsidRDefault="009444ED">
      <w:r w:rsidRPr="007C625B">
        <w:continuationSeparator/>
      </w:r>
    </w:p>
  </w:footnote>
  <w:footnote w:id="1">
    <w:p w14:paraId="0293B085" w14:textId="2E5700BD" w:rsidR="00112454" w:rsidRPr="00605244" w:rsidRDefault="00112454" w:rsidP="00605244">
      <w:pPr>
        <w:pStyle w:val="FootnoteText"/>
        <w:ind w:left="567" w:hanging="567"/>
        <w:rPr>
          <w:sz w:val="24"/>
          <w:szCs w:val="24"/>
          <w:lang w:val="es-ES"/>
        </w:rPr>
      </w:pPr>
      <w:r w:rsidRPr="00605244">
        <w:rPr>
          <w:rStyle w:val="FootnoteReference"/>
          <w:sz w:val="24"/>
          <w:szCs w:val="24"/>
          <w:lang w:val="es-ES"/>
        </w:rPr>
        <w:t>*</w:t>
      </w:r>
      <w:r w:rsidRPr="00605244">
        <w:rPr>
          <w:sz w:val="24"/>
          <w:szCs w:val="24"/>
          <w:lang w:val="es-ES"/>
        </w:rPr>
        <w:t xml:space="preserve"> </w:t>
      </w:r>
      <w:r w:rsidRPr="00605244">
        <w:rPr>
          <w:sz w:val="24"/>
          <w:szCs w:val="24"/>
          <w:lang w:val="es-ES"/>
        </w:rPr>
        <w:tab/>
        <w:t>Nota técnica a pie de página: se trata de una versión corregida del texto a</w:t>
      </w:r>
      <w:r w:rsidR="008A049A">
        <w:rPr>
          <w:sz w:val="24"/>
          <w:szCs w:val="24"/>
          <w:lang w:val="es-ES"/>
        </w:rPr>
        <w:t>probad</w:t>
      </w:r>
      <w:r w:rsidRPr="00605244">
        <w:rPr>
          <w:sz w:val="24"/>
          <w:szCs w:val="24"/>
          <w:lang w:val="es-ES"/>
        </w:rPr>
        <w:t>o cuyo objetivo es restablecer el nombre del grupo temático en el apartado 29 de la Resolución que no figura en el informe presentado como consecuencia de una supresión debida a un error material.</w:t>
      </w:r>
    </w:p>
  </w:footnote>
  <w:footnote w:id="2">
    <w:p w14:paraId="0AAA27A1"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243 de 9.7.2021, p. 1, ELI: </w:t>
      </w:r>
      <w:hyperlink r:id="rId1" w:history="1">
        <w:r w:rsidRPr="00112454">
          <w:rPr>
            <w:rStyle w:val="Hyperlink"/>
            <w:sz w:val="24"/>
            <w:szCs w:val="24"/>
            <w:lang w:val="pt-PT"/>
          </w:rPr>
          <w:t>http://data.europa.eu/eli/reg/2021/1119/oj</w:t>
        </w:r>
      </w:hyperlink>
      <w:r w:rsidRPr="00112454">
        <w:rPr>
          <w:sz w:val="24"/>
          <w:szCs w:val="24"/>
          <w:lang w:val="pt-PT"/>
        </w:rPr>
        <w:t>.</w:t>
      </w:r>
    </w:p>
  </w:footnote>
  <w:footnote w:id="3">
    <w:p w14:paraId="3CBEFEAA"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327 de 22.12.2000, p. 1, ELI: </w:t>
      </w:r>
      <w:hyperlink r:id="rId2" w:history="1">
        <w:r w:rsidRPr="00112454">
          <w:rPr>
            <w:rStyle w:val="Hyperlink"/>
            <w:sz w:val="24"/>
            <w:szCs w:val="24"/>
            <w:lang w:val="pt-PT"/>
          </w:rPr>
          <w:t>http://data.europa.eu/eli/dir/2000/60/oj</w:t>
        </w:r>
      </w:hyperlink>
      <w:r w:rsidRPr="00112454">
        <w:rPr>
          <w:sz w:val="24"/>
          <w:szCs w:val="24"/>
          <w:lang w:val="pt-PT"/>
        </w:rPr>
        <w:t>.</w:t>
      </w:r>
    </w:p>
  </w:footnote>
  <w:footnote w:id="4">
    <w:p w14:paraId="063C9BEC"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372 de 27.12.2006, p. 19, ELI: </w:t>
      </w:r>
      <w:hyperlink r:id="rId3" w:history="1">
        <w:r w:rsidRPr="00112454">
          <w:rPr>
            <w:rStyle w:val="Hyperlink"/>
            <w:sz w:val="24"/>
            <w:szCs w:val="24"/>
            <w:lang w:val="pt-PT"/>
          </w:rPr>
          <w:t>http://data.europa.eu/eli/dir/2006/118/oj</w:t>
        </w:r>
      </w:hyperlink>
      <w:r w:rsidRPr="00112454">
        <w:rPr>
          <w:sz w:val="24"/>
          <w:szCs w:val="24"/>
          <w:lang w:val="pt-PT"/>
        </w:rPr>
        <w:t>.</w:t>
      </w:r>
    </w:p>
  </w:footnote>
  <w:footnote w:id="5">
    <w:p w14:paraId="5E36703E"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348 de 24.12.2008, p. 84, ELI: </w:t>
      </w:r>
      <w:hyperlink r:id="rId4" w:history="1">
        <w:r w:rsidRPr="00112454">
          <w:rPr>
            <w:rStyle w:val="Hyperlink"/>
            <w:sz w:val="24"/>
            <w:szCs w:val="24"/>
            <w:lang w:val="pt-PT"/>
          </w:rPr>
          <w:t>http://data.europa.eu/eli/dir/2008/105/oj</w:t>
        </w:r>
      </w:hyperlink>
      <w:r w:rsidRPr="00112454">
        <w:rPr>
          <w:sz w:val="24"/>
          <w:szCs w:val="24"/>
          <w:lang w:val="pt-PT"/>
        </w:rPr>
        <w:t>.</w:t>
      </w:r>
    </w:p>
  </w:footnote>
  <w:footnote w:id="6">
    <w:p w14:paraId="697CED9C"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288 de 6.11.2007, p. 27, ELI: </w:t>
      </w:r>
      <w:hyperlink r:id="rId5" w:history="1">
        <w:r w:rsidRPr="00112454">
          <w:rPr>
            <w:rStyle w:val="Hyperlink"/>
            <w:sz w:val="24"/>
            <w:szCs w:val="24"/>
            <w:lang w:val="pt-PT"/>
          </w:rPr>
          <w:t>http://data.europa.eu/eli/dir/2007/60/oj</w:t>
        </w:r>
      </w:hyperlink>
      <w:r w:rsidRPr="00112454">
        <w:rPr>
          <w:sz w:val="24"/>
          <w:szCs w:val="24"/>
          <w:lang w:val="pt-PT"/>
        </w:rPr>
        <w:t>.</w:t>
      </w:r>
    </w:p>
  </w:footnote>
  <w:footnote w:id="7">
    <w:p w14:paraId="78B479DF"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435 de 23.12.2020, p. 1, ELI: </w:t>
      </w:r>
      <w:hyperlink r:id="rId6" w:history="1">
        <w:r w:rsidRPr="00112454">
          <w:rPr>
            <w:rStyle w:val="Hyperlink"/>
            <w:sz w:val="24"/>
            <w:szCs w:val="24"/>
            <w:lang w:val="pt-PT"/>
          </w:rPr>
          <w:t>http://data.europa.eu/eli/dir/2020/2184/oj</w:t>
        </w:r>
      </w:hyperlink>
      <w:r w:rsidRPr="00112454">
        <w:rPr>
          <w:sz w:val="24"/>
          <w:szCs w:val="24"/>
          <w:lang w:val="pt-PT"/>
        </w:rPr>
        <w:t>.</w:t>
      </w:r>
    </w:p>
  </w:footnote>
  <w:footnote w:id="8">
    <w:p w14:paraId="3EB4580C"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177 de 5.6.2020, p. 32, ELI: </w:t>
      </w:r>
      <w:hyperlink r:id="rId7" w:history="1">
        <w:r w:rsidRPr="00112454">
          <w:rPr>
            <w:rStyle w:val="Hyperlink"/>
            <w:sz w:val="24"/>
            <w:szCs w:val="24"/>
            <w:lang w:val="pt-PT"/>
          </w:rPr>
          <w:t>http://data.europa.eu/eli/reg/2020/741/oj</w:t>
        </w:r>
      </w:hyperlink>
      <w:r w:rsidRPr="00112454">
        <w:rPr>
          <w:sz w:val="24"/>
          <w:szCs w:val="24"/>
          <w:lang w:val="pt-PT"/>
        </w:rPr>
        <w:t>.</w:t>
      </w:r>
    </w:p>
  </w:footnote>
  <w:footnote w:id="9">
    <w:p w14:paraId="27A29DE7"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164 de 25.6.2008, p. 19, ELI: </w:t>
      </w:r>
      <w:hyperlink r:id="rId8" w:history="1">
        <w:r w:rsidRPr="00112454">
          <w:rPr>
            <w:rStyle w:val="Hyperlink"/>
            <w:sz w:val="24"/>
            <w:szCs w:val="24"/>
            <w:lang w:val="pt-PT"/>
          </w:rPr>
          <w:t>http://data.europa.eu/eli/dir/2008/56/oj</w:t>
        </w:r>
      </w:hyperlink>
      <w:r w:rsidRPr="00112454">
        <w:rPr>
          <w:sz w:val="24"/>
          <w:szCs w:val="24"/>
          <w:lang w:val="pt-PT"/>
        </w:rPr>
        <w:t>.</w:t>
      </w:r>
    </w:p>
  </w:footnote>
  <w:footnote w:id="10">
    <w:p w14:paraId="24905CB8"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2024/3019, 12.12.2024, ELI: </w:t>
      </w:r>
      <w:hyperlink r:id="rId9" w:history="1">
        <w:r w:rsidRPr="00112454">
          <w:rPr>
            <w:rStyle w:val="Hyperlink"/>
            <w:sz w:val="24"/>
            <w:szCs w:val="24"/>
            <w:lang w:val="pt-PT"/>
          </w:rPr>
          <w:t>http://data.europa.eu/eli/dir/2024/3019/oj</w:t>
        </w:r>
      </w:hyperlink>
      <w:r w:rsidRPr="00112454">
        <w:rPr>
          <w:sz w:val="24"/>
          <w:szCs w:val="24"/>
          <w:lang w:val="pt-PT"/>
        </w:rPr>
        <w:t>.</w:t>
      </w:r>
    </w:p>
  </w:footnote>
  <w:footnote w:id="11">
    <w:p w14:paraId="5141C25A"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2024/1785, 15.7.2024, ELI: </w:t>
      </w:r>
      <w:hyperlink r:id="rId10" w:history="1">
        <w:r w:rsidRPr="00112454">
          <w:rPr>
            <w:rStyle w:val="Hyperlink"/>
            <w:sz w:val="24"/>
            <w:szCs w:val="24"/>
            <w:lang w:val="pt-PT"/>
          </w:rPr>
          <w:t>http://data.europa.eu/eli/dir/2024/1785/oj</w:t>
        </w:r>
      </w:hyperlink>
      <w:r w:rsidRPr="00112454">
        <w:rPr>
          <w:sz w:val="24"/>
          <w:szCs w:val="24"/>
          <w:lang w:val="pt-PT"/>
        </w:rPr>
        <w:t>.</w:t>
      </w:r>
    </w:p>
  </w:footnote>
  <w:footnote w:id="12">
    <w:p w14:paraId="62C9E9C9"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375 de 31.12.1991, p. 1, ELI: </w:t>
      </w:r>
      <w:hyperlink r:id="rId11" w:history="1">
        <w:r w:rsidRPr="00112454">
          <w:rPr>
            <w:rStyle w:val="Hyperlink"/>
            <w:sz w:val="24"/>
            <w:szCs w:val="24"/>
            <w:lang w:val="pt-PT"/>
          </w:rPr>
          <w:t>http://data.europa.eu/eli/dir/1991/676/oj</w:t>
        </w:r>
      </w:hyperlink>
      <w:r w:rsidRPr="00112454">
        <w:rPr>
          <w:sz w:val="24"/>
          <w:szCs w:val="24"/>
          <w:lang w:val="pt-PT"/>
        </w:rPr>
        <w:t>.</w:t>
      </w:r>
    </w:p>
  </w:footnote>
  <w:footnote w:id="13">
    <w:p w14:paraId="771A9DDB"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2024/1991, 29.7.2024, ELI: </w:t>
      </w:r>
      <w:hyperlink r:id="rId12" w:history="1">
        <w:r w:rsidRPr="00112454">
          <w:rPr>
            <w:rStyle w:val="Hyperlink"/>
            <w:sz w:val="24"/>
            <w:szCs w:val="24"/>
            <w:lang w:val="pt-PT"/>
          </w:rPr>
          <w:t>http://data.europa.eu/eli/reg/2024/1991/oj</w:t>
        </w:r>
      </w:hyperlink>
      <w:r w:rsidRPr="00112454">
        <w:rPr>
          <w:sz w:val="24"/>
          <w:szCs w:val="24"/>
          <w:lang w:val="pt-PT"/>
        </w:rPr>
        <w:t>.</w:t>
      </w:r>
    </w:p>
  </w:footnote>
  <w:footnote w:id="14">
    <w:p w14:paraId="5326D298"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333 de 27.12.2022, p. 164, ELI: </w:t>
      </w:r>
      <w:hyperlink r:id="rId13" w:history="1">
        <w:r w:rsidRPr="00112454">
          <w:rPr>
            <w:rStyle w:val="Hyperlink"/>
            <w:sz w:val="24"/>
            <w:szCs w:val="24"/>
            <w:lang w:val="pt-PT"/>
          </w:rPr>
          <w:t>http://data.europa.eu/eli/dir/2022/2557/oj</w:t>
        </w:r>
      </w:hyperlink>
      <w:r w:rsidRPr="00112454">
        <w:rPr>
          <w:sz w:val="24"/>
          <w:szCs w:val="24"/>
          <w:lang w:val="pt-PT"/>
        </w:rPr>
        <w:t>.</w:t>
      </w:r>
    </w:p>
  </w:footnote>
  <w:footnote w:id="15">
    <w:p w14:paraId="1369EAC3"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333 de 27.12.2022, p. 80, ELI: </w:t>
      </w:r>
      <w:hyperlink r:id="rId14" w:history="1">
        <w:r w:rsidRPr="00112454">
          <w:rPr>
            <w:rStyle w:val="Hyperlink"/>
            <w:sz w:val="24"/>
            <w:szCs w:val="24"/>
            <w:lang w:val="pt-PT"/>
          </w:rPr>
          <w:t>http://data.europa.eu/eli/dir/2022/2555/oj</w:t>
        </w:r>
      </w:hyperlink>
      <w:r w:rsidRPr="00112454">
        <w:rPr>
          <w:sz w:val="24"/>
          <w:szCs w:val="24"/>
          <w:lang w:val="pt-PT"/>
        </w:rPr>
        <w:t>.</w:t>
      </w:r>
    </w:p>
  </w:footnote>
  <w:footnote w:id="16">
    <w:p w14:paraId="615FF0A3"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309 de 24.11.2009, p. 71, ELI: </w:t>
      </w:r>
      <w:hyperlink r:id="rId15" w:history="1">
        <w:r w:rsidRPr="00112454">
          <w:rPr>
            <w:rStyle w:val="Hyperlink"/>
            <w:sz w:val="24"/>
            <w:szCs w:val="24"/>
            <w:lang w:val="pt-PT"/>
          </w:rPr>
          <w:t>http://data.europa.eu/eli/dir/2009/128/oj</w:t>
        </w:r>
      </w:hyperlink>
      <w:r w:rsidRPr="00112454">
        <w:rPr>
          <w:sz w:val="24"/>
          <w:szCs w:val="24"/>
          <w:lang w:val="pt-PT"/>
        </w:rPr>
        <w:t>.</w:t>
      </w:r>
    </w:p>
  </w:footnote>
  <w:footnote w:id="17">
    <w:p w14:paraId="389F8717"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435 de 6.12.2021, p. 1, ELI: </w:t>
      </w:r>
      <w:hyperlink r:id="rId16" w:history="1">
        <w:r w:rsidRPr="00112454">
          <w:rPr>
            <w:rStyle w:val="Hyperlink"/>
            <w:sz w:val="24"/>
            <w:szCs w:val="24"/>
            <w:lang w:val="pt-PT"/>
          </w:rPr>
          <w:t>http://data.europa.eu/eli/reg/2021/2115/oj</w:t>
        </w:r>
      </w:hyperlink>
      <w:r w:rsidRPr="00112454">
        <w:rPr>
          <w:sz w:val="24"/>
          <w:szCs w:val="24"/>
          <w:lang w:val="pt-PT"/>
        </w:rPr>
        <w:t>.</w:t>
      </w:r>
    </w:p>
  </w:footnote>
  <w:footnote w:id="18">
    <w:p w14:paraId="5B0E4A15"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L, 2024/3190, 31.12.2024, ELI: </w:t>
      </w:r>
      <w:hyperlink r:id="rId17" w:history="1">
        <w:r w:rsidRPr="00112454">
          <w:rPr>
            <w:rStyle w:val="Hyperlink"/>
            <w:sz w:val="24"/>
            <w:szCs w:val="24"/>
            <w:lang w:val="pt-PT"/>
          </w:rPr>
          <w:t>http://data.europa.eu/eli/reg/2024/3190/oj</w:t>
        </w:r>
      </w:hyperlink>
      <w:r w:rsidRPr="00112454">
        <w:rPr>
          <w:sz w:val="24"/>
          <w:szCs w:val="24"/>
          <w:lang w:val="pt-PT"/>
        </w:rPr>
        <w:t>.</w:t>
      </w:r>
    </w:p>
  </w:footnote>
  <w:footnote w:id="19">
    <w:p w14:paraId="4E3CE178" w14:textId="77777777" w:rsidR="003D4C50" w:rsidRPr="008A049A"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DO C 132 de 14.4.2023, p. 54.</w:t>
      </w:r>
    </w:p>
  </w:footnote>
  <w:footnote w:id="20">
    <w:p w14:paraId="10A28A45"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C, C/2024/7216, 10.12.2024, ELI: </w:t>
      </w:r>
      <w:hyperlink r:id="rId18" w:history="1">
        <w:r w:rsidRPr="00112454">
          <w:rPr>
            <w:rStyle w:val="Hyperlink"/>
            <w:sz w:val="24"/>
            <w:szCs w:val="24"/>
            <w:lang w:val="pt-PT"/>
          </w:rPr>
          <w:t>http://data.europa.eu/eli/C/2024/7216/oj</w:t>
        </w:r>
      </w:hyperlink>
      <w:r w:rsidRPr="00112454">
        <w:rPr>
          <w:sz w:val="24"/>
          <w:szCs w:val="24"/>
          <w:lang w:val="pt-PT"/>
        </w:rPr>
        <w:t>.</w:t>
      </w:r>
    </w:p>
  </w:footnote>
  <w:footnote w:id="21">
    <w:p w14:paraId="469F2C18"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DO C 132 de 14.4.2023, p. 106.</w:t>
      </w:r>
    </w:p>
  </w:footnote>
  <w:footnote w:id="22">
    <w:p w14:paraId="636B62F1"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DO C 232 de 16.6.2021, p. 28.</w:t>
      </w:r>
    </w:p>
  </w:footnote>
  <w:footnote w:id="23">
    <w:p w14:paraId="29BFA9AB"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 xml:space="preserve">DO C, C/2025/808, 11.2.2025, ELI: </w:t>
      </w:r>
      <w:hyperlink r:id="rId19" w:history="1">
        <w:r w:rsidRPr="00112454">
          <w:rPr>
            <w:rStyle w:val="Hyperlink"/>
            <w:sz w:val="24"/>
            <w:szCs w:val="24"/>
            <w:lang w:val="pt-PT"/>
          </w:rPr>
          <w:t>http://data.europa.eu/eli/C/2025/808/oj</w:t>
        </w:r>
      </w:hyperlink>
      <w:r w:rsidRPr="00112454">
        <w:rPr>
          <w:sz w:val="24"/>
          <w:szCs w:val="24"/>
          <w:lang w:val="pt-PT"/>
        </w:rPr>
        <w:t>.</w:t>
      </w:r>
    </w:p>
  </w:footnote>
  <w:footnote w:id="24">
    <w:p w14:paraId="38DCD119"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DO C 445 de 29.10.2021, p. 126.</w:t>
      </w:r>
    </w:p>
  </w:footnote>
  <w:footnote w:id="25">
    <w:p w14:paraId="0A4E8CF8" w14:textId="77777777" w:rsidR="003D4C50" w:rsidRPr="00112454" w:rsidRDefault="003D4C50" w:rsidP="007C625B">
      <w:pPr>
        <w:pStyle w:val="FootnoteText"/>
        <w:ind w:left="567" w:hanging="567"/>
        <w:rPr>
          <w:sz w:val="24"/>
          <w:szCs w:val="24"/>
          <w:lang w:val="pt-PT"/>
        </w:rPr>
      </w:pPr>
      <w:r w:rsidRPr="00112454">
        <w:rPr>
          <w:rStyle w:val="FootnoteReference"/>
          <w:sz w:val="24"/>
          <w:szCs w:val="24"/>
          <w:lang w:val="es-ES_tradnl"/>
        </w:rPr>
        <w:footnoteRef/>
      </w:r>
      <w:r w:rsidR="007C625B" w:rsidRPr="00112454">
        <w:rPr>
          <w:sz w:val="24"/>
          <w:szCs w:val="24"/>
          <w:lang w:val="pt-PT"/>
        </w:rPr>
        <w:t xml:space="preserve"> </w:t>
      </w:r>
      <w:r w:rsidR="007C625B" w:rsidRPr="00112454">
        <w:rPr>
          <w:sz w:val="24"/>
          <w:szCs w:val="24"/>
          <w:lang w:val="pt-PT"/>
        </w:rPr>
        <w:tab/>
      </w:r>
      <w:r w:rsidRPr="00112454">
        <w:rPr>
          <w:sz w:val="24"/>
          <w:szCs w:val="24"/>
          <w:lang w:val="pt-PT"/>
        </w:rPr>
        <w:t>DO C 316 de 22.9.2017, p. 99.</w:t>
      </w:r>
    </w:p>
  </w:footnote>
  <w:footnote w:id="26">
    <w:p w14:paraId="0282B441"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Textos Aprobados, P9_</w:t>
      </w:r>
      <w:proofErr w:type="gramStart"/>
      <w:r w:rsidRPr="00112454">
        <w:rPr>
          <w:sz w:val="24"/>
          <w:szCs w:val="24"/>
          <w:lang w:val="es-ES_tradnl"/>
        </w:rPr>
        <w:t>TA(</w:t>
      </w:r>
      <w:proofErr w:type="gramEnd"/>
      <w:r w:rsidRPr="00112454">
        <w:rPr>
          <w:sz w:val="24"/>
          <w:szCs w:val="24"/>
          <w:lang w:val="es-ES_tradnl"/>
        </w:rPr>
        <w:t>2024)0358.</w:t>
      </w:r>
    </w:p>
  </w:footnote>
  <w:footnote w:id="27">
    <w:p w14:paraId="6B49D0E4"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Organización Meteorológica Mundial, «2021 </w:t>
      </w:r>
      <w:proofErr w:type="spellStart"/>
      <w:r w:rsidRPr="00112454">
        <w:rPr>
          <w:sz w:val="24"/>
          <w:szCs w:val="24"/>
          <w:lang w:val="es-ES_tradnl"/>
        </w:rPr>
        <w:t>State</w:t>
      </w:r>
      <w:proofErr w:type="spellEnd"/>
      <w:r w:rsidRPr="00112454">
        <w:rPr>
          <w:sz w:val="24"/>
          <w:szCs w:val="24"/>
          <w:lang w:val="es-ES_tradnl"/>
        </w:rPr>
        <w:t xml:space="preserve"> of </w:t>
      </w:r>
      <w:proofErr w:type="spellStart"/>
      <w:r w:rsidRPr="00112454">
        <w:rPr>
          <w:sz w:val="24"/>
          <w:szCs w:val="24"/>
          <w:lang w:val="es-ES_tradnl"/>
        </w:rPr>
        <w:t>Climate</w:t>
      </w:r>
      <w:proofErr w:type="spellEnd"/>
      <w:r w:rsidRPr="00112454">
        <w:rPr>
          <w:sz w:val="24"/>
          <w:szCs w:val="24"/>
          <w:lang w:val="es-ES_tradnl"/>
        </w:rPr>
        <w:t xml:space="preserve"> </w:t>
      </w:r>
      <w:proofErr w:type="spellStart"/>
      <w:r w:rsidRPr="00112454">
        <w:rPr>
          <w:sz w:val="24"/>
          <w:szCs w:val="24"/>
          <w:lang w:val="es-ES_tradnl"/>
        </w:rPr>
        <w:t>Services</w:t>
      </w:r>
      <w:proofErr w:type="spellEnd"/>
      <w:r w:rsidRPr="00112454">
        <w:rPr>
          <w:sz w:val="24"/>
          <w:szCs w:val="24"/>
          <w:lang w:val="es-ES_tradnl"/>
        </w:rPr>
        <w:t xml:space="preserve"> – </w:t>
      </w:r>
      <w:proofErr w:type="spellStart"/>
      <w:r w:rsidRPr="00112454">
        <w:rPr>
          <w:sz w:val="24"/>
          <w:szCs w:val="24"/>
          <w:lang w:val="es-ES_tradnl"/>
        </w:rPr>
        <w:t>Water</w:t>
      </w:r>
      <w:proofErr w:type="spellEnd"/>
      <w:r w:rsidRPr="00112454">
        <w:rPr>
          <w:sz w:val="24"/>
          <w:szCs w:val="24"/>
          <w:lang w:val="es-ES_tradnl"/>
        </w:rPr>
        <w:t>» (Estado de los servicios climáticos en 2021: agua), OMM n.º 1278, Ginebra, 2021.</w:t>
      </w:r>
    </w:p>
  </w:footnote>
  <w:footnote w:id="28">
    <w:p w14:paraId="09DFAC47"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Agencia Europea de Medio Ambiente, Informe 2/2009, «</w:t>
      </w:r>
      <w:proofErr w:type="spellStart"/>
      <w:r w:rsidRPr="00112454">
        <w:rPr>
          <w:sz w:val="24"/>
          <w:szCs w:val="24"/>
          <w:lang w:val="es-ES_tradnl"/>
        </w:rPr>
        <w:t>Water</w:t>
      </w:r>
      <w:proofErr w:type="spellEnd"/>
      <w:r w:rsidRPr="00112454">
        <w:rPr>
          <w:sz w:val="24"/>
          <w:szCs w:val="24"/>
          <w:lang w:val="es-ES_tradnl"/>
        </w:rPr>
        <w:t xml:space="preserve"> </w:t>
      </w:r>
      <w:proofErr w:type="spellStart"/>
      <w:r w:rsidRPr="00112454">
        <w:rPr>
          <w:sz w:val="24"/>
          <w:szCs w:val="24"/>
          <w:lang w:val="es-ES_tradnl"/>
        </w:rPr>
        <w:t>resources</w:t>
      </w:r>
      <w:proofErr w:type="spellEnd"/>
      <w:r w:rsidRPr="00112454">
        <w:rPr>
          <w:sz w:val="24"/>
          <w:szCs w:val="24"/>
          <w:lang w:val="es-ES_tradnl"/>
        </w:rPr>
        <w:t xml:space="preserve"> </w:t>
      </w:r>
      <w:proofErr w:type="spellStart"/>
      <w:r w:rsidRPr="00112454">
        <w:rPr>
          <w:sz w:val="24"/>
          <w:szCs w:val="24"/>
          <w:lang w:val="es-ES_tradnl"/>
        </w:rPr>
        <w:t>across</w:t>
      </w:r>
      <w:proofErr w:type="spellEnd"/>
      <w:r w:rsidRPr="00112454">
        <w:rPr>
          <w:sz w:val="24"/>
          <w:szCs w:val="24"/>
          <w:lang w:val="es-ES_tradnl"/>
        </w:rPr>
        <w:t xml:space="preserve"> </w:t>
      </w:r>
      <w:proofErr w:type="spellStart"/>
      <w:r w:rsidRPr="00112454">
        <w:rPr>
          <w:sz w:val="24"/>
          <w:szCs w:val="24"/>
          <w:lang w:val="es-ES_tradnl"/>
        </w:rPr>
        <w:t>Europe</w:t>
      </w:r>
      <w:proofErr w:type="spellEnd"/>
      <w:r w:rsidRPr="00112454">
        <w:rPr>
          <w:sz w:val="24"/>
          <w:szCs w:val="24"/>
          <w:lang w:val="es-ES_tradnl"/>
        </w:rPr>
        <w:t xml:space="preserve"> – </w:t>
      </w:r>
      <w:proofErr w:type="spellStart"/>
      <w:r w:rsidRPr="00112454">
        <w:rPr>
          <w:sz w:val="24"/>
          <w:szCs w:val="24"/>
          <w:lang w:val="es-ES_tradnl"/>
        </w:rPr>
        <w:t>confronting</w:t>
      </w:r>
      <w:proofErr w:type="spellEnd"/>
      <w:r w:rsidRPr="00112454">
        <w:rPr>
          <w:sz w:val="24"/>
          <w:szCs w:val="24"/>
          <w:lang w:val="es-ES_tradnl"/>
        </w:rPr>
        <w:t xml:space="preserve"> </w:t>
      </w:r>
      <w:proofErr w:type="spellStart"/>
      <w:r w:rsidRPr="00112454">
        <w:rPr>
          <w:sz w:val="24"/>
          <w:szCs w:val="24"/>
          <w:lang w:val="es-ES_tradnl"/>
        </w:rPr>
        <w:t>water</w:t>
      </w:r>
      <w:proofErr w:type="spellEnd"/>
      <w:r w:rsidRPr="00112454">
        <w:rPr>
          <w:sz w:val="24"/>
          <w:szCs w:val="24"/>
          <w:lang w:val="es-ES_tradnl"/>
        </w:rPr>
        <w:t xml:space="preserve"> </w:t>
      </w:r>
      <w:proofErr w:type="spellStart"/>
      <w:r w:rsidRPr="00112454">
        <w:rPr>
          <w:sz w:val="24"/>
          <w:szCs w:val="24"/>
          <w:lang w:val="es-ES_tradnl"/>
        </w:rPr>
        <w:t>scarcity</w:t>
      </w:r>
      <w:proofErr w:type="spellEnd"/>
      <w:r w:rsidRPr="00112454">
        <w:rPr>
          <w:sz w:val="24"/>
          <w:szCs w:val="24"/>
          <w:lang w:val="es-ES_tradnl"/>
        </w:rPr>
        <w:t xml:space="preserve"> and </w:t>
      </w:r>
      <w:proofErr w:type="spellStart"/>
      <w:r w:rsidRPr="00112454">
        <w:rPr>
          <w:sz w:val="24"/>
          <w:szCs w:val="24"/>
          <w:lang w:val="es-ES_tradnl"/>
        </w:rPr>
        <w:t>drought</w:t>
      </w:r>
      <w:proofErr w:type="spellEnd"/>
      <w:r w:rsidRPr="00112454">
        <w:rPr>
          <w:sz w:val="24"/>
          <w:szCs w:val="24"/>
          <w:lang w:val="es-ES_tradnl"/>
        </w:rPr>
        <w:t>» (Recursos híd</w:t>
      </w:r>
      <w:r w:rsidRPr="008A049A">
        <w:rPr>
          <w:sz w:val="24"/>
          <w:szCs w:val="24"/>
          <w:lang w:val="es-ES_tradnl"/>
        </w:rPr>
        <w:t>ricos en Europa: afrontar la escasez de agua y la sequía), Informe 2/2009 de la AEMA.</w:t>
      </w:r>
    </w:p>
  </w:footnote>
  <w:footnote w:id="29">
    <w:p w14:paraId="64E0C422"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Informe 07/2024 de la AEMA.</w:t>
      </w:r>
    </w:p>
  </w:footnote>
  <w:footnote w:id="30">
    <w:p w14:paraId="1DD129DD"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Fondo Mundial para la Naturaleza, «High </w:t>
      </w:r>
      <w:proofErr w:type="spellStart"/>
      <w:r w:rsidRPr="00112454">
        <w:rPr>
          <w:sz w:val="24"/>
          <w:szCs w:val="24"/>
          <w:lang w:val="es-ES_tradnl"/>
        </w:rPr>
        <w:t>Cost</w:t>
      </w:r>
      <w:proofErr w:type="spellEnd"/>
      <w:r w:rsidRPr="00112454">
        <w:rPr>
          <w:sz w:val="24"/>
          <w:szCs w:val="24"/>
          <w:lang w:val="es-ES_tradnl"/>
        </w:rPr>
        <w:t xml:space="preserve"> of </w:t>
      </w:r>
      <w:proofErr w:type="spellStart"/>
      <w:r w:rsidRPr="00112454">
        <w:rPr>
          <w:sz w:val="24"/>
          <w:szCs w:val="24"/>
          <w:lang w:val="es-ES_tradnl"/>
        </w:rPr>
        <w:t>Cheap</w:t>
      </w:r>
      <w:proofErr w:type="spellEnd"/>
      <w:r w:rsidRPr="00112454">
        <w:rPr>
          <w:sz w:val="24"/>
          <w:szCs w:val="24"/>
          <w:lang w:val="es-ES_tradnl"/>
        </w:rPr>
        <w:t xml:space="preserve"> </w:t>
      </w:r>
      <w:proofErr w:type="spellStart"/>
      <w:r w:rsidRPr="00112454">
        <w:rPr>
          <w:sz w:val="24"/>
          <w:szCs w:val="24"/>
          <w:lang w:val="es-ES_tradnl"/>
        </w:rPr>
        <w:t>Water</w:t>
      </w:r>
      <w:proofErr w:type="spellEnd"/>
      <w:r w:rsidRPr="00112454">
        <w:rPr>
          <w:sz w:val="24"/>
          <w:szCs w:val="24"/>
          <w:lang w:val="es-ES_tradnl"/>
        </w:rPr>
        <w:t xml:space="preserve">» (El alto coste del agua barata), </w:t>
      </w:r>
      <w:proofErr w:type="spellStart"/>
      <w:r w:rsidRPr="00112454">
        <w:rPr>
          <w:sz w:val="24"/>
          <w:szCs w:val="24"/>
          <w:lang w:val="es-ES_tradnl"/>
        </w:rPr>
        <w:t>Gland</w:t>
      </w:r>
      <w:proofErr w:type="spellEnd"/>
      <w:r w:rsidRPr="00112454">
        <w:rPr>
          <w:sz w:val="24"/>
          <w:szCs w:val="24"/>
          <w:lang w:val="es-ES_tradnl"/>
        </w:rPr>
        <w:t>, 2021.</w:t>
      </w:r>
    </w:p>
  </w:footnote>
  <w:footnote w:id="31">
    <w:p w14:paraId="7C3FD122"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Informe 07/2024 de la AEMA.</w:t>
      </w:r>
    </w:p>
  </w:footnote>
  <w:footnote w:id="32">
    <w:p w14:paraId="3746FAFD"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Comisión Europea, «</w:t>
      </w:r>
      <w:proofErr w:type="spellStart"/>
      <w:r w:rsidRPr="00112454">
        <w:rPr>
          <w:sz w:val="24"/>
          <w:szCs w:val="24"/>
          <w:lang w:val="es-ES_tradnl"/>
        </w:rPr>
        <w:t>Attitudes</w:t>
      </w:r>
      <w:proofErr w:type="spellEnd"/>
      <w:r w:rsidRPr="00112454">
        <w:rPr>
          <w:sz w:val="24"/>
          <w:szCs w:val="24"/>
          <w:lang w:val="es-ES_tradnl"/>
        </w:rPr>
        <w:t xml:space="preserve"> of </w:t>
      </w:r>
      <w:proofErr w:type="spellStart"/>
      <w:r w:rsidRPr="00112454">
        <w:rPr>
          <w:sz w:val="24"/>
          <w:szCs w:val="24"/>
          <w:lang w:val="es-ES_tradnl"/>
        </w:rPr>
        <w:t>Europeans</w:t>
      </w:r>
      <w:proofErr w:type="spellEnd"/>
      <w:r w:rsidRPr="00112454">
        <w:rPr>
          <w:sz w:val="24"/>
          <w:szCs w:val="24"/>
          <w:lang w:val="es-ES_tradnl"/>
        </w:rPr>
        <w:t xml:space="preserve"> </w:t>
      </w:r>
      <w:proofErr w:type="spellStart"/>
      <w:r w:rsidRPr="00112454">
        <w:rPr>
          <w:sz w:val="24"/>
          <w:szCs w:val="24"/>
          <w:lang w:val="es-ES_tradnl"/>
        </w:rPr>
        <w:t>towards</w:t>
      </w:r>
      <w:proofErr w:type="spellEnd"/>
      <w:r w:rsidRPr="00112454">
        <w:rPr>
          <w:sz w:val="24"/>
          <w:szCs w:val="24"/>
          <w:lang w:val="es-ES_tradnl"/>
        </w:rPr>
        <w:t xml:space="preserve"> </w:t>
      </w:r>
      <w:proofErr w:type="spellStart"/>
      <w:r w:rsidRPr="00112454">
        <w:rPr>
          <w:sz w:val="24"/>
          <w:szCs w:val="24"/>
          <w:lang w:val="es-ES_tradnl"/>
        </w:rPr>
        <w:t>the</w:t>
      </w:r>
      <w:proofErr w:type="spellEnd"/>
      <w:r w:rsidRPr="00112454">
        <w:rPr>
          <w:sz w:val="24"/>
          <w:szCs w:val="24"/>
          <w:lang w:val="es-ES_tradnl"/>
        </w:rPr>
        <w:t xml:space="preserve"> </w:t>
      </w:r>
      <w:proofErr w:type="spellStart"/>
      <w:r w:rsidRPr="00112454">
        <w:rPr>
          <w:sz w:val="24"/>
          <w:szCs w:val="24"/>
          <w:lang w:val="es-ES_tradnl"/>
        </w:rPr>
        <w:t>environment</w:t>
      </w:r>
      <w:proofErr w:type="spellEnd"/>
      <w:r w:rsidRPr="00112454">
        <w:rPr>
          <w:sz w:val="24"/>
          <w:szCs w:val="24"/>
          <w:lang w:val="es-ES_tradnl"/>
        </w:rPr>
        <w:t>» (Actitudes de los europeos hacia el medio ambiente), Eurobarómetro especial 550, mayo de 2024.</w:t>
      </w:r>
    </w:p>
  </w:footnote>
  <w:footnote w:id="33">
    <w:p w14:paraId="39179CA5"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Comisión Europea: Dirección General de Medio Ambiente, </w:t>
      </w:r>
      <w:r w:rsidRPr="00112454">
        <w:rPr>
          <w:i/>
          <w:iCs/>
          <w:sz w:val="24"/>
          <w:szCs w:val="24"/>
          <w:lang w:val="es-ES_tradnl"/>
        </w:rPr>
        <w:t>et al.</w:t>
      </w:r>
      <w:r w:rsidRPr="008A049A">
        <w:rPr>
          <w:sz w:val="24"/>
          <w:szCs w:val="24"/>
          <w:lang w:val="es-ES_tradnl"/>
        </w:rPr>
        <w:t>, «</w:t>
      </w:r>
      <w:proofErr w:type="spellStart"/>
      <w:r w:rsidRPr="008A049A">
        <w:rPr>
          <w:sz w:val="24"/>
          <w:szCs w:val="24"/>
          <w:lang w:val="es-ES_tradnl"/>
        </w:rPr>
        <w:t>Implementation</w:t>
      </w:r>
      <w:proofErr w:type="spellEnd"/>
      <w:r w:rsidRPr="008A049A">
        <w:rPr>
          <w:sz w:val="24"/>
          <w:szCs w:val="24"/>
          <w:lang w:val="es-ES_tradnl"/>
        </w:rPr>
        <w:t xml:space="preserve"> of </w:t>
      </w:r>
      <w:proofErr w:type="spellStart"/>
      <w:r w:rsidRPr="00112454">
        <w:rPr>
          <w:sz w:val="24"/>
          <w:szCs w:val="24"/>
          <w:lang w:val="es-ES_tradnl"/>
        </w:rPr>
        <w:t>water</w:t>
      </w:r>
      <w:proofErr w:type="spellEnd"/>
      <w:r w:rsidRPr="00112454">
        <w:rPr>
          <w:sz w:val="24"/>
          <w:szCs w:val="24"/>
          <w:lang w:val="es-ES_tradnl"/>
        </w:rPr>
        <w:t xml:space="preserve"> balances in </w:t>
      </w:r>
      <w:proofErr w:type="spellStart"/>
      <w:r w:rsidRPr="00112454">
        <w:rPr>
          <w:sz w:val="24"/>
          <w:szCs w:val="24"/>
          <w:lang w:val="es-ES_tradnl"/>
        </w:rPr>
        <w:t>the</w:t>
      </w:r>
      <w:proofErr w:type="spellEnd"/>
      <w:r w:rsidRPr="00112454">
        <w:rPr>
          <w:sz w:val="24"/>
          <w:szCs w:val="24"/>
          <w:lang w:val="es-ES_tradnl"/>
        </w:rPr>
        <w:t xml:space="preserve"> EU – Final </w:t>
      </w:r>
      <w:proofErr w:type="spellStart"/>
      <w:r w:rsidRPr="00112454">
        <w:rPr>
          <w:sz w:val="24"/>
          <w:szCs w:val="24"/>
          <w:lang w:val="es-ES_tradnl"/>
        </w:rPr>
        <w:t>report</w:t>
      </w:r>
      <w:proofErr w:type="spellEnd"/>
      <w:r w:rsidRPr="00112454">
        <w:rPr>
          <w:sz w:val="24"/>
          <w:szCs w:val="24"/>
          <w:lang w:val="es-ES_tradnl"/>
        </w:rPr>
        <w:t>» (Aplicación de balances hídricos en la UE: informe final), Oficina de Publicaciones de la Unión Europea, 2024.</w:t>
      </w:r>
    </w:p>
  </w:footnote>
  <w:footnote w:id="34">
    <w:p w14:paraId="59E12C86"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n-GB"/>
        </w:rPr>
        <w:t xml:space="preserve"> </w:t>
      </w:r>
      <w:r w:rsidR="007C625B" w:rsidRPr="00112454">
        <w:rPr>
          <w:sz w:val="24"/>
          <w:szCs w:val="24"/>
          <w:lang w:val="en-GB"/>
        </w:rPr>
        <w:tab/>
      </w:r>
      <w:r w:rsidRPr="00112454">
        <w:rPr>
          <w:sz w:val="24"/>
          <w:szCs w:val="24"/>
          <w:lang w:val="en-GB"/>
        </w:rPr>
        <w:t>Disclosure Insight Action (CDP) y Planet Tracker, High and Dry.</w:t>
      </w:r>
      <w:r w:rsidRPr="00112454">
        <w:rPr>
          <w:i/>
          <w:sz w:val="24"/>
          <w:szCs w:val="24"/>
          <w:lang w:val="en-GB"/>
        </w:rPr>
        <w:t xml:space="preserve"> </w:t>
      </w:r>
      <w:proofErr w:type="spellStart"/>
      <w:r w:rsidRPr="008A049A">
        <w:rPr>
          <w:sz w:val="24"/>
          <w:szCs w:val="24"/>
          <w:lang w:val="es-ES_tradnl"/>
        </w:rPr>
        <w:t>How</w:t>
      </w:r>
      <w:proofErr w:type="spellEnd"/>
      <w:r w:rsidRPr="008A049A">
        <w:rPr>
          <w:sz w:val="24"/>
          <w:szCs w:val="24"/>
          <w:lang w:val="es-ES_tradnl"/>
        </w:rPr>
        <w:t xml:space="preserve"> </w:t>
      </w:r>
      <w:proofErr w:type="spellStart"/>
      <w:r w:rsidRPr="008A049A">
        <w:rPr>
          <w:sz w:val="24"/>
          <w:szCs w:val="24"/>
          <w:lang w:val="es-ES_tradnl"/>
        </w:rPr>
        <w:t>Water</w:t>
      </w:r>
      <w:proofErr w:type="spellEnd"/>
      <w:r w:rsidRPr="008A049A">
        <w:rPr>
          <w:sz w:val="24"/>
          <w:szCs w:val="24"/>
          <w:lang w:val="es-ES_tradnl"/>
        </w:rPr>
        <w:t xml:space="preserve"> </w:t>
      </w:r>
      <w:proofErr w:type="spellStart"/>
      <w:r w:rsidRPr="008A049A">
        <w:rPr>
          <w:sz w:val="24"/>
          <w:szCs w:val="24"/>
          <w:lang w:val="es-ES_tradnl"/>
        </w:rPr>
        <w:t>Issues</w:t>
      </w:r>
      <w:proofErr w:type="spellEnd"/>
      <w:r w:rsidRPr="008A049A">
        <w:rPr>
          <w:sz w:val="24"/>
          <w:szCs w:val="24"/>
          <w:lang w:val="es-ES_tradnl"/>
        </w:rPr>
        <w:t xml:space="preserve"> Are </w:t>
      </w:r>
      <w:proofErr w:type="spellStart"/>
      <w:r w:rsidRPr="008A049A">
        <w:rPr>
          <w:sz w:val="24"/>
          <w:szCs w:val="24"/>
          <w:lang w:val="es-ES_tradnl"/>
        </w:rPr>
        <w:t>Stranding</w:t>
      </w:r>
      <w:proofErr w:type="spellEnd"/>
      <w:r w:rsidRPr="008A049A">
        <w:rPr>
          <w:sz w:val="24"/>
          <w:szCs w:val="24"/>
          <w:lang w:val="es-ES_tradnl"/>
        </w:rPr>
        <w:t xml:space="preserve"> </w:t>
      </w:r>
      <w:proofErr w:type="spellStart"/>
      <w:r w:rsidRPr="008A049A">
        <w:rPr>
          <w:sz w:val="24"/>
          <w:szCs w:val="24"/>
          <w:lang w:val="es-ES_tradnl"/>
        </w:rPr>
        <w:t>Assets</w:t>
      </w:r>
      <w:proofErr w:type="spellEnd"/>
      <w:r w:rsidRPr="00112454">
        <w:rPr>
          <w:sz w:val="24"/>
          <w:szCs w:val="24"/>
          <w:lang w:val="es-ES_tradnl"/>
        </w:rPr>
        <w:t>» (En la estacada: cómo los problemas de agua están dejando los activos obsoletos), 2022.</w:t>
      </w:r>
    </w:p>
  </w:footnote>
  <w:footnote w:id="35">
    <w:p w14:paraId="2E75EE91"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Informe 07/2024 de la AEMA.</w:t>
      </w:r>
    </w:p>
  </w:footnote>
  <w:footnote w:id="36">
    <w:p w14:paraId="7D4DFB00"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Agencia Europea de Medio Ambiente, «</w:t>
      </w:r>
      <w:proofErr w:type="spellStart"/>
      <w:r w:rsidRPr="00112454">
        <w:rPr>
          <w:sz w:val="24"/>
          <w:szCs w:val="24"/>
          <w:lang w:val="es-ES_tradnl"/>
        </w:rPr>
        <w:t>Water</w:t>
      </w:r>
      <w:proofErr w:type="spellEnd"/>
      <w:r w:rsidRPr="00112454">
        <w:rPr>
          <w:sz w:val="24"/>
          <w:szCs w:val="24"/>
          <w:lang w:val="es-ES_tradnl"/>
        </w:rPr>
        <w:t xml:space="preserve"> </w:t>
      </w:r>
      <w:proofErr w:type="spellStart"/>
      <w:r w:rsidRPr="00112454">
        <w:rPr>
          <w:sz w:val="24"/>
          <w:szCs w:val="24"/>
          <w:lang w:val="es-ES_tradnl"/>
        </w:rPr>
        <w:t>abstraction</w:t>
      </w:r>
      <w:proofErr w:type="spellEnd"/>
      <w:r w:rsidRPr="00112454">
        <w:rPr>
          <w:sz w:val="24"/>
          <w:szCs w:val="24"/>
          <w:lang w:val="es-ES_tradnl"/>
        </w:rPr>
        <w:t xml:space="preserve"> </w:t>
      </w:r>
      <w:proofErr w:type="spellStart"/>
      <w:r w:rsidRPr="00112454">
        <w:rPr>
          <w:sz w:val="24"/>
          <w:szCs w:val="24"/>
          <w:lang w:val="es-ES_tradnl"/>
        </w:rPr>
        <w:t>by</w:t>
      </w:r>
      <w:proofErr w:type="spellEnd"/>
      <w:r w:rsidRPr="00112454">
        <w:rPr>
          <w:sz w:val="24"/>
          <w:szCs w:val="24"/>
          <w:lang w:val="es-ES_tradnl"/>
        </w:rPr>
        <w:t xml:space="preserve"> </w:t>
      </w:r>
      <w:proofErr w:type="spellStart"/>
      <w:r w:rsidRPr="00112454">
        <w:rPr>
          <w:sz w:val="24"/>
          <w:szCs w:val="24"/>
          <w:lang w:val="es-ES_tradnl"/>
        </w:rPr>
        <w:t>economic</w:t>
      </w:r>
      <w:proofErr w:type="spellEnd"/>
      <w:r w:rsidRPr="00112454">
        <w:rPr>
          <w:sz w:val="24"/>
          <w:szCs w:val="24"/>
          <w:lang w:val="es-ES_tradnl"/>
        </w:rPr>
        <w:t xml:space="preserve"> sector in </w:t>
      </w:r>
      <w:proofErr w:type="spellStart"/>
      <w:r w:rsidRPr="00112454">
        <w:rPr>
          <w:sz w:val="24"/>
          <w:szCs w:val="24"/>
          <w:lang w:val="es-ES_tradnl"/>
        </w:rPr>
        <w:t>the</w:t>
      </w:r>
      <w:proofErr w:type="spellEnd"/>
      <w:r w:rsidRPr="00112454">
        <w:rPr>
          <w:sz w:val="24"/>
          <w:szCs w:val="24"/>
          <w:lang w:val="es-ES_tradnl"/>
        </w:rPr>
        <w:t xml:space="preserve"> 27 EU </w:t>
      </w:r>
      <w:proofErr w:type="spellStart"/>
      <w:r w:rsidRPr="00112454">
        <w:rPr>
          <w:sz w:val="24"/>
          <w:szCs w:val="24"/>
          <w:lang w:val="es-ES_tradnl"/>
        </w:rPr>
        <w:t>Member</w:t>
      </w:r>
      <w:proofErr w:type="spellEnd"/>
      <w:r w:rsidRPr="00112454">
        <w:rPr>
          <w:sz w:val="24"/>
          <w:szCs w:val="24"/>
          <w:lang w:val="es-ES_tradnl"/>
        </w:rPr>
        <w:t xml:space="preserve"> </w:t>
      </w:r>
      <w:proofErr w:type="spellStart"/>
      <w:r w:rsidRPr="00112454">
        <w:rPr>
          <w:sz w:val="24"/>
          <w:szCs w:val="24"/>
          <w:lang w:val="es-ES_tradnl"/>
        </w:rPr>
        <w:t>States</w:t>
      </w:r>
      <w:proofErr w:type="spellEnd"/>
      <w:r w:rsidRPr="00112454">
        <w:rPr>
          <w:sz w:val="24"/>
          <w:szCs w:val="24"/>
          <w:lang w:val="es-ES_tradnl"/>
        </w:rPr>
        <w:t xml:space="preserve">, 2000-2022» (Extracción de agua por sector económico en los veintisiete Estados miembros de la UE), sitio web de la Agencia Europea de Medio Ambiente, 5 de diciembre de 2024, </w:t>
      </w:r>
      <w:hyperlink r:id="rId20" w:history="1">
        <w:r w:rsidRPr="00112454">
          <w:rPr>
            <w:rStyle w:val="Hyperlink"/>
            <w:sz w:val="24"/>
            <w:szCs w:val="24"/>
            <w:lang w:val="es-ES_tradnl"/>
          </w:rPr>
          <w:t>https://www.eea.europa.eu/en/analysis/indicators/water-abstraction-by-source-and/water-abstraction-by-economic?activeTab=8a280073-bf94-4717-b3e2-1374b57ca99d</w:t>
        </w:r>
      </w:hyperlink>
      <w:r w:rsidRPr="00112454">
        <w:rPr>
          <w:sz w:val="24"/>
          <w:szCs w:val="24"/>
          <w:lang w:val="es-ES_tradnl"/>
        </w:rPr>
        <w:t>.</w:t>
      </w:r>
    </w:p>
  </w:footnote>
  <w:footnote w:id="37">
    <w:p w14:paraId="33A33666"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Eurostat, «Archive: </w:t>
      </w:r>
      <w:proofErr w:type="spellStart"/>
      <w:r w:rsidRPr="00112454">
        <w:rPr>
          <w:sz w:val="24"/>
          <w:szCs w:val="24"/>
          <w:lang w:val="es-ES_tradnl"/>
        </w:rPr>
        <w:t>Water</w:t>
      </w:r>
      <w:proofErr w:type="spellEnd"/>
      <w:r w:rsidRPr="00112454">
        <w:rPr>
          <w:sz w:val="24"/>
          <w:szCs w:val="24"/>
          <w:lang w:val="es-ES_tradnl"/>
        </w:rPr>
        <w:t xml:space="preserve"> use in </w:t>
      </w:r>
      <w:proofErr w:type="spellStart"/>
      <w:r w:rsidRPr="00112454">
        <w:rPr>
          <w:sz w:val="24"/>
          <w:szCs w:val="24"/>
          <w:lang w:val="es-ES_tradnl"/>
        </w:rPr>
        <w:t>industry</w:t>
      </w:r>
      <w:proofErr w:type="spellEnd"/>
      <w:r w:rsidRPr="00112454">
        <w:rPr>
          <w:sz w:val="24"/>
          <w:szCs w:val="24"/>
          <w:lang w:val="es-ES_tradnl"/>
        </w:rPr>
        <w:t>» (Archivo: El uso del agua en la industria), sitio web de Eurostat,</w:t>
      </w:r>
      <w:r w:rsidRPr="00112454">
        <w:rPr>
          <w:sz w:val="24"/>
          <w:szCs w:val="24"/>
          <w:lang w:val="es-ES_tradnl"/>
        </w:rPr>
        <w:br/>
      </w:r>
      <w:hyperlink r:id="rId21" w:history="1">
        <w:r w:rsidRPr="00112454">
          <w:rPr>
            <w:rStyle w:val="Hyperlink"/>
            <w:sz w:val="24"/>
            <w:szCs w:val="24"/>
            <w:lang w:val="es-ES_tradnl"/>
          </w:rPr>
          <w:t>https://ec.europa.eu/eurostat/statistics-explained/index.php?title=Archive:Water_use_in_industry&amp;oldid=196132#Further_Eurostat_information</w:t>
        </w:r>
      </w:hyperlink>
      <w:r w:rsidRPr="00112454">
        <w:rPr>
          <w:sz w:val="24"/>
          <w:szCs w:val="24"/>
          <w:lang w:val="es-ES_tradnl"/>
        </w:rPr>
        <w:t>.</w:t>
      </w:r>
    </w:p>
  </w:footnote>
  <w:footnote w:id="38">
    <w:p w14:paraId="176AA33A"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Informe 07/2024 de la AEMA.</w:t>
      </w:r>
    </w:p>
  </w:footnote>
  <w:footnote w:id="39">
    <w:p w14:paraId="71049613"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Organización de las Naciones Unidas para la Alimentación y la Agricultura, «</w:t>
      </w:r>
      <w:proofErr w:type="spellStart"/>
      <w:r w:rsidRPr="00112454">
        <w:rPr>
          <w:sz w:val="24"/>
          <w:szCs w:val="24"/>
          <w:lang w:val="es-ES_tradnl"/>
        </w:rPr>
        <w:t>Water</w:t>
      </w:r>
      <w:proofErr w:type="spellEnd"/>
      <w:r w:rsidRPr="00112454">
        <w:rPr>
          <w:sz w:val="24"/>
          <w:szCs w:val="24"/>
          <w:lang w:val="es-ES_tradnl"/>
        </w:rPr>
        <w:t xml:space="preserve"> </w:t>
      </w:r>
      <w:proofErr w:type="spellStart"/>
      <w:r w:rsidRPr="00112454">
        <w:rPr>
          <w:sz w:val="24"/>
          <w:szCs w:val="24"/>
          <w:lang w:val="es-ES_tradnl"/>
        </w:rPr>
        <w:t>accounting</w:t>
      </w:r>
      <w:proofErr w:type="spellEnd"/>
      <w:r w:rsidRPr="00112454">
        <w:rPr>
          <w:sz w:val="24"/>
          <w:szCs w:val="24"/>
          <w:lang w:val="es-ES_tradnl"/>
        </w:rPr>
        <w:t xml:space="preserve"> and </w:t>
      </w:r>
      <w:proofErr w:type="spellStart"/>
      <w:r w:rsidRPr="00112454">
        <w:rPr>
          <w:sz w:val="24"/>
          <w:szCs w:val="24"/>
          <w:lang w:val="es-ES_tradnl"/>
        </w:rPr>
        <w:t>auditing</w:t>
      </w:r>
      <w:proofErr w:type="spellEnd"/>
      <w:r w:rsidRPr="00112454">
        <w:rPr>
          <w:sz w:val="24"/>
          <w:szCs w:val="24"/>
          <w:lang w:val="es-ES_tradnl"/>
        </w:rPr>
        <w:t xml:space="preserve">, A </w:t>
      </w:r>
      <w:proofErr w:type="spellStart"/>
      <w:r w:rsidRPr="00112454">
        <w:rPr>
          <w:sz w:val="24"/>
          <w:szCs w:val="24"/>
          <w:lang w:val="es-ES_tradnl"/>
        </w:rPr>
        <w:t>sourcebook</w:t>
      </w:r>
      <w:proofErr w:type="spellEnd"/>
      <w:r w:rsidRPr="00112454">
        <w:rPr>
          <w:sz w:val="24"/>
          <w:szCs w:val="24"/>
          <w:lang w:val="es-ES_tradnl"/>
        </w:rPr>
        <w:t>» (Contabilidad y auditoría del agua), informes sobre agua de la FAO 43, Roma, 2016.</w:t>
      </w:r>
    </w:p>
  </w:footnote>
  <w:footnote w:id="40">
    <w:p w14:paraId="57FE44F9"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Banco Europeo de Inversión, «</w:t>
      </w:r>
      <w:proofErr w:type="spellStart"/>
      <w:r w:rsidRPr="00112454">
        <w:rPr>
          <w:sz w:val="24"/>
          <w:szCs w:val="24"/>
          <w:lang w:val="es-ES_tradnl"/>
        </w:rPr>
        <w:t>Wastewater</w:t>
      </w:r>
      <w:proofErr w:type="spellEnd"/>
      <w:r w:rsidRPr="00112454">
        <w:rPr>
          <w:sz w:val="24"/>
          <w:szCs w:val="24"/>
          <w:lang w:val="es-ES_tradnl"/>
        </w:rPr>
        <w:t xml:space="preserve"> as a </w:t>
      </w:r>
      <w:proofErr w:type="spellStart"/>
      <w:r w:rsidRPr="00112454">
        <w:rPr>
          <w:sz w:val="24"/>
          <w:szCs w:val="24"/>
          <w:lang w:val="es-ES_tradnl"/>
        </w:rPr>
        <w:t>resource</w:t>
      </w:r>
      <w:proofErr w:type="spellEnd"/>
      <w:r w:rsidRPr="00112454">
        <w:rPr>
          <w:sz w:val="24"/>
          <w:szCs w:val="24"/>
          <w:lang w:val="es-ES_tradnl"/>
        </w:rPr>
        <w:t>» (Las aguas residuales como recurso), 2022.</w:t>
      </w:r>
    </w:p>
  </w:footnote>
  <w:footnote w:id="41">
    <w:p w14:paraId="50A8D7DA" w14:textId="77777777" w:rsidR="003D4C50" w:rsidRPr="00112454" w:rsidRDefault="003D4C50" w:rsidP="007C625B">
      <w:pPr>
        <w:pStyle w:val="FootnoteText"/>
        <w:keepN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Comisión Europea: Dirección General de Medio Ambiente, «</w:t>
      </w:r>
      <w:proofErr w:type="spellStart"/>
      <w:r w:rsidRPr="00112454">
        <w:rPr>
          <w:sz w:val="24"/>
          <w:szCs w:val="24"/>
          <w:lang w:val="es-ES_tradnl"/>
        </w:rPr>
        <w:t>Water</w:t>
      </w:r>
      <w:proofErr w:type="spellEnd"/>
      <w:r w:rsidRPr="00112454">
        <w:rPr>
          <w:sz w:val="24"/>
          <w:szCs w:val="24"/>
          <w:lang w:val="es-ES_tradnl"/>
        </w:rPr>
        <w:t xml:space="preserve"> </w:t>
      </w:r>
      <w:proofErr w:type="spellStart"/>
      <w:r w:rsidRPr="00112454">
        <w:rPr>
          <w:sz w:val="24"/>
          <w:szCs w:val="24"/>
          <w:lang w:val="es-ES_tradnl"/>
        </w:rPr>
        <w:t>reuse</w:t>
      </w:r>
      <w:proofErr w:type="spellEnd"/>
      <w:r w:rsidRPr="00112454">
        <w:rPr>
          <w:sz w:val="24"/>
          <w:szCs w:val="24"/>
          <w:lang w:val="es-ES_tradnl"/>
        </w:rPr>
        <w:t xml:space="preserve">: New EU rules to </w:t>
      </w:r>
      <w:proofErr w:type="spellStart"/>
      <w:r w:rsidRPr="00112454">
        <w:rPr>
          <w:sz w:val="24"/>
          <w:szCs w:val="24"/>
          <w:lang w:val="es-ES_tradnl"/>
        </w:rPr>
        <w:t>improve</w:t>
      </w:r>
      <w:proofErr w:type="spellEnd"/>
      <w:r w:rsidRPr="00112454">
        <w:rPr>
          <w:sz w:val="24"/>
          <w:szCs w:val="24"/>
          <w:lang w:val="es-ES_tradnl"/>
        </w:rPr>
        <w:t xml:space="preserve"> </w:t>
      </w:r>
      <w:proofErr w:type="spellStart"/>
      <w:r w:rsidRPr="00112454">
        <w:rPr>
          <w:sz w:val="24"/>
          <w:szCs w:val="24"/>
          <w:lang w:val="es-ES_tradnl"/>
        </w:rPr>
        <w:t>access</w:t>
      </w:r>
      <w:proofErr w:type="spellEnd"/>
      <w:r w:rsidRPr="00112454">
        <w:rPr>
          <w:sz w:val="24"/>
          <w:szCs w:val="24"/>
          <w:lang w:val="es-ES_tradnl"/>
        </w:rPr>
        <w:t xml:space="preserve"> to </w:t>
      </w:r>
      <w:proofErr w:type="spellStart"/>
      <w:r w:rsidRPr="00112454">
        <w:rPr>
          <w:sz w:val="24"/>
          <w:szCs w:val="24"/>
          <w:lang w:val="es-ES_tradnl"/>
        </w:rPr>
        <w:t>safe</w:t>
      </w:r>
      <w:proofErr w:type="spellEnd"/>
      <w:r w:rsidRPr="00112454">
        <w:rPr>
          <w:sz w:val="24"/>
          <w:szCs w:val="24"/>
          <w:lang w:val="es-ES_tradnl"/>
        </w:rPr>
        <w:t xml:space="preserve"> </w:t>
      </w:r>
      <w:proofErr w:type="spellStart"/>
      <w:r w:rsidRPr="00112454">
        <w:rPr>
          <w:sz w:val="24"/>
          <w:szCs w:val="24"/>
          <w:lang w:val="es-ES_tradnl"/>
        </w:rPr>
        <w:t>irrigation</w:t>
      </w:r>
      <w:proofErr w:type="spellEnd"/>
      <w:r w:rsidRPr="00112454">
        <w:rPr>
          <w:sz w:val="24"/>
          <w:szCs w:val="24"/>
          <w:lang w:val="es-ES_tradnl"/>
        </w:rPr>
        <w:t xml:space="preserve">» (Reutilización del agua: nuevas normas de la UE para mejorar el acceso al riego seguro), sitio web de la Comisión Europea, 26 de junio de 2023, </w:t>
      </w:r>
      <w:hyperlink r:id="rId22" w:history="1">
        <w:r w:rsidRPr="00112454">
          <w:rPr>
            <w:rStyle w:val="Hyperlink"/>
            <w:sz w:val="24"/>
            <w:szCs w:val="24"/>
            <w:lang w:val="es-ES_tradnl"/>
          </w:rPr>
          <w:t>https://environment.ec.europa.eu/news/water-reuse-new-eu-rules-improve-access-safe-irrigation-2023-06-26_en</w:t>
        </w:r>
      </w:hyperlink>
      <w:r w:rsidRPr="00112454">
        <w:rPr>
          <w:sz w:val="24"/>
          <w:szCs w:val="24"/>
          <w:lang w:val="es-ES_tradnl"/>
        </w:rPr>
        <w:t>.</w:t>
      </w:r>
    </w:p>
  </w:footnote>
  <w:footnote w:id="42">
    <w:p w14:paraId="786DA666"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Comisión Europea: Dirección General de Medio Ambiente, «Zero </w:t>
      </w:r>
      <w:proofErr w:type="spellStart"/>
      <w:r w:rsidRPr="00112454">
        <w:rPr>
          <w:sz w:val="24"/>
          <w:szCs w:val="24"/>
          <w:lang w:val="es-ES_tradnl"/>
        </w:rPr>
        <w:t>pollution</w:t>
      </w:r>
      <w:proofErr w:type="spellEnd"/>
      <w:r w:rsidRPr="00112454">
        <w:rPr>
          <w:sz w:val="24"/>
          <w:szCs w:val="24"/>
          <w:lang w:val="es-ES_tradnl"/>
        </w:rPr>
        <w:t xml:space="preserve">: </w:t>
      </w:r>
      <w:proofErr w:type="spellStart"/>
      <w:r w:rsidRPr="00112454">
        <w:rPr>
          <w:sz w:val="24"/>
          <w:szCs w:val="24"/>
          <w:lang w:val="es-ES_tradnl"/>
        </w:rPr>
        <w:t>Improved</w:t>
      </w:r>
      <w:proofErr w:type="spellEnd"/>
      <w:r w:rsidRPr="00112454">
        <w:rPr>
          <w:sz w:val="24"/>
          <w:szCs w:val="24"/>
          <w:lang w:val="es-ES_tradnl"/>
        </w:rPr>
        <w:t xml:space="preserve"> </w:t>
      </w:r>
      <w:proofErr w:type="spellStart"/>
      <w:r w:rsidRPr="00112454">
        <w:rPr>
          <w:sz w:val="24"/>
          <w:szCs w:val="24"/>
          <w:lang w:val="es-ES_tradnl"/>
        </w:rPr>
        <w:t>quality</w:t>
      </w:r>
      <w:proofErr w:type="spellEnd"/>
      <w:r w:rsidRPr="00112454">
        <w:rPr>
          <w:sz w:val="24"/>
          <w:szCs w:val="24"/>
          <w:lang w:val="es-ES_tradnl"/>
        </w:rPr>
        <w:t xml:space="preserve"> and </w:t>
      </w:r>
      <w:proofErr w:type="spellStart"/>
      <w:r w:rsidRPr="00112454">
        <w:rPr>
          <w:sz w:val="24"/>
          <w:szCs w:val="24"/>
          <w:lang w:val="es-ES_tradnl"/>
        </w:rPr>
        <w:t>access</w:t>
      </w:r>
      <w:proofErr w:type="spellEnd"/>
      <w:r w:rsidRPr="00112454">
        <w:rPr>
          <w:sz w:val="24"/>
          <w:szCs w:val="24"/>
          <w:lang w:val="es-ES_tradnl"/>
        </w:rPr>
        <w:t xml:space="preserve"> to </w:t>
      </w:r>
      <w:proofErr w:type="spellStart"/>
      <w:r w:rsidRPr="00112454">
        <w:rPr>
          <w:sz w:val="24"/>
          <w:szCs w:val="24"/>
          <w:lang w:val="es-ES_tradnl"/>
        </w:rPr>
        <w:t>drinking</w:t>
      </w:r>
      <w:proofErr w:type="spellEnd"/>
      <w:r w:rsidRPr="00112454">
        <w:rPr>
          <w:sz w:val="24"/>
          <w:szCs w:val="24"/>
          <w:lang w:val="es-ES_tradnl"/>
        </w:rPr>
        <w:t xml:space="preserve"> </w:t>
      </w:r>
      <w:proofErr w:type="spellStart"/>
      <w:r w:rsidRPr="00112454">
        <w:rPr>
          <w:sz w:val="24"/>
          <w:szCs w:val="24"/>
          <w:lang w:val="es-ES_tradnl"/>
        </w:rPr>
        <w:t>water</w:t>
      </w:r>
      <w:proofErr w:type="spellEnd"/>
      <w:r w:rsidRPr="00112454">
        <w:rPr>
          <w:sz w:val="24"/>
          <w:szCs w:val="24"/>
          <w:lang w:val="es-ES_tradnl"/>
        </w:rPr>
        <w:t xml:space="preserve">» (Contaminación cero: mejora de la calidad y el acceso al agua potable), sitio web de la Comisión Europea, 12 de enero de 2023, </w:t>
      </w:r>
      <w:hyperlink r:id="rId23" w:history="1">
        <w:r w:rsidRPr="00112454">
          <w:rPr>
            <w:rStyle w:val="Hyperlink"/>
            <w:sz w:val="24"/>
            <w:szCs w:val="24"/>
            <w:lang w:val="es-ES_tradnl"/>
          </w:rPr>
          <w:t>https://environment.ec.europa.eu/news/improved-quality-and-access-drinking-water-all-europeans-2023-01-12_en</w:t>
        </w:r>
      </w:hyperlink>
      <w:r w:rsidRPr="00112454">
        <w:rPr>
          <w:sz w:val="24"/>
          <w:szCs w:val="24"/>
          <w:lang w:val="es-ES_tradnl"/>
        </w:rPr>
        <w:t xml:space="preserve">. </w:t>
      </w:r>
    </w:p>
  </w:footnote>
  <w:footnote w:id="43">
    <w:p w14:paraId="21959FF3"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Informe 07/2024 de la AEMA.</w:t>
      </w:r>
    </w:p>
  </w:footnote>
  <w:footnote w:id="44">
    <w:p w14:paraId="042601BA"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i/>
          <w:iCs/>
          <w:sz w:val="24"/>
          <w:szCs w:val="24"/>
          <w:lang w:val="es-ES_tradnl"/>
        </w:rPr>
        <w:t xml:space="preserve"> </w:t>
      </w:r>
      <w:r w:rsidR="007C625B" w:rsidRPr="00112454">
        <w:rPr>
          <w:i/>
          <w:iCs/>
          <w:sz w:val="24"/>
          <w:szCs w:val="24"/>
          <w:lang w:val="es-ES_tradnl"/>
        </w:rPr>
        <w:tab/>
      </w:r>
      <w:proofErr w:type="spellStart"/>
      <w:r w:rsidRPr="00112454">
        <w:rPr>
          <w:i/>
          <w:iCs/>
          <w:sz w:val="24"/>
          <w:szCs w:val="24"/>
          <w:lang w:val="es-ES_tradnl"/>
        </w:rPr>
        <w:t>Ibidem</w:t>
      </w:r>
      <w:proofErr w:type="spellEnd"/>
      <w:r w:rsidRPr="00112454">
        <w:rPr>
          <w:sz w:val="24"/>
          <w:szCs w:val="24"/>
          <w:lang w:val="es-ES_tradnl"/>
        </w:rPr>
        <w:t xml:space="preserve">. </w:t>
      </w:r>
    </w:p>
  </w:footnote>
  <w:footnote w:id="45">
    <w:p w14:paraId="411CE4E2"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i/>
          <w:iCs/>
          <w:sz w:val="24"/>
          <w:szCs w:val="24"/>
          <w:lang w:val="es-ES_tradnl"/>
        </w:rPr>
        <w:t xml:space="preserve"> </w:t>
      </w:r>
      <w:r w:rsidR="007C625B" w:rsidRPr="00112454">
        <w:rPr>
          <w:i/>
          <w:iCs/>
          <w:sz w:val="24"/>
          <w:szCs w:val="24"/>
          <w:lang w:val="es-ES_tradnl"/>
        </w:rPr>
        <w:tab/>
      </w:r>
      <w:proofErr w:type="spellStart"/>
      <w:r w:rsidRPr="00112454">
        <w:rPr>
          <w:i/>
          <w:iCs/>
          <w:sz w:val="24"/>
          <w:szCs w:val="24"/>
          <w:lang w:val="es-ES_tradnl"/>
        </w:rPr>
        <w:t>Ibidem</w:t>
      </w:r>
      <w:proofErr w:type="spellEnd"/>
      <w:r w:rsidRPr="00112454">
        <w:rPr>
          <w:sz w:val="24"/>
          <w:szCs w:val="24"/>
          <w:lang w:val="es-ES_tradnl"/>
        </w:rPr>
        <w:t>.</w:t>
      </w:r>
    </w:p>
  </w:footnote>
  <w:footnote w:id="46">
    <w:p w14:paraId="0C85814E"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i/>
          <w:iCs/>
          <w:sz w:val="24"/>
          <w:szCs w:val="24"/>
          <w:lang w:val="es-ES_tradnl"/>
        </w:rPr>
        <w:t xml:space="preserve"> </w:t>
      </w:r>
      <w:r w:rsidR="007C625B" w:rsidRPr="00112454">
        <w:rPr>
          <w:i/>
          <w:iCs/>
          <w:sz w:val="24"/>
          <w:szCs w:val="24"/>
          <w:lang w:val="es-ES_tradnl"/>
        </w:rPr>
        <w:tab/>
      </w:r>
      <w:proofErr w:type="spellStart"/>
      <w:r w:rsidRPr="00112454">
        <w:rPr>
          <w:i/>
          <w:iCs/>
          <w:sz w:val="24"/>
          <w:szCs w:val="24"/>
          <w:lang w:val="es-ES_tradnl"/>
        </w:rPr>
        <w:t>Ibidem</w:t>
      </w:r>
      <w:proofErr w:type="spellEnd"/>
      <w:r w:rsidRPr="00112454">
        <w:rPr>
          <w:sz w:val="24"/>
          <w:szCs w:val="24"/>
          <w:lang w:val="es-ES_tradnl"/>
        </w:rPr>
        <w:t>.</w:t>
      </w:r>
    </w:p>
  </w:footnote>
  <w:footnote w:id="47">
    <w:p w14:paraId="78BE4095"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i/>
          <w:iCs/>
          <w:sz w:val="24"/>
          <w:szCs w:val="24"/>
          <w:lang w:val="es-ES_tradnl"/>
        </w:rPr>
        <w:t xml:space="preserve"> </w:t>
      </w:r>
      <w:r w:rsidR="007C625B" w:rsidRPr="00112454">
        <w:rPr>
          <w:i/>
          <w:iCs/>
          <w:sz w:val="24"/>
          <w:szCs w:val="24"/>
          <w:lang w:val="es-ES_tradnl"/>
        </w:rPr>
        <w:tab/>
      </w:r>
      <w:proofErr w:type="spellStart"/>
      <w:r w:rsidRPr="00112454">
        <w:rPr>
          <w:i/>
          <w:iCs/>
          <w:sz w:val="24"/>
          <w:szCs w:val="24"/>
          <w:lang w:val="es-ES_tradnl"/>
        </w:rPr>
        <w:t>Ibidem</w:t>
      </w:r>
      <w:proofErr w:type="spellEnd"/>
      <w:r w:rsidRPr="00112454">
        <w:rPr>
          <w:sz w:val="24"/>
          <w:szCs w:val="24"/>
          <w:lang w:val="es-ES_tradnl"/>
        </w:rPr>
        <w:t>.</w:t>
      </w:r>
    </w:p>
  </w:footnote>
  <w:footnote w:id="48">
    <w:p w14:paraId="35C09DA0"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i/>
          <w:iCs/>
          <w:sz w:val="24"/>
          <w:szCs w:val="24"/>
          <w:lang w:val="es-ES_tradnl"/>
        </w:rPr>
        <w:t xml:space="preserve"> </w:t>
      </w:r>
      <w:r w:rsidR="007C625B" w:rsidRPr="00112454">
        <w:rPr>
          <w:i/>
          <w:iCs/>
          <w:sz w:val="24"/>
          <w:szCs w:val="24"/>
          <w:lang w:val="es-ES_tradnl"/>
        </w:rPr>
        <w:tab/>
      </w:r>
      <w:proofErr w:type="spellStart"/>
      <w:r w:rsidRPr="00112454">
        <w:rPr>
          <w:i/>
          <w:iCs/>
          <w:sz w:val="24"/>
          <w:szCs w:val="24"/>
          <w:lang w:val="es-ES_tradnl"/>
        </w:rPr>
        <w:t>Ibidem</w:t>
      </w:r>
      <w:proofErr w:type="spellEnd"/>
      <w:r w:rsidRPr="00112454">
        <w:rPr>
          <w:sz w:val="24"/>
          <w:szCs w:val="24"/>
          <w:lang w:val="es-ES_tradnl"/>
        </w:rPr>
        <w:t>.</w:t>
      </w:r>
    </w:p>
  </w:footnote>
  <w:footnote w:id="49">
    <w:p w14:paraId="396BC297"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Agencia Europea de Medio Ambiente, «Industrial </w:t>
      </w:r>
      <w:proofErr w:type="spellStart"/>
      <w:r w:rsidRPr="00112454">
        <w:rPr>
          <w:sz w:val="24"/>
          <w:szCs w:val="24"/>
          <w:lang w:val="es-ES_tradnl"/>
        </w:rPr>
        <w:t>pollutant</w:t>
      </w:r>
      <w:proofErr w:type="spellEnd"/>
      <w:r w:rsidRPr="00112454">
        <w:rPr>
          <w:sz w:val="24"/>
          <w:szCs w:val="24"/>
          <w:lang w:val="es-ES_tradnl"/>
        </w:rPr>
        <w:t xml:space="preserve"> </w:t>
      </w:r>
      <w:proofErr w:type="spellStart"/>
      <w:r w:rsidRPr="00112454">
        <w:rPr>
          <w:sz w:val="24"/>
          <w:szCs w:val="24"/>
          <w:lang w:val="es-ES_tradnl"/>
        </w:rPr>
        <w:t>releases</w:t>
      </w:r>
      <w:proofErr w:type="spellEnd"/>
      <w:r w:rsidRPr="00112454">
        <w:rPr>
          <w:sz w:val="24"/>
          <w:szCs w:val="24"/>
          <w:lang w:val="es-ES_tradnl"/>
        </w:rPr>
        <w:t xml:space="preserve"> to </w:t>
      </w:r>
      <w:proofErr w:type="spellStart"/>
      <w:r w:rsidRPr="00112454">
        <w:rPr>
          <w:sz w:val="24"/>
          <w:szCs w:val="24"/>
          <w:lang w:val="es-ES_tradnl"/>
        </w:rPr>
        <w:t>water</w:t>
      </w:r>
      <w:proofErr w:type="spellEnd"/>
      <w:r w:rsidRPr="00112454">
        <w:rPr>
          <w:sz w:val="24"/>
          <w:szCs w:val="24"/>
          <w:lang w:val="es-ES_tradnl"/>
        </w:rPr>
        <w:t xml:space="preserve"> in </w:t>
      </w:r>
      <w:proofErr w:type="spellStart"/>
      <w:r w:rsidRPr="00112454">
        <w:rPr>
          <w:sz w:val="24"/>
          <w:szCs w:val="24"/>
          <w:lang w:val="es-ES_tradnl"/>
        </w:rPr>
        <w:t>Europe</w:t>
      </w:r>
      <w:proofErr w:type="spellEnd"/>
      <w:r w:rsidRPr="00112454">
        <w:rPr>
          <w:sz w:val="24"/>
          <w:szCs w:val="24"/>
          <w:lang w:val="es-ES_tradnl"/>
        </w:rPr>
        <w:t xml:space="preserve">» (Emisiones de contaminantes industriales al agua en Europa), sitio web de la Agencia Europea de Medio Ambiente, 30 de mayo de 2024, </w:t>
      </w:r>
      <w:hyperlink r:id="rId24" w:history="1">
        <w:r w:rsidRPr="00112454">
          <w:rPr>
            <w:rStyle w:val="Hyperlink"/>
            <w:sz w:val="24"/>
            <w:szCs w:val="24"/>
            <w:lang w:val="es-ES_tradnl"/>
          </w:rPr>
          <w:t>https://www.eea.europa.eu/en/analysis/indicators/industrial-pollutant-releases-to-water</w:t>
        </w:r>
      </w:hyperlink>
      <w:r w:rsidRPr="00112454">
        <w:rPr>
          <w:sz w:val="24"/>
          <w:szCs w:val="24"/>
          <w:lang w:val="es-ES_tradnl"/>
        </w:rPr>
        <w:t>.</w:t>
      </w:r>
    </w:p>
  </w:footnote>
  <w:footnote w:id="50">
    <w:p w14:paraId="7614EEEC"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Directiva 2010/75/UE del Parlamento Europeo y del Consejo, de 24 de noviembre de 2010, sobre las emisiones industriales (prevención y control integrados de la contaminación) (DO L 334 de 17.12.2010, p. 17, ELI: </w:t>
      </w:r>
      <w:hyperlink r:id="rId25" w:history="1">
        <w:r w:rsidRPr="00112454">
          <w:rPr>
            <w:rStyle w:val="Hyperlink"/>
            <w:sz w:val="24"/>
            <w:szCs w:val="24"/>
            <w:lang w:val="es-ES_tradnl"/>
          </w:rPr>
          <w:t>http://data.europa.eu/eli/dir/2010/75/oj</w:t>
        </w:r>
      </w:hyperlink>
      <w:r w:rsidRPr="00112454">
        <w:rPr>
          <w:sz w:val="24"/>
          <w:szCs w:val="24"/>
          <w:lang w:val="es-ES_tradnl"/>
        </w:rPr>
        <w:t xml:space="preserve">). </w:t>
      </w:r>
    </w:p>
  </w:footnote>
  <w:footnote w:id="51">
    <w:p w14:paraId="1C1ECC4C"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Comisión Europea, «</w:t>
      </w:r>
      <w:proofErr w:type="spellStart"/>
      <w:r w:rsidRPr="00112454">
        <w:rPr>
          <w:sz w:val="24"/>
          <w:szCs w:val="24"/>
          <w:lang w:val="es-ES_tradnl"/>
        </w:rPr>
        <w:t>Nitrates</w:t>
      </w:r>
      <w:proofErr w:type="spellEnd"/>
      <w:r w:rsidRPr="00112454">
        <w:rPr>
          <w:sz w:val="24"/>
          <w:szCs w:val="24"/>
          <w:lang w:val="es-ES_tradnl"/>
        </w:rPr>
        <w:t xml:space="preserve">» (Nitratos), sitio web de la Comisión Europea, </w:t>
      </w:r>
      <w:hyperlink r:id="rId26" w:history="1">
        <w:r w:rsidRPr="00112454">
          <w:rPr>
            <w:rStyle w:val="Hyperlink"/>
            <w:sz w:val="24"/>
            <w:szCs w:val="24"/>
            <w:lang w:val="es-ES_tradnl"/>
          </w:rPr>
          <w:t>https://environment.ec.europa.eu/topics/water/nitrates_en#implementation</w:t>
        </w:r>
      </w:hyperlink>
      <w:r w:rsidRPr="00112454">
        <w:rPr>
          <w:sz w:val="24"/>
          <w:szCs w:val="24"/>
          <w:lang w:val="es-ES_tradnl"/>
        </w:rPr>
        <w:t>.</w:t>
      </w:r>
    </w:p>
  </w:footnote>
  <w:footnote w:id="52">
    <w:p w14:paraId="64903D20"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Agencia Europea de Medio Ambie</w:t>
      </w:r>
      <w:r w:rsidRPr="008A049A">
        <w:rPr>
          <w:sz w:val="24"/>
          <w:szCs w:val="24"/>
          <w:lang w:val="es-ES_tradnl"/>
        </w:rPr>
        <w:t>nte, «</w:t>
      </w:r>
      <w:proofErr w:type="spellStart"/>
      <w:r w:rsidRPr="008A049A">
        <w:rPr>
          <w:sz w:val="24"/>
          <w:szCs w:val="24"/>
          <w:lang w:val="es-ES_tradnl"/>
        </w:rPr>
        <w:t>Public</w:t>
      </w:r>
      <w:proofErr w:type="spellEnd"/>
      <w:r w:rsidRPr="008A049A">
        <w:rPr>
          <w:sz w:val="24"/>
          <w:szCs w:val="24"/>
          <w:lang w:val="es-ES_tradnl"/>
        </w:rPr>
        <w:t xml:space="preserve"> </w:t>
      </w:r>
      <w:proofErr w:type="spellStart"/>
      <w:r w:rsidRPr="008A049A">
        <w:rPr>
          <w:sz w:val="24"/>
          <w:szCs w:val="24"/>
          <w:lang w:val="es-ES_tradnl"/>
        </w:rPr>
        <w:t>exposure</w:t>
      </w:r>
      <w:proofErr w:type="spellEnd"/>
      <w:r w:rsidRPr="008A049A">
        <w:rPr>
          <w:sz w:val="24"/>
          <w:szCs w:val="24"/>
          <w:lang w:val="es-ES_tradnl"/>
        </w:rPr>
        <w:t xml:space="preserve"> to </w:t>
      </w:r>
      <w:proofErr w:type="spellStart"/>
      <w:r w:rsidRPr="008A049A">
        <w:rPr>
          <w:sz w:val="24"/>
          <w:szCs w:val="24"/>
          <w:lang w:val="es-ES_tradnl"/>
        </w:rPr>
        <w:t>widely</w:t>
      </w:r>
      <w:proofErr w:type="spellEnd"/>
      <w:r w:rsidRPr="008A049A">
        <w:rPr>
          <w:sz w:val="24"/>
          <w:szCs w:val="24"/>
          <w:lang w:val="es-ES_tradnl"/>
        </w:rPr>
        <w:t xml:space="preserve"> </w:t>
      </w:r>
      <w:proofErr w:type="spellStart"/>
      <w:r w:rsidRPr="008A049A">
        <w:rPr>
          <w:sz w:val="24"/>
          <w:szCs w:val="24"/>
          <w:lang w:val="es-ES_tradnl"/>
        </w:rPr>
        <w:t>used</w:t>
      </w:r>
      <w:proofErr w:type="spellEnd"/>
      <w:r w:rsidRPr="008A049A">
        <w:rPr>
          <w:sz w:val="24"/>
          <w:szCs w:val="24"/>
          <w:lang w:val="es-ES_tradnl"/>
        </w:rPr>
        <w:t xml:space="preserve"> </w:t>
      </w:r>
      <w:proofErr w:type="spellStart"/>
      <w:r w:rsidRPr="008A049A">
        <w:rPr>
          <w:sz w:val="24"/>
          <w:szCs w:val="24"/>
          <w:lang w:val="es-ES_tradnl"/>
        </w:rPr>
        <w:t>Bisphenol</w:t>
      </w:r>
      <w:proofErr w:type="spellEnd"/>
      <w:r w:rsidRPr="008A049A">
        <w:rPr>
          <w:sz w:val="24"/>
          <w:szCs w:val="24"/>
          <w:lang w:val="es-ES_tradnl"/>
        </w:rPr>
        <w:t xml:space="preserve"> A </w:t>
      </w:r>
      <w:proofErr w:type="spellStart"/>
      <w:r w:rsidRPr="008A049A">
        <w:rPr>
          <w:sz w:val="24"/>
          <w:szCs w:val="24"/>
          <w:lang w:val="es-ES_tradnl"/>
        </w:rPr>
        <w:t>exceeds</w:t>
      </w:r>
      <w:proofErr w:type="spellEnd"/>
      <w:r w:rsidRPr="008A049A">
        <w:rPr>
          <w:sz w:val="24"/>
          <w:szCs w:val="24"/>
          <w:lang w:val="es-ES_tradnl"/>
        </w:rPr>
        <w:t xml:space="preserve"> </w:t>
      </w:r>
      <w:proofErr w:type="spellStart"/>
      <w:r w:rsidRPr="008A049A">
        <w:rPr>
          <w:sz w:val="24"/>
          <w:szCs w:val="24"/>
          <w:lang w:val="es-ES_tradnl"/>
        </w:rPr>
        <w:t>acceptable</w:t>
      </w:r>
      <w:proofErr w:type="spellEnd"/>
      <w:r w:rsidRPr="008A049A">
        <w:rPr>
          <w:sz w:val="24"/>
          <w:szCs w:val="24"/>
          <w:lang w:val="es-ES_tradnl"/>
        </w:rPr>
        <w:t xml:space="preserve"> </w:t>
      </w:r>
      <w:proofErr w:type="spellStart"/>
      <w:r w:rsidRPr="008A049A">
        <w:rPr>
          <w:sz w:val="24"/>
          <w:szCs w:val="24"/>
          <w:lang w:val="es-ES_tradnl"/>
        </w:rPr>
        <w:t>health</w:t>
      </w:r>
      <w:proofErr w:type="spellEnd"/>
      <w:r w:rsidRPr="008A049A">
        <w:rPr>
          <w:sz w:val="24"/>
          <w:szCs w:val="24"/>
          <w:lang w:val="es-ES_tradnl"/>
        </w:rPr>
        <w:t xml:space="preserve"> safety </w:t>
      </w:r>
      <w:proofErr w:type="spellStart"/>
      <w:r w:rsidRPr="008A049A">
        <w:rPr>
          <w:sz w:val="24"/>
          <w:szCs w:val="24"/>
          <w:lang w:val="es-ES_tradnl"/>
        </w:rPr>
        <w:t>levels</w:t>
      </w:r>
      <w:proofErr w:type="spellEnd"/>
      <w:r w:rsidRPr="008A049A">
        <w:rPr>
          <w:sz w:val="24"/>
          <w:szCs w:val="24"/>
          <w:lang w:val="es-ES_tradnl"/>
        </w:rPr>
        <w:t>» (La exposición pública al bisfenol A, ampliamente utilizado, supera los niveles aceptables de seguridad sanitaria), sitio web de la Agencia Europea de Medio Ambiente,</w:t>
      </w:r>
      <w:r w:rsidRPr="00112454">
        <w:rPr>
          <w:sz w:val="24"/>
          <w:szCs w:val="24"/>
          <w:lang w:val="es-ES_tradnl"/>
        </w:rPr>
        <w:t xml:space="preserve"> 14 de septiembre de 2023, </w:t>
      </w:r>
      <w:hyperlink r:id="rId27" w:history="1">
        <w:r w:rsidRPr="00112454">
          <w:rPr>
            <w:rStyle w:val="Hyperlink"/>
            <w:sz w:val="24"/>
            <w:szCs w:val="24"/>
            <w:lang w:val="es-ES_tradnl"/>
          </w:rPr>
          <w:t>https://www.eea.europa.eu/en/newsroom/news/public-exposure-to-bisphenol-a</w:t>
        </w:r>
      </w:hyperlink>
      <w:r w:rsidRPr="00112454">
        <w:rPr>
          <w:sz w:val="24"/>
          <w:szCs w:val="24"/>
          <w:lang w:val="es-ES_tradnl"/>
        </w:rPr>
        <w:t>.</w:t>
      </w:r>
    </w:p>
  </w:footnote>
  <w:footnote w:id="53">
    <w:p w14:paraId="0C85D356" w14:textId="06D18BDE"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Agencia Europea de Medio Ambiente, «</w:t>
      </w:r>
      <w:proofErr w:type="spellStart"/>
      <w:r w:rsidRPr="00112454">
        <w:rPr>
          <w:sz w:val="24"/>
          <w:szCs w:val="24"/>
          <w:lang w:val="es-ES_tradnl"/>
        </w:rPr>
        <w:t>European</w:t>
      </w:r>
      <w:proofErr w:type="spellEnd"/>
      <w:r w:rsidRPr="00112454">
        <w:rPr>
          <w:sz w:val="24"/>
          <w:szCs w:val="24"/>
          <w:lang w:val="es-ES_tradnl"/>
        </w:rPr>
        <w:t xml:space="preserve"> </w:t>
      </w:r>
      <w:proofErr w:type="spellStart"/>
      <w:r w:rsidRPr="00112454">
        <w:rPr>
          <w:sz w:val="24"/>
          <w:szCs w:val="24"/>
          <w:lang w:val="es-ES_tradnl"/>
        </w:rPr>
        <w:t>Climate</w:t>
      </w:r>
      <w:proofErr w:type="spellEnd"/>
      <w:r w:rsidRPr="00112454">
        <w:rPr>
          <w:sz w:val="24"/>
          <w:szCs w:val="24"/>
          <w:lang w:val="es-ES_tradnl"/>
        </w:rPr>
        <w:t xml:space="preserve"> </w:t>
      </w:r>
      <w:proofErr w:type="spellStart"/>
      <w:r w:rsidRPr="00112454">
        <w:rPr>
          <w:sz w:val="24"/>
          <w:szCs w:val="24"/>
          <w:lang w:val="es-ES_tradnl"/>
        </w:rPr>
        <w:t>Risk</w:t>
      </w:r>
      <w:proofErr w:type="spellEnd"/>
      <w:r w:rsidRPr="00112454">
        <w:rPr>
          <w:sz w:val="24"/>
          <w:szCs w:val="24"/>
          <w:lang w:val="es-ES_tradnl"/>
        </w:rPr>
        <w:t xml:space="preserve"> </w:t>
      </w:r>
      <w:proofErr w:type="spellStart"/>
      <w:r w:rsidRPr="00112454">
        <w:rPr>
          <w:sz w:val="24"/>
          <w:szCs w:val="24"/>
          <w:lang w:val="es-ES_tradnl"/>
        </w:rPr>
        <w:t>Ass</w:t>
      </w:r>
      <w:r w:rsidRPr="008A049A">
        <w:rPr>
          <w:sz w:val="24"/>
          <w:szCs w:val="24"/>
          <w:lang w:val="es-ES_tradnl"/>
        </w:rPr>
        <w:t>essment</w:t>
      </w:r>
      <w:proofErr w:type="spellEnd"/>
      <w:r w:rsidRPr="008A049A">
        <w:rPr>
          <w:sz w:val="24"/>
          <w:szCs w:val="24"/>
          <w:lang w:val="es-ES_tradnl"/>
        </w:rPr>
        <w:t>» (Evaluación europea</w:t>
      </w:r>
      <w:r w:rsidR="007F550E" w:rsidRPr="00112454">
        <w:rPr>
          <w:sz w:val="24"/>
          <w:szCs w:val="24"/>
          <w:lang w:val="es-ES_tradnl"/>
        </w:rPr>
        <w:t xml:space="preserve"> del riesgo climático), informe 0</w:t>
      </w:r>
      <w:r w:rsidRPr="00112454">
        <w:rPr>
          <w:sz w:val="24"/>
          <w:szCs w:val="24"/>
          <w:lang w:val="es-ES_tradnl"/>
        </w:rPr>
        <w:t xml:space="preserve">1/2024 de la AEMA. </w:t>
      </w:r>
    </w:p>
  </w:footnote>
  <w:footnote w:id="54">
    <w:p w14:paraId="05095480"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proofErr w:type="spellStart"/>
      <w:r w:rsidRPr="00112454">
        <w:rPr>
          <w:sz w:val="24"/>
          <w:szCs w:val="24"/>
          <w:lang w:val="es-ES_tradnl"/>
        </w:rPr>
        <w:t>Cammalleri</w:t>
      </w:r>
      <w:proofErr w:type="spellEnd"/>
      <w:r w:rsidRPr="00112454">
        <w:rPr>
          <w:sz w:val="24"/>
          <w:szCs w:val="24"/>
          <w:lang w:val="es-ES_tradnl"/>
        </w:rPr>
        <w:t xml:space="preserve">, C. </w:t>
      </w:r>
      <w:r w:rsidRPr="008A049A">
        <w:rPr>
          <w:i/>
          <w:iCs/>
          <w:sz w:val="24"/>
          <w:szCs w:val="24"/>
          <w:lang w:val="es-ES_tradnl"/>
        </w:rPr>
        <w:t>et al</w:t>
      </w:r>
      <w:r w:rsidRPr="00112454">
        <w:rPr>
          <w:sz w:val="24"/>
          <w:szCs w:val="24"/>
          <w:lang w:val="es-ES_tradnl"/>
        </w:rPr>
        <w:t xml:space="preserve">., «Global </w:t>
      </w:r>
      <w:proofErr w:type="spellStart"/>
      <w:r w:rsidRPr="00112454">
        <w:rPr>
          <w:sz w:val="24"/>
          <w:szCs w:val="24"/>
          <w:lang w:val="es-ES_tradnl"/>
        </w:rPr>
        <w:t>warming</w:t>
      </w:r>
      <w:proofErr w:type="spellEnd"/>
      <w:r w:rsidRPr="00112454">
        <w:rPr>
          <w:sz w:val="24"/>
          <w:szCs w:val="24"/>
          <w:lang w:val="es-ES_tradnl"/>
        </w:rPr>
        <w:t xml:space="preserve"> and </w:t>
      </w:r>
      <w:proofErr w:type="spellStart"/>
      <w:r w:rsidRPr="00112454">
        <w:rPr>
          <w:sz w:val="24"/>
          <w:szCs w:val="24"/>
          <w:lang w:val="es-ES_tradnl"/>
        </w:rPr>
        <w:t>drought</w:t>
      </w:r>
      <w:proofErr w:type="spellEnd"/>
      <w:r w:rsidRPr="00112454">
        <w:rPr>
          <w:sz w:val="24"/>
          <w:szCs w:val="24"/>
          <w:lang w:val="es-ES_tradnl"/>
        </w:rPr>
        <w:t xml:space="preserve"> </w:t>
      </w:r>
      <w:proofErr w:type="spellStart"/>
      <w:r w:rsidRPr="00112454">
        <w:rPr>
          <w:sz w:val="24"/>
          <w:szCs w:val="24"/>
          <w:lang w:val="es-ES_tradnl"/>
        </w:rPr>
        <w:t>impacts</w:t>
      </w:r>
      <w:proofErr w:type="spellEnd"/>
      <w:r w:rsidRPr="00112454">
        <w:rPr>
          <w:sz w:val="24"/>
          <w:szCs w:val="24"/>
          <w:lang w:val="es-ES_tradnl"/>
        </w:rPr>
        <w:t xml:space="preserve"> in </w:t>
      </w:r>
      <w:proofErr w:type="spellStart"/>
      <w:r w:rsidRPr="00112454">
        <w:rPr>
          <w:sz w:val="24"/>
          <w:szCs w:val="24"/>
          <w:lang w:val="es-ES_tradnl"/>
        </w:rPr>
        <w:t>the</w:t>
      </w:r>
      <w:proofErr w:type="spellEnd"/>
      <w:r w:rsidRPr="00112454">
        <w:rPr>
          <w:sz w:val="24"/>
          <w:szCs w:val="24"/>
          <w:lang w:val="es-ES_tradnl"/>
        </w:rPr>
        <w:t xml:space="preserve"> EU» (Las consecuencias del calentamiento global y las sequías en la UE), Informe técnico del JRC, Oficina de Publicaciones de la Unión Europea, Luxemburgo.</w:t>
      </w:r>
    </w:p>
  </w:footnote>
  <w:footnote w:id="55">
    <w:p w14:paraId="51FB6633"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Informe 07/2024 de la AEMA. </w:t>
      </w:r>
    </w:p>
  </w:footnote>
  <w:footnote w:id="56">
    <w:p w14:paraId="348C991B"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proofErr w:type="spellStart"/>
      <w:r w:rsidRPr="00112454">
        <w:rPr>
          <w:sz w:val="24"/>
          <w:szCs w:val="24"/>
          <w:lang w:val="es-ES_tradnl"/>
        </w:rPr>
        <w:t>Feyen</w:t>
      </w:r>
      <w:proofErr w:type="spellEnd"/>
      <w:r w:rsidRPr="00112454">
        <w:rPr>
          <w:sz w:val="24"/>
          <w:szCs w:val="24"/>
          <w:lang w:val="es-ES_tradnl"/>
        </w:rPr>
        <w:t xml:space="preserve">, L. </w:t>
      </w:r>
      <w:r w:rsidRPr="008A049A">
        <w:rPr>
          <w:i/>
          <w:iCs/>
          <w:sz w:val="24"/>
          <w:szCs w:val="24"/>
          <w:lang w:val="es-ES_tradnl"/>
        </w:rPr>
        <w:t>et al</w:t>
      </w:r>
      <w:r w:rsidRPr="00112454">
        <w:rPr>
          <w:sz w:val="24"/>
          <w:szCs w:val="24"/>
          <w:lang w:val="es-ES_tradnl"/>
        </w:rPr>
        <w:t>. «</w:t>
      </w:r>
      <w:proofErr w:type="spellStart"/>
      <w:r w:rsidRPr="00112454">
        <w:rPr>
          <w:sz w:val="24"/>
          <w:szCs w:val="24"/>
          <w:lang w:val="es-ES_tradnl"/>
        </w:rPr>
        <w:t>Climate</w:t>
      </w:r>
      <w:proofErr w:type="spellEnd"/>
      <w:r w:rsidRPr="00112454">
        <w:rPr>
          <w:sz w:val="24"/>
          <w:szCs w:val="24"/>
          <w:lang w:val="es-ES_tradnl"/>
        </w:rPr>
        <w:t xml:space="preserve"> </w:t>
      </w:r>
      <w:proofErr w:type="spellStart"/>
      <w:r w:rsidRPr="00112454">
        <w:rPr>
          <w:sz w:val="24"/>
          <w:szCs w:val="24"/>
          <w:lang w:val="es-ES_tradnl"/>
        </w:rPr>
        <w:t>change</w:t>
      </w:r>
      <w:proofErr w:type="spellEnd"/>
      <w:r w:rsidRPr="00112454">
        <w:rPr>
          <w:sz w:val="24"/>
          <w:szCs w:val="24"/>
          <w:lang w:val="es-ES_tradnl"/>
        </w:rPr>
        <w:t xml:space="preserve"> </w:t>
      </w:r>
      <w:proofErr w:type="spellStart"/>
      <w:r w:rsidRPr="00112454">
        <w:rPr>
          <w:sz w:val="24"/>
          <w:szCs w:val="24"/>
          <w:lang w:val="es-ES_tradnl"/>
        </w:rPr>
        <w:t>impacts</w:t>
      </w:r>
      <w:proofErr w:type="spellEnd"/>
      <w:r w:rsidRPr="00112454">
        <w:rPr>
          <w:sz w:val="24"/>
          <w:szCs w:val="24"/>
          <w:lang w:val="es-ES_tradnl"/>
        </w:rPr>
        <w:t xml:space="preserve"> and </w:t>
      </w:r>
      <w:proofErr w:type="spellStart"/>
      <w:r w:rsidRPr="00112454">
        <w:rPr>
          <w:sz w:val="24"/>
          <w:szCs w:val="24"/>
          <w:lang w:val="es-ES_tradnl"/>
        </w:rPr>
        <w:t>adaptation</w:t>
      </w:r>
      <w:proofErr w:type="spellEnd"/>
      <w:r w:rsidRPr="00112454">
        <w:rPr>
          <w:sz w:val="24"/>
          <w:szCs w:val="24"/>
          <w:lang w:val="es-ES_tradnl"/>
        </w:rPr>
        <w:t xml:space="preserve"> in </w:t>
      </w:r>
      <w:proofErr w:type="spellStart"/>
      <w:r w:rsidRPr="00112454">
        <w:rPr>
          <w:sz w:val="24"/>
          <w:szCs w:val="24"/>
          <w:lang w:val="es-ES_tradnl"/>
        </w:rPr>
        <w:t>Europe</w:t>
      </w:r>
      <w:proofErr w:type="spellEnd"/>
      <w:r w:rsidRPr="00112454">
        <w:rPr>
          <w:sz w:val="24"/>
          <w:szCs w:val="24"/>
          <w:lang w:val="es-ES_tradnl"/>
        </w:rPr>
        <w:t xml:space="preserve">» (Repercusiones del cambio climático y adaptación en Europa), informe final PESETA IV del JRC, Oficina de Publicaciones de la Unión Europea, Luxemburgo. </w:t>
      </w:r>
    </w:p>
  </w:footnote>
  <w:footnote w:id="57">
    <w:p w14:paraId="10DA6DD7" w14:textId="6E2D6F93"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Agencia Europea de Medio Ambiente, «</w:t>
      </w:r>
      <w:proofErr w:type="spellStart"/>
      <w:r w:rsidRPr="00112454">
        <w:rPr>
          <w:sz w:val="24"/>
          <w:szCs w:val="24"/>
          <w:lang w:val="es-ES_tradnl"/>
        </w:rPr>
        <w:t>European</w:t>
      </w:r>
      <w:proofErr w:type="spellEnd"/>
      <w:r w:rsidRPr="00112454">
        <w:rPr>
          <w:sz w:val="24"/>
          <w:szCs w:val="24"/>
          <w:lang w:val="es-ES_tradnl"/>
        </w:rPr>
        <w:t xml:space="preserve"> </w:t>
      </w:r>
      <w:proofErr w:type="spellStart"/>
      <w:r w:rsidRPr="00112454">
        <w:rPr>
          <w:sz w:val="24"/>
          <w:szCs w:val="24"/>
          <w:lang w:val="es-ES_tradnl"/>
        </w:rPr>
        <w:t>Climate</w:t>
      </w:r>
      <w:proofErr w:type="spellEnd"/>
      <w:r w:rsidRPr="00112454">
        <w:rPr>
          <w:sz w:val="24"/>
          <w:szCs w:val="24"/>
          <w:lang w:val="es-ES_tradnl"/>
        </w:rPr>
        <w:t xml:space="preserve"> </w:t>
      </w:r>
      <w:proofErr w:type="spellStart"/>
      <w:r w:rsidRPr="00112454">
        <w:rPr>
          <w:sz w:val="24"/>
          <w:szCs w:val="24"/>
          <w:lang w:val="es-ES_tradnl"/>
        </w:rPr>
        <w:t>Risk</w:t>
      </w:r>
      <w:proofErr w:type="spellEnd"/>
      <w:r w:rsidRPr="00112454">
        <w:rPr>
          <w:sz w:val="24"/>
          <w:szCs w:val="24"/>
          <w:lang w:val="es-ES_tradnl"/>
        </w:rPr>
        <w:t xml:space="preserve"> </w:t>
      </w:r>
      <w:proofErr w:type="spellStart"/>
      <w:r w:rsidRPr="00112454">
        <w:rPr>
          <w:sz w:val="24"/>
          <w:szCs w:val="24"/>
          <w:lang w:val="es-ES_tradnl"/>
        </w:rPr>
        <w:t>Assessment</w:t>
      </w:r>
      <w:proofErr w:type="spellEnd"/>
      <w:r w:rsidRPr="00112454">
        <w:rPr>
          <w:sz w:val="24"/>
          <w:szCs w:val="24"/>
          <w:lang w:val="es-ES_tradnl"/>
        </w:rPr>
        <w:t>» (Evaluación europea del riesgo climático), informe </w:t>
      </w:r>
      <w:r w:rsidR="00573A83" w:rsidRPr="00112454">
        <w:rPr>
          <w:sz w:val="24"/>
          <w:szCs w:val="24"/>
          <w:lang w:val="es-ES_tradnl"/>
        </w:rPr>
        <w:t>0</w:t>
      </w:r>
      <w:r w:rsidRPr="00112454">
        <w:rPr>
          <w:sz w:val="24"/>
          <w:szCs w:val="24"/>
          <w:lang w:val="es-ES_tradnl"/>
        </w:rPr>
        <w:t>1/2024 de la AEMA.</w:t>
      </w:r>
    </w:p>
  </w:footnote>
  <w:footnote w:id="58">
    <w:p w14:paraId="26B47A18"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Oficina de las Naciones Unidas para la Reducción del Riesgo </w:t>
      </w:r>
      <w:r w:rsidRPr="008A049A">
        <w:rPr>
          <w:sz w:val="24"/>
          <w:szCs w:val="24"/>
          <w:lang w:val="es-ES_tradnl"/>
        </w:rPr>
        <w:t>de Desastres, «GAR Informe Especial sobre la Sequía 2021», Ginebra, 2021.</w:t>
      </w:r>
    </w:p>
  </w:footnote>
  <w:footnote w:id="59">
    <w:p w14:paraId="74BCABE7"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Conclusiones del Consejo, de 14 de octubre de 2024, sobre la desertificación, la degradación de las tierras y la sequía. </w:t>
      </w:r>
    </w:p>
  </w:footnote>
  <w:footnote w:id="60">
    <w:p w14:paraId="051BBE2C"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Informe 07/2024 de la AEMA. </w:t>
      </w:r>
    </w:p>
  </w:footnote>
  <w:footnote w:id="61">
    <w:p w14:paraId="145B5E33"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Directiva (UE) 2024/12</w:t>
      </w:r>
      <w:r w:rsidRPr="008A049A">
        <w:rPr>
          <w:sz w:val="24"/>
          <w:szCs w:val="24"/>
          <w:lang w:val="es-ES_tradnl"/>
        </w:rPr>
        <w:t xml:space="preserve">03 del Parlamento Europeo y del Consejo, de 11 de abril de 2024, relativa a la protección del medio ambiente mediante el Derecho penal y por la que se sustituyen las Directivas 2008/99/CE y 2009/123/CE (DO L, 2024/1203, 30.4.2024, ELI: </w:t>
      </w:r>
      <w:hyperlink r:id="rId28" w:history="1">
        <w:r w:rsidRPr="00112454">
          <w:rPr>
            <w:rStyle w:val="Hyperlink"/>
            <w:sz w:val="24"/>
            <w:szCs w:val="24"/>
            <w:lang w:val="es-ES_tradnl"/>
          </w:rPr>
          <w:t>http://data.europa.eu/eli/dir/2024/1203/oj</w:t>
        </w:r>
      </w:hyperlink>
      <w:r w:rsidRPr="00112454">
        <w:rPr>
          <w:sz w:val="24"/>
          <w:szCs w:val="24"/>
          <w:lang w:val="es-ES_tradnl"/>
        </w:rPr>
        <w:t xml:space="preserve">). </w:t>
      </w:r>
    </w:p>
  </w:footnote>
  <w:footnote w:id="62">
    <w:p w14:paraId="1039978F" w14:textId="77777777" w:rsidR="003D4C50" w:rsidRPr="008A049A"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Oficina Europea de Patentes, «</w:t>
      </w:r>
      <w:proofErr w:type="spellStart"/>
      <w:r w:rsidRPr="00112454">
        <w:rPr>
          <w:sz w:val="24"/>
          <w:szCs w:val="24"/>
          <w:lang w:val="es-ES_tradnl"/>
        </w:rPr>
        <w:t>Innovation</w:t>
      </w:r>
      <w:proofErr w:type="spellEnd"/>
      <w:r w:rsidRPr="00112454">
        <w:rPr>
          <w:sz w:val="24"/>
          <w:szCs w:val="24"/>
          <w:lang w:val="es-ES_tradnl"/>
        </w:rPr>
        <w:t xml:space="preserve"> in </w:t>
      </w:r>
      <w:proofErr w:type="spellStart"/>
      <w:r w:rsidRPr="00112454">
        <w:rPr>
          <w:sz w:val="24"/>
          <w:szCs w:val="24"/>
          <w:lang w:val="es-ES_tradnl"/>
        </w:rPr>
        <w:t>water-related</w:t>
      </w:r>
      <w:proofErr w:type="spellEnd"/>
      <w:r w:rsidRPr="00112454">
        <w:rPr>
          <w:sz w:val="24"/>
          <w:szCs w:val="24"/>
          <w:lang w:val="es-ES_tradnl"/>
        </w:rPr>
        <w:t xml:space="preserve"> </w:t>
      </w:r>
      <w:proofErr w:type="spellStart"/>
      <w:r w:rsidRPr="00112454">
        <w:rPr>
          <w:sz w:val="24"/>
          <w:szCs w:val="24"/>
          <w:lang w:val="es-ES_tradnl"/>
        </w:rPr>
        <w:t>technologies</w:t>
      </w:r>
      <w:proofErr w:type="spellEnd"/>
      <w:r w:rsidRPr="00112454">
        <w:rPr>
          <w:sz w:val="24"/>
          <w:szCs w:val="24"/>
          <w:lang w:val="es-ES_tradnl"/>
        </w:rPr>
        <w:t>» (Innovación en tecnologías relacionadas con el agua), Múnich, 2024.</w:t>
      </w:r>
    </w:p>
  </w:footnote>
  <w:footnote w:id="63">
    <w:p w14:paraId="0C77F1F0"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Informe 07/2024 de la </w:t>
      </w:r>
      <w:r w:rsidRPr="008A049A">
        <w:rPr>
          <w:sz w:val="24"/>
          <w:szCs w:val="24"/>
          <w:lang w:val="es-ES_tradnl"/>
        </w:rPr>
        <w:t xml:space="preserve">AEMA. </w:t>
      </w:r>
    </w:p>
  </w:footnote>
  <w:footnote w:id="64">
    <w:p w14:paraId="7089455F" w14:textId="77777777" w:rsidR="00120E5C" w:rsidRPr="00112454" w:rsidRDefault="00120E5C" w:rsidP="00110567">
      <w:pPr>
        <w:pStyle w:val="FootnoteText"/>
        <w:ind w:left="567" w:hanging="567"/>
        <w:rPr>
          <w:sz w:val="24"/>
          <w:szCs w:val="24"/>
          <w:lang w:val="es-ES"/>
        </w:rPr>
      </w:pPr>
      <w:r w:rsidRPr="00112454">
        <w:rPr>
          <w:rStyle w:val="FootnoteReference"/>
          <w:sz w:val="24"/>
          <w:szCs w:val="24"/>
        </w:rPr>
        <w:footnoteRef/>
      </w:r>
      <w:r w:rsidRPr="00112454">
        <w:rPr>
          <w:sz w:val="24"/>
          <w:szCs w:val="24"/>
          <w:lang w:val="es-ES"/>
        </w:rPr>
        <w:t xml:space="preserve"> </w:t>
      </w:r>
      <w:r w:rsidRPr="00112454">
        <w:rPr>
          <w:sz w:val="24"/>
          <w:szCs w:val="24"/>
          <w:lang w:val="es-ES"/>
        </w:rPr>
        <w:tab/>
        <w:t>Informe de ciencia para políticas del Centro Común de Investigación de la Comisión Europea, titulado «</w:t>
      </w:r>
      <w:proofErr w:type="spellStart"/>
      <w:r w:rsidRPr="00112454">
        <w:rPr>
          <w:sz w:val="24"/>
          <w:szCs w:val="24"/>
          <w:lang w:val="es-ES"/>
        </w:rPr>
        <w:t>Technical</w:t>
      </w:r>
      <w:proofErr w:type="spellEnd"/>
      <w:r w:rsidRPr="00112454">
        <w:rPr>
          <w:sz w:val="24"/>
          <w:szCs w:val="24"/>
          <w:lang w:val="es-ES"/>
        </w:rPr>
        <w:t xml:space="preserve"> </w:t>
      </w:r>
      <w:proofErr w:type="spellStart"/>
      <w:r w:rsidRPr="00112454">
        <w:rPr>
          <w:sz w:val="24"/>
          <w:szCs w:val="24"/>
          <w:lang w:val="es-ES"/>
        </w:rPr>
        <w:t>proposals</w:t>
      </w:r>
      <w:proofErr w:type="spellEnd"/>
      <w:r w:rsidRPr="00112454">
        <w:rPr>
          <w:sz w:val="24"/>
          <w:szCs w:val="24"/>
          <w:lang w:val="es-ES"/>
        </w:rPr>
        <w:t xml:space="preserve"> </w:t>
      </w:r>
      <w:proofErr w:type="spellStart"/>
      <w:r w:rsidRPr="00112454">
        <w:rPr>
          <w:sz w:val="24"/>
          <w:szCs w:val="24"/>
          <w:lang w:val="es-ES"/>
        </w:rPr>
        <w:t>for</w:t>
      </w:r>
      <w:proofErr w:type="spellEnd"/>
      <w:r w:rsidRPr="00112454">
        <w:rPr>
          <w:sz w:val="24"/>
          <w:szCs w:val="24"/>
          <w:lang w:val="es-ES"/>
        </w:rPr>
        <w:t xml:space="preserve"> </w:t>
      </w:r>
      <w:proofErr w:type="spellStart"/>
      <w:r w:rsidRPr="00112454">
        <w:rPr>
          <w:sz w:val="24"/>
          <w:szCs w:val="24"/>
          <w:lang w:val="es-ES"/>
        </w:rPr>
        <w:t>the</w:t>
      </w:r>
      <w:proofErr w:type="spellEnd"/>
      <w:r w:rsidRPr="00112454">
        <w:rPr>
          <w:sz w:val="24"/>
          <w:szCs w:val="24"/>
          <w:lang w:val="es-ES"/>
        </w:rPr>
        <w:t xml:space="preserve"> </w:t>
      </w:r>
      <w:proofErr w:type="spellStart"/>
      <w:r w:rsidRPr="00112454">
        <w:rPr>
          <w:sz w:val="24"/>
          <w:szCs w:val="24"/>
          <w:lang w:val="es-ES"/>
        </w:rPr>
        <w:t>safe</w:t>
      </w:r>
      <w:proofErr w:type="spellEnd"/>
      <w:r w:rsidRPr="00112454">
        <w:rPr>
          <w:sz w:val="24"/>
          <w:szCs w:val="24"/>
          <w:lang w:val="es-ES"/>
        </w:rPr>
        <w:t xml:space="preserve"> use of </w:t>
      </w:r>
      <w:proofErr w:type="spellStart"/>
      <w:r w:rsidRPr="00112454">
        <w:rPr>
          <w:sz w:val="24"/>
          <w:szCs w:val="24"/>
          <w:lang w:val="es-ES"/>
        </w:rPr>
        <w:t>processed</w:t>
      </w:r>
      <w:proofErr w:type="spellEnd"/>
      <w:r w:rsidRPr="00112454">
        <w:rPr>
          <w:sz w:val="24"/>
          <w:szCs w:val="24"/>
          <w:lang w:val="es-ES"/>
        </w:rPr>
        <w:t xml:space="preserve"> </w:t>
      </w:r>
      <w:proofErr w:type="spellStart"/>
      <w:r w:rsidRPr="00112454">
        <w:rPr>
          <w:sz w:val="24"/>
          <w:szCs w:val="24"/>
          <w:lang w:val="es-ES"/>
        </w:rPr>
        <w:t>manure</w:t>
      </w:r>
      <w:proofErr w:type="spellEnd"/>
      <w:r w:rsidRPr="00112454">
        <w:rPr>
          <w:sz w:val="24"/>
          <w:szCs w:val="24"/>
          <w:lang w:val="es-ES"/>
        </w:rPr>
        <w:t xml:space="preserve"> </w:t>
      </w:r>
      <w:proofErr w:type="spellStart"/>
      <w:r w:rsidRPr="00112454">
        <w:rPr>
          <w:sz w:val="24"/>
          <w:szCs w:val="24"/>
          <w:lang w:val="es-ES"/>
        </w:rPr>
        <w:t>over</w:t>
      </w:r>
      <w:proofErr w:type="spellEnd"/>
      <w:r w:rsidRPr="00112454">
        <w:rPr>
          <w:sz w:val="24"/>
          <w:szCs w:val="24"/>
          <w:lang w:val="es-ES"/>
        </w:rPr>
        <w:t xml:space="preserve"> </w:t>
      </w:r>
      <w:proofErr w:type="spellStart"/>
      <w:r w:rsidRPr="00112454">
        <w:rPr>
          <w:sz w:val="24"/>
          <w:szCs w:val="24"/>
          <w:lang w:val="es-ES"/>
        </w:rPr>
        <w:t>the</w:t>
      </w:r>
      <w:proofErr w:type="spellEnd"/>
      <w:r w:rsidRPr="00112454">
        <w:rPr>
          <w:sz w:val="24"/>
          <w:szCs w:val="24"/>
          <w:lang w:val="es-ES"/>
        </w:rPr>
        <w:t xml:space="preserve"> </w:t>
      </w:r>
      <w:proofErr w:type="spellStart"/>
      <w:r w:rsidRPr="00112454">
        <w:rPr>
          <w:sz w:val="24"/>
          <w:szCs w:val="24"/>
          <w:lang w:val="es-ES"/>
        </w:rPr>
        <w:t>threshold</w:t>
      </w:r>
      <w:proofErr w:type="spellEnd"/>
      <w:r w:rsidRPr="00112454">
        <w:rPr>
          <w:sz w:val="24"/>
          <w:szCs w:val="24"/>
          <w:lang w:val="es-ES"/>
        </w:rPr>
        <w:t xml:space="preserve"> </w:t>
      </w:r>
      <w:proofErr w:type="spellStart"/>
      <w:r w:rsidRPr="00112454">
        <w:rPr>
          <w:sz w:val="24"/>
          <w:szCs w:val="24"/>
          <w:lang w:val="es-ES"/>
        </w:rPr>
        <w:t>established</w:t>
      </w:r>
      <w:proofErr w:type="spellEnd"/>
      <w:r w:rsidRPr="00112454">
        <w:rPr>
          <w:sz w:val="24"/>
          <w:szCs w:val="24"/>
          <w:lang w:val="es-ES"/>
        </w:rPr>
        <w:t xml:space="preserve"> </w:t>
      </w:r>
      <w:proofErr w:type="spellStart"/>
      <w:r w:rsidRPr="00112454">
        <w:rPr>
          <w:sz w:val="24"/>
          <w:szCs w:val="24"/>
          <w:lang w:val="es-ES"/>
        </w:rPr>
        <w:t>for</w:t>
      </w:r>
      <w:proofErr w:type="spellEnd"/>
      <w:r w:rsidRPr="00112454">
        <w:rPr>
          <w:sz w:val="24"/>
          <w:szCs w:val="24"/>
          <w:lang w:val="es-ES"/>
        </w:rPr>
        <w:t xml:space="preserve"> </w:t>
      </w:r>
      <w:proofErr w:type="spellStart"/>
      <w:r w:rsidRPr="00112454">
        <w:rPr>
          <w:sz w:val="24"/>
          <w:szCs w:val="24"/>
          <w:lang w:val="es-ES"/>
        </w:rPr>
        <w:t>Nitrate</w:t>
      </w:r>
      <w:proofErr w:type="spellEnd"/>
      <w:r w:rsidRPr="00112454">
        <w:rPr>
          <w:sz w:val="24"/>
          <w:szCs w:val="24"/>
          <w:lang w:val="es-ES"/>
        </w:rPr>
        <w:t xml:space="preserve"> Vulnerable </w:t>
      </w:r>
      <w:proofErr w:type="spellStart"/>
      <w:r w:rsidRPr="00112454">
        <w:rPr>
          <w:sz w:val="24"/>
          <w:szCs w:val="24"/>
          <w:lang w:val="es-ES"/>
        </w:rPr>
        <w:t>Zones</w:t>
      </w:r>
      <w:proofErr w:type="spellEnd"/>
      <w:r w:rsidRPr="00112454">
        <w:rPr>
          <w:sz w:val="24"/>
          <w:szCs w:val="24"/>
          <w:lang w:val="es-ES"/>
        </w:rPr>
        <w:t xml:space="preserve"> </w:t>
      </w:r>
      <w:proofErr w:type="spellStart"/>
      <w:r w:rsidRPr="00112454">
        <w:rPr>
          <w:sz w:val="24"/>
          <w:szCs w:val="24"/>
          <w:lang w:val="es-ES"/>
        </w:rPr>
        <w:t>by</w:t>
      </w:r>
      <w:proofErr w:type="spellEnd"/>
      <w:r w:rsidRPr="00112454">
        <w:rPr>
          <w:sz w:val="24"/>
          <w:szCs w:val="24"/>
          <w:lang w:val="es-ES"/>
        </w:rPr>
        <w:t xml:space="preserve"> </w:t>
      </w:r>
      <w:proofErr w:type="spellStart"/>
      <w:r w:rsidRPr="00112454">
        <w:rPr>
          <w:sz w:val="24"/>
          <w:szCs w:val="24"/>
          <w:lang w:val="es-ES"/>
        </w:rPr>
        <w:t>the</w:t>
      </w:r>
      <w:proofErr w:type="spellEnd"/>
      <w:r w:rsidRPr="00112454">
        <w:rPr>
          <w:sz w:val="24"/>
          <w:szCs w:val="24"/>
          <w:lang w:val="es-ES"/>
        </w:rPr>
        <w:t xml:space="preserve"> </w:t>
      </w:r>
      <w:proofErr w:type="spellStart"/>
      <w:r w:rsidRPr="00112454">
        <w:rPr>
          <w:sz w:val="24"/>
          <w:szCs w:val="24"/>
          <w:lang w:val="es-ES"/>
        </w:rPr>
        <w:t>Nitrates</w:t>
      </w:r>
      <w:proofErr w:type="spellEnd"/>
      <w:r w:rsidRPr="00112454">
        <w:rPr>
          <w:sz w:val="24"/>
          <w:szCs w:val="24"/>
          <w:lang w:val="es-ES"/>
        </w:rPr>
        <w:t xml:space="preserve"> </w:t>
      </w:r>
      <w:proofErr w:type="spellStart"/>
      <w:r w:rsidRPr="00112454">
        <w:rPr>
          <w:sz w:val="24"/>
          <w:szCs w:val="24"/>
          <w:lang w:val="es-ES"/>
        </w:rPr>
        <w:t>Directive</w:t>
      </w:r>
      <w:proofErr w:type="spellEnd"/>
      <w:r w:rsidRPr="00112454">
        <w:rPr>
          <w:sz w:val="24"/>
          <w:szCs w:val="24"/>
          <w:lang w:val="es-ES"/>
        </w:rPr>
        <w:t xml:space="preserve"> (91/676/EEC)» [«Propuestas técnicas para el uso seguro del estiércol transformado por encima del umbral establecido para las zonas vulnerables a los nitratos por la Directiva sobre nitratos (91/676/CEE)», documento en inglés], 2020.</w:t>
      </w:r>
    </w:p>
  </w:footnote>
  <w:footnote w:id="65">
    <w:p w14:paraId="5D374EC3" w14:textId="77777777" w:rsidR="003D4C50" w:rsidRPr="00112454" w:rsidRDefault="003D4C50" w:rsidP="007C625B">
      <w:pPr>
        <w:pStyle w:val="FootnoteText"/>
        <w:keepN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Reglamento (CE) n.º 1935/2004 del Parlamento Europeo y del Consejo, de 27 de octubre de 2004, sobre los materiales y objetos destinados a entrar en contacto con alimentos y por el que se derogan las Directivas 80/590/CEE y 89/109/CEE (DO L 338 de 13.11.2004, p. 4, ELI: </w:t>
      </w:r>
      <w:hyperlink r:id="rId29" w:history="1">
        <w:r w:rsidRPr="00112454">
          <w:rPr>
            <w:rStyle w:val="Hyperlink"/>
            <w:sz w:val="24"/>
            <w:szCs w:val="24"/>
            <w:lang w:val="es-ES_tradnl"/>
          </w:rPr>
          <w:t>http://data.europa.eu/eli/reg/2004/1935/oj</w:t>
        </w:r>
      </w:hyperlink>
      <w:r w:rsidRPr="00112454">
        <w:rPr>
          <w:sz w:val="24"/>
          <w:szCs w:val="24"/>
          <w:lang w:val="es-ES_tradnl"/>
        </w:rPr>
        <w:t>).</w:t>
      </w:r>
    </w:p>
  </w:footnote>
  <w:footnote w:id="66">
    <w:p w14:paraId="2DD5756B"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Agencia Europea de Medio Ambiente, «Industrial </w:t>
      </w:r>
      <w:proofErr w:type="spellStart"/>
      <w:r w:rsidRPr="00112454">
        <w:rPr>
          <w:sz w:val="24"/>
          <w:szCs w:val="24"/>
          <w:lang w:val="es-ES_tradnl"/>
        </w:rPr>
        <w:t>pollutant</w:t>
      </w:r>
      <w:proofErr w:type="spellEnd"/>
      <w:r w:rsidRPr="00112454">
        <w:rPr>
          <w:sz w:val="24"/>
          <w:szCs w:val="24"/>
          <w:lang w:val="es-ES_tradnl"/>
        </w:rPr>
        <w:t xml:space="preserve"> </w:t>
      </w:r>
      <w:proofErr w:type="spellStart"/>
      <w:r w:rsidRPr="00112454">
        <w:rPr>
          <w:sz w:val="24"/>
          <w:szCs w:val="24"/>
          <w:lang w:val="es-ES_tradnl"/>
        </w:rPr>
        <w:t>release</w:t>
      </w:r>
      <w:proofErr w:type="spellEnd"/>
      <w:r w:rsidRPr="00112454">
        <w:rPr>
          <w:sz w:val="24"/>
          <w:szCs w:val="24"/>
          <w:lang w:val="es-ES_tradnl"/>
        </w:rPr>
        <w:t xml:space="preserve"> to </w:t>
      </w:r>
      <w:proofErr w:type="spellStart"/>
      <w:r w:rsidRPr="00112454">
        <w:rPr>
          <w:sz w:val="24"/>
          <w:szCs w:val="24"/>
          <w:lang w:val="es-ES_tradnl"/>
        </w:rPr>
        <w:t>water</w:t>
      </w:r>
      <w:proofErr w:type="spellEnd"/>
      <w:r w:rsidRPr="00112454">
        <w:rPr>
          <w:sz w:val="24"/>
          <w:szCs w:val="24"/>
          <w:lang w:val="es-ES_tradnl"/>
        </w:rPr>
        <w:t xml:space="preserve"> in </w:t>
      </w:r>
      <w:proofErr w:type="spellStart"/>
      <w:r w:rsidRPr="00112454">
        <w:rPr>
          <w:sz w:val="24"/>
          <w:szCs w:val="24"/>
          <w:lang w:val="es-ES_tradnl"/>
        </w:rPr>
        <w:t>Europe</w:t>
      </w:r>
      <w:proofErr w:type="spellEnd"/>
      <w:r w:rsidRPr="00112454">
        <w:rPr>
          <w:sz w:val="24"/>
          <w:szCs w:val="24"/>
          <w:lang w:val="es-ES_tradnl"/>
        </w:rPr>
        <w:t xml:space="preserve">», sitio web de la Agencia Europea de Medio Ambiente, 30 de mayo de 2024, </w:t>
      </w:r>
      <w:hyperlink r:id="rId30" w:history="1">
        <w:r w:rsidRPr="00112454">
          <w:rPr>
            <w:rStyle w:val="Hyperlink"/>
            <w:sz w:val="24"/>
            <w:szCs w:val="24"/>
            <w:lang w:val="es-ES_tradnl"/>
          </w:rPr>
          <w:t>https://www.eea.europa.eu/en/analysis/indicators/industrial-pollutant-releases-to-water</w:t>
        </w:r>
      </w:hyperlink>
      <w:r w:rsidRPr="00112454">
        <w:rPr>
          <w:sz w:val="24"/>
          <w:szCs w:val="24"/>
          <w:lang w:val="es-ES_tradnl"/>
        </w:rPr>
        <w:t>.</w:t>
      </w:r>
    </w:p>
  </w:footnote>
  <w:footnote w:id="67">
    <w:p w14:paraId="710656E5"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 xml:space="preserve">Oficina de las Naciones Unidas para la Reducción del Riesgo de Desastres, </w:t>
      </w:r>
      <w:proofErr w:type="spellStart"/>
      <w:r w:rsidRPr="00112454">
        <w:rPr>
          <w:i/>
          <w:sz w:val="24"/>
          <w:szCs w:val="24"/>
          <w:lang w:val="es-ES_tradnl"/>
        </w:rPr>
        <w:t>Build</w:t>
      </w:r>
      <w:proofErr w:type="spellEnd"/>
      <w:r w:rsidRPr="00112454">
        <w:rPr>
          <w:i/>
          <w:sz w:val="24"/>
          <w:szCs w:val="24"/>
          <w:lang w:val="es-ES_tradnl"/>
        </w:rPr>
        <w:t xml:space="preserve"> Back </w:t>
      </w:r>
      <w:proofErr w:type="spellStart"/>
      <w:r w:rsidRPr="00112454">
        <w:rPr>
          <w:i/>
          <w:sz w:val="24"/>
          <w:szCs w:val="24"/>
          <w:lang w:val="es-ES_tradnl"/>
        </w:rPr>
        <w:t>Better</w:t>
      </w:r>
      <w:proofErr w:type="spellEnd"/>
      <w:r w:rsidRPr="00112454">
        <w:rPr>
          <w:i/>
          <w:sz w:val="24"/>
          <w:szCs w:val="24"/>
          <w:lang w:val="es-ES_tradnl"/>
        </w:rPr>
        <w:t xml:space="preserve"> in </w:t>
      </w:r>
      <w:proofErr w:type="spellStart"/>
      <w:r w:rsidRPr="00112454">
        <w:rPr>
          <w:i/>
          <w:sz w:val="24"/>
          <w:szCs w:val="24"/>
          <w:lang w:val="es-ES_tradnl"/>
        </w:rPr>
        <w:t>recovery</w:t>
      </w:r>
      <w:proofErr w:type="spellEnd"/>
      <w:r w:rsidRPr="00112454">
        <w:rPr>
          <w:i/>
          <w:sz w:val="24"/>
          <w:szCs w:val="24"/>
          <w:lang w:val="es-ES_tradnl"/>
        </w:rPr>
        <w:t xml:space="preserve">, </w:t>
      </w:r>
      <w:proofErr w:type="spellStart"/>
      <w:r w:rsidRPr="00112454">
        <w:rPr>
          <w:i/>
          <w:sz w:val="24"/>
          <w:szCs w:val="24"/>
          <w:lang w:val="es-ES_tradnl"/>
        </w:rPr>
        <w:t>rehabilitation</w:t>
      </w:r>
      <w:proofErr w:type="spellEnd"/>
      <w:r w:rsidRPr="00112454">
        <w:rPr>
          <w:i/>
          <w:sz w:val="24"/>
          <w:szCs w:val="24"/>
          <w:lang w:val="es-ES_tradnl"/>
        </w:rPr>
        <w:t xml:space="preserve"> and </w:t>
      </w:r>
      <w:proofErr w:type="spellStart"/>
      <w:r w:rsidRPr="00112454">
        <w:rPr>
          <w:i/>
          <w:sz w:val="24"/>
          <w:szCs w:val="24"/>
          <w:lang w:val="es-ES_tradnl"/>
        </w:rPr>
        <w:t>reconstruction</w:t>
      </w:r>
      <w:proofErr w:type="spellEnd"/>
      <w:r w:rsidRPr="00112454">
        <w:rPr>
          <w:sz w:val="24"/>
          <w:szCs w:val="24"/>
          <w:lang w:val="es-ES_tradnl"/>
        </w:rPr>
        <w:t>, UNDRR, Ginebra, 2019.</w:t>
      </w:r>
    </w:p>
  </w:footnote>
  <w:footnote w:id="68">
    <w:p w14:paraId="1B4084E8" w14:textId="77777777" w:rsidR="003D4C50" w:rsidRPr="00112454" w:rsidRDefault="003D4C50" w:rsidP="007C625B">
      <w:pPr>
        <w:pStyle w:val="FootnoteText"/>
        <w:ind w:left="567" w:hanging="567"/>
        <w:rPr>
          <w:sz w:val="24"/>
          <w:szCs w:val="24"/>
          <w:lang w:val="es-ES_tradnl"/>
        </w:rPr>
      </w:pPr>
      <w:r w:rsidRPr="00112454">
        <w:rPr>
          <w:rStyle w:val="FootnoteReference"/>
          <w:sz w:val="24"/>
          <w:szCs w:val="24"/>
          <w:lang w:val="es-ES_tradnl"/>
        </w:rPr>
        <w:footnoteRef/>
      </w:r>
      <w:r w:rsidR="007C625B" w:rsidRPr="00112454">
        <w:rPr>
          <w:sz w:val="24"/>
          <w:szCs w:val="24"/>
          <w:lang w:val="es-ES_tradnl"/>
        </w:rPr>
        <w:t xml:space="preserve"> </w:t>
      </w:r>
      <w:r w:rsidR="007C625B" w:rsidRPr="00112454">
        <w:rPr>
          <w:sz w:val="24"/>
          <w:szCs w:val="24"/>
          <w:lang w:val="es-ES_tradnl"/>
        </w:rPr>
        <w:tab/>
      </w:r>
      <w:r w:rsidRPr="00112454">
        <w:rPr>
          <w:sz w:val="24"/>
          <w:szCs w:val="24"/>
          <w:lang w:val="es-ES_tradnl"/>
        </w:rPr>
        <w:t>Comisión Europea, «Stock-</w:t>
      </w:r>
      <w:proofErr w:type="spellStart"/>
      <w:r w:rsidRPr="00112454">
        <w:rPr>
          <w:sz w:val="24"/>
          <w:szCs w:val="24"/>
          <w:lang w:val="es-ES_tradnl"/>
        </w:rPr>
        <w:t>taking</w:t>
      </w:r>
      <w:proofErr w:type="spellEnd"/>
      <w:r w:rsidRPr="00112454">
        <w:rPr>
          <w:sz w:val="24"/>
          <w:szCs w:val="24"/>
          <w:lang w:val="es-ES_tradnl"/>
        </w:rPr>
        <w:t xml:space="preserve"> </w:t>
      </w:r>
      <w:proofErr w:type="spellStart"/>
      <w:r w:rsidRPr="00112454">
        <w:rPr>
          <w:sz w:val="24"/>
          <w:szCs w:val="24"/>
          <w:lang w:val="es-ES_tradnl"/>
        </w:rPr>
        <w:t>analysis</w:t>
      </w:r>
      <w:proofErr w:type="spellEnd"/>
      <w:r w:rsidRPr="00112454">
        <w:rPr>
          <w:sz w:val="24"/>
          <w:szCs w:val="24"/>
          <w:lang w:val="es-ES_tradnl"/>
        </w:rPr>
        <w:t xml:space="preserve"> and </w:t>
      </w:r>
      <w:proofErr w:type="spellStart"/>
      <w:r w:rsidRPr="00112454">
        <w:rPr>
          <w:sz w:val="24"/>
          <w:szCs w:val="24"/>
          <w:lang w:val="es-ES_tradnl"/>
        </w:rPr>
        <w:t>outlook</w:t>
      </w:r>
      <w:proofErr w:type="spellEnd"/>
      <w:r w:rsidRPr="00112454">
        <w:rPr>
          <w:sz w:val="24"/>
          <w:szCs w:val="24"/>
          <w:lang w:val="es-ES_tradnl"/>
        </w:rPr>
        <w:t xml:space="preserve"> of </w:t>
      </w:r>
      <w:proofErr w:type="spellStart"/>
      <w:r w:rsidRPr="00112454">
        <w:rPr>
          <w:sz w:val="24"/>
          <w:szCs w:val="24"/>
          <w:lang w:val="es-ES_tradnl"/>
        </w:rPr>
        <w:t>drought</w:t>
      </w:r>
      <w:proofErr w:type="spellEnd"/>
      <w:r w:rsidRPr="00112454">
        <w:rPr>
          <w:sz w:val="24"/>
          <w:szCs w:val="24"/>
          <w:lang w:val="es-ES_tradnl"/>
        </w:rPr>
        <w:t xml:space="preserve"> </w:t>
      </w:r>
      <w:proofErr w:type="spellStart"/>
      <w:r w:rsidRPr="00112454">
        <w:rPr>
          <w:sz w:val="24"/>
          <w:szCs w:val="24"/>
          <w:lang w:val="es-ES_tradnl"/>
        </w:rPr>
        <w:t>policies</w:t>
      </w:r>
      <w:proofErr w:type="spellEnd"/>
      <w:r w:rsidRPr="00112454">
        <w:rPr>
          <w:sz w:val="24"/>
          <w:szCs w:val="24"/>
          <w:lang w:val="es-ES_tradnl"/>
        </w:rPr>
        <w:t xml:space="preserve">, </w:t>
      </w:r>
      <w:proofErr w:type="spellStart"/>
      <w:r w:rsidRPr="00112454">
        <w:rPr>
          <w:sz w:val="24"/>
          <w:szCs w:val="24"/>
          <w:lang w:val="es-ES_tradnl"/>
        </w:rPr>
        <w:t>planning</w:t>
      </w:r>
      <w:proofErr w:type="spellEnd"/>
      <w:r w:rsidRPr="00112454">
        <w:rPr>
          <w:sz w:val="24"/>
          <w:szCs w:val="24"/>
          <w:lang w:val="es-ES_tradnl"/>
        </w:rPr>
        <w:t xml:space="preserve"> and </w:t>
      </w:r>
      <w:proofErr w:type="spellStart"/>
      <w:r w:rsidRPr="00112454">
        <w:rPr>
          <w:sz w:val="24"/>
          <w:szCs w:val="24"/>
          <w:lang w:val="es-ES_tradnl"/>
        </w:rPr>
        <w:t>management</w:t>
      </w:r>
      <w:proofErr w:type="spellEnd"/>
      <w:r w:rsidRPr="00112454">
        <w:rPr>
          <w:sz w:val="24"/>
          <w:szCs w:val="24"/>
          <w:lang w:val="es-ES_tradnl"/>
        </w:rPr>
        <w:t xml:space="preserve"> in EU </w:t>
      </w:r>
      <w:proofErr w:type="spellStart"/>
      <w:r w:rsidRPr="00112454">
        <w:rPr>
          <w:sz w:val="24"/>
          <w:szCs w:val="24"/>
          <w:lang w:val="es-ES_tradnl"/>
        </w:rPr>
        <w:t>Member</w:t>
      </w:r>
      <w:proofErr w:type="spellEnd"/>
      <w:r w:rsidRPr="00112454">
        <w:rPr>
          <w:sz w:val="24"/>
          <w:szCs w:val="24"/>
          <w:lang w:val="es-ES_tradnl"/>
        </w:rPr>
        <w:t xml:space="preserve"> </w:t>
      </w:r>
      <w:proofErr w:type="spellStart"/>
      <w:r w:rsidRPr="00112454">
        <w:rPr>
          <w:sz w:val="24"/>
          <w:szCs w:val="24"/>
          <w:lang w:val="es-ES_tradnl"/>
        </w:rPr>
        <w:t>States</w:t>
      </w:r>
      <w:proofErr w:type="spellEnd"/>
      <w:r w:rsidRPr="00112454">
        <w:rPr>
          <w:sz w:val="24"/>
          <w:szCs w:val="24"/>
          <w:lang w:val="es-ES_tradnl"/>
        </w:rPr>
        <w:t xml:space="preserve"> – Final </w:t>
      </w:r>
      <w:proofErr w:type="spellStart"/>
      <w:r w:rsidRPr="00112454">
        <w:rPr>
          <w:sz w:val="24"/>
          <w:szCs w:val="24"/>
          <w:lang w:val="es-ES_tradnl"/>
        </w:rPr>
        <w:t>Report</w:t>
      </w:r>
      <w:proofErr w:type="spellEnd"/>
      <w:r w:rsidRPr="00112454">
        <w:rPr>
          <w:sz w:val="24"/>
          <w:szCs w:val="24"/>
          <w:lang w:val="es-ES_tradnl"/>
        </w:rPr>
        <w:t>» (Análisis de balance y perspectivas de las políticas, la planificación y la gestión en materia de sequía en los Estados miembros de la UE – Informe final), Oficina de Publicaciones de la Unión Europea,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ES"/>
    <w:docVar w:name="dvnumam" w:val="96"/>
    <w:docVar w:name="dvpe" w:val="766.919"/>
    <w:docVar w:name="dvrapporteur" w:val="Ponente: "/>
    <w:docVar w:name="dvtitre" w:val="Resolución del Parlamento Europeo, de 7 de mayo de 2025, sobre la estrategia europea de resiliencia hídrica(2024/2104(INI))"/>
  </w:docVars>
  <w:rsids>
    <w:rsidRoot w:val="009444ED"/>
    <w:rsid w:val="00002272"/>
    <w:rsid w:val="00064002"/>
    <w:rsid w:val="000677B9"/>
    <w:rsid w:val="000831BA"/>
    <w:rsid w:val="000A42CC"/>
    <w:rsid w:val="000E7DD9"/>
    <w:rsid w:val="0010095E"/>
    <w:rsid w:val="00110567"/>
    <w:rsid w:val="00112454"/>
    <w:rsid w:val="00120E5C"/>
    <w:rsid w:val="00125B37"/>
    <w:rsid w:val="00187494"/>
    <w:rsid w:val="001F32AE"/>
    <w:rsid w:val="002767FF"/>
    <w:rsid w:val="002A761B"/>
    <w:rsid w:val="002B18FE"/>
    <w:rsid w:val="002B5493"/>
    <w:rsid w:val="00343214"/>
    <w:rsid w:val="00361C00"/>
    <w:rsid w:val="00394D09"/>
    <w:rsid w:val="00395FA1"/>
    <w:rsid w:val="003D4C50"/>
    <w:rsid w:val="003E15D4"/>
    <w:rsid w:val="003E62A4"/>
    <w:rsid w:val="00411CCE"/>
    <w:rsid w:val="0041666E"/>
    <w:rsid w:val="00421060"/>
    <w:rsid w:val="00471C19"/>
    <w:rsid w:val="004867E3"/>
    <w:rsid w:val="00494A28"/>
    <w:rsid w:val="004C0004"/>
    <w:rsid w:val="004C5D52"/>
    <w:rsid w:val="0050519A"/>
    <w:rsid w:val="005072A1"/>
    <w:rsid w:val="00514517"/>
    <w:rsid w:val="00542CF4"/>
    <w:rsid w:val="00545827"/>
    <w:rsid w:val="00560270"/>
    <w:rsid w:val="00573A83"/>
    <w:rsid w:val="005C2568"/>
    <w:rsid w:val="005F1B17"/>
    <w:rsid w:val="006037C0"/>
    <w:rsid w:val="00605244"/>
    <w:rsid w:val="006373F9"/>
    <w:rsid w:val="00644507"/>
    <w:rsid w:val="0065057F"/>
    <w:rsid w:val="006631B6"/>
    <w:rsid w:val="00680577"/>
    <w:rsid w:val="006F74FA"/>
    <w:rsid w:val="00726191"/>
    <w:rsid w:val="00731ADD"/>
    <w:rsid w:val="00734777"/>
    <w:rsid w:val="00747932"/>
    <w:rsid w:val="00751A4A"/>
    <w:rsid w:val="00756632"/>
    <w:rsid w:val="00762C74"/>
    <w:rsid w:val="00786EC0"/>
    <w:rsid w:val="007911A4"/>
    <w:rsid w:val="007C625B"/>
    <w:rsid w:val="007D1690"/>
    <w:rsid w:val="007E22AD"/>
    <w:rsid w:val="007F550E"/>
    <w:rsid w:val="00817416"/>
    <w:rsid w:val="00842779"/>
    <w:rsid w:val="00865F67"/>
    <w:rsid w:val="00881A7B"/>
    <w:rsid w:val="008840E5"/>
    <w:rsid w:val="00887B3E"/>
    <w:rsid w:val="008A049A"/>
    <w:rsid w:val="008C2AC6"/>
    <w:rsid w:val="00902EDD"/>
    <w:rsid w:val="00930C23"/>
    <w:rsid w:val="0093193B"/>
    <w:rsid w:val="009444ED"/>
    <w:rsid w:val="009509D8"/>
    <w:rsid w:val="00950B64"/>
    <w:rsid w:val="0097099A"/>
    <w:rsid w:val="00981893"/>
    <w:rsid w:val="00A1557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56E"/>
    <w:rsid w:val="00C61C0C"/>
    <w:rsid w:val="00C941CB"/>
    <w:rsid w:val="00CC2357"/>
    <w:rsid w:val="00CF071A"/>
    <w:rsid w:val="00D058B8"/>
    <w:rsid w:val="00D47691"/>
    <w:rsid w:val="00D56C11"/>
    <w:rsid w:val="00D834A0"/>
    <w:rsid w:val="00D872DF"/>
    <w:rsid w:val="00D91E21"/>
    <w:rsid w:val="00DA7FCD"/>
    <w:rsid w:val="00E33CDC"/>
    <w:rsid w:val="00E36591"/>
    <w:rsid w:val="00E365E1"/>
    <w:rsid w:val="00E820A4"/>
    <w:rsid w:val="00EB006A"/>
    <w:rsid w:val="00EB4772"/>
    <w:rsid w:val="00ED0B78"/>
    <w:rsid w:val="00ED169E"/>
    <w:rsid w:val="00ED4235"/>
    <w:rsid w:val="00F04346"/>
    <w:rsid w:val="00F075DC"/>
    <w:rsid w:val="00F149E9"/>
    <w:rsid w:val="00F5134D"/>
    <w:rsid w:val="00F74202"/>
    <w:rsid w:val="00F87713"/>
    <w:rsid w:val="00FB231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FF2B6"/>
  <w15:chartTrackingRefBased/>
  <w15:docId w15:val="{FB6783F0-5228-46BB-91DB-667AB431A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4C50"/>
    <w:pPr>
      <w:spacing w:before="480" w:after="240"/>
    </w:pPr>
    <w:rPr>
      <w:snapToGrid w:val="0"/>
      <w:lang w:eastAsia="en-US"/>
    </w:rPr>
  </w:style>
  <w:style w:type="paragraph" w:customStyle="1" w:styleId="NormalHanging12a">
    <w:name w:val="NormalHanging12a"/>
    <w:basedOn w:val="Normal"/>
    <w:link w:val="NormalHanging12aChar"/>
    <w:rsid w:val="003D4C50"/>
    <w:pPr>
      <w:widowControl/>
      <w:spacing w:after="240"/>
      <w:ind w:left="567" w:hanging="567"/>
    </w:pPr>
    <w:rPr>
      <w:snapToGrid w:val="0"/>
      <w:lang w:eastAsia="en-US"/>
    </w:rPr>
  </w:style>
  <w:style w:type="paragraph" w:customStyle="1" w:styleId="NormalCenter12a">
    <w:name w:val="NormalCenter12a"/>
    <w:basedOn w:val="Normal"/>
    <w:rsid w:val="003D4C50"/>
    <w:pPr>
      <w:spacing w:after="240"/>
      <w:jc w:val="center"/>
    </w:pPr>
  </w:style>
  <w:style w:type="character" w:customStyle="1" w:styleId="BoldItalic">
    <w:name w:val="BoldItalic"/>
    <w:uiPriority w:val="1"/>
    <w:rsid w:val="003D4C50"/>
    <w:rPr>
      <w:b/>
      <w:i/>
      <w:u w:val="none"/>
    </w:rPr>
  </w:style>
  <w:style w:type="character" w:customStyle="1" w:styleId="Italic">
    <w:name w:val="Italic"/>
    <w:uiPriority w:val="1"/>
    <w:rsid w:val="003D4C50"/>
    <w:rPr>
      <w:i/>
    </w:rPr>
  </w:style>
  <w:style w:type="paragraph" w:customStyle="1" w:styleId="Normal12a24b">
    <w:name w:val="Normal12a24b"/>
    <w:basedOn w:val="Normal"/>
    <w:rsid w:val="003D4C50"/>
    <w:pPr>
      <w:spacing w:before="360" w:after="240"/>
    </w:pPr>
    <w:rPr>
      <w:snapToGrid w:val="0"/>
      <w:lang w:eastAsia="en-US"/>
    </w:rPr>
  </w:style>
  <w:style w:type="character" w:styleId="Hyperlink">
    <w:name w:val="Hyperlink"/>
    <w:basedOn w:val="DefaultParagraphFont"/>
    <w:uiPriority w:val="99"/>
    <w:rsid w:val="003D4C50"/>
    <w:rPr>
      <w:color w:val="0000FF"/>
      <w:u w:val="single"/>
    </w:rPr>
  </w:style>
  <w:style w:type="character" w:customStyle="1" w:styleId="NormalHanging12aChar">
    <w:name w:val="NormalHanging12a Char"/>
    <w:basedOn w:val="DefaultParagraphFont"/>
    <w:link w:val="NormalHanging12a"/>
    <w:rsid w:val="003D4C50"/>
    <w:rPr>
      <w:snapToGrid w:val="0"/>
      <w:sz w:val="24"/>
      <w:lang w:val="es-ES_tradnl" w:eastAsia="en-US"/>
    </w:rPr>
  </w:style>
  <w:style w:type="paragraph" w:styleId="BalloonText">
    <w:name w:val="Balloon Text"/>
    <w:basedOn w:val="Normal"/>
    <w:link w:val="BalloonTextChar"/>
    <w:rsid w:val="0065057F"/>
    <w:rPr>
      <w:rFonts w:ascii="Segoe UI" w:hAnsi="Segoe UI" w:cs="Segoe UI"/>
      <w:sz w:val="18"/>
      <w:szCs w:val="18"/>
    </w:rPr>
  </w:style>
  <w:style w:type="character" w:customStyle="1" w:styleId="BalloonTextChar">
    <w:name w:val="Balloon Text Char"/>
    <w:basedOn w:val="DefaultParagraphFont"/>
    <w:link w:val="BalloonText"/>
    <w:rsid w:val="0065057F"/>
    <w:rPr>
      <w:rFonts w:ascii="Segoe UI" w:hAnsi="Segoe UI" w:cs="Segoe UI"/>
      <w:sz w:val="18"/>
      <w:szCs w:val="18"/>
      <w:lang w:val="es-ES_tradnl"/>
    </w:rPr>
  </w:style>
  <w:style w:type="character" w:styleId="CommentReference">
    <w:name w:val="annotation reference"/>
    <w:basedOn w:val="DefaultParagraphFont"/>
    <w:rsid w:val="00120E5C"/>
    <w:rPr>
      <w:sz w:val="16"/>
      <w:szCs w:val="16"/>
    </w:rPr>
  </w:style>
  <w:style w:type="paragraph" w:styleId="CommentText">
    <w:name w:val="annotation text"/>
    <w:basedOn w:val="Normal"/>
    <w:link w:val="CommentTextChar"/>
    <w:rsid w:val="00120E5C"/>
    <w:rPr>
      <w:sz w:val="20"/>
    </w:rPr>
  </w:style>
  <w:style w:type="character" w:customStyle="1" w:styleId="CommentTextChar">
    <w:name w:val="Comment Text Char"/>
    <w:basedOn w:val="DefaultParagraphFont"/>
    <w:link w:val="CommentText"/>
    <w:rsid w:val="00120E5C"/>
    <w:rPr>
      <w:lang w:val="es-ES_tradnl"/>
    </w:rPr>
  </w:style>
  <w:style w:type="paragraph" w:styleId="CommentSubject">
    <w:name w:val="annotation subject"/>
    <w:basedOn w:val="CommentText"/>
    <w:next w:val="CommentText"/>
    <w:link w:val="CommentSubjectChar"/>
    <w:rsid w:val="00120E5C"/>
    <w:rPr>
      <w:b/>
      <w:bCs/>
    </w:rPr>
  </w:style>
  <w:style w:type="character" w:customStyle="1" w:styleId="CommentSubjectChar">
    <w:name w:val="Comment Subject Char"/>
    <w:basedOn w:val="CommentTextChar"/>
    <w:link w:val="CommentSubject"/>
    <w:rsid w:val="00120E5C"/>
    <w:rPr>
      <w:b/>
      <w:bCs/>
      <w:lang w:val="es-ES_tradnl"/>
    </w:rPr>
  </w:style>
  <w:style w:type="character" w:styleId="FollowedHyperlink">
    <w:name w:val="FollowedHyperlink"/>
    <w:basedOn w:val="DefaultParagraphFont"/>
    <w:rsid w:val="00E33C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66307-90D4-46EF-BDA7-402BAE6F2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19572</Words>
  <Characters>103433</Characters>
  <Application>Microsoft Office Word</Application>
  <DocSecurity>0</DocSecurity>
  <Lines>861</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2025-06-06T10:05:00Z</dcterms:created>
  <dcterms:modified xsi:type="dcterms:W3CDTF">2025-06-06T10:05:00Z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P10_TA(2025)0091_</vt:lpwstr>
  </property>
  <property fmtid="{D5CDD505-2E9C-101B-9397-08002B2CF9AE}" pid="4" name="&lt;Type&gt;">
    <vt:lpwstr>RR</vt:lpwstr>
  </property>
</Properties>
</file>