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1546" w14:paraId="149C4190" w14:textId="77777777" w:rsidTr="0010095E">
        <w:trPr>
          <w:trHeight w:hRule="exact" w:val="1418"/>
        </w:trPr>
        <w:tc>
          <w:tcPr>
            <w:tcW w:w="6804" w:type="dxa"/>
            <w:shd w:val="clear" w:color="auto" w:fill="auto"/>
            <w:vAlign w:val="center"/>
          </w:tcPr>
          <w:p w14:paraId="7AC13C81" w14:textId="77777777" w:rsidR="00751A4A" w:rsidRPr="00A81546" w:rsidRDefault="00240E3C" w:rsidP="0010095E">
            <w:pPr>
              <w:pStyle w:val="EPName"/>
            </w:pPr>
            <w:r w:rsidRPr="00A81546">
              <w:t>Parlamento Europeo</w:t>
            </w:r>
          </w:p>
          <w:p w14:paraId="623B1D51" w14:textId="77777777" w:rsidR="00751A4A" w:rsidRPr="00A81546" w:rsidRDefault="005F1B17" w:rsidP="005F1B17">
            <w:pPr>
              <w:pStyle w:val="EPTerm"/>
              <w:rPr>
                <w:rStyle w:val="HideTWBExt"/>
                <w:noProof w:val="0"/>
                <w:vanish w:val="0"/>
                <w:color w:val="auto"/>
              </w:rPr>
            </w:pPr>
            <w:r w:rsidRPr="00A81546">
              <w:t>2024</w:t>
            </w:r>
            <w:r w:rsidR="00817416" w:rsidRPr="00A81546">
              <w:t>-202</w:t>
            </w:r>
            <w:r w:rsidRPr="00A81546">
              <w:t>9</w:t>
            </w:r>
          </w:p>
        </w:tc>
        <w:tc>
          <w:tcPr>
            <w:tcW w:w="2268" w:type="dxa"/>
            <w:shd w:val="clear" w:color="auto" w:fill="auto"/>
          </w:tcPr>
          <w:p w14:paraId="10E0A164" w14:textId="77777777" w:rsidR="00751A4A" w:rsidRPr="00A81546" w:rsidRDefault="00187494" w:rsidP="0010095E">
            <w:pPr>
              <w:pStyle w:val="EPLogo"/>
            </w:pPr>
            <w:r w:rsidRPr="00A81546">
              <w:rPr>
                <w:noProof/>
                <w:lang w:val="en-GB"/>
              </w:rPr>
              <w:drawing>
                <wp:inline distT="0" distB="0" distL="0" distR="0" wp14:anchorId="40C4F2A5" wp14:editId="5E9D75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BE8AF" w14:textId="77777777" w:rsidR="00D058B8" w:rsidRPr="00A81546" w:rsidRDefault="00D058B8" w:rsidP="004C5D52">
      <w:pPr>
        <w:pStyle w:val="LineTop"/>
      </w:pPr>
    </w:p>
    <w:p w14:paraId="176A6455" w14:textId="77777777" w:rsidR="00680577" w:rsidRPr="00A81546" w:rsidRDefault="00240E3C" w:rsidP="00680577">
      <w:pPr>
        <w:pStyle w:val="EPBodyTA1"/>
      </w:pPr>
      <w:r w:rsidRPr="00A81546">
        <w:t>TEXTOS APROBADOS</w:t>
      </w:r>
    </w:p>
    <w:p w14:paraId="6797D3CA" w14:textId="77777777" w:rsidR="00D058B8" w:rsidRPr="00A81546" w:rsidRDefault="00D058B8" w:rsidP="00D058B8">
      <w:pPr>
        <w:pStyle w:val="LineBottom"/>
      </w:pPr>
    </w:p>
    <w:p w14:paraId="46A4CE17" w14:textId="66F9E68E" w:rsidR="00240E3C" w:rsidRPr="00A81546" w:rsidRDefault="00240E3C" w:rsidP="00240E3C">
      <w:pPr>
        <w:pStyle w:val="ATHeading1"/>
      </w:pPr>
      <w:bookmarkStart w:id="0" w:name="TANumber"/>
      <w:r w:rsidRPr="00A81546">
        <w:t>P10_TA(2025)00</w:t>
      </w:r>
      <w:r w:rsidR="00CF19BF" w:rsidRPr="00A81546">
        <w:t>92</w:t>
      </w:r>
      <w:bookmarkEnd w:id="0"/>
    </w:p>
    <w:p w14:paraId="3B831CCD" w14:textId="77777777" w:rsidR="00240E3C" w:rsidRPr="00A81546" w:rsidRDefault="00240E3C" w:rsidP="00240E3C">
      <w:pPr>
        <w:pStyle w:val="ATHeading2"/>
      </w:pPr>
      <w:bookmarkStart w:id="1" w:name="title"/>
      <w:r w:rsidRPr="00A81546">
        <w:t>Informes de 2023 y 2024 sobre Turquía</w:t>
      </w:r>
      <w:bookmarkEnd w:id="1"/>
    </w:p>
    <w:p w14:paraId="2FF4B326" w14:textId="77777777" w:rsidR="00240E3C" w:rsidRPr="00A81546" w:rsidRDefault="00240E3C" w:rsidP="00240E3C">
      <w:pPr>
        <w:rPr>
          <w:i/>
          <w:vanish/>
        </w:rPr>
      </w:pPr>
      <w:r w:rsidRPr="00A81546">
        <w:rPr>
          <w:i/>
        </w:rPr>
        <w:fldChar w:fldCharType="begin"/>
      </w:r>
      <w:r w:rsidRPr="00A81546">
        <w:rPr>
          <w:i/>
        </w:rPr>
        <w:instrText xml:space="preserve"> TC"(</w:instrText>
      </w:r>
      <w:bookmarkStart w:id="2" w:name="DocNumber"/>
      <w:r w:rsidRPr="00A81546">
        <w:rPr>
          <w:i/>
        </w:rPr>
        <w:instrText>A10-0067/2025</w:instrText>
      </w:r>
      <w:bookmarkEnd w:id="2"/>
      <w:r w:rsidRPr="00A81546">
        <w:rPr>
          <w:i/>
        </w:rPr>
        <w:instrText xml:space="preserve"> - Ponente: Nacho Sánchez Amor)"\l3 \n&gt; \* MERGEFORMAT </w:instrText>
      </w:r>
      <w:r w:rsidRPr="00A81546">
        <w:rPr>
          <w:i/>
        </w:rPr>
        <w:fldChar w:fldCharType="end"/>
      </w:r>
    </w:p>
    <w:p w14:paraId="59898801" w14:textId="77777777" w:rsidR="00240E3C" w:rsidRPr="00A81546" w:rsidRDefault="00240E3C" w:rsidP="00240E3C">
      <w:pPr>
        <w:rPr>
          <w:vanish/>
        </w:rPr>
      </w:pPr>
      <w:bookmarkStart w:id="3" w:name="Commission"/>
      <w:r w:rsidRPr="00A81546">
        <w:rPr>
          <w:vanish/>
        </w:rPr>
        <w:t>Comisión de Asuntos Exteriores</w:t>
      </w:r>
      <w:bookmarkEnd w:id="3"/>
    </w:p>
    <w:p w14:paraId="0C3367FB" w14:textId="77777777" w:rsidR="00240E3C" w:rsidRPr="00A81546" w:rsidRDefault="00240E3C" w:rsidP="00240E3C">
      <w:pPr>
        <w:rPr>
          <w:vanish/>
        </w:rPr>
      </w:pPr>
      <w:bookmarkStart w:id="4" w:name="PE"/>
      <w:r w:rsidRPr="00A81546">
        <w:rPr>
          <w:vanish/>
        </w:rPr>
        <w:t>PE767.988</w:t>
      </w:r>
      <w:bookmarkEnd w:id="4"/>
    </w:p>
    <w:p w14:paraId="2B28C4F4" w14:textId="77777777" w:rsidR="00240E3C" w:rsidRPr="00A81546" w:rsidRDefault="00240E3C" w:rsidP="00240E3C">
      <w:pPr>
        <w:pStyle w:val="ATHeading3"/>
      </w:pPr>
      <w:bookmarkStart w:id="5" w:name="Sujet"/>
      <w:r w:rsidRPr="00A81546">
        <w:t>Resolución del Parlamento Europeo, de 7 de mayo de 2025, sobre los Informes de 2023 y 2024 de la Comisión sobre Turquía</w:t>
      </w:r>
      <w:bookmarkEnd w:id="5"/>
      <w:r w:rsidRPr="00A81546">
        <w:t xml:space="preserve"> </w:t>
      </w:r>
      <w:bookmarkStart w:id="6" w:name="References"/>
      <w:r w:rsidRPr="00A81546">
        <w:t>(2025/2023(INI))</w:t>
      </w:r>
      <w:bookmarkEnd w:id="6"/>
    </w:p>
    <w:p w14:paraId="56188407" w14:textId="77777777" w:rsidR="00C77AFB" w:rsidRPr="00A81546" w:rsidRDefault="00C77AFB" w:rsidP="00C77AFB">
      <w:pPr>
        <w:pStyle w:val="EPComma"/>
      </w:pPr>
      <w:r w:rsidRPr="00A81546">
        <w:rPr>
          <w:i/>
        </w:rPr>
        <w:t>El Parlamento Europeo</w:t>
      </w:r>
      <w:r w:rsidRPr="00A81546">
        <w:t>,</w:t>
      </w:r>
      <w:bookmarkStart w:id="7" w:name="_GoBack"/>
      <w:bookmarkEnd w:id="7"/>
    </w:p>
    <w:p w14:paraId="058DF403" w14:textId="77777777" w:rsidR="00C77AFB" w:rsidRPr="00A81546" w:rsidRDefault="00C77AFB" w:rsidP="00C77AFB">
      <w:pPr>
        <w:pStyle w:val="NormalHanging12a"/>
      </w:pPr>
      <w:r w:rsidRPr="00A81546">
        <w:t>–</w:t>
      </w:r>
      <w:r w:rsidRPr="00A81546">
        <w:tab/>
        <w:t>Vistas las Conclusiones del Consejo Europeo de 17 y 18 de abril de 2024, de 30 de junio de 2023, de 23 de junio de 2022, de 24 de junio de 2021 y de 12 de diciembre de 2019, y todas las conclusiones previas pertinentes del Consejo y del Consejo Europeo,</w:t>
      </w:r>
    </w:p>
    <w:p w14:paraId="31D6C70C" w14:textId="77777777" w:rsidR="00C77AFB" w:rsidRPr="00A81546" w:rsidRDefault="00C77AFB" w:rsidP="00C77AFB">
      <w:pPr>
        <w:pStyle w:val="NormalHanging12a"/>
      </w:pPr>
      <w:r w:rsidRPr="00A81546">
        <w:t>–</w:t>
      </w:r>
      <w:r w:rsidRPr="00A81546">
        <w:tab/>
        <w:t>Vista la pertenencia de Turquía al Consejo de Europa y a la OTAN,</w:t>
      </w:r>
    </w:p>
    <w:p w14:paraId="179ED46E" w14:textId="77777777" w:rsidR="00C77AFB" w:rsidRPr="00A81546" w:rsidRDefault="00C77AFB" w:rsidP="00C77AFB">
      <w:pPr>
        <w:pStyle w:val="NormalHanging12a"/>
        <w:rPr>
          <w:szCs w:val="24"/>
        </w:rPr>
      </w:pPr>
      <w:r w:rsidRPr="00A81546">
        <w:t>–</w:t>
      </w:r>
      <w:r w:rsidRPr="00A81546">
        <w:tab/>
        <w:t>Visto el Acuerdo entre la Unión Europea y la República de Turquía sobre readmisión de residentes ilegales</w:t>
      </w:r>
      <w:r w:rsidRPr="00A81546">
        <w:rPr>
          <w:rStyle w:val="FootnoteReference"/>
        </w:rPr>
        <w:footnoteReference w:id="1"/>
      </w:r>
      <w:r w:rsidRPr="00A81546">
        <w:t xml:space="preserve"> (Acuerdo de readmisión UE</w:t>
      </w:r>
      <w:r w:rsidRPr="00A81546">
        <w:noBreakHyphen/>
        <w:t>Turquía),</w:t>
      </w:r>
    </w:p>
    <w:p w14:paraId="434834DC" w14:textId="77777777" w:rsidR="00C77AFB" w:rsidRPr="00A81546" w:rsidRDefault="00C77AFB" w:rsidP="00C77AFB">
      <w:pPr>
        <w:pStyle w:val="NormalHanging12a"/>
      </w:pPr>
      <w:r w:rsidRPr="00A81546">
        <w:t>–</w:t>
      </w:r>
      <w:r w:rsidRPr="00A81546">
        <w:tab/>
        <w:t>Vista la Declaración de los miembros del Consejo Europeo, de 25 de marzo de 2021, sobre Turquía,</w:t>
      </w:r>
    </w:p>
    <w:p w14:paraId="4420BEE7" w14:textId="77777777" w:rsidR="00C77AFB" w:rsidRPr="00A81546" w:rsidRDefault="00C77AFB" w:rsidP="00C77AFB">
      <w:pPr>
        <w:pStyle w:val="NormalHanging12a"/>
      </w:pPr>
      <w:r w:rsidRPr="00A81546">
        <w:t>–</w:t>
      </w:r>
      <w:r w:rsidRPr="00A81546">
        <w:tab/>
        <w:t>Vistas las «Declaraciones UE-Turquía» de 18 de marzo de 2016 y 29 de noviembre de 2015,</w:t>
      </w:r>
    </w:p>
    <w:p w14:paraId="37487BBC" w14:textId="77777777" w:rsidR="00C77AFB" w:rsidRPr="00A81546" w:rsidRDefault="00C77AFB" w:rsidP="00C77AFB">
      <w:pPr>
        <w:pStyle w:val="NormalHanging12a"/>
      </w:pPr>
      <w:r w:rsidRPr="00A81546">
        <w:t>–</w:t>
      </w:r>
      <w:r w:rsidRPr="00A81546">
        <w:tab/>
        <w:t>Visto el «marco de negociación con Turquía» de 3 de octubre de 2005,</w:t>
      </w:r>
    </w:p>
    <w:p w14:paraId="72BFB0A3" w14:textId="77777777" w:rsidR="00C77AFB" w:rsidRPr="00A81546" w:rsidRDefault="00C77AFB" w:rsidP="00C77AFB">
      <w:pPr>
        <w:pStyle w:val="NormalHanging12a"/>
      </w:pPr>
      <w:r w:rsidRPr="00A81546">
        <w:t>–</w:t>
      </w:r>
      <w:r w:rsidRPr="00A81546">
        <w:tab/>
        <w:t>Vistas la Declaración de la Comunidad Europea y de sus Estados miembros, de 21 de septiembre de 2005, a raíz de la declaración realizada por Turquía tras firmar el Protocolo adicional al Acuerdo de Ankara el 29 de julio de 2005,</w:t>
      </w:r>
    </w:p>
    <w:p w14:paraId="3EE85926" w14:textId="77777777" w:rsidR="00C77AFB" w:rsidRPr="00A81546" w:rsidRDefault="00C77AFB" w:rsidP="00C77AFB">
      <w:pPr>
        <w:pStyle w:val="NormalHanging12a"/>
      </w:pPr>
      <w:r w:rsidRPr="00A81546">
        <w:t>–</w:t>
      </w:r>
      <w:r w:rsidRPr="00A81546">
        <w:tab/>
        <w:t>Vistas las Conclusiones del Consejo de diciembre de 2006 y marzo de 2020 y las Conclusiones de la Presidencia del Consejo Europeo de Copenhague celebrado los días 21 y 22 de junio de 1993, también conocidas como criterios de Copenhague,</w:t>
      </w:r>
    </w:p>
    <w:p w14:paraId="72B0CB10" w14:textId="77777777" w:rsidR="00C77AFB" w:rsidRPr="00A81546" w:rsidRDefault="00C77AFB" w:rsidP="00C77AFB">
      <w:pPr>
        <w:pStyle w:val="NormalHanging12a"/>
      </w:pPr>
      <w:r w:rsidRPr="00A81546">
        <w:t>–</w:t>
      </w:r>
      <w:r w:rsidRPr="00A81546">
        <w:tab/>
        <w:t xml:space="preserve">Vistas las Conclusiones del Consejo, de 17 de diciembre de 2024 y de 12 de diciembre </w:t>
      </w:r>
      <w:r w:rsidRPr="00A81546">
        <w:lastRenderedPageBreak/>
        <w:t>de 2023, sobre la ampliación,</w:t>
      </w:r>
    </w:p>
    <w:p w14:paraId="036B10DD" w14:textId="77777777" w:rsidR="00C77AFB" w:rsidRPr="00A81546" w:rsidRDefault="00C77AFB" w:rsidP="00C77AFB">
      <w:pPr>
        <w:pStyle w:val="NormalHanging12a"/>
      </w:pPr>
      <w:r w:rsidRPr="00A81546">
        <w:t>–</w:t>
      </w:r>
      <w:r w:rsidRPr="00A81546">
        <w:tab/>
        <w:t>Vistos el Derecho internacional del mar y la Convención de las Naciones Unidas sobre el Derecho del Mar (CNUDM),</w:t>
      </w:r>
    </w:p>
    <w:p w14:paraId="3D729F10" w14:textId="77777777" w:rsidR="00C77AFB" w:rsidRPr="00A81546" w:rsidRDefault="00C77AFB" w:rsidP="00C77AFB">
      <w:pPr>
        <w:pStyle w:val="NormalHanging12a"/>
      </w:pPr>
      <w:r w:rsidRPr="00A81546">
        <w:t>–</w:t>
      </w:r>
      <w:r w:rsidRPr="00A81546">
        <w:tab/>
        <w:t>Vistos la Comunicación de la Comisión, de 30 de octubre de 2024, sobre la política de ampliación de la UE (COM(2024)0690) y el Informe de 2024 sobre Turquía que la acompaña (SWD(2024)0696),</w:t>
      </w:r>
    </w:p>
    <w:p w14:paraId="714D0C2A" w14:textId="77777777" w:rsidR="00C77AFB" w:rsidRPr="00A81546" w:rsidRDefault="00C77AFB" w:rsidP="00C77AFB">
      <w:pPr>
        <w:pStyle w:val="NormalHanging12a"/>
        <w:rPr>
          <w:szCs w:val="24"/>
          <w:shd w:val="clear" w:color="auto" w:fill="FFFFFF"/>
        </w:rPr>
      </w:pPr>
      <w:r w:rsidRPr="00A81546">
        <w:t>–</w:t>
      </w:r>
      <w:r w:rsidRPr="00A81546">
        <w:tab/>
        <w:t>Vistos la Comunicación de la Comisión, de 8 de noviembre de 2023, sobre la política de ampliación de la UE (COM(2023)0690) y el Informe de 2023 sobre Turquía que la acompaña (SWD(2023)0696),</w:t>
      </w:r>
    </w:p>
    <w:p w14:paraId="33D8A1EB" w14:textId="77777777" w:rsidR="00C77AFB" w:rsidRPr="00A81546" w:rsidRDefault="00C77AFB" w:rsidP="00C77AFB">
      <w:pPr>
        <w:pStyle w:val="NormalHanging12a"/>
      </w:pPr>
      <w:r w:rsidRPr="00A81546">
        <w:t>–</w:t>
      </w:r>
      <w:r w:rsidRPr="00A81546">
        <w:tab/>
        <w:t>Visto el Informe Especial n.º 06/2024 del Tribunal de Cuentas Europeo, de 24 de abril de 2024, titulado «El Mecanismo para los refugiados en Turquía: Si bien es beneficioso para los refugiados y las comunidades de acogida, su impacto y sostenibilidad todavía no están garantizados»,</w:t>
      </w:r>
    </w:p>
    <w:p w14:paraId="18C87530" w14:textId="77777777" w:rsidR="00C77AFB" w:rsidRPr="00A81546" w:rsidRDefault="00C77AFB" w:rsidP="00C77AFB">
      <w:pPr>
        <w:pStyle w:val="NormalHanging12a"/>
      </w:pPr>
      <w:r w:rsidRPr="00A81546">
        <w:t>–</w:t>
      </w:r>
      <w:r w:rsidRPr="00A81546">
        <w:tab/>
        <w:t>Vistas las Comunicaciones conjuntas de la Comisión y del alto representante de la Unión para Asuntos Exteriores y Política de Seguridad al Consejo Europeo, de 29 de noviembre de 2023 (JOIN(2023)0050) y de 22 de marzo de 2021 (JOIN(2021)0008), tituladas «Situación de las relaciones políticas, económicas y comerciales entre la UE y Turquía»,</w:t>
      </w:r>
    </w:p>
    <w:p w14:paraId="5D446A7B" w14:textId="77777777" w:rsidR="00C77AFB" w:rsidRPr="00A81546" w:rsidRDefault="00C77AFB" w:rsidP="00C77AFB">
      <w:pPr>
        <w:pStyle w:val="NormalHanging12a"/>
      </w:pPr>
      <w:r w:rsidRPr="00A81546">
        <w:t>–</w:t>
      </w:r>
      <w:r w:rsidRPr="00A81546">
        <w:tab/>
        <w:t>Vista la Comunicación de la Comisión, de 19 de diciembre de 2024, titulada «Octavo informe anual sobre el Mecanismo para los Refugiados en Turquía» (COM(2024)0593),</w:t>
      </w:r>
    </w:p>
    <w:p w14:paraId="24B5EBCB" w14:textId="77777777" w:rsidR="00C77AFB" w:rsidRPr="00A81546" w:rsidRDefault="00C77AFB" w:rsidP="00C77AFB">
      <w:pPr>
        <w:pStyle w:val="NormalHanging12a"/>
        <w:rPr>
          <w:szCs w:val="24"/>
        </w:rPr>
      </w:pPr>
      <w:r w:rsidRPr="00A81546">
        <w:t>–</w:t>
      </w:r>
      <w:r w:rsidRPr="00A81546">
        <w:tab/>
        <w:t>Vistos los principios fundamentales del Derecho internacional y la Carta de las Naciones Unidas, los acuerdos de alto nivel de 1977 y de 1979 entre los dirigentes de ambas comunidades, así como las resoluciones pertinentes del Consejo de Seguridad de las Naciones Unidas sobre Chipre, incluida la Resolución 186 (1964), de 4 de marzo de 1964, que reafirma la soberanía de la República de Chipre, la Resolución 550 (1984), de 11 de mayo de 1984, sobre las acciones secesionistas en Chipre, la Resolución 789 (1992), de 25 de noviembre de 1992, y la Resolución 2537 (2020), sobre la Fuerza de las Naciones Unidas para el Mantenimiento de la Paz en Chipre (UNFICYP),</w:t>
      </w:r>
    </w:p>
    <w:p w14:paraId="72238EEE" w14:textId="77777777" w:rsidR="00C77AFB" w:rsidRPr="00A81546" w:rsidRDefault="00C77AFB" w:rsidP="00C77AFB">
      <w:pPr>
        <w:pStyle w:val="NormalHanging12a"/>
      </w:pPr>
      <w:r w:rsidRPr="00A81546">
        <w:t>–</w:t>
      </w:r>
      <w:r w:rsidRPr="00A81546">
        <w:tab/>
        <w:t>Vistos el artículo 46 del Convenio Europeo de Derechos Humanos (CEDH), que establece que las partes contratantes se comprometen a acatar las sentencias definitivas del Tribunal Europeo de Derechos Humanos (TEDH) en los litigios en que sean partes, y la consiguiente obligación de Turquía de ejecutar todas las sentencias del TEDH,</w:t>
      </w:r>
    </w:p>
    <w:p w14:paraId="592F258A" w14:textId="77777777" w:rsidR="00C77AFB" w:rsidRPr="00A81546" w:rsidRDefault="00C77AFB" w:rsidP="00C77AFB">
      <w:pPr>
        <w:pStyle w:val="NormalHanging12a"/>
      </w:pPr>
      <w:r w:rsidRPr="00A81546">
        <w:t>–</w:t>
      </w:r>
      <w:r w:rsidRPr="00A81546">
        <w:tab/>
        <w:t>Vistas las resoluciones pertinentes del Comité de Ministros del Consejo de Europa,</w:t>
      </w:r>
    </w:p>
    <w:p w14:paraId="00BFFA53" w14:textId="77777777" w:rsidR="00C77AFB" w:rsidRPr="00A81546" w:rsidRDefault="00C77AFB" w:rsidP="00C77AFB">
      <w:pPr>
        <w:pStyle w:val="NormalHanging12a"/>
        <w:rPr>
          <w:szCs w:val="24"/>
        </w:rPr>
      </w:pPr>
      <w:r w:rsidRPr="00A81546">
        <w:t>–</w:t>
      </w:r>
      <w:r w:rsidRPr="00A81546">
        <w:tab/>
        <w:t>Visto el informe «Freedom in the World» (Libertad en el mundo) de 2025 publicado por Freedom House,</w:t>
      </w:r>
    </w:p>
    <w:p w14:paraId="5FF2F7CD" w14:textId="77777777" w:rsidR="00C77AFB" w:rsidRPr="00A81546" w:rsidRDefault="00C77AFB" w:rsidP="00C77AFB">
      <w:pPr>
        <w:pStyle w:val="NormalHanging12a"/>
      </w:pPr>
      <w:r w:rsidRPr="00A81546">
        <w:t>–</w:t>
      </w:r>
      <w:r w:rsidRPr="00A81546">
        <w:tab/>
        <w:t>Vista la Clasificación Mundial de la Libertad de Prensa de 2024, publicada por Reporteros sin Fronteras,</w:t>
      </w:r>
    </w:p>
    <w:p w14:paraId="07194F6A" w14:textId="77777777" w:rsidR="00C77AFB" w:rsidRPr="00A81546" w:rsidRDefault="00C77AFB" w:rsidP="00C77AFB">
      <w:pPr>
        <w:pStyle w:val="NormalHanging12a"/>
      </w:pPr>
      <w:r w:rsidRPr="00A81546">
        <w:t>–</w:t>
      </w:r>
      <w:r w:rsidRPr="00A81546">
        <w:tab/>
        <w:t>Visto el informe sobre estadísticas de prisiones de enero de 2025 publicado por la Asociación de la Sociedad Civil en el Sistema Penal (CISST, por sus siglas en inglés) y el perfil específico de Turquía en 2024 publicado por Prison Insider,</w:t>
      </w:r>
    </w:p>
    <w:p w14:paraId="71084F93" w14:textId="77777777" w:rsidR="00C77AFB" w:rsidRPr="00A81546" w:rsidRDefault="00C77AFB" w:rsidP="00C77AFB">
      <w:pPr>
        <w:pStyle w:val="NormalHanging12a"/>
      </w:pPr>
      <w:r w:rsidRPr="00A81546">
        <w:lastRenderedPageBreak/>
        <w:t>–</w:t>
      </w:r>
      <w:r w:rsidRPr="00A81546">
        <w:tab/>
        <w:t>Visto el Informe mundial sobre la brecha de género de 2024, publicado por el Foro Económico Mundial,</w:t>
      </w:r>
    </w:p>
    <w:p w14:paraId="66E1B1D6" w14:textId="77777777" w:rsidR="00C77AFB" w:rsidRPr="00A81546" w:rsidRDefault="00C77AFB" w:rsidP="00C77AFB">
      <w:pPr>
        <w:pStyle w:val="NormalHanging12a"/>
        <w:rPr>
          <w:szCs w:val="24"/>
        </w:rPr>
      </w:pPr>
      <w:r w:rsidRPr="00A81546">
        <w:t>–</w:t>
      </w:r>
      <w:r w:rsidRPr="00A81546">
        <w:tab/>
        <w:t>Vistos los recientes informes de la plataforma «Detendremos el feminicidio» (Kadın Cinayetlerini Durduracağız Platformu),</w:t>
      </w:r>
    </w:p>
    <w:p w14:paraId="7B704D42" w14:textId="77777777" w:rsidR="00C77AFB" w:rsidRPr="00A81546" w:rsidRDefault="00C77AFB" w:rsidP="00C77AFB">
      <w:pPr>
        <w:pStyle w:val="NormalHanging12a"/>
      </w:pPr>
      <w:r w:rsidRPr="00A81546">
        <w:t>–</w:t>
      </w:r>
      <w:r w:rsidRPr="00A81546">
        <w:tab/>
        <w:t>Vistas la declaración de la Unesco sobre Santa Sofía, de 10 de julio de 2020, y las decisiones pertinentes del Comité del Patrimonio Mundial de la Unesco, es decir, la 44 COM 7B.58 (2021) y la 45 COM 7B.58 (2023), adoptadas en sus 44.º y 45.º períodos de sesiones, respectivamente,</w:t>
      </w:r>
    </w:p>
    <w:p w14:paraId="1E50DA1C" w14:textId="77777777" w:rsidR="00C77AFB" w:rsidRPr="00A81546" w:rsidRDefault="00C77AFB" w:rsidP="00C77AFB">
      <w:pPr>
        <w:pStyle w:val="NormalHanging12a"/>
      </w:pPr>
      <w:r w:rsidRPr="00A81546">
        <w:t>–</w:t>
      </w:r>
      <w:r w:rsidRPr="00A81546">
        <w:tab/>
        <w:t>Vistas sus Resoluciones anteriores sobre Turquía, en concreto las de 13 de septiembre de 2023 sobre el Informe de 2022 de la Comisión sobre Turquía</w:t>
      </w:r>
      <w:r w:rsidRPr="00A81546">
        <w:rPr>
          <w:rStyle w:val="FootnoteReference"/>
          <w:color w:val="000000"/>
        </w:rPr>
        <w:footnoteReference w:id="2"/>
      </w:r>
      <w:r w:rsidRPr="00A81546">
        <w:t>, de 7 de junio de 2022 sobre el Informe de 2021 de la Comisión sobre Turquía</w:t>
      </w:r>
      <w:r w:rsidRPr="00A81546">
        <w:rPr>
          <w:rStyle w:val="FootnoteReference"/>
          <w:color w:val="000000"/>
        </w:rPr>
        <w:footnoteReference w:id="3"/>
      </w:r>
      <w:r w:rsidRPr="00A81546">
        <w:t>, y de 26 de noviembre de 2020 sobre la escalada de tensiones en Varosha tras las acciones ilegales de Turquía y la necesidad urgente de reanudar las conversaciones</w:t>
      </w:r>
      <w:r w:rsidRPr="00A81546">
        <w:rPr>
          <w:rStyle w:val="FootnoteReference"/>
          <w:color w:val="000000"/>
        </w:rPr>
        <w:footnoteReference w:id="4"/>
      </w:r>
      <w:r w:rsidRPr="00A81546">
        <w:t>,</w:t>
      </w:r>
    </w:p>
    <w:p w14:paraId="1ECC24D6" w14:textId="77777777" w:rsidR="00C77AFB" w:rsidRPr="00A81546" w:rsidRDefault="00C77AFB" w:rsidP="00C77AFB">
      <w:pPr>
        <w:pStyle w:val="NormalHanging12a"/>
      </w:pPr>
      <w:r w:rsidRPr="00A81546">
        <w:t>–</w:t>
      </w:r>
      <w:r w:rsidRPr="00A81546">
        <w:tab/>
        <w:t>Vista su Resolución de 29 de febrero de 2024 sobre la profundización de la integración de la Unión con vistas a la futura ampliación</w:t>
      </w:r>
      <w:r w:rsidRPr="00A81546">
        <w:rPr>
          <w:rStyle w:val="FootnoteReference"/>
        </w:rPr>
        <w:footnoteReference w:id="5"/>
      </w:r>
      <w:r w:rsidRPr="00A81546">
        <w:t>,</w:t>
      </w:r>
    </w:p>
    <w:p w14:paraId="18ADF638" w14:textId="77777777" w:rsidR="00C77AFB" w:rsidRPr="00A81546" w:rsidRDefault="00C77AFB" w:rsidP="00C77AFB">
      <w:pPr>
        <w:pStyle w:val="NormalHanging12a"/>
      </w:pPr>
      <w:r w:rsidRPr="00A81546">
        <w:t>–</w:t>
      </w:r>
      <w:r w:rsidRPr="00A81546">
        <w:tab/>
        <w:t>Vista su Resolución, de 15 de abril de 2015, sobre el centenario del genocidio armenio</w:t>
      </w:r>
      <w:r w:rsidRPr="00A81546">
        <w:rPr>
          <w:rStyle w:val="FootnoteReference"/>
        </w:rPr>
        <w:footnoteReference w:id="6"/>
      </w:r>
      <w:r w:rsidRPr="00A81546">
        <w:t>,</w:t>
      </w:r>
    </w:p>
    <w:p w14:paraId="64CB78F7" w14:textId="77777777" w:rsidR="00C77AFB" w:rsidRPr="00A81546" w:rsidRDefault="00C77AFB" w:rsidP="00C77AFB">
      <w:pPr>
        <w:pStyle w:val="NormalHanging12a"/>
      </w:pPr>
      <w:r w:rsidRPr="00A81546">
        <w:t>–</w:t>
      </w:r>
      <w:r w:rsidRPr="00A81546">
        <w:tab/>
        <w:t>Vistas sus Resoluciones, de 5 de mayo de 2022 sobre el caso de Osman Kavala en Turquía</w:t>
      </w:r>
      <w:r w:rsidRPr="00A81546">
        <w:rPr>
          <w:rStyle w:val="FootnoteReference"/>
          <w:color w:val="000000"/>
        </w:rPr>
        <w:footnoteReference w:id="7"/>
      </w:r>
      <w:r w:rsidRPr="00A81546">
        <w:t>, de 10 de octubre de 2024 sobre el caso de Bülent Mumay en Turquía</w:t>
      </w:r>
      <w:r w:rsidRPr="00A81546">
        <w:rPr>
          <w:rStyle w:val="FootnoteReference"/>
        </w:rPr>
        <w:footnoteReference w:id="8"/>
      </w:r>
      <w:r w:rsidRPr="00A81546">
        <w:t xml:space="preserve"> y de 13 de febrero de 2025 sobre los alcaldes destituidos y detenidos recientemente en Turquía</w:t>
      </w:r>
      <w:r w:rsidRPr="00A81546">
        <w:rPr>
          <w:rStyle w:val="FootnoteReference"/>
        </w:rPr>
        <w:footnoteReference w:id="9"/>
      </w:r>
      <w:r w:rsidRPr="00A81546">
        <w:t xml:space="preserve">, </w:t>
      </w:r>
    </w:p>
    <w:p w14:paraId="6CEC8587" w14:textId="77777777" w:rsidR="00C77AFB" w:rsidRPr="00A81546" w:rsidRDefault="00C77AFB" w:rsidP="00C77AFB">
      <w:pPr>
        <w:pStyle w:val="NormalHanging12a"/>
        <w:rPr>
          <w:szCs w:val="24"/>
        </w:rPr>
      </w:pPr>
      <w:r w:rsidRPr="00A81546">
        <w:t>–</w:t>
      </w:r>
      <w:r w:rsidRPr="00A81546">
        <w:tab/>
        <w:t>Vista la visita de la presidenta de la Comisión Europea, Ursula von der Leyen, a Ankara en diciembre de 2024,</w:t>
      </w:r>
    </w:p>
    <w:p w14:paraId="48CB782A" w14:textId="77777777" w:rsidR="00C77AFB" w:rsidRPr="00A81546" w:rsidRDefault="00C77AFB" w:rsidP="00C77AFB">
      <w:pPr>
        <w:pStyle w:val="NormalHanging12a"/>
      </w:pPr>
      <w:r w:rsidRPr="00A81546">
        <w:t>–</w:t>
      </w:r>
      <w:r w:rsidRPr="00A81546">
        <w:tab/>
        <w:t>Visto el artículo 55 de su Reglamento interno,</w:t>
      </w:r>
    </w:p>
    <w:p w14:paraId="40CDC14B" w14:textId="77777777" w:rsidR="00C77AFB" w:rsidRPr="00A81546" w:rsidRDefault="00C77AFB" w:rsidP="00C77AFB">
      <w:pPr>
        <w:pStyle w:val="NormalHanging12a"/>
        <w:rPr>
          <w:szCs w:val="24"/>
        </w:rPr>
      </w:pPr>
      <w:r w:rsidRPr="00A81546">
        <w:t>–</w:t>
      </w:r>
      <w:r w:rsidRPr="00A81546">
        <w:tab/>
        <w:t>Visto el informe de la Comisión de Asuntos Exteriores (A10</w:t>
      </w:r>
      <w:r w:rsidRPr="00A81546">
        <w:noBreakHyphen/>
        <w:t>0067/2025),</w:t>
      </w:r>
    </w:p>
    <w:p w14:paraId="307D3283" w14:textId="77777777" w:rsidR="00C77AFB" w:rsidRPr="00A81546" w:rsidRDefault="00C77AFB" w:rsidP="00C77AFB">
      <w:pPr>
        <w:pStyle w:val="NormalHanging12a"/>
        <w:rPr>
          <w:szCs w:val="24"/>
        </w:rPr>
      </w:pPr>
      <w:r w:rsidRPr="00A81546">
        <w:t>A.</w:t>
      </w:r>
      <w:r w:rsidRPr="00A81546">
        <w:tab/>
        <w:t>Considerando que Turquía sigue siendo un país candidato a la adhesión a la Unión y que esta adhesión sigue siendo el objetivo político declarado reiteradamente por el Gobierno turco, si bien la distancia respecto a los valores e intereses de la Unión va en aumento; que las negociaciones de adhesión a la Unión se encuentran efectivamente paralizadas desde 2018, debido al deterioro del Estado de Derecho y la democracia en Turquía;</w:t>
      </w:r>
    </w:p>
    <w:p w14:paraId="4E07A461" w14:textId="77777777" w:rsidR="00C77AFB" w:rsidRPr="00A81546" w:rsidRDefault="00C77AFB" w:rsidP="00C77AFB">
      <w:pPr>
        <w:pStyle w:val="NormalHanging12a"/>
      </w:pPr>
      <w:r w:rsidRPr="00A81546">
        <w:t>B.</w:t>
      </w:r>
      <w:r w:rsidRPr="00A81546">
        <w:tab/>
        <w:t xml:space="preserve">Considerando que se espera que todo país en vías de adhesión respete los valores democráticos, el Estado de Derecho y los derechos humanos, así como el Derecho de la Unión; que Turquía debe demostrar de forma creíble su compromiso con unas relaciones más estrechas y una armonización más ajustada con la Unión con el fin de </w:t>
      </w:r>
      <w:r w:rsidRPr="00A81546">
        <w:lastRenderedPageBreak/>
        <w:t>revitalizar su perspectiva europea; que el hecho de ser país candidato a la adhesión presupone una voluntad de aproximación y adaptación progresivas desde todos los puntos de vista al acervo de la Unión, incluidos los valores, los intereses, las normas y las políticas, entre otras la política exterior y de seguridad común, de respeto y cumplimiento de los criterios de Copenhague, y de desarrollo y mantenimiento de relaciones de buena vecindad con la Unión y todos sus Estados miembros sin discriminación; que las tensiones entre la Unión y Turquía en relación con la situación en el Mediterráneo oriental han disminuido, pero no han cesado; que se ha pedido reiteradamente a Turquía que se abstenga de toda acción que viole la soberanía y los derechos soberanos de todos los Estados miembros de la Unión y vulnere el Derecho internacional y de la Unión;</w:t>
      </w:r>
    </w:p>
    <w:p w14:paraId="163A0072" w14:textId="77777777" w:rsidR="00C77AFB" w:rsidRPr="00A81546" w:rsidRDefault="00C77AFB" w:rsidP="00C77AFB">
      <w:pPr>
        <w:pStyle w:val="NormalHanging12a"/>
      </w:pPr>
      <w:r w:rsidRPr="00A81546">
        <w:t>C.</w:t>
      </w:r>
      <w:r w:rsidRPr="00A81546">
        <w:tab/>
        <w:t>Considerando que el informe de situación de 2023 de la Comisión sobre Turquía presenta un panorama de retroceso constante, mientras que su último informe de situación de 2024 parece presentar una visión general ligeramente más positiva de los avances en las reformas relacionadas con la ampliación en Turquía, por ejemplo en el ámbito de las políticas económicas y monetarias; que, no obstante, esto no puede aplicarse a las cuestiones esenciales relacionadas con la democracia y los derechos fundamentales, que se han deteriorado aún más desde la publicación del último informe de la Comisión; que, por lo tanto, no se ha intentado reducir la distancia entre Turquía y los valores y el marco normativo de la Unión durante el último período, con un uso constante de leyes y medidas destinadas a restringir el Estado de Derecho, los derechos humanos, las libertades fundamentales y las libertades civiles;</w:t>
      </w:r>
    </w:p>
    <w:p w14:paraId="4A2FDBC5" w14:textId="77777777" w:rsidR="00C77AFB" w:rsidRPr="00A81546" w:rsidRDefault="00C77AFB" w:rsidP="00C77AFB">
      <w:pPr>
        <w:pStyle w:val="NormalHanging12a"/>
      </w:pPr>
      <w:r w:rsidRPr="00A81546">
        <w:t>D.</w:t>
      </w:r>
      <w:r w:rsidRPr="00A81546">
        <w:tab/>
        <w:t>Considerando que la Comunicación conjunta sobre la situación de las relaciones entre la Unión y Turquía, de 29 de noviembre de 2023, asume un tono más positivo y presenta un conjunto de recomendaciones de cooperación en ámbitos de interés común de manera gradual, proporcionada y reversible, y sobre la base de las condiciones establecidas; que, hasta la fecha, solo se han adoptado algunas medidas concretas con arreglo a los compromisos contraídos; que el Consejo Europeo de abril de 2024 encomendó al Coreper que avanzara en la aplicación de dicha Comunicación conjunta; que, no obstante, dicha Comunicación conjunta aún no ha recibido un respaldo político claro del Consejo;</w:t>
      </w:r>
    </w:p>
    <w:p w14:paraId="290F03E9" w14:textId="77777777" w:rsidR="00C77AFB" w:rsidRPr="00A81546" w:rsidRDefault="00C77AFB" w:rsidP="00C77AFB">
      <w:pPr>
        <w:pStyle w:val="NormalHanging12a"/>
      </w:pPr>
      <w:r w:rsidRPr="00A81546">
        <w:t>E.</w:t>
      </w:r>
      <w:r w:rsidRPr="00A81546">
        <w:tab/>
        <w:t>Considerando que Turquía es miembro del Consejo de Europa y, por lo tanto, está vinculada por las sentencias del TEDH; que, debido a su falta de aplicación de sentencias emblemáticas del TEDH, Turquía se enfrenta actualmente a procedimientos de infracción históricos; que Turquía se sitúa sistemáticamente entre los países que violan con mayor frecuencia los derechos humanos y las libertades fundamentales protegidos por el Convenio Europeo de Derechos Humanos; que, a finales de noviembre de 2024, Turquía tenía el mayor número de asuntos pendientes ante el TEDH, con 22 450 solicitudes, lo que representa el 36,7 % de la carga total de asuntos del Tribunal, de 61 250 solicitudes;</w:t>
      </w:r>
    </w:p>
    <w:p w14:paraId="4015D856" w14:textId="77777777" w:rsidR="00C77AFB" w:rsidRPr="00A81546" w:rsidRDefault="00C77AFB" w:rsidP="00C77AFB">
      <w:pPr>
        <w:pStyle w:val="NormalHanging12a"/>
      </w:pPr>
      <w:r w:rsidRPr="00A81546">
        <w:t>F.</w:t>
      </w:r>
      <w:r w:rsidRPr="00A81546">
        <w:tab/>
        <w:t>Considerando que Freedom House clasifica a Turquía como un país «sin libertad» y que, en los últimos diez años, este país ha sufrido uno de los mayores retrocesos de todo el mundo en cuanto a su nivel de libertad; que Turquía ocupa el puesto 158, de un total de 180 países, en la Clasificación Mundial de la Libertad de Prensa de 2024; que el Gobierno turco ha cerrado docenas de medios de comunicación, bloquea habitualmente artículos en línea, controla, según informaciones, el 85 % de los medios de comunicación nacionales y utiliza su agencia estatal Anadolu como órgano de propaganda;</w:t>
      </w:r>
    </w:p>
    <w:p w14:paraId="21193B27" w14:textId="77777777" w:rsidR="00C77AFB" w:rsidRPr="00A81546" w:rsidRDefault="00C77AFB" w:rsidP="00C77AFB">
      <w:pPr>
        <w:pStyle w:val="NormalHanging12a"/>
      </w:pPr>
      <w:r w:rsidRPr="00A81546">
        <w:t>G.</w:t>
      </w:r>
      <w:r w:rsidRPr="00A81546">
        <w:tab/>
        <w:t>Considerando que la Constitución turca prevé una protección suficiente de los derechos fundamentales, pero que la práctica de las instituciones y el estado crítico del poder judicial (hasta el extremo de no respetar las sentencias del Tribunal Constitucional) son las principales razones de la grave situación del Estado de Derecho y de los derechos humanos en el país, cuestiones descritas reiteradamente en los informes de la Unión, del Consejo de Europa y de organizaciones internacionales;</w:t>
      </w:r>
    </w:p>
    <w:p w14:paraId="5FFF0DD3" w14:textId="77777777" w:rsidR="00C77AFB" w:rsidRPr="00A81546" w:rsidRDefault="00C77AFB" w:rsidP="00C77AFB">
      <w:pPr>
        <w:pStyle w:val="NormalHanging12a"/>
      </w:pPr>
      <w:r w:rsidRPr="00A81546">
        <w:t>H.</w:t>
      </w:r>
      <w:r w:rsidRPr="00A81546">
        <w:tab/>
        <w:t>Considerando que Turquía tiene la tasa de encarcelamiento más alta y la mayor población reclusa de todos los Estados miembros del Consejo de Europa, con una población reclusa superpoblada que creció un 439 % entre 2005 y 2023 y que actualmente representa más de un tercio de todos los reclusos de los países del Consejo de Europa;</w:t>
      </w:r>
    </w:p>
    <w:p w14:paraId="56C23C81" w14:textId="77777777" w:rsidR="00C77AFB" w:rsidRPr="00A81546" w:rsidRDefault="00C77AFB" w:rsidP="00C77AFB">
      <w:pPr>
        <w:pStyle w:val="NormalHanging12a"/>
        <w:rPr>
          <w:szCs w:val="24"/>
        </w:rPr>
      </w:pPr>
      <w:r w:rsidRPr="00A81546">
        <w:t>I.</w:t>
      </w:r>
      <w:r w:rsidRPr="00A81546">
        <w:tab/>
        <w:t>Considerando que Turquía ocupaba el puesto 127 de un total de 146 países en el índice mundial de disparidad entre los géneros de 2024, lo que pone de relieve la grave desigualdad de género y los fallos sistémicos en la protección de los derechos de las mujeres; que, según el informe de 2024 de la plataforma para poner fin al feminicidio (Kadın Cinayetlerini Durduracağız Platformu), 394 mujeres fueron asesinadas por hombres y 259 mujeres fueron halladas muertas en circunstancias sospechosas en 2024 en Turquía, la cifra más alta desde que este grupo de la sociedad civil empezó a recopilar datos en 2010; que, en su informe de 2023, la plataforma señaló que 315 mujeres fueron asesinadas por hombres y 248 fueron halladas muertas en circunstancias sospechosas;</w:t>
      </w:r>
    </w:p>
    <w:p w14:paraId="74980D6E" w14:textId="77777777" w:rsidR="00C77AFB" w:rsidRPr="00A81546" w:rsidRDefault="00C77AFB" w:rsidP="00C77AFB">
      <w:pPr>
        <w:pStyle w:val="NormalHanging12a"/>
      </w:pPr>
      <w:r w:rsidRPr="00A81546">
        <w:t>J.</w:t>
      </w:r>
      <w:r w:rsidRPr="00A81546">
        <w:tab/>
        <w:t>Considerando que, en los últimos meses, Turquía ha dado pasos hacia la reanudación de un proceso en pos de una resolución pacífica de la cuestión kurda; que, el 27 de febrero de 2025, Abdulá Öcalan, líder miliciano encarcelado, hizo un llamamiento a su partido, el Partido de los Trabajadores del Kurdistán (PKK), para que se desarme y se disuelva, lo que ofrece una oportunidad histórica para poner fin al conflicto turco-kurdo; que estos esfuerzos han ido acompañados de una represión cada vez mayor y de la restricción de los poderes de los gobiernos locales democráticos, incluida la destitución de alcaldes electos kurdos y otros alcaldes de la oposición;</w:t>
      </w:r>
    </w:p>
    <w:p w14:paraId="08483CBC" w14:textId="77777777" w:rsidR="00C77AFB" w:rsidRPr="00A81546" w:rsidRDefault="00C77AFB" w:rsidP="00C77AFB">
      <w:pPr>
        <w:pStyle w:val="NormalHanging12a"/>
      </w:pPr>
      <w:r w:rsidRPr="00A81546">
        <w:t>K.</w:t>
      </w:r>
      <w:r w:rsidRPr="00A81546">
        <w:tab/>
        <w:t>Considerando que, además de ser un país candidato a la adhesión a la Unión, Turquía es un aliado de la OTAN y un socio estratégico en materia de comercio, relaciones económicas, seguridad, lucha contra el terrorismo y migración; que Turquía sigue desempeñando un papel clave en la región, actúa como puente entre Europa y Asia, y sigue siendo un socio clave para la estabilidad en toda la región del Mediterráneo oriental; que Turquía sigue desempeñando un papel significativo en el conflicto sirio y mantiene una presencia militar en el norte de Siria;</w:t>
      </w:r>
    </w:p>
    <w:p w14:paraId="564EB0DE" w14:textId="77777777" w:rsidR="00C77AFB" w:rsidRPr="00A81546" w:rsidRDefault="00C77AFB" w:rsidP="00C77AFB">
      <w:pPr>
        <w:pStyle w:val="NormalHanging12a"/>
      </w:pPr>
      <w:r w:rsidRPr="00A81546">
        <w:t>L.</w:t>
      </w:r>
      <w:r w:rsidRPr="00A81546">
        <w:tab/>
        <w:t>Considerando que Turquía no se ha unido a las sanciones de la Unión contra Rusia; que el comercio entre Turquía y Rusia casi se ha duplicado desde la imposición por la UE de sanciones contra Rusia; que, a pesar de algunas medidas adoptadas, Turquía no ha impedido que su territorio se utilice para eludir las sanciones de la Unión contra Rusia;</w:t>
      </w:r>
    </w:p>
    <w:p w14:paraId="23E413CF" w14:textId="77777777" w:rsidR="00C77AFB" w:rsidRPr="00A81546" w:rsidRDefault="00C77AFB" w:rsidP="00C77AFB">
      <w:pPr>
        <w:pStyle w:val="NormalHanging12a"/>
      </w:pPr>
      <w:r w:rsidRPr="00A81546">
        <w:t>M.</w:t>
      </w:r>
      <w:r w:rsidRPr="00A81546">
        <w:tab/>
        <w:t>Considerando que, en el informe de situación de 2024 de la Comisión sobre Turquía, se afirma que, a 30 de septiembre de 2024, el país mantenía una tasa de alineamiento muy baja, del 5 %, con las declaraciones pertinentes del alto representante en nombre de la Unión y las decisiones pertinentes del Consejo, en comparación con el 9 % en 2023;</w:t>
      </w:r>
    </w:p>
    <w:p w14:paraId="7FD8B9E5" w14:textId="77777777" w:rsidR="00C77AFB" w:rsidRPr="00A81546" w:rsidRDefault="00C77AFB" w:rsidP="00C77AFB">
      <w:pPr>
        <w:pStyle w:val="NormalHanging12a"/>
        <w:rPr>
          <w:szCs w:val="24"/>
        </w:rPr>
      </w:pPr>
      <w:r w:rsidRPr="00A81546">
        <w:t>N.</w:t>
      </w:r>
      <w:r w:rsidRPr="00A81546">
        <w:tab/>
        <w:t>Considerando que Turquía es el quinto socio comercial más importante de la Unión y que la Unión es, con diferencia, el mayor socio comercial de Turquía, así como su principal fuente de inversión extranjera directa;</w:t>
      </w:r>
    </w:p>
    <w:p w14:paraId="38609442" w14:textId="77777777" w:rsidR="00C77AFB" w:rsidRPr="00A81546" w:rsidRDefault="00C77AFB" w:rsidP="00C77AFB">
      <w:pPr>
        <w:pStyle w:val="NormalHanging12a"/>
        <w:rPr>
          <w:szCs w:val="24"/>
        </w:rPr>
      </w:pPr>
      <w:r w:rsidRPr="00A81546">
        <w:t>O.</w:t>
      </w:r>
      <w:r w:rsidRPr="00A81546">
        <w:tab/>
        <w:t>Considerando que, en el último año, el nivel de cooperación entre la Unión y Turquía ha aumentado tanto en términos de reuniones técnicas como de alto nivel en ámbitos sectoriales;</w:t>
      </w:r>
    </w:p>
    <w:p w14:paraId="6C246A70" w14:textId="77777777" w:rsidR="00C77AFB" w:rsidRPr="00A81546" w:rsidRDefault="00C77AFB" w:rsidP="00C77AFB">
      <w:pPr>
        <w:pStyle w:val="NormalHanging12a"/>
      </w:pPr>
      <w:r w:rsidRPr="00A81546">
        <w:t>P.</w:t>
      </w:r>
      <w:r w:rsidRPr="00A81546">
        <w:tab/>
        <w:t>Considerando que Turquía ha solicitado ser miembro de los BRICS+ y ha mostrado interés en unirse a la Organización de Cooperación de Shanghái (OCS);</w:t>
      </w:r>
    </w:p>
    <w:p w14:paraId="4C1428F2" w14:textId="1A1135E7" w:rsidR="00C77AFB" w:rsidRPr="00A81546" w:rsidRDefault="00C77AFB" w:rsidP="00C77AFB">
      <w:pPr>
        <w:pStyle w:val="NormalHanging12a"/>
      </w:pPr>
      <w:r w:rsidRPr="00A81546">
        <w:t>Q.</w:t>
      </w:r>
      <w:r w:rsidRPr="00A81546">
        <w:tab/>
        <w:t>Considerando que, tras un período de política económica poco ortodoxa, Turquía ha aplicado una política monetaria más estricta durante el último año, lo que ha permitido reducir los desequilibrios externos y moderar las presiones inflacionistas;</w:t>
      </w:r>
    </w:p>
    <w:p w14:paraId="214DAC05" w14:textId="3E165F63" w:rsidR="00727D7C" w:rsidRPr="00A81546" w:rsidRDefault="00502742" w:rsidP="00C77AFB">
      <w:pPr>
        <w:pStyle w:val="NormalHanging12a"/>
      </w:pPr>
      <w:r w:rsidRPr="00A81546">
        <w:t>R</w:t>
      </w:r>
      <w:r w:rsidR="00727D7C" w:rsidRPr="00A81546">
        <w:t>.</w:t>
      </w:r>
      <w:r w:rsidR="00727D7C" w:rsidRPr="00A81546">
        <w:tab/>
        <w:t>Considerando que, en marzo de 2025, el Gobierno turco gastó al menos 10 000 000 000 USD de sus reservas de divisas para contrarrestar el colapso de sus mercados financieros y la devaluación de la lira causada por su decisión de detener al alcalde de Estambul y al destacado político de la oposición Ekrem İmamoğlu y privarlos de libertad; que el socavamiento de la democracia turca y del Estado de Derecho por parte del Gobierno turco crea un entorno desfavorable para la inversión extranjera directa y, por tanto, debilita la economía turca, con graves consecuencias para la situación socioeconómica de los ciudadanos turcos;</w:t>
      </w:r>
    </w:p>
    <w:p w14:paraId="3C73B93C" w14:textId="41A73C5B" w:rsidR="00C77AFB" w:rsidRPr="00A81546" w:rsidRDefault="00502742" w:rsidP="00C77AFB">
      <w:pPr>
        <w:pStyle w:val="NormalHanging12a"/>
      </w:pPr>
      <w:r w:rsidRPr="00A81546">
        <w:t>S</w:t>
      </w:r>
      <w:r w:rsidR="00C77AFB" w:rsidRPr="00A81546">
        <w:t>.</w:t>
      </w:r>
      <w:r w:rsidR="00C77AFB" w:rsidRPr="00A81546">
        <w:tab/>
        <w:t>Considerando que Turquía acoge a la mayor población de refugiados del mundo, con aproximadamente 3,1 millones de refugiados registrados, principalmente de Siria, Irak y Afganistán; que, desde 2011, la Unión ha destinado más de 10 000</w:t>
      </w:r>
      <w:r w:rsidR="0084317E" w:rsidRPr="00A81546">
        <w:t> 000 000</w:t>
      </w:r>
      <w:r w:rsidR="00C77AFB" w:rsidRPr="00A81546">
        <w:t> EUR a ayudar a los refugiados y a las comunidades de acogida en Turquía; que, según un informe de investigación creíble de Lighthouse Reports y ocho medios de comunicación asociados, la Unión financia centros de internamiento en Turquía implicados en detenciones, abusos y deportaciones forzadas de refugiados bajo la apariencia de retorno voluntario;</w:t>
      </w:r>
    </w:p>
    <w:p w14:paraId="3E960D29" w14:textId="47C34D18" w:rsidR="00C77AFB" w:rsidRPr="00A81546" w:rsidRDefault="00502742" w:rsidP="00C77AFB">
      <w:pPr>
        <w:pStyle w:val="NormalHanging12a"/>
      </w:pPr>
      <w:r w:rsidRPr="00A81546">
        <w:t>T</w:t>
      </w:r>
      <w:r w:rsidR="00C77AFB" w:rsidRPr="00A81546">
        <w:t>.</w:t>
      </w:r>
      <w:r w:rsidR="00C77AFB" w:rsidRPr="00A81546">
        <w:tab/>
        <w:t>Considerando que, además de la ayuda de emergencia coordinada a través del Mecanismo de Protección Civil de la Unión, con un valor financiero estimado de 38 </w:t>
      </w:r>
      <w:r w:rsidR="0084317E" w:rsidRPr="00A81546">
        <w:t>000 000</w:t>
      </w:r>
      <w:r w:rsidR="00C77AFB" w:rsidRPr="00A81546">
        <w:t> EUR, la Unión proporcionó 78</w:t>
      </w:r>
      <w:r w:rsidR="0084317E" w:rsidRPr="00A81546">
        <w:t> </w:t>
      </w:r>
      <w:r w:rsidR="00C77AFB" w:rsidRPr="00A81546">
        <w:t>2</w:t>
      </w:r>
      <w:r w:rsidR="0084317E" w:rsidRPr="00A81546">
        <w:t>00 000</w:t>
      </w:r>
      <w:r w:rsidR="00C77AFB" w:rsidRPr="00A81546">
        <w:t> EUR en ayuda humanitaria como respuesta a los terremotos de 2023 y 26 </w:t>
      </w:r>
      <w:r w:rsidR="0084317E" w:rsidRPr="00A81546">
        <w:t>000 000</w:t>
      </w:r>
      <w:r w:rsidR="00C77AFB" w:rsidRPr="00A81546">
        <w:t> EUR en ayuda humanitaria en 2024; que la Unión acordó 400 </w:t>
      </w:r>
      <w:r w:rsidR="0084317E" w:rsidRPr="00A81546">
        <w:t>000 000</w:t>
      </w:r>
      <w:r w:rsidR="00C77AFB" w:rsidRPr="00A81546">
        <w:t> EUR adicionales de ayuda con cargo al Fondo de Solidaridad de la Unión Europea para financiar operaciones de recuperación tras los devastadores terremotos;</w:t>
      </w:r>
    </w:p>
    <w:p w14:paraId="1D83B9FC" w14:textId="2A7169FC" w:rsidR="00C77AFB" w:rsidRPr="00A81546" w:rsidRDefault="00502742" w:rsidP="00C77AFB">
      <w:pPr>
        <w:pStyle w:val="NormalHanging12a"/>
        <w:rPr>
          <w:szCs w:val="24"/>
        </w:rPr>
      </w:pPr>
      <w:r w:rsidRPr="00A81546">
        <w:t>U</w:t>
      </w:r>
      <w:r w:rsidR="00C77AFB" w:rsidRPr="00A81546">
        <w:t>.</w:t>
      </w:r>
      <w:r w:rsidR="00C77AFB" w:rsidRPr="00A81546">
        <w:tab/>
        <w:t>Considerando que Turquía ha utilizado sistemáticamente su legislación antiterrorista para atacar a cargos electos, políticos de la oposición</w:t>
      </w:r>
      <w:r w:rsidR="00727D7C" w:rsidRPr="00A81546">
        <w:t>, periodistas</w:t>
      </w:r>
      <w:r w:rsidR="00C77AFB" w:rsidRPr="00A81546">
        <w:t xml:space="preserve"> y defensores de los derechos humanos, entre otros;</w:t>
      </w:r>
    </w:p>
    <w:p w14:paraId="6182B516" w14:textId="77777777" w:rsidR="00C77AFB" w:rsidRPr="00A81546" w:rsidRDefault="00C77AFB" w:rsidP="00C77AFB">
      <w:pPr>
        <w:pStyle w:val="NormalHanging12a"/>
        <w:rPr>
          <w:b/>
          <w:i/>
        </w:rPr>
      </w:pPr>
      <w:r w:rsidRPr="00A81546">
        <w:rPr>
          <w:b/>
          <w:i/>
        </w:rPr>
        <w:t>Compromiso con la adhesión a la Unión</w:t>
      </w:r>
    </w:p>
    <w:p w14:paraId="6E6A0433" w14:textId="77777777" w:rsidR="00C77AFB" w:rsidRPr="00A81546" w:rsidRDefault="00C77AFB" w:rsidP="00C77AFB">
      <w:pPr>
        <w:pStyle w:val="NormalHanging12a"/>
        <w:rPr>
          <w:szCs w:val="24"/>
        </w:rPr>
      </w:pPr>
      <w:r w:rsidRPr="00A81546">
        <w:t>1.</w:t>
      </w:r>
      <w:r w:rsidRPr="00A81546">
        <w:tab/>
        <w:t>Reconoce la aspiración tradicional de la sociedad civil turca en relación con la adhesión a la Unión; acoge con satisfacción las recientes declaraciones del Gobierno turco en las que reitera su compromiso con la adhesión a la Unión como objetivo estratégico, en un intento de revitalizar las relaciones entre la Unión y Turquía en consonancia con las Conclusiones pertinentes del Consejo Europeo, de una manera gradual, proporcionada y reversible; reconoce la responsabilidad de la Unión de fomentar este compromiso mediante el refuerzo del diálogo y la cooperación</w:t>
      </w:r>
      <w:r w:rsidR="00CF19BF" w:rsidRPr="00A81546">
        <w:t>, pero la anima a revisar sus expectativas al respecto para un futuro próximo, a la luz del deterioro de las normas democráticas que viene empujando al país hacia un modelo autoritario a lo largo de la última década y se ha acelerado recientemente con la detención políticamente motivada del principal oponente político del presidente Recep Tayyip Erdoğan, Ekrem İmamoğlu, alcalde del municipio metropolitano de Estambul</w:t>
      </w:r>
      <w:r w:rsidRPr="00A81546">
        <w:t>;</w:t>
      </w:r>
    </w:p>
    <w:p w14:paraId="7430185A" w14:textId="77777777" w:rsidR="00C77AFB" w:rsidRPr="00A81546" w:rsidRDefault="00C77AFB" w:rsidP="00C77AFB">
      <w:pPr>
        <w:pStyle w:val="NormalHanging12a"/>
        <w:rPr>
          <w:szCs w:val="24"/>
        </w:rPr>
      </w:pPr>
      <w:r w:rsidRPr="00A81546">
        <w:t>2.</w:t>
      </w:r>
      <w:r w:rsidRPr="00A81546">
        <w:tab/>
        <w:t>Subraya que la adhesión a la Unión está supeditada al cumplimiento de los criterios de adhesión (criterios de Copenhague), que requieren instituciones estables que garanticen la democracia, el Estado de Derecho, los derechos humanos, el respeto y la protección de las minorías, relaciones de buena vecindad, el respeto del Derecho internacional y la armonización con la PESC de la Unión Europea; observa, además, que se trata de criterios absolutos y no de cuestiones sujetas a consideraciones estratégicas y negociaciones transaccionales; hace hincapié en que el reconocimiento de todos los Estados miembros constituye un elemento necesario del proceso de adhesión;</w:t>
      </w:r>
    </w:p>
    <w:p w14:paraId="74233066" w14:textId="77777777" w:rsidR="00C77AFB" w:rsidRPr="00A81546" w:rsidRDefault="00C77AFB" w:rsidP="00C77AFB">
      <w:pPr>
        <w:pStyle w:val="NormalHanging12a"/>
      </w:pPr>
      <w:r w:rsidRPr="00A81546">
        <w:t>3.</w:t>
      </w:r>
      <w:r w:rsidRPr="00A81546">
        <w:tab/>
        <w:t>Lamenta, a este respecto, que las declaraciones positivas anteriormente mencionadas no hayan ido acompañadas de acciones concretas por parte de las autoridades turcas a fin de colmar la brecha, amplia y persistente, que separa Turquía y la Unión en cuanto a valores y normas, particularmente en lo que se refiere a los fundamentos del proceso de adhesión; reitera su conclusión adoptada anteriormente de que el Gobierno turco sigue mostrando, como en los últimos años, una evidente falta de voluntad política para llevar a cabo las reformas necesarias para reactivar el proceso de adhesión y sigue ejerciendo una concepción autoritaria y profundamente arraigada del sistema presidencial;</w:t>
      </w:r>
    </w:p>
    <w:p w14:paraId="0504B511" w14:textId="77777777" w:rsidR="00C77AFB" w:rsidRPr="00A81546" w:rsidRDefault="00C77AFB" w:rsidP="00C77AFB">
      <w:pPr>
        <w:pStyle w:val="NormalHanging12a"/>
      </w:pPr>
      <w:r w:rsidRPr="00A81546">
        <w:t>4.</w:t>
      </w:r>
      <w:r w:rsidRPr="00A81546">
        <w:tab/>
        <w:t>Reconoce la importancia estratégica y geopolítica de Turquía, y su presencia e influencia crecientes en zonas críticas para la seguridad internacional, por ejemplo, la región del mar Negro, incluida Ucrania, y Oriente Próximo; reitera que Turquía es un socio estratégico y aliado de la OTAN, además de un país con el que la Unión mantiene estrechas relaciones en materia de seguridad, comercio, economía y migración; celebra la cooperación más estrecha entre Turquía y la Unión, a la que ha aludido con frecuencia el Gobierno turco, pero insiste en que esto no puede sustituir en modo alguno a los necesarios avances reales que Turquía, como país candidato, debe realizar en relación con el cumplimiento de los requisitos fundamentales para la adhesión; destaca, en este sentido, que no existen atajos en el proceso de adhesión y que no se pueden plantear argumentos para no debatir sobre los principios democráticos, que constituyen el núcleo del proceso de adhesión;</w:t>
      </w:r>
    </w:p>
    <w:p w14:paraId="20A2F1F8" w14:textId="77777777" w:rsidR="00C77AFB" w:rsidRPr="00A81546" w:rsidRDefault="00C77AFB" w:rsidP="00C77AFB">
      <w:pPr>
        <w:pStyle w:val="NormalHanging12a"/>
      </w:pPr>
      <w:r w:rsidRPr="00A81546">
        <w:t>5.</w:t>
      </w:r>
      <w:r w:rsidRPr="00A81546">
        <w:tab/>
        <w:t>Observa que el Informe de 2024 sobre Turquía de la Comisión presenta una imagen más positiva de la aplicación de las reformas en el contexto del proceso de adhesión de Turquía que el Informe de 2023, pasando de un mayor deterioro a una «ausencia de avances» en relación con el Estado de Derecho y las cuestiones relacionadas con los derechos humanos; opina, no obstante, que, al menos en ámbitos clave como la democracia, el Estado de Derecho y los derechos fundamentales, esto se debe a que ya se había alcanzado un punto muy bajo y que esta situación se ha mantenido inalterada;</w:t>
      </w:r>
    </w:p>
    <w:p w14:paraId="262971B1" w14:textId="77777777" w:rsidR="00C77AFB" w:rsidRPr="00A81546" w:rsidRDefault="00C77AFB" w:rsidP="00C77AFB">
      <w:pPr>
        <w:pStyle w:val="NormalHanging12a"/>
        <w:rPr>
          <w:szCs w:val="24"/>
        </w:rPr>
      </w:pPr>
      <w:r w:rsidRPr="00A81546">
        <w:t>6.</w:t>
      </w:r>
      <w:r w:rsidRPr="00A81546">
        <w:tab/>
        <w:t>Toma nota asimismo del cambio de matiz en el enfoque del Informe de 2024 sobre Turquía respecto al Informe de 2023, alejándose del proceso de adhesión y orientándose a una asociación estratégica entre la Unión y Turquía; opina que el estado crítico del proceso de adhesión está llevando a la Comisión y al Consejo a centrarse únicamente en la dimensión asociativa de las relaciones entre la Unión y Turquía, como también se refleja en las Comunicaciones conjuntas sobre la situación de las relaciones UE-Turquía de 29 de noviembre de 2023 y 22 de marzo de 2021; destaca la creciente transición hacia un marco diferente de relaciones, que podría producirse a expensas del proceso de adhesión;</w:t>
      </w:r>
    </w:p>
    <w:p w14:paraId="1EFB486D" w14:textId="77777777" w:rsidR="00C77AFB" w:rsidRPr="00A81546" w:rsidRDefault="00C77AFB" w:rsidP="00CF19BF">
      <w:pPr>
        <w:pStyle w:val="NormalHanging12a"/>
        <w:ind w:left="0" w:firstLine="0"/>
        <w:rPr>
          <w:b/>
          <w:bCs/>
          <w:i/>
          <w:iCs/>
        </w:rPr>
      </w:pPr>
      <w:r w:rsidRPr="00A81546">
        <w:rPr>
          <w:b/>
          <w:i/>
        </w:rPr>
        <w:t>El núcleo del proceso de adhesión: democracia, Estado de Derecho y derechos fundamentales</w:t>
      </w:r>
    </w:p>
    <w:p w14:paraId="29164F1F" w14:textId="77777777" w:rsidR="00C77AFB" w:rsidRPr="00A81546" w:rsidRDefault="00C77AFB" w:rsidP="00C77AFB">
      <w:pPr>
        <w:pStyle w:val="NormalHanging12a"/>
      </w:pPr>
      <w:r w:rsidRPr="00A81546">
        <w:t>7.</w:t>
      </w:r>
      <w:r w:rsidRPr="00A81546">
        <w:tab/>
        <w:t>Considera que, en lo que respecta a los derechos humanos y el Estado de Derecho, las Resoluciones recientes del Parlamento sobre este asunto siguen siendo válidas a la luz de la persistente y grave situación de los derechos humanos y del retroceso democrático en Turquía durante el último año; respalda plenamente las últimas resoluciones de la Asamblea Parlamentaria del Consejo de Europa y el informe correspondiente de su Comité de Seguimiento, así como las resoluciones adoptadas por el Comité de Ministros del Consejo de Europa, que describen en detalle la amplia gama de deficiencias graves en materia de derechos humanos denunciadas constantemente por organizaciones de derechos humanos reconocidas a nivel local e internacional;</w:t>
      </w:r>
    </w:p>
    <w:p w14:paraId="57E623B7" w14:textId="77777777" w:rsidR="00C77AFB" w:rsidRPr="00A81546" w:rsidRDefault="00C77AFB" w:rsidP="00C77AFB">
      <w:pPr>
        <w:pStyle w:val="NormalHanging12a"/>
        <w:rPr>
          <w:szCs w:val="24"/>
        </w:rPr>
      </w:pPr>
      <w:r w:rsidRPr="00A81546">
        <w:t>8.</w:t>
      </w:r>
      <w:r w:rsidRPr="00A81546">
        <w:tab/>
        <w:t>Toma nota del compromiso declarado del Gobierno turco con la reforma judicial y reconoce que se han introducido medidas de carácter organizativo; hace hincapié, sin embargo, en la necesidad de introducir medidas estructurales que garanticen la independencia judicial; lamenta profundamente que, a pesar de una estrategia de reforma con nueve paquetes de reformas judiciales, el estado de la independencia del poder judicial en Turquía siga siendo desolador debido a la injerencia sistemática del Gobierno en el sistema judicial y la instrumentalización política del mismo; lamenta, a este respecto, el debilitamiento de los mecanismos de control constitucional que aún existen, concretamente los recursos particulares, y las frecuentes violaciones de las garantías procesales;</w:t>
      </w:r>
    </w:p>
    <w:p w14:paraId="32F4F9F3" w14:textId="77777777" w:rsidR="00C77AFB" w:rsidRPr="00A81546" w:rsidRDefault="00C77AFB" w:rsidP="00C77AFB">
      <w:pPr>
        <w:pStyle w:val="NormalHanging12a"/>
      </w:pPr>
      <w:r w:rsidRPr="00A81546">
        <w:t>9.</w:t>
      </w:r>
      <w:r w:rsidRPr="00A81546">
        <w:tab/>
        <w:t>Manifiesta su consternación por la persecución de profesionales del Derecho, incluida la reciente demanda presentada por la Fiscalía General de Estambul para destituir a los dirigentes del Colegio de Abogados de Estambul por acusaciones de «hacer propaganda a favor de una organización terrorista» y «difundir públicamente información engañosa» tras haber solicitado una investigación sobre los asesinatos de dos periodistas kurdos en Siria, y la detención de un miembro del consejo ejecutivo del Colegio de Abogados de Estambul tras viajar a Estrasburgo para asistir a reuniones con las instituciones del Consejo de Europa;</w:t>
      </w:r>
    </w:p>
    <w:p w14:paraId="7B25AA47" w14:textId="77777777" w:rsidR="00C77AFB" w:rsidRPr="00A81546" w:rsidRDefault="00C77AFB" w:rsidP="00C77AFB">
      <w:pPr>
        <w:pStyle w:val="NormalHanging12a"/>
      </w:pPr>
      <w:r w:rsidRPr="00A81546">
        <w:t>10.</w:t>
      </w:r>
      <w:r w:rsidRPr="00A81546">
        <w:tab/>
        <w:t>Expresa su alarma por la flagrante falta de aplicación de las resoluciones del Tribunal Constitucional, incluido el caso del diputado Can Atalay, que se ha convertido en una grave crisis judicial debido a la denuncia del Tribunal Supremo de Turquía contra nueve jueces del Tribunal Constitucional; manifiesta su preocupación por la reciente decisión del Tribunal de Casación de anular las sentencias contra los terroristas implicados en el ataque del Dáesh en el Aeropuerto Atatürk de Estambul, que se cobró cuarenta y cinco vidas en 2016, y de liberarlos;</w:t>
      </w:r>
    </w:p>
    <w:p w14:paraId="6F025F2D" w14:textId="77777777" w:rsidR="00C77AFB" w:rsidRPr="00A81546" w:rsidRDefault="00C77AFB" w:rsidP="00C77AFB">
      <w:pPr>
        <w:pStyle w:val="NormalHanging12a"/>
      </w:pPr>
      <w:r w:rsidRPr="00A81546">
        <w:t>11.</w:t>
      </w:r>
      <w:r w:rsidRPr="00A81546">
        <w:tab/>
        <w:t>Pide a Turquía que refuerce su compromiso con la gobernanza democrática, especialmente mediante reformas que garanticen un poder judicial independiente; toma nota del reciente anuncio de una cuarta estrategia de reforma judicial, que abarca el período 2025</w:t>
      </w:r>
      <w:r w:rsidRPr="00A81546">
        <w:noBreakHyphen/>
        <w:t>2029; pide al Gobierno turco que deje de aplicar cambios superficiales como los realizados hasta ahora mediante los paquetes de reforma y los planes de acción recurrentes, y que emprenda una reforma profunda y pendiente desde hace tiempo que aborde, con una voluntad política real, las deficiencias graves y estructurales del poder judicial turco; subraya que poner fin a la injerencia política en el poder judicial no requiere ninguna estrategia o paquete de reformas, sino simplemente la voluntad política de hacerlo;</w:t>
      </w:r>
    </w:p>
    <w:p w14:paraId="490A2514" w14:textId="77777777" w:rsidR="00C77AFB" w:rsidRPr="00A81546" w:rsidRDefault="00C77AFB" w:rsidP="00C77AFB">
      <w:pPr>
        <w:pStyle w:val="NormalHanging12a"/>
      </w:pPr>
      <w:r w:rsidRPr="00A81546">
        <w:t>12.</w:t>
      </w:r>
      <w:r w:rsidRPr="00A81546">
        <w:tab/>
        <w:t>Mantiene su profunda preocupación por el deterioro continuo de las normas democráticas y por la incesante represión ejercida por las autoridades turcas contra cualquier voz crítica mediante una creciente batería de leyes represivas, el uso indebido habitual de leyes antiterroristas, incluida su aplicación a menores —como en el asunto «Kız Çocukları Davası»—, el uso desproporcionado del delito de insulto a un funcionario público, el uso generalizado de testigos secretos y asuntos inactivos en procedimientos judiciales defectuosos y la práctica recurrente de llevar a cabo detenciones nocturnas y redadas exageradas en los domicilios para retratar como extremamente peligrosas a las personas que son objeto de estas prácticas;</w:t>
      </w:r>
    </w:p>
    <w:p w14:paraId="253D411D" w14:textId="77777777" w:rsidR="00C77AFB" w:rsidRPr="00A81546" w:rsidRDefault="00C77AFB" w:rsidP="00C77AFB">
      <w:pPr>
        <w:pStyle w:val="NormalHanging12a"/>
      </w:pPr>
      <w:r w:rsidRPr="00A81546">
        <w:t>13.</w:t>
      </w:r>
      <w:r w:rsidRPr="00A81546">
        <w:tab/>
        <w:t>Acoge favorablemente que en noviembre de 2024 se haya retirado el proyecto de modificación de las leyes de espionaje de Turquía, conocido como la ley sobre los «agentes de influencia»; insta a las autoridades turcas a que se abstengan de volver introducir en el futuro una ley similar tan excesivamente amplia y vaga, habida cuenta del grave riesgo de que se utilice como herramienta para seguir tipificando como delito las actividades legítimas de las organizaciones de la sociedad civil en el país; pide a las autoridades turcas que velen por que el proyecto de ley de ciberseguridad, aprobado recientemente, cumpla su objetivo legítimo de proteger la privacidad de los datos y la seguridad nacional sin dar lugar a posibles violaciones de los derechos fundamentales ni convertirse en otra herramienta para ejercer una mayor represión; subraya que el aparato judicial sigue siendo muy restrictivo, con una compleja red de legislación que sirve de instrumento para controlar y silenciar sistemáticamente cualquier voz crítica, como la Ley sobre las redes sociales de 2020, la Ley de lucha contra el blanqueo de capitales de 2021 y la Ley sobre la desinformación de 2022;</w:t>
      </w:r>
    </w:p>
    <w:p w14:paraId="39F7CF00" w14:textId="77777777" w:rsidR="00C77AFB" w:rsidRPr="00A81546" w:rsidRDefault="00C77AFB" w:rsidP="00C77AFB">
      <w:pPr>
        <w:pStyle w:val="NormalHanging12a"/>
      </w:pPr>
      <w:r w:rsidRPr="00A81546">
        <w:t>14.</w:t>
      </w:r>
      <w:r w:rsidRPr="00A81546">
        <w:tab/>
        <w:t>Manifiesta su preocupación por la reciente aprobación de disposiciones legales que otorgan poderes extraordinarios al Consejo de Inspección del Estado (DDK) y al Fondo de Garantía de Depósitos de Ahorros (TMSF), incluida la posibilidad de que el primero destituya a cargos públicos de todo tipo y de cualquier nivel y designe gestores de confianza, lo que podría utilizarse de manera arbitraria;</w:t>
      </w:r>
    </w:p>
    <w:p w14:paraId="72CD0831" w14:textId="6434E372" w:rsidR="00C77AFB" w:rsidRPr="00A81546" w:rsidRDefault="00C77AFB" w:rsidP="00C77AFB">
      <w:pPr>
        <w:pStyle w:val="NormalHanging12a"/>
      </w:pPr>
      <w:r w:rsidRPr="00A81546">
        <w:t>15.</w:t>
      </w:r>
      <w:r w:rsidRPr="00A81546">
        <w:tab/>
        <w:t>Insta a las autoridades turcas a que pongan fin a las graves restricciones actuales a las libertades fundamentales ―en particular las de expresión, reunión y asociación― y a los constantes ataques a los derechos fundamentales de miembros de la oposición, defensores de los derechos humanos, abogados, sindicalistas, miembros de minorías, periodistas, académicos y activistas de la sociedad civil, entre otros; condena enérgicamente las recientes oleadas de detenciones masivas por motivos políticos y basadas en presuntos vínculos terroristas, que afectan a personalidades del ámbito político, académico y periodístico, como las detenciones de Elif Akgül (periodista independiente), Yıldız Tar (jefe de redacción del portal web de noticias LGBT+ Kaos GL)</w:t>
      </w:r>
      <w:r w:rsidR="00CF19BF" w:rsidRPr="00A81546">
        <w:t>,</w:t>
      </w:r>
      <w:r w:rsidRPr="00A81546">
        <w:t xml:space="preserve"> Ender İmrek (columnista de Evrensel Daily)</w:t>
      </w:r>
      <w:r w:rsidR="00CF19BF" w:rsidRPr="00A81546">
        <w:t xml:space="preserve"> y Joakim Medin (periodista sueco de ETC)</w:t>
      </w:r>
      <w:r w:rsidRPr="00A81546">
        <w:t>, todos ellos muy conocidos por su trabajo sobre cuestiones relacionadas con los derechos humanos;</w:t>
      </w:r>
    </w:p>
    <w:p w14:paraId="3EC02DCC" w14:textId="09C0B3B2" w:rsidR="00CF19BF" w:rsidRPr="00A81546" w:rsidRDefault="00502742" w:rsidP="00C77AFB">
      <w:pPr>
        <w:pStyle w:val="NormalHanging12a"/>
      </w:pPr>
      <w:r w:rsidRPr="00A81546">
        <w:t>16</w:t>
      </w:r>
      <w:r w:rsidR="00CF19BF" w:rsidRPr="00A81546">
        <w:t>.</w:t>
      </w:r>
      <w:r w:rsidR="00CF19BF" w:rsidRPr="00A81546">
        <w:tab/>
        <w:t>Condena enérgicamente la reciente detención y privación de libertad del periodista sueco Joakim Medin; reitera que la libertad de prensa es un derecho fundamental y un valor fundamental de la Unión; condena enérgicamente las acusaciones formuladas contra Joakim Medin, basadas únicamente en su trabajo periodístico, y exige por ello su liberación inmediata e incondicional, así como la de otros periodistas encarcelados por ejercer su libertad de expresión;</w:t>
      </w:r>
    </w:p>
    <w:p w14:paraId="6DA9B775" w14:textId="5C067922" w:rsidR="00C77AFB" w:rsidRPr="00A81546" w:rsidRDefault="00502742" w:rsidP="00C77AFB">
      <w:pPr>
        <w:pStyle w:val="NormalHanging12a"/>
      </w:pPr>
      <w:r w:rsidRPr="00A81546">
        <w:t>17</w:t>
      </w:r>
      <w:r w:rsidR="00C77AFB" w:rsidRPr="00A81546">
        <w:t>.</w:t>
      </w:r>
      <w:r w:rsidR="00C77AFB" w:rsidRPr="00A81546">
        <w:tab/>
        <w:t>Lamenta la persecución, la censura y el acoso constantes a periodistas y medios de comunicación independientes, lo que les niega la libertad de desempeñar sus funciones profesionales e informar al público, que resulta esencial en una sociedad democrática que funcione; pide a las autoridades turcas que se abstengan de nuevos ataques contra los medios de comunicación independientes y que defiendan los derechos fundamentales y las libertades civiles, como la libertad de expresión y de prensa; sigue profundamente preocupado por la legislación vigente que impide una internet abierta y libre, con la imposición de largas penas de prisión por publicaciones en las redes sociales, la emisión de numerosas órdenes de bloqueo de acceso y órdenes de retirada de contenidos, y por el uso continuo del Consejo Supremo de Radio y Televisión (RTÜK) para reprimir las críticas en los medios de comunicación e incluso en medios de comunicación que se considera que difunden «pesimismo» en lugar de noticias positivas;</w:t>
      </w:r>
    </w:p>
    <w:p w14:paraId="22F0073B" w14:textId="7F61FCB1" w:rsidR="00C77AFB" w:rsidRPr="00A81546" w:rsidRDefault="00502742" w:rsidP="00C77AFB">
      <w:pPr>
        <w:pStyle w:val="NormalHanging12a"/>
      </w:pPr>
      <w:r w:rsidRPr="00A81546">
        <w:t>18</w:t>
      </w:r>
      <w:r w:rsidR="00C77AFB" w:rsidRPr="00A81546">
        <w:t>.</w:t>
      </w:r>
      <w:r w:rsidR="00C77AFB" w:rsidRPr="00A81546">
        <w:tab/>
        <w:t>Reconoce los avances positivos relacionados con el levantamiento parcial por parte del ministro del Interior de las restricciones a las concentraciones semanales de las Madres de los Sábados (Cumartesi Anneleri) en la plaza Galatasaray de Estambul, y la reciente absolución de las cuarenta y seis personas procesadas durante más de seis años en el asunto relativo a la reunión n.º 700 de esta organización en agosto de 2018; pide que se supriman por completo todas las restricciones a sus protestas pacíficas en pleno cumplimiento de la sentencia pertinente del Tribunal Constitucional y que se ponga fin al proceso judicial en curso contra varios de sus miembros y simpatizantes; manifiesta su preocupación por el proceso en curso contra la destacada defensora de los derechos humanos Nimet Tanrıkulu, que fue puesta en libertad el 4 de marzo de 2025, tras pasar noventa y cuatro días en prisión preventiva; insta a las autoridades turcas a que garanticen la puesta en libertad inmediata de todas las personas detenidas por ejercer sus libertades fundamentales;</w:t>
      </w:r>
    </w:p>
    <w:p w14:paraId="6D52227F" w14:textId="6D280F5B" w:rsidR="00C77AFB" w:rsidRPr="00A81546" w:rsidRDefault="00502742" w:rsidP="00C77AFB">
      <w:pPr>
        <w:pStyle w:val="NormalHanging12a"/>
      </w:pPr>
      <w:r w:rsidRPr="00A81546">
        <w:t>19</w:t>
      </w:r>
      <w:r w:rsidR="00C77AFB" w:rsidRPr="00A81546">
        <w:t>.</w:t>
      </w:r>
      <w:r w:rsidR="00C77AFB" w:rsidRPr="00A81546">
        <w:tab/>
        <w:t xml:space="preserve">Mantiene su enorme consternación por la continua desconsideración y la omisión en la ejecución de sentencias emblemáticas del Tribunal Europeo de Derechos Humanos por parte de las autoridades turcas, y en particular por el poder judicial turco; reitera su condena al flagrante uso indebido por Turquía del sistema judicial y a la negativa a poner en libertad al defensor de los derechos humanos Osman Kavala y a los políticos de la oposición Selahattin Demirtaș y Figen Yüksekdağ, por los que Turquía se enfrenta a procedimientos de infracción históricos en el Consejo de Europa con consecuencias muy esperadas aún por determinar; </w:t>
      </w:r>
      <w:r w:rsidR="00CF19BF" w:rsidRPr="00A81546">
        <w:t xml:space="preserve">manifiesta su consternación por la reciente presentación y aceptación de un nuevo escrito de acusación contra Selahattin Demirtaş, en el que la Fiscalía General de Diyarbakır solicita hasta quince años de prisión y la prohibición de sus actividades políticas sobre la base de varios discursos que pronunció en 2016; </w:t>
      </w:r>
      <w:r w:rsidR="00C77AFB" w:rsidRPr="00A81546">
        <w:t>pide a Turquía que aplique plenamente las sentencias del TEDH relacionadas con personas desaparecidas y los inmuebles en Chipre (por ejemplo, en el asunto Fokas); lamenta profundamente el carácter político de estos enjuiciamientos, que forman parte de un patrón más amplio de acoso judicial; pide a Turquía que aplique plenamente todas las sentencias del TEDH de conformidad con el artículo 46 del CEDH y en consonancia con las obligaciones incondicionales derivadas del artículo 90 de la Constitución de Turquía; pide a la Comisión y a los Estados miembros que utilicen todos los canales diplomáticos para instar a Turquía a que ejecute las sentencias pertinentes del TEDH y valore la posibilidad de incluir condiciones a la financiación relacionadas con el cumplimiento de las sentencias del TEDH;</w:t>
      </w:r>
    </w:p>
    <w:p w14:paraId="03024798" w14:textId="110BB761" w:rsidR="00CF19BF" w:rsidRPr="00A81546" w:rsidRDefault="00502742" w:rsidP="00C77AFB">
      <w:pPr>
        <w:pStyle w:val="NormalHanging12a"/>
        <w:rPr>
          <w:szCs w:val="24"/>
        </w:rPr>
      </w:pPr>
      <w:r w:rsidRPr="00A81546">
        <w:t>20</w:t>
      </w:r>
      <w:r w:rsidR="00CF19BF" w:rsidRPr="00A81546">
        <w:t>.</w:t>
      </w:r>
      <w:r w:rsidR="00CF19BF" w:rsidRPr="00A81546">
        <w:tab/>
        <w:t>Pide a Turquía que acate la decisión del Tribunal Europeo de Derechos Humanos, de 24 de enero de 2008, por la que se declaró a Turquía culpable de infringir el artículo 2 del Convenio Europeo de Derechos Humanos por no haber localizado y enjuiciado a los responsables en el caso de los asesinatos de Tassos Isaak y Solomos Solomou, cometidos en Chipre en 1996; pide a las autoridades turcas que ejecuten las órdenes de detención internacionales contra los sospechosos de asesinato y los entreguen a la República de Chipre;</w:t>
      </w:r>
    </w:p>
    <w:p w14:paraId="0981439A" w14:textId="5BA8D1B2" w:rsidR="00C77AFB" w:rsidRPr="00A81546" w:rsidRDefault="00502742" w:rsidP="00C77AFB">
      <w:pPr>
        <w:pStyle w:val="NormalHanging12a"/>
        <w:rPr>
          <w:szCs w:val="24"/>
        </w:rPr>
      </w:pPr>
      <w:r w:rsidRPr="00A81546">
        <w:t>21</w:t>
      </w:r>
      <w:r w:rsidR="00C77AFB" w:rsidRPr="00A81546">
        <w:t>.</w:t>
      </w:r>
      <w:r w:rsidR="00C77AFB" w:rsidRPr="00A81546">
        <w:tab/>
        <w:t>Expresa su profunda preocupación por la pésima situación de las cárceles turcas debido a la grave superpoblación y a las malas condiciones de vida, con denuncias, también por parte del Consejo de Europa, de tortura y malos tratos generalizados, y un acceso a necesidades básicas como la higiene y la información muy limitado; manifiesta su especial preocupación por las condiciones de encarcelamiento de los presos de mayor edad o gravemente enfermos</w:t>
      </w:r>
      <w:r w:rsidR="00CF19BF" w:rsidRPr="00A81546">
        <w:t>, como Soydan Akay, que continúa injustamente encarcelado; pide la liberación inmediata de este último por motivos humanitarios y de salud;</w:t>
      </w:r>
      <w:r w:rsidR="00CF19BF" w:rsidRPr="00A81546">
        <w:rPr>
          <w:b/>
          <w:i/>
        </w:rPr>
        <w:t xml:space="preserve"> </w:t>
      </w:r>
      <w:r w:rsidR="00C77AFB" w:rsidRPr="00A81546">
        <w:t>expresa su inquietud por el uso constante de registros corporales humillantes en prisiones y otros centros de detención, así como por el acoso persistente contra el diputado Ömer Faruk Gergerlioğlu ―quien se enfrenta actualmente a seis procedimientos judiciales por la retirada de su escaño y de su inmunidad― entre otros motivos por haber denunciado esta práctica;</w:t>
      </w:r>
    </w:p>
    <w:p w14:paraId="3F0B12F6" w14:textId="7681815D" w:rsidR="00C77AFB" w:rsidRPr="00A81546" w:rsidRDefault="00502742" w:rsidP="00C77AFB">
      <w:pPr>
        <w:pStyle w:val="NormalHanging12a"/>
      </w:pPr>
      <w:r w:rsidRPr="00A81546">
        <w:t>22</w:t>
      </w:r>
      <w:r w:rsidR="00C77AFB" w:rsidRPr="00A81546">
        <w:t>.</w:t>
      </w:r>
      <w:r w:rsidR="00C77AFB" w:rsidRPr="00A81546">
        <w:tab/>
        <w:t>Condena enérgicamente la decisión del Gobierno turco de cesar, tras las elecciones municipales de marzo de 2024, a los alcaldes democráticamente elegidos de como mínimo trece municipios y distritos (Hakkari, Mardin, Batman, Halfeti, Tunceli, Bahçesaray, Akdeniz, Siirt, Van y Kağızman, en los que ganó el partido DEM; y Esenyurt Ovacık y Şişli, donde ganó el partido CHP) y sustituirlos por gestores de confianza del Gobierno designados por el Ministerio del Interior; considera que esta práctica tradicional de nombrar gestores de confianza supone un ataque flagrante a los principios más básicos de la democracia local; insta a las autoridades turcas a que cesen y reviertan inmediatamente la represión de la oposición política y a que respeten el derecho de los votantes a elegir democráticamente a sus representantes en consonancia con las recomendaciones del Congreso de Poderes Locales y Regionales del Consejo de Europa y de la Comisión de Venecia; reitera su llamamiento a la VP/AR para que considere la posibilidad de imponer medidas restrictivas en el marco del régimen de sanciones de la UE de alcance mundial en materia de derechos humanos contra los funcionarios turcos que asuman la función de gestor de confianza y quienes los nombren; denuncia la grave represión de las protestas contra la destitución de alcaldes electos, incluida la detención arbitraria de cientos de manifestantes, algunos de ellos menores; considera que la decisión del Gobierno turco de retomar esta práctica tras las últimas elecciones municipales de marzo de 2024 es una señal evidente de su falta de compromiso para superar las deficiencias democráticas en el país y es claramente contraria a la voluntad declarada de revitalizar el proceso de adhesión, puesto que estas acciones debilitan las perspectivas de una asociación más sólida y global con la Unión y perjudican al progreso a largo plazo hacia una cooperación más estrecha;</w:t>
      </w:r>
    </w:p>
    <w:p w14:paraId="26E331B0" w14:textId="0BF9114F" w:rsidR="00C77AFB" w:rsidRPr="00A81546" w:rsidRDefault="00502742" w:rsidP="00C77AFB">
      <w:pPr>
        <w:pStyle w:val="NormalHanging12a"/>
        <w:rPr>
          <w:szCs w:val="24"/>
        </w:rPr>
      </w:pPr>
      <w:r w:rsidRPr="00A81546">
        <w:t>23</w:t>
      </w:r>
      <w:r w:rsidR="00C77AFB" w:rsidRPr="00A81546">
        <w:t>.</w:t>
      </w:r>
      <w:r w:rsidR="00C77AFB" w:rsidRPr="00A81546">
        <w:tab/>
        <w:t xml:space="preserve">Lamenta profundamente los ataques permanentes contra partidos políticos y miembros de la oposición, que siguen sufriendo una presión cada vez mayor; </w:t>
      </w:r>
      <w:r w:rsidR="00CF19BF" w:rsidRPr="00A81546">
        <w:t>condena en los términos más enérgicos</w:t>
      </w:r>
      <w:r w:rsidR="00C77AFB" w:rsidRPr="00A81546">
        <w:t xml:space="preserve"> la detención y destitución recientes de Ekrem İmamoğlu, alcalde del municipio metropolitano de Estambul, del partido CHP, junto con los alcaldes de Şişli y Beylikdüzü, en el marco de dos investigaciones independientes sobre posibles casos de corrupción y acusaciones relacionadas con el terrorismo, con un total de 106 sospechosos; destaca que estos últimos casos, que forman parte de una larga lista de 42 investigaciones administrativas y 51 investigaciones judiciales desde la elección de İmamoğlu en 2019, se iniciaron tan solo unos días antes de las elecciones internas del partido para nombrarlo candidato presidencial y al día siguiente a la controvertida decisión de la Universidad de Estambul de revocar su título, un requisito para poder optar a la presidencia; </w:t>
      </w:r>
      <w:r w:rsidR="00CF19BF" w:rsidRPr="00A81546">
        <w:t>manifiesta su consternación por la decisión de prohibir temporalmente todas las manifestaciones en Estambul y otras provincias de todo el país y las restricciones impuestas a las redes sociales; condena la dura represión por las autoridades turcas de las protestas pacíficas masivas, incluida la detención de casi 2 000 personas, muchas de ellas estudiantes, y el enjuiciamiento de cientos de ellas a través de juicios masivos precipitados con falta de pruebas de infracciones penales; expresa su profunda preocupación por la detención ilegal de Esila Ay</w:t>
      </w:r>
      <w:r w:rsidR="00CF19BF" w:rsidRPr="00A81546">
        <w:rPr>
          <w:shd w:val="clear" w:color="auto" w:fill="FFFFFF"/>
        </w:rPr>
        <w:t>ı</w:t>
      </w:r>
      <w:r w:rsidR="00CF19BF" w:rsidRPr="00A81546">
        <w:t>k, estudiante de fotografía de Gante detenida el 8 de abril de 2025 durante las protestas llevadas a cabo en Estambul, en particular debido a sus afecciones cardíacas y renales no tratadas; pide la liberación inmediata de todas las personas aún detenidas y la absolución de todas las personas procesadas por ejercer sus derechos fundamentales; lamenta las detenciones, privaciones de libertad y deportaciones de periodistas locales e internacionales que cubren las protestas, lo que representa una violación de la libertad de prensa; insta a las autoridades turcas a que investiguen rápida y eficazmente todas las acusaciones de acoso y uso excesivo de la fuerza contra manifestantes y a que defiendan la libertad de reunión y manifestación; considera que los ataques a İmamoğlu constituyen una medida que obedece a motivaciones políticas con el fin de impedir que un rival legítimo se presente a las próximas elecciones y que, con estas acciones, las actuales autoridades turcas empujan aún más al país hacia un modelo totalmente autoritario</w:t>
      </w:r>
      <w:r w:rsidR="00C77AFB" w:rsidRPr="00A81546">
        <w:t>;</w:t>
      </w:r>
      <w:r w:rsidR="00CF19BF" w:rsidRPr="00A81546">
        <w:t xml:space="preserve"> lamenta la falta de una respuesta firme y unificada de la Unión a estos acontecimientos alarmantes;</w:t>
      </w:r>
    </w:p>
    <w:p w14:paraId="74F5FEAE" w14:textId="6D19C39C" w:rsidR="00C77AFB" w:rsidRPr="00A81546" w:rsidRDefault="00502742" w:rsidP="00C77AFB">
      <w:pPr>
        <w:pStyle w:val="NormalHanging12a"/>
      </w:pPr>
      <w:r w:rsidRPr="00A81546">
        <w:t>24</w:t>
      </w:r>
      <w:r w:rsidR="00C77AFB" w:rsidRPr="00A81546">
        <w:t>.</w:t>
      </w:r>
      <w:r w:rsidR="00C77AFB" w:rsidRPr="00A81546">
        <w:tab/>
        <w:t>Expresa asimismo su preocupación por los recientes casos independientes contra Rıza Akpolat (alcalde del distrito de Beşiktaş de Estambul, del partido CHP), Alaattin Köseler (alcalde del distrito de Beykoz de Estambul, del partido CHP), Cem Aydın (presidente de las juventudes del CHP) y Ümit Özdag (presidente del partido Zafer); manifiesta su consternación por la brutal e incesante represión de cualquier tipo de crítica a la que las autoridades turcas han sometido recientemente a todos los sectores de la sociedad turca, como ilustran, entre otros, el caso de Ayşe Barım, una conocida gestora de talentos en prisión desde el 27 de enero de 2025 por presunta participación en la protesta del parque Gezi hace doce años, la investigación iniciada contra Orhan Turan y Ömer Aras (respectivamente presidente y ejecutivo de TÜSIAD, el principal grupo empresarial del país), y el escrito de acusación, con el fin de imponer duras penas de prisión, contra Suat Toktaș (jefe de redacción de Halk TV) y los periodistas Seda Selek, Barıș Pehlivan, Serhan Asker y Kürșad Oğuz; expresa su preocupación por la participación en estos y otros casos del recién nombrado fiscal general de Estambul Akın Gürlek, quien tiene una larga trayectoria de implicación, desde diferentes puestos, en asuntos de alto nivel relacionados con personalidades políticas, lo cual podría ser motivo para considerar la aplicación de medidas restrictivas en el marco del régimen de sanciones de la UE de alcance mundial en materia de derechos humanos; manifiesta asimismo su inquietud por la creciente presión financiera sobre los municipios de la oposición y por ciertos anuncios controvertidos, como el relativo a los centros de atención diurna gestionados por municipios de la oposición;</w:t>
      </w:r>
    </w:p>
    <w:p w14:paraId="1C385FEF" w14:textId="1072358E" w:rsidR="00C77AFB" w:rsidRPr="00A81546" w:rsidRDefault="00502742" w:rsidP="00C77AFB">
      <w:pPr>
        <w:pStyle w:val="NormalHanging12a"/>
      </w:pPr>
      <w:r w:rsidRPr="00A81546">
        <w:t>25</w:t>
      </w:r>
      <w:r w:rsidR="00C77AFB" w:rsidRPr="00A81546">
        <w:t>.</w:t>
      </w:r>
      <w:r w:rsidR="00C77AFB" w:rsidRPr="00A81546">
        <w:tab/>
        <w:t>Expresa su profunda preocupación por el deterioro de los derechos de las mujeres, la violencia de género y el aumento del número de feminicidios en Turquía en 2024, el más elevado desde 2010, un año antes de que se firmara el Convenio de Estambul; reitera su firme condena de la retirada de Turquía, mediante decreto presidencial, de este acuerdo internacional y reitera su llamamiento para que se revoque esta decisión; insta a las autoridades turcas a que mejoren el marco legislativo y su ejecución, también mediante la plena aplicación de la Ley de Protección n. 6284, con el fin de combatir eficazmente todas las formas de violencia contra las mujeres y la práctica de los llamados «crímenes de honor», a que pongan fin a la persistente política de impunidad obligando a los abusadores a rendir cuentas, y avancen hacia la igualdad de género, en particular en lo que se refiere a la participación de las mujeres en los procesos de toma de decisiones y elaboración de políticas;</w:t>
      </w:r>
      <w:r w:rsidR="00CF19BF" w:rsidRPr="00A81546">
        <w:t xml:space="preserve"> advierte contra nuevos ataques contra los derechos de las mujeres, como la reciente prohibición en Turquía de las cesáreas electivas en centros médicos privados sin justificación médica, que constituye una vulneración inaceptable de la autonomía corporal de las mujeres;</w:t>
      </w:r>
    </w:p>
    <w:p w14:paraId="39C51E14" w14:textId="087D420F" w:rsidR="00C77AFB" w:rsidRPr="00A81546" w:rsidRDefault="00502742" w:rsidP="00C77AFB">
      <w:pPr>
        <w:pStyle w:val="NormalHanging12a"/>
      </w:pPr>
      <w:r w:rsidRPr="00A81546">
        <w:t>26</w:t>
      </w:r>
      <w:r w:rsidR="00C77AFB" w:rsidRPr="00A81546">
        <w:t>.</w:t>
      </w:r>
      <w:r w:rsidR="00C77AFB" w:rsidRPr="00A81546">
        <w:tab/>
        <w:t>Condena enérgicamente las continuas vulneraciones y la falta de protección de los derechos fundamentales de las personas LGBTI+ en Turquía, incluido el aumento de la incitación al odio, los delitos de odio y la retórica discriminatoria, así como los estereotipos basados en la orientación sexual y la identidad de género a los que se recurre constantemente en los medios de comunicación; lamenta que, a menudo, las autoridades aprueben estas discriminaciones, como demuestran las detenciones masivas realizadas durante el desfile del Orgullo de 2023 y la prohibición del desfile en 2024, mientras que se permitieron las marchas contra las personas LGBTI+; insta a las autoridades turcas a que dejen de prohibir las actividades contra la homofobia como las marchas del Orgullo, con efecto inmediato;</w:t>
      </w:r>
    </w:p>
    <w:p w14:paraId="5A1FBF54" w14:textId="485BF923" w:rsidR="00C77AFB" w:rsidRPr="00A81546" w:rsidRDefault="00502742" w:rsidP="00C77AFB">
      <w:pPr>
        <w:pStyle w:val="NormalHanging12a"/>
      </w:pPr>
      <w:r w:rsidRPr="00A81546">
        <w:t>27</w:t>
      </w:r>
      <w:r w:rsidR="00C77AFB" w:rsidRPr="00A81546">
        <w:t>.</w:t>
      </w:r>
      <w:r w:rsidR="00C77AFB" w:rsidRPr="00A81546">
        <w:tab/>
        <w:t>Acoge con satisfacción el aumento del diálogo con las minorías cristianas, pero subraya que no se han registrado avances significativos en relación con la protección de los derechos de las minorías étnicas y religiosas, en especial en cuanto a su personalidad jurídica, en particular los de la población griega ortodoxa de las islas Gökçeada (Imbros) y Bozcaada (Ténedos); pide a Turquía que aplique las recomendaciones de la Comisión de Venecia y todas las sentencias pertinentes del TEDH a este respecto; toma nota con preocupación de que los representantes de diferentes confesiones, incluidas las comunidades no musulmanas y alevitas, siguen enfrentándose a obstáculos burocráticos a la hora de registrar lugares de culto; destaca que se trata de una violación del derecho a la libertad de religión y creencias; pide a Turquía que adopte la tan esperada normativa sobre la elección de los miembros de los consejos de administración de fundaciones de minorías no musulmanas que controlan hospitales comunitarios; reitera su petición a Turquía de que respete el papel del patriarca ecuménico para los cristianos ortodoxos de todo el mundo, de que reconozca su personalidad jurídica y de que permita el uso público del título eclesiástico del patriarca ecuménico; pide a Turquía que respete y proteja plenamente el valor universal excepcional de Santa Sofía y del Museo de Cora, incluidos en la Lista del Patrimonio Mundial de la Unesco; observa con preocupación que Turquía aún no ha aplicado dos decisiones del Comité del Patrimonio Mundial de la Unesco de 2021 y 2023 en relación con sus obligaciones de adoptar medidas especiales para proteger estos monumentos; lamenta la falta de protección del Monasterio de Sumela, cuya inclusión en la lista de monumentos declarados Patrimonio Mundial por la Unesco se ha solicitado; destaca la necesidad de eliminar las restricciones relativas a la formación, el nombramiento y la sucesión dentro del clero; celebra la reapertura prevista del seminario de Halki y pide retirar todos los obstáculos a su correcto funcionamiento; insta a las autoridades turcas a que investiguen y procesen de manera efectiva a las personas responsables de todo delito de odio, incluida la incitación al odio, cometido contra minorías; condena las declaraciones antisemitas realizadas en los medios de comunicación y por funcionarios de alto nivel tras los atentados terroristas perpetrados por Hamás contra Israel el 7 de octubre de 2023; señala que todas estas prácticas contra cualquier minoría religiosa son incompatibles con los valores de la Unión;</w:t>
      </w:r>
    </w:p>
    <w:p w14:paraId="0EFBE019" w14:textId="0B719CB1" w:rsidR="00C77AFB" w:rsidRPr="00A81546" w:rsidRDefault="00502742" w:rsidP="00C77AFB">
      <w:pPr>
        <w:pStyle w:val="NormalHanging12a"/>
        <w:rPr>
          <w:szCs w:val="24"/>
        </w:rPr>
      </w:pPr>
      <w:r w:rsidRPr="00A81546">
        <w:t>28</w:t>
      </w:r>
      <w:r w:rsidR="00C77AFB" w:rsidRPr="00A81546">
        <w:t>.</w:t>
      </w:r>
      <w:r w:rsidR="00C77AFB" w:rsidRPr="00A81546">
        <w:tab/>
        <w:t>Acoge con satisfacción el reciente llamamiento de Abdulá Öcalan al PKK para que deponga armas, se disuelva y participe en un proceso de paz, como un avance histórico y muy esperado que podría ayudar a poner fin a un período de cuarenta años de violencia que ha causado más de 40 000 muertes; elogia los esfuerzos realizados por todas las partes interesadas implicadas para facilitar estos avances, incluidos el planteamiento constructivo de diferentes dirigentes políticos iniciado por el líder del partido MHP Devlet Bahçeli, las visitas a la prisión de İmralı autorizadas para una delegación del partido DEM y las amplias consultas que este último ha mantenido con otros partidos políticos; subraya que esto representa una oportunidad significativa y debe ir acompañado de un proceso político integrador, con un papel destacado para el Parlamento turco, cuyo objetivo sea la resolución pacífica y sostenible de la cuestión kurda en sus aspectos políticos, sociales, democráticos y relativos a la seguridad; destaca la necesidad de defender los derechos humanos, el pluralismo político y los derechos civiles de todos los ciudadanos, incluidos los kurdos; lamenta la continua represión política, el acoso judicial y las restricciones a los derechos culturales y lingüísticos a que se enfrentan los ciudadanos kurdos, lo que socava los principios democráticos y la cohesión social;</w:t>
      </w:r>
    </w:p>
    <w:p w14:paraId="6FD0C5BE" w14:textId="77777777" w:rsidR="00C77AFB" w:rsidRPr="00A81546" w:rsidRDefault="00C77AFB" w:rsidP="00C77AFB">
      <w:pPr>
        <w:pStyle w:val="NormalHanging12a"/>
        <w:rPr>
          <w:b/>
          <w:bCs/>
          <w:i/>
          <w:iCs/>
          <w:szCs w:val="24"/>
        </w:rPr>
      </w:pPr>
      <w:r w:rsidRPr="00A81546">
        <w:rPr>
          <w:b/>
          <w:i/>
        </w:rPr>
        <w:t>Cooperación regional y relaciones de buena vecindad</w:t>
      </w:r>
    </w:p>
    <w:p w14:paraId="373EFFBD" w14:textId="2094F823" w:rsidR="00C77AFB" w:rsidRPr="00A81546" w:rsidRDefault="00502742" w:rsidP="00C77AFB">
      <w:pPr>
        <w:pStyle w:val="NormalHanging12a"/>
        <w:rPr>
          <w:szCs w:val="24"/>
        </w:rPr>
      </w:pPr>
      <w:r w:rsidRPr="00A81546">
        <w:t>29</w:t>
      </w:r>
      <w:r w:rsidR="00C77AFB" w:rsidRPr="00A81546">
        <w:t>.</w:t>
      </w:r>
      <w:r w:rsidR="00C77AFB" w:rsidRPr="00A81546">
        <w:tab/>
        <w:t>Aplaude una vez más a Turquía por acoger a aproximadamente 3,1 millones de refugiados, entre los que se incluyen 2,9 millones de sirios bajo protección temporal en 2024, que llegaron a ser 3,2 millones en 2023; reitera la importancia de la colaboración de Turquía para la gestión eficaz y ordenada de los flujos migratorios; celebra asimismo que desde 2011 la Unión haya contribuido a ayudar a Turquía a acoger refugiados con cerca de 10 000 </w:t>
      </w:r>
      <w:r w:rsidR="0084317E" w:rsidRPr="00A81546">
        <w:t>000 000</w:t>
      </w:r>
      <w:r w:rsidR="00C77AFB" w:rsidRPr="00A81546">
        <w:t> EUR; observa que una parte de la financiación de la Unión se ha asignado al refuerzo de las capacidades turcas en materia de control y contención fronterizos; celebra la decisión de la Unión de asignar 1 000 </w:t>
      </w:r>
      <w:r w:rsidR="0084317E" w:rsidRPr="00A81546">
        <w:t>000 000</w:t>
      </w:r>
      <w:r w:rsidR="00C77AFB" w:rsidRPr="00A81546">
        <w:t> EUR más en diciembre de 2024 para seguir apoyando la asistencia sanitaria, la educación y la integración de los refugiados en Turquía desde la caída del régimen de Al</w:t>
      </w:r>
      <w:r w:rsidR="00C77AFB" w:rsidRPr="00A81546">
        <w:noBreakHyphen/>
        <w:t>Asad; observa, al mismo tiempo, que estos fondos ya se habían comprometido en mayo de 2024, por lo que no constituyen nuevos fondos; pide a la Comisión que garantice la máxima transparencia y precisión al asignar los fondos y que los proyectos financiados por la Unión, en particular los relacionados con los centros de internamiento y el control fronterizo, cumplan todas las normas pertinentes en materia de derechos humanos; manifiesta su alarma por la información creíble que revela graves violaciones de los derechos humanos en centros de internamiento de Turquía financiados por la Unión y pide a la Comisión que ponga en marcha inmediatamente una evaluación transparente e independiente al respecto; observa con preocupación que se ha registrado un aumento continuo de las solicitudes de asilo en la República de Chipre en los últimos años; recuerda la obligación de Turquía de adoptar todas las medidas necesarias para poner fin a las rutas de migración ilegal existentes y evitar la creación de nuevas rutas marítimas o terrestres para la migración ilegal desde Turquía a la Unión, en particular a Grecia y la República de Chipre; señala los riesgos en relación con cualquier posible instrumentalización de los migrantes por parte del Gobierno turco; subraya la necesidad de garantizar la protección de todos los derechos y libertades de los refugiados y migrantes; pide a Turquía que garantice la aplicación plena y no discriminatoria de la Declaración UE</w:t>
      </w:r>
      <w:r w:rsidR="00C77AFB" w:rsidRPr="00A81546">
        <w:noBreakHyphen/>
        <w:t>Turquía de 2016 y del Acuerdo de readmisión UE</w:t>
      </w:r>
      <w:r w:rsidR="00C77AFB" w:rsidRPr="00A81546">
        <w:noBreakHyphen/>
        <w:t>Turquía con respecto a todos los Estados miembros, incluida la República de Chipre; expresa con cautela su esperanza de que la evolución de la situación en Siria permita gradualmente el retorno al hogar de un número cada vez mayor de refugiados; reitera que los retornos solo deben llevarse a cabo de forma voluntaria y en condiciones de seguridad y dignidad; condena los reiterados ataques violentos contra refugiados y migrantes azuzados por retóricas xenófobas entre políticos y comunidades de acogida; pide a la Comisión y a los Estados miembros de la Unión que redoblen sus esfuerzos para preservar el espacio humanitario y de protección de los refugiados sirios en Turquía y que defiendan el principio de no devolución como piedra angular de las políticas de la Unión;</w:t>
      </w:r>
    </w:p>
    <w:p w14:paraId="06E5B6ED" w14:textId="5E12DA50" w:rsidR="00C77AFB" w:rsidRPr="00A81546" w:rsidRDefault="00502742" w:rsidP="00C77AFB">
      <w:pPr>
        <w:pStyle w:val="NormalHanging12a"/>
      </w:pPr>
      <w:r w:rsidRPr="00A81546">
        <w:t>30</w:t>
      </w:r>
      <w:r w:rsidR="00C77AFB" w:rsidRPr="00A81546">
        <w:t>.</w:t>
      </w:r>
      <w:r w:rsidR="00C77AFB" w:rsidRPr="00A81546">
        <w:tab/>
        <w:t xml:space="preserve">Reitera su gran interés por la estabilidad y la seguridad en el Mediterráneo oriental; acoge con agrado la continua distensión y el impulso positivo en la región, así como el reciente ambiente de reanudación de las relaciones entre Turquía y Grecia, aunque las cuestiones no resueltas sigan afectando a las relaciones bilaterales; lamenta que Turquía siga violando la soberanía y los derechos soberanos de Estados miembros de la Unión, como Grecia y la República de Chipre, también mediante el fomento de la doctrina de la «patria azul»; subraya que, aunque las violaciones turcas del espacio aéreo griego han disminuido drásticamente, las violaciones de las aguas territoriales griegas han aumentado en comparación con 2023 y los buques turcos han llevado a cabo actividades de pesca ilegal de manera sistemática dentro de las aguas territoriales griegas; </w:t>
      </w:r>
      <w:r w:rsidR="00CF19BF" w:rsidRPr="00A81546">
        <w:t>expresa su profunda preocupación por que Turquía siga manteniendo una amenaza formal de guerra contra Grecia (</w:t>
      </w:r>
      <w:r w:rsidR="00CF19BF" w:rsidRPr="00A81546">
        <w:rPr>
          <w:iCs/>
        </w:rPr>
        <w:t>casus belli</w:t>
      </w:r>
      <w:r w:rsidR="00CF19BF" w:rsidRPr="00A81546">
        <w:t>) en caso de que esta ejerza su derecho legítimo a ampliar sus aguas territoriales hasta doce millas náuticas en el mar Egeo, de conformidad con el artículo 3 de la Convención de las Naciones Unidas sobre el Derecho del Mar</w:t>
      </w:r>
      <w:r w:rsidR="00C77AFB" w:rsidRPr="00A81546">
        <w:t>; pide a Turquía que respete plenamente la soberanía de todos los Estados miembros de la Unión sobre sus aguas territoriales y su espacio aéreo, así como el resto de sus derechos soberanos, entre otros el derecho a explorar y explotar los recursos naturales de conformidad con el Derecho internacional y de la Unión, incluida la Convención de las Naciones Unidas sobre el Derecho del Mar (CNUDM), que forma parte del acervo de la Unión; reitera su opinión de que el memorando de entendimiento entre Turquía y Libia respecto de la delimitación de las zonas de jurisdicción marítima en el Mediterráneo vulnera los derechos soberanos de terceros Estados, no se ajusta al Derecho del mar y no puede tener efecto jurídico alguno para terceros Estados;</w:t>
      </w:r>
    </w:p>
    <w:p w14:paraId="35A75D97" w14:textId="144E0E86" w:rsidR="00C77AFB" w:rsidRPr="00A81546" w:rsidRDefault="00502742" w:rsidP="00C77AFB">
      <w:pPr>
        <w:pStyle w:val="NormalHanging12a"/>
      </w:pPr>
      <w:r w:rsidRPr="00A81546">
        <w:t>31</w:t>
      </w:r>
      <w:r w:rsidR="00C77AFB" w:rsidRPr="00A81546">
        <w:t>.</w:t>
      </w:r>
      <w:r w:rsidR="00C77AFB" w:rsidRPr="00A81546">
        <w:tab/>
        <w:t>Lamenta que el problema de Chipre siga sin resolverse y pide un serio compromiso renovado y la voluntad política de todas las partes implicadas para lograr unas negociaciones pacíficas dirigidas por las Naciones Unidas con vistas a conseguir avances reales en las conversaciones sobre la solución de Chipre; acoge con satisfacción la reanudación de las conversaciones informales bajo los auspicios del secretario general de las Naciones Unidas los días 18 y 19 de marzo de 2025, las cuales tuvieron lugar en un ambiente constructivo en el que ambas partes mostraron un claro compromiso con lograr avances y continuar el diálogo; celebra el acuerdo entre ambas partes, en el marco de un nuevo conjunto de medidas de fomento de la confianza, en cuanto a la apertura de cuatro pasos fronterizos, el desminado, la creación de un comité de asuntos de juventud, y la puesta en marcha de proyectos medioambientales y de energía solar; anima a todas las partes a que aprovechen este impulso para avanzar hacia la reanudación de las negociaciones;</w:t>
      </w:r>
    </w:p>
    <w:p w14:paraId="70BE4C3C" w14:textId="118FEDE5" w:rsidR="00C77AFB" w:rsidRPr="00A81546" w:rsidRDefault="00502742" w:rsidP="00C77AFB">
      <w:pPr>
        <w:pStyle w:val="NormalHanging12a"/>
      </w:pPr>
      <w:r w:rsidRPr="00A81546">
        <w:t>32</w:t>
      </w:r>
      <w:r w:rsidR="00C77AFB" w:rsidRPr="00A81546">
        <w:t>.</w:t>
      </w:r>
      <w:r w:rsidR="00C77AFB" w:rsidRPr="00A81546">
        <w:tab/>
        <w:t xml:space="preserve">Reitera enérgicamente su opinión de que la única solución al problema de Chipre es un acuerdo justo, global, viable y democrático, también sobre sus aspectos externos, en el marco acordado de las Naciones Unidas, basado en una federación bicomunitaria y bizonal con una única personalidad jurídica internacional, una única soberanía, una única ciudadanía e igualdad política, tal como se establece en las resoluciones pertinentes del Consejo de Seguridad de las Naciones Unidas, los ámbitos de convergencia acordados y el marco del secretario general de las Naciones Unidas, así como de conformidad con el Derecho internacional y los principios y valores en los que se fundamenta la Unión; </w:t>
      </w:r>
      <w:r w:rsidR="00CF19BF" w:rsidRPr="00A81546">
        <w:t xml:space="preserve">condena enérgicamente los intentos de Turquía de elevar el estatuto de la entidad secesionista en la parte ocupada de Chipre, en particular a través de la Organización de los Estados Túrquicos, y pide a todos los Estados que respeten la soberanía de Chipre de conformidad con las resoluciones del Consejo de Seguridad de las Naciones Unidas; </w:t>
      </w:r>
      <w:r w:rsidR="00C77AFB" w:rsidRPr="00A81546">
        <w:t>pide con carácter urgente que se reanuden las negociaciones sobre la reunificación de Chipre bajo los auspicios del secretario general de las Naciones Unidas lo antes posible desde el punto en el que se interrumpieron en Crans</w:t>
      </w:r>
      <w:r w:rsidR="00C77AFB" w:rsidRPr="00A81546">
        <w:noBreakHyphen/>
        <w:t>Montana en 2017; solicita a Turquía que abandone la inaceptable propuesta de solución de dos Estados en Chipre y que vuelva a la base acordada para la solución y al marco de las Naciones Unidas; pide asimismo a Turquía que retire sus tropas de Chipre y se abstenga de toda acción unilateral que pueda prolongar la división permanente de la isla y de cualquier acción que altere el equilibrio demográfico;</w:t>
      </w:r>
    </w:p>
    <w:p w14:paraId="4F7F8698" w14:textId="59A61B0B" w:rsidR="00C77AFB" w:rsidRPr="00A81546" w:rsidRDefault="00502742" w:rsidP="00C77AFB">
      <w:pPr>
        <w:pStyle w:val="NormalHanging12a"/>
      </w:pPr>
      <w:r w:rsidRPr="00A81546">
        <w:t>33</w:t>
      </w:r>
      <w:r w:rsidR="00C77AFB" w:rsidRPr="00A81546">
        <w:t>.</w:t>
      </w:r>
      <w:r w:rsidR="00C77AFB" w:rsidRPr="00A81546">
        <w:tab/>
        <w:t>Pide a Turquía que respete el estatuto de la zona de seguridad y el mandato de la Fuerza de las Naciones Unidas para el Mantenimiento de la Paz en Chipre (UNFICYP); reitera su llamamiento a la colaboración entre la República de Chipre, Turquía, el Reino Unido y las Naciones Unidas al objeto tanto de aplicar medidas específicas tendentes a la desmilitarización de la zona de seguridad como de mejorar la seguridad en la isla; insta a Turquía y a los dirigentes turcochipriotas a que den marcha atrás en todas las acciones unilaterales y violaciones dentro de la zona de seguridad y en sus proximidades, así como a que se abstengan de nuevas acciones y provocaciones de este tipo; condena la «apertura» de Varosha que sigue llevando a cabo Turquía, ya que esto altera negativamente la situación sobre el terreno, socava la confianza mutua y repercute negativamente en las perspectivas de reanudación de conversaciones directas sobre la solución global del problema de Chipre; solicita a Turquía que dé marcha atrás en sus acciones ilegales en violación de las Resoluciones 550(1984) y 789(1992) del Consejo de Seguridad de las Naciones Unidas en relación con Varosha, en las que se pide al país que transfiera la zona de Varosha a sus legítimos habitantes bajo la administración temporal de las Naciones Unidas, se retire de Strovilia y facilite la plena aplicación del acuerdo de Pyla;</w:t>
      </w:r>
    </w:p>
    <w:p w14:paraId="6A5B452A" w14:textId="34B895E7" w:rsidR="00CF19BF" w:rsidRPr="00A81546" w:rsidRDefault="00502742" w:rsidP="00C77AFB">
      <w:pPr>
        <w:pStyle w:val="NormalHanging12a"/>
      </w:pPr>
      <w:r w:rsidRPr="00A81546">
        <w:t>34</w:t>
      </w:r>
      <w:r w:rsidR="00CF19BF" w:rsidRPr="00A81546">
        <w:t>.</w:t>
      </w:r>
      <w:r w:rsidR="00CF19BF" w:rsidRPr="00A81546">
        <w:tab/>
        <w:t xml:space="preserve">Reitera su profunda preocupación por todas las acciones unilaterales destinadas a afianzar sobre el terreno la división permanente de Chipre en lugar de su reunificación; condena, en este contexto, la reciente visita ilegal del presidente </w:t>
      </w:r>
      <w:r w:rsidR="00C81A8D" w:rsidRPr="00A81546">
        <w:t xml:space="preserve">Erdoğan </w:t>
      </w:r>
      <w:r w:rsidR="00CF19BF" w:rsidRPr="00A81546">
        <w:t>a las zonas ocupadas de la República de Chipre, así como sus declaraciones provocativas, que ponen en peligro los esfuerzos de las Naciones Unidas, la Unión, la comunidad internacional en general y otras partes implicadas para la reanudación de negociaciones sustanciales en el marco acordado; lamenta que tales acciones unilaterales equivalgan a una intervención ilegítima directa contra los intereses de las comunidades grecochipriota y turcochipriota;</w:t>
      </w:r>
    </w:p>
    <w:p w14:paraId="4A795531" w14:textId="54685F52" w:rsidR="00C77AFB" w:rsidRPr="00A81546" w:rsidRDefault="00502742" w:rsidP="00C77AFB">
      <w:pPr>
        <w:pStyle w:val="NormalHanging12a"/>
      </w:pPr>
      <w:r w:rsidRPr="00A81546">
        <w:t>35</w:t>
      </w:r>
      <w:r w:rsidR="00C77AFB" w:rsidRPr="00A81546">
        <w:t>.</w:t>
      </w:r>
      <w:r w:rsidR="00C77AFB" w:rsidRPr="00A81546">
        <w:tab/>
        <w:t>Reitera su llamamiento a Turquía para que conceda a la comunidad turcochipriota el espacio necesario para actuar de conformidad con su papel de comunidad legítima de la isla, que es un derecho garantizado por la Constitución de la República de Chipre; reitera su llamamiento a la Comisión para que redoble sus esfuerzos por colaborar con la comunidad turcochipriota con vistas a facilitar que se resuelva el problema de Chipre y a recordar que el lugar de esta se encuentra en la Unión; pide a todas las partes implicadas que adopten un enfoque más valiente a la hora de acercar a las comunidades; subraya la necesidad de que el corpus legislativo de la Unión se aplique en toda la isla una vez que se resuelva totalmente el problema de Chipre;</w:t>
      </w:r>
    </w:p>
    <w:p w14:paraId="2BC61916" w14:textId="431D9CF6" w:rsidR="00C77AFB" w:rsidRPr="00A81546" w:rsidRDefault="00502742" w:rsidP="00C77AFB">
      <w:pPr>
        <w:pStyle w:val="NormalHanging12a"/>
      </w:pPr>
      <w:r w:rsidRPr="00A81546">
        <w:t>36</w:t>
      </w:r>
      <w:r w:rsidR="00C77AFB" w:rsidRPr="00A81546">
        <w:t>.</w:t>
      </w:r>
      <w:r w:rsidR="00C77AFB" w:rsidRPr="00A81546">
        <w:tab/>
        <w:t>Toma nota de la importante labor del Comité sobre Personas Desaparecidas en Chipre y pide que el Ejército turco mejore el acceso a las zonas militares</w:t>
      </w:r>
      <w:r w:rsidR="00B74140" w:rsidRPr="00A81546">
        <w:t xml:space="preserve"> ocupadas</w:t>
      </w:r>
      <w:r w:rsidR="00C77AFB" w:rsidRPr="00A81546">
        <w:t>, proporcione acceso a sus archivos militares e informe sobre el traslado de restos desde antiguos lugares de enterramiento a otros posteriores; mantiene su profunda preocupación por las restricciones y los obstáculos educativos y religiosos a los que se enfrentan los grecochipriotas enclavados; pide a Turquía que intensifique su cooperación con el Consejo de Europa y sus órganos e instituciones pertinentes, aborde sus recomendaciones clave, aplique plenamente el Convenio Europeo de Derechos Humanos respetando la libertad de religión, la libertad de opinión y de expresión, y el derecho a acceder al patrimonio cultural y a disfrutar de él, y ponga fin a la destrucción deliberada de patrimonio cultural y religioso; condena los reiterados intentos de Turquía de intimidar y acallar a periodistas, sindicalistas y defensores de los derechos humanos turcochipriotas y a ciudadanos progresistas de la comunidad turcochipriota, lo que vulnera sus derechos a la libertad de opinión y de expresión; pide a Turquía que ponga fin a su proclamada política agresiva de venta y explotación de propiedades grecochipriotas, una política concebida para provocar consecuencias irreversibles sobre el terreno sin tener para nada en cuenta la sentencia del Tribunal Europeo de Derechos Humanos sobre esta cuestión;</w:t>
      </w:r>
    </w:p>
    <w:p w14:paraId="69BD2420" w14:textId="621B70D7" w:rsidR="00C77AFB" w:rsidRPr="00A81546" w:rsidRDefault="00502742" w:rsidP="00C77AFB">
      <w:pPr>
        <w:pStyle w:val="NormalHanging12a"/>
      </w:pPr>
      <w:r w:rsidRPr="00A81546">
        <w:t>37</w:t>
      </w:r>
      <w:r w:rsidR="00C77AFB" w:rsidRPr="00A81546">
        <w:t>.</w:t>
      </w:r>
      <w:r w:rsidR="00C77AFB" w:rsidRPr="00A81546">
        <w:tab/>
        <w:t>Lamenta la reiterada negativa de Turquía a cumplir el Derecho aeronáutico y a establecer un canal de comunicación entre los centros de control del tráfico aéreo de Turquía y de la República de Chipre, cuya ausencia entraña riesgos y amenazas reales para la seguridad señalados por la Agencia de la Unión Europea para la Seguridad Aérea y por la Federación Internacional de Asociaciones de Pilotos de Líneas Aéreas; lamenta asimismo su denegación de acceso a los buques que enarbolan el pabellón de un Estado miembro a los estrechos del Bósforo y de los Dardanelos; considera que, en estos ámbitos, Turquía puede demostrar su compromiso con las medidas de fomento de la confianza y le pide que colabore aplicando íntegramente el Derecho aeronáutico de la Unión; lamenta que Turquía no haya cesado ni en sus intentos de impedir la ejecución del Interconector del Gran Mar, un proyecto de interés común de la Unión, ni en sus planes de interconexión eléctrica ilegal con la zona ocupada de Chipre;</w:t>
      </w:r>
    </w:p>
    <w:p w14:paraId="181FD63D" w14:textId="51C4E263" w:rsidR="00C77AFB" w:rsidRPr="00A81546" w:rsidRDefault="00502742" w:rsidP="00C77AFB">
      <w:pPr>
        <w:pStyle w:val="NormalHanging12a"/>
      </w:pPr>
      <w:r w:rsidRPr="00A81546">
        <w:t>38</w:t>
      </w:r>
      <w:r w:rsidR="00C77AFB" w:rsidRPr="00A81546">
        <w:t>.</w:t>
      </w:r>
      <w:r w:rsidR="00C77AFB" w:rsidRPr="00A81546">
        <w:tab/>
        <w:t>Lamenta que Turquía lleve veinte años negándose a cumplir las obligaciones asumidas con la Unión, incluidas las relativas a Chipre, de conformidad con el marco de negociación de octubre de 2005; hace hincapié en que el reconocimiento de todos los Estados miembros constituye un elemento necesario del proceso de adhesión; reitera su llamamiento a Turquía para que cumpla su obligación de aplicar íntegramente y de manera no discriminatoria el Protocolo Adicional del Acuerdo de Ankara respecto de todos los Estados miembros, incluida la República de Chipre; pide por otra parte a Turquía que vele por el pleno respeto de los derechos humanos y políticos de todos los chipriotas y quede garantizado el cumplimiento de los principios fundamentales de la Unión Europea y el acervo europeo;</w:t>
      </w:r>
    </w:p>
    <w:p w14:paraId="186AAA3E" w14:textId="092DDA97" w:rsidR="00C77AFB" w:rsidRPr="00A81546" w:rsidRDefault="00502742" w:rsidP="00C77AFB">
      <w:pPr>
        <w:pStyle w:val="NormalHanging12a"/>
        <w:rPr>
          <w:szCs w:val="24"/>
        </w:rPr>
      </w:pPr>
      <w:r w:rsidRPr="00A81546">
        <w:t>39</w:t>
      </w:r>
      <w:r w:rsidR="00C77AFB" w:rsidRPr="00A81546">
        <w:t>.</w:t>
      </w:r>
      <w:r w:rsidR="00C77AFB" w:rsidRPr="00A81546">
        <w:tab/>
        <w:t>Afirma su apoyo a un futuro libre, seguro y estable para Siria y su ciudadanía y subraya la necesidad de un proceso de transición política inclusivo y pacífico dirigido y protagonizado por el pueblo sirio en que también se proteja e incluya a las minorías religiosas y étnicas; manifiesta su compromiso con que la Unión y Turquía cooperen de forma constructiva para ello en lo que respecta a la ayuda humanitaria, la promoción de una solución política sostenible en Siria y la lucha contra el Dáesh, dado que Turquía debe desempeñar un papel clave a la hora de fomentar la estabilidad de la región; recuerda que debe restablecerse la soberanía de Siria; reconoce la importancia de reconstruir la economía siria como pilar de estabilidad y prosperidad a largo plazo para la región; pide a Turquía que respete la integridad y la soberanía territoriales de Siria y que ponga fin inmediatamente a todos los ataques, incursiones y ocupación del territorio sirio, respetando plenamente el Derecho internacional; condena los ataques perpetrados en las últimas semanas, aprovechando el colapso del régimen de Al</w:t>
      </w:r>
      <w:r w:rsidR="00C77AFB" w:rsidRPr="00A81546">
        <w:noBreakHyphen/>
        <w:t>Asad, por milicias respaldadas por Turquía contra las fuerzas kurdas sirias en el norte de Siria; manifiesta su profunda inquietud ante dichos ataques puesto que, además de aumentar el número de desplazados internos, también suponen una amenaza para la eficiencia y la continuidad de la lucha contra el Dáesh; observa que su actual presencia amenaza con desestabilizar y socavar aún más las iniciativas por alcanzar una resolución política sostenible en Siria; señala por otra parte que, aduciendo preocupaciones en materia de seguridad, Turquía también ocupa ilegalmente zonas de Irak; reitera que las poblaciones civiles nunca deben ser víctimas de la autodefensa militar; pide como algo necesario que se investiguen los casos en los que se han producido víctimas civiles y que se ponga fin a la represión de los periodistas que trabajan en la zona; solicita a Turquía que respalde el proceso de aplicación del acuerdo entre el Gobierno de transición sirio y las Fuerzas Democráticas de Siria, dirigidas por los kurdos, y que se abstenga de toda injerencia en los procesos internos sirios;</w:t>
      </w:r>
    </w:p>
    <w:p w14:paraId="4F11DC52" w14:textId="3F27988A" w:rsidR="00C77AFB" w:rsidRPr="00A81546" w:rsidRDefault="00502742" w:rsidP="00C77AFB">
      <w:pPr>
        <w:pStyle w:val="NormalHanging12a"/>
        <w:rPr>
          <w:szCs w:val="24"/>
        </w:rPr>
      </w:pPr>
      <w:r w:rsidRPr="00A81546">
        <w:t>40</w:t>
      </w:r>
      <w:r w:rsidR="00C77AFB" w:rsidRPr="00A81546">
        <w:t>.</w:t>
      </w:r>
      <w:r w:rsidR="00C77AFB" w:rsidRPr="00A81546">
        <w:tab/>
        <w:t>Apoya la normalización de las relaciones entre Armenia y Turquía en interés de la reconciliación, las relaciones de buena vecindad, y la estabilidad y la seguridad regionales, así como del desarrollo socioeconómico, y acoge con satisfacción los avances hasta la fecha; celebra los continuos esfuerzos por restablecer los vínculos entre ambos países; insta a Turquía a que vele por la rápida aplicación de los acuerdos alcanzados por los representantes especiales de los Gobiernos turco y armenio, como la apertura del espacio aéreo y de la frontera entre ambos países para los nacionales de terceros países y, posteriormente, para los titulares de pasaportes diplomáticos; acoge con satisfacción la apertura temporal del paso fronterizo de Margara</w:t>
      </w:r>
      <w:r w:rsidR="00C77AFB" w:rsidRPr="00A81546">
        <w:noBreakHyphen/>
        <w:t>Alican entre Armenia y Turquía para facilitar la prestación de ayuda humanitaria a Siria; expresa su esperanza de que estos acontecimientos puedan suponer un impulso a la normalización de las relaciones en el Cáucaso meridional, también en términos de seguridad y desarrollo socioeconómico, y hace hincapié en el interés de la Unión en apoyar este proceso; anima a Turquía a desempeñar un papel constructivo en la promoción de la estabilidad regional facilitando la rápida conclusión del proceso de paz entre Armenia y Azerbaiyán, entre otras maneras, ejerciendo su influencia en Azerbaiyán y disuadiendo a este país de cualquier nueva acción militar contra la soberanía armenia; anima, una vez más, a Turquía a reconocer el genocidio armenio y allanar así el camino para una reconciliación auténtica entre los pueblos turco y armenio, así como a respetar plenamente sus obligaciones de proteger el patrimonio cultural armenio;</w:t>
      </w:r>
    </w:p>
    <w:p w14:paraId="7B3E20C9" w14:textId="6D13BD1F" w:rsidR="00C77AFB" w:rsidRPr="00A81546" w:rsidRDefault="00502742" w:rsidP="00C77AFB">
      <w:pPr>
        <w:pStyle w:val="NormalHanging12a"/>
      </w:pPr>
      <w:r w:rsidRPr="00A81546">
        <w:t>41</w:t>
      </w:r>
      <w:r w:rsidR="00C77AFB" w:rsidRPr="00A81546">
        <w:t>.</w:t>
      </w:r>
      <w:r w:rsidR="00C77AFB" w:rsidRPr="00A81546">
        <w:tab/>
        <w:t>Observa que la postura de Turquía en relación con la guerra de agresión de Rusia contra Ucrania sigue afectando a las relaciones entre la Unión y Turquía, ya que este país intenta mantener simultáneamente vínculos tanto con Occidente como con Rusia; toma nota de los intentos diplomáticos de Turquía de mediar entre Rusia y Ucrania, en particular en lo que respecta a la Iniciativa sobre la Exportación de Cereales por el Mar Negro, así como el apoyo continuado de Turquía a la integridad y la soberanía territoriales de Ucrania, incluido su voto a favor de las resoluciones de la Asamblea General de las Naciones Unidas que condenan la agresión de Rusia contra Ucrania; lamenta que, por otra parte, el comercio entre Turquía y Rusia haya aumentado drásticamente desde el inicio de la guerra en Ucrania, lo que ha convertido a Turquía en el segundo socio comercial más importante de Rusia a pesar de las sanciones de la Unión contra este país, así como que Turquía sea el único Estado miembro de la OTAN que no ha impuesto sanción alguna a Rusia; subraya asimismo que la oficina antifraude de la Unión Europea, la OLAF, ha iniciado una investigación sobre una laguna legal que permite a países como Turquía cambiar la marca del petróleo ruso sancionado y exportarlo a la Unión; acoge con satisfacción, no obstante, las medidas positivas que Turquía ha tomado, como el bloqueo de las exportaciones a Rusia de determinados productos de doble uso y de productos originarios de los Estados Unidos y el Reino Unido que benefician a la acción militar rusa; reitera su llamamiento al Gobierno turco para que abandone sus proyectos relacionados con la central nuclear de Akkuyu, que será construida y explotada por la empresa estatal rusa de energía atómica, Rosatom, y pertenecerá a esta; expresa su inquietud por el diálogo actual entre Turquía y Rusia para establecer un nudo gasístico en Estambul, el cual se prevé que empiece a funcionar en 2025;</w:t>
      </w:r>
    </w:p>
    <w:p w14:paraId="197CA78C" w14:textId="294B4A0C" w:rsidR="00C77AFB" w:rsidRPr="00A81546" w:rsidRDefault="00502742" w:rsidP="00C77AFB">
      <w:pPr>
        <w:pStyle w:val="NormalHanging12a"/>
      </w:pPr>
      <w:r w:rsidRPr="00A81546">
        <w:t>42</w:t>
      </w:r>
      <w:r w:rsidR="00C77AFB" w:rsidRPr="00A81546">
        <w:t>.</w:t>
      </w:r>
      <w:r w:rsidR="00C77AFB" w:rsidRPr="00A81546">
        <w:tab/>
        <w:t>Acoge con satisfacción la participación de Turquía en diversas misiones y operaciones de gestión de crisis (en el marco de la política común de seguridad y defensa); lamenta, sin embargo, que se siga deteriorando el nivel de armonización de las posiciones en materia de política exterior y de seguridad común, incluidas las sanciones y la lucha contra la elusión de las sanciones, que ha caído a un nivel históricamente bajo del 5 %, el menor de todos los países en vías de adhesión; recuerda que los países candidatos a la adhesión a la Unión están obligados a ajustarse progresivamente a la política exterior y de seguridad común de la Unión y a respetar el Derecho internacional; lamenta que Turquía no haya adoptado ninguna medida en este sentido, en particular al no ajustarse a las sanciones de la Unión contra Rusia, y que la Unión y Turquía diverjan de manera preocupante en materia de política exterior en numerosos ámbitos de interés mutuo; insta a Turquía a alinearse con la Unión en las sanciones contra Rusia y a aplicarlas plenamente, incluidas las medidas antielusión, así como a cooperar sin reservas con el enviado especial internacional para la aplicación de las sanciones de la UE;</w:t>
      </w:r>
    </w:p>
    <w:p w14:paraId="5E346852" w14:textId="48646488" w:rsidR="00C77AFB" w:rsidRPr="00A81546" w:rsidRDefault="00502742" w:rsidP="00C77AFB">
      <w:pPr>
        <w:pStyle w:val="NormalHanging12a"/>
      </w:pPr>
      <w:r w:rsidRPr="00A81546">
        <w:t>43</w:t>
      </w:r>
      <w:r w:rsidR="00C77AFB" w:rsidRPr="00A81546">
        <w:t>.</w:t>
      </w:r>
      <w:r w:rsidR="00C77AFB" w:rsidRPr="00A81546">
        <w:tab/>
        <w:t>Destaca la importancia de reforzar la cooperación entre la Unión y Turquía en materia de seguridad mundial, en particular a la luz de la constante evolución del panorama geopolítico y de los posibles cambios en la política exterior de los Estados Unidos; expresa con cautela su esperanza de que los recientes compromisos informales de Turquía, como la asistencia de su ministro de Asuntos Exteriores a la reunión informal de ministros de Asuntos Exteriores de la Unión en 2024, puedan impulsar una mejora en las relaciones; reconoce el papel clave de Turquía en cuanto aliado de la OTAN y acoge con satisfacción la decisión del Parlamento turco de ratificar la adhesión de Suecia a la OTAN en enero de 2024; recuerda a este respecto que Turquía tiene una responsabilidad clave a la hora de fomentar la estabilidad tanto a escala regional como mundial y se espera que actúe en consonancia con sus obligaciones para con la OTAN, especialmente teniendo en cuenta las actuales turbulencias geopolíticas; alienta un compromiso constructivo en un diálogo político más estructurado y frecuente en materia de política exterior y de seguridad y defensa para impulsar la colaboración en intereses convergentes, trabajando al mismo tiempo para reducir las divergencias, en particular en lo que respecta a la eliminación de los continuos obstáculos a la mejora de una auténtica relación entre la Unión y la OTAN, en particular la compra a Rusia del sistema de defensa aérea S</w:t>
      </w:r>
      <w:r w:rsidR="00C77AFB" w:rsidRPr="00A81546">
        <w:noBreakHyphen/>
        <w:t>400; reitera su debida preocupación por el hecho de que Turquía siga excluyendo a un Estado miembro de la cooperación con la OTAN;</w:t>
      </w:r>
    </w:p>
    <w:p w14:paraId="1B92F00D" w14:textId="4E719BC2" w:rsidR="00C77AFB" w:rsidRPr="00A81546" w:rsidRDefault="00502742" w:rsidP="00C77AFB">
      <w:pPr>
        <w:pStyle w:val="NormalHanging12a"/>
      </w:pPr>
      <w:r w:rsidRPr="00A81546">
        <w:t>44</w:t>
      </w:r>
      <w:r w:rsidR="00C77AFB" w:rsidRPr="00A81546">
        <w:t>.</w:t>
      </w:r>
      <w:r w:rsidR="00C77AFB" w:rsidRPr="00A81546">
        <w:tab/>
        <w:t>Acoge con satisfacción la posición mantenida desde hace tiempo por Turquía a favor de una solución de dos Estados para el conflicto palestino</w:t>
      </w:r>
      <w:r w:rsidR="00C77AFB" w:rsidRPr="00A81546">
        <w:noBreakHyphen/>
        <w:t>israelí, su llamamiento en favor de un alto el fuego en la guerra entre Israel y Hamás y sus esfuerzos en curso para suministrar ayuda humanitaria a Gaza durante todo el conflicto; lamenta profundamente, al mismo tiempo, el respaldo activo de las autoridades turcas, incluido el del presidente, al grupo Hamás, incluido en la lista de terroristas de la Unión, y su postura sobre el ataque contra Israel del 7 de octubre de 2023, que el Gobierno turco no condenó; señala que el apoyo abierto de Turquía a Hamás y su negativa a tratarlo como una organización terrorista no es compatible con la política exterior y de seguridad de la Unión; pide en consecuencia que se reconsidere esta postura;</w:t>
      </w:r>
    </w:p>
    <w:p w14:paraId="6F0FE987" w14:textId="77713FF5" w:rsidR="00C77AFB" w:rsidRPr="00A81546" w:rsidRDefault="00502742" w:rsidP="00C77AFB">
      <w:pPr>
        <w:pStyle w:val="NormalHanging12a"/>
        <w:rPr>
          <w:szCs w:val="24"/>
        </w:rPr>
      </w:pPr>
      <w:r w:rsidRPr="00A81546">
        <w:t>45</w:t>
      </w:r>
      <w:r w:rsidR="00C77AFB" w:rsidRPr="00A81546">
        <w:t>.</w:t>
      </w:r>
      <w:r w:rsidR="00C77AFB" w:rsidRPr="00A81546">
        <w:tab/>
        <w:t>Observa con preocupación que Turquía ha presentado una solicitud para unirse al bloque de los BRICS+ y se le ha ofrecido el estatus de «país socio», además de estar considerando hacer lo mismo en relación con la Organización de Cooperación de Shanghái, donde tiene el estatus de socio de diálogo; expresa su profunda preocupación por el interés cada vez mayor de Turquía por un marco de asociación alternativo, lo que resulta fundamentalmente incompatible con el proceso de adhesión a la Unión; insiste en que el nuevo estatus de Turquía como país socio de los BRICS no debe afectar a sus responsabilidades dentro de la OTAN; observa que Turquía ha estado cultivando formatos de cooperación, asociaciones y alianzas regionales fuera de la Unión; manifiesta su preocupación por la tendencia de Turquía a seguir este planteamiento multivectorial para promover sus intereses sin comprometerse a cooperar por completo con ninguna de estas alianzas;</w:t>
      </w:r>
    </w:p>
    <w:p w14:paraId="507ED2D5" w14:textId="4EAF9C14" w:rsidR="00C77AFB" w:rsidRPr="00A81546" w:rsidRDefault="00502742" w:rsidP="00C77AFB">
      <w:pPr>
        <w:pStyle w:val="NormalHanging12a"/>
        <w:rPr>
          <w:szCs w:val="24"/>
        </w:rPr>
      </w:pPr>
      <w:r w:rsidRPr="00A81546">
        <w:t>46</w:t>
      </w:r>
      <w:r w:rsidR="00C77AFB" w:rsidRPr="00A81546">
        <w:t>.</w:t>
      </w:r>
      <w:r w:rsidR="00C77AFB" w:rsidRPr="00A81546">
        <w:tab/>
        <w:t>Mantiene su preocupación por el uso por parte del Gobierno turco de la diáspora del país como instrumento para la intromisión esporádica en las políticas nacionales de los Estados miembros de la Unión;</w:t>
      </w:r>
    </w:p>
    <w:p w14:paraId="2C6B19B6" w14:textId="77777777" w:rsidR="00C77AFB" w:rsidRPr="00A81546" w:rsidRDefault="00C77AFB" w:rsidP="00C77AFB">
      <w:pPr>
        <w:pStyle w:val="NormalHanging12a"/>
        <w:rPr>
          <w:b/>
          <w:bCs/>
          <w:i/>
          <w:iCs/>
        </w:rPr>
      </w:pPr>
      <w:r w:rsidRPr="00A81546">
        <w:rPr>
          <w:b/>
          <w:i/>
        </w:rPr>
        <w:t>Reformas socioeconómicas y en el ámbito de la sostenibilidad</w:t>
      </w:r>
    </w:p>
    <w:p w14:paraId="23C616E9" w14:textId="420391B1" w:rsidR="00C77AFB" w:rsidRPr="00A81546" w:rsidRDefault="00502742" w:rsidP="00C77AFB">
      <w:pPr>
        <w:pStyle w:val="NormalHanging12a"/>
      </w:pPr>
      <w:r w:rsidRPr="00A81546">
        <w:t>47</w:t>
      </w:r>
      <w:r w:rsidR="00C77AFB" w:rsidRPr="00A81546">
        <w:t>.</w:t>
      </w:r>
      <w:r w:rsidR="00C77AFB" w:rsidRPr="00A81546">
        <w:tab/>
        <w:t>Acoge con satisfacción el retorno de Turquía a una política económica y monetaria más convencional, manteniendo al mismo tiempo un crecimiento sólido y un déficit público moderado; lamenta, no obstante, que los ciudadanos asuman de nuevo su coste en forma de tipos de interés más elevados; destaca que las vulnerabilidades sociales han aumentado, en particular entre los niños y las personas mayores, principalmente debido a la ausencia de una estrategia global de reducción de la pobreza y a las desigualdades de ingresos; subraya la necesidad de que las autoridades turcas adopten medidas globales de protección social, refuercen los derechos de negociación colectiva y velen por que las reformas económicas den prioridad a la reducción de las desigualdades y a la creación de oportunidades laborales dignas;</w:t>
      </w:r>
    </w:p>
    <w:p w14:paraId="0169C08A" w14:textId="1DF918C2" w:rsidR="00C77AFB" w:rsidRPr="00A81546" w:rsidRDefault="00502742" w:rsidP="00C77AFB">
      <w:pPr>
        <w:pStyle w:val="NormalHanging12a"/>
      </w:pPr>
      <w:r w:rsidRPr="00A81546">
        <w:t>48</w:t>
      </w:r>
      <w:r w:rsidR="00C77AFB" w:rsidRPr="00A81546">
        <w:t>.</w:t>
      </w:r>
      <w:r w:rsidR="00C77AFB" w:rsidRPr="00A81546">
        <w:tab/>
        <w:t>Lamenta que, a pesar de los avances observados en las políticas económicas y monetarias, otras acciones del Gobierno turco que afectan al Estado de Derecho sigan socavando principios básicos como la seguridad jurídica, lo que repercute negativamente en la capacidad potencial de Turquía para recibir inversiones; acoge con satisfacción la supresión de Turquía de la lista gris del Grupo de Acción Financiera Internacional en junio de 2024, tras lograr avances significativos en la mejora de su régimen de lucha contra el blanqueo de capitales y la financiación del terrorismo;</w:t>
      </w:r>
    </w:p>
    <w:p w14:paraId="510C2415" w14:textId="78377BB4" w:rsidR="00C77AFB" w:rsidRPr="00A81546" w:rsidRDefault="00502742" w:rsidP="00C77AFB">
      <w:pPr>
        <w:pStyle w:val="NormalHanging12a"/>
      </w:pPr>
      <w:r w:rsidRPr="00A81546">
        <w:t>49</w:t>
      </w:r>
      <w:r w:rsidR="00C77AFB" w:rsidRPr="00A81546">
        <w:t>.</w:t>
      </w:r>
      <w:r w:rsidR="00C77AFB" w:rsidRPr="00A81546">
        <w:tab/>
        <w:t>Acoge favorablemente el aumento de la actividad inversora de Turquía en el sector de la energía verde y pide a Turquía que siga mejorando la compatibilidad de su política energética con el acervo de la Unión aprovechando su enorme potencial en materia de energías renovables; expresa su preocupación por la falta de avances apreciables en materia de acción por el clima, en particular debido a la ausencia de una legislación global sobre el clima, de un régimen nacional de comercio de derechos de emisión y de una estrategia de desarrollo a largo plazo con bajas emisiones, lo que socava su objetivo de neutralidad climática para 2053; destaca la necesidad de un marco jurídico sólido y mecanismos de ejecución más estrictos para salvaguardar los recursos medioambientales y naturales; insta a Turquía a adaptar sus políticas medioambientales al acervo de la Unión, también en lo que respecta a la protección de los hábitats naturales a la hora de llevar a cabo proyectos mineros, y subraya la importancia que reviste la adhesión de Turquía al Convenio de Aarhus; elogia la labor de los defensores de los derechos medioambientales en Turquía y advierte contra el grave impacto medioambiental de los proyectos gubernamentales a gran escala, como la expansión de sus actividades de extracción de cobre en el monte Ida (Kaz Daglari);</w:t>
      </w:r>
    </w:p>
    <w:p w14:paraId="59D10B13" w14:textId="03918F32" w:rsidR="00C77AFB" w:rsidRPr="00A81546" w:rsidRDefault="00502742" w:rsidP="00C77AFB">
      <w:pPr>
        <w:pStyle w:val="NormalHanging12a"/>
      </w:pPr>
      <w:r w:rsidRPr="00A81546">
        <w:t>50</w:t>
      </w:r>
      <w:r w:rsidR="00C77AFB" w:rsidRPr="00A81546">
        <w:t>.</w:t>
      </w:r>
      <w:r w:rsidR="00C77AFB" w:rsidRPr="00A81546">
        <w:tab/>
        <w:t>Destaca que Turquía ha tomado medidas para diversificar el suministro de energía y aumentar su cuota de energías renovables; observa que el país es el séptimo mercado de GNL del mundo por tamaño y destaca su potencial como centro energético regional; toma nota de que Turquía se ha adherido a los objetivos mundiales en materia de eficiencia energética y capacidad de energías renovables de aquí a 2030; pide a la Comisión que tenga en cuenta el potencial de Turquía como centro energético regional en las iniciativas para aumentar la capacidad de energías renovables instaladas en la región mediterránea y en el desarrollo del nuevo Pacto por el Mediterráneo y solicita que la cooperación energética forme parte de la agenda común;</w:t>
      </w:r>
    </w:p>
    <w:p w14:paraId="43A2CE37" w14:textId="022F2CBC" w:rsidR="00C77AFB" w:rsidRPr="00A81546" w:rsidRDefault="00502742" w:rsidP="00C77AFB">
      <w:pPr>
        <w:pStyle w:val="NormalHanging12a"/>
        <w:rPr>
          <w:szCs w:val="24"/>
        </w:rPr>
      </w:pPr>
      <w:r w:rsidRPr="00A81546">
        <w:t>51</w:t>
      </w:r>
      <w:r w:rsidR="00C77AFB" w:rsidRPr="00A81546">
        <w:t>.</w:t>
      </w:r>
      <w:r w:rsidR="00C77AFB" w:rsidRPr="00A81546">
        <w:tab/>
        <w:t>Observa algunas mejoras en las condiciones del mercado laboral y señala una serie de retos cruciales pendientes, como el empleo informal, la brecha de género y la desigualdad de ingresos; manifiesta su preocupación por la escasa cobertura de la negociación colectiva y la falta de reconocimiento de los derechos sindicales de determinados empleados del sector público; considera que son necesarios más esfuerzos para mejorar los mecanismos de diálogo social y abordar los retos emergentes en materia de seguridad laboral; recuerda que la libertad sindical y el diálogo social son cruciales para el desarrollo y la prosperidad de una sociedad plural; lamenta, en este sentido, las recientes detenciones de sindicalistas, entre ellos Remzi Çalișkan, vicepresidente de la confederación DISK y presidente de Genel</w:t>
      </w:r>
      <w:r w:rsidR="00C77AFB" w:rsidRPr="00A81546">
        <w:noBreakHyphen/>
        <w:t>İş, que fue puesto en libertad tras un mes de prisión, Kemal Göksoy, presidente de la sección Mersin de Genel</w:t>
      </w:r>
      <w:r w:rsidR="00C77AFB" w:rsidRPr="00A81546">
        <w:noBreakHyphen/>
        <w:t>İș, que sigue en prisión, y Mehmet Türkmen, presidente del sindicato del sector textil BİRTEK SEN, que fue detenido el 14 de febrero de 2025;</w:t>
      </w:r>
    </w:p>
    <w:p w14:paraId="57CDE68D" w14:textId="77777777" w:rsidR="00C77AFB" w:rsidRPr="00A81546" w:rsidRDefault="00C77AFB" w:rsidP="00C77AFB">
      <w:pPr>
        <w:pStyle w:val="NormalHanging12a"/>
        <w:rPr>
          <w:b/>
          <w:bCs/>
          <w:i/>
          <w:iCs/>
          <w:szCs w:val="24"/>
        </w:rPr>
      </w:pPr>
      <w:r w:rsidRPr="00A81546">
        <w:rPr>
          <w:b/>
          <w:i/>
        </w:rPr>
        <w:t>Relaciones generales entre la Unión y Turquía</w:t>
      </w:r>
    </w:p>
    <w:p w14:paraId="11128F82" w14:textId="66D3EB48" w:rsidR="00C77AFB" w:rsidRPr="00A81546" w:rsidRDefault="00502742" w:rsidP="00C77AFB">
      <w:pPr>
        <w:pStyle w:val="NormalHanging12a"/>
      </w:pPr>
      <w:r w:rsidRPr="00A81546">
        <w:t>52</w:t>
      </w:r>
      <w:r w:rsidR="00C77AFB" w:rsidRPr="00A81546">
        <w:t>.</w:t>
      </w:r>
      <w:r w:rsidR="00C77AFB" w:rsidRPr="00A81546">
        <w:tab/>
        <w:t xml:space="preserve">Reitera su firme convicción de que, más allá de que el proceso de adhesión se encuentre actualmente paralizado, Turquía es un país de relevancia estratégica y un socio fundamental para la estabilidad de la región en general que desempeña un importante papel a la hora de abordar cuestiones como los retos en materia de seguridad, la gestión de la migración, la lucha contra el terrorismo y la seguridad energética; destaca la importancia de mantener un diálogo constructivo y de profundizar la cooperación en ámbitos de interés estratégico mutuo; señala que hay una serie de ámbitos políticos que requerirán una futura colaboración, como, entre otros, la transición ecológica, el comercio, la energía, una unión aduanera modernizada y la liberalización del régimen de visado; </w:t>
      </w:r>
      <w:r w:rsidR="00B74140" w:rsidRPr="00A81546">
        <w:t xml:space="preserve">recuerda, no obstante, que el retroceso democrático y la no adaptación a la PESC no propician avances significativos a este respecto; </w:t>
      </w:r>
      <w:r w:rsidR="00C77AFB" w:rsidRPr="00A81546">
        <w:t>reafirma que la Unión se ha comprometido a mantener las mejores relaciones posibles con Turquía sobre la base del diálogo, el respeto y la confianza mutua, de conformidad con el Derecho internacional y las relaciones de buena vecindad;</w:t>
      </w:r>
    </w:p>
    <w:p w14:paraId="1018315E" w14:textId="3FA5EF78" w:rsidR="00C77AFB" w:rsidRPr="00A81546" w:rsidRDefault="00502742" w:rsidP="00C77AFB">
      <w:pPr>
        <w:pStyle w:val="NormalHanging12a"/>
        <w:rPr>
          <w:szCs w:val="24"/>
        </w:rPr>
      </w:pPr>
      <w:r w:rsidRPr="00A81546">
        <w:t>53</w:t>
      </w:r>
      <w:r w:rsidR="00C77AFB" w:rsidRPr="00A81546">
        <w:t>.</w:t>
      </w:r>
      <w:r w:rsidR="00C77AFB" w:rsidRPr="00A81546">
        <w:tab/>
      </w:r>
      <w:r w:rsidR="00B74140" w:rsidRPr="00A81546">
        <w:t xml:space="preserve">Destaca la importancia de fomentar una cooperación más intensa en todos los sectores económicos en beneficio de la Unión, todos sus Estados miembros y Turquía; señala, en particular, la importancia de la cooperación en los ámbitos de la energía, la innovación, la inteligencia artificial, la salud, la seguridad y la gestión de la migración, entre otros; toma nota, en este sentido, de los diversos diálogos de alto nivel celebrados recientemente, incluidos el diálogo de alto nivel sobre comercio y el diálogo de alto nivel sobre economía, como avances hacia formas pragmáticas de cooperación en ámbitos de importancia mutua; pide nuevamente la reanudación de todos los diálogos de alto nivel pertinentes y el establecimiento de diálogos de alto nivel estructurados sobre cooperación sectorial con el fin de abordar retos comunes y explorar oportunidades, a condición de que dicha cooperación vaya acompañada de una condicionalidad clara y coherente basada en el respeto de los principios democráticos, el Estado de Derecho y los derechos fundamentales, como se ha subrayado anteriormente en </w:t>
      </w:r>
      <w:r w:rsidR="00414B16" w:rsidRPr="00A81546">
        <w:t>la</w:t>
      </w:r>
      <w:r w:rsidR="00B74140" w:rsidRPr="00A81546">
        <w:t xml:space="preserve"> presente </w:t>
      </w:r>
      <w:r w:rsidR="00414B16" w:rsidRPr="00A81546">
        <w:t>resolución</w:t>
      </w:r>
      <w:r w:rsidR="00C77AFB" w:rsidRPr="00A81546">
        <w:t>;</w:t>
      </w:r>
    </w:p>
    <w:p w14:paraId="0B2A8D09" w14:textId="5BE0B5FE" w:rsidR="00C77AFB" w:rsidRPr="00A81546" w:rsidRDefault="00502742" w:rsidP="00C77AFB">
      <w:pPr>
        <w:pStyle w:val="NormalHanging12a"/>
        <w:rPr>
          <w:szCs w:val="24"/>
        </w:rPr>
      </w:pPr>
      <w:r w:rsidRPr="00A81546">
        <w:t>54</w:t>
      </w:r>
      <w:r w:rsidR="00C77AFB" w:rsidRPr="00A81546">
        <w:t>.</w:t>
      </w:r>
      <w:r w:rsidR="00C77AFB" w:rsidRPr="00A81546">
        <w:tab/>
        <w:t>Está dispuesto a apoyar una unión aduanera mejorada con un ámbito de aplicación más amplio y mutuamente beneficioso, la cual podría abarcar una amplia gama de ámbitos de interés común, incluidas la digitalización, la armonización con el Pacto Verde de las políticas en materia de energía verde, la adjudicación de contratos públicos, los compromisos en materia de desarrollo sostenible y la diligencia debida, contribuyendo de este modo a la seguridad económica de ambas partes; apoya que esta unión aduanera mejorada se acompañe de un mecanismo de solución de controversias eficaz y eficiente; subraya que, para que el Parlamento dé su aprobación al final del proceso, esta modernización tendría que fundamentarse en la supeditación a condiciones estrictas en cuanto a los derechos humanos y las libertades fundamentales, el respeto del Derecho internacional y las relaciones de buena vecindad, incluida la plena aplicación por parte de Turquía del Protocolo adicional para hacer extensivo el Acuerdo de Ankara a todos los Estados miembros sin excepción y de manera no discriminatoria;</w:t>
      </w:r>
    </w:p>
    <w:p w14:paraId="7A715A59" w14:textId="56B2C496" w:rsidR="00C77AFB" w:rsidRPr="00A81546" w:rsidRDefault="00502742" w:rsidP="00C77AFB">
      <w:pPr>
        <w:pStyle w:val="NormalHanging12a"/>
        <w:rPr>
          <w:szCs w:val="24"/>
        </w:rPr>
      </w:pPr>
      <w:r w:rsidRPr="00A81546">
        <w:t>55</w:t>
      </w:r>
      <w:r w:rsidR="00C77AFB" w:rsidRPr="00A81546">
        <w:t>.</w:t>
      </w:r>
      <w:r w:rsidR="00C77AFB" w:rsidRPr="00A81546">
        <w:tab/>
        <w:t>Observa con gran pesar que Turquía no ha avanzado hacia el cumplimiento de los criterios de referencia necesarios para la liberalización del régimen de visado; pone una vez más de manifiesto su voluntad de iniciar el proceso de liberalización del régimen de visado tan pronto como las autoridades turcas cumplan en su integridad los seis criterios de referencia claramente pendientes de manera no discriminatoria con respecto a todos los Estados miembros de la Unión a la vez que tiene lugar el ajuste a la política de visado de la Unión; lamenta que los ciudadanos turcos estén teniendo problemas con las solicitudes de visado para los Estados miembros de la Unión debido al considerable aumento de la demanda y al miedo de que se abuse del sistema; es no obstante consciente del compromiso político con la mejora del acceso a los visados y pide que ambas partes redoblen sus esfuerzos por abordar los obstáculos técnicos y administrativos restantes; pide a los Estados miembros de la Unión que aumenten los recursos asignados a este asunto; apoya las medidas tendentes a facilitar la expedición de visados, en particular en relación con las actividades empresariales y los estudiantes Erasmus; lamenta enormemente los constantes intentos de las autoridades turcas de culpar a la Unión de que no haya avances en la resolución de esta cuestión sin al mismo tiempo adoptar ninguna de las medidas necesarias para cumplir los criterios de referencia pendientes; recuerda a Turquía que la falta de avances reales y acumulativos en el cumplimiento de las condiciones pendientes tiene una repercusión directa en las actividades empresariales y en los estudiantes Erasmus; valora positivamente la inestimable contribución de los intercambios Erasmus+ al ofrecer importantes oportunidades educativas interculturales;</w:t>
      </w:r>
      <w:r w:rsidR="00B74140" w:rsidRPr="00A81546">
        <w:t xml:space="preserve"> lamenta, no obstante, la escasa supervisión por parte de la Comisión, ejemplificada por la asociación Erasmus con la Universidad Islámica de Ciencia y Tecnología de Gaziantep, cuya dirección expresó públicamente su apoyo a actos terroristas; pide a la Comisión que vele, mediante verificaciones previas y controles periódicos, por que las universidades asociadas respeten la Carta de los Derechos Fundamentales de la Unión Europea;</w:t>
      </w:r>
    </w:p>
    <w:p w14:paraId="69A3FE7E" w14:textId="77777777" w:rsidR="00C77AFB" w:rsidRPr="00A81546" w:rsidRDefault="00C77AFB" w:rsidP="00C77AFB">
      <w:pPr>
        <w:pStyle w:val="NormalHanging12a"/>
        <w:rPr>
          <w:b/>
          <w:i/>
          <w:szCs w:val="24"/>
        </w:rPr>
      </w:pPr>
      <w:r w:rsidRPr="00A81546">
        <w:rPr>
          <w:b/>
          <w:i/>
        </w:rPr>
        <w:t>Perspectivas para las relaciones entre la Unión y Turquía</w:t>
      </w:r>
    </w:p>
    <w:p w14:paraId="536712D8" w14:textId="232C9D3D" w:rsidR="00C77AFB" w:rsidRPr="00A81546" w:rsidRDefault="00502742" w:rsidP="00C77AFB">
      <w:pPr>
        <w:pStyle w:val="NormalHanging12a"/>
      </w:pPr>
      <w:r w:rsidRPr="00A81546">
        <w:t>56</w:t>
      </w:r>
      <w:r w:rsidR="00C77AFB" w:rsidRPr="00A81546">
        <w:t>.</w:t>
      </w:r>
      <w:r w:rsidR="00C77AFB" w:rsidRPr="00A81546">
        <w:tab/>
        <w:t>Considera, en vista de lo anterior, que el Gobierno turco no ha adoptado las medidas necesarias para abordar las deficiencias democráticas fundamentales existentes en el país y, por tanto, reitera su opinión de que el proceso de adhesión de Turquía a la Unión no puede reanudarse en las circunstancias actuales, y ello a pesar de las aspiraciones democráticas y europeístas de buena parte de la sociedad turca; recuerda que, como en el caso de cualquier otro país candidato, el proceso de adhesión está supeditado al pleno cumplimiento de los criterios de Copenhague y a la normalización de las relaciones con todos los Estados miembros de la Unión;</w:t>
      </w:r>
    </w:p>
    <w:p w14:paraId="344AD7F7" w14:textId="0198F279" w:rsidR="00C77AFB" w:rsidRPr="00A81546" w:rsidRDefault="00502742" w:rsidP="00C77AFB">
      <w:pPr>
        <w:pStyle w:val="NormalHanging12a"/>
        <w:rPr>
          <w:szCs w:val="24"/>
        </w:rPr>
      </w:pPr>
      <w:r w:rsidRPr="00A81546">
        <w:t>57</w:t>
      </w:r>
      <w:r w:rsidR="00C77AFB" w:rsidRPr="00A81546">
        <w:t>.</w:t>
      </w:r>
      <w:r w:rsidR="00C77AFB" w:rsidRPr="00A81546">
        <w:tab/>
        <w:t>Insta al Gobierno turco y a las instituciones de la Unión y los Estados miembros a que sigan trabajando, más allá del proceso de adhesión actualmente paralizado, sobre la base de las Conclusiones pertinentes del Consejo y del Consejo Europeo y de la condicionalidad establecida en aras de una asociación más estrecha, dinámica y estratégica, haciendo especial hincapié en la acción por el clima, la seguridad energética, la cooperación antiterrorista y la estabilidad regional; insiste en la necesidad de iniciar un proceso de reflexión en cuanto a la manera en que este marco constructivo y progresivo para las relaciones entre la Unión y Turquía puede abarcar los intereses de todas las partes implicadas, por ejemplo mediante la modernización y mejora del actual Acuerdo de Asociación;</w:t>
      </w:r>
      <w:r w:rsidR="00B74140" w:rsidRPr="00A81546">
        <w:t xml:space="preserve"> subraya que este proceso positivo debe basarse, como contrapartida, en avances tangibles en Turquía en materia de adaptación a la PESC, democracia, Estado de Derecho y respeto de los valores fundamentales;</w:t>
      </w:r>
    </w:p>
    <w:p w14:paraId="364BDCFF" w14:textId="639AC01B" w:rsidR="00C77AFB" w:rsidRPr="00A81546" w:rsidRDefault="00502742" w:rsidP="00C77AFB">
      <w:pPr>
        <w:pStyle w:val="NormalHanging12a"/>
      </w:pPr>
      <w:r w:rsidRPr="00A81546">
        <w:t>58</w:t>
      </w:r>
      <w:r w:rsidR="00C77AFB" w:rsidRPr="00A81546">
        <w:t>.</w:t>
      </w:r>
      <w:r w:rsidR="00C77AFB" w:rsidRPr="00A81546">
        <w:tab/>
        <w:t>Estima que la Comunicación conjunta sobre la situación de las relaciones entre la Unión y Turquía, de 29 de noviembre de 2023, constituye una buena base sobre la que lograr avances en las relaciones globales entre la Unión y Turquía; lamenta que esta Comunicación conjunta todavía no haya recibido un claro apoyo político por parte del Consejo; reitera que el reconocimiento de todos los Estados miembros de la Unión es un elemento necesario de cualquier acuerdo entre la Unión y Turquía; destaca que el compromiso constructivo de Turquía, también con respecto al problema de Chipre, sigue siendo esencial para impulsar una cooperación reforzada entre la Unión y Turquía;</w:t>
      </w:r>
    </w:p>
    <w:p w14:paraId="1769FA4E" w14:textId="42C8B5D5" w:rsidR="00C77AFB" w:rsidRPr="00A81546" w:rsidRDefault="00502742" w:rsidP="00C77AFB">
      <w:pPr>
        <w:pStyle w:val="NormalHanging12a"/>
      </w:pPr>
      <w:r w:rsidRPr="00A81546">
        <w:t>59</w:t>
      </w:r>
      <w:r w:rsidR="00C77AFB" w:rsidRPr="00A81546">
        <w:t>.</w:t>
      </w:r>
      <w:r w:rsidR="00C77AFB" w:rsidRPr="00A81546">
        <w:tab/>
        <w:t>Advierte no obstante que un agravamiento de la deriva autoritaria por parte de las autoridades turcas como aquella a la que hemos asistido recientemente tendrá en definitiva graves repercusiones en todas las dimensiones de las relaciones entre la Unión y Turquía, lo que incluye la cooperación comercial y en materia de seguridad, puesto que impide la confianza y fiabilidad necesarias entre socios y enfrenta a ambas partes en el escenario geopolítico actual;</w:t>
      </w:r>
    </w:p>
    <w:p w14:paraId="57B449BE" w14:textId="28F49282" w:rsidR="00C77AFB" w:rsidRPr="00A81546" w:rsidRDefault="00502742" w:rsidP="00C77AFB">
      <w:pPr>
        <w:pStyle w:val="NormalHanging12a"/>
        <w:rPr>
          <w:szCs w:val="24"/>
        </w:rPr>
      </w:pPr>
      <w:r w:rsidRPr="00A81546">
        <w:t>60</w:t>
      </w:r>
      <w:r w:rsidR="00C77AFB" w:rsidRPr="00A81546">
        <w:t>.</w:t>
      </w:r>
      <w:r w:rsidR="00C77AFB" w:rsidRPr="00A81546">
        <w:tab/>
        <w:t>Reconoce y elogia una vez más las aspiraciones democráticas y europeístas de la mayoría de la sociedad turca (en particular, la juventud), a la que la Unión no abandonará; considera que estas aspiraciones son un importante motivo para mantener vivo el proceso de adhesión de Turquía; pide por tanto a la Comisión que mantenga y aumente su apoyo político y financiero a la sociedad civil de Turquía, dinámica y en favor de la democracia, cuyo empeño puede contribuir a generar la voluntad política necesaria para estrechar las relaciones entre la Unión y Turquía; subraya no obstante que la reanudación del proceso de adhesión depende de que haya una voluntad política inquebrantable de las autoridades y la sociedad turcas de convertirse en una democracia de pleno derecho, lo que la Unión no puede forzar;</w:t>
      </w:r>
    </w:p>
    <w:p w14:paraId="3A7DDBD6" w14:textId="49A54ECE" w:rsidR="00C77AFB" w:rsidRPr="00A81546" w:rsidRDefault="00502742" w:rsidP="00C77AFB">
      <w:pPr>
        <w:pStyle w:val="NormalHanging12a"/>
        <w:rPr>
          <w:szCs w:val="24"/>
        </w:rPr>
      </w:pPr>
      <w:r w:rsidRPr="00A81546">
        <w:t>61</w:t>
      </w:r>
      <w:r w:rsidR="00C77AFB" w:rsidRPr="00A81546">
        <w:t>.</w:t>
      </w:r>
      <w:r w:rsidR="00C77AFB" w:rsidRPr="00A81546">
        <w:tab/>
        <w:t>Reitera su llamamiento a reforzar y profundizar el conocimiento y la comprensión mutuos entre nuestras sociedades promoviendo el crecimiento cultural y los intercambios socioculturales y combatiendo toda manifestación de prejuicio social, religioso, étnico o cultural; anima a Turquía y a la Unión a promover valores compartidos, en particular apoyando a la juventud; reitera su máximo compromiso de mantener y aumentar el apoyo a la sociedad civil independiente de Turquía;</w:t>
      </w:r>
    </w:p>
    <w:p w14:paraId="0967641B" w14:textId="77777777" w:rsidR="00C77AFB" w:rsidRPr="00A81546" w:rsidRDefault="00C77AFB" w:rsidP="00C77AFB">
      <w:pPr>
        <w:pStyle w:val="NormalHanging12a"/>
        <w:jc w:val="center"/>
      </w:pPr>
      <w:r w:rsidRPr="00A81546">
        <w:t>°</w:t>
      </w:r>
    </w:p>
    <w:p w14:paraId="5E781E99" w14:textId="77777777" w:rsidR="00C77AFB" w:rsidRPr="00A81546" w:rsidRDefault="00C77AFB" w:rsidP="00C77AFB">
      <w:pPr>
        <w:pStyle w:val="NormalHanging12a"/>
        <w:jc w:val="center"/>
      </w:pPr>
      <w:r w:rsidRPr="00A81546">
        <w:t>°</w:t>
      </w:r>
      <w:r w:rsidRPr="00A81546">
        <w:tab/>
        <w:t>°</w:t>
      </w:r>
    </w:p>
    <w:p w14:paraId="413AB5AA" w14:textId="65CD1CE9" w:rsidR="00AB0F0E" w:rsidRPr="00A81546" w:rsidRDefault="00502742" w:rsidP="00AB0F0E">
      <w:pPr>
        <w:pStyle w:val="NormalHanging12a"/>
      </w:pPr>
      <w:r w:rsidRPr="00A81546">
        <w:t>62</w:t>
      </w:r>
      <w:r w:rsidR="00C77AFB" w:rsidRPr="00A81546">
        <w:t>.</w:t>
      </w:r>
      <w:r w:rsidR="00C77AFB" w:rsidRPr="00A81546">
        <w:tab/>
        <w:t>Encarga a su presidenta que transmita la presente Resolución al presidente del Consejo Europeo, al Consejo y a la Comisión; pide que la presente Resolución se traduzca al turco y se transmita al presidente, al Gobierno y al Parlamento de la República de Turquía.</w:t>
      </w:r>
    </w:p>
    <w:p w14:paraId="04580BAF" w14:textId="77777777" w:rsidR="00E365E1" w:rsidRPr="00A81546" w:rsidRDefault="00E365E1" w:rsidP="00240E3C"/>
    <w:sectPr w:rsidR="00E365E1" w:rsidRPr="00A81546" w:rsidSect="00AB0F0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890CF" w14:textId="77777777" w:rsidR="00240E3C" w:rsidRPr="00AB0F0E" w:rsidRDefault="00240E3C">
      <w:r w:rsidRPr="00AB0F0E">
        <w:separator/>
      </w:r>
    </w:p>
  </w:endnote>
  <w:endnote w:type="continuationSeparator" w:id="0">
    <w:p w14:paraId="34DB3D11" w14:textId="77777777" w:rsidR="00240E3C" w:rsidRPr="00AB0F0E" w:rsidRDefault="00240E3C">
      <w:r w:rsidRPr="00AB0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4FE65" w14:textId="77777777" w:rsidR="00240E3C" w:rsidRPr="00AB0F0E" w:rsidRDefault="00240E3C">
      <w:r w:rsidRPr="00AB0F0E">
        <w:separator/>
      </w:r>
    </w:p>
  </w:footnote>
  <w:footnote w:type="continuationSeparator" w:id="0">
    <w:p w14:paraId="6EBD548F" w14:textId="77777777" w:rsidR="00240E3C" w:rsidRPr="00AB0F0E" w:rsidRDefault="00240E3C">
      <w:r w:rsidRPr="00AB0F0E">
        <w:continuationSeparator/>
      </w:r>
    </w:p>
  </w:footnote>
  <w:footnote w:id="1">
    <w:p w14:paraId="13B0D3C8" w14:textId="77777777" w:rsidR="00C77AFB" w:rsidRPr="00CF19BF" w:rsidRDefault="00C77AFB" w:rsidP="00AB0F0E">
      <w:pPr>
        <w:pStyle w:val="FootnoteText"/>
        <w:ind w:left="567" w:hanging="567"/>
        <w:rPr>
          <w:sz w:val="24"/>
          <w:lang w:val="pt-PT"/>
        </w:rPr>
      </w:pPr>
      <w:r w:rsidRPr="00AB0F0E">
        <w:rPr>
          <w:rStyle w:val="FootnoteReference"/>
          <w:sz w:val="24"/>
          <w:lang w:val="es-ES_tradnl"/>
        </w:rPr>
        <w:footnoteRef/>
      </w:r>
      <w:r w:rsidR="00AB0F0E" w:rsidRPr="00CF19BF">
        <w:rPr>
          <w:sz w:val="24"/>
          <w:lang w:val="pt-PT"/>
        </w:rPr>
        <w:t xml:space="preserve"> </w:t>
      </w:r>
      <w:r w:rsidR="00AB0F0E" w:rsidRPr="00CF19BF">
        <w:rPr>
          <w:sz w:val="24"/>
          <w:lang w:val="pt-PT"/>
        </w:rPr>
        <w:tab/>
      </w:r>
      <w:r w:rsidRPr="00CF19BF">
        <w:rPr>
          <w:sz w:val="24"/>
          <w:lang w:val="pt-PT"/>
        </w:rPr>
        <w:t>DO L 134 de 7.5.2014, p. 3, ELI</w:t>
      </w:r>
      <w:r w:rsidRPr="00CF19BF">
        <w:rPr>
          <w:color w:val="333333"/>
          <w:sz w:val="24"/>
          <w:shd w:val="clear" w:color="auto" w:fill="FFFFFF"/>
          <w:lang w:val="pt-PT"/>
        </w:rPr>
        <w:t>: </w:t>
      </w:r>
      <w:hyperlink r:id="rId1" w:tooltip="Da acceso a este documento a través de su URI ELI." w:history="1">
        <w:r w:rsidRPr="00CF19BF">
          <w:rPr>
            <w:sz w:val="24"/>
            <w:lang w:val="pt-PT"/>
          </w:rPr>
          <w:t>http://data.europa.eu/eli/agree_internation/2014/252/oj</w:t>
        </w:r>
      </w:hyperlink>
      <w:r w:rsidRPr="00CF19BF">
        <w:rPr>
          <w:sz w:val="24"/>
          <w:lang w:val="pt-PT"/>
        </w:rPr>
        <w:t>.</w:t>
      </w:r>
    </w:p>
  </w:footnote>
  <w:footnote w:id="2">
    <w:p w14:paraId="01B95F0D" w14:textId="77777777" w:rsidR="00C77AFB" w:rsidRPr="00A81546" w:rsidRDefault="00C77AFB" w:rsidP="00AB0F0E">
      <w:pPr>
        <w:pStyle w:val="FootnoteText"/>
        <w:ind w:left="567" w:hanging="567"/>
        <w:rPr>
          <w:sz w:val="24"/>
          <w:lang w:val="pt-PT"/>
        </w:rPr>
      </w:pPr>
      <w:r w:rsidRPr="00AB0F0E">
        <w:rPr>
          <w:rStyle w:val="FootnoteReference"/>
          <w:sz w:val="24"/>
          <w:lang w:val="es-ES_tradnl"/>
        </w:rPr>
        <w:footnoteRef/>
      </w:r>
      <w:r w:rsidR="00AB0F0E" w:rsidRPr="00A81546">
        <w:rPr>
          <w:sz w:val="24"/>
          <w:lang w:val="pt-PT"/>
        </w:rPr>
        <w:t xml:space="preserve"> </w:t>
      </w:r>
      <w:r w:rsidR="00AB0F0E" w:rsidRPr="00A81546">
        <w:rPr>
          <w:sz w:val="24"/>
          <w:lang w:val="pt-PT"/>
        </w:rPr>
        <w:tab/>
      </w:r>
      <w:r w:rsidRPr="00A81546">
        <w:rPr>
          <w:sz w:val="24"/>
          <w:lang w:val="pt-PT"/>
        </w:rPr>
        <w:t>DO C, C/2024/1760, 22.3.2024, ELI: </w:t>
      </w:r>
      <w:hyperlink r:id="rId2" w:tooltip="Da acceso a este documento a través de su URI ELI." w:history="1">
        <w:r w:rsidRPr="00A81546">
          <w:rPr>
            <w:sz w:val="24"/>
            <w:lang w:val="pt-PT"/>
          </w:rPr>
          <w:t>http://data.europa.eu/eli/C/2024/1760/oj</w:t>
        </w:r>
      </w:hyperlink>
      <w:r w:rsidRPr="00A81546">
        <w:rPr>
          <w:sz w:val="24"/>
          <w:lang w:val="pt-PT"/>
        </w:rPr>
        <w:t xml:space="preserve">. </w:t>
      </w:r>
    </w:p>
  </w:footnote>
  <w:footnote w:id="3">
    <w:p w14:paraId="3F801C76" w14:textId="77777777" w:rsidR="00C77AFB" w:rsidRPr="00A81546" w:rsidRDefault="00C77AFB" w:rsidP="00AB0F0E">
      <w:pPr>
        <w:pStyle w:val="FootnoteText"/>
        <w:ind w:left="567" w:hanging="567"/>
        <w:rPr>
          <w:sz w:val="24"/>
          <w:lang w:val="pt-PT"/>
        </w:rPr>
      </w:pPr>
      <w:r w:rsidRPr="00AB0F0E">
        <w:rPr>
          <w:rStyle w:val="FootnoteReference"/>
          <w:sz w:val="24"/>
          <w:lang w:val="es-ES_tradnl"/>
        </w:rPr>
        <w:footnoteRef/>
      </w:r>
      <w:r w:rsidR="00AB0F0E" w:rsidRPr="00A81546">
        <w:rPr>
          <w:sz w:val="24"/>
          <w:lang w:val="pt-PT"/>
        </w:rPr>
        <w:t xml:space="preserve"> </w:t>
      </w:r>
      <w:r w:rsidR="00AB0F0E" w:rsidRPr="00A81546">
        <w:rPr>
          <w:sz w:val="24"/>
          <w:lang w:val="pt-PT"/>
        </w:rPr>
        <w:tab/>
      </w:r>
      <w:r w:rsidRPr="00A81546">
        <w:rPr>
          <w:sz w:val="24"/>
          <w:lang w:val="pt-PT"/>
        </w:rPr>
        <w:t>DO C 493 de 27.12.2022, p. 2.</w:t>
      </w:r>
    </w:p>
  </w:footnote>
  <w:footnote w:id="4">
    <w:p w14:paraId="30D0B130" w14:textId="77777777" w:rsidR="00C77AFB" w:rsidRPr="00A81546" w:rsidRDefault="00C77AFB" w:rsidP="00AB0F0E">
      <w:pPr>
        <w:pStyle w:val="FootnoteText"/>
        <w:ind w:left="567" w:hanging="567"/>
        <w:rPr>
          <w:sz w:val="24"/>
          <w:lang w:val="pt-PT"/>
        </w:rPr>
      </w:pPr>
      <w:r w:rsidRPr="00AB0F0E">
        <w:rPr>
          <w:rStyle w:val="FootnoteReference"/>
          <w:sz w:val="24"/>
          <w:lang w:val="es-ES_tradnl"/>
        </w:rPr>
        <w:footnoteRef/>
      </w:r>
      <w:r w:rsidR="00AB0F0E" w:rsidRPr="00A81546">
        <w:rPr>
          <w:sz w:val="24"/>
          <w:lang w:val="pt-PT"/>
        </w:rPr>
        <w:t xml:space="preserve"> </w:t>
      </w:r>
      <w:r w:rsidR="00AB0F0E" w:rsidRPr="00A81546">
        <w:rPr>
          <w:sz w:val="24"/>
          <w:lang w:val="pt-PT"/>
        </w:rPr>
        <w:tab/>
      </w:r>
      <w:r w:rsidRPr="00A81546">
        <w:rPr>
          <w:sz w:val="24"/>
          <w:lang w:val="pt-PT"/>
        </w:rPr>
        <w:t>DO C 425 de 20.10.2021, p. 143.</w:t>
      </w:r>
    </w:p>
  </w:footnote>
  <w:footnote w:id="5">
    <w:p w14:paraId="512A5282" w14:textId="77777777" w:rsidR="00C77AFB" w:rsidRPr="00A81546" w:rsidRDefault="00C77AFB" w:rsidP="00AB0F0E">
      <w:pPr>
        <w:pStyle w:val="FootnoteText"/>
        <w:ind w:left="567" w:hanging="567"/>
        <w:rPr>
          <w:sz w:val="24"/>
          <w:lang w:val="pt-PT"/>
        </w:rPr>
      </w:pPr>
      <w:r w:rsidRPr="00AB0F0E">
        <w:rPr>
          <w:rStyle w:val="FootnoteReference"/>
          <w:sz w:val="24"/>
          <w:lang w:val="es-ES_tradnl"/>
        </w:rPr>
        <w:footnoteRef/>
      </w:r>
      <w:r w:rsidR="00AB0F0E" w:rsidRPr="00A81546">
        <w:rPr>
          <w:sz w:val="24"/>
          <w:lang w:val="pt-PT"/>
        </w:rPr>
        <w:t xml:space="preserve"> </w:t>
      </w:r>
      <w:r w:rsidR="00AB0F0E" w:rsidRPr="00A81546">
        <w:rPr>
          <w:sz w:val="24"/>
          <w:lang w:val="pt-PT"/>
        </w:rPr>
        <w:tab/>
      </w:r>
      <w:r w:rsidRPr="00A81546">
        <w:rPr>
          <w:sz w:val="24"/>
          <w:lang w:val="pt-PT"/>
        </w:rPr>
        <w:t>DO C, C/2024/6746, 26.11.2024, ELI: </w:t>
      </w:r>
      <w:hyperlink r:id="rId3" w:tgtFrame="_blank" w:tooltip="Da acceso a este documento a través de su URI ELI." w:history="1">
        <w:r w:rsidRPr="00A81546">
          <w:rPr>
            <w:sz w:val="24"/>
            <w:lang w:val="pt-PT"/>
          </w:rPr>
          <w:t>http://data.europa.eu/eli/C/2024/6746/oj</w:t>
        </w:r>
      </w:hyperlink>
      <w:r w:rsidRPr="00A81546">
        <w:rPr>
          <w:i/>
          <w:color w:val="333333"/>
          <w:sz w:val="24"/>
          <w:shd w:val="clear" w:color="auto" w:fill="FFFFFF"/>
          <w:lang w:val="pt-PT"/>
        </w:rPr>
        <w:t>.</w:t>
      </w:r>
    </w:p>
  </w:footnote>
  <w:footnote w:id="6">
    <w:p w14:paraId="5FAC176C" w14:textId="77777777" w:rsidR="00C77AFB" w:rsidRPr="00A81546" w:rsidRDefault="00C77AFB" w:rsidP="00AB0F0E">
      <w:pPr>
        <w:pStyle w:val="FootnoteText"/>
        <w:ind w:left="567" w:hanging="567"/>
        <w:rPr>
          <w:sz w:val="24"/>
          <w:lang w:val="pt-PT"/>
        </w:rPr>
      </w:pPr>
      <w:r w:rsidRPr="00AB0F0E">
        <w:rPr>
          <w:rStyle w:val="FootnoteReference"/>
          <w:sz w:val="24"/>
          <w:lang w:val="es-ES_tradnl"/>
        </w:rPr>
        <w:footnoteRef/>
      </w:r>
      <w:r w:rsidR="00AB0F0E" w:rsidRPr="00A81546">
        <w:rPr>
          <w:sz w:val="24"/>
          <w:lang w:val="pt-PT"/>
        </w:rPr>
        <w:t xml:space="preserve"> </w:t>
      </w:r>
      <w:r w:rsidR="00AB0F0E" w:rsidRPr="00A81546">
        <w:rPr>
          <w:sz w:val="24"/>
          <w:lang w:val="pt-PT"/>
        </w:rPr>
        <w:tab/>
      </w:r>
      <w:r w:rsidRPr="00A81546">
        <w:rPr>
          <w:sz w:val="24"/>
          <w:lang w:val="pt-PT"/>
        </w:rPr>
        <w:t>DO C 328 de 6.9.2016, p. 2.</w:t>
      </w:r>
    </w:p>
  </w:footnote>
  <w:footnote w:id="7">
    <w:p w14:paraId="680B6E09" w14:textId="77777777" w:rsidR="00C77AFB" w:rsidRPr="00A81546" w:rsidRDefault="00C77AFB" w:rsidP="00AB0F0E">
      <w:pPr>
        <w:pStyle w:val="FootnoteText"/>
        <w:ind w:left="567" w:hanging="567"/>
        <w:rPr>
          <w:sz w:val="24"/>
          <w:lang w:val="pt-PT"/>
        </w:rPr>
      </w:pPr>
      <w:r w:rsidRPr="00AB0F0E">
        <w:rPr>
          <w:rStyle w:val="FootnoteReference"/>
          <w:sz w:val="24"/>
          <w:lang w:val="es-ES_tradnl"/>
        </w:rPr>
        <w:footnoteRef/>
      </w:r>
      <w:r w:rsidR="00AB0F0E" w:rsidRPr="00A81546">
        <w:rPr>
          <w:sz w:val="24"/>
          <w:lang w:val="pt-PT"/>
        </w:rPr>
        <w:t xml:space="preserve"> </w:t>
      </w:r>
      <w:r w:rsidR="00AB0F0E" w:rsidRPr="00A81546">
        <w:rPr>
          <w:sz w:val="24"/>
          <w:lang w:val="pt-PT"/>
        </w:rPr>
        <w:tab/>
      </w:r>
      <w:r w:rsidRPr="00A81546">
        <w:rPr>
          <w:sz w:val="24"/>
          <w:lang w:val="pt-PT"/>
        </w:rPr>
        <w:t>DO C 465 de 6.12.2022, p. 112.</w:t>
      </w:r>
    </w:p>
  </w:footnote>
  <w:footnote w:id="8">
    <w:p w14:paraId="19894D60" w14:textId="77777777" w:rsidR="00C77AFB" w:rsidRPr="00ED2514" w:rsidRDefault="00C77AFB" w:rsidP="00AB0F0E">
      <w:pPr>
        <w:pStyle w:val="FootnoteText"/>
        <w:ind w:left="567" w:hanging="567"/>
        <w:rPr>
          <w:sz w:val="24"/>
          <w:lang w:val="pt-PT"/>
        </w:rPr>
      </w:pPr>
      <w:r w:rsidRPr="00AB0F0E">
        <w:rPr>
          <w:rStyle w:val="FootnoteReference"/>
          <w:sz w:val="24"/>
          <w:lang w:val="es-ES_tradnl"/>
        </w:rPr>
        <w:footnoteRef/>
      </w:r>
      <w:r w:rsidR="00AB0F0E" w:rsidRPr="00ED2514">
        <w:rPr>
          <w:sz w:val="24"/>
          <w:lang w:val="pt-PT"/>
        </w:rPr>
        <w:t xml:space="preserve"> </w:t>
      </w:r>
      <w:r w:rsidR="00AB0F0E" w:rsidRPr="00ED2514">
        <w:rPr>
          <w:sz w:val="24"/>
          <w:lang w:val="pt-PT"/>
        </w:rPr>
        <w:tab/>
      </w:r>
      <w:r w:rsidRPr="00ED2514">
        <w:rPr>
          <w:sz w:val="24"/>
          <w:lang w:val="pt-PT"/>
        </w:rPr>
        <w:t>DO C, C/2025/206, 14.1.2025, ELI: </w:t>
      </w:r>
      <w:hyperlink r:id="rId4" w:tgtFrame="_blank" w:tooltip="Da acceso a este documento a través de su URI ELI." w:history="1">
        <w:r w:rsidRPr="00ED2514">
          <w:rPr>
            <w:sz w:val="24"/>
            <w:lang w:val="pt-PT"/>
          </w:rPr>
          <w:t>http://data.europa.eu/eli/C/2025/206/oj</w:t>
        </w:r>
      </w:hyperlink>
      <w:r w:rsidRPr="00ED2514">
        <w:rPr>
          <w:sz w:val="24"/>
          <w:lang w:val="pt-PT"/>
        </w:rPr>
        <w:t>.</w:t>
      </w:r>
    </w:p>
  </w:footnote>
  <w:footnote w:id="9">
    <w:p w14:paraId="436A2A40" w14:textId="77777777" w:rsidR="00C77AFB" w:rsidRPr="00414B16" w:rsidRDefault="00C77AFB" w:rsidP="00AB0F0E">
      <w:pPr>
        <w:pStyle w:val="FootnoteText"/>
        <w:ind w:left="567" w:hanging="567"/>
        <w:rPr>
          <w:sz w:val="24"/>
          <w:lang w:val="pt-PT"/>
        </w:rPr>
      </w:pPr>
      <w:r w:rsidRPr="00AB0F0E">
        <w:rPr>
          <w:rStyle w:val="FootnoteReference"/>
          <w:sz w:val="24"/>
          <w:lang w:val="es-ES_tradnl"/>
        </w:rPr>
        <w:footnoteRef/>
      </w:r>
      <w:r w:rsidR="00AB0F0E" w:rsidRPr="00414B16">
        <w:rPr>
          <w:sz w:val="24"/>
          <w:lang w:val="pt-PT"/>
        </w:rPr>
        <w:t xml:space="preserve"> </w:t>
      </w:r>
      <w:r w:rsidR="00AB0F0E" w:rsidRPr="00414B16">
        <w:rPr>
          <w:sz w:val="24"/>
          <w:lang w:val="pt-PT"/>
        </w:rPr>
        <w:tab/>
      </w:r>
      <w:r w:rsidRPr="00414B16">
        <w:rPr>
          <w:sz w:val="24"/>
          <w:lang w:val="pt-PT"/>
        </w:rPr>
        <w:t>Textos Aprobados,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ES"/>
    <w:docVar w:name="dvnumam" w:val="0"/>
    <w:docVar w:name="dvpe" w:val="767.988"/>
    <w:docVar w:name="dvrapporteur" w:val="Ponente: "/>
    <w:docVar w:name="dvtitre" w:val="Resolución del Parlamento Europeo, de 7 de mayo de 2025, sobre los Informes de 2023 y 2024 de la Comisión sobre Turquía(2025/2023(INI))"/>
  </w:docVars>
  <w:rsids>
    <w:rsidRoot w:val="00240E3C"/>
    <w:rsid w:val="00002272"/>
    <w:rsid w:val="00064002"/>
    <w:rsid w:val="000677B9"/>
    <w:rsid w:val="000831BA"/>
    <w:rsid w:val="000A42CC"/>
    <w:rsid w:val="000E7DD9"/>
    <w:rsid w:val="0010095E"/>
    <w:rsid w:val="00125B37"/>
    <w:rsid w:val="00187494"/>
    <w:rsid w:val="001F32AE"/>
    <w:rsid w:val="00240E3C"/>
    <w:rsid w:val="002767FF"/>
    <w:rsid w:val="002B18FE"/>
    <w:rsid w:val="002B5493"/>
    <w:rsid w:val="00343214"/>
    <w:rsid w:val="00361C00"/>
    <w:rsid w:val="00395FA1"/>
    <w:rsid w:val="003E15D4"/>
    <w:rsid w:val="00411CCE"/>
    <w:rsid w:val="00414B16"/>
    <w:rsid w:val="0041666E"/>
    <w:rsid w:val="00421060"/>
    <w:rsid w:val="00471C19"/>
    <w:rsid w:val="004867E3"/>
    <w:rsid w:val="00494A28"/>
    <w:rsid w:val="004C0004"/>
    <w:rsid w:val="004C5D52"/>
    <w:rsid w:val="00502742"/>
    <w:rsid w:val="0050519A"/>
    <w:rsid w:val="005072A1"/>
    <w:rsid w:val="00514517"/>
    <w:rsid w:val="00545827"/>
    <w:rsid w:val="00560270"/>
    <w:rsid w:val="005C2568"/>
    <w:rsid w:val="005F1B17"/>
    <w:rsid w:val="006037C0"/>
    <w:rsid w:val="006631B6"/>
    <w:rsid w:val="00680577"/>
    <w:rsid w:val="006F74FA"/>
    <w:rsid w:val="00727D7C"/>
    <w:rsid w:val="00731ADD"/>
    <w:rsid w:val="00734777"/>
    <w:rsid w:val="00747932"/>
    <w:rsid w:val="00751A4A"/>
    <w:rsid w:val="00756632"/>
    <w:rsid w:val="00762C74"/>
    <w:rsid w:val="00786EC0"/>
    <w:rsid w:val="007D1690"/>
    <w:rsid w:val="007E22AD"/>
    <w:rsid w:val="00817416"/>
    <w:rsid w:val="00842779"/>
    <w:rsid w:val="0084317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546"/>
    <w:rsid w:val="00AB0F0E"/>
    <w:rsid w:val="00AB441E"/>
    <w:rsid w:val="00AB6293"/>
    <w:rsid w:val="00AE0928"/>
    <w:rsid w:val="00AF3B82"/>
    <w:rsid w:val="00B12E95"/>
    <w:rsid w:val="00B22876"/>
    <w:rsid w:val="00B558F0"/>
    <w:rsid w:val="00B74140"/>
    <w:rsid w:val="00BD48FE"/>
    <w:rsid w:val="00BD7BD8"/>
    <w:rsid w:val="00BE6ADC"/>
    <w:rsid w:val="00C05BFE"/>
    <w:rsid w:val="00C23CD4"/>
    <w:rsid w:val="00C61C0C"/>
    <w:rsid w:val="00C77AFB"/>
    <w:rsid w:val="00C81A8D"/>
    <w:rsid w:val="00C941CB"/>
    <w:rsid w:val="00CC2357"/>
    <w:rsid w:val="00CF071A"/>
    <w:rsid w:val="00CF19BF"/>
    <w:rsid w:val="00D058B8"/>
    <w:rsid w:val="00D56C11"/>
    <w:rsid w:val="00D834A0"/>
    <w:rsid w:val="00D872DF"/>
    <w:rsid w:val="00D91E21"/>
    <w:rsid w:val="00DA7FCD"/>
    <w:rsid w:val="00E365E1"/>
    <w:rsid w:val="00E820A4"/>
    <w:rsid w:val="00EB006A"/>
    <w:rsid w:val="00EB4772"/>
    <w:rsid w:val="00ED169E"/>
    <w:rsid w:val="00ED251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D893B"/>
  <w15:chartTrackingRefBased/>
  <w15:docId w15:val="{C563D349-DC7E-4193-98F5-08072A29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7AFB"/>
    <w:pPr>
      <w:spacing w:after="240"/>
      <w:ind w:left="567" w:hanging="567"/>
    </w:pPr>
  </w:style>
  <w:style w:type="paragraph" w:customStyle="1" w:styleId="EPComma">
    <w:name w:val="EPComma"/>
    <w:basedOn w:val="Normal"/>
    <w:rsid w:val="00C77AFB"/>
    <w:pPr>
      <w:spacing w:before="480" w:after="240"/>
    </w:pPr>
  </w:style>
  <w:style w:type="character" w:customStyle="1" w:styleId="NormalHanging12aChar">
    <w:name w:val="NormalHanging12a Char"/>
    <w:basedOn w:val="DefaultParagraphFont"/>
    <w:link w:val="NormalHanging12a"/>
    <w:locked/>
    <w:rsid w:val="00C77AFB"/>
    <w:rPr>
      <w:sz w:val="24"/>
      <w:lang w:val="es-ES_tradnl"/>
    </w:rPr>
  </w:style>
  <w:style w:type="paragraph" w:styleId="BalloonText">
    <w:name w:val="Balloon Text"/>
    <w:basedOn w:val="Normal"/>
    <w:link w:val="BalloonTextChar"/>
    <w:rsid w:val="0084317E"/>
    <w:rPr>
      <w:rFonts w:ascii="Segoe UI" w:hAnsi="Segoe UI" w:cs="Segoe UI"/>
      <w:sz w:val="18"/>
      <w:szCs w:val="18"/>
    </w:rPr>
  </w:style>
  <w:style w:type="character" w:customStyle="1" w:styleId="BalloonTextChar">
    <w:name w:val="Balloon Text Char"/>
    <w:basedOn w:val="DefaultParagraphFont"/>
    <w:link w:val="BalloonText"/>
    <w:rsid w:val="0084317E"/>
    <w:rPr>
      <w:rFonts w:ascii="Segoe UI" w:hAnsi="Segoe UI" w:cs="Segoe UI"/>
      <w:sz w:val="18"/>
      <w:szCs w:val="18"/>
      <w:lang w:val="es-ES_tradnl"/>
    </w:rPr>
  </w:style>
  <w:style w:type="character" w:styleId="CommentReference">
    <w:name w:val="annotation reference"/>
    <w:basedOn w:val="DefaultParagraphFont"/>
    <w:rsid w:val="00CF19BF"/>
    <w:rPr>
      <w:sz w:val="16"/>
      <w:szCs w:val="16"/>
    </w:rPr>
  </w:style>
  <w:style w:type="paragraph" w:styleId="CommentText">
    <w:name w:val="annotation text"/>
    <w:basedOn w:val="Normal"/>
    <w:link w:val="CommentTextChar"/>
    <w:rsid w:val="00CF19BF"/>
    <w:rPr>
      <w:sz w:val="20"/>
    </w:rPr>
  </w:style>
  <w:style w:type="character" w:customStyle="1" w:styleId="CommentTextChar">
    <w:name w:val="Comment Text Char"/>
    <w:basedOn w:val="DefaultParagraphFont"/>
    <w:link w:val="CommentText"/>
    <w:rsid w:val="00CF19BF"/>
    <w:rPr>
      <w:lang w:val="es-ES_tradnl"/>
    </w:rPr>
  </w:style>
  <w:style w:type="paragraph" w:styleId="CommentSubject">
    <w:name w:val="annotation subject"/>
    <w:basedOn w:val="CommentText"/>
    <w:next w:val="CommentText"/>
    <w:link w:val="CommentSubjectChar"/>
    <w:rsid w:val="00CF19BF"/>
    <w:rPr>
      <w:b/>
      <w:bCs/>
    </w:rPr>
  </w:style>
  <w:style w:type="character" w:customStyle="1" w:styleId="CommentSubjectChar">
    <w:name w:val="Comment Subject Char"/>
    <w:basedOn w:val="CommentTextChar"/>
    <w:link w:val="CommentSubject"/>
    <w:rsid w:val="00CF19B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1C80E-D52D-42ED-AF6B-C7AF8DD67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13714</Words>
  <Characters>72059</Characters>
  <Application>Microsoft Office Word</Application>
  <DocSecurity>0</DocSecurity>
  <Lines>600</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2025-05-07T17:36:00Z</dcterms:created>
  <dcterms:modified xsi:type="dcterms:W3CDTF">2025-05-07T17:36:00Z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A10-0067/2025</vt:lpwstr>
  </property>
  <property fmtid="{D5CDD505-2E9C-101B-9397-08002B2CF9AE}" pid="4" name="&lt;Type&gt;">
    <vt:lpwstr>RR</vt:lpwstr>
  </property>
</Properties>
</file>