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80A7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80A7D" w:rsidRDefault="00E95883" w:rsidP="0010095E">
            <w:pPr>
              <w:pStyle w:val="EPName"/>
            </w:pPr>
            <w:bookmarkStart w:id="0" w:name="_GoBack"/>
            <w:bookmarkEnd w:id="0"/>
            <w:r w:rsidRPr="00280A7D">
              <w:t>Parlament Europejski</w:t>
            </w:r>
          </w:p>
          <w:p w:rsidR="00751A4A" w:rsidRPr="00280A7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80A7D">
              <w:t>2024</w:t>
            </w:r>
            <w:r w:rsidR="00817416" w:rsidRPr="00280A7D">
              <w:t>-202</w:t>
            </w:r>
            <w:r w:rsidRPr="00280A7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80A7D" w:rsidRDefault="00187494" w:rsidP="0010095E">
            <w:pPr>
              <w:pStyle w:val="EPLogo"/>
            </w:pPr>
            <w:r w:rsidRPr="00280A7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80A7D" w:rsidRDefault="00D058B8" w:rsidP="004C5D52">
      <w:pPr>
        <w:pStyle w:val="LineTop"/>
      </w:pPr>
    </w:p>
    <w:p w:rsidR="00680577" w:rsidRPr="00280A7D" w:rsidRDefault="00E95883" w:rsidP="00680577">
      <w:pPr>
        <w:pStyle w:val="EPBodyTA1"/>
      </w:pPr>
      <w:r w:rsidRPr="00280A7D">
        <w:t>TEKSTY PRZYJĘTE</w:t>
      </w:r>
    </w:p>
    <w:p w:rsidR="00D058B8" w:rsidRPr="00280A7D" w:rsidRDefault="00D058B8" w:rsidP="00D058B8">
      <w:pPr>
        <w:pStyle w:val="LineBottom"/>
      </w:pPr>
    </w:p>
    <w:p w:rsidR="00E95883" w:rsidRPr="00280A7D" w:rsidRDefault="00E95883" w:rsidP="00E95883">
      <w:pPr>
        <w:pStyle w:val="ATHeading1"/>
      </w:pPr>
      <w:bookmarkStart w:id="1" w:name="TANumber"/>
      <w:r w:rsidRPr="00280A7D">
        <w:t>P10_TA(2025)00</w:t>
      </w:r>
      <w:bookmarkEnd w:id="1"/>
      <w:r w:rsidR="00E42260">
        <w:t>92</w:t>
      </w:r>
    </w:p>
    <w:p w:rsidR="00E95883" w:rsidRPr="00F64F49" w:rsidRDefault="00F64F49" w:rsidP="00E95883">
      <w:pPr>
        <w:pStyle w:val="ATHeading2"/>
      </w:pPr>
      <w:r w:rsidRPr="00F64F49">
        <w:t>Sprawozdania w sprawie Turcji za lata 2023 i 2024</w:t>
      </w:r>
    </w:p>
    <w:p w:rsidR="00E95883" w:rsidRPr="00280A7D" w:rsidRDefault="00E95883" w:rsidP="00E95883">
      <w:pPr>
        <w:rPr>
          <w:i/>
          <w:vanish/>
        </w:rPr>
      </w:pPr>
      <w:r w:rsidRPr="00280A7D">
        <w:rPr>
          <w:i/>
        </w:rPr>
        <w:fldChar w:fldCharType="begin"/>
      </w:r>
      <w:r w:rsidRPr="00280A7D">
        <w:rPr>
          <w:i/>
        </w:rPr>
        <w:instrText xml:space="preserve"> TC"(</w:instrText>
      </w:r>
      <w:bookmarkStart w:id="2" w:name="DocNumber"/>
      <w:r w:rsidRPr="00280A7D">
        <w:rPr>
          <w:i/>
        </w:rPr>
        <w:instrText>A10-0067/2025</w:instrText>
      </w:r>
      <w:bookmarkEnd w:id="2"/>
      <w:r w:rsidRPr="00280A7D">
        <w:rPr>
          <w:i/>
        </w:rPr>
        <w:instrText xml:space="preserve"> - Sprawozdawca: </w:instrText>
      </w:r>
      <w:proofErr w:type="spellStart"/>
      <w:r w:rsidRPr="00280A7D">
        <w:rPr>
          <w:i/>
        </w:rPr>
        <w:instrText>Nacho</w:instrText>
      </w:r>
      <w:proofErr w:type="spellEnd"/>
      <w:r w:rsidRPr="00280A7D">
        <w:rPr>
          <w:i/>
        </w:rPr>
        <w:instrText xml:space="preserve"> </w:instrText>
      </w:r>
      <w:proofErr w:type="spellStart"/>
      <w:r w:rsidRPr="00280A7D">
        <w:rPr>
          <w:i/>
        </w:rPr>
        <w:instrText>Sánchez</w:instrText>
      </w:r>
      <w:proofErr w:type="spellEnd"/>
      <w:r w:rsidRPr="00280A7D">
        <w:rPr>
          <w:i/>
        </w:rPr>
        <w:instrText xml:space="preserve"> Amor)"\l3 \n&gt; \* MERGEFORMAT </w:instrText>
      </w:r>
      <w:r w:rsidRPr="00280A7D">
        <w:rPr>
          <w:i/>
        </w:rPr>
        <w:fldChar w:fldCharType="end"/>
      </w:r>
    </w:p>
    <w:p w:rsidR="00E95883" w:rsidRPr="00280A7D" w:rsidRDefault="00E95883" w:rsidP="00E95883">
      <w:pPr>
        <w:rPr>
          <w:vanish/>
        </w:rPr>
      </w:pPr>
      <w:bookmarkStart w:id="3" w:name="Commission"/>
      <w:r w:rsidRPr="00280A7D">
        <w:rPr>
          <w:vanish/>
        </w:rPr>
        <w:t>Komisja Spraw Zagranicznych</w:t>
      </w:r>
      <w:bookmarkEnd w:id="3"/>
    </w:p>
    <w:p w:rsidR="00E95883" w:rsidRPr="00280A7D" w:rsidRDefault="00E95883" w:rsidP="00E95883">
      <w:pPr>
        <w:rPr>
          <w:vanish/>
        </w:rPr>
      </w:pPr>
      <w:bookmarkStart w:id="4" w:name="PE"/>
      <w:r w:rsidRPr="00280A7D">
        <w:rPr>
          <w:vanish/>
        </w:rPr>
        <w:t>PE767.988</w:t>
      </w:r>
      <w:bookmarkEnd w:id="4"/>
    </w:p>
    <w:p w:rsidR="00E95883" w:rsidRPr="00280A7D" w:rsidRDefault="00E95883" w:rsidP="00E95883">
      <w:pPr>
        <w:pStyle w:val="ATHeading3"/>
      </w:pPr>
      <w:bookmarkStart w:id="5" w:name="Sujet"/>
      <w:r w:rsidRPr="00280A7D">
        <w:t xml:space="preserve">Rezolucja Parlamentu Europejskiego z dnia </w:t>
      </w:r>
      <w:r w:rsidR="00F64F49">
        <w:t>7 maja</w:t>
      </w:r>
      <w:r w:rsidRPr="00280A7D">
        <w:t xml:space="preserve"> 2025 r. w sprawie sprawozdań Komisji dotyczących Turcji za lata 2023 i 2024</w:t>
      </w:r>
      <w:bookmarkEnd w:id="5"/>
      <w:r w:rsidRPr="00280A7D">
        <w:t xml:space="preserve"> </w:t>
      </w:r>
      <w:bookmarkStart w:id="6" w:name="References"/>
      <w:r w:rsidRPr="00280A7D">
        <w:t>(2025/2023(INI))</w:t>
      </w:r>
      <w:bookmarkEnd w:id="6"/>
    </w:p>
    <w:p w:rsidR="00D140A8" w:rsidRPr="00DD6180" w:rsidRDefault="00D140A8" w:rsidP="00D140A8">
      <w:pPr>
        <w:pStyle w:val="EPComma"/>
      </w:pPr>
      <w:r w:rsidRPr="00DD6180">
        <w:rPr>
          <w:rStyle w:val="Italic"/>
        </w:rPr>
        <w:t>Parlament Europejski</w:t>
      </w:r>
      <w:r w:rsidRPr="00DD6180">
        <w:t>,</w:t>
      </w:r>
    </w:p>
    <w:p w:rsidR="00D140A8" w:rsidRPr="002E29BB" w:rsidRDefault="00D140A8" w:rsidP="00D140A8">
      <w:pPr>
        <w:pStyle w:val="NormalHanging12a"/>
      </w:pPr>
      <w:bookmarkStart w:id="7" w:name="TextBodyBegin"/>
      <w:bookmarkEnd w:id="7"/>
      <w:r>
        <w:t>–</w:t>
      </w:r>
      <w:r>
        <w:tab/>
        <w:t>uwzględniając konkluzje Rady Europejskiej z 17 i 18 kwietnia 2024 r., 30 czerwca 2023 r., 23 czerwca 2022 r., 24 czerwca 2021 r. i 12 grudnia 2019 r. oraz wszystkie wcześniejsze odnośne konkluzje Rady i Rady Europejskiej,</w:t>
      </w:r>
    </w:p>
    <w:p w:rsidR="00D140A8" w:rsidRPr="002E29BB" w:rsidRDefault="00D140A8" w:rsidP="00D140A8">
      <w:pPr>
        <w:pStyle w:val="NormalHanging12a"/>
      </w:pPr>
      <w:r>
        <w:t>–</w:t>
      </w:r>
      <w:r>
        <w:tab/>
        <w:t>uwzględniając członkostwo Turcji w Radzie Europy i NATO,</w:t>
      </w:r>
    </w:p>
    <w:p w:rsidR="00D140A8" w:rsidRPr="002E29BB" w:rsidRDefault="00D140A8" w:rsidP="00D140A8">
      <w:pPr>
        <w:pStyle w:val="NormalHanging12a"/>
        <w:rPr>
          <w:szCs w:val="24"/>
        </w:rPr>
      </w:pPr>
      <w:r>
        <w:t>–</w:t>
      </w:r>
      <w:r>
        <w:tab/>
        <w:t>uwzględniając umowę między Unią Europejską a Republiką Turcji o readmisji osób przebywających nielegalnie</w:t>
      </w:r>
      <w:r w:rsidRPr="002E29BB">
        <w:rPr>
          <w:rStyle w:val="FootnoteReference"/>
        </w:rPr>
        <w:footnoteReference w:id="1"/>
      </w:r>
      <w:r>
        <w:t xml:space="preserve"> (umowa o readmisji UE–Turcja),</w:t>
      </w:r>
    </w:p>
    <w:p w:rsidR="00D140A8" w:rsidRPr="002E29BB" w:rsidRDefault="00D140A8" w:rsidP="00D140A8">
      <w:pPr>
        <w:pStyle w:val="NormalHanging12a"/>
      </w:pPr>
      <w:r>
        <w:t>–</w:t>
      </w:r>
      <w:r>
        <w:tab/>
        <w:t>uwzględniając oświadczenie członków Rady Europejskiej z 25 marca 2021 r. w sprawie Turcji,</w:t>
      </w:r>
    </w:p>
    <w:p w:rsidR="00D140A8" w:rsidRPr="002E29BB" w:rsidRDefault="00D140A8" w:rsidP="00D140A8">
      <w:pPr>
        <w:pStyle w:val="NormalHanging12a"/>
      </w:pPr>
      <w:r>
        <w:t>–</w:t>
      </w:r>
      <w:r>
        <w:tab/>
        <w:t>uwzględniając oświadczenia UE–Turcja z 18 marca 2016 r. i z 29 listopada 2015 r.,</w:t>
      </w:r>
    </w:p>
    <w:p w:rsidR="00D140A8" w:rsidRPr="002E29BB" w:rsidRDefault="00D140A8" w:rsidP="00D140A8">
      <w:pPr>
        <w:pStyle w:val="NormalHanging12a"/>
      </w:pPr>
      <w:r>
        <w:t>–</w:t>
      </w:r>
      <w:r>
        <w:tab/>
        <w:t>uwzględniając ramy negocjacyjne dla Turcji z 3 października 2005 r.,</w:t>
      </w:r>
    </w:p>
    <w:p w:rsidR="00D140A8" w:rsidRPr="002E29BB" w:rsidRDefault="00D140A8" w:rsidP="00D140A8">
      <w:pPr>
        <w:pStyle w:val="NormalHanging12a"/>
      </w:pPr>
      <w:r>
        <w:t>–</w:t>
      </w:r>
      <w:r>
        <w:tab/>
        <w:t>uwzględniając oświadczenie wydane przez Wspólnotę Europejską i jej państwa członkowskie 21 września 2005 r. w następstwie oświadczenia złożonego przez Turcję po podpisaniu przez nią protokołu dodatkowego do Układu z Ankary 29 lipca 2005 r.,</w:t>
      </w:r>
    </w:p>
    <w:p w:rsidR="00D140A8" w:rsidRPr="002E29BB" w:rsidRDefault="00D140A8" w:rsidP="00D140A8">
      <w:pPr>
        <w:pStyle w:val="NormalHanging12a"/>
      </w:pPr>
      <w:r>
        <w:t>–</w:t>
      </w:r>
      <w:r>
        <w:tab/>
        <w:t>uwzględniając konkluzje Rady z grudnia 2006 r. i marca 2020 r. oraz konkluzje prezydencji z posiedzenia Rady Europejskiej w Kopenhadze w dniach 21–22 czerwca 1993 r., znane również jako kryteria kopenhaskie,</w:t>
      </w:r>
    </w:p>
    <w:p w:rsidR="00D140A8" w:rsidRPr="002E29BB" w:rsidRDefault="00D140A8" w:rsidP="00D140A8">
      <w:pPr>
        <w:pStyle w:val="NormalHanging12a"/>
      </w:pPr>
      <w:r>
        <w:t>–</w:t>
      </w:r>
      <w:r>
        <w:tab/>
        <w:t>uwzględniając konkluzje Rady z 17 grudnia 2024 r. i 12 grudnia 2023 r. w sprawie rozszerzenia,</w:t>
      </w:r>
    </w:p>
    <w:p w:rsidR="00D140A8" w:rsidRPr="002E29BB" w:rsidRDefault="00D140A8" w:rsidP="00D140A8">
      <w:pPr>
        <w:pStyle w:val="NormalHanging12a"/>
      </w:pPr>
      <w:r>
        <w:t>–</w:t>
      </w:r>
      <w:r>
        <w:tab/>
        <w:t xml:space="preserve">uwzględniając międzynarodowe prawo morza oraz Konwencję Narodów </w:t>
      </w:r>
      <w:r>
        <w:lastRenderedPageBreak/>
        <w:t>Zjednoczonych o prawie morza (UNCLOS),</w:t>
      </w:r>
    </w:p>
    <w:p w:rsidR="00D140A8" w:rsidRPr="002E29BB" w:rsidRDefault="00D140A8" w:rsidP="00D140A8">
      <w:pPr>
        <w:pStyle w:val="NormalHanging12a"/>
      </w:pPr>
      <w:r>
        <w:t>–</w:t>
      </w:r>
      <w:r>
        <w:tab/>
        <w:t>uwzględniając komunikat Komisji z 30 października 2024 r. w sprawie polityki rozszerzenia UE (COM(2024)0690) oraz towarzyszące mu sprawozdanie za 2024 r. dotyczące Turcji (SWD(2024)0696),</w:t>
      </w:r>
    </w:p>
    <w:p w:rsidR="00D140A8" w:rsidRPr="002E29BB" w:rsidRDefault="00D140A8" w:rsidP="00D140A8">
      <w:pPr>
        <w:pStyle w:val="NormalHanging12a"/>
      </w:pPr>
      <w:r>
        <w:t>–</w:t>
      </w:r>
      <w:r>
        <w:tab/>
        <w:t>uwzględniając komunikat Komisji z 8 listopada 2023 r. w sprawie polityki rozszerzenia UE (COM(2023)0690) oraz towarzyszące mu sprawozdanie za 2023 r. dotyczące Turcji (SWD(2023)0696),</w:t>
      </w:r>
    </w:p>
    <w:p w:rsidR="00D140A8" w:rsidRPr="002E29BB" w:rsidRDefault="00D140A8" w:rsidP="00D140A8">
      <w:pPr>
        <w:pStyle w:val="NormalHanging12a"/>
      </w:pPr>
      <w:r>
        <w:t>–</w:t>
      </w:r>
      <w:r>
        <w:tab/>
        <w:t>uwzględniając sprawozdanie specjalne Europejskiego Trybunału Obrachunkowego nr 06/2024 z 24 kwietnia 2024 r. pt. „Instrument Pomocy dla Uchodźców w Turcji zapewnił korzyści uchodźcom i społecznościom przyjmującym, lecz wpływ i trwałość działań wciąż są niepewne”,</w:t>
      </w:r>
    </w:p>
    <w:p w:rsidR="00D140A8" w:rsidRPr="002E29BB" w:rsidRDefault="00D140A8" w:rsidP="00D140A8">
      <w:pPr>
        <w:pStyle w:val="NormalHanging12a"/>
      </w:pPr>
      <w:r>
        <w:t>–</w:t>
      </w:r>
      <w:r>
        <w:tab/>
        <w:t>uwzględniając wspólne komunikaty Komisji oraz wysokiego przedstawiciela Unii do spraw zagranicznych i polityki bezpieczeństwa do Rady Europejskiej z 29 listopada 2023 r. (JOIN(2023)0050) i 22 marca 2021 r. (JOIN(2021)0008) w sprawie stanu stosunków politycznych, gospodarczych i handlowych między UE a Turcją,</w:t>
      </w:r>
    </w:p>
    <w:p w:rsidR="00D140A8" w:rsidRPr="002E29BB" w:rsidRDefault="00D140A8" w:rsidP="00D140A8">
      <w:pPr>
        <w:pStyle w:val="NormalHanging12a"/>
      </w:pPr>
      <w:r>
        <w:t>–</w:t>
      </w:r>
      <w:r>
        <w:tab/>
        <w:t>uwzględniając komunikat Komisji z 19 grudnia 2024 r. zatytułowany „Ósme sprawozdanie roczne w sprawie Instrumentu Pomocy dla Uchodźców w Turcji” (COM(2024)0593),</w:t>
      </w:r>
    </w:p>
    <w:p w:rsidR="00D140A8" w:rsidRPr="002E29BB" w:rsidRDefault="00D140A8" w:rsidP="00D140A8">
      <w:pPr>
        <w:pStyle w:val="NormalHanging12a"/>
        <w:rPr>
          <w:szCs w:val="24"/>
        </w:rPr>
      </w:pPr>
      <w:r>
        <w:t>–</w:t>
      </w:r>
      <w:r>
        <w:tab/>
        <w:t>uwzględniając podstawowe zasady prawa międzynarodowego oraz Kartę Narodów Zjednoczonych, porozumienia wysokiego szczebla z 1977 r. i 1979 r. między przywódcami obu społeczności, a także odpowiednie rezolucje Rady Bezpieczeństwa ONZ w sprawie Cypru, w tym rezolucję 186 (1964) z 4 marca 1964 r., która potwierdza suwerenność Republiki Cypryjskiej, rezolucję nr 550 (1984) z 11 maja 1984 r. w sprawie działań secesjonistycznych na Cyprze, rezolucję nr 789 (1992) z 25 listopada 1992 r. oraz rezolucję nr 2537 (2020) w sprawie sił pokojowych ONZ na Cyprze (UNFICYP),</w:t>
      </w:r>
    </w:p>
    <w:p w:rsidR="00D140A8" w:rsidRPr="002E29BB" w:rsidRDefault="00D140A8" w:rsidP="00D140A8">
      <w:pPr>
        <w:pStyle w:val="NormalHanging12a"/>
      </w:pPr>
      <w:r>
        <w:t>–</w:t>
      </w:r>
      <w:r>
        <w:tab/>
        <w:t>uwzględniając art. 46 europejskiej konwencji praw człowieka (EKPC), który stanowi, że układające się strony zobowiązują się do przestrzegania ostatecznego wyroku Europejskiego Trybunału Praw Człowieka (ETPC) we wszystkich sprawach, w których są stronami, i w związku z tym uwzględniając zobowiązanie Turcji do wdrożenia wszystkich wyroków ETPC,</w:t>
      </w:r>
    </w:p>
    <w:p w:rsidR="00D140A8" w:rsidRPr="002E29BB" w:rsidRDefault="00D140A8" w:rsidP="00D140A8">
      <w:pPr>
        <w:pStyle w:val="NormalHanging12a"/>
      </w:pPr>
      <w:r>
        <w:t>–</w:t>
      </w:r>
      <w:r>
        <w:tab/>
        <w:t>uwzględniając odnośne rezolucje Komitetu Ministrów Rady Europy,</w:t>
      </w:r>
    </w:p>
    <w:p w:rsidR="00D140A8" w:rsidRPr="002E29BB" w:rsidRDefault="00D140A8" w:rsidP="00D140A8">
      <w:pPr>
        <w:pStyle w:val="NormalHanging12a"/>
        <w:rPr>
          <w:szCs w:val="24"/>
        </w:rPr>
      </w:pPr>
      <w:r>
        <w:t>–</w:t>
      </w:r>
      <w:r>
        <w:tab/>
        <w:t xml:space="preserve">uwzględniając raport </w:t>
      </w:r>
      <w:proofErr w:type="spellStart"/>
      <w:r>
        <w:t>Freedom</w:t>
      </w:r>
      <w:proofErr w:type="spellEnd"/>
      <w:r>
        <w:t xml:space="preserve"> House na temat wolności na świecie za 2025 r.,</w:t>
      </w:r>
    </w:p>
    <w:p w:rsidR="00D140A8" w:rsidRPr="002E29BB" w:rsidRDefault="00D140A8" w:rsidP="00D140A8">
      <w:pPr>
        <w:pStyle w:val="NormalHanging12a"/>
      </w:pPr>
      <w:r>
        <w:t>–</w:t>
      </w:r>
      <w:r>
        <w:tab/>
        <w:t>uwzględniając światowy ranking wolności prasy za 2024 r. opublikowany przez Reporterów bez Granic,</w:t>
      </w:r>
    </w:p>
    <w:p w:rsidR="00D140A8" w:rsidRPr="002E29BB" w:rsidRDefault="00D140A8" w:rsidP="00D140A8">
      <w:pPr>
        <w:pStyle w:val="NormalHanging12a"/>
      </w:pPr>
      <w:r>
        <w:t>–</w:t>
      </w:r>
      <w:r>
        <w:tab/>
        <w:t xml:space="preserve">uwzględniając raport dotyczący statystyk więziennych ze stycznia 2025 r. opublikowany przez stowarzyszenie społeczeństwa obywatelskiego w systemie karnym (CISST) oraz charakterystykę krajową Turcji za 2024 r. opublikowaną przez platformę </w:t>
      </w:r>
      <w:proofErr w:type="spellStart"/>
      <w:r>
        <w:t>Prison</w:t>
      </w:r>
      <w:proofErr w:type="spellEnd"/>
      <w:r>
        <w:t xml:space="preserve"> </w:t>
      </w:r>
      <w:proofErr w:type="spellStart"/>
      <w:r>
        <w:t>Insider</w:t>
      </w:r>
      <w:proofErr w:type="spellEnd"/>
      <w:r>
        <w:t>,</w:t>
      </w:r>
    </w:p>
    <w:p w:rsidR="00D140A8" w:rsidRPr="002E29BB" w:rsidRDefault="00D140A8" w:rsidP="00D140A8">
      <w:pPr>
        <w:pStyle w:val="NormalHanging12a"/>
      </w:pPr>
      <w:r>
        <w:t>–</w:t>
      </w:r>
      <w:r>
        <w:tab/>
        <w:t xml:space="preserve">uwzględniając sprawozdanie Światowego Forum Ekonomicznego za 2024 r. na temat </w:t>
      </w:r>
      <w:r>
        <w:lastRenderedPageBreak/>
        <w:t>nierówności płci na świecie,</w:t>
      </w:r>
    </w:p>
    <w:p w:rsidR="00D140A8" w:rsidRPr="002E29BB" w:rsidRDefault="00D140A8" w:rsidP="00D140A8">
      <w:pPr>
        <w:pStyle w:val="NormalHanging12a"/>
        <w:rPr>
          <w:szCs w:val="24"/>
        </w:rPr>
      </w:pPr>
      <w:r>
        <w:t>–</w:t>
      </w:r>
      <w:r>
        <w:tab/>
        <w:t xml:space="preserve">uwzględniając niedawne raporty platformy na rzecz położenia kresu </w:t>
      </w:r>
      <w:proofErr w:type="spellStart"/>
      <w:r>
        <w:t>kobietobójstwu</w:t>
      </w:r>
      <w:proofErr w:type="spellEnd"/>
      <w:r>
        <w:t xml:space="preserve"> (</w:t>
      </w:r>
      <w:proofErr w:type="spellStart"/>
      <w:r>
        <w:t>Kadın</w:t>
      </w:r>
      <w:proofErr w:type="spellEnd"/>
      <w:r>
        <w:t xml:space="preserve"> </w:t>
      </w:r>
      <w:proofErr w:type="spellStart"/>
      <w:r>
        <w:t>Cinayetlerini</w:t>
      </w:r>
      <w:proofErr w:type="spellEnd"/>
      <w:r>
        <w:t xml:space="preserve"> </w:t>
      </w:r>
      <w:proofErr w:type="spellStart"/>
      <w:r>
        <w:t>Durduracağız</w:t>
      </w:r>
      <w:proofErr w:type="spellEnd"/>
      <w:r>
        <w:t xml:space="preserve"> </w:t>
      </w:r>
      <w:proofErr w:type="spellStart"/>
      <w:r>
        <w:t>Platformu</w:t>
      </w:r>
      <w:proofErr w:type="spellEnd"/>
      <w:r>
        <w:t>),</w:t>
      </w:r>
    </w:p>
    <w:p w:rsidR="004A5A41" w:rsidRPr="00280A7D" w:rsidRDefault="004A5A41" w:rsidP="004A5A41">
      <w:pPr>
        <w:pStyle w:val="NormalHanging12a"/>
      </w:pPr>
      <w:r w:rsidRPr="00280A7D">
        <w:t>–</w:t>
      </w:r>
      <w:r w:rsidRPr="00280A7D">
        <w:tab/>
        <w:t xml:space="preserve">uwzględniając oświadczenie UNESCO z 10 lipca 2020 r. w sprawie </w:t>
      </w:r>
      <w:proofErr w:type="spellStart"/>
      <w:r w:rsidRPr="00280A7D">
        <w:t>Hagii</w:t>
      </w:r>
      <w:proofErr w:type="spellEnd"/>
      <w:r w:rsidRPr="00280A7D">
        <w:t xml:space="preserve"> Sophii oraz odpowiednie decyzje Komitetu Światowego Dziedzictwa UNESCO nr 44 COM 7B.58 (2021) i 45 COM 7B.58 (2023), przyjęte odpowiednio na 44. i 45. sesji,</w:t>
      </w:r>
    </w:p>
    <w:p w:rsidR="004A5A41" w:rsidRPr="00280A7D" w:rsidRDefault="004A5A41" w:rsidP="004A5A41">
      <w:pPr>
        <w:pStyle w:val="NormalHanging12a"/>
      </w:pPr>
      <w:r w:rsidRPr="00280A7D">
        <w:t>–</w:t>
      </w:r>
      <w:r w:rsidRPr="00280A7D">
        <w:tab/>
        <w:t>uwzględniając swoje wcześniejsze rezolucje w sprawie Turcji, w szczególności rezolucję z 13 września 2023 r. w sprawie sprawozdania Komisji za rok 2022 dotyczącego Turcji</w:t>
      </w:r>
      <w:r w:rsidRPr="00280A7D">
        <w:rPr>
          <w:rStyle w:val="FootnoteReference"/>
          <w:color w:val="000000"/>
        </w:rPr>
        <w:footnoteReference w:id="2"/>
      </w:r>
      <w:r w:rsidRPr="00280A7D">
        <w:t>, z 7 czerwca 2022 r. w sprawie sprawozdania Komisji za rok 2021 dotyczącego Turcji</w:t>
      </w:r>
      <w:r w:rsidRPr="00280A7D">
        <w:rPr>
          <w:rStyle w:val="FootnoteReference"/>
          <w:color w:val="000000"/>
        </w:rPr>
        <w:footnoteReference w:id="3"/>
      </w:r>
      <w:r w:rsidRPr="00280A7D">
        <w:t xml:space="preserve"> oraz z 26 listopada 2020 r. w sprawie eskalacji napięć w </w:t>
      </w:r>
      <w:proofErr w:type="spellStart"/>
      <w:r w:rsidRPr="00280A7D">
        <w:t>Waroszy</w:t>
      </w:r>
      <w:proofErr w:type="spellEnd"/>
      <w:r w:rsidRPr="00280A7D">
        <w:t xml:space="preserve"> w związku z nielegalnymi działaniami Turcji i pilną potrzebą wznowienia rozmów</w:t>
      </w:r>
      <w:r w:rsidRPr="00280A7D">
        <w:rPr>
          <w:rStyle w:val="FootnoteReference"/>
          <w:color w:val="000000"/>
        </w:rPr>
        <w:footnoteReference w:id="4"/>
      </w:r>
      <w:r w:rsidRPr="00280A7D">
        <w:t>,</w:t>
      </w:r>
    </w:p>
    <w:p w:rsidR="004A5A41" w:rsidRPr="00280A7D" w:rsidRDefault="004A5A41" w:rsidP="004A5A41">
      <w:pPr>
        <w:pStyle w:val="NormalHanging12a"/>
      </w:pPr>
      <w:r w:rsidRPr="00280A7D">
        <w:t>–</w:t>
      </w:r>
      <w:r w:rsidRPr="00280A7D">
        <w:tab/>
        <w:t>uwzględniając swoją rezolucję z 29 lutego 2024 r. w sprawie pogłębienia integracji europejskiej z myślą o przyszłym rozszerzeniu</w:t>
      </w:r>
      <w:r w:rsidRPr="00280A7D">
        <w:rPr>
          <w:rStyle w:val="FootnoteReference"/>
        </w:rPr>
        <w:footnoteReference w:id="5"/>
      </w:r>
      <w:r w:rsidRPr="00280A7D">
        <w:t>,</w:t>
      </w:r>
    </w:p>
    <w:p w:rsidR="004A5A41" w:rsidRPr="00280A7D" w:rsidRDefault="004A5A41" w:rsidP="004A5A41">
      <w:pPr>
        <w:pStyle w:val="NormalHanging12a"/>
      </w:pPr>
      <w:r w:rsidRPr="00280A7D">
        <w:t>–</w:t>
      </w:r>
      <w:r w:rsidRPr="00280A7D">
        <w:tab/>
        <w:t>uwzględniając swoją rezolucję z 15 kwietnia 2015 r. w sprawie setnej rocznicy ludobójstwa Ormian</w:t>
      </w:r>
      <w:r w:rsidRPr="00280A7D">
        <w:rPr>
          <w:rStyle w:val="FootnoteReference"/>
        </w:rPr>
        <w:footnoteReference w:id="6"/>
      </w:r>
      <w:r w:rsidRPr="00280A7D">
        <w:t>,</w:t>
      </w:r>
    </w:p>
    <w:p w:rsidR="004A5A41" w:rsidRPr="00280A7D" w:rsidRDefault="004A5A41" w:rsidP="004A5A41">
      <w:pPr>
        <w:pStyle w:val="NormalHanging12a"/>
      </w:pPr>
      <w:r w:rsidRPr="00280A7D">
        <w:t>–</w:t>
      </w:r>
      <w:r w:rsidRPr="00280A7D">
        <w:tab/>
        <w:t xml:space="preserve">uwzględniając swoje rezolucje z 5 maja 2022 r. w sprawie Osmana </w:t>
      </w:r>
      <w:proofErr w:type="spellStart"/>
      <w:r w:rsidRPr="00280A7D">
        <w:t>Kavali</w:t>
      </w:r>
      <w:proofErr w:type="spellEnd"/>
      <w:r w:rsidRPr="00280A7D">
        <w:t xml:space="preserve"> w Turcji</w:t>
      </w:r>
      <w:r w:rsidRPr="00280A7D">
        <w:rPr>
          <w:rStyle w:val="FootnoteReference"/>
          <w:color w:val="000000"/>
        </w:rPr>
        <w:footnoteReference w:id="7"/>
      </w:r>
      <w:r w:rsidRPr="00280A7D">
        <w:t xml:space="preserve">, z 10 października 2024 r. w sprawie </w:t>
      </w:r>
      <w:proofErr w:type="spellStart"/>
      <w:r w:rsidRPr="00280A7D">
        <w:t>Bülenta</w:t>
      </w:r>
      <w:proofErr w:type="spellEnd"/>
      <w:r w:rsidRPr="00280A7D">
        <w:t xml:space="preserve"> </w:t>
      </w:r>
      <w:proofErr w:type="spellStart"/>
      <w:r w:rsidRPr="00280A7D">
        <w:t>Mumaya</w:t>
      </w:r>
      <w:proofErr w:type="spellEnd"/>
      <w:r w:rsidRPr="00280A7D">
        <w:t xml:space="preserve"> w Turcji</w:t>
      </w:r>
      <w:r w:rsidRPr="00280A7D">
        <w:rPr>
          <w:rStyle w:val="FootnoteReference"/>
        </w:rPr>
        <w:footnoteReference w:id="8"/>
      </w:r>
      <w:r w:rsidRPr="00280A7D">
        <w:t xml:space="preserve"> oraz z 13 lutego 2025 r. w sprawie niedawnych dymisji i aresztowań burmistrzów w Turcji</w:t>
      </w:r>
      <w:r w:rsidRPr="00280A7D">
        <w:rPr>
          <w:rStyle w:val="FootnoteReference"/>
        </w:rPr>
        <w:footnoteReference w:id="9"/>
      </w:r>
      <w:r w:rsidRPr="00280A7D">
        <w:t xml:space="preserve">, </w:t>
      </w:r>
    </w:p>
    <w:p w:rsidR="004A5A41" w:rsidRPr="00280A7D" w:rsidRDefault="004A5A41" w:rsidP="004A5A41">
      <w:pPr>
        <w:pStyle w:val="NormalHanging12a"/>
        <w:rPr>
          <w:szCs w:val="24"/>
        </w:rPr>
      </w:pPr>
      <w:r w:rsidRPr="00280A7D">
        <w:t>–</w:t>
      </w:r>
      <w:r w:rsidRPr="00280A7D">
        <w:tab/>
        <w:t xml:space="preserve">uwzględniając wizytę przewodniczącej Komisji Europejskiej Ursuli von der </w:t>
      </w:r>
      <w:proofErr w:type="spellStart"/>
      <w:r w:rsidRPr="00280A7D">
        <w:t>Leyen</w:t>
      </w:r>
      <w:proofErr w:type="spellEnd"/>
      <w:r w:rsidRPr="00280A7D">
        <w:t xml:space="preserve"> w Ankarze w grudniu 2024 r.,</w:t>
      </w:r>
    </w:p>
    <w:p w:rsidR="004A5A41" w:rsidRPr="00280A7D" w:rsidRDefault="004A5A41" w:rsidP="004A5A41">
      <w:pPr>
        <w:pStyle w:val="NormalHanging12a"/>
      </w:pPr>
      <w:r w:rsidRPr="00280A7D">
        <w:t>–</w:t>
      </w:r>
      <w:r w:rsidRPr="00280A7D">
        <w:tab/>
        <w:t>uwzględniając art. 55 Regulaminu,</w:t>
      </w:r>
    </w:p>
    <w:p w:rsidR="004A5A41" w:rsidRPr="00280A7D" w:rsidRDefault="004A5A41" w:rsidP="004A5A41">
      <w:pPr>
        <w:pStyle w:val="NormalHanging12a"/>
        <w:rPr>
          <w:szCs w:val="24"/>
        </w:rPr>
      </w:pPr>
      <w:r w:rsidRPr="00280A7D">
        <w:t>–</w:t>
      </w:r>
      <w:r w:rsidRPr="00280A7D">
        <w:tab/>
        <w:t>uwzględniając sprawozdanie Komisji Spraw Zagranicznych (A10-0067/2025),</w:t>
      </w:r>
    </w:p>
    <w:p w:rsidR="004A5A41" w:rsidRPr="00280A7D" w:rsidRDefault="004A5A41" w:rsidP="004A5A41">
      <w:pPr>
        <w:pStyle w:val="NormalHanging12a"/>
        <w:rPr>
          <w:szCs w:val="24"/>
        </w:rPr>
      </w:pPr>
      <w:r w:rsidRPr="00280A7D">
        <w:t>A.</w:t>
      </w:r>
      <w:r w:rsidRPr="00280A7D">
        <w:tab/>
        <w:t>mając na uwadze, że Turcja pozostaje krajem kandydującym do UE, a członkostwo w UE pozostaje wielokrotnie deklarowanym celem politycznym tureckiego rządu, choć rośnie dystans pod względem wartości i interesów w stosunku do UE; mając na uwadze, że negocjacje w sprawie przystąpienia do UE faktycznie utknęły w martwym punkcie od 2018 r. z powodu pogorszenia się praworządności i demokracji w Turcji;</w:t>
      </w:r>
    </w:p>
    <w:p w:rsidR="004A5A41" w:rsidRPr="00280A7D" w:rsidRDefault="004A5A41" w:rsidP="004A5A41">
      <w:pPr>
        <w:pStyle w:val="NormalHanging12a"/>
      </w:pPr>
      <w:r w:rsidRPr="00280A7D">
        <w:t>B.</w:t>
      </w:r>
      <w:r w:rsidRPr="00280A7D">
        <w:tab/>
        <w:t xml:space="preserve">mając na uwadze, że od każdego kraju objętego procesem akcesyjnym oczekuje się poszanowania wartości demokratycznych, praworządności i praw człowieka oraz przestrzegania prawa UE; mając na uwadze, że Turcja musi wiarygodnie wykazać swoje zaangażowanie na rzecz bliższych stosunków i dostosowania się do Unii Europejskiej, aby ponownie wzmocnić swoją europejską perspektywę; mając na </w:t>
      </w:r>
      <w:r w:rsidRPr="00280A7D">
        <w:lastRenderedPageBreak/>
        <w:t>uwadze, że posiadanie statusu kraju kandydującego zakłada gotowość do stopniowego zbliżania się do dorobku prawnego UE i dostosowania się do niego we wszystkich aspektach, w tym w odniesieniu do wartości, interesów, standardów i polityk, m.in. do wspólnej polityki zagranicznej i bezpieczeństwa UE, oraz do poszanowania i przestrzegania kryteriów kopenhaskich, a także prowadzenia i utrzymywania stosunków dobrosąsiedzkich z UE i wszystkimi jej państwami członkowskimi bez dyskryminacji; mając na uwadze, że napięcia między UE a Turcją w związku z sytuacją we wschodniej części regionu Morza Śródziemnego uległy osłabieniu, ale nie ustały; mając na uwadze, że wielokrotnie zwracano się do Turcji o powstrzymanie się od wszelkich działań naruszających suwerenność i suwerenne prawa wszystkich państw członkowskich UE oraz prawo międzynarodowe i unijne;</w:t>
      </w:r>
    </w:p>
    <w:p w:rsidR="004A5A41" w:rsidRPr="00280A7D" w:rsidRDefault="004A5A41" w:rsidP="004A5A41">
      <w:pPr>
        <w:pStyle w:val="NormalHanging12a"/>
      </w:pPr>
      <w:r w:rsidRPr="00280A7D">
        <w:t>C.</w:t>
      </w:r>
      <w:r w:rsidRPr="00280A7D">
        <w:tab/>
        <w:t>mając na uwadze, że ze sprawozdania Komisji z postępów Turcji za 2023 r. wyłania się obraz ciągłego regresu, natomiast w swoim najnowszym sprawozdaniu z postępów Turcji za 2024 r. Komisja wydaje się rysować nieco bardziej pozytywny ogólny obraz postępów Turcji w zakresie reform związanych z rozszerzeniem, np. w dziedzinie polityki gospodarczej i pieniężnej; mając na uwadze, że nie ma to jednak zastosowania do zasadniczych kwestii związanych z demokracją i prawami podstawowymi, w których to kwestiach nastąpiło dalsze pogorszenie od czasu opublikowania ostatniego sprawozdania Komisji; mając na uwadze, że oddalenie Turcji od wartości i ram normatywnych UE pozostawało zatem nierozwiązanym problemem w ostatnim okresie, gdyż stale stosowane są przepisy i środki ograniczające praworządność i prawa człowieka, podstawowe wolności oraz swobody obywatelskie;</w:t>
      </w:r>
    </w:p>
    <w:p w:rsidR="004A5A41" w:rsidRPr="00280A7D" w:rsidRDefault="004A5A41" w:rsidP="004A5A41">
      <w:pPr>
        <w:pStyle w:val="NormalHanging12a"/>
      </w:pPr>
      <w:r w:rsidRPr="00280A7D">
        <w:t>D.</w:t>
      </w:r>
      <w:r w:rsidRPr="00280A7D">
        <w:tab/>
        <w:t>mając na uwadze, że wspólny komunikat z 29 listopada 2023 r. w sprawie stanu stosunków między UE a Turcją przybrał bardziej pozytywny ton i zawiera szereg zaleceń dotyczących współpracy w obszarach będących przedmiotem wspólnego zainteresowania, prowadzonej w stopniowy, proporcjonalny i odwracalny sposób oraz na ustalonych warunkach; mając na uwadze, że do tej pory podjęto tylko kilka konkretnych kroków zgodnych z zobowiązaniami określonymi w tym komunikacie; mając na uwadze, że na posiedzeniu w kwietniu 2024 r. Rada Europejska upoważniła Komitet Stałych Przedstawicieli do poczynienia postępów we wdrażaniu tego wspólnego komunikatu; mając jednak na uwadze, że wspólny komunikat nie uzyskał jeszcze wyraźnego poparcia politycznego Rady;</w:t>
      </w:r>
    </w:p>
    <w:p w:rsidR="004A5A41" w:rsidRPr="00280A7D" w:rsidRDefault="004A5A41" w:rsidP="004A5A41">
      <w:pPr>
        <w:pStyle w:val="NormalHanging12a"/>
      </w:pPr>
      <w:r w:rsidRPr="00280A7D">
        <w:t>E.</w:t>
      </w:r>
      <w:r w:rsidRPr="00280A7D">
        <w:tab/>
        <w:t>mając na uwadze, że Turcja jest członkiem Rady Europy i w związku z tym obowiązują ją wyroki ETPC; mając na uwadze, że z powodu niestosowania przełomowych orzeczeń ETPC wobec Turcji toczy się historyczne postępowanie w sprawie uchybienia zobowiązaniom państwa członkowskiego; mając na uwadze, że Turcja stale plasuje się wśród krajów, w których najczęściej dochodzi do naruszeń praw człowieka i podstawowych wolności chronionych europejską konwencją praw człowieka; mając na uwadze, że pod koniec listopada 2024 r. Turcji dotyczyła największa liczba spraw toczących się przed ETPC – 22 450 skarg, co stanowi 36,7 % całkowitej liczby spraw przed Trybunałem, wynoszącej 61 250;</w:t>
      </w:r>
    </w:p>
    <w:p w:rsidR="004A5A41" w:rsidRPr="00280A7D" w:rsidRDefault="004A5A41" w:rsidP="004A5A41">
      <w:pPr>
        <w:pStyle w:val="NormalHanging12a"/>
      </w:pPr>
      <w:r w:rsidRPr="00280A7D">
        <w:t>F.</w:t>
      </w:r>
      <w:r w:rsidRPr="00280A7D">
        <w:tab/>
        <w:t xml:space="preserve">mając na uwadze, że w rankingu </w:t>
      </w:r>
      <w:proofErr w:type="spellStart"/>
      <w:r w:rsidRPr="00280A7D">
        <w:t>Freedom</w:t>
      </w:r>
      <w:proofErr w:type="spellEnd"/>
      <w:r w:rsidRPr="00280A7D">
        <w:t xml:space="preserve"> House Turcja została uznana za kraj, w którym nie ma wolności, i doświadczyła jednego z największych spadków poziomu wolności na świecie w ostatniej dekadzie; mając na uwadze, że w światowym rankingu wolności prasy z 2024 r. Turcja znajduje się na 158. miejscu na 180 krajów; mając na uwadze, że rząd turecki zamknął dziesiątki mediów, rutynowo blokował artykuły w </w:t>
      </w:r>
      <w:proofErr w:type="spellStart"/>
      <w:r w:rsidRPr="00280A7D">
        <w:t>internecie</w:t>
      </w:r>
      <w:proofErr w:type="spellEnd"/>
      <w:r w:rsidRPr="00280A7D">
        <w:t xml:space="preserve">, według doniesień kontroluje 85 % mediów krajowych i wykorzystuje swoją </w:t>
      </w:r>
      <w:r w:rsidRPr="00280A7D">
        <w:lastRenderedPageBreak/>
        <w:t xml:space="preserve">państwową agencję </w:t>
      </w:r>
      <w:proofErr w:type="spellStart"/>
      <w:r w:rsidRPr="00280A7D">
        <w:t>Anadolu</w:t>
      </w:r>
      <w:proofErr w:type="spellEnd"/>
      <w:r w:rsidRPr="00280A7D">
        <w:t xml:space="preserve"> jako organ propagandy;</w:t>
      </w:r>
    </w:p>
    <w:p w:rsidR="004A5A41" w:rsidRPr="00280A7D" w:rsidRDefault="004A5A41" w:rsidP="004A5A41">
      <w:pPr>
        <w:pStyle w:val="NormalHanging12a"/>
      </w:pPr>
      <w:r w:rsidRPr="00280A7D">
        <w:t>G.</w:t>
      </w:r>
      <w:r w:rsidRPr="00280A7D">
        <w:tab/>
        <w:t>mając na uwadze, że turecka konstytucja przewiduje wystarczającą ochronę praw podstawowych, ale praktyka instytucji i krytyczny stan sądownictwa – w tym brak poszanowania orzeczeń Trybunału Konstytucyjnego – są głównymi przyczynami tragicznej sytuacji w zakresie praworządności i praw człowieka w tym kraju, co wielokrotnie opisywano w sprawozdaniach UE, Rady Europy i organizacji międzynarodowych;</w:t>
      </w:r>
    </w:p>
    <w:p w:rsidR="004A5A41" w:rsidRPr="00280A7D" w:rsidRDefault="004A5A41" w:rsidP="004A5A41">
      <w:pPr>
        <w:pStyle w:val="NormalHanging12a"/>
      </w:pPr>
      <w:r w:rsidRPr="00280A7D">
        <w:t>H.</w:t>
      </w:r>
      <w:r w:rsidRPr="00280A7D">
        <w:tab/>
        <w:t>mając na uwadze, że Turcja ma najwyższy wskaźnik uwięzienia i największą liczbę osadzonych ze wszystkich państw członkowskich Rady Europy, a liczba osadzonych w warunkach przeludnienia wzrosła o 439 % w latach 2005–2023 i stanowi obecnie ponad jedną trzecią wszystkich więźniów w państwach członkowskich Rady Europy;</w:t>
      </w:r>
    </w:p>
    <w:p w:rsidR="004A5A41" w:rsidRPr="00280A7D" w:rsidRDefault="004A5A41" w:rsidP="004A5A41">
      <w:pPr>
        <w:pStyle w:val="NormalHanging12a"/>
        <w:rPr>
          <w:szCs w:val="24"/>
        </w:rPr>
      </w:pPr>
      <w:r w:rsidRPr="00280A7D">
        <w:t>I.</w:t>
      </w:r>
      <w:r w:rsidRPr="00280A7D">
        <w:tab/>
        <w:t xml:space="preserve">mając na uwadze, że w światowym wskaźniku nierówności płci z 2024 r. Turcja zajęła 127. miejsce na 146 krajów, co podkreśla poważne nierówne traktowanie płci i systemowe niepowodzenia w ochronie praw kobiet; mając na uwadze, że według sprawozdania platformy na rzecz położenia kresu </w:t>
      </w:r>
      <w:proofErr w:type="spellStart"/>
      <w:r w:rsidRPr="00280A7D">
        <w:t>kobietobójstwu</w:t>
      </w:r>
      <w:proofErr w:type="spellEnd"/>
      <w:r w:rsidRPr="00280A7D">
        <w:t xml:space="preserve"> (</w:t>
      </w:r>
      <w:proofErr w:type="spellStart"/>
      <w:r w:rsidRPr="00280A7D">
        <w:t>Kadın</w:t>
      </w:r>
      <w:proofErr w:type="spellEnd"/>
      <w:r w:rsidRPr="00280A7D">
        <w:t xml:space="preserve"> </w:t>
      </w:r>
      <w:proofErr w:type="spellStart"/>
      <w:r w:rsidRPr="00280A7D">
        <w:t>Cinayetlerini</w:t>
      </w:r>
      <w:proofErr w:type="spellEnd"/>
      <w:r w:rsidRPr="00280A7D">
        <w:t xml:space="preserve"> </w:t>
      </w:r>
      <w:proofErr w:type="spellStart"/>
      <w:r w:rsidRPr="00280A7D">
        <w:t>Durduracağız</w:t>
      </w:r>
      <w:proofErr w:type="spellEnd"/>
      <w:r w:rsidRPr="00280A7D">
        <w:t xml:space="preserve"> </w:t>
      </w:r>
      <w:proofErr w:type="spellStart"/>
      <w:r w:rsidRPr="00280A7D">
        <w:t>Platformu</w:t>
      </w:r>
      <w:proofErr w:type="spellEnd"/>
      <w:r w:rsidRPr="00280A7D">
        <w:t>) za 2024 r. w Turcji w 2024 r. 394 kobiety zostały zamordowane przez mężczyzn, a 259 kobiet znaleziono martwych w podejrzanych okolicznościach, co stanowi najwyższy wynik odnotowany od rozpoczęcia gromadzenia danych w 2010 r. przez tę grupę społeczeństwa obywatelskiego; mając na uwadze, że w sprawozdaniu za 2023 r. platforma ta odnotowała, że 315 kobiet zostało zabitych przez mężczyzn, a 248 kobiet znaleziono martwych w podejrzanych okolicznościach;</w:t>
      </w:r>
    </w:p>
    <w:p w:rsidR="004A5A41" w:rsidRPr="00280A7D" w:rsidRDefault="004A5A41" w:rsidP="004A5A41">
      <w:pPr>
        <w:pStyle w:val="NormalHanging12a"/>
      </w:pPr>
      <w:r w:rsidRPr="00280A7D">
        <w:t>J.</w:t>
      </w:r>
      <w:r w:rsidRPr="00280A7D">
        <w:tab/>
        <w:t xml:space="preserve">mając na uwadze, że w ostatnich miesiącach Turcja podjęła kroki w kierunku wznowienia procesu pokojowego rozwiązania kwestii kurdyjskiej; mając na uwadze, że 27 lutego 2025 r. uwięziony przywódca bojowników Abdullah </w:t>
      </w:r>
      <w:proofErr w:type="spellStart"/>
      <w:r w:rsidRPr="00280A7D">
        <w:t>Öcalan</w:t>
      </w:r>
      <w:proofErr w:type="spellEnd"/>
      <w:r w:rsidRPr="00280A7D">
        <w:t xml:space="preserve"> wezwał swoją Partię Pracujących Kurdystanu (PKK) do rozbrojenia i rozwiązania, stwarzając historyczną okazję do zakończenia konfliktu turecko-kurdyjskiego; mając na uwadze, że wysiłkom tym towarzyszyły nasilające się represje i ograniczanie uprawnień demokratycznych samorządów lokalnych, w tym odwoływanie wybranych burmistrzów kurdyjskich i innych opozycyjnych burmistrzów;</w:t>
      </w:r>
    </w:p>
    <w:p w:rsidR="004A5A41" w:rsidRPr="00280A7D" w:rsidRDefault="004A5A41" w:rsidP="004A5A41">
      <w:pPr>
        <w:pStyle w:val="NormalHanging12a"/>
      </w:pPr>
      <w:r w:rsidRPr="00280A7D">
        <w:t>K.</w:t>
      </w:r>
      <w:r w:rsidRPr="00280A7D">
        <w:tab/>
        <w:t>mając na uwadze, że Turcja jest nie tylko krajem kandydującym do UE, ale także sojusznikiem NATO oraz kluczowym partnerem w dziedzinie handlu, stosunków gospodarczych, bezpieczeństwa, walki z terroryzmem i migracji; mając na uwadze, że Turcja nadal odgrywa kluczową rolę w regionie i stanowi pomost między Europą a Azją oraz jest w dalszym ciągu kluczowym partnerem w kwestii stabilności szeroko rozumianego regionu wschodniej części Morza Śródziemnego; mając na uwadze, że Turcja nadal odgrywa istotną rolę w konflikcie syryjskim i utrzymuje siły wojskowe w północnej Syrii;</w:t>
      </w:r>
    </w:p>
    <w:p w:rsidR="004A5A41" w:rsidRPr="00280A7D" w:rsidRDefault="004A5A41" w:rsidP="004A5A41">
      <w:pPr>
        <w:pStyle w:val="NormalHanging12a"/>
      </w:pPr>
      <w:r w:rsidRPr="00280A7D">
        <w:t>L.</w:t>
      </w:r>
      <w:r w:rsidRPr="00280A7D">
        <w:tab/>
        <w:t>mając na uwadze, że Turcja nie dostosowała się do sankcji UE wobec Rosji; mając na uwadze, że wymiana handlowa między Turcją a Rosją wzrosła niemal dwukrotnie od czasu nałożenia przez UE sankcji na Rosję; mając na uwadze, że mimo podjętych kroków Turcja nie zapobiegła wykorzystywaniu swojego terytorium do obchodzenia sankcji UE wobec Rosji;</w:t>
      </w:r>
    </w:p>
    <w:p w:rsidR="004A5A41" w:rsidRPr="00280A7D" w:rsidRDefault="004A5A41" w:rsidP="004A5A41">
      <w:pPr>
        <w:pStyle w:val="NormalHanging12a"/>
      </w:pPr>
      <w:r w:rsidRPr="00280A7D">
        <w:t>M.</w:t>
      </w:r>
      <w:r w:rsidRPr="00280A7D">
        <w:tab/>
        <w:t xml:space="preserve">mając na uwadze, że w sprawozdaniu Komisji z postępów Turcji za 2024 r. stwierdzono, że na dzień 30 września 2024 r. wskaźnik dostosowania tego kraju do </w:t>
      </w:r>
      <w:r w:rsidRPr="00280A7D">
        <w:lastRenderedPageBreak/>
        <w:t>odpowiednich oświadczeń wysokiego przedstawiciela wydawanych w imieniu UE i odpowiednich decyzji Rady był bardzo niski i wyniósł 5 % w porównaniu do 9 % w 2023 r.;</w:t>
      </w:r>
    </w:p>
    <w:p w:rsidR="004A5A41" w:rsidRPr="00280A7D" w:rsidRDefault="004A5A41" w:rsidP="004A5A41">
      <w:pPr>
        <w:pStyle w:val="NormalHanging12a"/>
        <w:rPr>
          <w:szCs w:val="24"/>
        </w:rPr>
      </w:pPr>
      <w:r w:rsidRPr="00280A7D">
        <w:t>N.</w:t>
      </w:r>
      <w:r w:rsidRPr="00280A7D">
        <w:tab/>
        <w:t>mając na uwadze, że Turcja jest piątym co do wielkości partnerem handlowym UE, a UE jest zdecydowanie największym partnerem handlowym Turcji oraz głównym źródłem bezpośrednich inwestycji zagranicznych;</w:t>
      </w:r>
    </w:p>
    <w:p w:rsidR="004A5A41" w:rsidRPr="00280A7D" w:rsidRDefault="004A5A41" w:rsidP="004A5A41">
      <w:pPr>
        <w:pStyle w:val="NormalHanging12a"/>
        <w:rPr>
          <w:szCs w:val="24"/>
        </w:rPr>
      </w:pPr>
      <w:r w:rsidRPr="00280A7D">
        <w:t>O.</w:t>
      </w:r>
      <w:r w:rsidRPr="00280A7D">
        <w:tab/>
        <w:t>mając na uwadze, że w ubiegłym roku współpraca między UE a Turcją nasiliła się zarówno pod względem spotkań technicznych, jak i posiedzeń wysokiego szczebla w obszarach sektorowych;</w:t>
      </w:r>
    </w:p>
    <w:p w:rsidR="004A5A41" w:rsidRPr="00280A7D" w:rsidRDefault="004A5A41" w:rsidP="004A5A41">
      <w:pPr>
        <w:pStyle w:val="NormalHanging12a"/>
      </w:pPr>
      <w:r w:rsidRPr="00280A7D">
        <w:t>P.</w:t>
      </w:r>
      <w:r w:rsidRPr="00280A7D">
        <w:tab/>
        <w:t>mając na uwadze, że Turcja złożyła wniosek o członkostwo w BRICS+ i wykazała zainteresowanie przystąpieniem do Szanghajskiej Organizacji Współpracy (SOW);</w:t>
      </w:r>
    </w:p>
    <w:p w:rsidR="004A5A41" w:rsidRDefault="004A5A41" w:rsidP="004A5A41">
      <w:pPr>
        <w:pStyle w:val="NormalHanging12a"/>
      </w:pPr>
      <w:r w:rsidRPr="00280A7D">
        <w:t>Q.</w:t>
      </w:r>
      <w:r w:rsidRPr="00280A7D">
        <w:tab/>
        <w:t>mając na uwadze, że po okresie nieortodoksyjnej polityki gospodarczej Turcja wdrożyła w ubiegłym roku bardziej restrykcyjną politykę pieniężną, co doprowadziło do zmniejszenia nierównowagi zewnętrznej i ograniczenia presji inflacyjnej;</w:t>
      </w:r>
    </w:p>
    <w:p w:rsidR="00175495" w:rsidRPr="00175495" w:rsidRDefault="00D140A8" w:rsidP="004A5A41">
      <w:pPr>
        <w:pStyle w:val="NormalHanging12a"/>
      </w:pPr>
      <w:r>
        <w:t>R</w:t>
      </w:r>
      <w:r w:rsidR="00175495" w:rsidRPr="003B5AF0">
        <w:t>.</w:t>
      </w:r>
      <w:r w:rsidR="00175495" w:rsidRPr="00175495">
        <w:tab/>
      </w:r>
      <w:r w:rsidR="00175495" w:rsidRPr="003B5AF0">
        <w:rPr>
          <w:bCs/>
          <w:iCs/>
        </w:rPr>
        <w:t xml:space="preserve">mając na uwadze, że w marcu 2025 r. rząd turecki wydał co najmniej 10 mld USD ze swoich rezerw walutowych na przeciwdziałanie załamaniu się rynków finansowych i dewaluacji liry, które były skutkiem decyzji o aresztowaniu i zatrzymaniu burmistrza Stambułu i wybitnego polityka opozycyjnego </w:t>
      </w:r>
      <w:proofErr w:type="spellStart"/>
      <w:r w:rsidR="00175495" w:rsidRPr="003B5AF0">
        <w:rPr>
          <w:bCs/>
          <w:iCs/>
        </w:rPr>
        <w:t>Ekrema</w:t>
      </w:r>
      <w:proofErr w:type="spellEnd"/>
      <w:r w:rsidR="00175495" w:rsidRPr="003B5AF0">
        <w:rPr>
          <w:bCs/>
          <w:iCs/>
        </w:rPr>
        <w:t xml:space="preserve"> </w:t>
      </w:r>
      <w:proofErr w:type="spellStart"/>
      <w:r w:rsidR="00175495" w:rsidRPr="003B5AF0">
        <w:rPr>
          <w:bCs/>
          <w:iCs/>
        </w:rPr>
        <w:t>İmamoğlu</w:t>
      </w:r>
      <w:proofErr w:type="spellEnd"/>
      <w:r w:rsidR="00175495" w:rsidRPr="003B5AF0">
        <w:rPr>
          <w:bCs/>
          <w:iCs/>
        </w:rPr>
        <w:t>;</w:t>
      </w:r>
      <w:r w:rsidR="00175495" w:rsidRPr="003B5AF0">
        <w:t xml:space="preserve"> mając na uwadze, że podważanie przez rząd turecki tureckiej demokracji i praworządności stwarza niekorzystne warunki dla bezpośrednich inwestycji zagranicznych, a tym samym osłabia turecką gospodarkę, co ma poważne konsekwencje dla sytuacji społeczno-gospodarczej obywateli tureckich;</w:t>
      </w:r>
    </w:p>
    <w:p w:rsidR="004A5A41" w:rsidRPr="00280A7D" w:rsidRDefault="00D140A8" w:rsidP="004A5A41">
      <w:pPr>
        <w:pStyle w:val="NormalHanging12a"/>
      </w:pPr>
      <w:r>
        <w:t>S</w:t>
      </w:r>
      <w:r w:rsidR="004A5A41" w:rsidRPr="00280A7D">
        <w:t>.</w:t>
      </w:r>
      <w:r w:rsidR="004A5A41" w:rsidRPr="00280A7D">
        <w:tab/>
        <w:t xml:space="preserve">mając na uwadze, że Turcja przyjęła największą populację uchodźców na świecie, obejmującą prawie 3,1 mln zarejestrowanych uchodźców – głównie z Syrii, Iraku i Afganistanu; mając na uwadze, że od 2011 r. UE przeznaczyła ponad 10 mld EUR na pomoc uchodźcom i społecznościom przyjmującym w Turcji; mając na uwadze, że według wiarygodnego raportu śledczego sporządzonego przez </w:t>
      </w:r>
      <w:proofErr w:type="spellStart"/>
      <w:r w:rsidR="004A5A41" w:rsidRPr="00280A7D">
        <w:t>Lighthouse</w:t>
      </w:r>
      <w:proofErr w:type="spellEnd"/>
      <w:r w:rsidR="004A5A41" w:rsidRPr="00280A7D">
        <w:t xml:space="preserve"> </w:t>
      </w:r>
      <w:proofErr w:type="spellStart"/>
      <w:r w:rsidR="004A5A41" w:rsidRPr="00280A7D">
        <w:t>Reports</w:t>
      </w:r>
      <w:proofErr w:type="spellEnd"/>
      <w:r w:rsidR="004A5A41" w:rsidRPr="00280A7D">
        <w:t xml:space="preserve"> i ośmiu partnerów medialnych UE finansuje ośrodki detencyjne w Turcji, w których dochodzi do przetrzymywania uchodźców, znęcania się nad nimi i ich przymusowej deportacji pod pozorem dobrowolnego powrotu;</w:t>
      </w:r>
    </w:p>
    <w:p w:rsidR="004A5A41" w:rsidRPr="00280A7D" w:rsidRDefault="00D140A8" w:rsidP="004A5A41">
      <w:pPr>
        <w:pStyle w:val="NormalHanging12a"/>
      </w:pPr>
      <w:r>
        <w:t>T</w:t>
      </w:r>
      <w:r w:rsidR="004A5A41" w:rsidRPr="00280A7D">
        <w:t>.</w:t>
      </w:r>
      <w:r w:rsidR="004A5A41" w:rsidRPr="00280A7D">
        <w:tab/>
        <w:t>mając na uwadze, że oprócz pomocy nadzwyczajnej koordynowanej za pośrednictwem Unijnego Mechanizmu Ochrony Ludności o szacunkowej wartości 38 mln EUR UE zapewniła w 2023 r. pomoc humanitarną w reakcji na trzęsienie ziemi w wysokości 78,2 mln EUR, a w 2024 r. – pomoc humanitarną w wysokości 26 mln EUR; mając na uwadze, że UE przeznaczyła dodatkowe 400 mln EUR w ramach pomocy z Funduszu Solidarności UE na sfinansowanie operacji odbudowy po niszczycielskim trzęsieniu ziemi;</w:t>
      </w:r>
    </w:p>
    <w:p w:rsidR="004A5A41" w:rsidRPr="00280A7D" w:rsidRDefault="00D140A8" w:rsidP="004A5A41">
      <w:pPr>
        <w:pStyle w:val="NormalHanging12a"/>
        <w:rPr>
          <w:szCs w:val="24"/>
        </w:rPr>
      </w:pPr>
      <w:r>
        <w:t>U</w:t>
      </w:r>
      <w:r w:rsidR="004A5A41" w:rsidRPr="00280A7D">
        <w:t>.</w:t>
      </w:r>
      <w:r w:rsidR="004A5A41" w:rsidRPr="00280A7D">
        <w:tab/>
        <w:t>mając na uwadze, że Turcja systematycznie nadużywa przepisów antyterrorystycznych do ataków m.in. na wybranych urzędników, polityków opozycji</w:t>
      </w:r>
      <w:r w:rsidR="00E42260" w:rsidRPr="003B5AF0">
        <w:t>, dziennikarzy</w:t>
      </w:r>
      <w:r w:rsidR="004A5A41" w:rsidRPr="00280A7D">
        <w:t xml:space="preserve"> i obrońców praw człowieka;</w:t>
      </w:r>
    </w:p>
    <w:p w:rsidR="004A5A41" w:rsidRPr="00280A7D" w:rsidRDefault="004A5A41" w:rsidP="004A5A41">
      <w:pPr>
        <w:pStyle w:val="NormalHanging12a"/>
        <w:rPr>
          <w:b/>
          <w:i/>
        </w:rPr>
      </w:pPr>
      <w:r w:rsidRPr="00280A7D">
        <w:rPr>
          <w:b/>
          <w:i/>
        </w:rPr>
        <w:t>Zaangażowanie na rzecz przystąpienia do UE</w:t>
      </w:r>
    </w:p>
    <w:p w:rsidR="004A5A41" w:rsidRPr="00280A7D" w:rsidRDefault="004A5A41" w:rsidP="004A5A41">
      <w:pPr>
        <w:pStyle w:val="NormalHanging12a"/>
        <w:rPr>
          <w:szCs w:val="24"/>
        </w:rPr>
      </w:pPr>
      <w:r w:rsidRPr="00280A7D">
        <w:t>1.</w:t>
      </w:r>
      <w:r w:rsidRPr="00280A7D">
        <w:tab/>
        <w:t xml:space="preserve">uznaje długotrwałe aspiracje tureckiego społeczeństwa obywatelskiego dotyczące </w:t>
      </w:r>
      <w:r w:rsidRPr="00280A7D">
        <w:lastRenderedPageBreak/>
        <w:t>przystąpienia do Unii Europejskiej; z zadowoleniem przyjmuje niedawne oświadczenia rządu tureckiego, ponownie podkreślające zaangażowanie tego kraju na rzecz członkostwa w UE, będącego celem strategicznym, w ramach działań na rzecz ożywienia stosunków między UE a Turcją zgodnie z odnośnymi konkluzjami Rady Europejskiej w stopniowy, proporcjonalny i odwracalny sposób; uznaje zobowiązanie UE do wspierania tego zaangażowania przez pogłębiony dialog i współpracę</w:t>
      </w:r>
      <w:r w:rsidR="00E42260" w:rsidRPr="003B5AF0">
        <w:t xml:space="preserve">, ale zachęca ją do przeglądu oczekiwań dotyczących zaangażowania w dającą się przewidzieć przyszłość w świetle pogarszających się standardów demokratycznych, które od dekady pchają ten kraj w kierunku autorytarnego modelu, przyspieszając ostatnio umotywowane politycznie aresztowanie głównego przeciwnika politycznego prezydenta </w:t>
      </w:r>
      <w:proofErr w:type="spellStart"/>
      <w:r w:rsidR="00E42260" w:rsidRPr="003B5AF0">
        <w:t>Recepa</w:t>
      </w:r>
      <w:proofErr w:type="spellEnd"/>
      <w:r w:rsidR="00E42260" w:rsidRPr="003B5AF0">
        <w:t xml:space="preserve"> </w:t>
      </w:r>
      <w:proofErr w:type="spellStart"/>
      <w:r w:rsidR="00E42260" w:rsidRPr="003B5AF0">
        <w:t>Tayyipa</w:t>
      </w:r>
      <w:proofErr w:type="spellEnd"/>
      <w:r w:rsidR="00E42260" w:rsidRPr="003B5AF0">
        <w:t xml:space="preserve"> </w:t>
      </w:r>
      <w:proofErr w:type="spellStart"/>
      <w:r w:rsidR="00E42260" w:rsidRPr="003B5AF0">
        <w:t>Erdoğana</w:t>
      </w:r>
      <w:proofErr w:type="spellEnd"/>
      <w:r w:rsidR="00E42260" w:rsidRPr="003B5AF0">
        <w:t xml:space="preserve"> – burmistrza gminy metropolitalnej Stambułu </w:t>
      </w:r>
      <w:proofErr w:type="spellStart"/>
      <w:r w:rsidR="00E42260" w:rsidRPr="003B5AF0">
        <w:t>Ekrema</w:t>
      </w:r>
      <w:proofErr w:type="spellEnd"/>
      <w:r w:rsidR="00E42260" w:rsidRPr="003B5AF0">
        <w:t xml:space="preserve"> </w:t>
      </w:r>
      <w:proofErr w:type="spellStart"/>
      <w:r w:rsidR="00E42260" w:rsidRPr="003B5AF0">
        <w:t>İmamoğlu</w:t>
      </w:r>
      <w:proofErr w:type="spellEnd"/>
      <w:r w:rsidRPr="00280A7D">
        <w:t>;</w:t>
      </w:r>
    </w:p>
    <w:p w:rsidR="004A5A41" w:rsidRPr="00280A7D" w:rsidRDefault="004A5A41" w:rsidP="004A5A41">
      <w:pPr>
        <w:pStyle w:val="NormalHanging12a"/>
        <w:rPr>
          <w:szCs w:val="24"/>
        </w:rPr>
      </w:pPr>
      <w:r w:rsidRPr="00280A7D">
        <w:t>2.</w:t>
      </w:r>
      <w:r w:rsidRPr="00280A7D">
        <w:tab/>
        <w:t xml:space="preserve">podkreśla, że członkostwo w UE jest uzależnione od spełnienia kryteriów dotyczących przystąpienia (tzw. kryteriów kopenhaskich), które wymagają stabilnych instytucji gwarantujących demokrację, praworządność, prawa człowieka, poszanowanie i ochronę mniejszości, stosunki dobrosąsiedzkie, poszanowanie prawa międzynarodowego oraz dostosowanie się do </w:t>
      </w:r>
      <w:proofErr w:type="spellStart"/>
      <w:r w:rsidRPr="00280A7D">
        <w:t>WPZiB</w:t>
      </w:r>
      <w:proofErr w:type="spellEnd"/>
      <w:r w:rsidRPr="00280A7D">
        <w:t xml:space="preserve"> UE; zauważa ponadto, że są to kryteria bezwzględne, a nie kwestie podlegające strategicznym względom transakcyjnym i negocjacjom; podkreśla, że uznanie wszystkich państw członkowskich UE jest niezbędnym elementem procesu akcesyjnego;</w:t>
      </w:r>
    </w:p>
    <w:p w:rsidR="004A5A41" w:rsidRPr="00280A7D" w:rsidRDefault="004A5A41" w:rsidP="004A5A41">
      <w:pPr>
        <w:pStyle w:val="NormalHanging12a"/>
      </w:pPr>
      <w:r w:rsidRPr="00280A7D">
        <w:t>3.</w:t>
      </w:r>
      <w:r w:rsidRPr="00280A7D">
        <w:tab/>
        <w:t>w związku z tym ubolewa, że wyżej wymienionym pozytywnym oświadczeniom nie towarzyszyły konkretne działania ze strony władz tureckich, mające na celu zlikwidowanie utrzymującej się ogromnej przepaści między Turcją a UE, jeżeli chodzi o wartości i standardy, zwłaszcza w odniesieniu do podstaw procesu akcesyjnego; przypomina swoją wcześniej przyjętą konkluzję, że rząd turecki dalej wykazuje, podobnie jak w ostatnich latach, wyraźny brak woli politycznej do przeprowadzenia niezbędnych reform mających doprowadzić do wznowienia procesu akcesyjnego i nadal przejawia głęboko zakorzenione autorytarne rozumienie systemu prezydenckiego;</w:t>
      </w:r>
    </w:p>
    <w:p w:rsidR="004A5A41" w:rsidRPr="00280A7D" w:rsidRDefault="004A5A41" w:rsidP="004A5A41">
      <w:pPr>
        <w:pStyle w:val="NormalHanging12a"/>
      </w:pPr>
      <w:r w:rsidRPr="00280A7D">
        <w:t>4.</w:t>
      </w:r>
      <w:r w:rsidRPr="00280A7D">
        <w:tab/>
        <w:t>uznaje strategiczne i geopolityczne znaczenie Turcji oraz jej rosnącą obecność i wpływ na obszarach o krytycznym znaczeniu dla bezpieczeństwa międzynarodowego, takich jak region Morza Czarnego, w tym Ukraina, i Bliski Wschód; przypomina, że Turcja jest partnerem strategicznym i sojusznikiem NATO, a także krajem, z którym UE utrzymuje bliskie stosunki w dziedzinie bezpieczeństwa, handlu, gospodarki i migracji; z zadowoleniem przyjmuje ściślejszą współpracę między Turcją a UE, do której rząd turecki często się odnosi, ale podkreśla, że nie może to w żaden sposób zastąpić niezbędnych rzeczywistych postępów, które Turcja jako kraj kandydujący musi poczynić, by spełnić podstawowe wymogi akcesyjne; podkreśla w związku z tym, że w procesie akcesyjnym nie ma drogi na skróty i że nie można wysunąć żadnego argumentu, aby uniknąć dyskusji na temat zasad demokratycznych, które leżą u podstaw tego procesu;</w:t>
      </w:r>
    </w:p>
    <w:p w:rsidR="004A5A41" w:rsidRPr="00280A7D" w:rsidRDefault="004A5A41" w:rsidP="004A5A41">
      <w:pPr>
        <w:pStyle w:val="NormalHanging12a"/>
      </w:pPr>
      <w:r w:rsidRPr="00280A7D">
        <w:t>5.</w:t>
      </w:r>
      <w:r w:rsidRPr="00280A7D">
        <w:tab/>
        <w:t>zauważa, że w sprawozdaniu Komisji dotyczącym Turcji za 2024 r przedstawiono bardziej pozytywny obraz wdrażania reform w kontekście procesu akcesyjnego Turcji niż w sprawozdaniu dotyczącym Turcji za 2023 r., przechodząc od dalszego pogorszenia do „braku postępów” w odniesieniu do kwestii praworządności i praw człowieka; jest jednak zdania, że przynajmniej w kluczowych obszarach, takich jak: demokracja, praworządność i prawa podstawowe, wynika to z faktu, że osiągnięto już bardzo niski poziom i sytuacja ta pozostała bez zmian;</w:t>
      </w:r>
    </w:p>
    <w:p w:rsidR="004A5A41" w:rsidRPr="00280A7D" w:rsidRDefault="004A5A41" w:rsidP="004A5A41">
      <w:pPr>
        <w:pStyle w:val="NormalHanging12a"/>
        <w:rPr>
          <w:szCs w:val="24"/>
        </w:rPr>
      </w:pPr>
      <w:r w:rsidRPr="00280A7D">
        <w:lastRenderedPageBreak/>
        <w:t>6.</w:t>
      </w:r>
      <w:r w:rsidRPr="00280A7D">
        <w:tab/>
        <w:t>odnotowuje ponadto subtelne przesunięcie punktu ciężkości w sprawozdaniu dotyczącym Turcji za 2024 r. w porównaniu ze sprawozdaniem za 2023 r. z procesu akcesyjnego na partnerstwo strategiczne między Unią Europejską a Turcją; jest zdania, że krytyczny stan procesu akcesyjnego skłania Komisję i Radę do skupienia się jedynie na wymiarze partnerstwa w stosunkach między UE a Turcją, co znalazło również odzwierciedlenie we wspólnych komunikatach w sprawie stanu stosunków między UE a Turcją z 29 listopada 2023 r. i z 22 marca 2021 r.; podkreśla rosnącą tendencję do kładzenia nacisku na inne ramy stosunków, co może odbywać się kosztem procesu akcesyjnego;</w:t>
      </w:r>
    </w:p>
    <w:p w:rsidR="004A5A41" w:rsidRPr="00280A7D" w:rsidRDefault="004A5A41" w:rsidP="004A5A41">
      <w:pPr>
        <w:pStyle w:val="NormalHanging12a"/>
        <w:rPr>
          <w:b/>
          <w:bCs/>
          <w:i/>
          <w:iCs/>
        </w:rPr>
      </w:pPr>
      <w:r w:rsidRPr="00280A7D">
        <w:rPr>
          <w:b/>
          <w:i/>
        </w:rPr>
        <w:t>Istota procesu akcesyjnego – demokracja, praworządność i prawa podstawowe</w:t>
      </w:r>
    </w:p>
    <w:p w:rsidR="004A5A41" w:rsidRPr="00280A7D" w:rsidRDefault="004A5A41" w:rsidP="004A5A41">
      <w:pPr>
        <w:pStyle w:val="NormalHanging12a"/>
      </w:pPr>
      <w:r w:rsidRPr="00280A7D">
        <w:t>7.</w:t>
      </w:r>
      <w:r w:rsidRPr="00280A7D">
        <w:tab/>
        <w:t>uważa, że jeśli chodzi o prawa człowieka i praworządność, niedawne rezolucje Parlamentu na ten temat pozostają aktualne w świetle utrzymującej się tragicznej sytuacji w zakresie praw człowieka i regresu demokracji w Turcji w ciągu ostatniego roku; w pełni popiera ostatnie rezolucje Zgromadzenia Parlamentarnego Rady Europy oraz powiązane sprawozdanie jego komitetu monitorującego, a także rezolucje przyjęte przez Komitet Ministrów Rady Europy, w których to rezolucjach szczegółowo przedstawiono poważne braki w przestrzeganiu praw człowieka, o jakich stale informują lokalne i międzynarodowe organizacje praw człowieka;</w:t>
      </w:r>
    </w:p>
    <w:p w:rsidR="004A5A41" w:rsidRPr="00280A7D" w:rsidRDefault="004A5A41" w:rsidP="004A5A41">
      <w:pPr>
        <w:pStyle w:val="NormalHanging12a"/>
        <w:rPr>
          <w:szCs w:val="24"/>
        </w:rPr>
      </w:pPr>
      <w:r w:rsidRPr="00280A7D">
        <w:t>8.</w:t>
      </w:r>
      <w:r w:rsidRPr="00280A7D">
        <w:tab/>
        <w:t>zauważa deklarowane zaangażowanie rządu tureckiego na rzecz reformy sądownictwa oraz wprowadzenie środków o charakterze organizacyjnym; podkreśla jednak potrzebę wprowadzenia środków strukturalnych gwarantujących niezależność sądów; głęboko ubolewa, że mimo strategii reform obejmującej dziewięć pakietów reform sądownictwa, stan niezawisłości sądownictwa w Turcji pozostaje zdewastowany w wyniku systematycznej ingerencji rządu w system sądownictwa i jego politycznej instrumentalizacji; w związku z tym ubolewa z powodu osłabienia pozostałych mechanizmów kontroli zgodności z konstytucją, w szczególności wniosków indywidualnych, a także częstych naruszeń sprawiedliwości proceduralnej;</w:t>
      </w:r>
    </w:p>
    <w:p w:rsidR="004A5A41" w:rsidRPr="00280A7D" w:rsidRDefault="004A5A41" w:rsidP="004A5A41">
      <w:pPr>
        <w:pStyle w:val="NormalHanging12a"/>
      </w:pPr>
      <w:r w:rsidRPr="00280A7D">
        <w:t>9.</w:t>
      </w:r>
      <w:r w:rsidRPr="00280A7D">
        <w:tab/>
        <w:t>jest zaniepokojony prześladowaniem przedstawicieli zawodów prawniczych, w tym w postaci ostatnio wniesionego przez prokuraturę generalną w Stambule powództwa o usunięcie kierownictwa stambulskiej Izby Adwokackiej, któremu postawiono zarzuty „rozpowszechniania propagandy na rzecz organizacji terrorystycznej” i „publicznego rozpowszechniania informacji wprowadzających w błąd” za złożenie wniosku o dochodzenie w sprawie zabójstwa dwóch kurdyjskich dziennikarzy w Syrii, a także uwięzieniem jednego z członków zarządu stambulskiej Izby Adwokackiej w następstwie jego wyjazdu do Strasburga, gdzie spotkał się z instytucjami Rady Europy;</w:t>
      </w:r>
    </w:p>
    <w:p w:rsidR="004A5A41" w:rsidRPr="00280A7D" w:rsidRDefault="004A5A41" w:rsidP="004A5A41">
      <w:pPr>
        <w:pStyle w:val="NormalHanging12a"/>
      </w:pPr>
      <w:r w:rsidRPr="00280A7D">
        <w:t>10.</w:t>
      </w:r>
      <w:r w:rsidRPr="00280A7D">
        <w:tab/>
        <w:t xml:space="preserve">jest zaniepokojony rażącym brakiem wykonania orzeczeń Trybunału Konstytucyjnego, w tym w sprawie posła </w:t>
      </w:r>
      <w:proofErr w:type="spellStart"/>
      <w:r w:rsidRPr="00280A7D">
        <w:t>Cana</w:t>
      </w:r>
      <w:proofErr w:type="spellEnd"/>
      <w:r w:rsidRPr="00280A7D">
        <w:t xml:space="preserve"> </w:t>
      </w:r>
      <w:proofErr w:type="spellStart"/>
      <w:r w:rsidRPr="00280A7D">
        <w:t>Atalaya</w:t>
      </w:r>
      <w:proofErr w:type="spellEnd"/>
      <w:r w:rsidRPr="00280A7D">
        <w:t xml:space="preserve">, co doprowadziło do poważnego kryzysu sądowego, ponieważ Sąd Kasacyjny złożył zawiadomienie o popełnieniu przestępstwa przeciwko dziewięciu sędziom Trybunału Konstytucyjnego; jest zaniepokojony niedawnym orzeczeniem Sądu Kasacyjnego o uchyleniu wyroków i zwolnieniu terrorystów biorących udział w ataku ISIS na lotnisku </w:t>
      </w:r>
      <w:proofErr w:type="spellStart"/>
      <w:r w:rsidRPr="00280A7D">
        <w:t>Atatürk</w:t>
      </w:r>
      <w:proofErr w:type="spellEnd"/>
      <w:r w:rsidRPr="00280A7D">
        <w:t xml:space="preserve"> w Stambule w 2016 r., w którym śmierć poniosło 45 osób;</w:t>
      </w:r>
    </w:p>
    <w:p w:rsidR="004A5A41" w:rsidRPr="00280A7D" w:rsidRDefault="004A5A41" w:rsidP="004A5A41">
      <w:pPr>
        <w:pStyle w:val="NormalHanging12a"/>
      </w:pPr>
      <w:r w:rsidRPr="00280A7D">
        <w:t>11.</w:t>
      </w:r>
      <w:r w:rsidRPr="00280A7D">
        <w:tab/>
        <w:t xml:space="preserve">wzywa Turcję do zwiększenia zaangażowania na rzecz rządów demokratycznych, zwłaszcza w postaci reform gwarantujących niezależność sądownictwa; odnotowuje niedawne ogłoszenie czwartej strategii reformy sądownictwa na lata 2025–2029; wzywa </w:t>
      </w:r>
      <w:r w:rsidRPr="00280A7D">
        <w:lastRenderedPageBreak/>
        <w:t>rząd turecki, by zamiast powierzchownych zmian wprowadzanych dotychczas w oparciu o powtarzające się pakiety reform i plany działania przeprowadził gruntowną, od dawna oczekiwaną reformę, która dzięki prawdziwej woli politycznej wyeliminuje poważne i strukturalne niedociągnięcia tureckiego sądownictwa; podkreśla, że położenie kresu politycznej ingerencji w sądownictwo nie wymaga żadnej strategii ani pakietu reform, a jedynie woli politycznej;</w:t>
      </w:r>
    </w:p>
    <w:p w:rsidR="004A5A41" w:rsidRPr="00280A7D" w:rsidRDefault="004A5A41" w:rsidP="004A5A41">
      <w:pPr>
        <w:pStyle w:val="NormalHanging12a"/>
      </w:pPr>
      <w:r w:rsidRPr="00280A7D">
        <w:t>12.</w:t>
      </w:r>
      <w:r w:rsidRPr="00280A7D">
        <w:tab/>
        <w:t xml:space="preserve">jest nadal głęboko zaniepokojony ciągłym pogarszaniem się standardów demokratycznych i nieustającymi represjami ze strony władz tureckich wobec wszelkich krytycznych głosów, które to represje przejawiają się coraz większą liczbą represyjnych przepisów, regularnym nadużywaniem przepisów antyterrorystycznych, w tym ich stosowaniem wobec małoletnich (np. w sprawie </w:t>
      </w:r>
      <w:proofErr w:type="spellStart"/>
      <w:r w:rsidRPr="00280A7D">
        <w:t>Kız</w:t>
      </w:r>
      <w:proofErr w:type="spellEnd"/>
      <w:r w:rsidRPr="00280A7D">
        <w:t xml:space="preserve"> </w:t>
      </w:r>
      <w:proofErr w:type="spellStart"/>
      <w:r w:rsidRPr="00280A7D">
        <w:t>Çocukları</w:t>
      </w:r>
      <w:proofErr w:type="spellEnd"/>
      <w:r w:rsidRPr="00280A7D">
        <w:t xml:space="preserve"> </w:t>
      </w:r>
      <w:proofErr w:type="spellStart"/>
      <w:r w:rsidRPr="00280A7D">
        <w:t>Davası</w:t>
      </w:r>
      <w:proofErr w:type="spellEnd"/>
      <w:r w:rsidRPr="00280A7D">
        <w:t>), nieproporcjonalnym wykorzystywaniem przepisów dotyczących znieważenia urzędnika publicznego, powszechnym wykorzystywaniem tajnych świadków i nieaktywnych spraw w nieprawidłowych postępowaniach sądowych oraz powtarzającą się praktyką nadużywania nocnych aresztowań i przeszukań domów w celu przedstawienia osób będących ich celem jako wyjątkowo niebezpiecznych;</w:t>
      </w:r>
    </w:p>
    <w:p w:rsidR="004A5A41" w:rsidRPr="00280A7D" w:rsidRDefault="004A5A41" w:rsidP="004A5A41">
      <w:pPr>
        <w:pStyle w:val="NormalHanging12a"/>
      </w:pPr>
      <w:r w:rsidRPr="00280A7D">
        <w:t>13.</w:t>
      </w:r>
      <w:r w:rsidRPr="00280A7D">
        <w:tab/>
        <w:t xml:space="preserve">z zadowoleniem przyjmuje wycofanie w listopadzie 2024 r. projektu zmiany tureckich przepisów o szpiegostwie, znanego jako ustawa o „agentach wpływu”; wzywa władze tureckie, by w przyszłości powstrzymały się od ponownego wprowadzania podobnych zbyt szerokich i niejasnych przepisów, biorąc pod uwagę poważne ryzyko, że zostaną one wykorzystane jako narzędzie dalszej kryminalizacji legalnej działalności organizacji społeczeństwa obywatelskiego w tym kraju; wzywa władze tureckie do dopilnowania, by niedawno przyjęta ustawa o </w:t>
      </w:r>
      <w:proofErr w:type="spellStart"/>
      <w:r w:rsidRPr="00280A7D">
        <w:t>cyberbezpieczeństwie</w:t>
      </w:r>
      <w:proofErr w:type="spellEnd"/>
      <w:r w:rsidRPr="00280A7D">
        <w:t xml:space="preserve"> służyła uzasadnionemu celowi, jakim jest ochrona prywatności danych i bezpieczeństwa narodowego, a nie umożliwiała potencjalne naruszenia praw podstawowych ani stała się kolejnym narzędziem dalszych represji; podkreśla, że aparat sądowy pozostaje bardzo restrykcyjny, a złożona sieć przepisów służy jako narzędzie systematycznej kontroli i uciszania wszelkich krytycznych głosów, czego przykładem jest ustawa o mediach społecznościowych z 2020 r., ustawa o przeciwdziałaniu praniu pieniędzy z 2021 r. i ustawa o dezinformacji z 2022 r.;</w:t>
      </w:r>
    </w:p>
    <w:p w:rsidR="004A5A41" w:rsidRPr="00280A7D" w:rsidRDefault="004A5A41" w:rsidP="004A5A41">
      <w:pPr>
        <w:pStyle w:val="NormalHanging12a"/>
      </w:pPr>
      <w:r w:rsidRPr="00280A7D">
        <w:t>14.</w:t>
      </w:r>
      <w:r w:rsidRPr="00280A7D">
        <w:tab/>
        <w:t>jest zaniepokojony niedawnym zatwierdzeniem przepisów prawnych przyznających nadzwyczajne uprawnienia Państwowej Radzie Nadzorczej (DDK) i Funduszowi Gwarantowania Depozytów Oszczędnościowych (TMSF), w tym możliwości odwołania przez tę radę urzędników państwowych wszelkich kategorii i szczebli oraz powoływania komisarzy, z czego można korzystać w sposób arbitralny;</w:t>
      </w:r>
    </w:p>
    <w:p w:rsidR="004A5A41" w:rsidRDefault="004A5A41" w:rsidP="004A5A41">
      <w:pPr>
        <w:pStyle w:val="NormalHanging12a"/>
      </w:pPr>
      <w:r w:rsidRPr="00280A7D">
        <w:t>15.</w:t>
      </w:r>
      <w:r w:rsidRPr="00280A7D">
        <w:tab/>
        <w:t xml:space="preserve">wzywa władze tureckie, by zaprzestały poważnego ograniczania podstawowych wolności – w szczególności wolności wypowiedzi, zgromadzania się i stowarzyszania się – oraz ciągłych ataków na prawa podstawowe m.in. członków opozycji, obrońców praw człowieka, prawników, związkowców, członków mniejszości, dziennikarzy, pracowników akademickich, artystów i działaczy społeczeństwa obywatelskiego; zdecydowanie potępia niedawne fale masowych aresztowań i zatrzymań pod zarzutami o podłożu politycznym oraz pod zarzutami rzekomych powiązań terrorystycznych, np. polityków, pracowników naukowych i dziennikarzy, w tym aresztowanie </w:t>
      </w:r>
      <w:proofErr w:type="spellStart"/>
      <w:r w:rsidRPr="00280A7D">
        <w:t>Elif</w:t>
      </w:r>
      <w:proofErr w:type="spellEnd"/>
      <w:r w:rsidRPr="00280A7D">
        <w:t xml:space="preserve"> </w:t>
      </w:r>
      <w:proofErr w:type="spellStart"/>
      <w:r w:rsidRPr="00280A7D">
        <w:t>Akgül</w:t>
      </w:r>
      <w:proofErr w:type="spellEnd"/>
      <w:r w:rsidRPr="00280A7D">
        <w:t xml:space="preserve">, niezależnej dziennikarki, </w:t>
      </w:r>
      <w:proofErr w:type="spellStart"/>
      <w:r w:rsidRPr="00280A7D">
        <w:t>Yıldıza</w:t>
      </w:r>
      <w:proofErr w:type="spellEnd"/>
      <w:r w:rsidRPr="00280A7D">
        <w:t xml:space="preserve"> Tara, redaktora naczelnego serwisu informacyjnego LGBT+ </w:t>
      </w:r>
      <w:proofErr w:type="spellStart"/>
      <w:r w:rsidRPr="00280A7D">
        <w:t>Kaos</w:t>
      </w:r>
      <w:proofErr w:type="spellEnd"/>
      <w:r w:rsidRPr="00280A7D">
        <w:t xml:space="preserve"> GL, oraz </w:t>
      </w:r>
      <w:proofErr w:type="spellStart"/>
      <w:r w:rsidRPr="00280A7D">
        <w:t>Endera</w:t>
      </w:r>
      <w:proofErr w:type="spellEnd"/>
      <w:r w:rsidRPr="00280A7D">
        <w:t xml:space="preserve"> </w:t>
      </w:r>
      <w:proofErr w:type="spellStart"/>
      <w:r w:rsidRPr="00280A7D">
        <w:t>İmreka</w:t>
      </w:r>
      <w:proofErr w:type="spellEnd"/>
      <w:r w:rsidRPr="00280A7D">
        <w:t>, felietonisty „</w:t>
      </w:r>
      <w:proofErr w:type="spellStart"/>
      <w:r w:rsidRPr="00280A7D">
        <w:t>Evrensel</w:t>
      </w:r>
      <w:proofErr w:type="spellEnd"/>
      <w:r w:rsidRPr="00280A7D">
        <w:t xml:space="preserve"> </w:t>
      </w:r>
      <w:proofErr w:type="spellStart"/>
      <w:r w:rsidRPr="00280A7D">
        <w:t>daily</w:t>
      </w:r>
      <w:proofErr w:type="spellEnd"/>
      <w:r w:rsidRPr="00E42260">
        <w:t>”</w:t>
      </w:r>
      <w:r w:rsidR="00E42260" w:rsidRPr="003B5AF0">
        <w:t xml:space="preserve">, oraz </w:t>
      </w:r>
      <w:proofErr w:type="spellStart"/>
      <w:r w:rsidR="00E42260" w:rsidRPr="003B5AF0">
        <w:t>Joakima</w:t>
      </w:r>
      <w:proofErr w:type="spellEnd"/>
      <w:r w:rsidR="00E42260" w:rsidRPr="003B5AF0">
        <w:t xml:space="preserve"> Medina, szwedzkiego </w:t>
      </w:r>
      <w:proofErr w:type="spellStart"/>
      <w:r w:rsidR="00E42260" w:rsidRPr="003B5AF0">
        <w:t>dzinnikarza</w:t>
      </w:r>
      <w:proofErr w:type="spellEnd"/>
      <w:r w:rsidR="00E42260" w:rsidRPr="003B5AF0">
        <w:t xml:space="preserve"> dla ETC</w:t>
      </w:r>
      <w:r w:rsidRPr="00280A7D">
        <w:t>, którzy są dobrze znani z aktywności na rzecz praw człowieka;</w:t>
      </w:r>
    </w:p>
    <w:p w:rsidR="00E42260" w:rsidRPr="00E42260" w:rsidRDefault="00D140A8" w:rsidP="004A5A41">
      <w:pPr>
        <w:pStyle w:val="NormalHanging12a"/>
      </w:pPr>
      <w:r w:rsidRPr="00D140A8">
        <w:lastRenderedPageBreak/>
        <w:t>16</w:t>
      </w:r>
      <w:r w:rsidR="00E42260" w:rsidRPr="003B5AF0">
        <w:t>.</w:t>
      </w:r>
      <w:r w:rsidR="00E42260" w:rsidRPr="00E42260">
        <w:tab/>
      </w:r>
      <w:r w:rsidR="00E42260" w:rsidRPr="003B5AF0">
        <w:t xml:space="preserve">zdecydowanie potępia niedawne aresztowanie i zatrzymanie szwedzkiego dziennikarza </w:t>
      </w:r>
      <w:proofErr w:type="spellStart"/>
      <w:r w:rsidR="00E42260" w:rsidRPr="003B5AF0">
        <w:t>Joakima</w:t>
      </w:r>
      <w:proofErr w:type="spellEnd"/>
      <w:r w:rsidR="00E42260" w:rsidRPr="003B5AF0">
        <w:t xml:space="preserve"> Medina; przypomina, że wolność prasy jest prawem podstawowym i podstawową wartością UE; zdecydowanie potępia oskarżenia skierowane przeciwko </w:t>
      </w:r>
      <w:proofErr w:type="spellStart"/>
      <w:r w:rsidR="00E42260" w:rsidRPr="003B5AF0">
        <w:t>Joakimowi</w:t>
      </w:r>
      <w:proofErr w:type="spellEnd"/>
      <w:r w:rsidR="00E42260" w:rsidRPr="003B5AF0">
        <w:t xml:space="preserve"> </w:t>
      </w:r>
      <w:proofErr w:type="spellStart"/>
      <w:r w:rsidR="00E42260" w:rsidRPr="003B5AF0">
        <w:t>Medinowi</w:t>
      </w:r>
      <w:proofErr w:type="spellEnd"/>
      <w:r w:rsidR="00E42260" w:rsidRPr="003B5AF0">
        <w:t>, które opierają się wyłącznie na jego pracy dziennikarskiej, i w związku z tym domaga się jego natychmiastowego i bezwarunkowego uwolnienia oraz innych dziennikarzy uwięzionych za korzystanie z wolności słowa;</w:t>
      </w:r>
    </w:p>
    <w:p w:rsidR="004A5A41" w:rsidRPr="00280A7D" w:rsidRDefault="004A5A41" w:rsidP="004A5A41">
      <w:pPr>
        <w:pStyle w:val="NormalHanging12a"/>
      </w:pPr>
      <w:r w:rsidRPr="00280A7D">
        <w:t>1</w:t>
      </w:r>
      <w:r w:rsidR="00D140A8">
        <w:t>7</w:t>
      </w:r>
      <w:r w:rsidRPr="00280A7D">
        <w:t>.</w:t>
      </w:r>
      <w:r w:rsidRPr="00280A7D">
        <w:tab/>
        <w:t xml:space="preserve">ubolewa nad ciągłym ściganiem, cenzurą i nękaniem dziennikarzy i niezależnych mediów, które pozbawia ich swobody wykonywania obowiązków zawodowych i informowania opinii publicznej, co ma zasadnicze znaczenie dla funkcjonowania demokratycznego społeczeństwa; wzywa władze tureckie, by powstrzymały się od dalszych ataków na niezależne media oraz przestrzegały praw podstawowych i wolności obywatelskich, takich jak wolność słowa i prasy; jest nadal głęboko zaniepokojony obowiązującymi przepisami, które blokują otwarty i wolny </w:t>
      </w:r>
      <w:proofErr w:type="spellStart"/>
      <w:r w:rsidRPr="00280A7D">
        <w:t>internet</w:t>
      </w:r>
      <w:proofErr w:type="spellEnd"/>
      <w:r w:rsidRPr="00280A7D">
        <w:t xml:space="preserve"> i przewidują surowe kary pozbawienia wolności za posty w mediach społecznościowych, a także licznymi blokadami dostępu i nakazami usunięcia treści oraz ciągłym wykorzystywaniem Najwyższej Rady Radiofonii i Telewizji (RTÜK) do tłumienia krytyki w mediach, a nawet represjonowania mediów uznawanych za szerzące „pesymizm” zamiast pozytywnych wiadomości;</w:t>
      </w:r>
    </w:p>
    <w:p w:rsidR="004A5A41" w:rsidRPr="00280A7D" w:rsidRDefault="004A5A41" w:rsidP="004A5A41">
      <w:pPr>
        <w:pStyle w:val="NormalHanging12a"/>
      </w:pPr>
      <w:r w:rsidRPr="00280A7D">
        <w:t>1</w:t>
      </w:r>
      <w:r w:rsidR="00D140A8">
        <w:t>8</w:t>
      </w:r>
      <w:r w:rsidRPr="00280A7D">
        <w:t>.</w:t>
      </w:r>
      <w:r w:rsidRPr="00280A7D">
        <w:tab/>
        <w:t xml:space="preserve">uznaje pozytywne zmiany związane z częściowym zniesieniem przez ministra spraw wewnętrznych ograniczeń dotyczących cotygodniowych milczących manifestacji Sobotnich Matek – </w:t>
      </w:r>
      <w:proofErr w:type="spellStart"/>
      <w:r w:rsidRPr="00280A7D">
        <w:t>Cumartesi</w:t>
      </w:r>
      <w:proofErr w:type="spellEnd"/>
      <w:r w:rsidRPr="00280A7D">
        <w:t xml:space="preserve"> </w:t>
      </w:r>
      <w:proofErr w:type="spellStart"/>
      <w:r w:rsidRPr="00280A7D">
        <w:t>Anneleri</w:t>
      </w:r>
      <w:proofErr w:type="spellEnd"/>
      <w:r w:rsidRPr="00280A7D">
        <w:t xml:space="preserve"> – na placu Galatasaray w Stambule oraz niedawnym uniewinnieniem wszystkich 46 osób ściganych od ponad 6 lat w sprawie dotyczącej 700. zgromadzenia tej organizacji w sierpniu 2018 r.; apeluje o całkowite zniesienie wszelkich ograniczeń ich pokojowych protestów w pełnej zgodności z odnośnym orzeczeniem Trybunału Konstytucyjnego oraz o zakończenie toczącej się sprawy sądowej przeciwko członkom i sympatykom tej organizacji; jest zaniepokojony trwającym procesem przeciwko wybitnej obrończyni praw człowieka </w:t>
      </w:r>
      <w:proofErr w:type="spellStart"/>
      <w:r w:rsidRPr="00280A7D">
        <w:t>Nimet</w:t>
      </w:r>
      <w:proofErr w:type="spellEnd"/>
      <w:r w:rsidRPr="00280A7D">
        <w:t xml:space="preserve"> </w:t>
      </w:r>
      <w:proofErr w:type="spellStart"/>
      <w:r w:rsidRPr="00280A7D">
        <w:t>Tanrıkulu</w:t>
      </w:r>
      <w:proofErr w:type="spellEnd"/>
      <w:r w:rsidRPr="00280A7D">
        <w:t>, zwolnionej 4 marca 2025 r. po spędzeniu 94 dni w areszcie tymczasowym; wzywa władze tureckie, by doprowadziły do natychmiastowego zwolnienia wszystkich osób zatrzymanych za korzystanie z podstawowych wolności;</w:t>
      </w:r>
    </w:p>
    <w:p w:rsidR="004A5A41" w:rsidRDefault="004A5A41" w:rsidP="004A5A41">
      <w:pPr>
        <w:pStyle w:val="NormalHanging12a"/>
      </w:pPr>
      <w:r w:rsidRPr="00280A7D">
        <w:t>1</w:t>
      </w:r>
      <w:r w:rsidR="00D140A8">
        <w:t>9</w:t>
      </w:r>
      <w:r w:rsidRPr="00280A7D">
        <w:t>.</w:t>
      </w:r>
      <w:r w:rsidRPr="00280A7D">
        <w:tab/>
        <w:t xml:space="preserve">jest nadal zbulwersowany ciągłym lekceważeniem przełomowych orzeczeń ETPC i niestosowaniem się do nich przez władze tureckie, a w szczególności przez tureckie sądownictwo; ponownie potępia rażące nadużywanie przez Turcję systemu sądowego oraz odmowę zwolnienia z aresztu obrońcy praw człowieka Osmana </w:t>
      </w:r>
      <w:proofErr w:type="spellStart"/>
      <w:r w:rsidRPr="00280A7D">
        <w:t>Kavali</w:t>
      </w:r>
      <w:proofErr w:type="spellEnd"/>
      <w:r w:rsidRPr="00280A7D">
        <w:t xml:space="preserve"> i polityków opozycji </w:t>
      </w:r>
      <w:proofErr w:type="spellStart"/>
      <w:r w:rsidRPr="00280A7D">
        <w:t>Selahattina</w:t>
      </w:r>
      <w:proofErr w:type="spellEnd"/>
      <w:r w:rsidRPr="00280A7D">
        <w:t xml:space="preserve"> </w:t>
      </w:r>
      <w:proofErr w:type="spellStart"/>
      <w:r w:rsidRPr="00280A7D">
        <w:t>Demirtaşa</w:t>
      </w:r>
      <w:proofErr w:type="spellEnd"/>
      <w:r w:rsidRPr="00280A7D">
        <w:t xml:space="preserve"> i </w:t>
      </w:r>
      <w:proofErr w:type="spellStart"/>
      <w:r w:rsidRPr="00280A7D">
        <w:t>Figen</w:t>
      </w:r>
      <w:proofErr w:type="spellEnd"/>
      <w:r w:rsidRPr="00280A7D">
        <w:t xml:space="preserve"> </w:t>
      </w:r>
      <w:proofErr w:type="spellStart"/>
      <w:r w:rsidRPr="00280A7D">
        <w:t>Yüksekdağ</w:t>
      </w:r>
      <w:proofErr w:type="spellEnd"/>
      <w:r w:rsidRPr="00280A7D">
        <w:t xml:space="preserve">, w związku z czym wobec Turcji toczy się w Radzie Europy historyczne postępowanie w sprawie uchybienia zobowiązaniom państwa członkowskiego, o długo oczekiwanych, ale jeszcze nieokreślonych konsekwencjach; </w:t>
      </w:r>
      <w:r w:rsidR="00E42260" w:rsidRPr="003B5AF0">
        <w:t xml:space="preserve">jest oburzony niedawnym wniesieniem i przyjęciem nowego aktu oskarżenia przeciw </w:t>
      </w:r>
      <w:proofErr w:type="spellStart"/>
      <w:r w:rsidR="00E42260" w:rsidRPr="003B5AF0">
        <w:t>Selahattinowi</w:t>
      </w:r>
      <w:proofErr w:type="spellEnd"/>
      <w:r w:rsidR="00E42260" w:rsidRPr="003B5AF0">
        <w:t xml:space="preserve"> </w:t>
      </w:r>
      <w:proofErr w:type="spellStart"/>
      <w:r w:rsidR="00E42260" w:rsidRPr="003B5AF0">
        <w:t>Demirtaşowi</w:t>
      </w:r>
      <w:proofErr w:type="spellEnd"/>
      <w:r w:rsidR="00E42260" w:rsidRPr="003B5AF0">
        <w:t>, w którym Prokuratura Generalna w Diyarbakır wnioskuje o karę do 15 lat pozbawienia wolności i zakaz prowadzenia działalności politycznej na podstawie kilku przemówień wygłoszonych w 2016 r.;</w:t>
      </w:r>
      <w:r w:rsidR="00E42260">
        <w:rPr>
          <w:b/>
          <w:i/>
        </w:rPr>
        <w:t xml:space="preserve"> </w:t>
      </w:r>
      <w:r w:rsidRPr="00280A7D">
        <w:t xml:space="preserve">wzywa Turcję do pełnego zastosowania się do wyroków ETPC dotyczących osób zaginionych i nieruchomości na Cyprze (m.in. w sprawie Fokas); ubolewa nad politycznie motywowanym charakterem tych oskarżeń, wpisujących się w szerszy schemat szykan sądowych; wzywa Turcję do pełnego wdrożenia wszystkich wyroków Europejskiego Trybunału Praw Człowieka zgodnie z art. 46 europejskiej konwencji praw człowieka oraz z bezwarunkowymi obowiązkami wynikającymi z art. 90 tureckiej konstytucji; wzywa Komisję Europejską i państwa członkowskie, by wykorzystały </w:t>
      </w:r>
      <w:r w:rsidRPr="00280A7D">
        <w:lastRenderedPageBreak/>
        <w:t>wszystkie kanały dyplomatyczne do nakłonienia Turcji do wykonania odnośnych wyroków ETPC, a także by rozważyły wprowadzenie warunkowości finansowania w zależności od stosowania się do orzeczeń ETPC;</w:t>
      </w:r>
    </w:p>
    <w:p w:rsidR="00E42260" w:rsidRPr="00E42260" w:rsidRDefault="00D140A8" w:rsidP="004A5A41">
      <w:pPr>
        <w:pStyle w:val="NormalHanging12a"/>
        <w:rPr>
          <w:szCs w:val="24"/>
        </w:rPr>
      </w:pPr>
      <w:r w:rsidRPr="00D140A8">
        <w:t>20</w:t>
      </w:r>
      <w:r w:rsidR="00E42260" w:rsidRPr="003B5AF0">
        <w:t>.</w:t>
      </w:r>
      <w:r w:rsidR="00E42260" w:rsidRPr="00E42260">
        <w:tab/>
      </w:r>
      <w:r w:rsidR="00E42260" w:rsidRPr="003B5AF0">
        <w:t xml:space="preserve">wzywa Turcję do przestrzegania decyzji Europejskiego Trybunału Praw Człowieka z 24 stycznia 2008 r., w której uznano Turcję za winną naruszenia art. 2 europejskiej konwencji praw człowieka ze względu na niemożność zlokalizowania przez Turcję i postawienia przed sądem sprawców zabójstw </w:t>
      </w:r>
      <w:proofErr w:type="spellStart"/>
      <w:r w:rsidR="00E42260" w:rsidRPr="003B5AF0">
        <w:t>Tassosa</w:t>
      </w:r>
      <w:proofErr w:type="spellEnd"/>
      <w:r w:rsidR="00E42260" w:rsidRPr="003B5AF0">
        <w:t xml:space="preserve"> Isaaka i </w:t>
      </w:r>
      <w:proofErr w:type="spellStart"/>
      <w:r w:rsidR="00E42260" w:rsidRPr="003B5AF0">
        <w:t>Solomosa</w:t>
      </w:r>
      <w:proofErr w:type="spellEnd"/>
      <w:r w:rsidR="00E42260" w:rsidRPr="003B5AF0">
        <w:t xml:space="preserve"> </w:t>
      </w:r>
      <w:proofErr w:type="spellStart"/>
      <w:r w:rsidR="00E42260" w:rsidRPr="003B5AF0">
        <w:t>Solomou</w:t>
      </w:r>
      <w:proofErr w:type="spellEnd"/>
      <w:r w:rsidR="00E42260" w:rsidRPr="003B5AF0">
        <w:t>, popełnionych na Cyprze w 1996 r.; wzywa władze tureckie do wykonania międzynarodowych nakazów aresztowania przeciwko podejrzanym o zabójstwo i przekazania ich Republice Cypryjskiej;</w:t>
      </w:r>
    </w:p>
    <w:p w:rsidR="004A5A41" w:rsidRPr="00280A7D" w:rsidRDefault="00D140A8" w:rsidP="004A5A41">
      <w:pPr>
        <w:pStyle w:val="NormalHanging12a"/>
        <w:rPr>
          <w:szCs w:val="24"/>
        </w:rPr>
      </w:pPr>
      <w:r>
        <w:t>21</w:t>
      </w:r>
      <w:r w:rsidR="004A5A41" w:rsidRPr="00280A7D">
        <w:t>.</w:t>
      </w:r>
      <w:r w:rsidR="004A5A41" w:rsidRPr="00280A7D">
        <w:tab/>
        <w:t>wyraża głębokie zaniepokojenie tragiczną sytuacją w tureckich więzieniach wynikającą z poważnego przeludnienia i złych warunków życia, przy czym według doniesień – m.in. Rady Europy – tortury i złe traktowanie są powszechne, a dostęp do zaspokojenia podstawowych potrzeb, takich jak higiena i informacje, jest poważnie ograniczony; jest szczególnie zaniepokojony warunkami, w jakich przetrzymywani są więźniowie w podeszłym wieku lub poważnie chorzy</w:t>
      </w:r>
      <w:r w:rsidR="00E42260" w:rsidRPr="003B5AF0">
        <w:t xml:space="preserve">, jak w przypadku </w:t>
      </w:r>
      <w:proofErr w:type="spellStart"/>
      <w:r w:rsidR="00E42260" w:rsidRPr="003B5AF0">
        <w:t>Soydana</w:t>
      </w:r>
      <w:proofErr w:type="spellEnd"/>
      <w:r w:rsidR="00E42260" w:rsidRPr="003B5AF0">
        <w:t xml:space="preserve"> </w:t>
      </w:r>
      <w:proofErr w:type="spellStart"/>
      <w:r w:rsidR="00E42260" w:rsidRPr="003B5AF0">
        <w:t>Akay’ego</w:t>
      </w:r>
      <w:proofErr w:type="spellEnd"/>
      <w:r w:rsidR="00E42260" w:rsidRPr="003B5AF0">
        <w:t>, który jest bezpodstawnie przetrzymywany w więzieniu; wzywa do jego natychmiastowego uwolnienia ze względów humanitarnych i zdrowotnych</w:t>
      </w:r>
      <w:r w:rsidR="004A5A41" w:rsidRPr="00280A7D">
        <w:t xml:space="preserve">; jest zaniepokojony ciągłym stosowaniem poniżających rewizji osobistych w więzieniach i innych miejscach zatrzymań oraz ciągłym nękaniem posła </w:t>
      </w:r>
      <w:proofErr w:type="spellStart"/>
      <w:r w:rsidR="004A5A41" w:rsidRPr="00280A7D">
        <w:t>Ömera</w:t>
      </w:r>
      <w:proofErr w:type="spellEnd"/>
      <w:r w:rsidR="004A5A41" w:rsidRPr="00280A7D">
        <w:t xml:space="preserve"> </w:t>
      </w:r>
      <w:proofErr w:type="spellStart"/>
      <w:r w:rsidR="004A5A41" w:rsidRPr="00280A7D">
        <w:t>Faruka</w:t>
      </w:r>
      <w:proofErr w:type="spellEnd"/>
      <w:r w:rsidR="004A5A41" w:rsidRPr="00280A7D">
        <w:t xml:space="preserve"> </w:t>
      </w:r>
      <w:proofErr w:type="spellStart"/>
      <w:r w:rsidR="004A5A41" w:rsidRPr="00280A7D">
        <w:t>Gergerlioğlu</w:t>
      </w:r>
      <w:proofErr w:type="spellEnd"/>
      <w:r w:rsidR="004A5A41" w:rsidRPr="00280A7D">
        <w:t>, wobec którego toczy się obecnie sześć postępowań o pozbawienie go mandatu parlamentarnego i immunitetu, m.in. za potępienie tej praktyki;</w:t>
      </w:r>
    </w:p>
    <w:p w:rsidR="004A5A41" w:rsidRPr="00280A7D" w:rsidRDefault="004A5A41" w:rsidP="004A5A41">
      <w:pPr>
        <w:pStyle w:val="NormalHanging12a"/>
      </w:pPr>
      <w:r w:rsidRPr="00280A7D">
        <w:t>2</w:t>
      </w:r>
      <w:r w:rsidR="00D140A8">
        <w:t>2</w:t>
      </w:r>
      <w:r w:rsidRPr="00280A7D">
        <w:t>.</w:t>
      </w:r>
      <w:r w:rsidRPr="00280A7D">
        <w:tab/>
        <w:t>zdecydowanie potępia decyzję tureckiego rządu o odwołaniu po wyborach lokalnych w marcu 2024 r. demokratycznie wybranych burmistrzów co najmniej 13 gmin i powiatów (</w:t>
      </w:r>
      <w:proofErr w:type="spellStart"/>
      <w:r w:rsidRPr="00280A7D">
        <w:t>Hakkari</w:t>
      </w:r>
      <w:proofErr w:type="spellEnd"/>
      <w:r w:rsidRPr="00280A7D">
        <w:t xml:space="preserve">, </w:t>
      </w:r>
      <w:proofErr w:type="spellStart"/>
      <w:r w:rsidRPr="00280A7D">
        <w:t>Mardin</w:t>
      </w:r>
      <w:proofErr w:type="spellEnd"/>
      <w:r w:rsidRPr="00280A7D">
        <w:t xml:space="preserve">, Batman, </w:t>
      </w:r>
      <w:proofErr w:type="spellStart"/>
      <w:r w:rsidRPr="00280A7D">
        <w:t>Halfeti</w:t>
      </w:r>
      <w:proofErr w:type="spellEnd"/>
      <w:r w:rsidRPr="00280A7D">
        <w:t xml:space="preserve">, </w:t>
      </w:r>
      <w:proofErr w:type="spellStart"/>
      <w:r w:rsidRPr="00280A7D">
        <w:t>Tunceli</w:t>
      </w:r>
      <w:proofErr w:type="spellEnd"/>
      <w:r w:rsidRPr="00280A7D">
        <w:t xml:space="preserve">, </w:t>
      </w:r>
      <w:proofErr w:type="spellStart"/>
      <w:r w:rsidRPr="00280A7D">
        <w:t>Bahçesaray</w:t>
      </w:r>
      <w:proofErr w:type="spellEnd"/>
      <w:r w:rsidRPr="00280A7D">
        <w:t xml:space="preserve">, </w:t>
      </w:r>
      <w:proofErr w:type="spellStart"/>
      <w:r w:rsidRPr="00280A7D">
        <w:t>Akdeniz</w:t>
      </w:r>
      <w:proofErr w:type="spellEnd"/>
      <w:r w:rsidRPr="00280A7D">
        <w:t xml:space="preserve">, </w:t>
      </w:r>
      <w:proofErr w:type="spellStart"/>
      <w:r w:rsidRPr="00280A7D">
        <w:t>Siirt</w:t>
      </w:r>
      <w:proofErr w:type="spellEnd"/>
      <w:r w:rsidRPr="00280A7D">
        <w:t xml:space="preserve">, Van i </w:t>
      </w:r>
      <w:proofErr w:type="spellStart"/>
      <w:r w:rsidRPr="00280A7D">
        <w:t>Kağızman</w:t>
      </w:r>
      <w:proofErr w:type="spellEnd"/>
      <w:r w:rsidRPr="00280A7D">
        <w:t xml:space="preserve">, w których wybory wygrali kandydaci partii DEM, oraz </w:t>
      </w:r>
      <w:proofErr w:type="spellStart"/>
      <w:r w:rsidRPr="00280A7D">
        <w:t>Esenyurt</w:t>
      </w:r>
      <w:proofErr w:type="spellEnd"/>
      <w:r w:rsidRPr="00280A7D">
        <w:t xml:space="preserve">, </w:t>
      </w:r>
      <w:proofErr w:type="spellStart"/>
      <w:r w:rsidRPr="00280A7D">
        <w:t>Ovacık</w:t>
      </w:r>
      <w:proofErr w:type="spellEnd"/>
      <w:r w:rsidRPr="00280A7D">
        <w:t xml:space="preserve"> i </w:t>
      </w:r>
      <w:proofErr w:type="spellStart"/>
      <w:r w:rsidRPr="00280A7D">
        <w:t>Şişli</w:t>
      </w:r>
      <w:proofErr w:type="spellEnd"/>
      <w:r w:rsidRPr="00280A7D">
        <w:t>, w których wybory wygrali kandydaci partii CHP) oraz o zastąpieniu ich komisarzami rządowymi mianowanymi przez ministerstwo spraw wewnętrznych; uważa tę długoletnią praktykę powoływania komisarzy za jawny atak na najbardziej podstawowe zasady demokracji lokalnej; wzywa władze tureckie do natychmiastowego zaprzestania i cofnięcia represji wobec opozycji politycznej oraz do poszanowania praw wyborców do wyboru swoich przedstawicieli zgodnie z zaleceniami Kongresu Władz Lokalnych i Regionalnych Rady Europy oraz Komisji Weneckiej; ponownie wzywa wiceprzewodniczącą / wysoką przedstawicielkę, aby rozważyła nałożenie środków ograniczających w ramach globalnego systemu sankcji UE za naruszenia praw człowieka na urzędników tureckich pełniących rolę komisarzy i na osoby ich powołujące; potępia surowe represje wobec protestujących przeciwko odwołaniu wybranych burmistrzów, w tym arbitralne zatrzymanie setek demonstrantów, z których część stanowili małoletni; uważa, że decyzja rządu tureckiego o powrocie do tej praktyki po ostatnich wyborach lokalnych w marcu 2024 r. jest wyraźnym sygnałem braku zaangażowania rządu tureckiego w eliminację niedociągnięć w obszarze demokracji w tym kraju i jest wyraźnie sprzeczna z deklarowaną gotowością do ożywienia procesu akcesyjnego, gdyż takie działania podważają perspektywy silniejszego i bardziej kompleksowego partnerstwa z UE i szkodzą długoterminowym postępom w kierunku ściślejszej współpracy;</w:t>
      </w:r>
    </w:p>
    <w:p w:rsidR="004A5A41" w:rsidRPr="00280A7D" w:rsidRDefault="004A5A41" w:rsidP="004A5A41">
      <w:pPr>
        <w:pStyle w:val="NormalHanging12a"/>
        <w:rPr>
          <w:szCs w:val="24"/>
        </w:rPr>
      </w:pPr>
      <w:r w:rsidRPr="00280A7D">
        <w:t>2</w:t>
      </w:r>
      <w:r w:rsidR="00D140A8">
        <w:t>3</w:t>
      </w:r>
      <w:r w:rsidRPr="00280A7D">
        <w:t>.</w:t>
      </w:r>
      <w:r w:rsidRPr="00280A7D">
        <w:tab/>
        <w:t xml:space="preserve">ubolewa z powodu ciągłych ataków na partie polityczne i członków opozycji, którzy znajdują się pod coraz większą presją; </w:t>
      </w:r>
      <w:r w:rsidR="00E42260" w:rsidRPr="003B5AF0">
        <w:rPr>
          <w:bCs/>
          <w:iCs/>
        </w:rPr>
        <w:t xml:space="preserve">z całą mocą potępia niedawne aresztowanie i </w:t>
      </w:r>
      <w:r w:rsidR="00E42260" w:rsidRPr="003B5AF0">
        <w:rPr>
          <w:bCs/>
          <w:iCs/>
        </w:rPr>
        <w:lastRenderedPageBreak/>
        <w:t>usunięcie</w:t>
      </w:r>
      <w:r w:rsidR="00E42260" w:rsidRPr="00293338">
        <w:t xml:space="preserve"> </w:t>
      </w:r>
      <w:r w:rsidRPr="00280A7D">
        <w:t xml:space="preserve">ze stanowiska burmistrza Stambułu </w:t>
      </w:r>
      <w:proofErr w:type="spellStart"/>
      <w:r w:rsidRPr="00280A7D">
        <w:t>Ekrema</w:t>
      </w:r>
      <w:proofErr w:type="spellEnd"/>
      <w:r w:rsidRPr="00280A7D">
        <w:t xml:space="preserve"> </w:t>
      </w:r>
      <w:proofErr w:type="spellStart"/>
      <w:r w:rsidRPr="00280A7D">
        <w:t>İmamoğlu</w:t>
      </w:r>
      <w:proofErr w:type="spellEnd"/>
      <w:r w:rsidRPr="00280A7D">
        <w:t xml:space="preserve"> z CHP, a także burmistrzów </w:t>
      </w:r>
      <w:proofErr w:type="spellStart"/>
      <w:r w:rsidRPr="00280A7D">
        <w:t>Şişli</w:t>
      </w:r>
      <w:proofErr w:type="spellEnd"/>
      <w:r w:rsidRPr="00280A7D">
        <w:t xml:space="preserve"> i </w:t>
      </w:r>
      <w:proofErr w:type="spellStart"/>
      <w:r w:rsidRPr="00280A7D">
        <w:t>Beylikdüzü</w:t>
      </w:r>
      <w:proofErr w:type="spellEnd"/>
      <w:r w:rsidRPr="00280A7D">
        <w:t xml:space="preserve">, w ramach dwóch odrębnych dochodzeń w sprawie domniemanej korupcji i zarzutów związanych z terroryzmem, prowadzonych wobec łącznie 106 podejrzanych; podkreśla, że te ostatnie sprawy, które znajdują się na długiej liście 42 dochodzeń administracyjnych i 51 dochodzeń sądowych od czasu wyboru </w:t>
      </w:r>
      <w:proofErr w:type="spellStart"/>
      <w:r w:rsidRPr="00280A7D">
        <w:t>İmamoğlu</w:t>
      </w:r>
      <w:proofErr w:type="spellEnd"/>
      <w:r w:rsidRPr="00280A7D">
        <w:t xml:space="preserve"> w 2019 r., wszczęto zaledwie kilka dni przed wewnętrznymi wyborami partyjnymi, w których miał on zostać nominowany na kandydata na prezydenta, oraz dzień po kwestionowanej decyzji Uniwersytetu Stambulskiego o cofnięciu jego dyplomu, którego posiadanie jest warunkiem niezbędnym do sprawowania urzędu prezydenta; jest zbulwersowany decyzją o tymczasowym zakazie wszelkich demonstracji w Stambule i innych prowincjach w całym kraju, </w:t>
      </w:r>
      <w:r w:rsidR="00E42260" w:rsidRPr="003B5AF0">
        <w:t xml:space="preserve">a także </w:t>
      </w:r>
      <w:r w:rsidRPr="00E42260">
        <w:t>ograniczeniami w dostępie do mediów społecznościowych</w:t>
      </w:r>
      <w:r w:rsidR="00E42260" w:rsidRPr="003B5AF0">
        <w:t>; potępia surowe tłumienie przez władze tureckie pokojowych masowych protestów, w tym zatrzymanie niemal 2000 osób</w:t>
      </w:r>
      <w:r w:rsidR="00E42260" w:rsidRPr="00E42260">
        <w:t xml:space="preserve">, </w:t>
      </w:r>
      <w:r w:rsidR="00E42260" w:rsidRPr="003B5AF0">
        <w:t xml:space="preserve">w tym wielu studentów, oraz ściganie setek z nich w masowych procesach prowadzonych w pośpiechu i bez dowodów popełnienia przestępstwa; wyraża głębokie zaniepokojenie bezprawnym aresztowaniem </w:t>
      </w:r>
      <w:proofErr w:type="spellStart"/>
      <w:r w:rsidR="00E42260" w:rsidRPr="003B5AF0">
        <w:t>Esili</w:t>
      </w:r>
      <w:proofErr w:type="spellEnd"/>
      <w:r w:rsidR="00E42260" w:rsidRPr="003B5AF0">
        <w:t xml:space="preserve"> </w:t>
      </w:r>
      <w:proofErr w:type="spellStart"/>
      <w:r w:rsidR="00E42260" w:rsidRPr="003B5AF0">
        <w:t>Ayık</w:t>
      </w:r>
      <w:proofErr w:type="spellEnd"/>
      <w:r w:rsidR="00E42260" w:rsidRPr="003B5AF0">
        <w:t>, studentki fotografii z Gandawy, zatrzymanej 8 kwietnia 2025 r. podczas protestów w Stambule, w szczególności z uwagi na fakt, że wymaga ona leczenia serca i nerek; wzywa do natychmiastowego uwolnienia wszystkich osób nadal przetrzymywanych oraz do uniewinnienia wszystkich osób ściganych za korzystanie z przysługujących im praw podstawowych; ubolewa nad aresztowaniami, zatrzymaniami i deportacjami miejscowych i zagranicznych</w:t>
      </w:r>
      <w:r w:rsidR="00E42260" w:rsidRPr="00E42260">
        <w:t xml:space="preserve"> dziennikarzy </w:t>
      </w:r>
      <w:r w:rsidR="00E42260" w:rsidRPr="003B5AF0">
        <w:t xml:space="preserve">relacjonujących protesty, co stanowi naruszenie wolności prasy; wzywa władze tureckie do szybkiego </w:t>
      </w:r>
      <w:r w:rsidR="00E42260" w:rsidRPr="00E42260">
        <w:t xml:space="preserve">i </w:t>
      </w:r>
      <w:r w:rsidR="00E42260" w:rsidRPr="003B5AF0">
        <w:t>skutecznego zbadania wszystkich zarzutów nękania i nadmiernego użycia siły</w:t>
      </w:r>
      <w:r w:rsidR="00E42260" w:rsidRPr="00E42260">
        <w:t xml:space="preserve"> wobec </w:t>
      </w:r>
      <w:r w:rsidR="00E42260" w:rsidRPr="003B5AF0">
        <w:t>demonstrantów oraz do utrzymania wolności zgromadzeń i prawa do protestowania</w:t>
      </w:r>
      <w:r w:rsidR="00E42260" w:rsidRPr="00E42260">
        <w:t xml:space="preserve">; uważa, że </w:t>
      </w:r>
      <w:r w:rsidR="00E42260" w:rsidRPr="003B5AF0">
        <w:t xml:space="preserve">ataki na </w:t>
      </w:r>
      <w:proofErr w:type="spellStart"/>
      <w:r w:rsidR="00E42260" w:rsidRPr="003B5AF0">
        <w:t>İmamoğlu</w:t>
      </w:r>
      <w:proofErr w:type="spellEnd"/>
      <w:r w:rsidR="00E42260" w:rsidRPr="003B5AF0">
        <w:t xml:space="preserve"> stanowią</w:t>
      </w:r>
      <w:r w:rsidR="00E42260">
        <w:rPr>
          <w:b/>
          <w:i/>
        </w:rPr>
        <w:t xml:space="preserve"> </w:t>
      </w:r>
      <w:r w:rsidR="00E42260" w:rsidRPr="00150877">
        <w:t xml:space="preserve">politycznie motywowane </w:t>
      </w:r>
      <w:r w:rsidRPr="00280A7D">
        <w:t xml:space="preserve"> działanie mające na celu uniemożliwienie uprawnionemu kandydatowi startowania w nadchodzących wyborach oraz że w ten sposób obecne władze tureckie coraz bardziej spychają kraj w kierunku pełnego autorytaryzmu;</w:t>
      </w:r>
      <w:r w:rsidR="00E42260">
        <w:t xml:space="preserve"> </w:t>
      </w:r>
      <w:r w:rsidR="00E42260" w:rsidRPr="003B5AF0">
        <w:t xml:space="preserve">ubolewa nad brakiem zdecydowanej i jednolitej reakcji UE na te alarmujące wydarzenia; </w:t>
      </w:r>
    </w:p>
    <w:p w:rsidR="004A5A41" w:rsidRPr="00280A7D" w:rsidRDefault="004A5A41" w:rsidP="004A5A41">
      <w:pPr>
        <w:pStyle w:val="NormalHanging12a"/>
      </w:pPr>
      <w:r w:rsidRPr="00280A7D">
        <w:t>2</w:t>
      </w:r>
      <w:r w:rsidR="00D140A8">
        <w:t>4</w:t>
      </w:r>
      <w:r w:rsidRPr="00280A7D">
        <w:t>.</w:t>
      </w:r>
      <w:r w:rsidRPr="00280A7D">
        <w:tab/>
        <w:t xml:space="preserve">ponadto wyraża zaniepokojenie niedawnymi odrębnymi sprawami przeciwko </w:t>
      </w:r>
      <w:proofErr w:type="spellStart"/>
      <w:r w:rsidRPr="00280A7D">
        <w:t>Rızie</w:t>
      </w:r>
      <w:proofErr w:type="spellEnd"/>
      <w:r w:rsidRPr="00280A7D">
        <w:t xml:space="preserve"> </w:t>
      </w:r>
      <w:proofErr w:type="spellStart"/>
      <w:r w:rsidRPr="00280A7D">
        <w:t>Akpolatowi</w:t>
      </w:r>
      <w:proofErr w:type="spellEnd"/>
      <w:r w:rsidRPr="00280A7D">
        <w:t xml:space="preserve">, burmistrzowi stambulskiego okręgu </w:t>
      </w:r>
      <w:proofErr w:type="spellStart"/>
      <w:r w:rsidRPr="00280A7D">
        <w:t>Beșiktaș</w:t>
      </w:r>
      <w:proofErr w:type="spellEnd"/>
      <w:r w:rsidRPr="00280A7D">
        <w:t xml:space="preserve"> z ramienia CHP, </w:t>
      </w:r>
      <w:proofErr w:type="spellStart"/>
      <w:r w:rsidRPr="00280A7D">
        <w:t>Alaattinowi</w:t>
      </w:r>
      <w:proofErr w:type="spellEnd"/>
      <w:r w:rsidRPr="00280A7D">
        <w:t xml:space="preserve"> </w:t>
      </w:r>
      <w:proofErr w:type="spellStart"/>
      <w:r w:rsidRPr="00280A7D">
        <w:t>Köselerowi</w:t>
      </w:r>
      <w:proofErr w:type="spellEnd"/>
      <w:r w:rsidRPr="00280A7D">
        <w:t xml:space="preserve">, burmistrzowi stambulskiego okręgu </w:t>
      </w:r>
      <w:proofErr w:type="spellStart"/>
      <w:r w:rsidRPr="00280A7D">
        <w:t>Beykoz</w:t>
      </w:r>
      <w:proofErr w:type="spellEnd"/>
      <w:r w:rsidRPr="00280A7D">
        <w:t xml:space="preserve"> z ramienia CHP, </w:t>
      </w:r>
      <w:proofErr w:type="spellStart"/>
      <w:r w:rsidRPr="00280A7D">
        <w:t>Cemowi</w:t>
      </w:r>
      <w:proofErr w:type="spellEnd"/>
      <w:r w:rsidRPr="00280A7D">
        <w:t xml:space="preserve"> Aydınowi, przewodniczącemu młodzieżówki CHP oraz </w:t>
      </w:r>
      <w:proofErr w:type="spellStart"/>
      <w:r w:rsidRPr="00280A7D">
        <w:t>Ümitowi</w:t>
      </w:r>
      <w:proofErr w:type="spellEnd"/>
      <w:r w:rsidRPr="00280A7D">
        <w:t xml:space="preserve"> </w:t>
      </w:r>
      <w:proofErr w:type="spellStart"/>
      <w:r w:rsidRPr="00280A7D">
        <w:t>Özdagowi</w:t>
      </w:r>
      <w:proofErr w:type="spellEnd"/>
      <w:r w:rsidRPr="00280A7D">
        <w:t xml:space="preserve">, przewodniczącemu partii </w:t>
      </w:r>
      <w:proofErr w:type="spellStart"/>
      <w:r w:rsidRPr="00280A7D">
        <w:t>Zafer</w:t>
      </w:r>
      <w:proofErr w:type="spellEnd"/>
      <w:r w:rsidRPr="00280A7D">
        <w:t xml:space="preserve">; jest zbulwersowany brutalnymi i nieustającymi represjami wobec wszelkiego rodzaju krytyki, które władze tureckie w ostatnim czasie rozciągają na wszystkie sektory tureckiego społeczeństwa, o czym świadczą m.in. sprawa </w:t>
      </w:r>
      <w:proofErr w:type="spellStart"/>
      <w:r w:rsidRPr="00280A7D">
        <w:t>Ayșe</w:t>
      </w:r>
      <w:proofErr w:type="spellEnd"/>
      <w:r w:rsidRPr="00280A7D">
        <w:t xml:space="preserve"> </w:t>
      </w:r>
      <w:proofErr w:type="spellStart"/>
      <w:r w:rsidRPr="00280A7D">
        <w:t>Barım</w:t>
      </w:r>
      <w:proofErr w:type="spellEnd"/>
      <w:r w:rsidRPr="00280A7D">
        <w:t xml:space="preserve">, znanej menedżerki talentów, pozbawionej wolności od 27 stycznia 2025 r. w związku z zarzutem udziału w protestach w parku </w:t>
      </w:r>
      <w:proofErr w:type="spellStart"/>
      <w:r w:rsidRPr="00280A7D">
        <w:t>Gezi</w:t>
      </w:r>
      <w:proofErr w:type="spellEnd"/>
      <w:r w:rsidRPr="00280A7D">
        <w:t xml:space="preserve"> 12 lat temu, śledztwo wszczęte przeciwko prezesowi i dyrektorowi głównej grupy biznesowej w kraju TÜSIAD – </w:t>
      </w:r>
      <w:proofErr w:type="spellStart"/>
      <w:r w:rsidRPr="00280A7D">
        <w:t>Orhanowi</w:t>
      </w:r>
      <w:proofErr w:type="spellEnd"/>
      <w:r w:rsidRPr="00280A7D">
        <w:t xml:space="preserve"> </w:t>
      </w:r>
      <w:proofErr w:type="spellStart"/>
      <w:r w:rsidRPr="00280A7D">
        <w:t>Turanowi</w:t>
      </w:r>
      <w:proofErr w:type="spellEnd"/>
      <w:r w:rsidRPr="00280A7D">
        <w:t xml:space="preserve"> i </w:t>
      </w:r>
      <w:proofErr w:type="spellStart"/>
      <w:r w:rsidRPr="00280A7D">
        <w:t>Ömerowi</w:t>
      </w:r>
      <w:proofErr w:type="spellEnd"/>
      <w:r w:rsidRPr="00280A7D">
        <w:t xml:space="preserve"> </w:t>
      </w:r>
      <w:proofErr w:type="spellStart"/>
      <w:r w:rsidRPr="00280A7D">
        <w:t>Arasowi</w:t>
      </w:r>
      <w:proofErr w:type="spellEnd"/>
      <w:r w:rsidRPr="00280A7D">
        <w:t xml:space="preserve"> – oraz akt oskarżenia mający na celu wymierzenie kar wieloletniego pozbawienia wolności przeciwko redaktorowi naczelnemu Halk TV </w:t>
      </w:r>
      <w:proofErr w:type="spellStart"/>
      <w:r w:rsidRPr="00280A7D">
        <w:t>Suatowi</w:t>
      </w:r>
      <w:proofErr w:type="spellEnd"/>
      <w:r w:rsidRPr="00280A7D">
        <w:t xml:space="preserve"> </w:t>
      </w:r>
      <w:proofErr w:type="spellStart"/>
      <w:r w:rsidRPr="00280A7D">
        <w:t>Toktașowi</w:t>
      </w:r>
      <w:proofErr w:type="spellEnd"/>
      <w:r w:rsidRPr="00280A7D">
        <w:t xml:space="preserve"> oraz dziennikarzom </w:t>
      </w:r>
      <w:proofErr w:type="spellStart"/>
      <w:r w:rsidRPr="00280A7D">
        <w:t>Sedzie</w:t>
      </w:r>
      <w:proofErr w:type="spellEnd"/>
      <w:r w:rsidRPr="00280A7D">
        <w:t xml:space="preserve"> </w:t>
      </w:r>
      <w:proofErr w:type="spellStart"/>
      <w:r w:rsidRPr="00280A7D">
        <w:t>Selek</w:t>
      </w:r>
      <w:proofErr w:type="spellEnd"/>
      <w:r w:rsidRPr="00280A7D">
        <w:t xml:space="preserve">, </w:t>
      </w:r>
      <w:proofErr w:type="spellStart"/>
      <w:r w:rsidRPr="00280A7D">
        <w:t>Barıșowi</w:t>
      </w:r>
      <w:proofErr w:type="spellEnd"/>
      <w:r w:rsidRPr="00280A7D">
        <w:t xml:space="preserve"> </w:t>
      </w:r>
      <w:proofErr w:type="spellStart"/>
      <w:r w:rsidRPr="00280A7D">
        <w:t>Pehlivanowi</w:t>
      </w:r>
      <w:proofErr w:type="spellEnd"/>
      <w:r w:rsidRPr="00280A7D">
        <w:t xml:space="preserve">, </w:t>
      </w:r>
      <w:proofErr w:type="spellStart"/>
      <w:r w:rsidRPr="00280A7D">
        <w:t>Serhanowi</w:t>
      </w:r>
      <w:proofErr w:type="spellEnd"/>
      <w:r w:rsidRPr="00280A7D">
        <w:t xml:space="preserve"> Askerowi i </w:t>
      </w:r>
      <w:proofErr w:type="spellStart"/>
      <w:r w:rsidRPr="00280A7D">
        <w:t>Kürșadowi</w:t>
      </w:r>
      <w:proofErr w:type="spellEnd"/>
      <w:r w:rsidRPr="00280A7D">
        <w:t xml:space="preserve"> </w:t>
      </w:r>
      <w:proofErr w:type="spellStart"/>
      <w:r w:rsidRPr="00280A7D">
        <w:t>Oğuzowi</w:t>
      </w:r>
      <w:proofErr w:type="spellEnd"/>
      <w:r w:rsidRPr="00280A7D">
        <w:t xml:space="preserve">, którzy zostali tymczasowo uniewinnieni; jest zaniepokojony udziałem w tych i innych sprawach niedawno mianowanego prokuratora generalnego w Stambule </w:t>
      </w:r>
      <w:proofErr w:type="spellStart"/>
      <w:r w:rsidRPr="00280A7D">
        <w:t>Akına</w:t>
      </w:r>
      <w:proofErr w:type="spellEnd"/>
      <w:r w:rsidRPr="00280A7D">
        <w:t xml:space="preserve"> </w:t>
      </w:r>
      <w:proofErr w:type="spellStart"/>
      <w:r w:rsidRPr="00280A7D">
        <w:t>Gürleka</w:t>
      </w:r>
      <w:proofErr w:type="spellEnd"/>
      <w:r w:rsidRPr="00280A7D">
        <w:t xml:space="preserve">, który od dawna zajmuje różne stanowiska w głośnych sprawach dotyczących polityków, co może dać podstawy do rozważenia zastosowania środków ograniczających w ramach systemu sankcji UE za naruszenia praw człowieka; jest również zaniepokojony rosnącą presją </w:t>
      </w:r>
      <w:r w:rsidRPr="00280A7D">
        <w:lastRenderedPageBreak/>
        <w:t>finansową na gminy opozycyjne i kontrowersyjnymi zapowiedziami, np. na temat ośrodków opieki dziennej prowadzonych przez gminy opozycyjne;</w:t>
      </w:r>
    </w:p>
    <w:p w:rsidR="004A5A41" w:rsidRPr="00280A7D" w:rsidRDefault="004A5A41" w:rsidP="004A5A41">
      <w:pPr>
        <w:pStyle w:val="NormalHanging12a"/>
      </w:pPr>
      <w:r w:rsidRPr="00280A7D">
        <w:t>2</w:t>
      </w:r>
      <w:r w:rsidR="00D140A8">
        <w:t>5</w:t>
      </w:r>
      <w:r w:rsidRPr="00280A7D">
        <w:t>.</w:t>
      </w:r>
      <w:r w:rsidRPr="00280A7D">
        <w:tab/>
        <w:t xml:space="preserve">wyraża głębokie zaniepokojenie pogorszeniem się sytuacji w zakresie praw kobiet i przemocy ze względu na płeć oraz wzrostem liczby </w:t>
      </w:r>
      <w:proofErr w:type="spellStart"/>
      <w:r w:rsidRPr="00280A7D">
        <w:t>kobietobójstw</w:t>
      </w:r>
      <w:proofErr w:type="spellEnd"/>
      <w:r w:rsidRPr="00280A7D">
        <w:t xml:space="preserve"> w Turcji w 2024 r., która była najwyższa od 2010 r., czyli roku poprzedzającego podpisanie konwencji stambulskiej; ponownie zdecydowanie potępia wycofanie się Turcji dekretem prezydenckim z tej umowy międzynarodowej i ponawia apel o cofnięcie tej decyzji; wzywa władze tureckie do poprawy ram prawnych i ich wdrażania, w tym przez pełne wdrożenie ustawy o ochronie nr 6284, aby skutecznie zwalczać wszelkie formy przemocy wobec kobiet i praktykę tak zwanych zabójstw honorowych, położyć kres utrzymującej się polityce bezkarności przez pociągnięcie sprawców do odpowiedzialności, a także dążyć do równouprawnienia płci, szczególnie w odniesieniu do udziału kobiet w procesach decyzyjnych i politycznych;</w:t>
      </w:r>
      <w:r w:rsidR="003B5AF0">
        <w:t xml:space="preserve"> </w:t>
      </w:r>
      <w:r w:rsidR="003B5AF0" w:rsidRPr="003B5AF0">
        <w:t>ostrzega przed dalszym naruszaniem praw kobiet, którego przykładem jest niedawno wprowadzony przez Turcję zakaz wyboru cięcia cesarskiego w prywatnych ośrodkach medycznych bez uzasadnienia medycznego, co stanowi niedopuszczalne naruszenie autonomii cielesnej kobiet;</w:t>
      </w:r>
    </w:p>
    <w:p w:rsidR="004A5A41" w:rsidRPr="00280A7D" w:rsidRDefault="004A5A41" w:rsidP="004A5A41">
      <w:pPr>
        <w:pStyle w:val="NormalHanging12a"/>
      </w:pPr>
      <w:r w:rsidRPr="00280A7D">
        <w:t>2</w:t>
      </w:r>
      <w:r w:rsidR="003B5AF0">
        <w:t>6</w:t>
      </w:r>
      <w:r w:rsidRPr="00280A7D">
        <w:t>.</w:t>
      </w:r>
      <w:r w:rsidRPr="00280A7D">
        <w:tab/>
        <w:t>zdecydowanie potępia ciągłe naruszenia i brak ochrony praw podstawowych osób LGBTI+ w Turcji, w tym coraz częstsze nawoływanie do nienawiści, wzrost liczby przestępstw z nienawiści i dyskryminacyjnej retoryki, a także ciągłe utrwalanie stereotypów w mediach na podstawie orientacji seksualnej i tożsamości płciowej; ubolewa, że ta utrzymująca się dyskryminacja jest często uznawana przez władze, o czym świadczą masowe zatrzymania podczas marszu równości w marcu 2023 r. i zakaz organizacji marszu w 2024 r., a jednocześnie zezwolenie na marsze anty-LGBTI+; wzywa władze Turcji, by zaprzestały zakazywania działań przeciwko homofobii, w tym parad równości, ze skutkiem natychmiastowym;</w:t>
      </w:r>
    </w:p>
    <w:p w:rsidR="004A5A41" w:rsidRPr="00280A7D" w:rsidRDefault="004A5A41" w:rsidP="004A5A41">
      <w:pPr>
        <w:pStyle w:val="NormalHanging12a"/>
      </w:pPr>
      <w:r w:rsidRPr="00280A7D">
        <w:t>2</w:t>
      </w:r>
      <w:r w:rsidR="003B5AF0">
        <w:t>7</w:t>
      </w:r>
      <w:r w:rsidRPr="00280A7D">
        <w:t>.</w:t>
      </w:r>
      <w:r w:rsidRPr="00280A7D">
        <w:tab/>
        <w:t xml:space="preserve">z zadowoleniem przyjmuje pogłębiony dialog z mniejszościami chrześcijańskimi, jednak podkreśla, że nie odnotowano znaczących postępów w zakresie ochrony praw mniejszości etnicznych i religijnych, w szczególności w odniesieniu do ich osobowości prawnej, w tym praw greckiej ludności prawosławnej na wyspach </w:t>
      </w:r>
      <w:proofErr w:type="spellStart"/>
      <w:r w:rsidRPr="00280A7D">
        <w:t>Gökçeada</w:t>
      </w:r>
      <w:proofErr w:type="spellEnd"/>
      <w:r w:rsidRPr="00280A7D">
        <w:t xml:space="preserve"> (Imroz) i </w:t>
      </w:r>
      <w:proofErr w:type="spellStart"/>
      <w:r w:rsidRPr="00280A7D">
        <w:t>Bozcaada</w:t>
      </w:r>
      <w:proofErr w:type="spellEnd"/>
      <w:r w:rsidRPr="00280A7D">
        <w:t xml:space="preserve"> (</w:t>
      </w:r>
      <w:proofErr w:type="spellStart"/>
      <w:r w:rsidRPr="00280A7D">
        <w:t>Tenedos</w:t>
      </w:r>
      <w:proofErr w:type="spellEnd"/>
      <w:r w:rsidRPr="00280A7D">
        <w:t xml:space="preserve">); wzywa Turcję do wdrożenia odnośnych zaleceń Komisji Weneckiej i wszystkich odnośnych orzeczeń ETPC; zauważa z zaniepokojeniem, że przedstawiciele różnych wyznań, w tym społeczności niemuzułmańskich i </w:t>
      </w:r>
      <w:proofErr w:type="spellStart"/>
      <w:r w:rsidRPr="00280A7D">
        <w:t>alewitów</w:t>
      </w:r>
      <w:proofErr w:type="spellEnd"/>
      <w:r w:rsidRPr="00280A7D">
        <w:t xml:space="preserve">, nadal napotykają przeszkody biurokratyczne podczas prób rejestrowania miejsc kultu; podkreśla, że stanowi to naruszenie prawa do wolności religii i przekonań; wzywa Turcję do przyjęcia długo oczekiwanego rozporządzenia w sprawie wyboru członków zarządów w fundacjach mniejszości niemuzułmańskich kontrolujących szpitale wspólnotowe; ponawia swój apel do Turcji o poszanowanie roli Patriarchatu Ekumenicznego Chrześcijan Ortodoksyjnych na całym świecie oraz uznanie jego osobowości prawnej i publiczne stosowanie kościelnego tytułu Patriarchy Ekumenicznego; wzywa Turcję do pełnego poszanowania i ochrony wyjątkowej powszechnej wartości </w:t>
      </w:r>
      <w:proofErr w:type="spellStart"/>
      <w:r w:rsidRPr="00280A7D">
        <w:t>Hagia</w:t>
      </w:r>
      <w:proofErr w:type="spellEnd"/>
      <w:r w:rsidRPr="00280A7D">
        <w:t xml:space="preserve"> </w:t>
      </w:r>
      <w:proofErr w:type="spellStart"/>
      <w:r w:rsidRPr="00280A7D">
        <w:t>Sophia</w:t>
      </w:r>
      <w:proofErr w:type="spellEnd"/>
      <w:r w:rsidRPr="00280A7D">
        <w:t xml:space="preserve"> i muzeum Chora, wpisanych na listę światowego dziedzictwa UNESCO; zauważa z zaniepokojeniem, że Turcja nadal nie wdrożyła dwóch decyzji Komitetu Światowego Dziedzictwa UNESCO z 2021 i 2023 r., które dotyczą jej obowiązków w zakresie wprowadzenia specjalnych środków ochrony tych pomników; ubolewa nad brakiem ochrony klasztoru </w:t>
      </w:r>
      <w:proofErr w:type="spellStart"/>
      <w:r w:rsidRPr="00280A7D">
        <w:t>Panagia</w:t>
      </w:r>
      <w:proofErr w:type="spellEnd"/>
      <w:r w:rsidRPr="00280A7D">
        <w:t xml:space="preserve"> </w:t>
      </w:r>
      <w:proofErr w:type="spellStart"/>
      <w:r w:rsidRPr="00280A7D">
        <w:t>Sumela</w:t>
      </w:r>
      <w:proofErr w:type="spellEnd"/>
      <w:r w:rsidRPr="00280A7D">
        <w:t xml:space="preserve">, który został zaproponowany do wpisania na listę obiektów światowego dziedzictwa UNESCO; podkreśla potrzebę zniesienia restrykcji dotyczących kształcenia, mianowania i sukcesji </w:t>
      </w:r>
      <w:r w:rsidRPr="00280A7D">
        <w:lastRenderedPageBreak/>
        <w:t>duchownych; z zadowoleniem przyjmuje planowane ponowne otwarcie seminarium na wyspie Chalki oraz wzywa do usunięcia wszelkich przeszkód w jego prawidłowym funkcjonowaniu; wzywa władze tureckie do skutecznego prowadzenia dochodzeń i ścigania osób odpowiedzialnych za wszelkie przestępstwa z nienawiści, w tym nawoływanie do nienawiści, popełniane wobec mniejszości; potępia antysemickie wypowiedzi w mediach ze strony urzędników wysokiego szczebla po atakach terrorystycznych Hamasu na Izrael z 7 października 2023 r.; zauważa, że wszystkie te praktyki wobec jakiejkolwiek mniejszości religijnej są niezgodne z wartościami UE;</w:t>
      </w:r>
    </w:p>
    <w:p w:rsidR="004A5A41" w:rsidRPr="00280A7D" w:rsidRDefault="004A5A41" w:rsidP="004A5A41">
      <w:pPr>
        <w:pStyle w:val="NormalHanging12a"/>
        <w:rPr>
          <w:szCs w:val="24"/>
        </w:rPr>
      </w:pPr>
      <w:r w:rsidRPr="00280A7D">
        <w:t>2</w:t>
      </w:r>
      <w:r w:rsidR="003B5AF0">
        <w:t>8</w:t>
      </w:r>
      <w:r w:rsidRPr="00280A7D">
        <w:t>.</w:t>
      </w:r>
      <w:r w:rsidRPr="00280A7D">
        <w:tab/>
        <w:t xml:space="preserve">z zadowoleniem przyjmuje niedawny apel Abdullaha </w:t>
      </w:r>
      <w:proofErr w:type="spellStart"/>
      <w:r w:rsidRPr="00280A7D">
        <w:t>Öcalana</w:t>
      </w:r>
      <w:proofErr w:type="spellEnd"/>
      <w:r w:rsidRPr="00280A7D">
        <w:t xml:space="preserve"> do PKK o złożenie broni i rozwiązanie partii oraz o zaangażowanie się w proces pokojowy jako historyczny i długo oczekiwany krok, mogący położyć kres 40 latom przemocy, która przyniosła śmierć ponad 40 000 osób; wyraża uznanie dla starań podejmowanych przez wszystkie zainteresowane strony w celu ułatwienia tych zmian, w tym dla konstruktywnego podejścia różnych przywódców politycznych, zapoczątkowanego przez lidera MHP </w:t>
      </w:r>
      <w:proofErr w:type="spellStart"/>
      <w:r w:rsidRPr="00280A7D">
        <w:t>Devleta</w:t>
      </w:r>
      <w:proofErr w:type="spellEnd"/>
      <w:r w:rsidRPr="00280A7D">
        <w:t xml:space="preserve"> </w:t>
      </w:r>
      <w:proofErr w:type="spellStart"/>
      <w:r w:rsidRPr="00280A7D">
        <w:t>Bahçeliego</w:t>
      </w:r>
      <w:proofErr w:type="spellEnd"/>
      <w:r w:rsidRPr="00280A7D">
        <w:t xml:space="preserve">, przyznania delegacji partii DEM wizyt w więzieniu </w:t>
      </w:r>
      <w:proofErr w:type="spellStart"/>
      <w:r w:rsidRPr="00280A7D">
        <w:t>Imrali</w:t>
      </w:r>
      <w:proofErr w:type="spellEnd"/>
      <w:r w:rsidRPr="00280A7D">
        <w:t xml:space="preserve"> oraz szeroko zakrojonych konsultacji prowadzonych przez tę partię z innymi partiami politycznymi; podkreśla, że stanowi to istotną szansę i że musi po tym nastąpić pluralistyczny proces polityczny, w którym znaczącą rolę odegra parlament turecki, a celem tego procesu będzie pokojowe i trwałe rozwiązanie kwestii kurdyjskiej w jej aspektach politycznych, społecznych, demokratycznych i związanych z bezpieczeństwem; podkreśla potrzebę przestrzegania praw człowieka, pluralizmu politycznego i poszanowania praw obywatelskich wszystkich obywateli, w tym Kurdów; ubolewa nad ciągłymi represjami politycznymi, szykanami sądowymi oraz ograniczeniami praw kulturowych i językowych, z którymi borykają się obywatele pochodzenia kurdyjskiego, co podważa zasady demokracji i spójność społeczną;</w:t>
      </w:r>
    </w:p>
    <w:p w:rsidR="004A5A41" w:rsidRPr="00280A7D" w:rsidRDefault="004A5A41" w:rsidP="004A5A41">
      <w:pPr>
        <w:pStyle w:val="NormalHanging12a"/>
        <w:rPr>
          <w:b/>
          <w:bCs/>
          <w:i/>
          <w:iCs/>
          <w:szCs w:val="24"/>
        </w:rPr>
      </w:pPr>
      <w:r w:rsidRPr="00280A7D">
        <w:rPr>
          <w:b/>
          <w:i/>
        </w:rPr>
        <w:t>Współpraca regionalna i stosunki dobrosąsiedzkie</w:t>
      </w:r>
    </w:p>
    <w:p w:rsidR="004A5A41" w:rsidRPr="00280A7D" w:rsidRDefault="004A5A41" w:rsidP="004A5A41">
      <w:pPr>
        <w:pStyle w:val="NormalHanging12a"/>
        <w:rPr>
          <w:szCs w:val="24"/>
        </w:rPr>
      </w:pPr>
      <w:r w:rsidRPr="00280A7D">
        <w:t>2</w:t>
      </w:r>
      <w:r w:rsidR="003B5AF0">
        <w:t>9</w:t>
      </w:r>
      <w:r w:rsidRPr="00280A7D">
        <w:t>.</w:t>
      </w:r>
      <w:r w:rsidRPr="00280A7D">
        <w:tab/>
        <w:t xml:space="preserve">nadal wyraża uznanie dla Turcji za przyjęcie około 3,1 mln uchodźców, w tym 2,9 mln Syryjczyków w ramach ochrony tymczasowej w 2024 r. i 3,2 mln w 2023 r.; ponownie podkreśla znaczenie współpracy Turcji dla skutecznego i uporządkowanego zarządzania przepływami migracyjnymi; ponadto z zadowoleniem przyjmuje fakt, że od 2011 r. UE przeznaczyła blisko 10 mld EUR na pomoc Turcji w przyjmowaniu uchodźców; zauważa, że część finansowania unijnego przeznaczono na wzmocnienie tureckich zdolności w zakresie kontroli granic i powstrzymywania uchodźców; z zadowoleniem przyjmuje decyzję UE o przeznaczeniu dodatkowego 1 mld EUR w grudniu 2024 r. na dalsze wsparcie opieki zdrowotnej, edukacji i integracji uchodźców w Turcji po upadku reżimu </w:t>
      </w:r>
      <w:proofErr w:type="spellStart"/>
      <w:r w:rsidRPr="00280A7D">
        <w:t>Assada</w:t>
      </w:r>
      <w:proofErr w:type="spellEnd"/>
      <w:r w:rsidRPr="00280A7D">
        <w:t xml:space="preserve">; jednocześnie zauważa, że środki te zadeklarowano już w maju 2024 r., a zatem nie stanowią one nowych środków; wzywa Komisję zapewnienia najwyższej przejrzystości i dokładności podczas przydziału środków oraz do dopilnowania, aby projekty finansowane przez UE, w szczególności te związane z ośrodkami detencyjnymi i kontrolą graniczną, były zgodne ze wszystkimi odpowiednimi standardami praw człowieka; jest zaniepokojony wiarygodnymi doniesieniami ujawniającymi poważne naruszenia praw człowieka w finansowanych przez UE ośrodkach detencyjnych w Turcji i wzywa Komisję do wszczęcia przejrzystego i niezależnego przeglądu tej kwestii; zauważa z zaniepokojeniem, że w ostatnich latach w Republice Cypryjskiej odnotowano stały wzrost liczby wniosków o azyl; przypomina Turcji, że zobowiązała się do wdrożenia wszelkich niezbędnych środków w celu zamknięcia istniejących szlaków nielegalnej migracji oraz do zapobieżenia powstawaniu nowych morskich lub lądowych szlaków nielegalnej migracji z Turcji do </w:t>
      </w:r>
      <w:r w:rsidRPr="00280A7D">
        <w:lastRenderedPageBreak/>
        <w:t>UE, a zwłaszcza do Grecji i Republiki Cypryjskiej; zwraca uwagę na ryzyko związane z ewentualną instrumentalizacją migrantów przez rząd turecki; podkreśla potrzebę zapewnienia ochrony wszystkich praw i wolności uchodźców i migrantów; wzywa Turcję do zapewnienia pełnego i niedyskryminacyjnego wdrożenia wspólnego oświadczenia UE–Turcja z 2016 r. i umowy o readmisji między UE a Turcją w odniesieniu do wszystkich państw członkowskich, w tym Republiki Cypryjskiej; wyraża ostrożną nadzieję, że rozwój wydarzeń w Syrii stopniowo pozwoli na powrót do domu coraz większej liczby uchodźców; przypomina, że powroty powinny odbywać się wyłącznie na zasadzie dobrowolności oraz w warunkach bezpieczeństwa i godności; potępia powtarzające się brutalne ataki na uchodźców i migrantów, podsycane ksenofobiczną retoryką wśród polityków i społeczności przyjmujących; wzywa Komisję Europejską i państwa członkowskie UE do intensyfikacji starań na rzecz zachowania przestrzeni do działań humanitarnych i ochronnych dla uchodźców syryjskich w Turcji oraz do utrzymania zasady non-</w:t>
      </w:r>
      <w:proofErr w:type="spellStart"/>
      <w:r w:rsidRPr="00280A7D">
        <w:t>refoulement</w:t>
      </w:r>
      <w:proofErr w:type="spellEnd"/>
      <w:r w:rsidRPr="00280A7D">
        <w:t xml:space="preserve"> jako podstawy polityki UE;</w:t>
      </w:r>
    </w:p>
    <w:p w:rsidR="004A5A41" w:rsidRPr="00280A7D" w:rsidRDefault="003B5AF0" w:rsidP="004A5A41">
      <w:pPr>
        <w:pStyle w:val="NormalHanging12a"/>
      </w:pPr>
      <w:r>
        <w:t>30</w:t>
      </w:r>
      <w:r w:rsidR="004A5A41" w:rsidRPr="00280A7D">
        <w:t>.</w:t>
      </w:r>
      <w:r w:rsidR="004A5A41" w:rsidRPr="00280A7D">
        <w:tab/>
        <w:t xml:space="preserve">ponownie wyraża zdecydowane zainteresowanie zapewnieniem stabilności i bezpieczeństwa we wschodniej części obszaru śródziemnomorskiego; z zadowoleniem przyjmuje dalszą deeskalację i pozytywną dynamikę w tym regionie oraz niedawny pozytywny klimat wznowienia stosunków między Turcją a Grecją mimo wciąż nierozwiązanych kwestii, które kładą się cieniem na stosunki dwustronne; ubolewa, że Turcja nadal kwestionuje suwerenność i suwerenne prawa państw członkowskich UE, takich jak Grecja i Republika Cypryjska, w tym przez promowanie doktryny „błękitnej ojczyzny”; podkreśla, że choć liczba przypadków naruszania przez Turcję greckiej przestrzeni powietrznej drastycznie spadła, to liczba przypadków naruszania greckich wód terytorialnych wzrosła w porównaniu z 2023 r., a tureckie statki regularnie prowadziły nielegalną działalność połowową na greckich wodach terytorialnych; </w:t>
      </w:r>
      <w:r w:rsidR="00E42260" w:rsidRPr="003B5AF0">
        <w:t>wyraża głębokie zaniepokojenie faktem</w:t>
      </w:r>
      <w:r w:rsidR="00E42260" w:rsidRPr="00E42260">
        <w:t xml:space="preserve">, że Turcja nadal podtrzymuje formalną groźbę wojny przeciwko Grecji (casus </w:t>
      </w:r>
      <w:proofErr w:type="spellStart"/>
      <w:r w:rsidR="00E42260" w:rsidRPr="00E42260">
        <w:t>belli</w:t>
      </w:r>
      <w:proofErr w:type="spellEnd"/>
      <w:r w:rsidR="00E42260" w:rsidRPr="00E42260">
        <w:t>)</w:t>
      </w:r>
      <w:r w:rsidR="00E42260" w:rsidRPr="003B5AF0">
        <w:t>, gdyby Grecja skorzystała z przysługującego jej prawa do rozszerzenia swoich wód terytorialnych</w:t>
      </w:r>
      <w:r w:rsidR="00E42260" w:rsidRPr="00E42260">
        <w:t xml:space="preserve"> do 12 mil morskich</w:t>
      </w:r>
      <w:r w:rsidR="00E42260" w:rsidRPr="003B5AF0">
        <w:t xml:space="preserve"> na Morzu Egejskim, zgodnie z artykułem 3 Konwencji Narodów Zjednoczonych o prawie morza</w:t>
      </w:r>
      <w:r w:rsidR="004A5A41" w:rsidRPr="00280A7D">
        <w:t>; wzywa Turcję, by w pełni szanowała suwerenność wszystkich państw członkowskich UE na ich morzach terytorialnych i w ich przestrzeni powietrznej, a także ich inne suwerenne prawa – w tym prawo do poszukiwania i eksploatacji zasobów naturalnych – wynikające z prawa UE i prawa międzynarodowego, w tym z Konwencji Narodów Zjednoczonych o prawie morza (UNCLOS), która stanowi część dorobku prawnego UE; przypomina, że protokół ustaleń Turcja–Libia w sprawie delimitacji jurysdykcji morskich na Morzu Śródziemnym narusza suwerenne prawa państw trzecich, jest niezgodny z prawem morza i nie może wywoływać żadnych skutków prawnych względem państw trzecich;</w:t>
      </w:r>
    </w:p>
    <w:p w:rsidR="004A5A41" w:rsidRPr="00280A7D" w:rsidRDefault="003B5AF0" w:rsidP="004A5A41">
      <w:pPr>
        <w:pStyle w:val="NormalHanging12a"/>
      </w:pPr>
      <w:r>
        <w:t>31</w:t>
      </w:r>
      <w:r w:rsidR="004A5A41" w:rsidRPr="00280A7D">
        <w:t>.</w:t>
      </w:r>
      <w:r w:rsidR="004A5A41" w:rsidRPr="00280A7D">
        <w:tab/>
        <w:t xml:space="preserve">ubolewa, że problem cypryjski pozostaje nierozwiązany, i wzywa do poważnego ponownego zaangażowania i wykazania woli politycznej przez wszystkie strony w celu prowadzenia pokojowych negocjacji pod auspicjami ONZ zmierzających do osiągnięcia rzeczywistego postępu w rozmowach w sprawie rozwiązania kwestii cypryjskiej; z zadowoleniem przyjmuje wznowienie nieformalnych rozmów pod auspicjami Sekretarza Generalnego ONZ w dniach 18–19 marca 2025 r. w konstruktywnej atmosferze, w której obie strony jasno zobowiązały się do poczynienia postępów i kontynuowania dialogu; z zadowoleniem przyjmuje porozumienie między obiema stronami w sprawie otwarcia czterech przejść granicznych, rozminowywania, utworzenia komitetu ds. młodzieży oraz uruchomienia projektów dotyczących </w:t>
      </w:r>
      <w:r w:rsidR="004A5A41" w:rsidRPr="00280A7D">
        <w:lastRenderedPageBreak/>
        <w:t>środowiska i energii słonecznej w ramach nowego zestawu środków budowy zaufania; zachęca wszystkie strony, by wykorzystały ten impuls do wznowienia negocjacji;</w:t>
      </w:r>
    </w:p>
    <w:p w:rsidR="004A5A41" w:rsidRPr="00280A7D" w:rsidRDefault="004A5A41" w:rsidP="004A5A41">
      <w:pPr>
        <w:pStyle w:val="NormalHanging12a"/>
      </w:pPr>
      <w:r w:rsidRPr="00280A7D">
        <w:t>3</w:t>
      </w:r>
      <w:r w:rsidR="003B5AF0">
        <w:t>2</w:t>
      </w:r>
      <w:r w:rsidRPr="00280A7D">
        <w:t>.</w:t>
      </w:r>
      <w:r w:rsidRPr="00280A7D">
        <w:tab/>
        <w:t xml:space="preserve">zdecydowanie potwierdza swoje stanowisko, że jedynym rozwiązaniem problemu cypryjskiego jest sprawiedliwe, kompleksowe, wykonalne i demokratyczne porozumienie, również w odniesieniu do aspektów zewnętrznych, w uzgodnionych ramach ONZ, w oparciu o dwuwspólnotową i dwustrefową federację, z jednolitą międzynarodową osobowością prawną, jednolitą suwerennością, jednolitym obywatelstwem i równością polityczną, jak określono w odnośnych rezolucjach Rady Bezpieczeństwa ONZ, z poszanowaniem uzgodnionych obszarów konwergencji i ram określonych przez Sekretarza Generalnego ONZ oraz zgodnie z prawem międzynarodowym i z poszanowaniem zasad, na których opiera się Unia; </w:t>
      </w:r>
      <w:r w:rsidR="00175495" w:rsidRPr="003B5AF0">
        <w:t xml:space="preserve">zdecydowanie potępia próby Turcji mające na celu podniesienie statusu separatystycznego podmiotu na okupowanym Cyprze, w tym poprzez Organizację Państw </w:t>
      </w:r>
      <w:proofErr w:type="spellStart"/>
      <w:r w:rsidR="00175495" w:rsidRPr="003B5AF0">
        <w:t>Turkickich</w:t>
      </w:r>
      <w:proofErr w:type="spellEnd"/>
      <w:r w:rsidR="00175495" w:rsidRPr="003B5AF0">
        <w:t>, i wzywa wszystkie państwa do poszanowania suwerenności Cypru zgodnie z rezolucjami Rady Bezpieczeństwa ONZ;</w:t>
      </w:r>
      <w:r w:rsidR="00175495" w:rsidRPr="00F60BB5">
        <w:t xml:space="preserve"> </w:t>
      </w:r>
      <w:r w:rsidRPr="00280A7D">
        <w:t xml:space="preserve">wzywa do jak najszybszego wznowienia negocjacji w sprawie ponownego zjednoczenia Cypru pod auspicjami Sekretarza Generalnego ONZ, od punktu, w którym przerwano je w </w:t>
      </w:r>
      <w:proofErr w:type="spellStart"/>
      <w:r w:rsidRPr="00280A7D">
        <w:t>Crans</w:t>
      </w:r>
      <w:proofErr w:type="spellEnd"/>
      <w:r w:rsidRPr="00280A7D">
        <w:t>-Montana w 2017 r.; wzywa Turcję do porzucenia niedopuszczalnej propozycji rozwiązania dwupaństwowego na Cyprze i do powrotu do uzgodnionych podstaw rozwiązania oraz ram wyznaczonych przez ONZ; ponadto wzywa Turcję, by wycofała swoje wojska z Cypru oraz powstrzymała się od wszelkich jednostronnych działań, które utrwaliłyby stały podział wyspy, i od działań zmieniających równowagę demograficzną;</w:t>
      </w:r>
    </w:p>
    <w:p w:rsidR="004A5A41" w:rsidRDefault="004A5A41" w:rsidP="004A5A41">
      <w:pPr>
        <w:pStyle w:val="NormalHanging12a"/>
      </w:pPr>
      <w:r w:rsidRPr="00280A7D">
        <w:t>3</w:t>
      </w:r>
      <w:r w:rsidR="003B5AF0">
        <w:t>3</w:t>
      </w:r>
      <w:r w:rsidRPr="00280A7D">
        <w:t>.</w:t>
      </w:r>
      <w:r w:rsidRPr="00280A7D">
        <w:tab/>
        <w:t xml:space="preserve">wzywa Turcję do poszanowania statusu strefy buforowej i mandatu Sił Pokojowych ONZ na Cyprze (UNFICYP); ponawia swój apel o współpracę między Republiką Cypryjską, Turcją, Zjednoczonym Królestwem i ONZ w celu wdrożenia konkretnych środków na rzecz demilitaryzacji strefy buforowej oraz poprawy bezpieczeństwa na wyspie; wzywa Turcję i przywódców Cypryjczyków tureckich do odwrócenia skutków wszelkich jednostronnych działań i naruszeń na terytorium i w pobliżu strefy buforowej oraz do powstrzymania się od dalszych takich działań i prowokacji; potępia trwające „otwieranie” dzielnicy </w:t>
      </w:r>
      <w:proofErr w:type="spellStart"/>
      <w:r w:rsidRPr="00280A7D">
        <w:t>Warosia</w:t>
      </w:r>
      <w:proofErr w:type="spellEnd"/>
      <w:r w:rsidRPr="00280A7D">
        <w:t xml:space="preserve"> przez Turcję, ponieważ zmienia to na niekorzyść sytuację w tym miejscu, podważa wzajemne zaufanie i negatywnie wpływa na perspektywy wznowienia bezpośrednich rozmów w sprawie kompleksowego rozwiązania problemu cypryjskiego; apeluje do Turcji, by wycofała się z nielegalnych działań naruszających rezolucje Rady Bezpieczeństwa ONZ nr 550(1984) i nr 789(1992) w sprawie dzielnicy </w:t>
      </w:r>
      <w:proofErr w:type="spellStart"/>
      <w:r w:rsidRPr="00280A7D">
        <w:t>Warosia</w:t>
      </w:r>
      <w:proofErr w:type="spellEnd"/>
      <w:r w:rsidRPr="00280A7D">
        <w:t xml:space="preserve">, w których wezwano Turcję do przekazania dzielnicy jej prawowitym mieszkańcom pod tymczasową administracją ONZ, a także do wycofania się ze </w:t>
      </w:r>
      <w:proofErr w:type="spellStart"/>
      <w:r w:rsidRPr="00280A7D">
        <w:t>Strovilii</w:t>
      </w:r>
      <w:proofErr w:type="spellEnd"/>
      <w:r w:rsidRPr="00280A7D">
        <w:t xml:space="preserve"> i ułatwienia pełnego wdrożenia porozumienia z </w:t>
      </w:r>
      <w:proofErr w:type="spellStart"/>
      <w:r w:rsidRPr="00280A7D">
        <w:t>Pily</w:t>
      </w:r>
      <w:proofErr w:type="spellEnd"/>
      <w:r w:rsidRPr="00280A7D">
        <w:t>;</w:t>
      </w:r>
    </w:p>
    <w:p w:rsidR="00175495" w:rsidRPr="00280A7D" w:rsidRDefault="003B5AF0" w:rsidP="004A5A41">
      <w:pPr>
        <w:pStyle w:val="NormalHanging12a"/>
      </w:pPr>
      <w:r>
        <w:t>34</w:t>
      </w:r>
      <w:r w:rsidR="00175495">
        <w:t xml:space="preserve">. </w:t>
      </w:r>
      <w:r w:rsidR="00175495">
        <w:tab/>
      </w:r>
      <w:r w:rsidR="00175495" w:rsidRPr="003B5AF0">
        <w:rPr>
          <w:bCs/>
          <w:iCs/>
          <w:color w:val="1F497D"/>
        </w:rPr>
        <w:t xml:space="preserve">Ponownie wyraża zaniepokojenie wszelkimi jednostronnymi działaniami mającymi na celu ugruntowanie trwałego podziału Cypru zamiast jego zjednoczenia; w tym kontekście potępia niedawną bezprawną wizytę prezydenta </w:t>
      </w:r>
      <w:proofErr w:type="spellStart"/>
      <w:r w:rsidR="00175495" w:rsidRPr="003B5AF0">
        <w:rPr>
          <w:bCs/>
          <w:iCs/>
          <w:color w:val="1F497D"/>
        </w:rPr>
        <w:t>Erdoğana</w:t>
      </w:r>
      <w:proofErr w:type="spellEnd"/>
      <w:r w:rsidR="00175495" w:rsidRPr="003B5AF0">
        <w:rPr>
          <w:bCs/>
          <w:iCs/>
          <w:color w:val="1F497D"/>
        </w:rPr>
        <w:t xml:space="preserve"> na terytoriach okupowanych Republiki Cypryjskiej jak również jego prowokacyjne oświadczenia zagrażające wysiłkom ONZ-u, UE, całej wspólnoty międzynarodowej i innych zaangażowanych stron na rzecz wznowienia merytorycznych negocjacji w uzgodnionych ramach; ubolewa, że tego rodzaju jednostronne działania są równoznaczne z bezpośrednią i bezprawną ingerencją skierowaną przeciwko interesom społeczności cypryjskich Greków i cypryjskich Turków;</w:t>
      </w:r>
    </w:p>
    <w:p w:rsidR="004A5A41" w:rsidRPr="00280A7D" w:rsidRDefault="004A5A41" w:rsidP="004A5A41">
      <w:pPr>
        <w:pStyle w:val="NormalHanging12a"/>
      </w:pPr>
      <w:r w:rsidRPr="00280A7D">
        <w:t>3</w:t>
      </w:r>
      <w:r w:rsidR="003B5AF0">
        <w:t>5</w:t>
      </w:r>
      <w:r w:rsidRPr="00280A7D">
        <w:t>.</w:t>
      </w:r>
      <w:r w:rsidRPr="00280A7D">
        <w:tab/>
        <w:t xml:space="preserve">ponawia swój apel do Turcji o zapewnienie tureckiej wspólnocie cypryjskiej niezbędnej </w:t>
      </w:r>
      <w:r w:rsidRPr="00280A7D">
        <w:lastRenderedPageBreak/>
        <w:t>przestrzeni, aby mogła działać zgodnie ze swoją rolą prawowitej wspólnoty na wyspie, co jest prawem gwarantowanym przez konstytucję Republiki Cypryjskiej; ponawia apel do Komisji o wzmożenie starań na rzecz nawiązania kontaktu z turecką wspólnotą cypryjską, tak aby ułatwić rozwiązanie problemu cypryjskiego, i przypomina, że jej miejsce jest w Unii Europejskiej; wzywa wszystkie zaangażowane strony do wykazania większej odwagi przy zbliżaniu społeczności; podkreśla, że po kompleksowym rozwiązaniu problemu cypryjskiego na całej wyspie musi zostać wdrożony dorobek prawny UE;</w:t>
      </w:r>
    </w:p>
    <w:p w:rsidR="004A5A41" w:rsidRPr="00280A7D" w:rsidRDefault="004A5A41" w:rsidP="004A5A41">
      <w:pPr>
        <w:pStyle w:val="NormalHanging12a"/>
      </w:pPr>
      <w:r w:rsidRPr="00280A7D">
        <w:t>3</w:t>
      </w:r>
      <w:r w:rsidR="003B5AF0">
        <w:t>6</w:t>
      </w:r>
      <w:r w:rsidRPr="00280A7D">
        <w:t>.</w:t>
      </w:r>
      <w:r w:rsidRPr="00280A7D">
        <w:tab/>
        <w:t>odnotowuje istotne prace Komisji ds. Osób Zaginionych na Cyprze i apeluje o poprawę dostępu do</w:t>
      </w:r>
      <w:r w:rsidR="00175495">
        <w:t xml:space="preserve"> </w:t>
      </w:r>
      <w:r w:rsidR="00175495" w:rsidRPr="003B5AF0">
        <w:t>okupowanych</w:t>
      </w:r>
      <w:r w:rsidRPr="00280A7D">
        <w:t xml:space="preserve"> stref wojskowych tureckiej armii, dostępu do jej archiwów wojskowych oraz informacji o przenoszeniu szczątków z dawnego do nowego miejsca pochówku; jest nadal głęboko zaniepokojony ograniczeniami i przeszkodami edukacyjnymi i religijnymi, z jakimi borykają się enklawy Cypryjczyków greckich; wzywa Turcję do zacieśnienia współpracy z Radą Europy i jej odpowiednimi organami i instytucjami, uwzględnienia ich kluczowych zaleceń, pełnego wdrożenia Europejskiej Konwencji Praw Człowieka w odniesieniu do poszanowania wolności wyznania, wolności opinii i wypowiedzi, prawa dostępu do dziedzictwa kulturowego i korzystania z niego oraz zaprzestania celowego niszczenia dziedzictwa kulturowego i religijnego; potępia powtarzające się próby zastraszania i uciszania przez Turcję dziennikarzy, związkowców i obrońców praw człowieka wywodzących się ze społeczności Cypryjczyków tureckich oraz postępowych obywateli we wspólnocie Cypryjczyków tureckich, co narusza ich prawo do wolności opinii i wypowiedzi; wzywa Turcję do powstrzymania ogłoszonej przez nią agresywnej polityki sprzedaży i eksploatacji nieruchomości Cypryjczyków greckich, która ma na celu wywołanie nieodwracalnych skutków w terenie i całkowicie lekceważy orzeczenie Europejskiego Trybunału Praw Człowieka w tej sprawie;</w:t>
      </w:r>
    </w:p>
    <w:p w:rsidR="004A5A41" w:rsidRPr="00280A7D" w:rsidRDefault="004A5A41" w:rsidP="004A5A41">
      <w:pPr>
        <w:pStyle w:val="NormalHanging12a"/>
      </w:pPr>
      <w:r w:rsidRPr="00280A7D">
        <w:t>3</w:t>
      </w:r>
      <w:r w:rsidR="003B5AF0">
        <w:t>7</w:t>
      </w:r>
      <w:r w:rsidRPr="00280A7D">
        <w:t>.</w:t>
      </w:r>
      <w:r w:rsidRPr="00280A7D">
        <w:tab/>
        <w:t>ubolewa, że Turcja ciągle nie przestrzega prawa lotniczego i odmawia ustanowienia kanału komunikacji pomiędzy centrami kontroli ruchu lotniczego w Turcji i w Republice Cypryjskiej, którego brak pociąga za sobą realne ryzyko i zagrożenie stwierdzone przez Agencję Unii Europejskiej ds. Bezpieczeństwa Lotniczego i Międzynarodową Federację Stowarzyszeń Pilotów Linii Lotniczych; ponadto ubolewa z powodu blokowania przez Turcję dostępu do cieśnin Bosfor i Dardanele statkom pływającym pod banderą jednego z państw członkowskich; jest zdania, że w tych obszarach Turcja może udowodnić swoje zaangażowanie w budowanie zaufania, i wzywa Turcję do współpracy poprzez pełne wdrożenie prawa lotniczego UE; ubolewa, że Turcja nadal próbuje przeszkodzić w realizacji wielkiego podmorskiego połączenia międzysystemowego – unijnego projektu będącego przedmiotem wspólnego zainteresowania – i nie ustaje w realizacji swoich planów dotyczących nielegalnego elektroenergetycznego połączenia międzysystemowego z okupowanym obszarem Cypru;</w:t>
      </w:r>
    </w:p>
    <w:p w:rsidR="004A5A41" w:rsidRPr="00280A7D" w:rsidRDefault="004A5A41" w:rsidP="004A5A41">
      <w:pPr>
        <w:pStyle w:val="NormalHanging12a"/>
      </w:pPr>
      <w:r w:rsidRPr="00280A7D">
        <w:t>3</w:t>
      </w:r>
      <w:r w:rsidR="003B5AF0">
        <w:t>8</w:t>
      </w:r>
      <w:r w:rsidRPr="00280A7D">
        <w:t>.</w:t>
      </w:r>
      <w:r w:rsidRPr="00280A7D">
        <w:tab/>
        <w:t xml:space="preserve">ubolewa, że od 20 lat Turcja odmawia wypełnienia zobowiązań podjętych wobec UE, w tym zobowiązań dotyczących Cypru, zgodnie z ramami negocjacyjnymi z października 2005 r; podkreśla, że uznanie wszystkich państw członkowskich UE jest niezbędnym elementem procesu akcesyjnego; ponownie wzywa Turcję, by wypełniła zobowiązanie do pełnego i niedyskryminacyjnego wdrożenia protokołu dodatkowego do układu z Ankary wobec wszystkich państw członkowskich, w tym Republiki Cypryjskiej; ponadto wzywa Turcję, by zadbała o pełne poszanowanie praw człowieka i praw politycznych wszystkich Cypryjczyków oraz zagwarantowała zgodność z </w:t>
      </w:r>
      <w:r w:rsidRPr="00280A7D">
        <w:lastRenderedPageBreak/>
        <w:t>podstawowymi zasadami Unii Europejskiej i dorobkiem prawnym UE;</w:t>
      </w:r>
    </w:p>
    <w:p w:rsidR="004A5A41" w:rsidRPr="00280A7D" w:rsidRDefault="004A5A41" w:rsidP="004A5A41">
      <w:pPr>
        <w:pStyle w:val="NormalHanging12a"/>
        <w:rPr>
          <w:szCs w:val="24"/>
        </w:rPr>
      </w:pPr>
      <w:r w:rsidRPr="00280A7D">
        <w:t>3</w:t>
      </w:r>
      <w:r w:rsidR="003B5AF0">
        <w:t>9</w:t>
      </w:r>
      <w:r w:rsidRPr="00280A7D">
        <w:t>.</w:t>
      </w:r>
      <w:r w:rsidRPr="00280A7D">
        <w:tab/>
        <w:t xml:space="preserve">ponownie wyraża poparcie dla wolnej, bezpiecznej i stabilnej przyszłości Syrii i jej obywateli oraz podkreśla potrzebę </w:t>
      </w:r>
      <w:proofErr w:type="spellStart"/>
      <w:r w:rsidRPr="00280A7D">
        <w:t>inkluzywnego</w:t>
      </w:r>
      <w:proofErr w:type="spellEnd"/>
      <w:r w:rsidRPr="00280A7D">
        <w:t xml:space="preserve"> i pokojowego procesu transformacji politycznej, którą przeprowadzą i z którą będą się utożsamiać sami Syryjczycy, w tym ochrony i integracji wspólnot religijnych i etnicznych; wyraża zobowiązanie do konstruktywnej współpracy w tym celu między UE a Turcją w zakresie pomocy humanitarnej, promowania trwałego rozwiązania politycznego w Syrii oraz walki z ISIS, zważywszy że Turcja ma do odegrania kluczową role w zapewnianiu stabilności w regionie; przypomina, że należy przywrócić suwerenność Syrii; uznaje znaczenie odbudowy syryjskiej gospodarki jako filaru długoterminowej stabilności i dobrobytu w regionie; wzywa Turcję do poszanowania integralności terytorialnej i suwerenności Syrii oraz do natychmiastowego zaprzestania wszelkich ataków i wtargnięć na terytorium Syrii oraz okupowania jej terytorium, z pełnym poszanowaniem prawa międzynarodowego; potępia ataki przeprowadzone w ostatnich tygodniach przez bojówki reżimowe wspierane przez Turcję przeciwko syryjskim siłom kurdyjskim na północy Syrii, wykorzystujące upadek reżimu </w:t>
      </w:r>
      <w:proofErr w:type="spellStart"/>
      <w:r w:rsidRPr="00280A7D">
        <w:t>Assada</w:t>
      </w:r>
      <w:proofErr w:type="spellEnd"/>
      <w:r w:rsidRPr="00280A7D">
        <w:t>; wyraża głębokie zaniepokojenie, ponieważ ataki te zwiększają liczbę osób wewnętrznie przesiedlonych, a także zagrażają skuteczności i ciągłości walki z ISIS; zauważa, że stała obecność turecka grozi dalszą destabilizacją i podważeniem wysiłków na rzecz trwałego rozwiązania politycznego w Syrii; zauważa ponadto, że Turcja – powołując się na względy bezpieczeństwa – nielegalnie okupuje również obszary w Iraku; przypomina, że ludność cywilna nigdy nie powinna być ofiarą samoobrony wojskowej; apeluje, aby koniecznie zbadać przypadki, w których doszło do ofiar wśród ludności cywilnej, oraz aby zaprzestać represji wobec dziennikarzy pracujących na tym obszarze; wzywa Turcję, by wsparła wdrażanie porozumienia między syryjskim rządem tymczasowym a SDF pod przywództwem Kurdów oraz by powstrzymała się od ingerencji w wewnętrzne procesy Syrii;</w:t>
      </w:r>
    </w:p>
    <w:p w:rsidR="004A5A41" w:rsidRPr="00280A7D" w:rsidRDefault="003B5AF0" w:rsidP="004A5A41">
      <w:pPr>
        <w:pStyle w:val="NormalHanging12a"/>
        <w:rPr>
          <w:szCs w:val="24"/>
        </w:rPr>
      </w:pPr>
      <w:r>
        <w:t>40</w:t>
      </w:r>
      <w:r w:rsidR="004A5A41" w:rsidRPr="00280A7D">
        <w:t>.</w:t>
      </w:r>
      <w:r w:rsidR="004A5A41" w:rsidRPr="00280A7D">
        <w:tab/>
        <w:t xml:space="preserve">popiera normalizację stosunków między Armenią a Turcją w interesie pojednania i stosunków dobrosąsiedzkich, stabilności i bezpieczeństwa w regionie oraz rozwoju społeczno-gospodarczego i z zadowoleniem przyjmuje dotychczasowe postępy; z zadowoleniem przyjmuje nieustające wysiłki na rzecz przywrócenia więzi między tymi krajami; wzywa Turcję do zapewnienia szybkiego wdrożenia porozumień osiągniętych przez specjalnych przedstawicieli rządów Turcji i Armenii, np. dotyczących otwarcia przestrzeni powietrznej i granicy między tymi dwoma krajami dla obywateli państw trzecich, a następnie dla posiadaczy paszportów dyplomatycznych; z zadowoleniem przyjmuje tymczasowe otwarcie przejścia granicznego </w:t>
      </w:r>
      <w:proofErr w:type="spellStart"/>
      <w:r w:rsidR="004A5A41" w:rsidRPr="00280A7D">
        <w:t>Margara-Alican</w:t>
      </w:r>
      <w:proofErr w:type="spellEnd"/>
      <w:r w:rsidR="004A5A41" w:rsidRPr="00280A7D">
        <w:t xml:space="preserve"> między Armenią a Turcją w celu ułatwienia dostarczania pomocy humanitarnej do Syrii; wyraża nadzieję, że wydarzenia te mogą dać impuls do normalizacji stosunków na Zakaukaziu, również pod względem bezpieczeństwa i rozwoju społeczno-gospodarczego, oraz podkreśla, że UE jest zainteresowana wspieraniem tego procesu; zachęca Turcję do odgrywania konstruktywnej roli w promowaniu stabilności w regionie poprzez ułatwienie szybkiego zakończenia procesu pokojowego między Armenią a Azerbejdżanem, między innymi przez wywieranie wpływu na Azerbejdżan i zniechęcanie tego kraju do podejmowania dalszych działań wojskowych przeciwko suwerenności Armenii; ponownie zachęca Turcję do uznania ludobójstwa Ormian, aby utorować drogę do prawdziwego pojednania między narodem tureckim i ormiańskim oraz w pełni wywiązać się z zobowiązań dotyczących ochrony ormiańskiego dziedzictwa kulturowego;</w:t>
      </w:r>
    </w:p>
    <w:p w:rsidR="004A5A41" w:rsidRPr="00280A7D" w:rsidRDefault="003B5AF0" w:rsidP="004A5A41">
      <w:pPr>
        <w:pStyle w:val="NormalHanging12a"/>
      </w:pPr>
      <w:r>
        <w:lastRenderedPageBreak/>
        <w:t>41</w:t>
      </w:r>
      <w:r w:rsidR="004A5A41" w:rsidRPr="00280A7D">
        <w:t>.</w:t>
      </w:r>
      <w:r w:rsidR="004A5A41" w:rsidRPr="00280A7D">
        <w:tab/>
        <w:t xml:space="preserve">zauważa, że stanowisko Turcji na temat rosyjskiej wojny napastniczej przeciwko Ukrainie nadal wpływa na stosunki między UE a Turcją, ponieważ Turcja usiłuje jednocześnie utrzymać więzi zarówno z Zachodem, jak i Rosją; odnotowuje podejmowane przez Turcję dyplomatyczne próby mediacji między Rosją a Ukrainą, w szczególności w odniesieniu do czarnomorskiej inicjatywy zbożowej, a także stałe poparcie Turcji dla integralności terytorialnej i suwerenności Ukrainy, w tym głosowanie za przyjęciem rezolucji Zgromadzenia Ogólnego ONZ potępiających rosyjską agresję na Ukrainę; z drugiej strony ubolewa nad gwałtownym wzrostem wymiany handlowej między Turcją a Rosją od początku wojny w Ukrainie, wskutek czego Turcja jest drugim co do wielkości partnerem handlowym Rosji mimo sankcji UE nałożonych na Rosję oraz jedynym państwem członkowskim NATO, które nie nałożyło żadnych sankcji na Rosję; zwraca ponadto uwagę, że Europejski Urząd ds. Zwalczania Nadużyć Finansowych (OLAF) wszczął postępowanie w sprawie luki, która umożliwia państwom takim jak Turcja rebranding objętej sankcjami rosyjskiej ropy naftowej i jej wywóz do UE; z zadowoleniem przyjmuje jednak pozytywne działania takie jak zablokowanie przez Turcję wywozu do Rosji niektórych produktów podwójnego zastosowania, a także produktów pochodzących ze Stanów Zjednoczonych i Zjednoczonego Królestwa, które mogłyby wspierać rosyjskie działania militarne; ponawia swój apel do rządu tureckiego o wstrzymanie planów budowy elektrowni jądrowej </w:t>
      </w:r>
      <w:proofErr w:type="spellStart"/>
      <w:r w:rsidR="004A5A41" w:rsidRPr="00280A7D">
        <w:t>Akkuyu</w:t>
      </w:r>
      <w:proofErr w:type="spellEnd"/>
      <w:r w:rsidR="004A5A41" w:rsidRPr="00280A7D">
        <w:t>, która ma zostać zbudowana i być obsługiwana przez rosyjską państwową agencję energii atomowej (</w:t>
      </w:r>
      <w:proofErr w:type="spellStart"/>
      <w:r w:rsidR="004A5A41" w:rsidRPr="00280A7D">
        <w:t>Rosatom</w:t>
      </w:r>
      <w:proofErr w:type="spellEnd"/>
      <w:r w:rsidR="004A5A41" w:rsidRPr="00280A7D">
        <w:t>) oraz ma pozostać jej własnością; wyraża zaniepokojenie toczącymi się rozmowami między Turcją a Rosją w sprawie utworzenia giełdy gazu w Stambule, która ma rozpocząć działalność w 2025 r.;</w:t>
      </w:r>
    </w:p>
    <w:p w:rsidR="004A5A41" w:rsidRPr="00280A7D" w:rsidRDefault="003B5AF0" w:rsidP="004A5A41">
      <w:pPr>
        <w:pStyle w:val="NormalHanging12a"/>
      </w:pPr>
      <w:r>
        <w:t>42</w:t>
      </w:r>
      <w:r w:rsidR="004A5A41" w:rsidRPr="00280A7D">
        <w:t>.</w:t>
      </w:r>
      <w:r w:rsidR="004A5A41" w:rsidRPr="00280A7D">
        <w:tab/>
        <w:t>z zadowoleniem przyjmuje udział Turcji w różnych misjach i operacjach zarządzania kryzysowego (w ramach wspólnej polityki bezpieczeństwa i obrony); ubolewa jednak, że Turcja w coraz mniejszym stopniu dostosowuje swoje stanowisko do wspólnej polityki zagranicznej i bezpieczeństwa, w tym w kwestii sankcji i przeciwdziałania obchodzeniu sankcji, a poziom dostosowania spadł do rekordowo niskich 5 %, co stanowi najniższy wskaźnik ze wszystkich krajów objętych procesem akcesyjnym; przypomina, że kraje kandydujące do UE są zobowiązane do stopniowego dostosowywania się do wspólnej polityki zagranicznej i bezpieczeństwa Unii Europejskiej oraz do przestrzegania prawa międzynarodowego; ubolewa, że Turcja nie poczyniła żadnych kroków w tym zakresie, w szczególności nie dostosowała się do sankcji UE wobec Rosji, oraz że w wielu obszarach będących przedmiotem wzajemnego zainteresowania polityka zagraniczna UE i Turcji jest niepokojąco rozbieżna; wzywa Turcję do przyłączenia się do sankcji UE przeciwko Rosji i do ich pełnego wdrożenia, w tym w zakresie środków przeciwdziałających ich obchodzeniu, oraz do ścisłej współpracy z wysłannikiem UE ds. sankcji;</w:t>
      </w:r>
    </w:p>
    <w:p w:rsidR="004A5A41" w:rsidRPr="00280A7D" w:rsidRDefault="004A5A41" w:rsidP="004A5A41">
      <w:pPr>
        <w:pStyle w:val="NormalHanging12a"/>
      </w:pPr>
      <w:r w:rsidRPr="00280A7D">
        <w:t>4</w:t>
      </w:r>
      <w:r w:rsidR="003B5AF0">
        <w:t>3</w:t>
      </w:r>
      <w:r w:rsidRPr="00280A7D">
        <w:t>.</w:t>
      </w:r>
      <w:r w:rsidRPr="00280A7D">
        <w:tab/>
        <w:t xml:space="preserve">podkreśla znaczenie wzmocnienia współpracy między UE a Turcją w kwestiach globalnego bezpieczeństwa, zwłaszcza w świetle zmieniającego się krajobrazu geopolitycznego i potencjalnych zmian w polityce zagranicznej USA; wyraża ostrożną nadzieję, że niedawne wyrazy nieformalnego zaangażowania, takie jak udział tureckiego ministra spraw zagranicznych w nieformalnym spotkaniu ministrów spraw zagranicznych UE w 2024 r., mogą stanowić impuls do poprawy stosunków; uznaje kluczową rolę Turcji jako sojusznika w NATO i z zadowoleniem przyjmuje decyzję parlamentu tureckiego o ratyfikowaniu przystąpienia Szwecji do NATO w styczniu 2024 r.; przypomina w związku z tym, że na Turcji ciąży główna odpowiedzialność za wspieranie stabilności zarówno na poziomie regionalnym, jak i globalnym, i że oczekuje się od niej działania zgodnego z jej zobowiązaniami w ramach NATO, </w:t>
      </w:r>
      <w:r w:rsidRPr="00280A7D">
        <w:lastRenderedPageBreak/>
        <w:t>zwłaszcza biorąc pod uwagę obecne wstrząsy geopolityczne; zachęca do konstruktywnego zaangażowania w bardziej ustrukturyzowany i częstszy dialog polityczny na temat polityki zagranicznej, bezpieczeństwa i obrony, aby dążyć do współpracy w kwestiach stanowiących zbieżne interesy, jednocześnie usuwając rozbieżności, zwłaszcza utrzymujące się przeszkody w zacieśnianiu rzeczywistych stosunków między UE a NATO, takie jak nabywanie od Rosji systemu obrony powietrznej S-400; jest nadal głęboko zaniepokojony faktem, że Turcja nadal wyklucza jedno z państw członkowskich ze współpracy z NATO;</w:t>
      </w:r>
    </w:p>
    <w:p w:rsidR="004A5A41" w:rsidRPr="00280A7D" w:rsidRDefault="004A5A41" w:rsidP="004A5A41">
      <w:pPr>
        <w:pStyle w:val="NormalHanging12a"/>
      </w:pPr>
      <w:r w:rsidRPr="00280A7D">
        <w:t>4</w:t>
      </w:r>
      <w:r w:rsidR="003B5AF0">
        <w:t>4</w:t>
      </w:r>
      <w:r w:rsidRPr="00280A7D">
        <w:t>.</w:t>
      </w:r>
      <w:r w:rsidRPr="00280A7D">
        <w:tab/>
        <w:t>z zadowoleniem przyjmuje długotrwałe stanowisko Turcji na rzecz rozwiązania dwupaństwowego dla Izraela i Palestyny, jej apele o zawieszenie broni w wojnie między Izraelem a Hamasem oraz ciągłe starania na rzecz dostarczania pomocy humanitarnej do Strefy Gazy podczas całego konfliktu; jednocześnie głęboko ubolewa z powodu aktywnego wspierania przez tureckie władze, w tym prezydenta, Hamasu – ugrupowania uznanego przez UE za organizację terrorystyczną – oraz stanowiska tureckich władz w sprawie ataku na Izrael z 7 października 2023 r., którego rząd turecki nie potępił; zwraca uwagę, że otwarte poparcie Turcji dla Hamasu i odmowa uznania go za organizację terrorystyczną jest niezgodne z polityką zagraniczną i bezpieczeństwa UE; w związku z tym wzywa do zmiany tego stanowiska;</w:t>
      </w:r>
    </w:p>
    <w:p w:rsidR="004A5A41" w:rsidRPr="00280A7D" w:rsidRDefault="004A5A41" w:rsidP="004A5A41">
      <w:pPr>
        <w:pStyle w:val="NormalHanging12a"/>
        <w:rPr>
          <w:szCs w:val="24"/>
        </w:rPr>
      </w:pPr>
      <w:r w:rsidRPr="00280A7D">
        <w:t>4</w:t>
      </w:r>
      <w:r w:rsidR="003B5AF0">
        <w:t>5</w:t>
      </w:r>
      <w:r w:rsidRPr="00280A7D">
        <w:t>.</w:t>
      </w:r>
      <w:r w:rsidRPr="00280A7D">
        <w:tab/>
        <w:t>z zaniepokojeniem zauważa, że Turcja złożyła wniosek o członkostwo w BRICS+ i zaproponowano jej status „kraju partnerskiego”, a także rozważa członkostwo w Szanghajskiej Organizacji Współpracy (SOW), w której obecnie ma status partnera w dialogu; wyraża poważne zaniepokojenie rosnącym zainteresowaniem Turcji alternatywnymi ramami partnerstwa, które są zasadniczo sprzeczne z procesem przystąpienia do UE; podkreśla, że nowy status Turcji jako kraju partnerskiego BRICS nie może wpływać na zobowiązania Turcji w NATO; zauważa, że Turcja rozwija różne formaty współpracy, partnerstwa i sojusze regionalne poza UE; jest zaniepokojony, że Turcja skłania się do stosowania tego wielowektorowego podejścia z myślą o realizacji swoich interesów, nie angażując się w pełną współpracę z którymkolwiek z tych sojuszy;</w:t>
      </w:r>
    </w:p>
    <w:p w:rsidR="004A5A41" w:rsidRPr="00280A7D" w:rsidRDefault="004A5A41" w:rsidP="004A5A41">
      <w:pPr>
        <w:pStyle w:val="NormalHanging12a"/>
        <w:rPr>
          <w:szCs w:val="24"/>
        </w:rPr>
      </w:pPr>
      <w:r w:rsidRPr="00280A7D">
        <w:t>4</w:t>
      </w:r>
      <w:r w:rsidR="003B5AF0">
        <w:t>6</w:t>
      </w:r>
      <w:r w:rsidRPr="00280A7D">
        <w:t>.</w:t>
      </w:r>
      <w:r w:rsidRPr="00280A7D">
        <w:tab/>
        <w:t>jest nadal zaniepokojony wykorzystywaniem przez rząd turecki diaspory tureckiej do sporadycznego zakłócania polityki wewnętrznej państw członkowskich UE;</w:t>
      </w:r>
    </w:p>
    <w:p w:rsidR="004A5A41" w:rsidRPr="00280A7D" w:rsidRDefault="004A5A41" w:rsidP="004A5A41">
      <w:pPr>
        <w:pStyle w:val="NormalHanging12a"/>
        <w:rPr>
          <w:b/>
          <w:bCs/>
          <w:i/>
          <w:iCs/>
        </w:rPr>
      </w:pPr>
      <w:r w:rsidRPr="00280A7D">
        <w:rPr>
          <w:b/>
          <w:i/>
        </w:rPr>
        <w:t>Reformy społeczno-gospodarcze i w zakresie zrównoważonego rozwoju</w:t>
      </w:r>
    </w:p>
    <w:p w:rsidR="004A5A41" w:rsidRPr="00280A7D" w:rsidRDefault="004A5A41" w:rsidP="004A5A41">
      <w:pPr>
        <w:pStyle w:val="NormalHanging12a"/>
      </w:pPr>
      <w:r w:rsidRPr="00280A7D">
        <w:t>4</w:t>
      </w:r>
      <w:r w:rsidR="003B5AF0">
        <w:t>7</w:t>
      </w:r>
      <w:r w:rsidRPr="00280A7D">
        <w:t>.</w:t>
      </w:r>
      <w:r w:rsidRPr="00280A7D">
        <w:tab/>
        <w:t>z zadowoleniem przyjmuje powrót Turcji do bardziej konwencjonalnej polityki gospodarczej i pieniężnej, przy jednoczesnym utrzymaniu silnego wzrostu i umiarkowanego deficytu budżetowego; ubolewa jednak, że obywatele po raz kolejny ponoszą związane z tym koszty poprzez wyższe stopy procentowe; podkreśla, że podatność na zagrożenia społeczne wzrosła, zwłaszcza wśród dzieci i osób starszych, głównie z powodu braku kompleksowej strategii ograniczania ubóstwa i nierówności dochodowych; podkreśla konieczność wdrożenia przez władze tureckie kompleksowych środków ochrony socjalnej, wzmocnienia praw do rokowań zbiorowych i zapewnienia priorytetowego traktowania kwestii zmniejszania nierówności i tworzenia możliwości godnej pracy w reformach gospodarczych;</w:t>
      </w:r>
    </w:p>
    <w:p w:rsidR="004A5A41" w:rsidRPr="00280A7D" w:rsidRDefault="004A5A41" w:rsidP="004A5A41">
      <w:pPr>
        <w:pStyle w:val="NormalHanging12a"/>
      </w:pPr>
      <w:r w:rsidRPr="00280A7D">
        <w:t>4</w:t>
      </w:r>
      <w:r w:rsidR="003B5AF0">
        <w:t>8</w:t>
      </w:r>
      <w:r w:rsidRPr="00280A7D">
        <w:t>.</w:t>
      </w:r>
      <w:r w:rsidRPr="00280A7D">
        <w:tab/>
        <w:t xml:space="preserve">ubolewa, że mimo postępów zaobserwowanych w polityce gospodarczej i pieniężnej, inne działania rządu tureckiego wpływające na praworządność nadal podważają podstawowe zasady takie jak pewność prawa, co ma negatywny wpływ na potencjalną </w:t>
      </w:r>
      <w:r w:rsidRPr="00280A7D">
        <w:lastRenderedPageBreak/>
        <w:t>zdolność Turcji do przyjmowania inwestycji; z zadowoleniem przyjmuje usunięcie Turcji z szarej listy Grupy Specjalnej ds. Przeciwdziałania Praniu Pieniędzy (FATF) w czerwcu 2024 r. w następstwie znacznych postępów w poprawie jej systemu przeciwdziałania praniu pieniędzy i finansowaniu terroryzmu;</w:t>
      </w:r>
    </w:p>
    <w:p w:rsidR="004A5A41" w:rsidRPr="00280A7D" w:rsidRDefault="004A5A41" w:rsidP="004A5A41">
      <w:pPr>
        <w:pStyle w:val="NormalHanging12a"/>
      </w:pPr>
      <w:r w:rsidRPr="00280A7D">
        <w:t>4</w:t>
      </w:r>
      <w:r w:rsidR="003B5AF0">
        <w:t>9</w:t>
      </w:r>
      <w:r w:rsidRPr="00280A7D">
        <w:t>.</w:t>
      </w:r>
      <w:r w:rsidRPr="00280A7D">
        <w:tab/>
        <w:t xml:space="preserve">z zadowoleniem przyjmuje zwiększoną działalność inwestycyjną Turcji w sektorze zielonej energii i wzywa Turcję do dalszej poprawy zgodności jej polityki energetycznej z dorobkiem prawnym UE, z wykorzystaniem jej ogromnego potencjału w dziedzinie energii odnawialnej; wyraża zaniepokojenie brakiem znaczących postępów w działaniach na rzecz klimatu, w szczególności z powodu braku kompleksowego prawa o klimacie, krajowego systemu handlu emisjami i długoterminowej strategii rozwoju niskoemisyjnego, co podważa cel neutralności klimatycznej na rok 2053; podkreśla potrzebę solidnych ram prawnych i bardziej rygorystycznych mechanizmów egzekwowania prawa w celu ochrony środowiska i zasobów naturalnych; wzywa Turcję do dostosowania polityki środowiskowej do dorobku prawnego UE, w tym do poszanowania siedlisk przyrodniczych podczas realizacji projektów wydobywczych, i podkreśla znaczenie przestrzegania przez Turcję konwencji z </w:t>
      </w:r>
      <w:proofErr w:type="spellStart"/>
      <w:r w:rsidRPr="00280A7D">
        <w:t>Aarhus</w:t>
      </w:r>
      <w:proofErr w:type="spellEnd"/>
      <w:r w:rsidRPr="00280A7D">
        <w:t xml:space="preserve">; pochwala działalność obrońców praw środowiskowych w Turcji i ostrzega przed tragicznym wpływem na środowisko szeroko zakrojonych projektów rządowych takich jak rozszerzenie działalności kopalni miedzi w masywie </w:t>
      </w:r>
      <w:proofErr w:type="spellStart"/>
      <w:r w:rsidRPr="00280A7D">
        <w:t>Kaz</w:t>
      </w:r>
      <w:proofErr w:type="spellEnd"/>
      <w:r w:rsidRPr="00280A7D">
        <w:t xml:space="preserve"> </w:t>
      </w:r>
      <w:proofErr w:type="spellStart"/>
      <w:r w:rsidRPr="00280A7D">
        <w:t>Dağı</w:t>
      </w:r>
      <w:proofErr w:type="spellEnd"/>
      <w:r w:rsidRPr="00280A7D">
        <w:t>;</w:t>
      </w:r>
    </w:p>
    <w:p w:rsidR="004A5A41" w:rsidRPr="00280A7D" w:rsidRDefault="003B5AF0" w:rsidP="004A5A41">
      <w:pPr>
        <w:pStyle w:val="NormalHanging12a"/>
      </w:pPr>
      <w:r>
        <w:t>50</w:t>
      </w:r>
      <w:r w:rsidR="004A5A41" w:rsidRPr="00280A7D">
        <w:t>.</w:t>
      </w:r>
      <w:r w:rsidR="004A5A41" w:rsidRPr="00280A7D">
        <w:tab/>
        <w:t>podkreśla, że Turcja poczyniła działania w kierunku dywersyfikacji dostaw energii i zwiększenia udziału energii odnawialnej; zauważa, że kraj ten jest siódmym co do wielkości rynkiem LNG, i podkreśla jego potencjał jako regionalnego centrum energetycznego; zauważa, że Turcja podpisała się pod celami zrównoważonego rozwoju w zakresie efektywności energetycznej i zdolności w zakresie energii ze źródeł odnawialnych do 2030 r.; wzywa Komisję do uwzględnienia potencjału Turcji jako regionalnego centrum energetycznego w inicjatywach mających na celu zwiększenie mocy zainstalowanej w odnawialnych źródłach energii w regionie Morza Śródziemnego oraz w rozwoju nowego paktu na rzecz regionu śródziemnomorskiego, a także apeluje, by współpraca energetyczna stała się elementem wspólnego programu;</w:t>
      </w:r>
    </w:p>
    <w:p w:rsidR="004A5A41" w:rsidRPr="00280A7D" w:rsidRDefault="003B5AF0" w:rsidP="004A5A41">
      <w:pPr>
        <w:pStyle w:val="NormalHanging12a"/>
        <w:rPr>
          <w:szCs w:val="24"/>
        </w:rPr>
      </w:pPr>
      <w:r>
        <w:t>51</w:t>
      </w:r>
      <w:r w:rsidR="004A5A41" w:rsidRPr="00280A7D">
        <w:t>.</w:t>
      </w:r>
      <w:r w:rsidR="004A5A41" w:rsidRPr="00280A7D">
        <w:tab/>
        <w:t xml:space="preserve">zauważa pewną poprawę warunków na rynku pracy i wskazuje na utrzymujące się krytyczne problemy, takie jak zatrudnienie nieformalne, nierówność płci i nierówności dochodowe; jest zaniepokojony niskim zakresem rokowań zbiorowych i brakiem uznania praw związków zawodowych w przypadku niektórych pracowników sektora publicznego; uważa, że potrzebne są dalsze działania w celu wzmocnienia mechanizmów dialogu społecznego i sprostania pojawiającym się wyzwaniom związanym z bezpieczeństwem pracy; przypomina, że wolność związków zawodowych i dialog społeczny mają kluczowe znaczenie dla rozwoju i dobrobytu pluralistycznego społeczeństwa; w tym kontekście ubolewa nad niedawnymi zatrzymaniami związkowców, w tym </w:t>
      </w:r>
      <w:proofErr w:type="spellStart"/>
      <w:r w:rsidR="004A5A41" w:rsidRPr="00280A7D">
        <w:t>Remziego</w:t>
      </w:r>
      <w:proofErr w:type="spellEnd"/>
      <w:r w:rsidR="004A5A41" w:rsidRPr="00280A7D">
        <w:t xml:space="preserve"> </w:t>
      </w:r>
      <w:proofErr w:type="spellStart"/>
      <w:r w:rsidR="004A5A41" w:rsidRPr="00280A7D">
        <w:t>Çalișkana</w:t>
      </w:r>
      <w:proofErr w:type="spellEnd"/>
      <w:r w:rsidR="004A5A41" w:rsidRPr="00280A7D">
        <w:t xml:space="preserve">, wiceprzewodniczącego konfederacji DISK i przewodniczącego </w:t>
      </w:r>
      <w:proofErr w:type="spellStart"/>
      <w:r w:rsidR="004A5A41" w:rsidRPr="00280A7D">
        <w:t>Genel-Iș</w:t>
      </w:r>
      <w:proofErr w:type="spellEnd"/>
      <w:r w:rsidR="004A5A41" w:rsidRPr="00280A7D">
        <w:t xml:space="preserve">, który został po miesiącu został zwolniony z więzienia, Kemala </w:t>
      </w:r>
      <w:proofErr w:type="spellStart"/>
      <w:r w:rsidR="004A5A41" w:rsidRPr="00280A7D">
        <w:t>Göksoya</w:t>
      </w:r>
      <w:proofErr w:type="spellEnd"/>
      <w:r w:rsidR="004A5A41" w:rsidRPr="00280A7D">
        <w:t xml:space="preserve">, przewodniczącego oddziału </w:t>
      </w:r>
      <w:proofErr w:type="spellStart"/>
      <w:r w:rsidR="004A5A41" w:rsidRPr="00280A7D">
        <w:t>Genel-İș</w:t>
      </w:r>
      <w:proofErr w:type="spellEnd"/>
      <w:r w:rsidR="004A5A41" w:rsidRPr="00280A7D">
        <w:t xml:space="preserve"> w Mersinie, który wciąż przebywa w więzieniu, oraz </w:t>
      </w:r>
      <w:proofErr w:type="spellStart"/>
      <w:r w:rsidR="004A5A41" w:rsidRPr="00280A7D">
        <w:t>Mehmeta</w:t>
      </w:r>
      <w:proofErr w:type="spellEnd"/>
      <w:r w:rsidR="004A5A41" w:rsidRPr="00280A7D">
        <w:t xml:space="preserve"> </w:t>
      </w:r>
      <w:proofErr w:type="spellStart"/>
      <w:r w:rsidR="004A5A41" w:rsidRPr="00280A7D">
        <w:t>Türkmena</w:t>
      </w:r>
      <w:proofErr w:type="spellEnd"/>
      <w:r w:rsidR="004A5A41" w:rsidRPr="00280A7D">
        <w:t>, przewodniczącego związku zawodowego sektora włókienniczego BİRTEK SEN, który został zatrzymany 14 lutego 2025 r.;</w:t>
      </w:r>
    </w:p>
    <w:p w:rsidR="004A5A41" w:rsidRPr="00280A7D" w:rsidRDefault="004A5A41" w:rsidP="004A5A41">
      <w:pPr>
        <w:pStyle w:val="NormalHanging12a"/>
        <w:rPr>
          <w:b/>
          <w:bCs/>
          <w:i/>
          <w:iCs/>
          <w:szCs w:val="24"/>
        </w:rPr>
      </w:pPr>
      <w:r w:rsidRPr="00280A7D">
        <w:rPr>
          <w:b/>
          <w:i/>
        </w:rPr>
        <w:t>Szersze stosunki między UE a Turcją</w:t>
      </w:r>
    </w:p>
    <w:p w:rsidR="004A5A41" w:rsidRPr="00280A7D" w:rsidRDefault="003B5AF0" w:rsidP="004A5A41">
      <w:pPr>
        <w:pStyle w:val="NormalHanging12a"/>
      </w:pPr>
      <w:r>
        <w:t>52</w:t>
      </w:r>
      <w:r w:rsidR="004A5A41" w:rsidRPr="00280A7D">
        <w:t>.</w:t>
      </w:r>
      <w:r w:rsidR="004A5A41" w:rsidRPr="00280A7D">
        <w:tab/>
        <w:t xml:space="preserve">ponownie wyraża głębokie przekonanie, że – mimo obecnie zamrożonego procesu </w:t>
      </w:r>
      <w:r w:rsidR="004A5A41" w:rsidRPr="00280A7D">
        <w:lastRenderedPageBreak/>
        <w:t xml:space="preserve">akcesyjnego – Turcja jest krajem o strategicznym znaczeniu i kluczowym partnerem, jeśli chodzi o stabilność w szerzej pojmowanym regionie, oraz odgrywa ważną rolę w podejmowaniu wyzwań w zakresie bezpieczeństwa, zarządzania migracją, zwalczania terroryzmu i bezpieczeństwa energetycznego; podkreśla znaczenie utrzymania konstruktywnego dialogu i pogłębienia współpracy w obszarach wspólnego zainteresowania strategicznego; wskazuje na szereg obszarów polityki, w których w przyszłości mogłaby się rozwijać współpraca: m.in. zieloną transformację, handel, energię, zmodernizowaną unię celną czy liberalizację reżimu wizowego; </w:t>
      </w:r>
      <w:r w:rsidR="00175495" w:rsidRPr="003B5AF0">
        <w:t xml:space="preserve">przypomina jednak, że regres demokracji i brak zgodności z </w:t>
      </w:r>
      <w:proofErr w:type="spellStart"/>
      <w:r w:rsidR="00175495" w:rsidRPr="003B5AF0">
        <w:t>WPZiB</w:t>
      </w:r>
      <w:proofErr w:type="spellEnd"/>
      <w:r w:rsidR="00175495" w:rsidRPr="003B5AF0">
        <w:t xml:space="preserve"> nie sprzyjają znaczącym postępom w tym zakresie</w:t>
      </w:r>
      <w:r w:rsidR="00175495" w:rsidRPr="00DF5FB0">
        <w:rPr>
          <w:b/>
          <w:i/>
        </w:rPr>
        <w:t>;</w:t>
      </w:r>
      <w:r w:rsidR="00175495" w:rsidRPr="00DF5FB0">
        <w:t xml:space="preserve"> </w:t>
      </w:r>
      <w:r w:rsidR="004A5A41" w:rsidRPr="00280A7D">
        <w:t>potwierdza, że UE jest zdecydowana utrzymywać jak najlepsze stosunki z Turcją w oparciu o dialog, szacunek i wzajemne zaufanie, zgodnie z prawem międzynarodowym i w oparciu o stosunki dobrosąsiedzkie;</w:t>
      </w:r>
    </w:p>
    <w:p w:rsidR="004A5A41" w:rsidRPr="00280A7D" w:rsidRDefault="004A5A41" w:rsidP="004A5A41">
      <w:pPr>
        <w:pStyle w:val="NormalHanging12a"/>
        <w:rPr>
          <w:szCs w:val="24"/>
        </w:rPr>
      </w:pPr>
      <w:r w:rsidRPr="00280A7D">
        <w:t>5</w:t>
      </w:r>
      <w:r w:rsidR="003B5AF0">
        <w:t>3</w:t>
      </w:r>
      <w:r w:rsidRPr="00280A7D">
        <w:t>.</w:t>
      </w:r>
      <w:r w:rsidRPr="00280A7D">
        <w:tab/>
        <w:t xml:space="preserve">podkreśla, że należy zachęcać do pogłębiania partnerstwa we wszystkich sektorach gospodarki, z korzyścią dla UE i wszystkich jej państw członkowskich oraz Turcji; odnotowuje w szczególności znaczenie współpracy m.in. w dziedzinie energii, innowacji, sztucznej inteligencji, zdrowia, bezpieczeństwa i zarządzania migracjami; w związku z tym </w:t>
      </w:r>
      <w:r w:rsidR="00175495" w:rsidRPr="003B5AF0">
        <w:t>zauważa, że niedawno zorganizowano</w:t>
      </w:r>
      <w:r w:rsidR="00175495">
        <w:rPr>
          <w:b/>
          <w:i/>
        </w:rPr>
        <w:t xml:space="preserve"> </w:t>
      </w:r>
      <w:r w:rsidRPr="00280A7D">
        <w:t>różne dialogi wysokiego szczebla, w tym w dziedzinie handlu, a także plany zorganizowania dialogu wysokiego szczebla w dziedzinie gospodarki, jako kroki w kierunku pragmatycznych form współpracy w obszarach leżących we wspólnym interesie; ponownie apeluje o wznowienie wszystkich istotnych dialogów wysokiego szczebla oraz o ustanowienie zorganizowanych dialogów wysokiego szczebla na temat współpracy sektorowej, aby stawić czoła wspólnym wyzwaniom i zbadać możliwości</w:t>
      </w:r>
      <w:r w:rsidR="00175495">
        <w:t>,</w:t>
      </w:r>
      <w:r w:rsidRPr="00280A7D">
        <w:t xml:space="preserve"> </w:t>
      </w:r>
      <w:r w:rsidR="00175495" w:rsidRPr="003B5AF0">
        <w:t>pod warunkiem</w:t>
      </w:r>
      <w:r w:rsidR="00175495" w:rsidRPr="00175495">
        <w:t xml:space="preserve"> że </w:t>
      </w:r>
      <w:r w:rsidR="00175495" w:rsidRPr="003B5AF0">
        <w:t>taka współpraca będzie szła</w:t>
      </w:r>
      <w:r w:rsidR="00175495" w:rsidRPr="00175495">
        <w:t xml:space="preserve"> w </w:t>
      </w:r>
      <w:r w:rsidR="00175495" w:rsidRPr="003B5AF0">
        <w:t>parze z jasnymi i spójnymi warunkami opartymi na poszanowaniu zasad demokracji, praworządności i praw podstawowych, jak podkreślono wcześniej w niniejszym sprawozdaniu</w:t>
      </w:r>
      <w:r w:rsidRPr="00280A7D">
        <w:t>;</w:t>
      </w:r>
    </w:p>
    <w:p w:rsidR="004A5A41" w:rsidRPr="00280A7D" w:rsidRDefault="004A5A41" w:rsidP="004A5A41">
      <w:pPr>
        <w:pStyle w:val="NormalHanging12a"/>
        <w:rPr>
          <w:szCs w:val="24"/>
        </w:rPr>
      </w:pPr>
      <w:r w:rsidRPr="00280A7D">
        <w:t>5</w:t>
      </w:r>
      <w:r w:rsidR="003B5AF0">
        <w:t>4</w:t>
      </w:r>
      <w:r w:rsidRPr="00280A7D">
        <w:t>.</w:t>
      </w:r>
      <w:r w:rsidRPr="00280A7D">
        <w:tab/>
        <w:t>jest gotów wyrazić poparcie dla zmodernizowanej unii celnej o szerszym, wzajemnie korzystnym zakresie, która mogłaby obejmować szeroki zakres obszarów wspólnego zainteresowania, w tym cyfryzację, dostosowanie polityki w zakresie zielonej energii do Zielonego Ładu, zamówienia publiczne, zobowiązania w zakresie zrównoważonego rozwoju oraz należytą staranność, przyczyniając się do bezpieczeństwa gospodarczego obu stron; popiera uzupełnienie tej zmodernizowanej unii celnej efektywnym i skutecznym mechanizmem rozstrzygania sporów; podkreśla, że – aby Parlament wyraził zgodę na zakończenie tego procesu – taka modernizacja musiałaby opierać się na silnej warunkowości w dziedzinie praw człowieka i podstawowych wolności, poszanowania prawa międzynarodowego i stosunków dobrosąsiedzkich, w tym na pełnym wdrożeniu przez Turcję protokołu dodatkowego w sprawie rozszerzenia układu z Ankary na wszystkie państwa członkowskie bez wyjątku w niedyskryminacyjny sposób;</w:t>
      </w:r>
    </w:p>
    <w:p w:rsidR="004A5A41" w:rsidRPr="00280A7D" w:rsidRDefault="004A5A41" w:rsidP="004A5A41">
      <w:pPr>
        <w:pStyle w:val="NormalHanging12a"/>
        <w:rPr>
          <w:szCs w:val="24"/>
        </w:rPr>
      </w:pPr>
      <w:r w:rsidRPr="00280A7D">
        <w:t>5</w:t>
      </w:r>
      <w:r w:rsidR="003B5AF0">
        <w:t>5</w:t>
      </w:r>
      <w:r w:rsidRPr="00280A7D">
        <w:t>.</w:t>
      </w:r>
      <w:r w:rsidRPr="00280A7D">
        <w:tab/>
        <w:t xml:space="preserve">z głębokim ubolewaniem zauważa, że Turcja nie poczyniła postępów w kierunku spełnienia wymaganych kryteriów liberalizacji reżimu wizowego; ponownie wyraża gotowość do rozpoczęcia procesu liberalizacji reżimu wizowego, gdy tylko władze tureckie w pełni spełnią sześć jasno określonych niespełnionych wymogów w sposób niedyskryminacyjny wobec wszystkich państw członkowskich, dostosowując się do polityki wizowej UE; ubolewa, że obywatele Turcji mają problemy z wnioskami wizowymi do państw członkowskich UE ze względu na znaczny wzrost popytu i obawy przed nadużywaniem systemu; uznaje jednak polityczne zaangażowanie w poprawę dostępu do wiz i apeluje o wzmożone starania obu stron w celu usunięcia pozostałych </w:t>
      </w:r>
      <w:r w:rsidRPr="00280A7D">
        <w:lastRenderedPageBreak/>
        <w:t>barier technicznych i administracyjnych; wzywa państwa członkowskie do zwiększenia zasobów przeznaczonych na tę kwestię; popiera środki dotyczące ułatwień wizowych, w szczególności w odniesieniu do działalności gospodarczej i studentów uczestniczących w programie Erasmus; głęboko ubolewa nad ciągłymi próbami obwiniania UE za brak postępów w tej dziedzinie przez władze tureckie, które jednocześnie nie podejmują niezbędnych działań w celu spełnienia pozostałych wymogów; przypomina Turcji, że brak wymiernych i skumulowanych postępów w zakresie niespełnionych warunków ma bezpośredni wpływ na działalność gospodarczą i studentów uczestniczących w programie Erasmus; docenia nieoceniony wkład wymian w ramach programu Erasmus+ w zapewnianie bogatych międzykulturowych możliwości edukacyjnych;</w:t>
      </w:r>
      <w:r w:rsidR="00175495">
        <w:t xml:space="preserve"> </w:t>
      </w:r>
      <w:r w:rsidR="00175495" w:rsidRPr="003B5AF0">
        <w:t xml:space="preserve">ubolewa jednak nad słabym nadzorem ze strony Komisji, czego przykładem jest partnerstwo w ramach programu Erasmus z Uniwersytetem Gaziantep (Gaziantep İslam </w:t>
      </w:r>
      <w:proofErr w:type="spellStart"/>
      <w:r w:rsidR="00175495" w:rsidRPr="003B5AF0">
        <w:t>Bilim</w:t>
      </w:r>
      <w:proofErr w:type="spellEnd"/>
      <w:r w:rsidR="00175495" w:rsidRPr="003B5AF0">
        <w:t xml:space="preserve"> </w:t>
      </w:r>
      <w:proofErr w:type="spellStart"/>
      <w:r w:rsidR="00175495" w:rsidRPr="003B5AF0">
        <w:t>ve</w:t>
      </w:r>
      <w:proofErr w:type="spellEnd"/>
      <w:r w:rsidR="00175495" w:rsidRPr="003B5AF0">
        <w:t xml:space="preserve"> </w:t>
      </w:r>
      <w:proofErr w:type="spellStart"/>
      <w:r w:rsidR="00175495" w:rsidRPr="003B5AF0">
        <w:t>Teknoloji</w:t>
      </w:r>
      <w:proofErr w:type="spellEnd"/>
      <w:r w:rsidR="00175495" w:rsidRPr="003B5AF0">
        <w:t xml:space="preserve"> </w:t>
      </w:r>
      <w:proofErr w:type="spellStart"/>
      <w:r w:rsidR="00175495" w:rsidRPr="003B5AF0">
        <w:t>Üniversitesi</w:t>
      </w:r>
      <w:proofErr w:type="spellEnd"/>
      <w:r w:rsidR="00175495" w:rsidRPr="003B5AF0">
        <w:t xml:space="preserve">), którego kierownictwo publicznie wyraziło wsparcie dla aktów terroryzmu; wzywa Komisję do zagwarantowania, by uczelnie partnerskie respektowały Kartę praw podstawowych Unii Europejskiej w drodze przeprowadzania weryfikacji ex </w:t>
      </w:r>
      <w:proofErr w:type="spellStart"/>
      <w:r w:rsidR="00175495" w:rsidRPr="003B5AF0">
        <w:t>ante</w:t>
      </w:r>
      <w:proofErr w:type="spellEnd"/>
      <w:r w:rsidR="00175495" w:rsidRPr="003B5AF0">
        <w:t xml:space="preserve"> i regularnych kontroli;</w:t>
      </w:r>
    </w:p>
    <w:p w:rsidR="004A5A41" w:rsidRPr="00280A7D" w:rsidRDefault="004A5A41" w:rsidP="004A5A41">
      <w:pPr>
        <w:pStyle w:val="NormalHanging12a"/>
        <w:rPr>
          <w:b/>
          <w:i/>
          <w:szCs w:val="24"/>
        </w:rPr>
      </w:pPr>
      <w:r w:rsidRPr="00280A7D">
        <w:rPr>
          <w:b/>
          <w:i/>
        </w:rPr>
        <w:t>Dalsze perspektywy stosunków między UE a Turcją</w:t>
      </w:r>
    </w:p>
    <w:p w:rsidR="004A5A41" w:rsidRPr="00280A7D" w:rsidRDefault="004A5A41" w:rsidP="004A5A41">
      <w:pPr>
        <w:pStyle w:val="NormalHanging12a"/>
      </w:pPr>
      <w:r w:rsidRPr="00280A7D">
        <w:t>5</w:t>
      </w:r>
      <w:r w:rsidR="003B5AF0">
        <w:t>6</w:t>
      </w:r>
      <w:r w:rsidRPr="00280A7D">
        <w:t>.</w:t>
      </w:r>
      <w:r w:rsidRPr="00280A7D">
        <w:tab/>
        <w:t>w świetle powyższego uważa, że rząd turecki nie podjął niezbędnych kroków, aby zaradzić istniejącym fundamentalnym niedociągnięciom w obszarze demokracji w kraju, i w związku z tym ponownie wyraża pogląd, że w obecnych okolicznościach nie można wznowić procesu przystąpienia Turcji do UE mimo demokratycznych i proeuropejskich aspiracji znacznej części tureckiego społeczeństwa; przypomina, że podobnie jak w przypadku wszystkich innych kandydatów proces akcesyjny zależy od pełnej zgodności z kryteriami kopenhaskimi i od normalizacji stosunków z wszystkimi państwami członkowskimi UE;</w:t>
      </w:r>
    </w:p>
    <w:p w:rsidR="004A5A41" w:rsidRPr="00280A7D" w:rsidRDefault="004A5A41" w:rsidP="004A5A41">
      <w:pPr>
        <w:pStyle w:val="NormalHanging12a"/>
        <w:rPr>
          <w:szCs w:val="24"/>
        </w:rPr>
      </w:pPr>
      <w:r w:rsidRPr="00280A7D">
        <w:t>5</w:t>
      </w:r>
      <w:r w:rsidR="003B5AF0">
        <w:t>7</w:t>
      </w:r>
      <w:r w:rsidRPr="00280A7D">
        <w:t>.</w:t>
      </w:r>
      <w:r w:rsidRPr="00280A7D">
        <w:tab/>
        <w:t>wzywa rząd turecki oraz instytucje i państwa członkowskie UE, by kontynuowały działania na rzecz bliższego, bardziej dynamicznego i strategicznego partnerstwa, wykraczając poza obecnie zamrożony proces akcesyjny, na podstawie odpowiednich konkluzji Rady i Rady Europejskiej oraz ustalonych warunków wstępnych, ze szczególnym naciskiem na działania w dziedzinie klimatu, bezpieczeństwo energetyczne, współpracę w zwalczaniu terroryzmu i stabilność regionalną; podkreśla potrzebę rozpoczęcia procesu refleksji nad tym, w jaki sposób te nowe, konstruktywne i postępowe ramy stosunków między UE a Turcją mogłyby uwzględnić interesy wszystkich zainteresowanych stron, np. dzięki modernizacji i poprawie obecnego układu o stowarzyszeniu;</w:t>
      </w:r>
      <w:r w:rsidR="00175495">
        <w:t xml:space="preserve"> </w:t>
      </w:r>
      <w:r w:rsidR="00175495" w:rsidRPr="003B5AF0">
        <w:t xml:space="preserve">podkreśla, że taki pozytywny proces musi opierać się na wymiernych postępach Turcji w zakresie dostosowania do </w:t>
      </w:r>
      <w:proofErr w:type="spellStart"/>
      <w:r w:rsidR="00175495" w:rsidRPr="003B5AF0">
        <w:t>WPZiB</w:t>
      </w:r>
      <w:proofErr w:type="spellEnd"/>
      <w:r w:rsidR="00175495" w:rsidRPr="003B5AF0">
        <w:t>, demokracji, praworządności i poszanowania podstawowych wartości, a także im towarzyszyć;</w:t>
      </w:r>
    </w:p>
    <w:p w:rsidR="004A5A41" w:rsidRPr="00280A7D" w:rsidRDefault="004A5A41" w:rsidP="004A5A41">
      <w:pPr>
        <w:pStyle w:val="NormalHanging12a"/>
      </w:pPr>
      <w:r w:rsidRPr="00280A7D">
        <w:t>5</w:t>
      </w:r>
      <w:r w:rsidR="003B5AF0">
        <w:t>8</w:t>
      </w:r>
      <w:r w:rsidRPr="00280A7D">
        <w:t>.</w:t>
      </w:r>
      <w:r w:rsidRPr="00280A7D">
        <w:tab/>
        <w:t>uważa wspólny komunikat z 29 listopada 2023 r. w sprawie stanu stosunków UE–Turcja za dobrą podstawę do poczynienia postępów w ogólnych stosunkach między UE a Turcją; ubolewa nad brakiem wyraźnego politycznego poparcia dla tego wspólnego komunikatu ze strony Rady; ponownie podkreśla, że uznanie wszystkich państw członkowskich UE jest niezbędnym elementem każdego porozumienia między UE a Turcją; podkreśla, że konstruktywne zaangażowanie Turcji, w tym w odniesieniu do problemu cypryjskiego, nadal ma kluczowe znaczenie dla zacieśnienia współpracy między UE a Turcją;</w:t>
      </w:r>
    </w:p>
    <w:p w:rsidR="004A5A41" w:rsidRPr="00280A7D" w:rsidRDefault="004A5A41" w:rsidP="004A5A41">
      <w:pPr>
        <w:pStyle w:val="NormalHanging12a"/>
      </w:pPr>
      <w:r w:rsidRPr="00280A7D">
        <w:t>5</w:t>
      </w:r>
      <w:r w:rsidR="003B5AF0">
        <w:t>9</w:t>
      </w:r>
      <w:r w:rsidRPr="00280A7D">
        <w:t>.</w:t>
      </w:r>
      <w:r w:rsidRPr="00280A7D">
        <w:tab/>
        <w:t xml:space="preserve">ostrzega jednak, że dalsze zmierzanie w stronę autorytaryzmu przez władze tureckie, </w:t>
      </w:r>
      <w:r w:rsidRPr="00280A7D">
        <w:lastRenderedPageBreak/>
        <w:t>które ostatnio ma miejsce, ostatecznie będzie miało poważny wpływ na wszystkie wymiary stosunków między UE a Turcją, w tym na współpracę handlową i w zakresie bezpieczeństwa, gdyż podważa zaufanie i osłabia wiarygodność, które są potrzebne między partnerami, a także antagonizuje obie strony na obecnej scenie geopolitycznej;</w:t>
      </w:r>
    </w:p>
    <w:p w:rsidR="004A5A41" w:rsidRPr="00280A7D" w:rsidRDefault="003B5AF0" w:rsidP="004A5A41">
      <w:pPr>
        <w:pStyle w:val="NormalHanging12a"/>
        <w:rPr>
          <w:szCs w:val="24"/>
        </w:rPr>
      </w:pPr>
      <w:r>
        <w:t>60</w:t>
      </w:r>
      <w:r w:rsidR="004A5A41" w:rsidRPr="00280A7D">
        <w:t>.</w:t>
      </w:r>
      <w:r w:rsidR="004A5A41" w:rsidRPr="00280A7D">
        <w:tab/>
        <w:t>nadal uznaje i pochwala demokratyczne i proeuropejskie aspiracje większości tureckiego społeczeństwa (szczególnie wśród młodzieży tureckiej), o których UE nie zapomni; uważa, że aspiracje te są główną przyczyną, dla której proces akcesyjny Turcji wciąż trwa; w związku z tym wzywa Komisję do utrzymania i zwiększenia wsparcia politycznego i finansowego dla dynamicznego i prodemokratycznego społeczeństwa obywatelskiego w Turcji, którego działania mogą przyczynić się do wygenerowania woli politycznej niezbędnej do zacieśnienia stosunków między UE a Turcją; podkreśla jednak, że wznowienie procesu akcesyjnego zależy od niezachwianej woli politycznej władz i społeczeństwa Turcji, by stać się pełnoprawną demokracją, czego UE nie może narzucić;</w:t>
      </w:r>
    </w:p>
    <w:p w:rsidR="004A5A41" w:rsidRPr="00280A7D" w:rsidRDefault="003B5AF0" w:rsidP="004A5A41">
      <w:pPr>
        <w:pStyle w:val="NormalHanging12a"/>
        <w:rPr>
          <w:szCs w:val="24"/>
        </w:rPr>
      </w:pPr>
      <w:r>
        <w:t>61</w:t>
      </w:r>
      <w:r w:rsidR="004A5A41" w:rsidRPr="00280A7D">
        <w:t>.</w:t>
      </w:r>
      <w:r w:rsidR="004A5A41" w:rsidRPr="00280A7D">
        <w:tab/>
        <w:t>ponawia apel o umocnienie i pogłębienie wzajemnej wiedzy oraz zrozumienia między naszymi społeczeństwami, a także o wspieranie rozwoju kultury i wymiany społeczno-kulturowej oraz zwalczanie wszelkich przejawów uprzedzeń społecznych, religijnych, etnicznych lub kulturowych; zachęca Turcję i UE do propagowania wspólnych wartości, w szczególności poprzez wspieranie młodzieży; przypomina o swoim zdecydowanym zaangażowaniu na rzecz utrzymania i zwiększenia wsparcia dla niezależnego społeczeństwa obywatelskiego w Turcji;</w:t>
      </w:r>
    </w:p>
    <w:p w:rsidR="004A5A41" w:rsidRPr="00280A7D" w:rsidRDefault="004A5A41" w:rsidP="004A5A41">
      <w:pPr>
        <w:pStyle w:val="NormalHanging12a"/>
        <w:jc w:val="center"/>
      </w:pPr>
      <w:r w:rsidRPr="00280A7D">
        <w:t>°</w:t>
      </w:r>
    </w:p>
    <w:p w:rsidR="004A5A41" w:rsidRPr="00280A7D" w:rsidRDefault="004A5A41" w:rsidP="004A5A41">
      <w:pPr>
        <w:pStyle w:val="NormalHanging12a"/>
        <w:jc w:val="center"/>
      </w:pPr>
      <w:r w:rsidRPr="00280A7D">
        <w:t>°</w:t>
      </w:r>
      <w:r w:rsidRPr="00280A7D">
        <w:tab/>
        <w:t>°</w:t>
      </w:r>
    </w:p>
    <w:p w:rsidR="00280A7D" w:rsidRPr="00280A7D" w:rsidRDefault="003B5AF0" w:rsidP="00280A7D">
      <w:pPr>
        <w:pStyle w:val="NormalHanging12a"/>
      </w:pPr>
      <w:r>
        <w:t>62</w:t>
      </w:r>
      <w:r w:rsidR="004A5A41" w:rsidRPr="00280A7D">
        <w:t>.</w:t>
      </w:r>
      <w:r w:rsidR="004A5A41" w:rsidRPr="00280A7D">
        <w:tab/>
        <w:t>zobowiązuje swoją przewodniczącą do przekazania niniejszej rezolucji przewodniczącemu Rady Europejskiej, Radzie i Komisji; zwraca się o przetłumaczenie niniejszej rezolucji na język turecki i przekazanie jej prezydentowi, rządowi i parlamentowi Republiki Turcji.</w:t>
      </w:r>
    </w:p>
    <w:p w:rsidR="00E365E1" w:rsidRPr="00280A7D" w:rsidRDefault="00E365E1" w:rsidP="00E95883"/>
    <w:sectPr w:rsidR="00E365E1" w:rsidRPr="00280A7D" w:rsidSect="00280A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5883" w:rsidRPr="00280A7D" w:rsidRDefault="00E95883">
      <w:r w:rsidRPr="00280A7D">
        <w:separator/>
      </w:r>
    </w:p>
  </w:endnote>
  <w:endnote w:type="continuationSeparator" w:id="0">
    <w:p w:rsidR="00E95883" w:rsidRPr="00280A7D" w:rsidRDefault="00E95883">
      <w:r w:rsidRPr="00280A7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0A7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0A7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0A7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5883" w:rsidRPr="00280A7D" w:rsidRDefault="00E95883">
      <w:r w:rsidRPr="00280A7D">
        <w:separator/>
      </w:r>
    </w:p>
  </w:footnote>
  <w:footnote w:type="continuationSeparator" w:id="0">
    <w:p w:rsidR="00E95883" w:rsidRPr="00280A7D" w:rsidRDefault="00E95883">
      <w:r w:rsidRPr="00280A7D">
        <w:continuationSeparator/>
      </w:r>
    </w:p>
  </w:footnote>
  <w:footnote w:id="1">
    <w:p w:rsidR="00D140A8" w:rsidRPr="003B5AF0" w:rsidRDefault="00D140A8" w:rsidP="00D140A8">
      <w:pPr>
        <w:pStyle w:val="FootnoteText"/>
        <w:rPr>
          <w:lang w:val="pl-PL"/>
        </w:rPr>
      </w:pPr>
      <w:r>
        <w:rPr>
          <w:rStyle w:val="FootnoteReference"/>
        </w:rPr>
        <w:footnoteRef/>
      </w:r>
      <w:r w:rsidRPr="003B5AF0">
        <w:rPr>
          <w:lang w:val="pl-PL"/>
        </w:rPr>
        <w:t xml:space="preserve"> Dz.U. L 134 z 7.5.2014, s. 3, ELI:</w:t>
      </w:r>
      <w:r w:rsidRPr="003B5AF0">
        <w:rPr>
          <w:rFonts w:ascii="Segoe UI" w:hAnsi="Segoe UI"/>
          <w:color w:val="333333"/>
          <w:sz w:val="21"/>
          <w:shd w:val="clear" w:color="auto" w:fill="FFFFFF"/>
          <w:lang w:val="pl-PL"/>
        </w:rPr>
        <w:t> </w:t>
      </w:r>
      <w:hyperlink r:id="rId1" w:tooltip="Dostęp do tego dokumentu za pośrednictwem jego ELI URI." w:history="1">
        <w:r w:rsidRPr="003B5AF0">
          <w:rPr>
            <w:lang w:val="pl-PL"/>
          </w:rPr>
          <w:t>http://data.europa.eu/eli/agree_internation/2014/252/oj</w:t>
        </w:r>
      </w:hyperlink>
      <w:r w:rsidRPr="003B5AF0">
        <w:rPr>
          <w:lang w:val="pl-PL"/>
        </w:rPr>
        <w:t>.</w:t>
      </w:r>
    </w:p>
  </w:footnote>
  <w:footnote w:id="2">
    <w:p w:rsidR="004A5A41" w:rsidRPr="00280A7D" w:rsidRDefault="004A5A41" w:rsidP="00280A7D">
      <w:pPr>
        <w:pStyle w:val="FootnoteText"/>
        <w:ind w:left="567" w:hanging="567"/>
        <w:rPr>
          <w:sz w:val="24"/>
          <w:lang w:val="pl-PL"/>
        </w:rPr>
      </w:pPr>
      <w:r w:rsidRPr="00280A7D">
        <w:rPr>
          <w:rStyle w:val="FootnoteReference"/>
          <w:sz w:val="24"/>
          <w:lang w:val="pl-PL"/>
        </w:rPr>
        <w:footnoteRef/>
      </w:r>
      <w:r w:rsidR="00280A7D" w:rsidRPr="00280A7D">
        <w:rPr>
          <w:sz w:val="24"/>
          <w:lang w:val="pl-PL"/>
        </w:rPr>
        <w:t xml:space="preserve"> </w:t>
      </w:r>
      <w:r w:rsidR="00280A7D" w:rsidRPr="00280A7D">
        <w:rPr>
          <w:sz w:val="24"/>
          <w:lang w:val="pl-PL"/>
        </w:rPr>
        <w:tab/>
      </w:r>
      <w:r w:rsidRPr="00280A7D">
        <w:rPr>
          <w:sz w:val="24"/>
          <w:lang w:val="pl-PL"/>
        </w:rPr>
        <w:t>Dz.U. C, C/2024/1760, 22.3.2024, ELI: </w:t>
      </w:r>
      <w:hyperlink r:id="rId2" w:history="1">
        <w:r w:rsidR="00D140A8" w:rsidRPr="00EE14B3">
          <w:rPr>
            <w:rStyle w:val="Hyperlink"/>
            <w:sz w:val="24"/>
            <w:lang w:val="pl-PL"/>
          </w:rPr>
          <w:t>http://data.europa.eu/eli/C/2024/1760/oj</w:t>
        </w:r>
      </w:hyperlink>
      <w:r w:rsidRPr="00280A7D">
        <w:rPr>
          <w:sz w:val="24"/>
          <w:lang w:val="pl-PL"/>
        </w:rPr>
        <w:t xml:space="preserve">. </w:t>
      </w:r>
    </w:p>
  </w:footnote>
  <w:footnote w:id="3">
    <w:p w:rsidR="004A5A41" w:rsidRPr="00280A7D" w:rsidRDefault="004A5A41" w:rsidP="00280A7D">
      <w:pPr>
        <w:pStyle w:val="FootnoteText"/>
        <w:ind w:left="567" w:hanging="567"/>
        <w:rPr>
          <w:sz w:val="24"/>
          <w:lang w:val="pl-PL"/>
        </w:rPr>
      </w:pPr>
      <w:r w:rsidRPr="00280A7D">
        <w:rPr>
          <w:rStyle w:val="FootnoteReference"/>
          <w:sz w:val="24"/>
          <w:lang w:val="pl-PL"/>
        </w:rPr>
        <w:footnoteRef/>
      </w:r>
      <w:r w:rsidR="00280A7D" w:rsidRPr="00280A7D">
        <w:rPr>
          <w:sz w:val="24"/>
          <w:lang w:val="pl-PL"/>
        </w:rPr>
        <w:t xml:space="preserve"> </w:t>
      </w:r>
      <w:r w:rsidR="00280A7D" w:rsidRPr="00280A7D">
        <w:rPr>
          <w:sz w:val="24"/>
          <w:lang w:val="pl-PL"/>
        </w:rPr>
        <w:tab/>
      </w:r>
      <w:r w:rsidRPr="00280A7D">
        <w:rPr>
          <w:sz w:val="24"/>
          <w:lang w:val="pl-PL"/>
        </w:rPr>
        <w:t>Dz.U. C 493 z 27.12.2022, s. 2.</w:t>
      </w:r>
    </w:p>
  </w:footnote>
  <w:footnote w:id="4">
    <w:p w:rsidR="004A5A41" w:rsidRPr="00280A7D" w:rsidRDefault="004A5A41" w:rsidP="00280A7D">
      <w:pPr>
        <w:pStyle w:val="FootnoteText"/>
        <w:ind w:left="567" w:hanging="567"/>
        <w:rPr>
          <w:sz w:val="24"/>
          <w:lang w:val="pl-PL"/>
        </w:rPr>
      </w:pPr>
      <w:r w:rsidRPr="00280A7D">
        <w:rPr>
          <w:rStyle w:val="FootnoteReference"/>
          <w:sz w:val="24"/>
          <w:lang w:val="pl-PL"/>
        </w:rPr>
        <w:footnoteRef/>
      </w:r>
      <w:r w:rsidR="00280A7D" w:rsidRPr="00280A7D">
        <w:rPr>
          <w:sz w:val="24"/>
          <w:lang w:val="pl-PL"/>
        </w:rPr>
        <w:t xml:space="preserve"> </w:t>
      </w:r>
      <w:r w:rsidR="00280A7D" w:rsidRPr="00280A7D">
        <w:rPr>
          <w:sz w:val="24"/>
          <w:lang w:val="pl-PL"/>
        </w:rPr>
        <w:tab/>
      </w:r>
      <w:r w:rsidRPr="00280A7D">
        <w:rPr>
          <w:sz w:val="24"/>
          <w:lang w:val="pl-PL"/>
        </w:rPr>
        <w:t>Dz.U. C 425 z 20.10.2021, s. 143.</w:t>
      </w:r>
    </w:p>
  </w:footnote>
  <w:footnote w:id="5">
    <w:p w:rsidR="004A5A41" w:rsidRPr="00280A7D" w:rsidRDefault="004A5A41" w:rsidP="00280A7D">
      <w:pPr>
        <w:pStyle w:val="FootnoteText"/>
        <w:ind w:left="567" w:hanging="567"/>
        <w:rPr>
          <w:sz w:val="24"/>
          <w:lang w:val="pl-PL"/>
        </w:rPr>
      </w:pPr>
      <w:r w:rsidRPr="00280A7D">
        <w:rPr>
          <w:rStyle w:val="FootnoteReference"/>
          <w:sz w:val="24"/>
          <w:lang w:val="pl-PL"/>
        </w:rPr>
        <w:footnoteRef/>
      </w:r>
      <w:r w:rsidR="00280A7D" w:rsidRPr="00280A7D">
        <w:rPr>
          <w:sz w:val="24"/>
          <w:lang w:val="pl-PL"/>
        </w:rPr>
        <w:t xml:space="preserve"> </w:t>
      </w:r>
      <w:r w:rsidR="00280A7D" w:rsidRPr="00280A7D">
        <w:rPr>
          <w:sz w:val="24"/>
          <w:lang w:val="pl-PL"/>
        </w:rPr>
        <w:tab/>
      </w:r>
      <w:r w:rsidRPr="00280A7D">
        <w:rPr>
          <w:sz w:val="24"/>
          <w:lang w:val="pl-PL"/>
        </w:rPr>
        <w:t>Dz.U. C, C/2024/6746, 26.11.2024, ELI: </w:t>
      </w:r>
      <w:hyperlink r:id="rId3" w:history="1">
        <w:r w:rsidR="00D140A8" w:rsidRPr="00EE14B3">
          <w:rPr>
            <w:rStyle w:val="Hyperlink"/>
            <w:sz w:val="24"/>
            <w:lang w:val="pl-PL"/>
          </w:rPr>
          <w:t>http://data.europa.eu/eli/C/2024/6746/oj</w:t>
        </w:r>
      </w:hyperlink>
      <w:r w:rsidRPr="00280A7D">
        <w:rPr>
          <w:i/>
          <w:color w:val="333333"/>
          <w:sz w:val="24"/>
          <w:shd w:val="clear" w:color="auto" w:fill="FFFFFF"/>
          <w:lang w:val="pl-PL"/>
        </w:rPr>
        <w:t>.</w:t>
      </w:r>
    </w:p>
  </w:footnote>
  <w:footnote w:id="6">
    <w:p w:rsidR="004A5A41" w:rsidRPr="00280A7D" w:rsidRDefault="004A5A41" w:rsidP="00280A7D">
      <w:pPr>
        <w:pStyle w:val="FootnoteText"/>
        <w:ind w:left="567" w:hanging="567"/>
        <w:rPr>
          <w:sz w:val="24"/>
          <w:lang w:val="pl-PL"/>
        </w:rPr>
      </w:pPr>
      <w:r w:rsidRPr="00280A7D">
        <w:rPr>
          <w:rStyle w:val="FootnoteReference"/>
          <w:sz w:val="24"/>
          <w:lang w:val="pl-PL"/>
        </w:rPr>
        <w:footnoteRef/>
      </w:r>
      <w:r w:rsidR="00280A7D" w:rsidRPr="00280A7D">
        <w:rPr>
          <w:sz w:val="24"/>
          <w:lang w:val="pl-PL"/>
        </w:rPr>
        <w:t xml:space="preserve"> </w:t>
      </w:r>
      <w:r w:rsidR="00280A7D" w:rsidRPr="00280A7D">
        <w:rPr>
          <w:sz w:val="24"/>
          <w:lang w:val="pl-PL"/>
        </w:rPr>
        <w:tab/>
      </w:r>
      <w:r w:rsidRPr="00280A7D">
        <w:rPr>
          <w:sz w:val="24"/>
          <w:lang w:val="pl-PL"/>
        </w:rPr>
        <w:t>Dz.U. C 328 z 6.9.2016, s. 2.</w:t>
      </w:r>
    </w:p>
  </w:footnote>
  <w:footnote w:id="7">
    <w:p w:rsidR="004A5A41" w:rsidRPr="00280A7D" w:rsidRDefault="004A5A41" w:rsidP="00280A7D">
      <w:pPr>
        <w:pStyle w:val="FootnoteText"/>
        <w:ind w:left="567" w:hanging="567"/>
        <w:rPr>
          <w:sz w:val="24"/>
          <w:lang w:val="pl-PL"/>
        </w:rPr>
      </w:pPr>
      <w:r w:rsidRPr="00280A7D">
        <w:rPr>
          <w:rStyle w:val="FootnoteReference"/>
          <w:sz w:val="24"/>
          <w:lang w:val="pl-PL"/>
        </w:rPr>
        <w:footnoteRef/>
      </w:r>
      <w:r w:rsidR="00280A7D" w:rsidRPr="00280A7D">
        <w:rPr>
          <w:sz w:val="24"/>
          <w:lang w:val="pl-PL"/>
        </w:rPr>
        <w:t xml:space="preserve"> </w:t>
      </w:r>
      <w:r w:rsidR="00280A7D" w:rsidRPr="00280A7D">
        <w:rPr>
          <w:sz w:val="24"/>
          <w:lang w:val="pl-PL"/>
        </w:rPr>
        <w:tab/>
      </w:r>
      <w:r w:rsidRPr="00280A7D">
        <w:rPr>
          <w:sz w:val="24"/>
          <w:lang w:val="pl-PL"/>
        </w:rPr>
        <w:t>Dz.U. C 465 z 6.12.2022, s. 112.</w:t>
      </w:r>
    </w:p>
  </w:footnote>
  <w:footnote w:id="8">
    <w:p w:rsidR="004A5A41" w:rsidRPr="00280A7D" w:rsidRDefault="004A5A41" w:rsidP="00280A7D">
      <w:pPr>
        <w:pStyle w:val="FootnoteText"/>
        <w:ind w:left="567" w:hanging="567"/>
        <w:rPr>
          <w:sz w:val="24"/>
          <w:lang w:val="pl-PL"/>
        </w:rPr>
      </w:pPr>
      <w:r w:rsidRPr="00280A7D">
        <w:rPr>
          <w:rStyle w:val="FootnoteReference"/>
          <w:sz w:val="24"/>
          <w:lang w:val="pl-PL"/>
        </w:rPr>
        <w:footnoteRef/>
      </w:r>
      <w:r w:rsidR="00280A7D" w:rsidRPr="00280A7D">
        <w:rPr>
          <w:sz w:val="24"/>
          <w:lang w:val="pl-PL"/>
        </w:rPr>
        <w:t xml:space="preserve"> </w:t>
      </w:r>
      <w:r w:rsidR="00280A7D" w:rsidRPr="00280A7D">
        <w:rPr>
          <w:sz w:val="24"/>
          <w:lang w:val="pl-PL"/>
        </w:rPr>
        <w:tab/>
      </w:r>
      <w:r w:rsidRPr="00280A7D">
        <w:rPr>
          <w:sz w:val="24"/>
          <w:lang w:val="pl-PL"/>
        </w:rPr>
        <w:t>Dz.U. C, C/2025/206, 14.1.2025, ELI: </w:t>
      </w:r>
      <w:hyperlink r:id="rId4" w:history="1">
        <w:r w:rsidR="00D140A8" w:rsidRPr="00EE14B3">
          <w:rPr>
            <w:rStyle w:val="Hyperlink"/>
            <w:sz w:val="24"/>
            <w:lang w:val="pl-PL"/>
          </w:rPr>
          <w:t>http://data.europa.eu/eli/C/2025/206/oj</w:t>
        </w:r>
      </w:hyperlink>
      <w:r w:rsidR="00D140A8">
        <w:rPr>
          <w:rStyle w:val="Hyperlink"/>
          <w:sz w:val="24"/>
          <w:lang w:val="pl-PL"/>
        </w:rPr>
        <w:t>.</w:t>
      </w:r>
    </w:p>
  </w:footnote>
  <w:footnote w:id="9">
    <w:p w:rsidR="004A5A41" w:rsidRPr="00280A7D" w:rsidRDefault="004A5A41" w:rsidP="00280A7D">
      <w:pPr>
        <w:pStyle w:val="FootnoteText"/>
        <w:ind w:left="567" w:hanging="567"/>
        <w:rPr>
          <w:sz w:val="24"/>
          <w:lang w:val="pl-PL"/>
        </w:rPr>
      </w:pPr>
      <w:r w:rsidRPr="00280A7D">
        <w:rPr>
          <w:rStyle w:val="FootnoteReference"/>
          <w:sz w:val="24"/>
          <w:lang w:val="pl-PL"/>
        </w:rPr>
        <w:footnoteRef/>
      </w:r>
      <w:r w:rsidR="00280A7D" w:rsidRPr="00280A7D">
        <w:rPr>
          <w:sz w:val="24"/>
          <w:lang w:val="pl-PL"/>
        </w:rPr>
        <w:t xml:space="preserve"> </w:t>
      </w:r>
      <w:r w:rsidR="00280A7D" w:rsidRPr="00280A7D">
        <w:rPr>
          <w:sz w:val="24"/>
          <w:lang w:val="pl-PL"/>
        </w:rPr>
        <w:tab/>
      </w:r>
      <w:r w:rsidRPr="00280A7D">
        <w:rPr>
          <w:sz w:val="24"/>
          <w:lang w:val="pl-PL"/>
        </w:rPr>
        <w:t>Teksty przyjęte, P10_TA(2025)0016.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0A7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0A7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0A7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67/2025"/>
    <w:docVar w:name="dvlangue" w:val="PL"/>
    <w:docVar w:name="dvnumam" w:val="0"/>
    <w:docVar w:name="dvpe" w:val="767.988"/>
    <w:docVar w:name="dvrapporteur" w:val="Sprawozdawca: "/>
    <w:docVar w:name="dvstar" w:val="??"/>
    <w:docVar w:name="dvtitre" w:val="Rezolucja Parlamentu Europejskiego z dnia  2025 r. w sprawie sprawozdań Komisji dotyczących Turcji za lata 2023 i 2024(2025/2023(INI))"/>
  </w:docVars>
  <w:rsids>
    <w:rsidRoot w:val="00E95883"/>
    <w:rsid w:val="00002272"/>
    <w:rsid w:val="00064002"/>
    <w:rsid w:val="000677B9"/>
    <w:rsid w:val="000831BA"/>
    <w:rsid w:val="000A42CC"/>
    <w:rsid w:val="000E7DD9"/>
    <w:rsid w:val="0010095E"/>
    <w:rsid w:val="00125B37"/>
    <w:rsid w:val="00175495"/>
    <w:rsid w:val="00187494"/>
    <w:rsid w:val="001F32AE"/>
    <w:rsid w:val="002767FF"/>
    <w:rsid w:val="00280A7D"/>
    <w:rsid w:val="002B18FE"/>
    <w:rsid w:val="002B5493"/>
    <w:rsid w:val="00343214"/>
    <w:rsid w:val="00361C00"/>
    <w:rsid w:val="00395FA1"/>
    <w:rsid w:val="003B5AF0"/>
    <w:rsid w:val="003E15D4"/>
    <w:rsid w:val="00411CCE"/>
    <w:rsid w:val="0041666E"/>
    <w:rsid w:val="00421060"/>
    <w:rsid w:val="00471C19"/>
    <w:rsid w:val="004867E3"/>
    <w:rsid w:val="00494A28"/>
    <w:rsid w:val="004A5A41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40A8"/>
    <w:rsid w:val="00D56C11"/>
    <w:rsid w:val="00D834A0"/>
    <w:rsid w:val="00D872DF"/>
    <w:rsid w:val="00D91E21"/>
    <w:rsid w:val="00DA7FCD"/>
    <w:rsid w:val="00E365E1"/>
    <w:rsid w:val="00E42260"/>
    <w:rsid w:val="00E820A4"/>
    <w:rsid w:val="00E95883"/>
    <w:rsid w:val="00EB006A"/>
    <w:rsid w:val="00EB4772"/>
    <w:rsid w:val="00ED169E"/>
    <w:rsid w:val="00ED4235"/>
    <w:rsid w:val="00F04346"/>
    <w:rsid w:val="00F075DC"/>
    <w:rsid w:val="00F149E9"/>
    <w:rsid w:val="00F5134D"/>
    <w:rsid w:val="00F64F49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26F39F"/>
  <w15:chartTrackingRefBased/>
  <w15:docId w15:val="{84A3E3EF-074D-444E-92A2-AB54BD7E2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A5A41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4A5A41"/>
    <w:rPr>
      <w:sz w:val="24"/>
      <w:lang w:val="pl-PL"/>
    </w:rPr>
  </w:style>
  <w:style w:type="paragraph" w:styleId="BalloonText">
    <w:name w:val="Balloon Text"/>
    <w:basedOn w:val="Normal"/>
    <w:link w:val="BalloonTextChar"/>
    <w:rsid w:val="00E4226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42260"/>
    <w:rPr>
      <w:rFonts w:ascii="Segoe UI" w:hAnsi="Segoe UI" w:cs="Segoe UI"/>
      <w:sz w:val="18"/>
      <w:szCs w:val="18"/>
      <w:lang w:val="pl-PL"/>
    </w:rPr>
  </w:style>
  <w:style w:type="paragraph" w:customStyle="1" w:styleId="EPComma">
    <w:name w:val="EPComma"/>
    <w:basedOn w:val="Normal"/>
    <w:rsid w:val="00D140A8"/>
    <w:pPr>
      <w:spacing w:before="480" w:after="240"/>
    </w:pPr>
    <w:rPr>
      <w:snapToGrid w:val="0"/>
      <w:lang w:eastAsia="en-US"/>
    </w:rPr>
  </w:style>
  <w:style w:type="character" w:customStyle="1" w:styleId="Italic">
    <w:name w:val="Italic"/>
    <w:uiPriority w:val="1"/>
    <w:rsid w:val="00D140A8"/>
    <w:rPr>
      <w:i/>
    </w:rPr>
  </w:style>
  <w:style w:type="character" w:styleId="Hyperlink">
    <w:name w:val="Hyperlink"/>
    <w:basedOn w:val="DefaultParagraphFont"/>
    <w:uiPriority w:val="99"/>
    <w:unhideWhenUsed/>
    <w:rsid w:val="00D140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6746/oj" TargetMode="External"/><Relationship Id="rId2" Type="http://schemas.openxmlformats.org/officeDocument/2006/relationships/hyperlink" Target="http://data.europa.eu/eli/C/2024/1760/oj" TargetMode="External"/><Relationship Id="rId1" Type="http://schemas.openxmlformats.org/officeDocument/2006/relationships/hyperlink" Target="http://data.europa.eu/eli/agree_internation/2014/252/oj" TargetMode="External"/><Relationship Id="rId4" Type="http://schemas.openxmlformats.org/officeDocument/2006/relationships/hyperlink" Target="http://data.europa.eu/eli/C/2025/20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142E15-1664-48C9-9908-72B8A3333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24</Pages>
  <Words>10496</Words>
  <Characters>69391</Characters>
  <Application>Microsoft Office Word</Application>
  <DocSecurity>0</DocSecurity>
  <Lines>1416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79428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2025-05-07T16:39:00Z</dcterms:created>
  <dcterms:modified xsi:type="dcterms:W3CDTF">2025-05-07T16:39:00Z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A10-0067/2025</vt:lpwstr>
  </property>
  <property fmtid="{D5CDD505-2E9C-101B-9397-08002B2CF9AE}" pid="4" name="&lt;Type&gt;">
    <vt:lpwstr>RR</vt:lpwstr>
  </property>
</Properties>
</file>