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3F9" w14:paraId="1C9D9892" w14:textId="77777777" w:rsidTr="0010095E">
        <w:trPr>
          <w:trHeight w:hRule="exact" w:val="1418"/>
        </w:trPr>
        <w:tc>
          <w:tcPr>
            <w:tcW w:w="6804" w:type="dxa"/>
            <w:shd w:val="clear" w:color="auto" w:fill="auto"/>
            <w:vAlign w:val="center"/>
          </w:tcPr>
          <w:p w14:paraId="64BCCC2A" w14:textId="77777777" w:rsidR="00751A4A" w:rsidRPr="008363F9" w:rsidRDefault="003F6E96" w:rsidP="0010095E">
            <w:pPr>
              <w:pStyle w:val="EPName"/>
            </w:pPr>
            <w:bookmarkStart w:id="0" w:name="_GoBack"/>
            <w:bookmarkEnd w:id="0"/>
            <w:r w:rsidRPr="008363F9">
              <w:t>Europa-Parlamentet</w:t>
            </w:r>
          </w:p>
          <w:p w14:paraId="39F164B0" w14:textId="77777777" w:rsidR="00751A4A" w:rsidRPr="008363F9" w:rsidRDefault="005F1B17" w:rsidP="005F1B17">
            <w:pPr>
              <w:pStyle w:val="EPTerm"/>
              <w:rPr>
                <w:rStyle w:val="HideTWBExt"/>
                <w:noProof w:val="0"/>
                <w:vanish w:val="0"/>
                <w:color w:val="auto"/>
              </w:rPr>
            </w:pPr>
            <w:r w:rsidRPr="008363F9">
              <w:t>2024</w:t>
            </w:r>
            <w:r w:rsidR="00817416" w:rsidRPr="008363F9">
              <w:t>-202</w:t>
            </w:r>
            <w:r w:rsidRPr="008363F9">
              <w:t>9</w:t>
            </w:r>
          </w:p>
        </w:tc>
        <w:tc>
          <w:tcPr>
            <w:tcW w:w="2268" w:type="dxa"/>
            <w:shd w:val="clear" w:color="auto" w:fill="auto"/>
          </w:tcPr>
          <w:p w14:paraId="7CB09052" w14:textId="77777777" w:rsidR="00751A4A" w:rsidRPr="008363F9" w:rsidRDefault="00187494" w:rsidP="0010095E">
            <w:pPr>
              <w:pStyle w:val="EPLogo"/>
            </w:pPr>
            <w:r w:rsidRPr="008363F9">
              <w:rPr>
                <w:noProof/>
                <w:lang w:eastAsia="da-DK"/>
              </w:rPr>
              <w:drawing>
                <wp:inline distT="0" distB="0" distL="0" distR="0" wp14:anchorId="30192286" wp14:editId="4F4E4E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2D967" w14:textId="77777777" w:rsidR="00D058B8" w:rsidRPr="008363F9" w:rsidRDefault="00D058B8" w:rsidP="004C5D52">
      <w:pPr>
        <w:pStyle w:val="LineTop"/>
      </w:pPr>
    </w:p>
    <w:p w14:paraId="538B1F61" w14:textId="77777777" w:rsidR="00680577" w:rsidRPr="008363F9" w:rsidRDefault="003F6E96" w:rsidP="00680577">
      <w:pPr>
        <w:pStyle w:val="EPBodyTA1"/>
      </w:pPr>
      <w:r w:rsidRPr="008363F9">
        <w:t>VEDTAGNE TEKSTER</w:t>
      </w:r>
    </w:p>
    <w:p w14:paraId="1B3FB9B6" w14:textId="77777777" w:rsidR="00D058B8" w:rsidRPr="008363F9" w:rsidRDefault="00D058B8" w:rsidP="00D058B8">
      <w:pPr>
        <w:pStyle w:val="LineBottom"/>
      </w:pPr>
    </w:p>
    <w:p w14:paraId="76C43D0D" w14:textId="77777777" w:rsidR="003F6E96" w:rsidRPr="008363F9" w:rsidRDefault="003F6E96" w:rsidP="003F6E96">
      <w:pPr>
        <w:pStyle w:val="ATHeading1"/>
      </w:pPr>
      <w:bookmarkStart w:id="1" w:name="TANumber"/>
      <w:r w:rsidRPr="008363F9">
        <w:t>P10_TA(2025)00</w:t>
      </w:r>
      <w:bookmarkEnd w:id="1"/>
      <w:r w:rsidR="008B20A5">
        <w:t>93</w:t>
      </w:r>
    </w:p>
    <w:p w14:paraId="616715EE" w14:textId="77777777" w:rsidR="003F6E96" w:rsidRPr="008363F9" w:rsidRDefault="000A655E" w:rsidP="003F6E96">
      <w:pPr>
        <w:pStyle w:val="ATHeading2"/>
      </w:pPr>
      <w:bookmarkStart w:id="2" w:name="title"/>
      <w:r w:rsidRPr="000A655E">
        <w:t>Rapporter om Serbien for 2023 og 2024</w:t>
      </w:r>
      <w:bookmarkEnd w:id="2"/>
    </w:p>
    <w:p w14:paraId="4AC12F31" w14:textId="77777777" w:rsidR="003F6E96" w:rsidRPr="008363F9" w:rsidRDefault="003F6E96" w:rsidP="003F6E96">
      <w:pPr>
        <w:rPr>
          <w:i/>
          <w:vanish/>
        </w:rPr>
      </w:pPr>
      <w:r w:rsidRPr="008363F9">
        <w:rPr>
          <w:i/>
        </w:rPr>
        <w:fldChar w:fldCharType="begin"/>
      </w:r>
      <w:r w:rsidRPr="008363F9">
        <w:rPr>
          <w:i/>
        </w:rPr>
        <w:instrText xml:space="preserve"> TC"(</w:instrText>
      </w:r>
      <w:bookmarkStart w:id="3" w:name="DocNumber"/>
      <w:r w:rsidRPr="008363F9">
        <w:rPr>
          <w:i/>
        </w:rPr>
        <w:instrText>A10-0072/2025</w:instrText>
      </w:r>
      <w:bookmarkEnd w:id="3"/>
      <w:r w:rsidRPr="008363F9">
        <w:rPr>
          <w:i/>
        </w:rPr>
        <w:instrText xml:space="preserve"> - Ordfører: Tonino Picula)"\l3 \n&gt; \* MERGEFORMAT </w:instrText>
      </w:r>
      <w:r w:rsidRPr="008363F9">
        <w:rPr>
          <w:i/>
        </w:rPr>
        <w:fldChar w:fldCharType="end"/>
      </w:r>
    </w:p>
    <w:p w14:paraId="703C3B92" w14:textId="77777777" w:rsidR="003F6E96" w:rsidRPr="008363F9" w:rsidRDefault="003F6E96" w:rsidP="003F6E96">
      <w:pPr>
        <w:rPr>
          <w:vanish/>
        </w:rPr>
      </w:pPr>
      <w:bookmarkStart w:id="4" w:name="Commission"/>
      <w:r w:rsidRPr="008363F9">
        <w:rPr>
          <w:vanish/>
        </w:rPr>
        <w:t>Udenrigsudvalget</w:t>
      </w:r>
      <w:bookmarkEnd w:id="4"/>
    </w:p>
    <w:p w14:paraId="51C648E6" w14:textId="77777777" w:rsidR="003F6E96" w:rsidRPr="008363F9" w:rsidRDefault="003F6E96" w:rsidP="003F6E96">
      <w:pPr>
        <w:rPr>
          <w:vanish/>
        </w:rPr>
      </w:pPr>
      <w:bookmarkStart w:id="5" w:name="PE"/>
      <w:r w:rsidRPr="008363F9">
        <w:rPr>
          <w:vanish/>
        </w:rPr>
        <w:t>PE767.969</w:t>
      </w:r>
      <w:bookmarkEnd w:id="5"/>
    </w:p>
    <w:p w14:paraId="3EE778F2" w14:textId="77777777" w:rsidR="003F6E96" w:rsidRPr="008363F9" w:rsidRDefault="003F6E96" w:rsidP="003F6E96">
      <w:pPr>
        <w:pStyle w:val="ATHeading3"/>
      </w:pPr>
      <w:bookmarkStart w:id="6" w:name="Sujet"/>
      <w:r w:rsidRPr="008363F9">
        <w:t xml:space="preserve">Europa-Parlamentets beslutning af </w:t>
      </w:r>
      <w:r w:rsidR="003B5BA6">
        <w:t>7</w:t>
      </w:r>
      <w:r w:rsidRPr="008363F9">
        <w:t>.</w:t>
      </w:r>
      <w:r w:rsidR="00737811">
        <w:t xml:space="preserve"> maj</w:t>
      </w:r>
      <w:r w:rsidRPr="008363F9">
        <w:t xml:space="preserve"> 2025 om Kommissionens rapporter 2023 og 2024 om Serbien</w:t>
      </w:r>
      <w:bookmarkEnd w:id="6"/>
      <w:r w:rsidRPr="008363F9">
        <w:t xml:space="preserve"> </w:t>
      </w:r>
      <w:bookmarkStart w:id="7" w:name="References"/>
      <w:r w:rsidRPr="008363F9">
        <w:t>(2025/2022(INI))</w:t>
      </w:r>
      <w:bookmarkEnd w:id="7"/>
    </w:p>
    <w:p w14:paraId="5117AA23" w14:textId="77777777" w:rsidR="004758EA" w:rsidRPr="008363F9" w:rsidRDefault="004758EA" w:rsidP="004758EA">
      <w:pPr>
        <w:pStyle w:val="EPComma"/>
      </w:pPr>
      <w:r w:rsidRPr="008363F9">
        <w:rPr>
          <w:i/>
        </w:rPr>
        <w:t>Europa-Parlamentet</w:t>
      </w:r>
      <w:r w:rsidRPr="008363F9">
        <w:t>,</w:t>
      </w:r>
    </w:p>
    <w:p w14:paraId="13E6F2D5" w14:textId="528C28E6" w:rsidR="004758EA" w:rsidRPr="008363F9" w:rsidRDefault="004758EA" w:rsidP="004758EA">
      <w:pPr>
        <w:pStyle w:val="NormalHanging12a"/>
        <w:rPr>
          <w:szCs w:val="24"/>
        </w:rPr>
      </w:pPr>
      <w:r w:rsidRPr="008363F9">
        <w:rPr>
          <w:szCs w:val="24"/>
        </w:rPr>
        <w:t>–</w:t>
      </w:r>
      <w:r w:rsidRPr="008363F9">
        <w:rPr>
          <w:szCs w:val="24"/>
        </w:rPr>
        <w:tab/>
      </w:r>
      <w:r w:rsidRPr="008363F9">
        <w:rPr>
          <w:snapToGrid w:val="0"/>
          <w:szCs w:val="24"/>
        </w:rPr>
        <w:t>der henviser til den stabiliserings- og associeringsaftale mellem De Europæiske Fællesskaber og deres medlemsstater på den ene side og Serbien på den anden side</w:t>
      </w:r>
      <w:r w:rsidRPr="008363F9">
        <w:rPr>
          <w:snapToGrid w:val="0"/>
          <w:szCs w:val="24"/>
          <w:vertAlign w:val="superscript"/>
        </w:rPr>
        <w:footnoteReference w:id="1"/>
      </w:r>
      <w:r w:rsidRPr="008363F9">
        <w:rPr>
          <w:snapToGrid w:val="0"/>
          <w:szCs w:val="24"/>
        </w:rPr>
        <w:t>, som trådte i kraft den 1. september 2013,</w:t>
      </w:r>
    </w:p>
    <w:p w14:paraId="1DFEA15C"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Serbiens ansøgning af 19. december 2009 om medlemskab af EU,</w:t>
      </w:r>
    </w:p>
    <w:p w14:paraId="4C8100F1"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Kommissionens udtalelse af 12. oktober 2011 om Serbiens ansøgning om medlemsskab af Den Europæiske Union (COM(2011)0668), Det Europæiske Råds afgørelse af 1. marts 2012 om at give Serbien status som kandidatland og Det Europæiske Råds afgørelse af 28. juni 2013 om at indlede forhandlinger med Serbien om tiltrædelse af EU,</w:t>
      </w:r>
    </w:p>
    <w:p w14:paraId="0C0DF213"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Bruxellesaftalen af 27. februar 2023 og Ohridaftalen af 18. marts 2023 og gennemførelsesbilaget hertil,</w:t>
      </w:r>
    </w:p>
    <w:p w14:paraId="0E0C722F"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Europa-Parlamentets og Rådets forordning (EU) 2021/1529 af 15. september 2021 om oprettelse af et instrument til førtiltrædelsesbistand (IPA III)</w:t>
      </w:r>
      <w:r w:rsidRPr="008363F9">
        <w:rPr>
          <w:snapToGrid w:val="0"/>
          <w:szCs w:val="24"/>
          <w:vertAlign w:val="superscript"/>
        </w:rPr>
        <w:footnoteReference w:id="2"/>
      </w:r>
      <w:r w:rsidRPr="008363F9">
        <w:rPr>
          <w:snapToGrid w:val="0"/>
          <w:szCs w:val="24"/>
        </w:rPr>
        <w:t>,</w:t>
      </w:r>
    </w:p>
    <w:p w14:paraId="0E854028"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Europa-Parlamentets og Rådets forordning (EU) 2024/1449 af 14. maj 2024 om oprettelse af reform- og vækstfaciliteten for Vestbalkan</w:t>
      </w:r>
      <w:r w:rsidRPr="008363F9">
        <w:rPr>
          <w:snapToGrid w:val="0"/>
          <w:szCs w:val="24"/>
          <w:vertAlign w:val="superscript"/>
        </w:rPr>
        <w:footnoteReference w:id="3"/>
      </w:r>
      <w:r w:rsidRPr="008363F9">
        <w:rPr>
          <w:snapToGrid w:val="0"/>
          <w:szCs w:val="24"/>
        </w:rPr>
        <w:t>,</w:t>
      </w:r>
    </w:p>
    <w:p w14:paraId="28FAF229"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formandskabets konklusioner fra Det Europæiske Råds møde i Thessaloniki den 19. og 20. juni 2003,</w:t>
      </w:r>
    </w:p>
    <w:p w14:paraId="3E28C824" w14:textId="77777777" w:rsidR="004758EA" w:rsidRPr="008363F9" w:rsidRDefault="004758EA" w:rsidP="004758EA">
      <w:pPr>
        <w:pStyle w:val="NormalHanging12a"/>
        <w:rPr>
          <w:szCs w:val="24"/>
        </w:rPr>
      </w:pPr>
      <w:r w:rsidRPr="008363F9">
        <w:rPr>
          <w:snapToGrid w:val="0"/>
          <w:szCs w:val="24"/>
        </w:rPr>
        <w:t>–</w:t>
      </w:r>
      <w:r w:rsidRPr="008363F9">
        <w:rPr>
          <w:b/>
          <w:i/>
          <w:szCs w:val="24"/>
        </w:rPr>
        <w:tab/>
      </w:r>
      <w:r w:rsidRPr="008363F9">
        <w:rPr>
          <w:szCs w:val="24"/>
        </w:rPr>
        <w:t xml:space="preserve">der henviser til erklæringerne fra topmøderne mellem EU og landene på Vestbalkan den </w:t>
      </w:r>
      <w:r w:rsidRPr="008363F9">
        <w:rPr>
          <w:szCs w:val="24"/>
        </w:rPr>
        <w:lastRenderedPageBreak/>
        <w:t>17. maj 2018 i Sofia og den 6. maj 2020 i Zagreb,</w:t>
      </w:r>
    </w:p>
    <w:p w14:paraId="3D92DE3A" w14:textId="77777777" w:rsidR="004758EA" w:rsidRPr="008363F9" w:rsidRDefault="004758EA" w:rsidP="004758EA">
      <w:pPr>
        <w:pStyle w:val="NormalHanging12a"/>
        <w:rPr>
          <w:bCs/>
          <w:iCs/>
          <w:snapToGrid w:val="0"/>
          <w:szCs w:val="24"/>
        </w:rPr>
      </w:pPr>
      <w:r w:rsidRPr="008363F9">
        <w:rPr>
          <w:snapToGrid w:val="0"/>
          <w:szCs w:val="24"/>
        </w:rPr>
        <w:t>–</w:t>
      </w:r>
      <w:r w:rsidRPr="008363F9">
        <w:rPr>
          <w:b/>
          <w:i/>
          <w:snapToGrid w:val="0"/>
          <w:szCs w:val="24"/>
        </w:rPr>
        <w:tab/>
      </w:r>
      <w:r w:rsidRPr="008363F9">
        <w:rPr>
          <w:snapToGrid w:val="0"/>
          <w:szCs w:val="24"/>
        </w:rPr>
        <w:t>der henviser til sine beslutninger om udenlandsk indblanding i alle de demokratiske processer i Den Europæiske Union, herunder desinformation,</w:t>
      </w:r>
    </w:p>
    <w:p w14:paraId="4664260B"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Berlinprocessen, som blev igangsat den 28. august 2014,</w:t>
      </w:r>
    </w:p>
    <w:p w14:paraId="0B145F12"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den første aftale af 19. april 2013 om principperne for en normalisering af forbindelserne mellem regeringerne i Serbien og Kosovo, til aftalerne af 25. august 2015 og til den igangværende EU-støttede dialog med henblik på en normalisering af forbindelserne,</w:t>
      </w:r>
    </w:p>
    <w:p w14:paraId="278FFEAC"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aftalen af 27. august 2022 mellem regeringerne i Serbien og Kosovo om fri bevægelighed og til aftalen af 23. november 2022 om nummerplader samt til køreplanen af 21. juni 2022 for gennemførelse af energiaftalerne som led i den EU-støttede dialog,</w:t>
      </w:r>
    </w:p>
    <w:p w14:paraId="5A29CAC0"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Kommissionens meddelelse af 5. februar 2020 med titlen "Styrkelse af tiltrædelsesprocessen – Et troværdigt EU-perspektiv for landene på Vestbalkan" (COM(2020)0057),</w:t>
      </w:r>
    </w:p>
    <w:p w14:paraId="1053FF6B"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Kommissionens meddelelse af 6. oktober 2020 med titlen "En økonomisk plan og investeringsplan for Vestbalkan" (COM(2020)0641),</w:t>
      </w:r>
    </w:p>
    <w:p w14:paraId="017A7348"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Kommissionens meddelelse af 8. november 2023 med titlen "Meddelelse om EU's udvidelsespolitik 2023" (COM(2023)0690), som blev ledsaget af et arbejdsdokument fra Kommissionens tjenestegrene med titlen "Serbia 2023 Report" (SWD(2023)0695),</w:t>
      </w:r>
    </w:p>
    <w:p w14:paraId="51A5489A"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Kommissionens meddelelse af 8. november 2023 med titlen "Ny vækstplan for landene på Vestbalkan" (COM(2023)0691),</w:t>
      </w:r>
    </w:p>
    <w:p w14:paraId="4CDF25AB"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Kommissionens meddelelse af 20. marts 2024 om førudvidelsesreformer og gennemgang af politikker (COM(2024)0146),</w:t>
      </w:r>
    </w:p>
    <w:p w14:paraId="27B501BD"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Kommissionens meddelelse af 30. oktober 2024 med titlen "Meddelelse om EU's udvidelsespolitik 2024" (COM(2024)0690), som blev ledsaget af et arbejdsdokument fra Kommissionens tjenestegrene med titlen "Serbia 2024 Report" (SWD(2024)0695),</w:t>
      </w:r>
    </w:p>
    <w:p w14:paraId="661089B9"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Det Europæiske Råds konklusioner af 9. februar 2023 om den EU-støttede dialog mellem Beograd og Pristina,</w:t>
      </w:r>
    </w:p>
    <w:p w14:paraId="238064C9" w14:textId="77777777" w:rsidR="004758EA" w:rsidRPr="008363F9" w:rsidRDefault="004758EA" w:rsidP="004758EA">
      <w:pPr>
        <w:pStyle w:val="NormalHanging12a"/>
        <w:rPr>
          <w:bCs/>
          <w:iCs/>
          <w:szCs w:val="24"/>
        </w:rPr>
      </w:pPr>
      <w:r w:rsidRPr="008363F9">
        <w:rPr>
          <w:b/>
          <w:i/>
          <w:szCs w:val="24"/>
        </w:rPr>
        <w:t>–</w:t>
      </w:r>
      <w:r w:rsidRPr="008363F9">
        <w:rPr>
          <w:b/>
          <w:i/>
          <w:szCs w:val="24"/>
        </w:rPr>
        <w:tab/>
      </w:r>
      <w:r w:rsidRPr="008363F9">
        <w:rPr>
          <w:szCs w:val="24"/>
        </w:rPr>
        <w:t>der henviser til den serbiske forfatnings artikel 14 om beskyttelse af nationale mindretal,</w:t>
      </w:r>
    </w:p>
    <w:p w14:paraId="0FA7400D" w14:textId="77777777" w:rsidR="004758EA" w:rsidRPr="008363F9" w:rsidRDefault="004758EA" w:rsidP="004758EA">
      <w:pPr>
        <w:pStyle w:val="NormalHanging12a"/>
        <w:rPr>
          <w:szCs w:val="24"/>
        </w:rPr>
      </w:pPr>
      <w:r w:rsidRPr="008363F9">
        <w:rPr>
          <w:b/>
          <w:i/>
          <w:szCs w:val="24"/>
        </w:rPr>
        <w:t>–</w:t>
      </w:r>
      <w:r w:rsidRPr="008363F9">
        <w:rPr>
          <w:b/>
          <w:i/>
          <w:szCs w:val="24"/>
        </w:rPr>
        <w:tab/>
      </w:r>
      <w:r w:rsidRPr="008363F9">
        <w:rPr>
          <w:szCs w:val="24"/>
        </w:rPr>
        <w:t>der henviser til Europarådets rammekonvention om beskyttelse af nationale mindretal, som Serbien ratificerede i 2001, og Europarådets europæiske pagt om regionale sprog eller mindretalssprog, som Serbien ratificerede i 2006,</w:t>
      </w:r>
    </w:p>
    <w:p w14:paraId="1E50DBB6"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Det Europæiske Råds konklusioner af 26. og 27. oktober 2023 om Kosovo og Serbien,</w:t>
      </w:r>
    </w:p>
    <w:p w14:paraId="1F09964F" w14:textId="62F290FC" w:rsidR="004758EA" w:rsidRDefault="004758EA" w:rsidP="004758EA">
      <w:pPr>
        <w:pStyle w:val="NormalHanging12a"/>
        <w:rPr>
          <w:snapToGrid w:val="0"/>
          <w:szCs w:val="24"/>
        </w:rPr>
      </w:pPr>
      <w:r w:rsidRPr="008363F9">
        <w:rPr>
          <w:snapToGrid w:val="0"/>
          <w:szCs w:val="24"/>
        </w:rPr>
        <w:t>–</w:t>
      </w:r>
      <w:r w:rsidRPr="008363F9">
        <w:rPr>
          <w:snapToGrid w:val="0"/>
          <w:szCs w:val="24"/>
        </w:rPr>
        <w:tab/>
        <w:t>der henviser til Rådets konklusioner af 17. december 2024 om udvidelse,</w:t>
      </w:r>
    </w:p>
    <w:p w14:paraId="0EB0FCF9" w14:textId="5F71A7FB" w:rsidR="00FA7C61" w:rsidRPr="008363F9" w:rsidRDefault="00B056D7" w:rsidP="004758EA">
      <w:pPr>
        <w:pStyle w:val="NormalHanging12a"/>
        <w:rPr>
          <w:snapToGrid w:val="0"/>
          <w:szCs w:val="24"/>
        </w:rPr>
      </w:pPr>
      <w:r w:rsidRPr="008363F9">
        <w:rPr>
          <w:snapToGrid w:val="0"/>
          <w:szCs w:val="24"/>
        </w:rPr>
        <w:t>–</w:t>
      </w:r>
      <w:r w:rsidRPr="008363F9">
        <w:rPr>
          <w:snapToGrid w:val="0"/>
          <w:szCs w:val="24"/>
        </w:rPr>
        <w:tab/>
      </w:r>
      <w:r w:rsidRPr="00B056D7">
        <w:rPr>
          <w:snapToGrid w:val="0"/>
          <w:szCs w:val="24"/>
        </w:rPr>
        <w:t>der henviser til Den Europæiske Menneskerettighedsdomstols kendelse af 29. april 2025 til Serbien om at afstå fra at anvende soniske anordninger til styring af større menneskemængder,</w:t>
      </w:r>
    </w:p>
    <w:p w14:paraId="4DD80939"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den endelige rapport, som blev offentliggjort den 19. august 2022, fra valgobservationsmissionen under Organisationen for Sikkerhed og Samarbejde i Europa/Kontoret for Demokratiske Institutioner og Menneskerettigheder (OSCE/ODIHR) om det tidlige parlaments- og præsidentvalg den 3. april 2022 i Serbien,</w:t>
      </w:r>
    </w:p>
    <w:p w14:paraId="73E6B635" w14:textId="77777777" w:rsidR="004758EA" w:rsidRPr="008363F9" w:rsidRDefault="004758EA" w:rsidP="004758EA">
      <w:pPr>
        <w:pStyle w:val="NormalHanging12a"/>
        <w:rPr>
          <w:bCs/>
          <w:iCs/>
          <w:snapToGrid w:val="0"/>
          <w:szCs w:val="24"/>
        </w:rPr>
      </w:pPr>
      <w:r w:rsidRPr="008363F9">
        <w:rPr>
          <w:snapToGrid w:val="0"/>
          <w:szCs w:val="24"/>
        </w:rPr>
        <w:t>–</w:t>
      </w:r>
      <w:r w:rsidRPr="008363F9">
        <w:rPr>
          <w:snapToGrid w:val="0"/>
          <w:szCs w:val="24"/>
        </w:rPr>
        <w:tab/>
        <w:t>der henviser til Det Europæiske Råds konklusioner fra december 2006, til Rådets konklusioner fra marts 2020 og til rådsformandskabets konklusioner fra Det Europæiske Råd i København den 21. og 22. juni 1993, også kendt som Københavnskriterierne,</w:t>
      </w:r>
    </w:p>
    <w:p w14:paraId="74E8FBAC"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den endelige rapport, som blev offentliggjort den 28. februar 2024, fra valgobservationsmissionen under OSCE/ODIHR om det tidlige parlamentsvalg den 17. december 2023 i Serbien,</w:t>
      </w:r>
    </w:p>
    <w:p w14:paraId="290BEF65"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det aftalememorandum mellem Den Europæiske Union og Republikken Serbien vedrørende et strategisk partnerskab om bæredygtige råstoffer, batteriværdikæder og elektriske køretøjer, som blev undertegnet den 19. juli 2024,</w:t>
      </w:r>
    </w:p>
    <w:p w14:paraId="49EBBD8C"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sin beslutning af 29. februar 2024 om uddybning af EU-integrationen med henblik på fremtidige udvidelser</w:t>
      </w:r>
      <w:r w:rsidRPr="008363F9">
        <w:rPr>
          <w:snapToGrid w:val="0"/>
          <w:szCs w:val="24"/>
          <w:vertAlign w:val="superscript"/>
        </w:rPr>
        <w:footnoteReference w:id="4"/>
      </w:r>
      <w:r w:rsidRPr="008363F9">
        <w:rPr>
          <w:snapToGrid w:val="0"/>
          <w:szCs w:val="24"/>
        </w:rPr>
        <w:t>,</w:t>
      </w:r>
    </w:p>
    <w:p w14:paraId="73D3851D" w14:textId="77777777" w:rsidR="004758EA" w:rsidRPr="008363F9" w:rsidRDefault="004758EA" w:rsidP="004758EA">
      <w:pPr>
        <w:pStyle w:val="NormalHanging12a"/>
        <w:rPr>
          <w:snapToGrid w:val="0"/>
          <w:szCs w:val="24"/>
        </w:rPr>
      </w:pPr>
      <w:r w:rsidRPr="008363F9">
        <w:rPr>
          <w:szCs w:val="24"/>
        </w:rPr>
        <w:t>–</w:t>
      </w:r>
      <w:r w:rsidRPr="008363F9">
        <w:rPr>
          <w:snapToGrid w:val="0"/>
          <w:szCs w:val="24"/>
        </w:rPr>
        <w:tab/>
        <w:t>der henviser til sine tidligere beslutninger om Serbien, navnlig beslutning af 19. oktober 2023 om den seneste udvikling i dialogen mellem Serbien og Kosovo, herunder situationen i de nordlige kommuner i Kosovo</w:t>
      </w:r>
      <w:r w:rsidRPr="008363F9">
        <w:rPr>
          <w:rStyle w:val="FootnoteReference"/>
          <w:snapToGrid w:val="0"/>
          <w:szCs w:val="24"/>
        </w:rPr>
        <w:footnoteReference w:id="5"/>
      </w:r>
      <w:r w:rsidRPr="008363F9">
        <w:rPr>
          <w:snapToGrid w:val="0"/>
          <w:szCs w:val="24"/>
        </w:rPr>
        <w:t>, og beslutning af 8. februar 2024 om situationen i Serbien efter valget</w:t>
      </w:r>
      <w:r w:rsidRPr="008363F9">
        <w:rPr>
          <w:rStyle w:val="FootnoteReference"/>
          <w:snapToGrid w:val="0"/>
          <w:szCs w:val="24"/>
        </w:rPr>
        <w:footnoteReference w:id="6"/>
      </w:r>
      <w:r w:rsidRPr="008363F9">
        <w:rPr>
          <w:snapToGrid w:val="0"/>
          <w:szCs w:val="24"/>
        </w:rPr>
        <w:t>,</w:t>
      </w:r>
    </w:p>
    <w:p w14:paraId="14A6A0E6"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forretningsordenens artikel 55,</w:t>
      </w:r>
    </w:p>
    <w:p w14:paraId="577758AB" w14:textId="77777777" w:rsidR="004758EA" w:rsidRPr="008363F9" w:rsidRDefault="004758EA" w:rsidP="004758EA">
      <w:pPr>
        <w:pStyle w:val="NormalHanging12a"/>
        <w:rPr>
          <w:snapToGrid w:val="0"/>
          <w:szCs w:val="24"/>
        </w:rPr>
      </w:pPr>
      <w:r w:rsidRPr="008363F9">
        <w:rPr>
          <w:snapToGrid w:val="0"/>
          <w:szCs w:val="24"/>
        </w:rPr>
        <w:t>–</w:t>
      </w:r>
      <w:r w:rsidRPr="008363F9">
        <w:rPr>
          <w:snapToGrid w:val="0"/>
          <w:szCs w:val="24"/>
        </w:rPr>
        <w:tab/>
        <w:t>der henviser til betænkning fra Udenrigsudvalget (A10-0072/2025),</w:t>
      </w:r>
    </w:p>
    <w:p w14:paraId="18916C0B" w14:textId="77777777" w:rsidR="004758EA" w:rsidRPr="008363F9" w:rsidRDefault="004758EA" w:rsidP="004758EA">
      <w:pPr>
        <w:pStyle w:val="NormalHanging12a"/>
        <w:rPr>
          <w:snapToGrid w:val="0"/>
          <w:szCs w:val="24"/>
        </w:rPr>
      </w:pPr>
      <w:r w:rsidRPr="008363F9">
        <w:rPr>
          <w:snapToGrid w:val="0"/>
          <w:szCs w:val="24"/>
        </w:rPr>
        <w:t>A.</w:t>
      </w:r>
      <w:r w:rsidRPr="008363F9">
        <w:rPr>
          <w:snapToGrid w:val="0"/>
          <w:szCs w:val="24"/>
        </w:rPr>
        <w:tab/>
        <w:t>der henviser til, at udvidelse er et af EU's mest vellykkede udenrigspolitiske instrumenter og en strategisk geopolitisk investering i langsigtet fred, stabilitet og sikkerhed på hele kontinentet;</w:t>
      </w:r>
    </w:p>
    <w:p w14:paraId="1DEAA642" w14:textId="77777777" w:rsidR="004758EA" w:rsidRPr="008363F9" w:rsidRDefault="004758EA" w:rsidP="004758EA">
      <w:pPr>
        <w:pStyle w:val="NormalHanging12a"/>
        <w:rPr>
          <w:szCs w:val="24"/>
        </w:rPr>
      </w:pPr>
      <w:r w:rsidRPr="008363F9">
        <w:rPr>
          <w:snapToGrid w:val="0"/>
          <w:szCs w:val="24"/>
        </w:rPr>
        <w:t>B.</w:t>
      </w:r>
      <w:r w:rsidRPr="008363F9">
        <w:rPr>
          <w:snapToGrid w:val="0"/>
          <w:szCs w:val="24"/>
        </w:rPr>
        <w:tab/>
      </w:r>
      <w:r w:rsidRPr="008363F9">
        <w:rPr>
          <w:szCs w:val="24"/>
        </w:rPr>
        <w:t>der henviser til, at kandidatlande i henhold til Københavnskriterierne skal tilslutte sig EU's værdier for at kunne blive medlem af Unionen;</w:t>
      </w:r>
    </w:p>
    <w:p w14:paraId="4DF8F7A9" w14:textId="77777777" w:rsidR="004758EA" w:rsidRPr="008363F9" w:rsidRDefault="004758EA" w:rsidP="004758EA">
      <w:pPr>
        <w:pStyle w:val="NormalHanging12a"/>
        <w:rPr>
          <w:snapToGrid w:val="0"/>
          <w:szCs w:val="24"/>
        </w:rPr>
      </w:pPr>
      <w:r w:rsidRPr="008363F9">
        <w:rPr>
          <w:snapToGrid w:val="0"/>
          <w:szCs w:val="24"/>
        </w:rPr>
        <w:t>C.</w:t>
      </w:r>
      <w:r w:rsidRPr="008363F9">
        <w:rPr>
          <w:snapToGrid w:val="0"/>
          <w:szCs w:val="24"/>
        </w:rPr>
        <w:tab/>
        <w:t>der henviser til, at demokrati og retsstatsprincippet er de grundlæggende værdier, som EU bygger på;</w:t>
      </w:r>
    </w:p>
    <w:p w14:paraId="6341E562" w14:textId="77777777" w:rsidR="004758EA" w:rsidRPr="008363F9" w:rsidRDefault="004758EA" w:rsidP="004758EA">
      <w:pPr>
        <w:pStyle w:val="NormalHanging12a"/>
        <w:rPr>
          <w:b/>
          <w:snapToGrid w:val="0"/>
          <w:szCs w:val="24"/>
        </w:rPr>
      </w:pPr>
      <w:r w:rsidRPr="008363F9">
        <w:rPr>
          <w:snapToGrid w:val="0"/>
          <w:szCs w:val="24"/>
        </w:rPr>
        <w:t>D.</w:t>
      </w:r>
      <w:r w:rsidRPr="008363F9">
        <w:rPr>
          <w:snapToGrid w:val="0"/>
          <w:szCs w:val="24"/>
        </w:rPr>
        <w:tab/>
      </w:r>
      <w:r w:rsidRPr="008363F9">
        <w:rPr>
          <w:szCs w:val="24"/>
        </w:rPr>
        <w:t>der henviser til, at politiske rettigheder og borgerlige frihedsrettigheder i de senere år er blevet støt udhulet, hvilket har sat uafhængige medier, den politiske opposition og civilsamfundsorganisationer under pres;</w:t>
      </w:r>
    </w:p>
    <w:p w14:paraId="7209DC61" w14:textId="77777777" w:rsidR="004758EA" w:rsidRPr="008363F9" w:rsidRDefault="004758EA" w:rsidP="004758EA">
      <w:pPr>
        <w:pStyle w:val="NormalHanging12a"/>
        <w:rPr>
          <w:bCs/>
          <w:iCs/>
          <w:snapToGrid w:val="0"/>
          <w:szCs w:val="24"/>
        </w:rPr>
      </w:pPr>
      <w:r w:rsidRPr="008363F9">
        <w:rPr>
          <w:snapToGrid w:val="0"/>
          <w:szCs w:val="24"/>
        </w:rPr>
        <w:t>E.</w:t>
      </w:r>
      <w:r w:rsidRPr="008363F9">
        <w:rPr>
          <w:snapToGrid w:val="0"/>
          <w:szCs w:val="24"/>
        </w:rPr>
        <w:tab/>
        <w:t>der henviser til, at den fjerde udtalelse om Serbien fra det rådgivende udvalg under Europarådets rammekonvention om nationale mindretal, som blev vedtaget den 26. juni 2019, kritiserede Serbiens forsinkelser med at gennemføre mindretallenes uddannelsesrettigheder fuldt ud;</w:t>
      </w:r>
    </w:p>
    <w:p w14:paraId="7F587822" w14:textId="77777777" w:rsidR="004758EA" w:rsidRPr="008363F9" w:rsidRDefault="004758EA" w:rsidP="004758EA">
      <w:pPr>
        <w:pStyle w:val="NormalHanging12a"/>
        <w:rPr>
          <w:bCs/>
          <w:iCs/>
          <w:snapToGrid w:val="0"/>
          <w:szCs w:val="24"/>
        </w:rPr>
      </w:pPr>
      <w:r w:rsidRPr="008363F9">
        <w:rPr>
          <w:snapToGrid w:val="0"/>
          <w:szCs w:val="24"/>
        </w:rPr>
        <w:t>F.</w:t>
      </w:r>
      <w:r w:rsidRPr="008363F9">
        <w:rPr>
          <w:snapToGrid w:val="0"/>
          <w:szCs w:val="24"/>
        </w:rPr>
        <w:tab/>
        <w:t>der henviser til, at religionsfrihed er en europæisk kerneværdi og en grundlæggende menneskerettighed, og at Serbien derfor er forpligtet til at respektere og garantere denne frihed for alle personer, der er bosiddende på landets territorium, i overensstemmelse med landets internationale forpligtelser og menneskerettighedsforpligtelser;</w:t>
      </w:r>
    </w:p>
    <w:p w14:paraId="0005BD25" w14:textId="77777777" w:rsidR="004758EA" w:rsidRPr="008363F9" w:rsidRDefault="004758EA" w:rsidP="004758EA">
      <w:pPr>
        <w:pStyle w:val="NormalHanging12a"/>
        <w:rPr>
          <w:bCs/>
          <w:iCs/>
          <w:snapToGrid w:val="0"/>
          <w:szCs w:val="24"/>
        </w:rPr>
      </w:pPr>
      <w:r w:rsidRPr="008363F9">
        <w:rPr>
          <w:snapToGrid w:val="0"/>
          <w:szCs w:val="24"/>
        </w:rPr>
        <w:t>G.</w:t>
      </w:r>
      <w:r w:rsidRPr="008363F9">
        <w:rPr>
          <w:snapToGrid w:val="0"/>
          <w:szCs w:val="24"/>
        </w:rPr>
        <w:tab/>
        <w:t>der henviser til, at Serbien i overensstemmelse med kapitel 23 i EU-retten skal påvise reelle forbedringer i den effektive udøvelse af rettighederne for personer, der tilhører nationale mindretal;</w:t>
      </w:r>
    </w:p>
    <w:p w14:paraId="7735F39A" w14:textId="77777777" w:rsidR="004758EA" w:rsidRPr="008363F9" w:rsidRDefault="004758EA" w:rsidP="004758EA">
      <w:pPr>
        <w:pStyle w:val="NormalHanging12a"/>
        <w:rPr>
          <w:snapToGrid w:val="0"/>
          <w:szCs w:val="24"/>
        </w:rPr>
      </w:pPr>
      <w:r w:rsidRPr="008363F9">
        <w:rPr>
          <w:snapToGrid w:val="0"/>
          <w:szCs w:val="24"/>
        </w:rPr>
        <w:t>H.</w:t>
      </w:r>
      <w:r w:rsidRPr="008363F9">
        <w:rPr>
          <w:snapToGrid w:val="0"/>
          <w:szCs w:val="24"/>
        </w:rPr>
        <w:tab/>
        <w:t>der henviser til, at hvert enkelt kandidatland bedømmes på grundlag af dets egne resultater, herunder dets respekt for og urokkelige engagement i fælles europæiske rettigheder og værdier og tilpasning til EU's udenrigs- og sikkerhedspolitik;</w:t>
      </w:r>
    </w:p>
    <w:p w14:paraId="6BCF5FDE" w14:textId="77777777" w:rsidR="004758EA" w:rsidRPr="008363F9" w:rsidRDefault="004758EA" w:rsidP="004758EA">
      <w:pPr>
        <w:pStyle w:val="NormalHanging12a"/>
        <w:rPr>
          <w:snapToGrid w:val="0"/>
          <w:szCs w:val="24"/>
        </w:rPr>
      </w:pPr>
      <w:r w:rsidRPr="008363F9">
        <w:rPr>
          <w:snapToGrid w:val="0"/>
          <w:szCs w:val="24"/>
        </w:rPr>
        <w:t>I.</w:t>
      </w:r>
      <w:r w:rsidRPr="008363F9">
        <w:rPr>
          <w:snapToGrid w:val="0"/>
          <w:szCs w:val="24"/>
        </w:rPr>
        <w:tab/>
        <w:t>der henviser til, at Serbien ikke har indført sanktioner mod Rusland efter den russiske aggression i Ukraine; der henviser til, at graden af Serbiens tilpasning til den fælles udenrigs- og sikkerhedspolitik (FUSP) har været støt faldende siden 2021; der henviser til, at Serbien støtter Ukraines territoriale integritet og politiske uafhængighed og klart har fordømt Den Russiske Føderations aggression mod Ukraine og stemt sammen med EU i FN, selv om landet ikke har indført sanktioner mod Rusland; der henviser til, at graden af Serbiens tilpasning til FUSP faldt fra 54 % i 2023 til 51 % i 2024, mens andre kandidatlande i regionen – Albanien, Bosnien-Hercegovina, Montenegro og Nordmakedonien – opnåede en tilpasningsgrad på 100 %;</w:t>
      </w:r>
    </w:p>
    <w:p w14:paraId="0D9DB845" w14:textId="77777777" w:rsidR="004758EA" w:rsidRPr="008363F9" w:rsidRDefault="004758EA" w:rsidP="004758EA">
      <w:pPr>
        <w:pStyle w:val="NormalHanging12a"/>
        <w:rPr>
          <w:bCs/>
          <w:iCs/>
          <w:snapToGrid w:val="0"/>
          <w:szCs w:val="24"/>
        </w:rPr>
      </w:pPr>
      <w:r w:rsidRPr="008363F9">
        <w:rPr>
          <w:snapToGrid w:val="0"/>
          <w:szCs w:val="24"/>
        </w:rPr>
        <w:t>J.</w:t>
      </w:r>
      <w:r w:rsidRPr="008363F9">
        <w:rPr>
          <w:snapToGrid w:val="0"/>
          <w:szCs w:val="24"/>
        </w:rPr>
        <w:tab/>
        <w:t>der henviser til, at Serbien stadig er en vigtig kampplads for udenlandske desinformationskampagner, navnlig iværksat af Rusland og Kina, der forsøger at skabe en antivestlig retorik; der henviser til, at den endelige rapport fra OSCE/ODHIR om det tidlige parlamentsvalg, der blev afholdt den 17. december 2023, påpegede adskillige proceduremæssige mangler samt brugen af hård retorik og tilstedeværelsen af konsekvent partiskhed i medierne, som gav en ulige fordel til regeringspartiet; der henviser til, at de problemer, der er konstateret i denne rapport, bør vurderes grundigt og omgående; der henviser til, at Serbien som led i tiltrædelsesforhandlingerne vedtog strategien for bekæmpelse af cyberkriminalitet 2019-2023 og de relevante handlingsplaner i september 2018; der henviser til, at strategien og de relevante handlingsplaner ikke blev fornyet efter december 2023; der henviser til, at Serbien ikke tilpassede sig EU's restriktive foranstaltninger som reaktion på cyberangreb i 2023 og 2024;</w:t>
      </w:r>
    </w:p>
    <w:p w14:paraId="76B2E2D7" w14:textId="77777777" w:rsidR="004758EA" w:rsidRPr="008363F9" w:rsidRDefault="004758EA" w:rsidP="004758EA">
      <w:pPr>
        <w:pStyle w:val="NormalHanging12a"/>
        <w:rPr>
          <w:bCs/>
          <w:iCs/>
          <w:snapToGrid w:val="0"/>
          <w:szCs w:val="24"/>
        </w:rPr>
      </w:pPr>
      <w:r w:rsidRPr="008363F9">
        <w:rPr>
          <w:snapToGrid w:val="0"/>
          <w:szCs w:val="24"/>
        </w:rPr>
        <w:t>K.</w:t>
      </w:r>
      <w:r w:rsidRPr="008363F9">
        <w:rPr>
          <w:snapToGrid w:val="0"/>
          <w:szCs w:val="24"/>
        </w:rPr>
        <w:tab/>
        <w:t>der henviser til, at en normalisering af forbindelserne mellem Kosovo og Serbien er en forudsætning for, at begge lande kan gøre fremskridt i retning af EU-medlemskab;</w:t>
      </w:r>
    </w:p>
    <w:p w14:paraId="47B53FA7" w14:textId="77777777" w:rsidR="004758EA" w:rsidRPr="008363F9" w:rsidRDefault="004758EA" w:rsidP="004758EA">
      <w:pPr>
        <w:pStyle w:val="NormalHanging12a"/>
        <w:rPr>
          <w:bCs/>
          <w:iCs/>
          <w:snapToGrid w:val="0"/>
          <w:szCs w:val="24"/>
        </w:rPr>
      </w:pPr>
      <w:r w:rsidRPr="008363F9">
        <w:rPr>
          <w:snapToGrid w:val="0"/>
          <w:szCs w:val="24"/>
        </w:rPr>
        <w:t>L.</w:t>
      </w:r>
      <w:r w:rsidRPr="008363F9">
        <w:rPr>
          <w:snapToGrid w:val="0"/>
          <w:szCs w:val="24"/>
        </w:rPr>
        <w:tab/>
        <w:t>der henviser til, at tiltrædelse af EU nødvendigvis kræver fuldstændig tilpasning til Unionens udenrigspolitiske mål;</w:t>
      </w:r>
    </w:p>
    <w:p w14:paraId="0F57B2BA" w14:textId="77777777" w:rsidR="004758EA" w:rsidRPr="008363F9" w:rsidRDefault="004758EA" w:rsidP="004758EA">
      <w:pPr>
        <w:pStyle w:val="NormalHanging12a"/>
        <w:rPr>
          <w:b/>
          <w:szCs w:val="24"/>
        </w:rPr>
      </w:pPr>
      <w:r w:rsidRPr="008363F9">
        <w:rPr>
          <w:snapToGrid w:val="0"/>
          <w:szCs w:val="24"/>
        </w:rPr>
        <w:t>M.</w:t>
      </w:r>
      <w:r w:rsidRPr="008363F9">
        <w:rPr>
          <w:snapToGrid w:val="0"/>
          <w:szCs w:val="24"/>
        </w:rPr>
        <w:tab/>
        <w:t>der henviser til, at Serbien anerkender Ukraines territoriale integritet, inklusive Krimhalvøen og Donbasregionen;</w:t>
      </w:r>
    </w:p>
    <w:p w14:paraId="327040DE" w14:textId="77777777" w:rsidR="004758EA" w:rsidRPr="008363F9" w:rsidRDefault="004758EA" w:rsidP="004758EA">
      <w:pPr>
        <w:pStyle w:val="NormalHanging12a"/>
        <w:rPr>
          <w:szCs w:val="24"/>
        </w:rPr>
      </w:pPr>
      <w:r w:rsidRPr="008363F9">
        <w:rPr>
          <w:snapToGrid w:val="0"/>
          <w:szCs w:val="24"/>
        </w:rPr>
        <w:t>N.</w:t>
      </w:r>
      <w:r w:rsidRPr="008363F9">
        <w:rPr>
          <w:snapToGrid w:val="0"/>
          <w:szCs w:val="24"/>
        </w:rPr>
        <w:tab/>
        <w:t>der henviser til, at EU er Serbiens vigtigste handelspartner og tegner sig for 59,7 % af Serbiens samlede handel;</w:t>
      </w:r>
    </w:p>
    <w:p w14:paraId="17756070" w14:textId="77777777" w:rsidR="004758EA" w:rsidRPr="008363F9" w:rsidRDefault="004758EA" w:rsidP="004758EA">
      <w:pPr>
        <w:pStyle w:val="NormalHanging12a"/>
        <w:rPr>
          <w:bCs/>
          <w:iCs/>
          <w:snapToGrid w:val="0"/>
          <w:szCs w:val="24"/>
        </w:rPr>
      </w:pPr>
      <w:r w:rsidRPr="008363F9">
        <w:rPr>
          <w:snapToGrid w:val="0"/>
          <w:szCs w:val="24"/>
        </w:rPr>
        <w:t>O.</w:t>
      </w:r>
      <w:r w:rsidRPr="008363F9">
        <w:rPr>
          <w:snapToGrid w:val="0"/>
          <w:szCs w:val="24"/>
        </w:rPr>
        <w:tab/>
        <w:t>der henviser til, at Rusland udnytter sin indflydelse i Serbien til at forsøge at destabilisere, blande sig i og true suveræne nabostater og undergrave Serbiens fremtid i EU; der henviser til, at russiske propagandakanaler som RT (tidligere Russia Today) og Sputnik opererer frit i Serbien og udøver betydelig indflydelse ved at udvikle EU-fjendtlige og antidemokratiske narrativer; der henviser til, at desinformation ofte udspringer af en falsk eller vildledende udtalelse fra en politisk skikkelse, som derefter rapporteres af statsejede medier og efterfølgende forstærkes på sociale medier, ofte med det formål at underminere politiske modstandere og demokratiske principper;</w:t>
      </w:r>
    </w:p>
    <w:p w14:paraId="0D016FB9" w14:textId="77777777" w:rsidR="004758EA" w:rsidRPr="008363F9" w:rsidRDefault="004758EA" w:rsidP="004758EA">
      <w:pPr>
        <w:pStyle w:val="NormalHanging12a"/>
        <w:rPr>
          <w:bCs/>
          <w:iCs/>
          <w:snapToGrid w:val="0"/>
          <w:szCs w:val="24"/>
        </w:rPr>
      </w:pPr>
      <w:r w:rsidRPr="008363F9">
        <w:rPr>
          <w:snapToGrid w:val="0"/>
          <w:szCs w:val="24"/>
        </w:rPr>
        <w:t>P.</w:t>
      </w:r>
      <w:r w:rsidRPr="008363F9">
        <w:rPr>
          <w:snapToGrid w:val="0"/>
          <w:szCs w:val="24"/>
        </w:rPr>
        <w:tab/>
        <w:t>der henviser til, at der den 8. juni 2024 blev afholdt en "panserbisk forsamling" i Beograd med deltagelse af politiske ledere fra Serbien, Bosnien-Hercegovina, Montenegro og Kosovo under sloganet "ét folk, én forsamling";</w:t>
      </w:r>
    </w:p>
    <w:p w14:paraId="0B27C72E" w14:textId="77777777" w:rsidR="004758EA" w:rsidRPr="008363F9" w:rsidRDefault="004758EA" w:rsidP="004758EA">
      <w:pPr>
        <w:pStyle w:val="NormalHanging12a"/>
        <w:rPr>
          <w:b/>
          <w:i/>
          <w:szCs w:val="24"/>
        </w:rPr>
      </w:pPr>
      <w:r w:rsidRPr="008363F9">
        <w:rPr>
          <w:b/>
          <w:i/>
          <w:szCs w:val="24"/>
        </w:rPr>
        <w:t>Engagement i EU-medlemskab</w:t>
      </w:r>
    </w:p>
    <w:p w14:paraId="1010E151" w14:textId="77777777" w:rsidR="004758EA" w:rsidRPr="008363F9" w:rsidRDefault="004758EA" w:rsidP="004758EA">
      <w:pPr>
        <w:pStyle w:val="NormalHanging12a"/>
        <w:rPr>
          <w:rFonts w:eastAsia="Calibri"/>
          <w:color w:val="000000" w:themeColor="text1"/>
          <w:szCs w:val="24"/>
        </w:rPr>
      </w:pPr>
      <w:r w:rsidRPr="008363F9">
        <w:rPr>
          <w:color w:val="000000" w:themeColor="text1"/>
          <w:szCs w:val="24"/>
        </w:rPr>
        <w:t>1.</w:t>
      </w:r>
      <w:r w:rsidRPr="008363F9">
        <w:rPr>
          <w:color w:val="000000" w:themeColor="text1"/>
          <w:szCs w:val="24"/>
        </w:rPr>
        <w:tab/>
      </w:r>
      <w:r w:rsidRPr="008363F9">
        <w:rPr>
          <w:szCs w:val="24"/>
        </w:rPr>
        <w:t>noterer sig Serbiens erklærede engagement i EU-medlemskab som dets strategiske mål og dets ambition om fuldt ud at tilpasse sig gældende EU-ret inden udgangen af 2026; opfordrer indtrængende Serbien til hurtigt og beslutsomt at gøre fremskridt med hensyn til væsentlige reformer, især i klynge 1, for at dette meget ambitiøse tilsagn kan opfattes som realistisk, reelt og meningsfuldt; understreger, at Serbien er nødt til seriøst og kategorisk at vise, at det er strategisk orienteret mod EU, ved at udvise stærk politisk vilje og konsekvens i gennemførelsen af EU-relaterede reformer og ved at kommunikere objektivt og utvetydigt med sine borgere om EU, Serbiens vej mod EU og de nødvendige reformer;</w:t>
      </w:r>
    </w:p>
    <w:p w14:paraId="72A09D57" w14:textId="77777777" w:rsidR="004758EA" w:rsidRPr="008363F9" w:rsidRDefault="004758EA" w:rsidP="004758EA">
      <w:pPr>
        <w:pStyle w:val="NormalHanging12a"/>
        <w:rPr>
          <w:szCs w:val="24"/>
        </w:rPr>
      </w:pPr>
      <w:r w:rsidRPr="008363F9">
        <w:rPr>
          <w:szCs w:val="24"/>
        </w:rPr>
        <w:t>2.</w:t>
      </w:r>
      <w:r w:rsidRPr="008363F9">
        <w:rPr>
          <w:szCs w:val="24"/>
        </w:rPr>
        <w:tab/>
        <w:t>gør på ny opmærksom på Vestbalkans strategiske betydning i den aktuelle geopolitiske kontekst samt for sikkerheden og stabiliteten i EU som helhed;</w:t>
      </w:r>
      <w:r w:rsidRPr="008363F9">
        <w:rPr>
          <w:b/>
          <w:i/>
          <w:szCs w:val="24"/>
        </w:rPr>
        <w:t xml:space="preserve"> </w:t>
      </w:r>
      <w:r w:rsidRPr="008363F9">
        <w:rPr>
          <w:szCs w:val="24"/>
        </w:rPr>
        <w:t>anfører, at landet på grund af sin geopolitiske placering har en direkte indvirkning på den overordnede stabilitet i regionen; fordømmer derfor Serbiens forsøg på at etablere en indflydelsessfære, der undergraver nabolandes suverænitet;</w:t>
      </w:r>
    </w:p>
    <w:p w14:paraId="16C1064C" w14:textId="77777777" w:rsidR="004758EA" w:rsidRPr="008363F9" w:rsidRDefault="004758EA" w:rsidP="004758EA">
      <w:pPr>
        <w:pStyle w:val="NormalHanging12a"/>
        <w:rPr>
          <w:szCs w:val="24"/>
        </w:rPr>
      </w:pPr>
      <w:r w:rsidRPr="008363F9">
        <w:rPr>
          <w:color w:val="000000" w:themeColor="text1"/>
          <w:szCs w:val="24"/>
        </w:rPr>
        <w:t>3.</w:t>
      </w:r>
      <w:r w:rsidRPr="008363F9">
        <w:rPr>
          <w:color w:val="000000" w:themeColor="text1"/>
          <w:szCs w:val="24"/>
        </w:rPr>
        <w:tab/>
      </w:r>
      <w:r w:rsidRPr="008363F9">
        <w:rPr>
          <w:szCs w:val="24"/>
        </w:rPr>
        <w:t>anerkender Serbiens gode forberedelsesniveau med hensyn til makroøkonomisk stabilitet og finanspolitisk disciplin og Kommissionens vurdering af, at klynge 3 teknisk set er klar til at blive åbnet, men bemærker med bekymring, at der har været begrænsede eller slet ingen generelle fremskridt med hensyn til at opfylde benchmarkene for EU-medlemskab på tværs af forhandlingskapitlerne, og at der er særlige mangler på kritiske områder såsom retsstatsforhold, mediefrihed, reform af den offentlige forvaltning og tilpasning til EU's politikker, navnlig EU's udenrigspolitik;</w:t>
      </w:r>
    </w:p>
    <w:p w14:paraId="061B5679" w14:textId="77777777" w:rsidR="004758EA" w:rsidRPr="008363F9" w:rsidRDefault="004758EA" w:rsidP="004758EA">
      <w:pPr>
        <w:pStyle w:val="Normal12Hanging"/>
        <w:rPr>
          <w:szCs w:val="24"/>
          <w:lang w:val="da-DK"/>
        </w:rPr>
      </w:pPr>
      <w:r w:rsidRPr="008363F9">
        <w:rPr>
          <w:szCs w:val="24"/>
          <w:lang w:val="da-DK"/>
        </w:rPr>
        <w:t>4.</w:t>
      </w:r>
      <w:r w:rsidRPr="008363F9">
        <w:rPr>
          <w:szCs w:val="24"/>
          <w:lang w:val="da-DK"/>
        </w:rPr>
        <w:tab/>
        <w:t>beklager, at der ikke er gjort væsentlige fremskridt med hensyn til kapitel 31, idet Serbiens mønster for tilpasning til EU's udenrigspolitiske standpunkter er forblevet stort set uændret, primært på grund af Serbiens tætte forbindelser med Rusland;</w:t>
      </w:r>
      <w:r w:rsidRPr="008363F9">
        <w:rPr>
          <w:b/>
          <w:i/>
          <w:szCs w:val="24"/>
          <w:lang w:val="da-DK"/>
        </w:rPr>
        <w:t xml:space="preserve"> </w:t>
      </w:r>
      <w:r w:rsidRPr="008363F9">
        <w:rPr>
          <w:szCs w:val="24"/>
          <w:lang w:val="da-DK"/>
        </w:rPr>
        <w:t>minder om, at Serbien fortsat udgør en bemærkelsesværdig undtagelse på Vestbalkan med hensyn til FUSP-tilpasning; opfordrer Serbien til at vende denne tendens og vise positive skridt i retning af fuldstændig tilpasning; bemærker, at graden af Serbiens efterlevelse af EU's udtalelser og erklæringer er stigende, men stadig ligger på kun 61 %; glæder sig over Serbiens fortsatte aktive deltagelse i og bidrag til EU's militære krisestyringsmissioner og -operationer;</w:t>
      </w:r>
    </w:p>
    <w:p w14:paraId="61D110A9" w14:textId="77777777" w:rsidR="004758EA" w:rsidRPr="008363F9" w:rsidRDefault="004758EA" w:rsidP="004758EA">
      <w:pPr>
        <w:pStyle w:val="Normal12Hanging"/>
        <w:rPr>
          <w:szCs w:val="24"/>
          <w:lang w:val="da-DK"/>
        </w:rPr>
      </w:pPr>
      <w:r w:rsidRPr="008363F9">
        <w:rPr>
          <w:szCs w:val="24"/>
          <w:lang w:val="da-DK"/>
        </w:rPr>
        <w:t>5.</w:t>
      </w:r>
      <w:r w:rsidRPr="008363F9">
        <w:rPr>
          <w:szCs w:val="24"/>
          <w:lang w:val="da-DK"/>
        </w:rPr>
        <w:tab/>
        <w:t>glæder sig over Serbiens humanitære støtte til Ukraine og noterer sig salget af ammunition til en værdi af 800 mio. EUR til brug for Ukraine i en gensidigt fordelagtig aftale; bemærker, at Serbien har tilsluttet sig nogle af EU's standpunkter vedrørende Ruslands angrebskrig mod Ukraine; beklager imidlertid, at Serbien stadig ikke tilslutter sig EU's restriktive foranstaltninger over for Rusland; opfordrer EU til at genoverveje omfanget af den finansielle bistand, som EU yder til Serbien, i tilfælde af fortsat støtte til antidemokratiske ideologier og manglende tilpasning til EU's restriktive foranstaltninger og FUSP;</w:t>
      </w:r>
      <w:r w:rsidRPr="008363F9">
        <w:rPr>
          <w:b/>
          <w:i/>
          <w:szCs w:val="24"/>
          <w:lang w:val="da-DK"/>
        </w:rPr>
        <w:t xml:space="preserve"> </w:t>
      </w:r>
      <w:r w:rsidRPr="008363F9">
        <w:rPr>
          <w:szCs w:val="24"/>
          <w:lang w:val="da-DK"/>
        </w:rPr>
        <w:t>opfordrer Serbien til hurtigt at tilpasse sig EU's restriktive foranstaltninger og generelle politik over for Rusland og Belarus systematisk og uden forsinkelse;</w:t>
      </w:r>
    </w:p>
    <w:p w14:paraId="2C78FFC8" w14:textId="77777777" w:rsidR="004758EA" w:rsidRPr="008363F9" w:rsidRDefault="004758EA" w:rsidP="004758EA">
      <w:pPr>
        <w:pStyle w:val="Normal12Hanging"/>
        <w:rPr>
          <w:szCs w:val="24"/>
          <w:lang w:val="da-DK"/>
        </w:rPr>
      </w:pPr>
      <w:r w:rsidRPr="008363F9">
        <w:rPr>
          <w:szCs w:val="24"/>
          <w:lang w:val="da-DK"/>
        </w:rPr>
        <w:t>6.</w:t>
      </w:r>
      <w:r w:rsidRPr="008363F9">
        <w:rPr>
          <w:szCs w:val="24"/>
          <w:lang w:val="da-DK"/>
        </w:rPr>
        <w:tab/>
        <w:t>understreger betydningen af at gennemføre sanktioner mod Rusland for sikkerheden i Europa som helhed; beklager dybt Serbiens fortsatte tætte forbindelser med Rusland, som giver anledning til bekymring med hensyn til landets strategiske orientering; gentager sin opfordring til de serbiske myndigheder om at øge gennemsigtigheden med hensyn til det såkaldte russisk-serbiske humanitære center i Niš og dets rolle og aktiviteter og til straks at indstille alt militært samarbejde med Rusland; noterer sig Serbiens beslutning om at støtte den FN-resolution, der fordømmer Ruslands aggression mod Ukraine tre år efter den omfattende invasion; beklager præsident Vučićs omgående verbale tilbagetrækning af stemmeafgivningen i FN, som han kaldte en "fejltagelse"; mener, at opretholdelsen af privilegerede forbindelser med Kreml-regimet ikke bare undergraver Serbiens troværdighed som kandidatland, men også dets europæiske partneres tillid og de fremtidige forbindelser mellem EU og Serbien;</w:t>
      </w:r>
    </w:p>
    <w:p w14:paraId="38F97413" w14:textId="77777777" w:rsidR="004758EA" w:rsidRPr="008363F9" w:rsidRDefault="004758EA" w:rsidP="004758EA">
      <w:pPr>
        <w:pStyle w:val="Normal12Hanging"/>
        <w:rPr>
          <w:szCs w:val="24"/>
          <w:lang w:val="da-DK"/>
        </w:rPr>
      </w:pPr>
      <w:r w:rsidRPr="008363F9">
        <w:rPr>
          <w:szCs w:val="24"/>
          <w:lang w:val="da-DK"/>
        </w:rPr>
        <w:t>7.</w:t>
      </w:r>
      <w:r w:rsidRPr="008363F9">
        <w:rPr>
          <w:szCs w:val="24"/>
          <w:lang w:val="da-DK"/>
        </w:rPr>
        <w:tab/>
        <w:t>beklager det fortsatte fald i befolkningens støtte til EU-medlemskab i Serbien og den voksende støtte til Putinregimet, som er resultatet af en langvarig EU-fjendtlig og prorussisk retorik fra de regeringskontrollerede mediers og fra visse regeringsembedsmænds side; opfordrer de serbiske myndigheder til at skabe en faktabaseret og åben diskussion om tiltrædelse af EU;</w:t>
      </w:r>
    </w:p>
    <w:p w14:paraId="54E6BD44" w14:textId="77777777" w:rsidR="004758EA" w:rsidRPr="008363F9" w:rsidRDefault="004758EA" w:rsidP="004758EA">
      <w:pPr>
        <w:pStyle w:val="Normal12Hanging"/>
        <w:rPr>
          <w:szCs w:val="24"/>
          <w:lang w:val="da-DK"/>
        </w:rPr>
      </w:pPr>
      <w:r w:rsidRPr="008363F9">
        <w:rPr>
          <w:szCs w:val="24"/>
          <w:lang w:val="da-DK"/>
        </w:rPr>
        <w:t>8.</w:t>
      </w:r>
      <w:r w:rsidRPr="008363F9">
        <w:rPr>
          <w:szCs w:val="24"/>
          <w:lang w:val="da-DK"/>
        </w:rPr>
        <w:tab/>
        <w:t>beklager dybt den fortsatte spredning af desinformation, herunder om Ruslands angrebskrig mod Ukraine; fordømmer de afsmittende virkninger af disse handlinger i andre lande i regionen; opfordrer de serbiske myndigheder til at bekæmpe desinformation og opfordrer EU til at styrke samarbejdet med Serbien for at styrke den demokratiske modstandsdygtighed og imødegå hybride trusler;</w:t>
      </w:r>
    </w:p>
    <w:p w14:paraId="32F7B4AB" w14:textId="77777777" w:rsidR="004758EA" w:rsidRPr="008363F9" w:rsidRDefault="004758EA" w:rsidP="004758EA">
      <w:pPr>
        <w:pStyle w:val="BodyA"/>
        <w:shd w:val="clear" w:color="auto" w:fill="FFFFFF" w:themeFill="background1"/>
        <w:spacing w:after="240" w:line="240" w:lineRule="auto"/>
        <w:ind w:left="567" w:hanging="567"/>
        <w:rPr>
          <w:rFonts w:ascii="Times New Roman" w:eastAsia="Times New Roman" w:hAnsi="Times New Roman" w:cs="Times New Roman"/>
          <w:bCs/>
          <w:iCs/>
          <w:color w:val="000000" w:themeColor="text1"/>
          <w:sz w:val="24"/>
          <w:szCs w:val="24"/>
        </w:rPr>
      </w:pPr>
      <w:r w:rsidRPr="008363F9">
        <w:rPr>
          <w:rFonts w:ascii="Times New Roman" w:hAnsi="Times New Roman" w:cs="Times New Roman"/>
          <w:color w:val="000000" w:themeColor="text1"/>
          <w:sz w:val="24"/>
          <w:szCs w:val="24"/>
        </w:rPr>
        <w:t>9.</w:t>
      </w:r>
      <w:r w:rsidRPr="008363F9">
        <w:rPr>
          <w:rFonts w:ascii="Times New Roman" w:hAnsi="Times New Roman" w:cs="Times New Roman"/>
          <w:color w:val="000000" w:themeColor="text1"/>
          <w:sz w:val="24"/>
          <w:szCs w:val="24"/>
        </w:rPr>
        <w:tab/>
      </w:r>
      <w:r w:rsidRPr="008363F9">
        <w:rPr>
          <w:rFonts w:ascii="Times New Roman" w:hAnsi="Times New Roman" w:cs="Times New Roman"/>
          <w:sz w:val="24"/>
          <w:szCs w:val="24"/>
        </w:rPr>
        <w:t>noterer sig Serbiens fremskridt med hensyn til tilpasning til EU's visumpolitik og opfordrer til fuld tilpasning, især hvad angår de tredjelande, der udgør en sikkerhedsrisiko for EU, herunder truslen om cyberangreb; glæder sig over den aftale, der blev underskrevet den 25. juni 2024 mellem EU og Serbien om operativt samarbejde om grænseforvaltning med Frontex, hvori nødvendigheden af at handle i overensstemmelse med grundlæggende rettigheder og internationale standarder fremhæves;</w:t>
      </w:r>
    </w:p>
    <w:p w14:paraId="63DACB3A" w14:textId="77777777" w:rsidR="004758EA" w:rsidRPr="008363F9" w:rsidRDefault="004758EA" w:rsidP="004758EA">
      <w:pPr>
        <w:shd w:val="clear" w:color="auto" w:fill="FFFFFF" w:themeFill="background1"/>
        <w:spacing w:after="240"/>
        <w:ind w:left="567" w:hanging="567"/>
        <w:rPr>
          <w:i/>
          <w:szCs w:val="24"/>
        </w:rPr>
      </w:pPr>
      <w:r w:rsidRPr="008363F9">
        <w:rPr>
          <w:szCs w:val="24"/>
        </w:rPr>
        <w:t>10.</w:t>
      </w:r>
      <w:r w:rsidRPr="008363F9">
        <w:rPr>
          <w:szCs w:val="24"/>
        </w:rPr>
        <w:tab/>
        <w:t>gentager, at det overordnede tempo i tiltrædelsesforhandlingerne bør afhænge af, om der sker håndgribelige fremskridt med hensyn til grundprincipperne, retsstatsforholdene og et engagement i de fælles europæiske rettigheder og værdier samt af dialogen mellem Beograd og Pristina, som skal føres i god tro, således at den fører frem til en retligt bindende aftale baseret på gensidig anerkendelse, og af tilpasningen til EU's FUSP; gentager sit standpunkt om, at tiltrædelsesforhandlingerne med Serbien kun bør gå videre, hvis landet tilpasser sig EU's sanktioner mod Rusland og gør markante fremskridt med sine EU-relaterede reformer, navnlig med hensyn til grundprincipperne;</w:t>
      </w:r>
    </w:p>
    <w:p w14:paraId="5BB3585E" w14:textId="77777777" w:rsidR="004758EA" w:rsidRPr="008363F9" w:rsidRDefault="004758EA" w:rsidP="004758EA">
      <w:pPr>
        <w:shd w:val="clear" w:color="auto" w:fill="FFFFFF" w:themeFill="background1"/>
        <w:spacing w:after="240"/>
        <w:ind w:left="567" w:hanging="567"/>
        <w:rPr>
          <w:bCs/>
          <w:iCs/>
          <w:szCs w:val="24"/>
        </w:rPr>
      </w:pPr>
      <w:r w:rsidRPr="008363F9">
        <w:rPr>
          <w:szCs w:val="24"/>
        </w:rPr>
        <w:t>11.</w:t>
      </w:r>
      <w:r w:rsidRPr="008363F9">
        <w:rPr>
          <w:szCs w:val="24"/>
        </w:rPr>
        <w:tab/>
        <w:t>gentager sin bekymring over Kommissionens forsonlige tilgang til Serbien på baggrund af landets årelange tilbagerulning af retsstatsprincippet, demokratiet og de grundlæggende rettigheder samt dets destabiliserende indflydelse på hele regionen; opfordrer indtrængende Kommissionen til at anvende en tydeligere sprogbrug over for Serbien, herunder på højeste niveau, og til konsekvent at adressere betydelige mangler, manglende fremskridt og sågar tilbageskridt og dermed værne om EU's grundlæggende værdier;</w:t>
      </w:r>
    </w:p>
    <w:p w14:paraId="0A52085C" w14:textId="77777777" w:rsidR="004758EA" w:rsidRPr="008363F9" w:rsidRDefault="004758EA" w:rsidP="004758EA">
      <w:pPr>
        <w:shd w:val="clear" w:color="auto" w:fill="FFFFFF" w:themeFill="background1"/>
        <w:spacing w:after="240"/>
        <w:ind w:left="567" w:hanging="567"/>
        <w:rPr>
          <w:bCs/>
          <w:iCs/>
          <w:szCs w:val="24"/>
        </w:rPr>
      </w:pPr>
      <w:r w:rsidRPr="008363F9">
        <w:rPr>
          <w:szCs w:val="24"/>
        </w:rPr>
        <w:t>12.</w:t>
      </w:r>
      <w:r w:rsidRPr="008363F9">
        <w:rPr>
          <w:b/>
          <w:i/>
          <w:szCs w:val="24"/>
        </w:rPr>
        <w:t xml:space="preserve"> </w:t>
      </w:r>
      <w:r w:rsidRPr="008363F9">
        <w:rPr>
          <w:b/>
          <w:i/>
          <w:szCs w:val="24"/>
        </w:rPr>
        <w:tab/>
      </w:r>
      <w:r w:rsidRPr="008363F9">
        <w:rPr>
          <w:szCs w:val="24"/>
        </w:rPr>
        <w:t>opfordrer den serbiske regering til over for den serbiske befolkning at promovere den rolle, som EU-tiltrædelse og fordelene ved EU-finansierede projekter og reformer kan spille;</w:t>
      </w:r>
    </w:p>
    <w:p w14:paraId="08176EB8" w14:textId="77777777" w:rsidR="004758EA" w:rsidRPr="008363F9" w:rsidRDefault="004758EA" w:rsidP="004758EA">
      <w:pPr>
        <w:pStyle w:val="NormalHanging12a"/>
        <w:rPr>
          <w:b/>
          <w:i/>
          <w:szCs w:val="24"/>
        </w:rPr>
      </w:pPr>
      <w:r w:rsidRPr="008363F9">
        <w:rPr>
          <w:b/>
          <w:i/>
          <w:szCs w:val="24"/>
        </w:rPr>
        <w:t>Demokrati og retsstatsprincippet</w:t>
      </w:r>
    </w:p>
    <w:p w14:paraId="05FF2C4A" w14:textId="77777777" w:rsidR="004758EA" w:rsidRPr="008363F9" w:rsidRDefault="004758EA" w:rsidP="004758EA">
      <w:pPr>
        <w:pStyle w:val="NormalHanging12a"/>
        <w:rPr>
          <w:bCs/>
          <w:iCs/>
          <w:szCs w:val="24"/>
        </w:rPr>
      </w:pPr>
      <w:r w:rsidRPr="008363F9">
        <w:rPr>
          <w:szCs w:val="24"/>
        </w:rPr>
        <w:t>13.</w:t>
      </w:r>
      <w:r w:rsidRPr="008363F9">
        <w:rPr>
          <w:szCs w:val="24"/>
        </w:rPr>
        <w:tab/>
        <w:t>noterer sig de aktuelle udfordringer med hensyn til at sikre retsvæsenets uafhængighed, herunder utilbørlig påvirkning af og politisk pres på domstolene; giver udtryk for bekymring over den manglende gennemførelse af sikkerhedsforanstaltninger, der forhindrer politisk indblanding i dommerudnævnelser og disciplinærsager mod dommere og anklagere; opfordrer Serbien til at sikre, at det høje domstolsråd, det høje anklageråd og Serbiens regering og parlament effektivt og proaktivt forsvarer retsvæsenets uafhængighed og anklagemyndighedens autonomi;</w:t>
      </w:r>
    </w:p>
    <w:p w14:paraId="2952C323" w14:textId="77777777" w:rsidR="004758EA" w:rsidRPr="008363F9" w:rsidRDefault="004758EA" w:rsidP="004758EA">
      <w:pPr>
        <w:shd w:val="clear" w:color="auto" w:fill="FFFFFF" w:themeFill="background1"/>
        <w:spacing w:after="240"/>
        <w:ind w:left="567" w:hanging="567"/>
        <w:rPr>
          <w:b/>
          <w:iCs/>
          <w:szCs w:val="24"/>
        </w:rPr>
      </w:pPr>
      <w:r w:rsidRPr="008363F9">
        <w:rPr>
          <w:color w:val="000000" w:themeColor="text1"/>
          <w:szCs w:val="24"/>
        </w:rPr>
        <w:t>14.</w:t>
      </w:r>
      <w:r w:rsidRPr="008363F9">
        <w:rPr>
          <w:color w:val="000000" w:themeColor="text1"/>
          <w:szCs w:val="24"/>
        </w:rPr>
        <w:tab/>
      </w:r>
      <w:r w:rsidRPr="008363F9">
        <w:rPr>
          <w:szCs w:val="24"/>
        </w:rPr>
        <w:t>understreger vigtigheden af, at loven om retsakademiet og Venedigkommissionens udtalelse vedtages, og at de nødvendige dommerudnævnelser foretages, for at reducere antallet af ledige stillinger og forbedre retssystemets generelle effektivitet; bemærker, at forsinkelsen med vedtagelsen af denne lov har sat vigtige retsreformer, der er nødvendige for tilpasningen til EU's standarder, i stå; opfordrer til, at lovforslaget ændres efter en gennemsigtig høring af alle relevante interessenter med henblik på at sikre institutionens uafhængighed og kontrolmekanismer for at bidrage til retsvæsenets generelle uafhængighed;</w:t>
      </w:r>
    </w:p>
    <w:p w14:paraId="6714EEA7" w14:textId="77777777" w:rsidR="004758EA" w:rsidRPr="008363F9" w:rsidRDefault="004758EA" w:rsidP="004758EA">
      <w:pPr>
        <w:shd w:val="clear" w:color="auto" w:fill="FFFFFF" w:themeFill="background1"/>
        <w:spacing w:after="240"/>
        <w:ind w:left="567" w:hanging="567"/>
        <w:rPr>
          <w:szCs w:val="24"/>
        </w:rPr>
      </w:pPr>
      <w:r w:rsidRPr="008363F9">
        <w:rPr>
          <w:color w:val="000000" w:themeColor="text1"/>
          <w:szCs w:val="24"/>
        </w:rPr>
        <w:t>15.</w:t>
      </w:r>
      <w:r w:rsidRPr="008363F9">
        <w:rPr>
          <w:color w:val="000000" w:themeColor="text1"/>
          <w:szCs w:val="24"/>
        </w:rPr>
        <w:tab/>
      </w:r>
      <w:r w:rsidRPr="008363F9">
        <w:rPr>
          <w:szCs w:val="24"/>
        </w:rPr>
        <w:t>noterer sig, at der er gjort begrænsede fremskridt med bekæmpelsen af korruption på trods af vedtagelsen af en ny strategi for bekæmpelse af korruption for 2024-2028; opfordrer Serbien til at vedtage og begynde at gennemføre den ledsagende handlingsplan for bekæmpelse af korruption og til at etablere en effektiv overvågnings- og koordineringsmekanisme til at spore fremskridt i overensstemmelse med internationale standarder; giver udtryk for bekymring over, at korruption stadig er fremherskende inden for mange områder, navnlig i forbindelse med "projekter i Republikken Serbiens interesse", og at der er behov for stærk politisk vilje for at bekæmpe korruption effektivt samt for at iværksætte en robust strafferetlig indsats over for korruption på højt niveau; bemærker, at Serbien i 2024 ligger på en 105. plads i korruptionsindekset, et godt stykke under EU-gennemsnittet; mener, at korruptionsniveauet i Serbien er en væsentlig hindring for landets EU-tiltrædelsesproces; bemærker med bekymring, at der efter flere år stadig ikke er leveret resultater i sager af stor offentlig interesse, f.eks. i de mangeårige sager vedrørende Krušik, Jovanjica, Savamala og Belivuk; opfordrer Serbien til at styrke sine antikorruptionsinstitutioners uafhængighed ved at sikre, at de får tilstrækkelige ressourcer og beskyttes mod politisk indblanding; opfordrer Serbiens regering til at undertegne Organisationen for Økonomisk Samarbejde og Udviklings konvention om bekæmpelse af bestikkelse og til fuldt ud at tilpasse sine retlige rammer for politisamarbejde og organiseret kriminalitet til EU's;</w:t>
      </w:r>
    </w:p>
    <w:p w14:paraId="29146DD0" w14:textId="77777777" w:rsidR="004758EA" w:rsidRPr="008363F9" w:rsidRDefault="004758EA" w:rsidP="004758EA">
      <w:pPr>
        <w:pStyle w:val="Normal12Hanging"/>
        <w:rPr>
          <w:bCs/>
          <w:iCs/>
          <w:szCs w:val="24"/>
          <w:lang w:val="da-DK"/>
        </w:rPr>
      </w:pPr>
      <w:r w:rsidRPr="008363F9">
        <w:rPr>
          <w:color w:val="000000" w:themeColor="text1"/>
          <w:szCs w:val="24"/>
          <w:lang w:val="da-DK"/>
        </w:rPr>
        <w:t>16.</w:t>
      </w:r>
      <w:r w:rsidRPr="008363F9">
        <w:rPr>
          <w:color w:val="000000" w:themeColor="text1"/>
          <w:szCs w:val="24"/>
          <w:lang w:val="da-DK"/>
        </w:rPr>
        <w:tab/>
      </w:r>
      <w:r w:rsidRPr="008363F9">
        <w:rPr>
          <w:szCs w:val="24"/>
          <w:lang w:val="da-DK"/>
        </w:rPr>
        <w:t>glæder sig over den mere pluralistiske sammensætning af det nye parlament med en bredere repræsentation af politiske partier, herunder nationale mindretals partier;</w:t>
      </w:r>
      <w:r w:rsidRPr="008363F9">
        <w:rPr>
          <w:b/>
          <w:i/>
          <w:szCs w:val="24"/>
          <w:lang w:val="da-DK"/>
        </w:rPr>
        <w:t xml:space="preserve"> </w:t>
      </w:r>
      <w:r w:rsidRPr="008363F9">
        <w:rPr>
          <w:szCs w:val="24"/>
          <w:lang w:val="da-DK"/>
        </w:rPr>
        <w:t>bemærker, at det tidlige valg og den dermed forbundne pause i regeringens og parlamentets arbejde har hæmmet reformfremskridtene; bemærker det hyppige mønster med tidlige valg, permanent valgkamptilstand og lange forsinkelser i forbindelse med regeringsdannelser samt det nationale parlaments afbrudte arbejde, herunder fraværet af spørgetid til regeringerne, den manglende drøftelse af rapporter fra uafhængige institutioner og den hyppigere anvendelse af hasteprocedurer, som fører til manglende parlamentarisk lovgivningsmæssig kontrol og legitimitet og ikke bidrager til en effektiv demokratisk regeringsførelse i landet;</w:t>
      </w:r>
    </w:p>
    <w:p w14:paraId="0FC582AE" w14:textId="7C552C0A" w:rsidR="004758EA" w:rsidRPr="008363F9" w:rsidRDefault="004758EA" w:rsidP="004758EA">
      <w:pPr>
        <w:pStyle w:val="Normal12Hanging"/>
        <w:rPr>
          <w:i/>
          <w:szCs w:val="24"/>
          <w:lang w:val="da-DK"/>
        </w:rPr>
      </w:pPr>
      <w:r w:rsidRPr="008363F9">
        <w:rPr>
          <w:szCs w:val="24"/>
          <w:lang w:val="da-DK"/>
        </w:rPr>
        <w:t>17.</w:t>
      </w:r>
      <w:r w:rsidRPr="008363F9">
        <w:rPr>
          <w:szCs w:val="24"/>
          <w:lang w:val="da-DK"/>
        </w:rPr>
        <w:tab/>
        <w:t>noterer sig premierminister Miloš Vučevićs fratrædelse den 28. januar 2025, som blev bekræftet af nationalforsamlingen den 19. marts 2025</w:t>
      </w:r>
      <w:r w:rsidR="008B20A5">
        <w:rPr>
          <w:szCs w:val="24"/>
          <w:lang w:val="da-DK"/>
        </w:rPr>
        <w:t xml:space="preserve"> </w:t>
      </w:r>
      <w:r w:rsidR="008B20A5" w:rsidRPr="008B20A5">
        <w:rPr>
          <w:szCs w:val="24"/>
          <w:lang w:val="da-DK"/>
        </w:rPr>
        <w:t>og det efterfølgende valg af den nye regering under ledelse af Đuro Macut, der blev udnævnt den 16. april 2025</w:t>
      </w:r>
      <w:r w:rsidR="008B20A5">
        <w:rPr>
          <w:szCs w:val="24"/>
          <w:lang w:val="da-DK"/>
        </w:rPr>
        <w:t xml:space="preserve">; </w:t>
      </w:r>
      <w:r w:rsidRPr="008363F9">
        <w:rPr>
          <w:szCs w:val="24"/>
          <w:lang w:val="da-DK"/>
        </w:rPr>
        <w:t>noterer sig genoptagelsen af nationalforsamlingens arbejde den 4. marts 2025 efter tre måneders pause og fordømmer alle voldshandlinger, der fandt sted ved denne lejlighed;</w:t>
      </w:r>
    </w:p>
    <w:p w14:paraId="273316F1" w14:textId="77777777" w:rsidR="004758EA" w:rsidRPr="008363F9" w:rsidRDefault="004758EA" w:rsidP="004758EA">
      <w:pPr>
        <w:shd w:val="clear" w:color="auto" w:fill="FFFFFF" w:themeFill="background1"/>
        <w:spacing w:after="240"/>
        <w:ind w:left="567" w:hanging="567"/>
        <w:rPr>
          <w:bCs/>
          <w:iCs/>
          <w:color w:val="000000" w:themeColor="text1"/>
          <w:szCs w:val="24"/>
        </w:rPr>
      </w:pPr>
      <w:r w:rsidRPr="008363F9">
        <w:rPr>
          <w:color w:val="000000" w:themeColor="text1"/>
          <w:szCs w:val="24"/>
        </w:rPr>
        <w:t>18.</w:t>
      </w:r>
      <w:r w:rsidRPr="008363F9">
        <w:rPr>
          <w:color w:val="000000" w:themeColor="text1"/>
          <w:szCs w:val="24"/>
        </w:rPr>
        <w:tab/>
      </w:r>
      <w:r w:rsidRPr="008363F9">
        <w:rPr>
          <w:szCs w:val="24"/>
        </w:rPr>
        <w:t xml:space="preserve">gentager, at Europa-Parlamentet er rede til at støtte nationalforsamlingen og dens medlemmer i de demokratiske processer, der er forbundet med Serbiens vej mod EU, herunder parlamentets korrekte funktion i overensstemmelse med dets forretningsorden, ved at anvende Europa-Parlamentets eksisterende demokratistøtteværktøjer og </w:t>
      </w:r>
      <w:r w:rsidRPr="008363F9">
        <w:rPr>
          <w:szCs w:val="24"/>
        </w:rPr>
        <w:noBreakHyphen/>
        <w:t xml:space="preserve">initiativer og ved at støtte øget parlamentarisk kontrol med EU-tiltrædelsesprocessen og </w:t>
      </w:r>
      <w:r w:rsidRPr="008363F9">
        <w:rPr>
          <w:szCs w:val="24"/>
        </w:rPr>
        <w:noBreakHyphen/>
        <w:t>reformerne;</w:t>
      </w:r>
    </w:p>
    <w:p w14:paraId="6E03EB32" w14:textId="77777777" w:rsidR="004758EA" w:rsidRPr="008363F9" w:rsidRDefault="004758EA" w:rsidP="004758EA">
      <w:pPr>
        <w:pStyle w:val="Normal12Hanging"/>
        <w:rPr>
          <w:szCs w:val="24"/>
          <w:lang w:val="da-DK"/>
        </w:rPr>
      </w:pPr>
      <w:r w:rsidRPr="008363F9">
        <w:rPr>
          <w:color w:val="000000" w:themeColor="text1"/>
          <w:szCs w:val="24"/>
          <w:lang w:val="da-DK"/>
        </w:rPr>
        <w:t>19.</w:t>
      </w:r>
      <w:r w:rsidRPr="008363F9">
        <w:rPr>
          <w:color w:val="000000" w:themeColor="text1"/>
          <w:szCs w:val="24"/>
          <w:lang w:val="da-DK"/>
        </w:rPr>
        <w:tab/>
      </w:r>
      <w:r w:rsidRPr="008363F9">
        <w:rPr>
          <w:szCs w:val="24"/>
          <w:lang w:val="da-DK"/>
        </w:rPr>
        <w:t>noterer sig med dyb bekymring den endelige rapport fra valgobservationsmissionen under OSCE/ODIHR om valget i december 2023; bemærker, at nationalforsamlingen i april 2024 nedsatte en arbejdsgruppe til forbedring af valgprocessen, men at den ved årets udgang ikke var nået til enighed om nogen retlige foranstaltninger til forbedring af valgprocessen; bemærker, at to ud af tre civilsamfundsrepræsentanter forlod arbejdsgruppen i februar 2025; noterer sig, at der i de første måneder af 2025 blev taget skridt til at ændre loven om samlet vælgerregistrering, men at der ikke er nogen konsensus blandt politiske aktører og civilsamfundsaktører om lovens indhold; opfordrer alle parlamentariske grupper i nationalforsamlingen til med tilslutning fra alle grupper at træffe beslutning om gennemførelsen af ODIHR-henstillingerne; opfordrer til ligebehandling af alle medlemmer af parlamentet, konsekvent og effektiv gennemførelse af den parlamentariske adfærdskodeks og til upartisk strafpålæggelse for tilsidesættelse af den parlamentariske integritet;</w:t>
      </w:r>
    </w:p>
    <w:p w14:paraId="2762E097" w14:textId="77777777" w:rsidR="004758EA" w:rsidRPr="008363F9" w:rsidRDefault="004758EA" w:rsidP="004758EA">
      <w:pPr>
        <w:pStyle w:val="Normal12Hanging"/>
        <w:rPr>
          <w:bCs/>
          <w:iCs/>
          <w:szCs w:val="24"/>
          <w:lang w:val="da-DK"/>
        </w:rPr>
      </w:pPr>
      <w:r w:rsidRPr="008363F9">
        <w:rPr>
          <w:szCs w:val="24"/>
          <w:lang w:val="da-DK"/>
        </w:rPr>
        <w:t>20.</w:t>
      </w:r>
      <w:r w:rsidRPr="008363F9">
        <w:rPr>
          <w:szCs w:val="24"/>
          <w:lang w:val="da-DK"/>
        </w:rPr>
        <w:tab/>
        <w:t>er bekymret over den stigende rolle, som informationsmanipulation og indblanding fra eksterne aktører og deres cyberoperationer og indgreb i Serbiens demokratiske valgprocesser spiller;</w:t>
      </w:r>
    </w:p>
    <w:p w14:paraId="174ECB69" w14:textId="77777777" w:rsidR="004758EA" w:rsidRPr="008363F9" w:rsidRDefault="004758EA" w:rsidP="004758EA">
      <w:pPr>
        <w:pStyle w:val="Normal12Hanging"/>
        <w:rPr>
          <w:bCs/>
          <w:iCs/>
          <w:szCs w:val="24"/>
          <w:lang w:val="da-DK"/>
        </w:rPr>
      </w:pPr>
      <w:r w:rsidRPr="008363F9">
        <w:rPr>
          <w:szCs w:val="24"/>
          <w:lang w:val="da-DK"/>
        </w:rPr>
        <w:t>21.</w:t>
      </w:r>
      <w:r w:rsidRPr="008363F9">
        <w:rPr>
          <w:szCs w:val="24"/>
          <w:lang w:val="da-DK"/>
        </w:rPr>
        <w:tab/>
        <w:t>understreger den helt afgørende betydning af at sikre de centrale institutioners uafhængighed, herunder medietilsynsmyndigheder såsom tilsynsmyndigheden for elektroniske medier (REM); beklager forsinkelsen med at få valgt de nye medlemmer;</w:t>
      </w:r>
      <w:r w:rsidRPr="008363F9">
        <w:rPr>
          <w:b/>
          <w:i/>
          <w:szCs w:val="24"/>
          <w:lang w:val="da-DK"/>
        </w:rPr>
        <w:t xml:space="preserve"> </w:t>
      </w:r>
      <w:r w:rsidRPr="008363F9">
        <w:rPr>
          <w:szCs w:val="24"/>
          <w:lang w:val="da-DK"/>
        </w:rPr>
        <w:t>beklager uregelmæssighederne i indstillingsprocessen; bemærker, at flere kandidater trak sig fra udvælgelsen i februar 2025 og begrundede deres beslutning med udgangspunkt i disse uregelmæssigheder;</w:t>
      </w:r>
      <w:r w:rsidRPr="008363F9">
        <w:rPr>
          <w:b/>
          <w:szCs w:val="24"/>
          <w:lang w:val="da-DK"/>
        </w:rPr>
        <w:t xml:space="preserve"> </w:t>
      </w:r>
      <w:r w:rsidRPr="008363F9">
        <w:rPr>
          <w:szCs w:val="24"/>
          <w:lang w:val="da-DK"/>
        </w:rPr>
        <w:t>beklager dybt, at REM forsømte sine retlige forpligtelser til rettidigt at kontrollere gennemførelsen af valgkampagnen i 2023 i medierne, aflægge beretning om sine konklusioner og pålægge medieforetagender, der overtrådte loven, spredte hadefuld tale eller ikke overholdt de journalistiske standarder, sanktioner; bemærker med bekymring fraværet af pluralistiske politiske synspunkter i de landsdækkende medier; bemærker, at REM aktivt bør fremme mediepluralisme og gennemsigtighed med hensyn til mediernes ejerskabsstrukturer og uafhængighed af udenlandske aktører.</w:t>
      </w:r>
    </w:p>
    <w:p w14:paraId="44DE4AB8" w14:textId="77777777" w:rsidR="004758EA" w:rsidRPr="008363F9" w:rsidRDefault="004758EA" w:rsidP="004758EA">
      <w:pPr>
        <w:pStyle w:val="Normal12Hanging"/>
        <w:rPr>
          <w:bCs/>
          <w:iCs/>
          <w:szCs w:val="24"/>
          <w:lang w:val="da-DK"/>
        </w:rPr>
      </w:pPr>
      <w:r w:rsidRPr="008363F9">
        <w:rPr>
          <w:szCs w:val="24"/>
          <w:lang w:val="da-DK"/>
        </w:rPr>
        <w:t>22.</w:t>
      </w:r>
      <w:r w:rsidRPr="008363F9">
        <w:rPr>
          <w:szCs w:val="24"/>
          <w:lang w:val="da-DK"/>
        </w:rPr>
        <w:tab/>
        <w:t>bemærker, at REM tildelte fire nationale frekvenser til kanaler, der tidligere har overtrådt journalistiske standarder, herunder ved at bruge hadefuld tale og vildlede offentligheden, ikke at efterleve advarsler fra REM, sprede desinformation og støtte Kreml-regimets narrativ om Ruslands krig i Ukraine; beklager dybt, at REM ikke har udstedt den femte nationale licens og opfordrer til, at den tildeles ved en gennemsigtig og upartisk proces uden unødig forsinkelse og i overensstemmelse med internationale standarder for mediefrihed, så snart der er valgt et nyt REM-råd; opfordrer den serbiske regering til at droppe og genstarte processen med at vælge nye medlemmer i overensstemmelse med serbisk lov og internationale standarder for mediefrihed;</w:t>
      </w:r>
    </w:p>
    <w:p w14:paraId="1EE54AF0" w14:textId="77777777" w:rsidR="004758EA" w:rsidRPr="008363F9" w:rsidRDefault="004758EA" w:rsidP="004758EA">
      <w:pPr>
        <w:pStyle w:val="NormalHanging12a"/>
        <w:rPr>
          <w:b/>
          <w:i/>
          <w:szCs w:val="24"/>
        </w:rPr>
      </w:pPr>
      <w:r w:rsidRPr="008363F9">
        <w:rPr>
          <w:b/>
          <w:i/>
          <w:szCs w:val="24"/>
        </w:rPr>
        <w:t>Grundlæggende friheds- og menneskerettigheder</w:t>
      </w:r>
    </w:p>
    <w:p w14:paraId="5D78A7B6" w14:textId="094FBD06" w:rsidR="004758EA" w:rsidRPr="008363F9" w:rsidRDefault="004758EA" w:rsidP="004758EA">
      <w:pPr>
        <w:pStyle w:val="Normal12Hanging"/>
        <w:rPr>
          <w:b/>
          <w:szCs w:val="24"/>
          <w:lang w:val="da-DK"/>
        </w:rPr>
      </w:pPr>
      <w:r w:rsidRPr="008363F9">
        <w:rPr>
          <w:szCs w:val="24"/>
          <w:lang w:val="da-DK"/>
        </w:rPr>
        <w:t>23.</w:t>
      </w:r>
      <w:r w:rsidRPr="008363F9">
        <w:rPr>
          <w:szCs w:val="24"/>
          <w:lang w:val="da-DK"/>
        </w:rPr>
        <w:tab/>
        <w:t xml:space="preserve">udtrykker sin dybeste medfølelse med familierne til de </w:t>
      </w:r>
      <w:r w:rsidR="00EB461F">
        <w:rPr>
          <w:szCs w:val="24"/>
          <w:lang w:val="da-DK"/>
        </w:rPr>
        <w:t>16</w:t>
      </w:r>
      <w:r w:rsidR="00EB461F" w:rsidRPr="008363F9">
        <w:rPr>
          <w:szCs w:val="24"/>
          <w:lang w:val="da-DK"/>
        </w:rPr>
        <w:t xml:space="preserve"> </w:t>
      </w:r>
      <w:r w:rsidRPr="008363F9">
        <w:rPr>
          <w:szCs w:val="24"/>
          <w:lang w:val="da-DK"/>
        </w:rPr>
        <w:t>ofre, der mistede livet, og med dem, der blev kvæstet efter tagkollapset på togstationen i Novi Sad den 1.</w:t>
      </w:r>
      <w:r w:rsidR="006D3357">
        <w:rPr>
          <w:szCs w:val="24"/>
          <w:lang w:val="da-DK"/>
        </w:rPr>
        <w:t> </w:t>
      </w:r>
      <w:r w:rsidRPr="008363F9">
        <w:rPr>
          <w:szCs w:val="24"/>
          <w:lang w:val="da-DK"/>
        </w:rPr>
        <w:t>november 2024; opfordrer til fyldestgørende og gennemsigtige retssager efter myndighedernes undersøgelse med henblik på at drage de ansvarlige til ansvar; understreger, at der er behov for at undersøge mere generelt, i hvilket omfang korruption har ført til sænkning af sikkerhedsstandarderne og har bidraget til denne tragedie;</w:t>
      </w:r>
    </w:p>
    <w:p w14:paraId="78C6D8BD" w14:textId="77777777" w:rsidR="004758EA" w:rsidRPr="008363F9" w:rsidRDefault="004758EA" w:rsidP="004758EA">
      <w:pPr>
        <w:pStyle w:val="Normal12Hanging"/>
        <w:rPr>
          <w:bCs/>
          <w:iCs/>
          <w:szCs w:val="24"/>
          <w:lang w:val="da-DK"/>
        </w:rPr>
      </w:pPr>
      <w:r w:rsidRPr="008363F9">
        <w:rPr>
          <w:szCs w:val="24"/>
          <w:lang w:val="da-DK"/>
        </w:rPr>
        <w:t>24.</w:t>
      </w:r>
      <w:r w:rsidRPr="008363F9">
        <w:rPr>
          <w:szCs w:val="24"/>
          <w:lang w:val="da-DK"/>
        </w:rPr>
        <w:tab/>
        <w:t>beklager de serbiske myndigheders forsinkede reaktion og ansvarlighed, den langsommelige efterforskningsproces og manglen på gennemsigtighed i kølvandet på tragedien, som kun delvist blev adresseret på grund af det stigende pres i offentligheden;</w:t>
      </w:r>
    </w:p>
    <w:p w14:paraId="7F75D2E0" w14:textId="77777777" w:rsidR="004758EA" w:rsidRPr="008363F9" w:rsidRDefault="004758EA" w:rsidP="004758EA">
      <w:pPr>
        <w:pStyle w:val="Normal12Hanging"/>
        <w:rPr>
          <w:bCs/>
          <w:iCs/>
          <w:szCs w:val="24"/>
          <w:lang w:val="da-DK"/>
        </w:rPr>
      </w:pPr>
      <w:r w:rsidRPr="008363F9">
        <w:rPr>
          <w:szCs w:val="24"/>
          <w:lang w:val="da-DK"/>
        </w:rPr>
        <w:t>25.</w:t>
      </w:r>
      <w:r w:rsidRPr="008363F9">
        <w:rPr>
          <w:szCs w:val="24"/>
          <w:lang w:val="da-DK"/>
        </w:rPr>
        <w:tab/>
        <w:t>giver udtryk for dyb bekymring over de systemiske problemer, der er blevet fremhævet ved studenterdemonstrationer og forskellige andre demonstrationer i Serbien, såsom problemer vedrørende borgerlige frihedsrettigheder, magtens tredeling, korruption, miljøbeskyttelse, institutionel og finansiel gennemsigtighed, navnlig i forbindelse med infrastrukturprojekter, og ansvarlighed; beklager, at regeringen forpassede muligheden for i god tro at imødekomme kravene fra de studerende og fra de borgere, der støttede de studerende; bekræfter, at de studerendes krav er i overensstemmelse med de reformer, som Serbien forventes at gennemføre på sin vej mod EU;</w:t>
      </w:r>
    </w:p>
    <w:p w14:paraId="6627E444" w14:textId="77777777" w:rsidR="004758EA" w:rsidRDefault="004758EA" w:rsidP="004758EA">
      <w:pPr>
        <w:pStyle w:val="Normal12Hanging"/>
        <w:rPr>
          <w:szCs w:val="24"/>
          <w:lang w:val="da-DK"/>
        </w:rPr>
      </w:pPr>
      <w:r w:rsidRPr="008363F9">
        <w:rPr>
          <w:szCs w:val="24"/>
          <w:lang w:val="da-DK"/>
        </w:rPr>
        <w:t>26.</w:t>
      </w:r>
      <w:r w:rsidRPr="008363F9">
        <w:rPr>
          <w:szCs w:val="24"/>
          <w:lang w:val="da-DK"/>
        </w:rPr>
        <w:tab/>
        <w:t>understreger vigtigheden af ytringsfrihed og forsamlingsfrihed; opfordrer de serbiske myndigheder til at sikre beskyttelsen af deltagerne i de fredelige demonstrationer; noterer sig massedemonstrationerne den 15. marts 2025, som var de største i Serbiens nyere historie; opfordrer til en upartisk undersøgelse af påstandene om, at der blev anvendt ulovlig teknologi til styring af større menneskemængder mod demonstranterne, hvilket førte til, at en række af dem blev kvæstet;</w:t>
      </w:r>
    </w:p>
    <w:p w14:paraId="236CFF83" w14:textId="77777777" w:rsidR="00EB461F" w:rsidRPr="00EB461F" w:rsidRDefault="00EB461F" w:rsidP="004758EA">
      <w:pPr>
        <w:pStyle w:val="Normal12Hanging"/>
        <w:rPr>
          <w:szCs w:val="24"/>
          <w:lang w:val="da-DK"/>
        </w:rPr>
      </w:pPr>
      <w:r>
        <w:rPr>
          <w:szCs w:val="24"/>
          <w:lang w:val="da-DK"/>
        </w:rPr>
        <w:t>27.</w:t>
      </w:r>
      <w:r>
        <w:rPr>
          <w:szCs w:val="24"/>
          <w:lang w:val="da-DK"/>
        </w:rPr>
        <w:tab/>
      </w:r>
      <w:r w:rsidRPr="00EB461F">
        <w:rPr>
          <w:szCs w:val="24"/>
          <w:lang w:val="da-DK"/>
        </w:rPr>
        <w:t>beklager den fortsatte vold mod studerende, herunder den nylige hændelse på idrætsfakultetet i Novi Sad, hvor mindst fem mennesker blev såret som følge af politiets stormangreb på bygningen ledsaget af dekanen, Patrik Drid;</w:t>
      </w:r>
    </w:p>
    <w:p w14:paraId="27931344" w14:textId="5313510A" w:rsidR="004758EA" w:rsidRDefault="006F237B" w:rsidP="004758EA">
      <w:pPr>
        <w:pStyle w:val="Normal12Hanging"/>
        <w:rPr>
          <w:szCs w:val="24"/>
          <w:lang w:val="da-DK"/>
        </w:rPr>
      </w:pPr>
      <w:r>
        <w:rPr>
          <w:szCs w:val="24"/>
          <w:lang w:val="da-DK"/>
        </w:rPr>
        <w:t>28</w:t>
      </w:r>
      <w:r w:rsidR="004758EA" w:rsidRPr="008363F9">
        <w:rPr>
          <w:szCs w:val="24"/>
          <w:lang w:val="da-DK"/>
        </w:rPr>
        <w:t>.</w:t>
      </w:r>
      <w:r w:rsidR="004758EA" w:rsidRPr="008363F9">
        <w:rPr>
          <w:szCs w:val="24"/>
          <w:lang w:val="da-DK"/>
        </w:rPr>
        <w:tab/>
        <w:t>fordømmer på det kraftigste misbruget af personoplysninger fra offentlige registre til at hævne sig på fredelige demonstranter; opfordrer anklagemyndigheden i Serbien til at rejse tiltale mod alle personer, der fysisk angreb og opfordrede til vold mod deltagerne i demonstrationerne; er dybt bekymret over enhver form for voldshandlinger; følger nøje udviklingen med hensyn til anholdelser af demonstranter og de retssager, der er indledt mod dem;</w:t>
      </w:r>
      <w:r w:rsidR="004758EA" w:rsidRPr="008363F9">
        <w:rPr>
          <w:i/>
          <w:szCs w:val="24"/>
          <w:lang w:val="da-DK"/>
        </w:rPr>
        <w:t xml:space="preserve"> </w:t>
      </w:r>
      <w:r w:rsidR="004758EA" w:rsidRPr="008363F9">
        <w:rPr>
          <w:szCs w:val="24"/>
          <w:lang w:val="da-DK"/>
        </w:rPr>
        <w:t>er bekymret over forlydenderne om, at sikkerhedstjenesterne var involveret i intimidering og overvågning af demonstranterne; fordømmer de serbiske myndigheders sprogbrug, som opfordrede til vold mod studerende og andre demonstranter; bemærker, at studenteraktivister har været udsat for retslig chikane, intimidering og overdreven brug af magt fra myndighedernes side; opfordrer til en grundig, upartisk og hurtig undersøgelse af påstandene om brug af vold mod demonstranter og politiets ureglementerede adfærd under demonstrationerne; opfordrer indtrængende EU's og medlemsstaternes diplomatiske missioner til fortsat nøje at overvåge de igangværende retssager vedrørende demonstrationerne;</w:t>
      </w:r>
    </w:p>
    <w:p w14:paraId="554441C9" w14:textId="005155CB" w:rsidR="00FA7C61" w:rsidRPr="00FA7C61" w:rsidRDefault="006F237B" w:rsidP="004758EA">
      <w:pPr>
        <w:pStyle w:val="Normal12Hanging"/>
        <w:rPr>
          <w:szCs w:val="24"/>
          <w:lang w:val="da-DK"/>
        </w:rPr>
      </w:pPr>
      <w:r>
        <w:rPr>
          <w:szCs w:val="24"/>
          <w:lang w:val="da-DK"/>
        </w:rPr>
        <w:t>29</w:t>
      </w:r>
      <w:r w:rsidR="00FA7C61">
        <w:rPr>
          <w:szCs w:val="24"/>
          <w:lang w:val="da-DK"/>
        </w:rPr>
        <w:t>.</w:t>
      </w:r>
      <w:r w:rsidR="00FA7C61">
        <w:rPr>
          <w:szCs w:val="24"/>
          <w:lang w:val="da-DK"/>
        </w:rPr>
        <w:tab/>
      </w:r>
      <w:r w:rsidR="00FA7C61" w:rsidRPr="00FA7C61">
        <w:rPr>
          <w:szCs w:val="24"/>
          <w:lang w:val="da-DK"/>
        </w:rPr>
        <w:t xml:space="preserve">er dybt bekymret over det stigende politiske og økonomiske pres på lærere </w:t>
      </w:r>
      <w:r w:rsidR="006D3357">
        <w:rPr>
          <w:szCs w:val="24"/>
          <w:lang w:val="da-DK"/>
        </w:rPr>
        <w:t xml:space="preserve">i </w:t>
      </w:r>
      <w:r w:rsidR="00FA7C61" w:rsidRPr="00FA7C61">
        <w:rPr>
          <w:szCs w:val="24"/>
          <w:lang w:val="da-DK"/>
        </w:rPr>
        <w:t>primær- og sekundær</w:t>
      </w:r>
      <w:r w:rsidR="006D3357">
        <w:rPr>
          <w:szCs w:val="24"/>
          <w:lang w:val="da-DK"/>
        </w:rPr>
        <w:t>skolen</w:t>
      </w:r>
      <w:r w:rsidR="00FA7C61" w:rsidRPr="00FA7C61">
        <w:rPr>
          <w:szCs w:val="24"/>
          <w:lang w:val="da-DK"/>
        </w:rPr>
        <w:t xml:space="preserve"> samt </w:t>
      </w:r>
      <w:r w:rsidR="006D3357">
        <w:rPr>
          <w:szCs w:val="24"/>
          <w:lang w:val="da-DK"/>
        </w:rPr>
        <w:t xml:space="preserve">på </w:t>
      </w:r>
      <w:r w:rsidR="00FA7C61" w:rsidRPr="00FA7C61">
        <w:rPr>
          <w:szCs w:val="24"/>
          <w:lang w:val="da-DK"/>
        </w:rPr>
        <w:t>universitetsprofessorer, som blev unddraget deres løn for at have deltaget i den kollektive aktion til støtte for elevernes krav; beklager i den forbindelse den uacceptable retssag og smædekampagne i medierne mod rektoren for universitetet i Beograd;</w:t>
      </w:r>
    </w:p>
    <w:p w14:paraId="5056E6E7" w14:textId="4B54EFD0" w:rsidR="004758EA" w:rsidRDefault="006F237B" w:rsidP="004758EA">
      <w:pPr>
        <w:pStyle w:val="Normal12Hanging"/>
        <w:rPr>
          <w:szCs w:val="24"/>
          <w:lang w:val="da-DK"/>
        </w:rPr>
      </w:pPr>
      <w:r>
        <w:rPr>
          <w:szCs w:val="24"/>
          <w:lang w:val="da-DK"/>
        </w:rPr>
        <w:t>30</w:t>
      </w:r>
      <w:r w:rsidR="004758EA" w:rsidRPr="008363F9">
        <w:rPr>
          <w:szCs w:val="24"/>
          <w:lang w:val="da-DK"/>
        </w:rPr>
        <w:t xml:space="preserve">. </w:t>
      </w:r>
      <w:r w:rsidR="004758EA" w:rsidRPr="008363F9">
        <w:rPr>
          <w:szCs w:val="24"/>
          <w:lang w:val="da-DK"/>
        </w:rPr>
        <w:tab/>
        <w:t>er dybt foruroliget over, at de serbiske myndigheder har givet sig af med udbredt ulovlig overvågningspraksis ved brug af spyware mod aktivister, journalister og medlemmer af civilsamfundet, som det fremgår af de nylige rapporter fra Amnesty International og SHARE Foundation; opfordrer indtrængende Serbiens regering til straks at stoppe brugen af avanceret overvågningsteknologi mod aktivister, journalister og menneskerettighedsforkæmpere og opfordrer de kompetente statslige myndigheder til at foretage en grundig undersøgelse af alle eksisterende sager om ulovlig overvågning og brug af spyware og til at iværksætte passende procedurer over for de ansvarlige; opfordrer i lyset heraf Kommissionen til at følge op på disse hændelser, tage disse problemer op med de serbiske myndigheder og insistere på en grundig undersøgelse af disse spørgsmål;</w:t>
      </w:r>
    </w:p>
    <w:p w14:paraId="60C88D57" w14:textId="0D0B0455" w:rsidR="00FA7C61" w:rsidRPr="00FA7C61" w:rsidRDefault="006F237B" w:rsidP="004758EA">
      <w:pPr>
        <w:pStyle w:val="Normal12Hanging"/>
        <w:rPr>
          <w:bCs/>
          <w:iCs/>
          <w:szCs w:val="24"/>
          <w:lang w:val="da-DK"/>
        </w:rPr>
      </w:pPr>
      <w:r>
        <w:rPr>
          <w:szCs w:val="24"/>
          <w:lang w:val="da-DK"/>
        </w:rPr>
        <w:t>31</w:t>
      </w:r>
      <w:r w:rsidR="00FA7C61">
        <w:rPr>
          <w:szCs w:val="24"/>
          <w:lang w:val="da-DK"/>
        </w:rPr>
        <w:t>.</w:t>
      </w:r>
      <w:r w:rsidR="00FA7C61">
        <w:rPr>
          <w:szCs w:val="24"/>
          <w:lang w:val="da-DK"/>
        </w:rPr>
        <w:tab/>
      </w:r>
      <w:r w:rsidR="00FA7C61" w:rsidRPr="00FA7C61">
        <w:rPr>
          <w:szCs w:val="24"/>
          <w:lang w:val="da-DK"/>
        </w:rPr>
        <w:t>beklager beskyldningerne om ulovlig aflytning og tilbageholdelse af fem aktivister fra oppositionspartiet Bevægelsen af Frie Borgere (PSG) og en studerende fra STAV-organisationen i marts 2025 samt de arrestordrer, der er udstedt mod andre STAV-aktivister; fordømmer propagandamediernes brug af sagen og den ubegrundede forlængelse af tilbageholdelsen; opfordrer de serbiske myndigheder til at løslade Marija Vasić, Lazar Dinić, Mladen Cvijetić, Lado Jovović, Srđan Đurić og Davor Stefanović;</w:t>
      </w:r>
    </w:p>
    <w:p w14:paraId="30E50589" w14:textId="1480D8B5" w:rsidR="004758EA" w:rsidRPr="008363F9" w:rsidRDefault="006F237B" w:rsidP="004758EA">
      <w:pPr>
        <w:pStyle w:val="NormalHanging12a"/>
        <w:rPr>
          <w:bCs/>
          <w:iCs/>
          <w:szCs w:val="24"/>
        </w:rPr>
      </w:pPr>
      <w:r>
        <w:rPr>
          <w:szCs w:val="24"/>
        </w:rPr>
        <w:t>32</w:t>
      </w:r>
      <w:r w:rsidR="004758EA" w:rsidRPr="008363F9">
        <w:rPr>
          <w:szCs w:val="24"/>
        </w:rPr>
        <w:t>.</w:t>
      </w:r>
      <w:r w:rsidR="004758EA" w:rsidRPr="008363F9">
        <w:rPr>
          <w:szCs w:val="24"/>
        </w:rPr>
        <w:tab/>
        <w:t>afviser de serbiske myndigheders påstande om, at EU og nogle af dets medlemsstater var involveret i organiseringen af studenterdemonstrationerne med henblik på at udløse en "farverevolution"; fordømmer i den forbindelse på det kraftigste de ulovlige anholdelser og udvisninger af EU-borgere og dømte krigsforbryderes offentliggørelse af EU-borgeres personoplysninger såvel som hadefuld tale mod nationale mindretal; giver udtryk for bekymring over det stigende antal sager om tilbageholdelse af EU-borgere ved Serbiens grænse; bemærker, at EU-fjendtlige narrativer giver sig udtryk i faldende opbakning i det serbiske samfund til EU-integration og i en styrkelse af udenlandske autokratiske aktørers tilstedeværelse i landet;</w:t>
      </w:r>
    </w:p>
    <w:p w14:paraId="5D121589" w14:textId="2E0646F6" w:rsidR="004758EA" w:rsidRPr="008363F9" w:rsidRDefault="006F237B" w:rsidP="004758EA">
      <w:pPr>
        <w:pStyle w:val="NormalHanging12a"/>
        <w:rPr>
          <w:bCs/>
          <w:iCs/>
          <w:szCs w:val="24"/>
        </w:rPr>
      </w:pPr>
      <w:r>
        <w:rPr>
          <w:szCs w:val="24"/>
        </w:rPr>
        <w:t>33</w:t>
      </w:r>
      <w:r w:rsidR="004758EA" w:rsidRPr="008363F9">
        <w:rPr>
          <w:szCs w:val="24"/>
        </w:rPr>
        <w:t>.</w:t>
      </w:r>
      <w:r w:rsidR="004758EA" w:rsidRPr="008363F9">
        <w:rPr>
          <w:szCs w:val="24"/>
        </w:rPr>
        <w:tab/>
        <w:t>opfordrer de serbiske myndigheder til at genoprette borgernes tillid til de statslige institutioner ved at tillade gennemsigtighed og ansvarlighed; tilskynder alle politiske og sociale aktører til at indgå i en inkluderende substantiel dialog, der tager sigte på fuldførelse af EU-relaterede reformer;</w:t>
      </w:r>
    </w:p>
    <w:p w14:paraId="19D10E86" w14:textId="41DD0F7A" w:rsidR="004758EA" w:rsidRPr="008363F9" w:rsidRDefault="006F237B" w:rsidP="004758EA">
      <w:pPr>
        <w:pStyle w:val="NormalHanging12a"/>
        <w:rPr>
          <w:szCs w:val="24"/>
        </w:rPr>
      </w:pPr>
      <w:r>
        <w:rPr>
          <w:szCs w:val="24"/>
        </w:rPr>
        <w:t>34</w:t>
      </w:r>
      <w:r w:rsidR="004758EA" w:rsidRPr="008363F9">
        <w:rPr>
          <w:szCs w:val="24"/>
        </w:rPr>
        <w:t>.</w:t>
      </w:r>
      <w:r w:rsidR="004758EA" w:rsidRPr="008363F9">
        <w:rPr>
          <w:szCs w:val="24"/>
        </w:rPr>
        <w:tab/>
        <w:t>bemærker, at mediefriheden i Serbien er blevet yderligere forringet, hvilket fremgår af, at Serbien nu er helt nede på pladsen som nr. 98 på Journalister Uden Grænsers internationale pressefrihedsindeks for 2024; tilskynder Serbien til at forbedre og beskytte mediernes professionalisme, mangfoldighed og pluralisme og til at fremme kvalitetspræget undersøgende journalistik, de højeste etiske standarder for journalistik gennem overholdelse af journalistiske adfærdskodekser samt mediekendskab; minder om vigtigheden af mediernes mangfoldighed og gennemsigtighed, herunder om aspekter vedrørende ejerskab og statsfinansiering, navnlig gennem en bedre inddragelse af REM; minder om, at koncentrationen af medieejerskab kan have negative virkninger for mediefriheden og professionalismen i rapporteringen; bekræfter på ny, at Serbien som led i tiltrædelsesforhandlingerne er nødt til at tilpasse sig EU i spørgsmål af strategisk betydning såsom bekæmpelse af informationsmanipulation og indblanding fra eksterne aktører; opfordrer Serbien til at tilpasse sig EU's politikker for at imødegå informationsmanipulation og indblanding fra eksterne aktører ved at gennemføre konkrete lovgivningsmæssige foranstaltninger i overensstemmelse med EU-standarder såsom bestemmelserne i forordningen om digitale tjenester</w:t>
      </w:r>
      <w:r w:rsidR="004758EA" w:rsidRPr="008363F9">
        <w:rPr>
          <w:rStyle w:val="FootnoteReference"/>
          <w:bCs/>
          <w:iCs/>
          <w:szCs w:val="24"/>
        </w:rPr>
        <w:footnoteReference w:id="7"/>
      </w:r>
      <w:r w:rsidR="004758EA" w:rsidRPr="008363F9">
        <w:rPr>
          <w:szCs w:val="24"/>
        </w:rPr>
        <w:t xml:space="preserve"> og forordning (EU) 2024/900 om gennemsigtighed og målretning i forbindelse med politisk reklame</w:t>
      </w:r>
      <w:r w:rsidR="004758EA" w:rsidRPr="008363F9">
        <w:rPr>
          <w:rStyle w:val="FootnoteReference"/>
          <w:bCs/>
          <w:iCs/>
          <w:szCs w:val="24"/>
        </w:rPr>
        <w:footnoteReference w:id="8"/>
      </w:r>
      <w:r w:rsidR="004758EA" w:rsidRPr="008363F9">
        <w:rPr>
          <w:szCs w:val="24"/>
        </w:rPr>
        <w:t>; opfordrer til samarbejde om håndtering af desinformation mellem Serbien, Tjenesten for EU's Optræden Udadtil og Det Europæiske Center for Imødegåelse af Hybride Trusler; forventer, at myndighederne efterforsker og retsforfølger alle tilfælde af hadefuld tale, smædekampagner og strategiske retssager mod journalister;</w:t>
      </w:r>
    </w:p>
    <w:p w14:paraId="0426F7C9" w14:textId="58A7996E" w:rsidR="004758EA" w:rsidRPr="008363F9" w:rsidRDefault="006F237B" w:rsidP="004758EA">
      <w:pPr>
        <w:pStyle w:val="NormalHanging12a"/>
        <w:rPr>
          <w:szCs w:val="24"/>
        </w:rPr>
      </w:pPr>
      <w:r>
        <w:rPr>
          <w:szCs w:val="24"/>
        </w:rPr>
        <w:t>35</w:t>
      </w:r>
      <w:r w:rsidR="004758EA" w:rsidRPr="008363F9">
        <w:rPr>
          <w:szCs w:val="24"/>
        </w:rPr>
        <w:t>.</w:t>
      </w:r>
      <w:r w:rsidR="004758EA" w:rsidRPr="008363F9">
        <w:rPr>
          <w:szCs w:val="24"/>
        </w:rPr>
        <w:tab/>
        <w:t>giver udtryk for sin dybe bekymring over rapporterede tilfælde af voldelige angreb på, digital overvågning af og chikane mod journalister, menneskerettighedsaktivister og civilsamfundsorganisationer, senest en politirazzia den 25. februar 2025 mod fire førende civilsamfundsorganisationer, angiveligt på grund af deres misbrug af midler fra De Forenede Staters statslige bistandsorganisation (USAID); fordømmer på det kraftigste vedvarende smædekampagner mod og intimidering af civilsamfundet i Serbien, herunder falske beskyldninger om sammensværgelser om at vælte regeringen med udenlandsk støtte;</w:t>
      </w:r>
    </w:p>
    <w:p w14:paraId="65FC89F9" w14:textId="30B5F032" w:rsidR="004758EA" w:rsidRDefault="006F237B" w:rsidP="004758EA">
      <w:pPr>
        <w:pStyle w:val="NormalHanging12a"/>
        <w:rPr>
          <w:szCs w:val="24"/>
        </w:rPr>
      </w:pPr>
      <w:r>
        <w:rPr>
          <w:szCs w:val="24"/>
        </w:rPr>
        <w:t>36</w:t>
      </w:r>
      <w:r w:rsidR="004758EA" w:rsidRPr="008363F9">
        <w:rPr>
          <w:szCs w:val="24"/>
        </w:rPr>
        <w:t>.</w:t>
      </w:r>
      <w:r w:rsidR="004758EA" w:rsidRPr="008363F9">
        <w:rPr>
          <w:szCs w:val="24"/>
        </w:rPr>
        <w:tab/>
        <w:t>udtrykker bekymring over, at civilsamfundsorganisationer i Serbien står over for stigende udfordringer, herunder restriktive vilkår, finansieringsbegrænsninger, politirazziaer og andre former for intimidering fra statslige myndigheders side; understreger betydningen af at have rammer, der giver lokale, dynamiske civilsamfundsorganisationer mulighed for at operere frit og deltage i politikudformningen, herunder i EU-integrationsprocesserne, på inkluderende og meningsfulde måder; beklager, at Serbien i øjeblikket ikke skaber rammer, der gør det muligt for landets livfulde og pluralistiske civilsamfundsorganisationer, navnlig dem, der engagerer sig i demokratistøtte og valgobservation, at operere frit og deltage i politikudformningen på inkluderende og meningsfulde måder; giver udtryk for bekymring over den seneste tids razziaer mod civilsamfundsorganisationers kontorer; opfordrer til undersøgelser af alle angreb og smædekampagner mod civilsamfundsorganisationer og til øget gennemsigtighed i den offentlige finansiering;</w:t>
      </w:r>
    </w:p>
    <w:p w14:paraId="393DA8E9" w14:textId="4ECC82D5" w:rsidR="00FA7C61" w:rsidRPr="008363F9" w:rsidRDefault="006F237B" w:rsidP="004758EA">
      <w:pPr>
        <w:pStyle w:val="NormalHanging12a"/>
        <w:rPr>
          <w:bCs/>
          <w:iCs/>
          <w:szCs w:val="24"/>
        </w:rPr>
      </w:pPr>
      <w:r>
        <w:rPr>
          <w:szCs w:val="24"/>
        </w:rPr>
        <w:t>37</w:t>
      </w:r>
      <w:r w:rsidR="00FA7C61">
        <w:rPr>
          <w:szCs w:val="24"/>
        </w:rPr>
        <w:t>.</w:t>
      </w:r>
      <w:r w:rsidR="00FA7C61">
        <w:rPr>
          <w:szCs w:val="24"/>
        </w:rPr>
        <w:tab/>
      </w:r>
      <w:r w:rsidR="00FA7C61" w:rsidRPr="00FA7C61">
        <w:rPr>
          <w:szCs w:val="24"/>
        </w:rPr>
        <w:t>fordømmer det politiske pres, der er lagt på universiteter og andre forskningsinstitutioner gennem et forhastet regeringsdekret, der griber ind i forskeres akademiske frihed og sænker deres lønninger; fordømmer bagvaskelsen af professorer, forskere og andet akademisk personale i regeringsvenlige medier; beklager den stigende anvendelse af midlertidige kontrakter til lærere og andre tjenestemænd som et politisk redskab til at udøve pres og kontrol;</w:t>
      </w:r>
    </w:p>
    <w:p w14:paraId="2445F8E4" w14:textId="16C408F6" w:rsidR="004758EA" w:rsidRPr="008363F9" w:rsidRDefault="006F237B" w:rsidP="004758EA">
      <w:pPr>
        <w:pStyle w:val="NormalHanging12a"/>
        <w:rPr>
          <w:bCs/>
          <w:iCs/>
          <w:szCs w:val="24"/>
        </w:rPr>
      </w:pPr>
      <w:r>
        <w:rPr>
          <w:szCs w:val="24"/>
        </w:rPr>
        <w:t>38</w:t>
      </w:r>
      <w:r w:rsidR="004758EA" w:rsidRPr="008363F9">
        <w:rPr>
          <w:szCs w:val="24"/>
        </w:rPr>
        <w:t>.</w:t>
      </w:r>
      <w:r w:rsidR="004758EA" w:rsidRPr="008363F9">
        <w:rPr>
          <w:szCs w:val="24"/>
        </w:rPr>
        <w:tab/>
        <w:t>opfordrer indtrængende de serbiske myndigheder til at udvide tilgængeligheden af offentlige radio- og TV-tjenester på alle mindretalssprog i hele landet og sikre lige adgang til medier for alle befolkningsgrupper, idet der trækkes på den bedste praksis fra Vojvodinaregionen;</w:t>
      </w:r>
    </w:p>
    <w:p w14:paraId="2B69F7BB" w14:textId="79988833" w:rsidR="004758EA" w:rsidRPr="008363F9" w:rsidRDefault="006F237B" w:rsidP="004758EA">
      <w:pPr>
        <w:pStyle w:val="NormalHanging12a"/>
        <w:rPr>
          <w:bCs/>
          <w:iCs/>
          <w:szCs w:val="24"/>
        </w:rPr>
      </w:pPr>
      <w:r>
        <w:rPr>
          <w:szCs w:val="24"/>
        </w:rPr>
        <w:t>39</w:t>
      </w:r>
      <w:r w:rsidR="004758EA" w:rsidRPr="008363F9">
        <w:rPr>
          <w:szCs w:val="24"/>
        </w:rPr>
        <w:t>.</w:t>
      </w:r>
      <w:r w:rsidR="004758EA" w:rsidRPr="008363F9">
        <w:rPr>
          <w:szCs w:val="24"/>
        </w:rPr>
        <w:tab/>
        <w:t>giver udtryk for sin dybe bekymring over det lovforslag, der blev forelagt det serbiske parlament den 29. november 2024, hvori det foreslås at indføre en lov i stil med den russiske om udenlandske agenter; minder de serbiske lovgivere om, at civilsamfundsorganisationer og journalister spiller en central rolle i et sundt demokratisk samfund; gentager, at lovgivning af denne art er uforenelig med EU's værdier; noterer sig, at flere civilsamfundsorganisationer suspenderede deres samarbejde med regeringens lovgivende og udøvende myndigheder i februar 2025;</w:t>
      </w:r>
    </w:p>
    <w:p w14:paraId="1B517D8E" w14:textId="6BAE0DA0" w:rsidR="004758EA" w:rsidRPr="008363F9" w:rsidRDefault="006F237B" w:rsidP="004758EA">
      <w:pPr>
        <w:pStyle w:val="NormalHanging12a"/>
        <w:rPr>
          <w:szCs w:val="24"/>
        </w:rPr>
      </w:pPr>
      <w:r>
        <w:rPr>
          <w:szCs w:val="24"/>
        </w:rPr>
        <w:t>40</w:t>
      </w:r>
      <w:r w:rsidR="004758EA" w:rsidRPr="008363F9">
        <w:rPr>
          <w:szCs w:val="24"/>
        </w:rPr>
        <w:t>.</w:t>
      </w:r>
      <w:r w:rsidR="004758EA" w:rsidRPr="008363F9">
        <w:rPr>
          <w:szCs w:val="24"/>
        </w:rPr>
        <w:tab/>
        <w:t>giver udtryk for alvorlig bekymring over den stigende politiske indblanding i beskyttelsen af kulturarven i Serbien, herunder fjernelsen af beskyttelsesstatus fra kulturelle monumenter og tilsidesættelsen af de juridiske procedurer, der ligger til grund for bevarelsen af dem, som i tilfældet med det modernistiske Generalštab-kompleks;</w:t>
      </w:r>
    </w:p>
    <w:p w14:paraId="204A620A" w14:textId="0F4DB222" w:rsidR="004758EA" w:rsidRPr="008363F9" w:rsidRDefault="006F237B" w:rsidP="004758EA">
      <w:pPr>
        <w:pStyle w:val="NormalHanging12a"/>
        <w:rPr>
          <w:szCs w:val="24"/>
        </w:rPr>
      </w:pPr>
      <w:r>
        <w:rPr>
          <w:szCs w:val="24"/>
        </w:rPr>
        <w:t>41</w:t>
      </w:r>
      <w:r w:rsidR="004758EA" w:rsidRPr="008363F9">
        <w:rPr>
          <w:szCs w:val="24"/>
        </w:rPr>
        <w:t>.</w:t>
      </w:r>
      <w:r w:rsidR="004758EA" w:rsidRPr="008363F9">
        <w:rPr>
          <w:szCs w:val="24"/>
        </w:rPr>
        <w:tab/>
        <w:t>opfordrer Serbien til at bekæmpe desinformation, herunder manipulerende EU-fjendtlige narrativer, og i særdeleshed til at indstille sine egne statsstøttede desinformationskampagner; fordømmer åbningen af et RT-kontor i Beograd, lanceringen af RT's online-nyhedstjeneste på serbisk og den fortsatte drift af den russiske online-nyhedstjeneste Sputnik Srbija, som bruges til at udbrede prorussiske narrativer og misinformation i hele Vestbalkanregionen; opfordrer indtrængende de serbiske myndigheder til at imødegå hybride trusler og rette fuldstændigt ind efter Rådets afgørelse om suspension af Sputniks og RT's udsendelsesaktiviteter; er dybt foruroliget over spredningen af desinformation om den russiske aggression mod Ukraine; opfordrer Serbien og Kommissionen til at styrke infrastrukturen for bekæmpelse af desinformation og andre hybride trusler; fordømmer den stigende påvirkning fra russisk og kinesisk statsstøttet desinformation i Serbien, herunder udbredelsen af EU-fjendtlige og antidemokratiske narrativer;</w:t>
      </w:r>
    </w:p>
    <w:p w14:paraId="609FEEF9" w14:textId="32B77155" w:rsidR="004758EA" w:rsidRDefault="006F237B" w:rsidP="004758EA">
      <w:pPr>
        <w:pStyle w:val="NormalHanging12a"/>
        <w:rPr>
          <w:szCs w:val="24"/>
        </w:rPr>
      </w:pPr>
      <w:r>
        <w:rPr>
          <w:szCs w:val="24"/>
        </w:rPr>
        <w:t>42</w:t>
      </w:r>
      <w:r w:rsidR="004758EA" w:rsidRPr="008363F9">
        <w:rPr>
          <w:szCs w:val="24"/>
        </w:rPr>
        <w:t>.</w:t>
      </w:r>
      <w:r w:rsidR="004758EA" w:rsidRPr="008363F9">
        <w:rPr>
          <w:szCs w:val="24"/>
        </w:rPr>
        <w:tab/>
        <w:t>noterer sig vedtagelsen af den nationale ligestillingsstrategi og strategien for forebyggelse af og beskyttelse mod forskelsbehandling og opfordrer til, at de gennemføres fuldt ud og tilpasses yderligere til europæiske standarder; opfordrer indtrængende de serbiske myndigheder til at tage fat på anbefalingerne fra ekspertgruppen for indsatsen mod vold mod kvinder og vold i hjemmet (GREVIO) med henblik på at forbedre overholdelsen af Istanbulkonventionen, som Serbien har ratificeret; noterer sig med bekymring, at forfatningsdomstolen midlertidigt har suspenderet gennemførelsen af loven om ligestilling mellem kønnene; giver udtryk for bekymring over den vedvarende mangel på tilstrækkelig støtte til de organisationer, der arbejder for at fremme kvinders rettigheder og ligestilling mellem kønnene;</w:t>
      </w:r>
    </w:p>
    <w:p w14:paraId="4639F5A1" w14:textId="0E2BFEDB" w:rsidR="00FA7C61" w:rsidRPr="008363F9" w:rsidRDefault="006F237B" w:rsidP="004758EA">
      <w:pPr>
        <w:pStyle w:val="NormalHanging12a"/>
        <w:rPr>
          <w:bCs/>
          <w:iCs/>
          <w:szCs w:val="24"/>
        </w:rPr>
      </w:pPr>
      <w:r>
        <w:rPr>
          <w:szCs w:val="24"/>
        </w:rPr>
        <w:t>43</w:t>
      </w:r>
      <w:r w:rsidR="00FA7C61">
        <w:rPr>
          <w:szCs w:val="24"/>
        </w:rPr>
        <w:t>.</w:t>
      </w:r>
      <w:r w:rsidR="00FA7C61">
        <w:rPr>
          <w:szCs w:val="24"/>
        </w:rPr>
        <w:tab/>
      </w:r>
      <w:r w:rsidR="00FA7C61" w:rsidRPr="00FA7C61">
        <w:rPr>
          <w:szCs w:val="24"/>
        </w:rPr>
        <w:t>beklager dybt den demografiske tilbagegang i Serbien, som forværres af en negativ nettomigration som følge af økonomiske vanskeligheder og politisk forfølgelse; understreger, at det hovedsagelig er unge, uddannede og produktive mennesker, der tvinges til at forlade landet, samt mennesker, der presses og trues på grund af deres politiske synspunkter, heriblandt Dijana Hrka, som er mor til et af ofrene i tragedien på togstationen i Novi Sad, og som frygter for sin sikkerhed efter at være blevet sat under pres af SNS-tilhængere;</w:t>
      </w:r>
    </w:p>
    <w:p w14:paraId="729FC263" w14:textId="42839F72" w:rsidR="004758EA" w:rsidRPr="008363F9" w:rsidRDefault="006F237B" w:rsidP="004758EA">
      <w:pPr>
        <w:pStyle w:val="NormalHanging12a"/>
        <w:rPr>
          <w:bCs/>
          <w:iCs/>
          <w:szCs w:val="24"/>
        </w:rPr>
      </w:pPr>
      <w:r>
        <w:rPr>
          <w:szCs w:val="24"/>
        </w:rPr>
        <w:t>44</w:t>
      </w:r>
      <w:r w:rsidR="004758EA" w:rsidRPr="008363F9">
        <w:rPr>
          <w:szCs w:val="24"/>
        </w:rPr>
        <w:t xml:space="preserve">. </w:t>
      </w:r>
      <w:r w:rsidR="004758EA" w:rsidRPr="008363F9">
        <w:rPr>
          <w:szCs w:val="24"/>
        </w:rPr>
        <w:tab/>
        <w:t>understreger, at de serbiske myndigheder skal træffe konkrete foranstaltninger for at værne om og styrke overholdelsen af barnets rettigheder i landet, herunder ved at ratificere den tredje valgfrie protokol til konventionen om barnets rettigheder, vedtage en national handlingsplan for barnets rettigheder, vedtage en ny strategi vedrørende vold mod børn, da den tidligere ramme er udløbet, og etablere en national ramme med henblik på at beskytte børn mod misbrug og forsømmelse;</w:t>
      </w:r>
    </w:p>
    <w:p w14:paraId="75F13A6F" w14:textId="4E88C2E3" w:rsidR="004758EA" w:rsidRPr="008363F9" w:rsidRDefault="006F237B" w:rsidP="004758EA">
      <w:pPr>
        <w:pStyle w:val="NormalHanging12a"/>
        <w:rPr>
          <w:bCs/>
          <w:iCs/>
          <w:szCs w:val="24"/>
        </w:rPr>
      </w:pPr>
      <w:r>
        <w:rPr>
          <w:szCs w:val="24"/>
        </w:rPr>
        <w:t>45</w:t>
      </w:r>
      <w:r w:rsidR="004758EA" w:rsidRPr="008363F9">
        <w:rPr>
          <w:szCs w:val="24"/>
        </w:rPr>
        <w:t>.</w:t>
      </w:r>
      <w:r w:rsidR="004758EA" w:rsidRPr="008363F9">
        <w:rPr>
          <w:szCs w:val="24"/>
        </w:rPr>
        <w:tab/>
        <w:t>glæder sig over, at Beograd Pride-paraden 2024, den hidtil største i Serbien, forløb fredeligt, omend den blev beskyttet af et højt profileret politiopbud;</w:t>
      </w:r>
    </w:p>
    <w:p w14:paraId="425BB8DF" w14:textId="6FA95C92" w:rsidR="004758EA" w:rsidRPr="008363F9" w:rsidRDefault="006F237B" w:rsidP="004758EA">
      <w:pPr>
        <w:pStyle w:val="NormalHanging12a"/>
        <w:rPr>
          <w:rFonts w:eastAsia="Calibri"/>
          <w:bCs/>
          <w:iCs/>
          <w:szCs w:val="24"/>
        </w:rPr>
      </w:pPr>
      <w:r>
        <w:rPr>
          <w:szCs w:val="24"/>
        </w:rPr>
        <w:t>46</w:t>
      </w:r>
      <w:r w:rsidR="004758EA" w:rsidRPr="008363F9">
        <w:rPr>
          <w:szCs w:val="24"/>
        </w:rPr>
        <w:t>.</w:t>
      </w:r>
      <w:r w:rsidR="004758EA" w:rsidRPr="008363F9">
        <w:rPr>
          <w:szCs w:val="24"/>
        </w:rPr>
        <w:tab/>
        <w:t xml:space="preserve">fremhæver behovet for et stærkt engagement i at beskytte nationale mindretals rettigheder, sikre deres fulde repræsentation på alle forvaltningsniveauer, bevare deres kulturelle identitet gennem brugen af deres respektive sprog og gennem imødekommelse af deres uddannelsesmæssige behov, ytringsfrihed og adgang til information samt for aktivt at foretage efterforskning af hadmotiverede forbrydelser, hvilket udgør en uerstattelig del af fælles europæiske værdier; </w:t>
      </w:r>
      <w:r w:rsidR="004758EA" w:rsidRPr="008363F9">
        <w:rPr>
          <w:color w:val="000000"/>
          <w:szCs w:val="24"/>
        </w:rPr>
        <w:t xml:space="preserve">beklager den omstændighed, at næsten alle nationale mindretal kun beskyttes på det formelle plan; giver udtryk for bekymring over praksissen med proforma-repræsentation af nationale mindretal, der er under regeringens kontrol; </w:t>
      </w:r>
      <w:r w:rsidR="004758EA" w:rsidRPr="008363F9">
        <w:rPr>
          <w:szCs w:val="24"/>
        </w:rPr>
        <w:t>opfordrer Serbien til at beskytte og fremme sine nationale mindretals kulturarv og traditioner, og navnlig til at skabe en positiv atmosfære for uddannelse på mindretalssprog, herunder ved at tilvejebringe et tilstrækkeligt antal lærere, lærebøger og supplerende materialer, og beklager dybt krænkelsen af mindretals rettigheder på dette område; opfordrer Serbien til at undlade at udnytte nationale mindretals nationale identiteter, som skaber splittelse i disse befolkningsgrupper, og fordømmer på det kraftigste de registrerede tilfælde af hadefuld tale over for nogle af dem; bemærker den betydelige forsinkelse med udarbejdelsen af en ny handlingsplan for virkeliggørelsen af nationale mindretals rettigheder og understreger det presserende behov for, at Serbien færdiggør og gennemfører den omgående; fremhæver behovet for, at den nye handlingsplan fuldt ud indarbejder konklusionerne og anbefalingerne fra det rådgivende udvalg under rammekonventionen om beskyttelse af nationale mindretal;</w:t>
      </w:r>
    </w:p>
    <w:p w14:paraId="53D0294A" w14:textId="4F5152A3" w:rsidR="004758EA" w:rsidRPr="008363F9" w:rsidRDefault="006F237B" w:rsidP="004758EA">
      <w:pPr>
        <w:pStyle w:val="NormalHanging12a"/>
        <w:rPr>
          <w:rFonts w:eastAsia="Calibri"/>
          <w:bCs/>
          <w:iCs/>
          <w:color w:val="000000" w:themeColor="text1"/>
          <w:szCs w:val="24"/>
        </w:rPr>
      </w:pPr>
      <w:r>
        <w:rPr>
          <w:color w:val="000000" w:themeColor="text1"/>
          <w:szCs w:val="24"/>
        </w:rPr>
        <w:t>47</w:t>
      </w:r>
      <w:r w:rsidR="004758EA" w:rsidRPr="008363F9">
        <w:rPr>
          <w:color w:val="000000" w:themeColor="text1"/>
          <w:szCs w:val="24"/>
        </w:rPr>
        <w:t>.</w:t>
      </w:r>
      <w:r w:rsidR="004758EA" w:rsidRPr="008363F9">
        <w:rPr>
          <w:color w:val="000000" w:themeColor="text1"/>
          <w:szCs w:val="24"/>
        </w:rPr>
        <w:tab/>
      </w:r>
      <w:r w:rsidR="004758EA" w:rsidRPr="008363F9">
        <w:rPr>
          <w:szCs w:val="24"/>
        </w:rPr>
        <w:t>giver udtryk for bekymring over det betydelige fald i befolkningstallet for visse mindretalsgrupper, herunder det bulgarske mindretal;</w:t>
      </w:r>
      <w:r w:rsidR="004758EA" w:rsidRPr="008363F9">
        <w:rPr>
          <w:color w:val="000000" w:themeColor="text1"/>
          <w:szCs w:val="24"/>
        </w:rPr>
        <w:t xml:space="preserve"> </w:t>
      </w:r>
      <w:r w:rsidR="004758EA" w:rsidRPr="008363F9">
        <w:rPr>
          <w:szCs w:val="24"/>
        </w:rPr>
        <w:t xml:space="preserve">opfordrer Serbien til at sikre retten til at anvende navne og sprog, der er specifikke for mindretalsgrupper, herunder for kvinder i den bulgarske befolkningsgruppe; bemærker med bekymring, at ikke alle skolernes lærebøger er blevet oversat til bulgarsk; </w:t>
      </w:r>
      <w:r w:rsidR="004758EA" w:rsidRPr="008363F9">
        <w:rPr>
          <w:color w:val="000000" w:themeColor="text1"/>
          <w:szCs w:val="24"/>
        </w:rPr>
        <w:t xml:space="preserve">opfordrer den serbiske regering til at sikre tilsvarende lige rettigheder for det kroatiske mindretal i Serbien, som det serbiske mindretal har i Kroatien, navnlig med hensyn til at sikre deres indbyrdes repræsentation på alle forvaltningsniveauer, herunder på regionalt og lokalt plan; </w:t>
      </w:r>
      <w:r w:rsidR="004758EA" w:rsidRPr="008363F9">
        <w:rPr>
          <w:szCs w:val="24"/>
        </w:rPr>
        <w:t>gør på ny opmærksom på sin bekymring over den restriktive og vilkårlige håndhævelse af loven om permanent og midlertidigt ophold i forbindelse med passiveringen af adresser (dvs. ugyldiggørelse af folkeregisteradressen) for tusindvis af albanere i den sydlige del af Serbien;</w:t>
      </w:r>
      <w:r w:rsidR="004758EA" w:rsidRPr="008363F9">
        <w:rPr>
          <w:color w:val="000000" w:themeColor="text1"/>
          <w:szCs w:val="24"/>
        </w:rPr>
        <w:t xml:space="preserve"> fremhæver situationen med hensyn til den rumænsk-ortodokse kirke i Serbien, der ikke officielt anerkendes af staten som en traditionel kirke;</w:t>
      </w:r>
    </w:p>
    <w:p w14:paraId="73CCD365" w14:textId="7DDC0BF5" w:rsidR="004758EA" w:rsidRPr="008363F9" w:rsidRDefault="006F237B" w:rsidP="004758EA">
      <w:pPr>
        <w:pStyle w:val="NormalHanging12a"/>
        <w:rPr>
          <w:bCs/>
          <w:iCs/>
          <w:szCs w:val="24"/>
        </w:rPr>
      </w:pPr>
      <w:r>
        <w:rPr>
          <w:szCs w:val="24"/>
        </w:rPr>
        <w:t>48</w:t>
      </w:r>
      <w:r w:rsidR="004758EA" w:rsidRPr="008363F9">
        <w:rPr>
          <w:szCs w:val="24"/>
        </w:rPr>
        <w:t>.</w:t>
      </w:r>
      <w:r w:rsidR="004758EA" w:rsidRPr="008363F9">
        <w:rPr>
          <w:szCs w:val="24"/>
        </w:rPr>
        <w:tab/>
        <w:t>beklager de serbiske myndigheders forsøg på at undergrave den nationale identitet for befolkningsgrupper i landet; giver i denne sammenhæng udtryk for bekymring over fremme af narrativer som den såkaldte "Shopi-nation", som forsøger at udslette den bulgarske befolkningsgruppes eksistens og fornægte dens historiske rødder og kulturarv; beklager, at de serbiske myndigheder har ransaget kulturcentret i Bosilegrad og indledt en forundersøgelse om "etnisk had" mod aktivister fra ikkestatslige organisationer;</w:t>
      </w:r>
    </w:p>
    <w:p w14:paraId="13D6CFE4" w14:textId="7DC3A08C" w:rsidR="004758EA" w:rsidRPr="008363F9" w:rsidRDefault="006F237B" w:rsidP="004758EA">
      <w:pPr>
        <w:pStyle w:val="NormalHanging12a"/>
        <w:rPr>
          <w:bCs/>
          <w:iCs/>
          <w:szCs w:val="24"/>
        </w:rPr>
      </w:pPr>
      <w:r>
        <w:rPr>
          <w:szCs w:val="24"/>
        </w:rPr>
        <w:t>49</w:t>
      </w:r>
      <w:r w:rsidR="004758EA" w:rsidRPr="008363F9">
        <w:rPr>
          <w:szCs w:val="24"/>
        </w:rPr>
        <w:t>.</w:t>
      </w:r>
      <w:r w:rsidR="004758EA" w:rsidRPr="008363F9">
        <w:rPr>
          <w:szCs w:val="24"/>
        </w:rPr>
        <w:tab/>
        <w:t>opfordrer Serbien til at afholde sig fra at fordreje historiske begivenheder som eksempelvis med narrativet om den såkaldte Surdulica-massakre, der kun tjener til at sprede splittelse og had mod mindretal og nabolande, hvilket er uforeneligt med EU-medlemskab;</w:t>
      </w:r>
    </w:p>
    <w:p w14:paraId="32F21D98" w14:textId="77777777" w:rsidR="004758EA" w:rsidRPr="008363F9" w:rsidRDefault="004758EA" w:rsidP="004758EA">
      <w:pPr>
        <w:pStyle w:val="NormalHanging12a"/>
        <w:rPr>
          <w:b/>
          <w:i/>
          <w:szCs w:val="24"/>
        </w:rPr>
      </w:pPr>
      <w:r w:rsidRPr="008363F9">
        <w:rPr>
          <w:b/>
          <w:i/>
          <w:szCs w:val="24"/>
        </w:rPr>
        <w:t>Forsoning og gode naboskabsforbindelser</w:t>
      </w:r>
    </w:p>
    <w:p w14:paraId="0D6619CD" w14:textId="54F32673" w:rsidR="004758EA" w:rsidRPr="008363F9" w:rsidRDefault="006F237B" w:rsidP="004758EA">
      <w:pPr>
        <w:pStyle w:val="NormalHanging12a"/>
        <w:rPr>
          <w:bCs/>
          <w:iCs/>
          <w:szCs w:val="24"/>
        </w:rPr>
      </w:pPr>
      <w:r>
        <w:rPr>
          <w:szCs w:val="24"/>
        </w:rPr>
        <w:t>50</w:t>
      </w:r>
      <w:r w:rsidR="004758EA" w:rsidRPr="008363F9">
        <w:rPr>
          <w:szCs w:val="24"/>
        </w:rPr>
        <w:t>.</w:t>
      </w:r>
      <w:r w:rsidR="004758EA" w:rsidRPr="008363F9">
        <w:rPr>
          <w:szCs w:val="24"/>
        </w:rPr>
        <w:tab/>
        <w:t>gentager, at gode naboskabsforbindelser og regionalt samarbejde fortsat er afgørende elementer i udvidelsesprocessen; opfordrer Serbien til at stoppe indrejserestriktioner for regionale civilsamfundsaktivister og kunstnere, da en sådan praksis underminerer regional dialog og samarbejde; bekræfter desuden igen vigtigheden af stabilitet i de sydøsteuropæiske lande og af deres modstandsdygtighed over for udenlandsk indblanding i interne demokratiske processer; understreger vigtigheden af, at Serbien udvikler gode naboskabsforbindelser, gennemfører bilaterale aftaler og løser udestående bilaterale problemer med sine naboer; bemærker Serbiens deltagelse i regionale initiativer og dets aktive engagement i vækstplanen for Vestbalkan og det fælles regionale marked; understreger den omstændighed, at respekt for nationale mindretals rettigheder er en afgørende forudsætning for, at Serbien kan komme videre på sin vej mod EU;</w:t>
      </w:r>
    </w:p>
    <w:p w14:paraId="20F88F30" w14:textId="0F16F2E8" w:rsidR="004758EA" w:rsidRPr="008363F9" w:rsidRDefault="006F237B" w:rsidP="004758EA">
      <w:pPr>
        <w:pStyle w:val="NormalHanging12a"/>
        <w:rPr>
          <w:bCs/>
          <w:szCs w:val="24"/>
        </w:rPr>
      </w:pPr>
      <w:r>
        <w:rPr>
          <w:szCs w:val="24"/>
        </w:rPr>
        <w:t>51</w:t>
      </w:r>
      <w:r w:rsidR="004758EA" w:rsidRPr="008363F9">
        <w:rPr>
          <w:szCs w:val="24"/>
        </w:rPr>
        <w:t>.</w:t>
      </w:r>
      <w:r w:rsidR="004758EA" w:rsidRPr="008363F9">
        <w:rPr>
          <w:szCs w:val="24"/>
        </w:rPr>
        <w:tab/>
        <w:t>opfordrer til historisk forsoning og overvindelse af forskelsbehandling og fordomme med rødder i fortiden; beklager den seneste tids provokerende retorik fra regeringens side rettet mod nabostater, der ikke støttede åbningen af klynge 3 for Serbiens vedkommende;</w:t>
      </w:r>
    </w:p>
    <w:p w14:paraId="7A99E360" w14:textId="7E715BAF" w:rsidR="004758EA" w:rsidRPr="008363F9" w:rsidRDefault="006F237B" w:rsidP="004758EA">
      <w:pPr>
        <w:pStyle w:val="NormalHanging12a"/>
        <w:rPr>
          <w:bCs/>
          <w:szCs w:val="24"/>
        </w:rPr>
      </w:pPr>
      <w:r>
        <w:rPr>
          <w:szCs w:val="24"/>
        </w:rPr>
        <w:t>52</w:t>
      </w:r>
      <w:r w:rsidR="004758EA" w:rsidRPr="008363F9">
        <w:rPr>
          <w:szCs w:val="24"/>
        </w:rPr>
        <w:t>.</w:t>
      </w:r>
      <w:r w:rsidR="004758EA" w:rsidRPr="008363F9">
        <w:rPr>
          <w:szCs w:val="24"/>
        </w:rPr>
        <w:tab/>
        <w:t>gentager, at Serbien skal afholde sig fra at påvirke den interne politik i sine nabolande på Vestbalkan, herunder i forbindelse med den forfatningsstridige fejring af Republika Srpska-dagen i Bosnien-Hercegovina, og fra at stille spørgsmålstegn ved Bosnien-Hercegovinas domstolsafgørelser;</w:t>
      </w:r>
    </w:p>
    <w:p w14:paraId="7CB4C9E4" w14:textId="5DD74B9F" w:rsidR="004758EA" w:rsidRPr="008363F9" w:rsidRDefault="006F237B" w:rsidP="004758EA">
      <w:pPr>
        <w:pStyle w:val="NormalHanging12a"/>
        <w:rPr>
          <w:szCs w:val="24"/>
        </w:rPr>
      </w:pPr>
      <w:r>
        <w:rPr>
          <w:szCs w:val="24"/>
        </w:rPr>
        <w:t>53</w:t>
      </w:r>
      <w:r w:rsidR="004758EA" w:rsidRPr="008363F9">
        <w:rPr>
          <w:szCs w:val="24"/>
        </w:rPr>
        <w:t>.</w:t>
      </w:r>
      <w:r w:rsidR="004758EA" w:rsidRPr="008363F9">
        <w:rPr>
          <w:szCs w:val="24"/>
        </w:rPr>
        <w:tab/>
        <w:t>opfordrer indtrængende Serbien til at intensivere sine forsoningsbestræbelser og tilstræbe løsninger på tidligere tvister, især når det drejer sig om forsvundne personer, som udgør 1 782 personer i Kroatien, 7 608 personer i Bosnien-Hercegovina og 1 595 personer i Kosovo; opfordrer de serbiske myndigheder til at yde ofrene retfærdighed ved at anerkende og respektere domstolsafgørelser om krigsforbrydelser, bekæmpe straffrihed for krigsforbrydelser, efterforske sager om forsvundne personer, undersøge gravsteder og støtte nationale anklagere i at stille gerningsmænd for retten, hvilket også indebærer samarbejde fra andre parters side; fordømmer kraftigt den udbredte offentlige benægtelse af internationale domme for krigsforbrydelser, herunder benægtelsen af folkedrabet i Srebrenica;</w:t>
      </w:r>
    </w:p>
    <w:p w14:paraId="3EB21EF2" w14:textId="277D0721" w:rsidR="004758EA" w:rsidRDefault="006F237B" w:rsidP="004758EA">
      <w:pPr>
        <w:pStyle w:val="NormalHanging12a"/>
        <w:rPr>
          <w:szCs w:val="24"/>
        </w:rPr>
      </w:pPr>
      <w:r>
        <w:rPr>
          <w:szCs w:val="24"/>
        </w:rPr>
        <w:t>54</w:t>
      </w:r>
      <w:r w:rsidR="004758EA" w:rsidRPr="008363F9">
        <w:rPr>
          <w:szCs w:val="24"/>
        </w:rPr>
        <w:t>.</w:t>
      </w:r>
      <w:r w:rsidR="004758EA" w:rsidRPr="008363F9">
        <w:rPr>
          <w:szCs w:val="24"/>
        </w:rPr>
        <w:tab/>
        <w:t>opfordrer domstolsmyndighederne i Serbien til at sikre, at standarderne for en retfærdig rettergang og retfærdighed for ofre overholdes i alle krigsforbrydelsessager; opfordrer til, at benægtelse af krigsforbrydelser og forherligelse af krigsforbrydere indføjes i straffeloven med henblik på at retsforfølge enhver form for benægtelse af krigsforbrydelser, der er fastslået ved domme afsagt af Det Internationale Krigsforbrydertribunal vedrørende det Tidligere Jugoslavien og Den Internationale Domstol;</w:t>
      </w:r>
    </w:p>
    <w:p w14:paraId="3E294351" w14:textId="17DC7116" w:rsidR="00FA7C61" w:rsidRPr="008363F9" w:rsidRDefault="006F237B" w:rsidP="004758EA">
      <w:pPr>
        <w:pStyle w:val="NormalHanging12a"/>
        <w:rPr>
          <w:bCs/>
          <w:iCs/>
          <w:szCs w:val="24"/>
        </w:rPr>
      </w:pPr>
      <w:r>
        <w:rPr>
          <w:szCs w:val="24"/>
        </w:rPr>
        <w:t>55</w:t>
      </w:r>
      <w:r w:rsidR="00FA7C61">
        <w:rPr>
          <w:szCs w:val="24"/>
        </w:rPr>
        <w:t>.</w:t>
      </w:r>
      <w:r w:rsidR="00FA7C61">
        <w:rPr>
          <w:szCs w:val="24"/>
        </w:rPr>
        <w:tab/>
      </w:r>
      <w:r w:rsidR="00FA7C61" w:rsidRPr="00FA7C61">
        <w:rPr>
          <w:szCs w:val="24"/>
        </w:rPr>
        <w:t xml:space="preserve">gentager sin støtte til initiativet om at oprette en regional kommission for </w:t>
      </w:r>
      <w:r w:rsidR="006D3357">
        <w:rPr>
          <w:szCs w:val="24"/>
        </w:rPr>
        <w:t>at fastslå</w:t>
      </w:r>
      <w:r w:rsidR="00FA7C61" w:rsidRPr="00FA7C61">
        <w:rPr>
          <w:szCs w:val="24"/>
        </w:rPr>
        <w:t xml:space="preserve"> kendsgerninger vedrørende krigsforbrydelser og andre alvorlige menneskerettighedskrænkelser begået i </w:t>
      </w:r>
      <w:r w:rsidR="006D3357">
        <w:rPr>
          <w:szCs w:val="24"/>
        </w:rPr>
        <w:t xml:space="preserve">området for </w:t>
      </w:r>
      <w:r w:rsidR="00FA7C61" w:rsidRPr="00FA7C61">
        <w:rPr>
          <w:szCs w:val="24"/>
        </w:rPr>
        <w:t>det tidligere Jugoslavien (RECOM);</w:t>
      </w:r>
    </w:p>
    <w:p w14:paraId="525A1223" w14:textId="7EEB1263" w:rsidR="004758EA" w:rsidRPr="008363F9" w:rsidRDefault="006F237B" w:rsidP="004758EA">
      <w:pPr>
        <w:pStyle w:val="NormalHanging12a"/>
        <w:rPr>
          <w:bCs/>
          <w:iCs/>
          <w:szCs w:val="24"/>
        </w:rPr>
      </w:pPr>
      <w:r>
        <w:rPr>
          <w:szCs w:val="24"/>
        </w:rPr>
        <w:t>56</w:t>
      </w:r>
      <w:r w:rsidR="004758EA" w:rsidRPr="008363F9">
        <w:rPr>
          <w:szCs w:val="24"/>
        </w:rPr>
        <w:t>.</w:t>
      </w:r>
      <w:r w:rsidR="004758EA" w:rsidRPr="008363F9">
        <w:rPr>
          <w:szCs w:val="24"/>
        </w:rPr>
        <w:tab/>
        <w:t>gentager sit standpunkt om vigtigheden af at åbne og offentliggøre krigstidsarkiver og gentager sin opfordring til, at de tidligere jugoslaviske arkiver åbnes, og navnlig til, at der gives adgang til sagsmapperne fra den tidligere jugoslaviske efterretningstjeneste (UDBA) og den jugoslaviske folkehærs kontraspionagetjeneste (KOS), og at sagsmapperne gives tilbage til de respektive regeringer, hvis de anmoder om det;</w:t>
      </w:r>
    </w:p>
    <w:p w14:paraId="6476BBF4" w14:textId="1B2D560E" w:rsidR="004758EA" w:rsidRPr="008363F9" w:rsidRDefault="006F237B" w:rsidP="004758EA">
      <w:pPr>
        <w:pStyle w:val="NormalHanging12a"/>
        <w:rPr>
          <w:szCs w:val="24"/>
        </w:rPr>
      </w:pPr>
      <w:r>
        <w:rPr>
          <w:szCs w:val="24"/>
        </w:rPr>
        <w:t>57</w:t>
      </w:r>
      <w:r w:rsidR="004758EA" w:rsidRPr="008363F9">
        <w:rPr>
          <w:szCs w:val="24"/>
        </w:rPr>
        <w:t>.</w:t>
      </w:r>
      <w:r w:rsidR="004758EA" w:rsidRPr="008363F9">
        <w:rPr>
          <w:szCs w:val="24"/>
        </w:rPr>
        <w:tab/>
        <w:t>giver endnu en gang udtryk for sin fulde opbakning til den EU-støttede dialog og glæder sig over udnævnelsen af Peter Sørensen som EU's særlige repræsentant for dialogen mellem Beograd og Pristina;</w:t>
      </w:r>
    </w:p>
    <w:p w14:paraId="3A15676B" w14:textId="354B14C1" w:rsidR="004758EA" w:rsidRPr="008363F9" w:rsidRDefault="006F237B" w:rsidP="004758EA">
      <w:pPr>
        <w:pStyle w:val="NormalHanging12a"/>
        <w:rPr>
          <w:i/>
          <w:szCs w:val="24"/>
        </w:rPr>
      </w:pPr>
      <w:r>
        <w:rPr>
          <w:szCs w:val="24"/>
        </w:rPr>
        <w:t>58</w:t>
      </w:r>
      <w:r w:rsidR="004758EA" w:rsidRPr="008363F9">
        <w:rPr>
          <w:szCs w:val="24"/>
        </w:rPr>
        <w:t>.</w:t>
      </w:r>
      <w:r w:rsidR="004758EA" w:rsidRPr="008363F9">
        <w:rPr>
          <w:szCs w:val="24"/>
        </w:rPr>
        <w:tab/>
        <w:t>gør på ny opmærksom på betydningen af et konstruktivt engagement fra både Serbiens og Kosovos myndigheders side med henblik på at opnå en omfattende retligt bindende normaliseringsaftale, der er baseret på gensidig anerkendelse og i overensstemmelse med folkeretten; opfordrer både Kosovo og Serbien til at gennemføre Bruxelles- og Ohrid-aftalerne, herunder oprettelsen af sammenslutningen/fællesskabet af kommuner med serbisk flertal, samt til, at Serbien opgiver sin modstand mod Kosovos medlemskab af regionale og internationale organisationer, og at ensidige handlinger, der kan undergrave dialogprocessen, undgås;</w:t>
      </w:r>
    </w:p>
    <w:p w14:paraId="622D3D4D" w14:textId="1C67F666" w:rsidR="004758EA" w:rsidRPr="008363F9" w:rsidRDefault="006F237B" w:rsidP="004758EA">
      <w:pPr>
        <w:pStyle w:val="NormalHanging12a"/>
        <w:rPr>
          <w:szCs w:val="24"/>
        </w:rPr>
      </w:pPr>
      <w:r>
        <w:rPr>
          <w:szCs w:val="24"/>
        </w:rPr>
        <w:t>59</w:t>
      </w:r>
      <w:r w:rsidR="004758EA" w:rsidRPr="008363F9">
        <w:rPr>
          <w:szCs w:val="24"/>
        </w:rPr>
        <w:t>.</w:t>
      </w:r>
      <w:r w:rsidR="004758EA" w:rsidRPr="008363F9">
        <w:rPr>
          <w:szCs w:val="24"/>
        </w:rPr>
        <w:tab/>
        <w:t>forventer, at Kosovo og Serbien samarbejder fuldt ud og træffer alle nødvendige foranstaltninger til at pågribe gerningsmændene til terrorangrebene i Banjska og hurtigt stille dem for en domstol; beklager, at Serbien endnu ikke har retsforfulgt de skyldige, navnlig Milan Radoičić, næstformanden for Srpska Lista; gentager, at gerningsmændene til terrorangrebet i Zubin Potok også skal drages til ansvar og omgående retsforfølges;</w:t>
      </w:r>
    </w:p>
    <w:p w14:paraId="7C958D1C" w14:textId="5B646911" w:rsidR="004758EA" w:rsidRPr="008363F9" w:rsidRDefault="006F237B" w:rsidP="004758EA">
      <w:pPr>
        <w:pStyle w:val="NormalHanging12a"/>
        <w:rPr>
          <w:i/>
          <w:szCs w:val="24"/>
        </w:rPr>
      </w:pPr>
      <w:r>
        <w:rPr>
          <w:szCs w:val="24"/>
        </w:rPr>
        <w:t>60</w:t>
      </w:r>
      <w:r w:rsidR="004758EA" w:rsidRPr="008363F9">
        <w:rPr>
          <w:szCs w:val="24"/>
        </w:rPr>
        <w:t>.</w:t>
      </w:r>
      <w:r w:rsidR="004758EA" w:rsidRPr="008363F9">
        <w:rPr>
          <w:szCs w:val="24"/>
        </w:rPr>
        <w:tab/>
        <w:t>opfordrer næstformanden for Kommissionen/Unionens højtstående repræsentant for udenrigsanliggender og sikkerhedspolitik og Kommissionen til at spille en mere proaktiv rolle i ledelsen af dialogprocessen; opfordrer til, at Europa-Parlamentet får en større rolle i at fremme dialogen gennem regelmæssige fælles møder i den parlamentariske forsamling;</w:t>
      </w:r>
    </w:p>
    <w:p w14:paraId="105358B8" w14:textId="77777777" w:rsidR="004758EA" w:rsidRPr="008363F9" w:rsidRDefault="004758EA" w:rsidP="004758EA">
      <w:pPr>
        <w:pStyle w:val="NormalHanging12a"/>
        <w:rPr>
          <w:szCs w:val="24"/>
        </w:rPr>
      </w:pPr>
      <w:r w:rsidRPr="008363F9">
        <w:rPr>
          <w:b/>
          <w:i/>
          <w:szCs w:val="24"/>
        </w:rPr>
        <w:t>Socioøkonomiske reformer</w:t>
      </w:r>
    </w:p>
    <w:p w14:paraId="687F53E6" w14:textId="361F8BFD" w:rsidR="004758EA" w:rsidRPr="008363F9" w:rsidRDefault="006F237B" w:rsidP="004758EA">
      <w:pPr>
        <w:pStyle w:val="NormalHanging12a"/>
        <w:rPr>
          <w:bCs/>
          <w:szCs w:val="24"/>
        </w:rPr>
      </w:pPr>
      <w:r>
        <w:rPr>
          <w:szCs w:val="24"/>
        </w:rPr>
        <w:t>61</w:t>
      </w:r>
      <w:r w:rsidR="004758EA" w:rsidRPr="008363F9">
        <w:rPr>
          <w:szCs w:val="24"/>
        </w:rPr>
        <w:t>.</w:t>
      </w:r>
      <w:r w:rsidR="004758EA" w:rsidRPr="008363F9">
        <w:rPr>
          <w:szCs w:val="24"/>
        </w:rPr>
        <w:tab/>
        <w:t>glæder sig over Serbiens støtte fremskridt i retning af at udvikle en fungerende markedsøkonomi med en positiv BNP-vækst og øgede udenlandske investeringer i nogle sektorer; noterer sig, at Serbien har fået sin første "investment grade"-kreditvurdering nogensinde; understreger, at EU er Serbiens vigtigste handelspartner, den største kilde til direkte udenlandske investeringer og langt den største donor; gentager, at den finansielle bistand, som er til stor gavn for Serbien, er betinget af en styrkelse af de demokratiske principper og tilpasning til FUSP og andre EU-politikker; gentager, at der er behov for mere omfattende reformer på arbejdsmarkedet, på uddannelsesområdet og i den offentlige forvaltning, herunder for at imødegå sociale uligheder; giver udtryk for bekymring over omfanget af og anvendelsesområdet for tildelte mellemstatslige kontrakter, der er undtaget fra den gældende lovramme for offentlige udbud; beklager imidlertid, at den offentlige gæld i procent af BNP stadig ligger et godt stykke over det østeuropæiske gennemsnit;</w:t>
      </w:r>
    </w:p>
    <w:p w14:paraId="77C27C36" w14:textId="734A4871" w:rsidR="004758EA" w:rsidRPr="008363F9" w:rsidRDefault="006F237B" w:rsidP="004758EA">
      <w:pPr>
        <w:pStyle w:val="NormalHanging12a"/>
        <w:rPr>
          <w:bCs/>
          <w:iCs/>
          <w:szCs w:val="24"/>
        </w:rPr>
      </w:pPr>
      <w:r>
        <w:rPr>
          <w:szCs w:val="24"/>
        </w:rPr>
        <w:t>62</w:t>
      </w:r>
      <w:r w:rsidR="004758EA" w:rsidRPr="008363F9">
        <w:rPr>
          <w:szCs w:val="24"/>
        </w:rPr>
        <w:t>.</w:t>
      </w:r>
      <w:r w:rsidR="004758EA" w:rsidRPr="008363F9">
        <w:rPr>
          <w:szCs w:val="24"/>
        </w:rPr>
        <w:tab/>
        <w:t>er bekymret over Ruslands og Kinas investeringer i Serbien og deres voksende indflydelse på de politiske og økonomiske processer i regionen;</w:t>
      </w:r>
    </w:p>
    <w:p w14:paraId="7B2425C4" w14:textId="03CA0799" w:rsidR="004758EA" w:rsidRPr="008363F9" w:rsidRDefault="006F237B" w:rsidP="004758EA">
      <w:pPr>
        <w:pStyle w:val="NormalHanging12a"/>
        <w:rPr>
          <w:bCs/>
          <w:iCs/>
          <w:szCs w:val="24"/>
        </w:rPr>
      </w:pPr>
      <w:r>
        <w:rPr>
          <w:szCs w:val="24"/>
        </w:rPr>
        <w:t>63</w:t>
      </w:r>
      <w:r w:rsidR="004758EA" w:rsidRPr="008363F9">
        <w:rPr>
          <w:szCs w:val="24"/>
        </w:rPr>
        <w:t>.</w:t>
      </w:r>
      <w:r w:rsidR="004758EA" w:rsidRPr="008363F9">
        <w:rPr>
          <w:szCs w:val="24"/>
        </w:rPr>
        <w:tab/>
        <w:t>opfordrer Serbien til at intensivere indsatsen og øge investeringerne i den socioøkonomiske udvikling af landets grænseregioner for at imødegå affolkning og sikre, at indbyggerne har adgang til væsentlige tjenester, herunder erhvervsmuligheder, sundhedspleje og uddannelse; fremhæver potentialet i IPA III's programmer for grænseoverskridende samarbejde som et vigtigt redskab til at fremme langsigtet bæredygtig regional vækst;</w:t>
      </w:r>
    </w:p>
    <w:p w14:paraId="34C9BDAD" w14:textId="78922576" w:rsidR="004758EA" w:rsidRPr="008363F9" w:rsidRDefault="006F237B" w:rsidP="004758EA">
      <w:pPr>
        <w:pStyle w:val="NormalHanging12a"/>
        <w:rPr>
          <w:szCs w:val="24"/>
        </w:rPr>
      </w:pPr>
      <w:r>
        <w:rPr>
          <w:szCs w:val="24"/>
        </w:rPr>
        <w:t>64</w:t>
      </w:r>
      <w:r w:rsidR="004758EA" w:rsidRPr="008363F9">
        <w:rPr>
          <w:szCs w:val="24"/>
        </w:rPr>
        <w:t>.</w:t>
      </w:r>
      <w:r w:rsidR="004758EA" w:rsidRPr="008363F9">
        <w:rPr>
          <w:szCs w:val="24"/>
        </w:rPr>
        <w:tab/>
        <w:t>glæder sig over Serbiens aktive engagement i gennemførelsen af den nye vækstplan for Vestbalkan; noterer sig, at Serbien vedtog sin reformdagsorden den 3. oktober 2024; mener, at en udnyttelse af mulighederne i vækstplanen yderligere vil styrke den serbiske økonomi, som i løbet af de seneste tre år har draget fordel af over 586 mio. EUR i finansiel og teknisk bistand under IPA III; mener, at EU-finansieringen i højere grad bør støtte landets demokratiske reformer; opfordrer i den forbindelse til, at den relevante EU-finansiering, herunder fra vækstplanen for Vestbalkan, omprogrammeres med henblik på at omdirigere flere midler til støtte for reformer af retsvæsenet og korruptionsbekæmpende foranstaltninger samt til uafhængige medier og civilsamfundsorganisationer for at støtte deres meget vigtige arbejde, især i det tomrum, der er opstået, efter at amerikanske donorer har trukket sig ud; opfordrer endvidere EU og landene på Vestbalkan til at etablere en ramme for et frugtbart samarbejde mellem Den Europæiske Anklagemyndighed (EPPO) og dennes modparter på Vestbalkan, så det sikres, at EPPO reelt kan udøve sine beføjelser over IPA III-midler og midler fra faciliteten for Vestbalkan i modtagerlandene; opfordrer indtrængende de serbiske myndigheder til at øge indsatsen for at kommunikere tydeligt til borgerne om fordelene ved EU-midlerne og forbedre synligheden heraf;</w:t>
      </w:r>
    </w:p>
    <w:p w14:paraId="3A7E57DC" w14:textId="19B41881" w:rsidR="004758EA" w:rsidRPr="008363F9" w:rsidRDefault="006F237B" w:rsidP="004758EA">
      <w:pPr>
        <w:pStyle w:val="NormalHanging12a"/>
        <w:rPr>
          <w:bCs/>
          <w:iCs/>
          <w:szCs w:val="24"/>
        </w:rPr>
      </w:pPr>
      <w:r>
        <w:rPr>
          <w:szCs w:val="24"/>
        </w:rPr>
        <w:t>65</w:t>
      </w:r>
      <w:r w:rsidR="004758EA" w:rsidRPr="008363F9">
        <w:rPr>
          <w:szCs w:val="24"/>
        </w:rPr>
        <w:t>.</w:t>
      </w:r>
      <w:r w:rsidR="004758EA" w:rsidRPr="008363F9">
        <w:rPr>
          <w:szCs w:val="24"/>
        </w:rPr>
        <w:tab/>
        <w:t>beklager fraværet af offentlige høringer i forbindelse med vedtagelsen af den serbiske reformdagsorden; opfordrer til et mere effektivt tilsyn med EU's finansieringsprogrammer og projekter;</w:t>
      </w:r>
    </w:p>
    <w:p w14:paraId="1BFD6DBD" w14:textId="2D1CD16D" w:rsidR="004758EA" w:rsidRPr="008363F9" w:rsidRDefault="006F237B" w:rsidP="004758EA">
      <w:pPr>
        <w:pStyle w:val="NormalHanging12a"/>
        <w:rPr>
          <w:bCs/>
          <w:iCs/>
          <w:szCs w:val="24"/>
        </w:rPr>
      </w:pPr>
      <w:r>
        <w:rPr>
          <w:szCs w:val="24"/>
        </w:rPr>
        <w:t>66</w:t>
      </w:r>
      <w:r w:rsidR="004758EA" w:rsidRPr="008363F9">
        <w:rPr>
          <w:szCs w:val="24"/>
        </w:rPr>
        <w:t>.</w:t>
      </w:r>
      <w:r w:rsidR="004758EA" w:rsidRPr="008363F9">
        <w:rPr>
          <w:szCs w:val="24"/>
        </w:rPr>
        <w:tab/>
        <w:t>slår til lyd for øget regionalt samarbejde mellem landene på Vestbalkan om at udveksle bedste praksis og udvikle fælles strategier til bekæmpelse af desinformation og udenlandsk indblanding; fremhæver EU's rolle i at fremme sådanne samarbejdsbestræbelser; opfordrer til en fortsættelse og yderligere styrkelse af det regionale cybersikkerhedsprogram under IPA;</w:t>
      </w:r>
    </w:p>
    <w:p w14:paraId="6467A4D4" w14:textId="459AFDCA" w:rsidR="004758EA" w:rsidRPr="008363F9" w:rsidRDefault="006F237B" w:rsidP="004758EA">
      <w:pPr>
        <w:pStyle w:val="NormalHanging12a"/>
        <w:rPr>
          <w:bCs/>
          <w:iCs/>
          <w:szCs w:val="24"/>
        </w:rPr>
      </w:pPr>
      <w:r>
        <w:rPr>
          <w:szCs w:val="24"/>
        </w:rPr>
        <w:t>67</w:t>
      </w:r>
      <w:r w:rsidR="004758EA" w:rsidRPr="008363F9">
        <w:rPr>
          <w:szCs w:val="24"/>
        </w:rPr>
        <w:t>.</w:t>
      </w:r>
      <w:r w:rsidR="004758EA" w:rsidRPr="008363F9">
        <w:rPr>
          <w:szCs w:val="24"/>
        </w:rPr>
        <w:tab/>
        <w:t>anerkender den vigtige rolle, som Serbiens erhvervsliv spiller for at fremme økonomisk konvergens med EU, herunder gennem de muligheder, som vækstplanen for Vestbalkan og gennemførelsen heraf giver som et bæredygtigt alternativ til russiske og kinesiske investeringer i landet; glæder sig over erhvervslivets bidrag til at fremme de socioøkonomiske relationer på Vestbalkan;</w:t>
      </w:r>
    </w:p>
    <w:p w14:paraId="772B498E" w14:textId="66071B40" w:rsidR="004758EA" w:rsidRPr="008363F9" w:rsidRDefault="006F237B" w:rsidP="004758EA">
      <w:pPr>
        <w:pStyle w:val="NormalHanging12a"/>
        <w:rPr>
          <w:bCs/>
          <w:iCs/>
          <w:szCs w:val="24"/>
        </w:rPr>
      </w:pPr>
      <w:r>
        <w:rPr>
          <w:szCs w:val="24"/>
        </w:rPr>
        <w:t>68</w:t>
      </w:r>
      <w:r w:rsidR="004758EA" w:rsidRPr="008363F9">
        <w:rPr>
          <w:szCs w:val="24"/>
        </w:rPr>
        <w:t>.</w:t>
      </w:r>
      <w:r w:rsidR="004758EA" w:rsidRPr="008363F9">
        <w:rPr>
          <w:szCs w:val="24"/>
        </w:rPr>
        <w:tab/>
        <w:t>noterer sig Serbiens erhvervslivs indsats med hensyn til at advokere for Vestbalkans tiltrædelse af EU's indre marked som et konkret skridt i retning af fuldt EU-medlemskab; opfordrer til klare, målbare handlinger og veldefinerede roller og ansvarsområder for gennemførelsen af handlingsplanen for det fælles regionale marked som en vigtig drivkraft for regionens vellykkede tiltrædelse af EU's indre marked;</w:t>
      </w:r>
    </w:p>
    <w:p w14:paraId="52B1C60B" w14:textId="77777777" w:rsidR="004758EA" w:rsidRPr="008363F9" w:rsidRDefault="004758EA" w:rsidP="004758EA">
      <w:pPr>
        <w:pStyle w:val="NormalHanging12a"/>
        <w:rPr>
          <w:b/>
          <w:i/>
          <w:szCs w:val="24"/>
        </w:rPr>
      </w:pPr>
      <w:r w:rsidRPr="008363F9">
        <w:rPr>
          <w:b/>
          <w:i/>
          <w:szCs w:val="24"/>
        </w:rPr>
        <w:t>Energi, miljø, bæredygtig udvikling og konnektivitet</w:t>
      </w:r>
    </w:p>
    <w:p w14:paraId="09077EC6" w14:textId="39AD6388" w:rsidR="004758EA" w:rsidRPr="008363F9" w:rsidRDefault="006F237B" w:rsidP="004758EA">
      <w:pPr>
        <w:pStyle w:val="NormalHanging12a"/>
        <w:rPr>
          <w:szCs w:val="24"/>
        </w:rPr>
      </w:pPr>
      <w:r>
        <w:rPr>
          <w:szCs w:val="24"/>
        </w:rPr>
        <w:t>69</w:t>
      </w:r>
      <w:r w:rsidR="004758EA" w:rsidRPr="008363F9">
        <w:rPr>
          <w:szCs w:val="24"/>
        </w:rPr>
        <w:t>.</w:t>
      </w:r>
      <w:r w:rsidR="004758EA" w:rsidRPr="008363F9">
        <w:rPr>
          <w:szCs w:val="24"/>
        </w:rPr>
        <w:tab/>
        <w:t>opfordrer Serbien til at øge sin indsats med hensyn til gennemførelsen af det relevante miljø- og klimaregelværk og til at sikre korrekt anvendelse af miljøbeskyttelsesstandarder, herunder ved i væsentlig grad at forbedre sine administrative og tekniske kapaciteter på alle forvaltningsniveauer, navnlig hvad angår lovgivning om affaldshåndtering og vedtagelsen af programmet for tilpasning til klimaforandringer og den nationale energi- og klimaplan; opfordrer indtrængende de serbiske myndigheder til at forbedre gennemsigtigheden i og miljøkonsekvensvurderingen af alle investeringer, herunder fra Kina og Rusland;</w:t>
      </w:r>
    </w:p>
    <w:p w14:paraId="7F971F2F" w14:textId="4BD026DB" w:rsidR="004758EA" w:rsidRPr="008363F9" w:rsidRDefault="006F237B" w:rsidP="004758EA">
      <w:pPr>
        <w:pStyle w:val="NormalHanging12a"/>
        <w:rPr>
          <w:szCs w:val="24"/>
        </w:rPr>
      </w:pPr>
      <w:r>
        <w:rPr>
          <w:szCs w:val="24"/>
        </w:rPr>
        <w:t>70</w:t>
      </w:r>
      <w:r w:rsidR="004758EA" w:rsidRPr="008363F9">
        <w:rPr>
          <w:szCs w:val="24"/>
        </w:rPr>
        <w:t>.</w:t>
      </w:r>
      <w:r w:rsidR="004758EA" w:rsidRPr="008363F9">
        <w:rPr>
          <w:szCs w:val="24"/>
        </w:rPr>
        <w:tab/>
        <w:t>gentager sin beklagelse vedrørende manglen på handling i forbindelse med forureningen af Dragovishtitsa-floden, som er forårsaget af minedrift i regionen, og den skadelig indvirkning heraf på lokalbefolkningens sundhed og på miljøet;</w:t>
      </w:r>
    </w:p>
    <w:p w14:paraId="6394432F" w14:textId="0B6F8038" w:rsidR="004758EA" w:rsidRPr="008363F9" w:rsidRDefault="006F237B" w:rsidP="004758EA">
      <w:pPr>
        <w:pStyle w:val="NormalHanging12a"/>
        <w:rPr>
          <w:szCs w:val="24"/>
        </w:rPr>
      </w:pPr>
      <w:r>
        <w:rPr>
          <w:szCs w:val="24"/>
        </w:rPr>
        <w:t>71</w:t>
      </w:r>
      <w:r w:rsidR="004758EA" w:rsidRPr="008363F9">
        <w:rPr>
          <w:szCs w:val="24"/>
        </w:rPr>
        <w:t>.</w:t>
      </w:r>
      <w:r w:rsidR="004758EA" w:rsidRPr="008363F9">
        <w:rPr>
          <w:szCs w:val="24"/>
        </w:rPr>
        <w:tab/>
        <w:t>opfordrer Serbien til at øge sin indsats for at dekarbonisere sit energisystem og muliggøre effektiv håndhævelse af reglerne for forureningsreduktion i forbindelse med termiske kraftværker;</w:t>
      </w:r>
    </w:p>
    <w:p w14:paraId="49E25EAE" w14:textId="4F96A3F5" w:rsidR="004758EA" w:rsidRPr="008363F9" w:rsidRDefault="006F237B" w:rsidP="004758EA">
      <w:pPr>
        <w:pStyle w:val="NormalHanging12a"/>
        <w:rPr>
          <w:szCs w:val="24"/>
        </w:rPr>
      </w:pPr>
      <w:r>
        <w:rPr>
          <w:szCs w:val="24"/>
        </w:rPr>
        <w:t>72</w:t>
      </w:r>
      <w:r w:rsidR="004758EA" w:rsidRPr="008363F9">
        <w:rPr>
          <w:szCs w:val="24"/>
        </w:rPr>
        <w:t>.</w:t>
      </w:r>
      <w:r w:rsidR="004758EA" w:rsidRPr="008363F9">
        <w:rPr>
          <w:szCs w:val="24"/>
        </w:rPr>
        <w:tab/>
        <w:t>understreger, at der er behov for yderligere fremskridt i det grænseoverskridende samarbejde med nabolandene, især med hensyn til grænseoverskridende vejinfrastruktur; opfordrer indtrængende Serbien til at begynde at gennemføre de aktiviteter, der er skitseret i aftalememorandummet om miljøbeskyttelsessamarbejde med Bulgarien;</w:t>
      </w:r>
    </w:p>
    <w:p w14:paraId="0C5715AD" w14:textId="611CD002" w:rsidR="004758EA" w:rsidRPr="008363F9" w:rsidRDefault="006F237B" w:rsidP="004758EA">
      <w:pPr>
        <w:pStyle w:val="NormalHanging12a"/>
        <w:rPr>
          <w:szCs w:val="24"/>
        </w:rPr>
      </w:pPr>
      <w:r>
        <w:rPr>
          <w:szCs w:val="24"/>
        </w:rPr>
        <w:t>73</w:t>
      </w:r>
      <w:r w:rsidR="004758EA" w:rsidRPr="008363F9">
        <w:rPr>
          <w:szCs w:val="24"/>
        </w:rPr>
        <w:t>.</w:t>
      </w:r>
      <w:r w:rsidR="004758EA" w:rsidRPr="008363F9">
        <w:rPr>
          <w:szCs w:val="24"/>
        </w:rPr>
        <w:tab/>
        <w:t>noterer sig aftalememorandummet mellem EU og Serbien om oprettelse af et strategisk partnerskab om bæredygtige råstoffer, batteriværdikæder og elektriske køretøjer i betragtning af den europæiske energiomstilling og i overensstemmelse med de højeste miljøstandarder;</w:t>
      </w:r>
      <w:r w:rsidR="004758EA" w:rsidRPr="008363F9">
        <w:rPr>
          <w:b/>
          <w:szCs w:val="24"/>
        </w:rPr>
        <w:t xml:space="preserve"> </w:t>
      </w:r>
      <w:r w:rsidR="004758EA" w:rsidRPr="008363F9">
        <w:rPr>
          <w:szCs w:val="24"/>
        </w:rPr>
        <w:t>minder om, at dialog med de berørte befolkningsgrupper, det videnskabelige samfund og civilsamfundet bør stå i centrum for ethvert strategisk partnerskab af denne art;</w:t>
      </w:r>
    </w:p>
    <w:p w14:paraId="03E746DF" w14:textId="2964CD0C" w:rsidR="004758EA" w:rsidRPr="008363F9" w:rsidRDefault="006F237B" w:rsidP="004758EA">
      <w:pPr>
        <w:pStyle w:val="NormalHanging12a"/>
        <w:rPr>
          <w:bCs/>
          <w:szCs w:val="24"/>
        </w:rPr>
      </w:pPr>
      <w:r>
        <w:rPr>
          <w:szCs w:val="24"/>
        </w:rPr>
        <w:t>74</w:t>
      </w:r>
      <w:r w:rsidR="004758EA" w:rsidRPr="008363F9">
        <w:rPr>
          <w:szCs w:val="24"/>
        </w:rPr>
        <w:t>.</w:t>
      </w:r>
      <w:r w:rsidR="004758EA" w:rsidRPr="008363F9">
        <w:rPr>
          <w:szCs w:val="24"/>
        </w:rPr>
        <w:tab/>
        <w:t>glæder sig over den aftale om reducerede roamingomkostninger, der blev indgået på topmødet i Tirana mellem EU og landene på Vestbalkan; opfordrer i den forbindelse myndighederne, private aktører og alle interessenter til at fremme opfyldelsen af de aftalte mål om at opnå en væsentlig reduktion af roamingtaksterne for data og yderligere nedsættelser, som fører til priser, der ligger tæt på hjemmemarkedspriserne, mellem Vestbalkanlandene og EU senest i 2027; glæder sig over, at den første fase af gennemførelsen af køreplanen for roaming mellem Vestbalkan og EU er trådt i kraft;</w:t>
      </w:r>
    </w:p>
    <w:p w14:paraId="5A969541" w14:textId="1B1B038D" w:rsidR="004758EA" w:rsidRPr="008363F9" w:rsidRDefault="006F237B" w:rsidP="004758EA">
      <w:pPr>
        <w:pStyle w:val="NormalHanging12a"/>
        <w:rPr>
          <w:b/>
          <w:szCs w:val="24"/>
        </w:rPr>
      </w:pPr>
      <w:r>
        <w:rPr>
          <w:szCs w:val="24"/>
        </w:rPr>
        <w:t>75</w:t>
      </w:r>
      <w:r w:rsidR="004758EA" w:rsidRPr="008363F9">
        <w:rPr>
          <w:szCs w:val="24"/>
        </w:rPr>
        <w:t>.</w:t>
      </w:r>
      <w:r w:rsidR="004758EA" w:rsidRPr="008363F9">
        <w:rPr>
          <w:szCs w:val="24"/>
        </w:rPr>
        <w:tab/>
        <w:t>gentager, at det er vigtigt for Serbien at fortsætte med at diversificere sin energiforsyning, så det bliver i stand til at bryde med sin afhængighed af Rusland; noterer sig de sanktioner, som USA har bebudet mod Naftna Industrija Srbije (NIS), et datterselskab af russiske Gazprom; glæder sig over færdiggørelsen af gassamkøringslinjen mellem Serbien og Bulgarien (IBS) i december 2023; beklager udsættelsen af igangsættelsen af IBS' kommercielle drift; opfordrer til en hurtig afslutning af tilladelsesprocessen, som skal sikre, at den er fuldt funktionsdygtig i overensstemmelse med energifællesskabets regelværk; bemærker, at Serbien tager skridt til at indføre en kulstofafgift senest i 2027 som et skridt i retning af at tilpasse sig EU's emissionshandelssystem;</w:t>
      </w:r>
    </w:p>
    <w:p w14:paraId="5DE8B9F3" w14:textId="766408EB" w:rsidR="004758EA" w:rsidRPr="008363F9" w:rsidRDefault="006F237B" w:rsidP="004758EA">
      <w:pPr>
        <w:pStyle w:val="NormalHanging12a"/>
        <w:rPr>
          <w:bCs/>
          <w:szCs w:val="24"/>
        </w:rPr>
      </w:pPr>
      <w:r>
        <w:rPr>
          <w:szCs w:val="24"/>
        </w:rPr>
        <w:t>76</w:t>
      </w:r>
      <w:r w:rsidR="004758EA" w:rsidRPr="008363F9">
        <w:rPr>
          <w:szCs w:val="24"/>
        </w:rPr>
        <w:t>.</w:t>
      </w:r>
      <w:r w:rsidR="004758EA" w:rsidRPr="008363F9">
        <w:rPr>
          <w:szCs w:val="24"/>
        </w:rPr>
        <w:tab/>
        <w:t>bemærker, at alle kapitler i klynge 4 om den grønne dagsorden og bæredygtig konnektivitet er blevet åbnet; bemærker vedtagelsen af loven om miljøkonsekvensvurdering som et positivt skridt for miljøbeskyttelsen i Serbien, men beklager samtidig, at den nye lov ikke er i fuld overensstemmelse med det relevante EU-direktiv 2014/52/EU</w:t>
      </w:r>
      <w:r w:rsidR="004758EA" w:rsidRPr="008363F9">
        <w:rPr>
          <w:rStyle w:val="FootnoteReference"/>
          <w:bCs/>
          <w:szCs w:val="24"/>
        </w:rPr>
        <w:footnoteReference w:id="9"/>
      </w:r>
      <w:r w:rsidR="004758EA" w:rsidRPr="008363F9">
        <w:rPr>
          <w:szCs w:val="24"/>
        </w:rPr>
        <w:t>, da den stadig giver mulighed for, at væsentlige projekter kan gennemføres uden omfattende miljøundersøgelser; gentager, at det er nødvendigt at udpege og strengt forvalte beskyttede områder, især dem, der er udpeget som vigtige fugle- og biodiversitetsområder; opfordrer til, at der lægges særlig vægt på kritiske steder, hvor håndhævelsesindsatsen mod krybskytteri skal forbedres;</w:t>
      </w:r>
    </w:p>
    <w:p w14:paraId="4432893A" w14:textId="77777777" w:rsidR="004758EA" w:rsidRPr="008363F9" w:rsidRDefault="004758EA" w:rsidP="004758EA">
      <w:pPr>
        <w:pStyle w:val="NormalHanging12a"/>
        <w:jc w:val="center"/>
        <w:rPr>
          <w:szCs w:val="24"/>
        </w:rPr>
      </w:pPr>
      <w:r w:rsidRPr="008363F9">
        <w:rPr>
          <w:szCs w:val="24"/>
        </w:rPr>
        <w:t>°</w:t>
      </w:r>
    </w:p>
    <w:p w14:paraId="61C749C3" w14:textId="77777777" w:rsidR="004758EA" w:rsidRPr="008363F9" w:rsidRDefault="004758EA" w:rsidP="004758EA">
      <w:pPr>
        <w:pStyle w:val="NormalHanging12a"/>
        <w:jc w:val="center"/>
        <w:rPr>
          <w:szCs w:val="24"/>
        </w:rPr>
      </w:pPr>
      <w:r w:rsidRPr="008363F9">
        <w:rPr>
          <w:szCs w:val="24"/>
        </w:rPr>
        <w:t>°</w:t>
      </w:r>
      <w:r w:rsidRPr="008363F9">
        <w:rPr>
          <w:szCs w:val="24"/>
        </w:rPr>
        <w:tab/>
        <w:t>°</w:t>
      </w:r>
    </w:p>
    <w:p w14:paraId="1A9A64C9" w14:textId="76B71142" w:rsidR="00E365E1" w:rsidRPr="008363F9" w:rsidRDefault="006F237B" w:rsidP="006F237B">
      <w:pPr>
        <w:pStyle w:val="NormalHanging12a"/>
      </w:pPr>
      <w:r>
        <w:rPr>
          <w:szCs w:val="24"/>
        </w:rPr>
        <w:t>77</w:t>
      </w:r>
      <w:r w:rsidR="004758EA" w:rsidRPr="008363F9">
        <w:rPr>
          <w:szCs w:val="24"/>
        </w:rPr>
        <w:t>.</w:t>
      </w:r>
      <w:r w:rsidR="004758EA" w:rsidRPr="008363F9">
        <w:rPr>
          <w:szCs w:val="24"/>
        </w:rPr>
        <w:tab/>
        <w:t>pålægger sin formand at sende denne beslutning til formanden for Det Europæiske Råd, Kommissionen, næstformanden for Kommissionen/Unionens højtstående repræsentant for Udenrigs- og Sikkerhedsanliggender, medlemsstaternes regeringer og parlamenter og Serbiens præsident, regering og nationalforsamling.</w:t>
      </w:r>
    </w:p>
    <w:sectPr w:rsidR="00E365E1" w:rsidRPr="008363F9" w:rsidSect="008363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94B33" w14:textId="77777777" w:rsidR="003F6E96" w:rsidRPr="008363F9" w:rsidRDefault="003F6E96">
      <w:r w:rsidRPr="008363F9">
        <w:separator/>
      </w:r>
    </w:p>
  </w:endnote>
  <w:endnote w:type="continuationSeparator" w:id="0">
    <w:p w14:paraId="6FF46658" w14:textId="77777777" w:rsidR="003F6E96" w:rsidRPr="008363F9" w:rsidRDefault="003F6E96">
      <w:r w:rsidRPr="00836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F8DAD" w14:textId="77777777" w:rsidR="003F6E96" w:rsidRPr="008363F9" w:rsidRDefault="003F6E96">
      <w:r w:rsidRPr="008363F9">
        <w:separator/>
      </w:r>
    </w:p>
  </w:footnote>
  <w:footnote w:type="continuationSeparator" w:id="0">
    <w:p w14:paraId="07B6E23C" w14:textId="77777777" w:rsidR="003F6E96" w:rsidRPr="008363F9" w:rsidRDefault="003F6E96">
      <w:r w:rsidRPr="008363F9">
        <w:continuationSeparator/>
      </w:r>
    </w:p>
  </w:footnote>
  <w:footnote w:id="1">
    <w:p w14:paraId="0BE9F1E5" w14:textId="77777777" w:rsidR="004758EA" w:rsidRPr="008363F9" w:rsidRDefault="004758EA" w:rsidP="008363F9">
      <w:pPr>
        <w:pStyle w:val="FootnoteText"/>
        <w:ind w:left="567" w:hanging="567"/>
        <w:rPr>
          <w:rFonts w:eastAsiaTheme="minorHAnsi"/>
          <w:sz w:val="24"/>
          <w:lang w:val="da-DK"/>
        </w:rPr>
      </w:pPr>
      <w:r w:rsidRPr="008363F9">
        <w:rPr>
          <w:rStyle w:val="FootnoteReference"/>
          <w:sz w:val="24"/>
          <w:lang w:val="da-DK"/>
        </w:rPr>
        <w:footnoteRef/>
      </w:r>
      <w:r w:rsidR="008363F9" w:rsidRPr="008363F9">
        <w:rPr>
          <w:sz w:val="24"/>
          <w:lang w:val="da-DK"/>
        </w:rPr>
        <w:t xml:space="preserve"> </w:t>
      </w:r>
      <w:r w:rsidR="008363F9" w:rsidRPr="008363F9">
        <w:rPr>
          <w:sz w:val="24"/>
          <w:lang w:val="da-DK"/>
        </w:rPr>
        <w:tab/>
      </w:r>
      <w:r w:rsidRPr="008363F9">
        <w:rPr>
          <w:sz w:val="24"/>
          <w:lang w:val="da-DK"/>
        </w:rPr>
        <w:t xml:space="preserve">EUT L 278 af 18.10.2013, s. 16, ELI: </w:t>
      </w:r>
      <w:hyperlink r:id="rId1" w:history="1">
        <w:r w:rsidRPr="008363F9">
          <w:rPr>
            <w:rStyle w:val="Hyperlink"/>
            <w:sz w:val="24"/>
            <w:lang w:val="da-DK"/>
          </w:rPr>
          <w:t>http://data.europa.eu/eli/agree_internation/2013/490/oj</w:t>
        </w:r>
      </w:hyperlink>
      <w:r w:rsidRPr="008363F9">
        <w:rPr>
          <w:sz w:val="24"/>
          <w:lang w:val="da-DK"/>
        </w:rPr>
        <w:t>.</w:t>
      </w:r>
    </w:p>
  </w:footnote>
  <w:footnote w:id="2">
    <w:p w14:paraId="28F196C4" w14:textId="77777777" w:rsidR="004758EA" w:rsidRPr="008363F9" w:rsidRDefault="004758EA" w:rsidP="008363F9">
      <w:pPr>
        <w:pStyle w:val="FootnoteText"/>
        <w:ind w:left="567" w:hanging="567"/>
        <w:rPr>
          <w:sz w:val="24"/>
          <w:lang w:val="da-DK"/>
        </w:rPr>
      </w:pPr>
      <w:r w:rsidRPr="008363F9">
        <w:rPr>
          <w:rStyle w:val="FootnoteReference"/>
          <w:sz w:val="24"/>
          <w:lang w:val="da-DK"/>
        </w:rPr>
        <w:footnoteRef/>
      </w:r>
      <w:r w:rsidR="008363F9" w:rsidRPr="008363F9">
        <w:rPr>
          <w:sz w:val="24"/>
          <w:lang w:val="da-DK"/>
        </w:rPr>
        <w:t xml:space="preserve"> </w:t>
      </w:r>
      <w:r w:rsidR="008363F9" w:rsidRPr="008363F9">
        <w:rPr>
          <w:sz w:val="24"/>
          <w:lang w:val="da-DK"/>
        </w:rPr>
        <w:tab/>
      </w:r>
      <w:r w:rsidRPr="008363F9">
        <w:rPr>
          <w:sz w:val="24"/>
          <w:lang w:val="da-DK"/>
        </w:rPr>
        <w:t xml:space="preserve">EUT L 330 af 20.9.2021, s. 1, ELI: </w:t>
      </w:r>
      <w:hyperlink r:id="rId2" w:history="1">
        <w:r w:rsidRPr="008363F9">
          <w:rPr>
            <w:rStyle w:val="Hyperlink"/>
            <w:sz w:val="24"/>
            <w:lang w:val="da-DK"/>
          </w:rPr>
          <w:t>http://data.europa.eu/eli/reg/2021/1529/oj</w:t>
        </w:r>
      </w:hyperlink>
      <w:r w:rsidRPr="008363F9">
        <w:rPr>
          <w:sz w:val="24"/>
          <w:lang w:val="da-DK"/>
        </w:rPr>
        <w:t>.</w:t>
      </w:r>
    </w:p>
  </w:footnote>
  <w:footnote w:id="3">
    <w:p w14:paraId="573195FF" w14:textId="77777777" w:rsidR="004758EA" w:rsidRPr="006B2AD5" w:rsidRDefault="004758EA" w:rsidP="008363F9">
      <w:pPr>
        <w:pStyle w:val="FootnoteText"/>
        <w:ind w:left="567" w:hanging="567"/>
        <w:rPr>
          <w:sz w:val="24"/>
          <w:lang w:val="fi-FI"/>
        </w:rPr>
      </w:pPr>
      <w:r w:rsidRPr="008363F9">
        <w:rPr>
          <w:rStyle w:val="FootnoteReference"/>
          <w:sz w:val="24"/>
          <w:lang w:val="da-DK"/>
        </w:rPr>
        <w:footnoteRef/>
      </w:r>
      <w:r w:rsidR="008363F9" w:rsidRPr="006B2AD5">
        <w:rPr>
          <w:sz w:val="24"/>
          <w:lang w:val="fi-FI"/>
        </w:rPr>
        <w:t xml:space="preserve"> </w:t>
      </w:r>
      <w:r w:rsidR="008363F9" w:rsidRPr="006B2AD5">
        <w:rPr>
          <w:sz w:val="24"/>
          <w:lang w:val="fi-FI"/>
        </w:rPr>
        <w:tab/>
      </w:r>
      <w:r w:rsidRPr="006B2AD5">
        <w:rPr>
          <w:sz w:val="24"/>
          <w:lang w:val="fi-FI"/>
        </w:rPr>
        <w:t xml:space="preserve">EUT L, 2024/1449, 24.5.2024, ELI: </w:t>
      </w:r>
      <w:hyperlink r:id="rId3" w:history="1">
        <w:r w:rsidRPr="006B2AD5">
          <w:rPr>
            <w:rStyle w:val="Hyperlink"/>
            <w:sz w:val="24"/>
            <w:lang w:val="fi-FI"/>
          </w:rPr>
          <w:t>http://data.europa.eu/eli/reg/2024/1449/oj</w:t>
        </w:r>
      </w:hyperlink>
      <w:r w:rsidRPr="006B2AD5">
        <w:rPr>
          <w:sz w:val="24"/>
          <w:lang w:val="fi-FI"/>
        </w:rPr>
        <w:t>.</w:t>
      </w:r>
    </w:p>
  </w:footnote>
  <w:footnote w:id="4">
    <w:p w14:paraId="24544BB4" w14:textId="77777777" w:rsidR="004758EA" w:rsidRPr="006B2AD5" w:rsidRDefault="004758EA" w:rsidP="008363F9">
      <w:pPr>
        <w:pStyle w:val="FootnoteText"/>
        <w:ind w:left="567" w:hanging="567"/>
        <w:rPr>
          <w:sz w:val="24"/>
          <w:lang w:val="fi-FI"/>
        </w:rPr>
      </w:pPr>
      <w:r w:rsidRPr="008363F9">
        <w:rPr>
          <w:rStyle w:val="FootnoteReference"/>
          <w:sz w:val="24"/>
          <w:lang w:val="da-DK"/>
        </w:rPr>
        <w:footnoteRef/>
      </w:r>
      <w:r w:rsidR="008363F9" w:rsidRPr="006B2AD5">
        <w:rPr>
          <w:sz w:val="24"/>
          <w:lang w:val="fi-FI"/>
        </w:rPr>
        <w:t xml:space="preserve"> </w:t>
      </w:r>
      <w:r w:rsidR="008363F9" w:rsidRPr="006B2AD5">
        <w:rPr>
          <w:sz w:val="24"/>
          <w:lang w:val="fi-FI"/>
        </w:rPr>
        <w:tab/>
      </w:r>
      <w:r w:rsidRPr="006B2AD5">
        <w:rPr>
          <w:sz w:val="24"/>
          <w:lang w:val="fi-FI"/>
        </w:rPr>
        <w:t xml:space="preserve">EUT C, C/2024/6746, 26.11.2024, ELI: </w:t>
      </w:r>
      <w:hyperlink r:id="rId4" w:history="1">
        <w:r w:rsidRPr="006B2AD5">
          <w:rPr>
            <w:rStyle w:val="Hyperlink"/>
            <w:sz w:val="24"/>
            <w:lang w:val="fi-FI"/>
          </w:rPr>
          <w:t>http://data.europa.eu/eli/C/2024/6746/oj</w:t>
        </w:r>
      </w:hyperlink>
      <w:r w:rsidRPr="006B2AD5">
        <w:rPr>
          <w:sz w:val="24"/>
          <w:lang w:val="fi-FI"/>
        </w:rPr>
        <w:t>.</w:t>
      </w:r>
    </w:p>
  </w:footnote>
  <w:footnote w:id="5">
    <w:p w14:paraId="50E8F9BA" w14:textId="77777777" w:rsidR="004758EA" w:rsidRPr="006B2AD5" w:rsidRDefault="004758EA" w:rsidP="008363F9">
      <w:pPr>
        <w:pStyle w:val="FootnoteText"/>
        <w:ind w:left="567" w:hanging="567"/>
        <w:rPr>
          <w:sz w:val="24"/>
          <w:lang w:val="fi-FI"/>
        </w:rPr>
      </w:pPr>
      <w:r w:rsidRPr="008363F9">
        <w:rPr>
          <w:rStyle w:val="FootnoteReference"/>
          <w:sz w:val="24"/>
          <w:lang w:val="da-DK"/>
        </w:rPr>
        <w:footnoteRef/>
      </w:r>
      <w:r w:rsidR="008363F9" w:rsidRPr="006B2AD5">
        <w:rPr>
          <w:sz w:val="24"/>
          <w:lang w:val="fi-FI"/>
        </w:rPr>
        <w:t xml:space="preserve"> </w:t>
      </w:r>
      <w:r w:rsidR="008363F9" w:rsidRPr="006B2AD5">
        <w:rPr>
          <w:sz w:val="24"/>
          <w:lang w:val="fi-FI"/>
        </w:rPr>
        <w:tab/>
      </w:r>
      <w:r w:rsidRPr="006B2AD5">
        <w:rPr>
          <w:sz w:val="24"/>
          <w:lang w:val="fi-FI"/>
        </w:rPr>
        <w:t xml:space="preserve">EUT C, C/2024/2654, 29.4.2024, ELI: </w:t>
      </w:r>
      <w:hyperlink r:id="rId5" w:history="1">
        <w:r w:rsidRPr="006B2AD5">
          <w:rPr>
            <w:rStyle w:val="Hyperlink"/>
            <w:sz w:val="24"/>
            <w:lang w:val="fi-FI"/>
          </w:rPr>
          <w:t>http://data.europa.eu/eli/C/2024/2654/oj</w:t>
        </w:r>
      </w:hyperlink>
      <w:r w:rsidRPr="006B2AD5">
        <w:rPr>
          <w:sz w:val="24"/>
          <w:lang w:val="fi-FI"/>
        </w:rPr>
        <w:t>.</w:t>
      </w:r>
    </w:p>
  </w:footnote>
  <w:footnote w:id="6">
    <w:p w14:paraId="14C13D66" w14:textId="77777777" w:rsidR="004758EA" w:rsidRPr="006B2AD5" w:rsidRDefault="004758EA" w:rsidP="008363F9">
      <w:pPr>
        <w:pStyle w:val="FootnoteText"/>
        <w:ind w:left="567" w:hanging="567"/>
        <w:rPr>
          <w:sz w:val="24"/>
          <w:lang w:val="fi-FI"/>
        </w:rPr>
      </w:pPr>
      <w:r w:rsidRPr="008363F9">
        <w:rPr>
          <w:rStyle w:val="FootnoteReference"/>
          <w:sz w:val="24"/>
          <w:lang w:val="da-DK"/>
        </w:rPr>
        <w:footnoteRef/>
      </w:r>
      <w:r w:rsidR="008363F9" w:rsidRPr="006B2AD5">
        <w:rPr>
          <w:sz w:val="24"/>
          <w:lang w:val="fi-FI"/>
        </w:rPr>
        <w:t xml:space="preserve"> </w:t>
      </w:r>
      <w:r w:rsidR="008363F9" w:rsidRPr="006B2AD5">
        <w:rPr>
          <w:sz w:val="24"/>
          <w:lang w:val="fi-FI"/>
        </w:rPr>
        <w:tab/>
      </w:r>
      <w:r w:rsidRPr="006B2AD5">
        <w:rPr>
          <w:sz w:val="24"/>
          <w:lang w:val="fi-FI"/>
        </w:rPr>
        <w:t xml:space="preserve">EUT C, C/2024/6339, 7.11.2024, ELI: </w:t>
      </w:r>
      <w:hyperlink r:id="rId6" w:history="1">
        <w:r w:rsidRPr="006B2AD5">
          <w:rPr>
            <w:rStyle w:val="Hyperlink"/>
            <w:sz w:val="24"/>
            <w:lang w:val="fi-FI"/>
          </w:rPr>
          <w:t>http://data.europa.eu/eli/C/2024/6339/oj</w:t>
        </w:r>
      </w:hyperlink>
      <w:r w:rsidRPr="006B2AD5">
        <w:rPr>
          <w:sz w:val="24"/>
          <w:lang w:val="fi-FI"/>
        </w:rPr>
        <w:t>.</w:t>
      </w:r>
    </w:p>
  </w:footnote>
  <w:footnote w:id="7">
    <w:p w14:paraId="545D29F3" w14:textId="77777777" w:rsidR="004758EA" w:rsidRPr="008363F9" w:rsidRDefault="004758EA" w:rsidP="008363F9">
      <w:pPr>
        <w:pStyle w:val="FootnoteText"/>
        <w:ind w:left="567" w:hanging="567"/>
        <w:rPr>
          <w:sz w:val="24"/>
          <w:lang w:val="da-DK"/>
        </w:rPr>
      </w:pPr>
      <w:r w:rsidRPr="008363F9">
        <w:rPr>
          <w:rStyle w:val="FootnoteReference"/>
          <w:sz w:val="24"/>
          <w:lang w:val="da-DK"/>
        </w:rPr>
        <w:footnoteRef/>
      </w:r>
      <w:r w:rsidR="008363F9" w:rsidRPr="008363F9">
        <w:rPr>
          <w:sz w:val="24"/>
          <w:lang w:val="da-DK"/>
        </w:rPr>
        <w:t xml:space="preserve"> </w:t>
      </w:r>
      <w:r w:rsidR="008363F9" w:rsidRPr="008363F9">
        <w:rPr>
          <w:sz w:val="24"/>
          <w:lang w:val="da-DK"/>
        </w:rPr>
        <w:tab/>
      </w:r>
      <w:r w:rsidRPr="008363F9">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7" w:history="1">
        <w:r w:rsidRPr="008363F9">
          <w:rPr>
            <w:rStyle w:val="Hyperlink"/>
            <w:sz w:val="24"/>
            <w:lang w:val="da-DK"/>
          </w:rPr>
          <w:t>http://data.europa.eu/eli/reg/2022/2065/oj</w:t>
        </w:r>
      </w:hyperlink>
      <w:r w:rsidRPr="008363F9">
        <w:rPr>
          <w:sz w:val="24"/>
          <w:lang w:val="da-DK"/>
        </w:rPr>
        <w:t>).</w:t>
      </w:r>
    </w:p>
  </w:footnote>
  <w:footnote w:id="8">
    <w:p w14:paraId="151F3C73" w14:textId="77777777" w:rsidR="004758EA" w:rsidRPr="008363F9" w:rsidRDefault="004758EA" w:rsidP="008363F9">
      <w:pPr>
        <w:pStyle w:val="FootnoteText"/>
        <w:ind w:left="567" w:hanging="567"/>
        <w:rPr>
          <w:sz w:val="24"/>
          <w:lang w:val="da-DK"/>
        </w:rPr>
      </w:pPr>
      <w:r w:rsidRPr="008363F9">
        <w:rPr>
          <w:rStyle w:val="FootnoteReference"/>
          <w:sz w:val="24"/>
          <w:lang w:val="da-DK"/>
        </w:rPr>
        <w:footnoteRef/>
      </w:r>
      <w:r w:rsidR="008363F9" w:rsidRPr="008363F9">
        <w:rPr>
          <w:sz w:val="24"/>
          <w:lang w:val="da-DK"/>
        </w:rPr>
        <w:t xml:space="preserve"> </w:t>
      </w:r>
      <w:r w:rsidR="008363F9" w:rsidRPr="008363F9">
        <w:rPr>
          <w:sz w:val="24"/>
          <w:lang w:val="da-DK"/>
        </w:rPr>
        <w:tab/>
      </w:r>
      <w:r w:rsidRPr="008363F9">
        <w:rPr>
          <w:sz w:val="24"/>
          <w:lang w:val="da-DK"/>
        </w:rPr>
        <w:t xml:space="preserve">Europa-Parlamentets og Rådets forordning (EU) 2024/900 af 13. marts 2024 om gennemsigtighed og målretning i forbindelse med politisk reklame (EUT L, 2024/900, 20.3.2024, ELI: </w:t>
      </w:r>
      <w:hyperlink r:id="rId8" w:history="1">
        <w:r w:rsidRPr="008363F9">
          <w:rPr>
            <w:rStyle w:val="Hyperlink"/>
            <w:sz w:val="24"/>
            <w:lang w:val="da-DK"/>
          </w:rPr>
          <w:t>http://data.europa.eu/eli/reg/2024/900/oj</w:t>
        </w:r>
      </w:hyperlink>
      <w:r w:rsidRPr="008363F9">
        <w:rPr>
          <w:sz w:val="24"/>
          <w:lang w:val="da-DK"/>
        </w:rPr>
        <w:t>).</w:t>
      </w:r>
    </w:p>
  </w:footnote>
  <w:footnote w:id="9">
    <w:p w14:paraId="6A5ED434" w14:textId="77777777" w:rsidR="004758EA" w:rsidRPr="008363F9" w:rsidRDefault="004758EA" w:rsidP="008363F9">
      <w:pPr>
        <w:pStyle w:val="FootnoteText"/>
        <w:ind w:left="567" w:hanging="567"/>
        <w:rPr>
          <w:sz w:val="24"/>
          <w:lang w:val="da-DK"/>
        </w:rPr>
      </w:pPr>
      <w:r w:rsidRPr="008363F9">
        <w:rPr>
          <w:rStyle w:val="FootnoteReference"/>
          <w:sz w:val="24"/>
          <w:lang w:val="da-DK"/>
        </w:rPr>
        <w:footnoteRef/>
      </w:r>
      <w:r w:rsidR="008363F9" w:rsidRPr="008363F9">
        <w:rPr>
          <w:sz w:val="24"/>
          <w:lang w:val="da-DK"/>
        </w:rPr>
        <w:t xml:space="preserve"> </w:t>
      </w:r>
      <w:r w:rsidR="008363F9" w:rsidRPr="008363F9">
        <w:rPr>
          <w:sz w:val="24"/>
          <w:lang w:val="da-DK"/>
        </w:rPr>
        <w:tab/>
      </w:r>
      <w:r w:rsidRPr="008363F9">
        <w:rPr>
          <w:sz w:val="24"/>
          <w:lang w:val="da-DK"/>
        </w:rPr>
        <w:t>Europa-Parlamentets og Rådets direktiv 2014/52/EU af 16. april 2014 om ændring af direktiv 2011/92/EU om vurdering af visse offentlige og private projekters indvirkning på miljøet (EØS-relevant tekst) (EUT L 124 af 25.4.2014, s. 1, ELI: http://data.europa.eu/eli/dir/2014/52/oj).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DA"/>
    <w:docVar w:name="dvnumam" w:val="0"/>
    <w:docVar w:name="dvpe" w:val="767.969"/>
    <w:docVar w:name="dvrapporteur" w:val="Ordfører: "/>
    <w:docVar w:name="dvtitre" w:val="Europa-Parlamentets beslutning af xx.xx 2025 om Kommissionens rapporter 2023 og 2024 om Serbien(2025/2022(INI))"/>
  </w:docVars>
  <w:rsids>
    <w:rsidRoot w:val="003F6E96"/>
    <w:rsid w:val="00002272"/>
    <w:rsid w:val="00064002"/>
    <w:rsid w:val="000677B9"/>
    <w:rsid w:val="000831BA"/>
    <w:rsid w:val="000A42CC"/>
    <w:rsid w:val="000A655E"/>
    <w:rsid w:val="000E7DD9"/>
    <w:rsid w:val="0010095E"/>
    <w:rsid w:val="00125B37"/>
    <w:rsid w:val="00170A13"/>
    <w:rsid w:val="001833CF"/>
    <w:rsid w:val="00187494"/>
    <w:rsid w:val="001F32AE"/>
    <w:rsid w:val="002767FF"/>
    <w:rsid w:val="002B18FE"/>
    <w:rsid w:val="002B5493"/>
    <w:rsid w:val="00343214"/>
    <w:rsid w:val="00361C00"/>
    <w:rsid w:val="00395FA1"/>
    <w:rsid w:val="003B5BA6"/>
    <w:rsid w:val="003E15D4"/>
    <w:rsid w:val="003F6E96"/>
    <w:rsid w:val="00411CCE"/>
    <w:rsid w:val="0041666E"/>
    <w:rsid w:val="00421060"/>
    <w:rsid w:val="00471C19"/>
    <w:rsid w:val="004758EA"/>
    <w:rsid w:val="004867E3"/>
    <w:rsid w:val="00494A28"/>
    <w:rsid w:val="004C0004"/>
    <w:rsid w:val="004C5D52"/>
    <w:rsid w:val="0050519A"/>
    <w:rsid w:val="005072A1"/>
    <w:rsid w:val="00514517"/>
    <w:rsid w:val="00545827"/>
    <w:rsid w:val="00560270"/>
    <w:rsid w:val="00566004"/>
    <w:rsid w:val="005C2568"/>
    <w:rsid w:val="005F1B17"/>
    <w:rsid w:val="006037C0"/>
    <w:rsid w:val="006631B6"/>
    <w:rsid w:val="00680577"/>
    <w:rsid w:val="006B2AD5"/>
    <w:rsid w:val="006D3357"/>
    <w:rsid w:val="006F237B"/>
    <w:rsid w:val="006F74FA"/>
    <w:rsid w:val="00731ADD"/>
    <w:rsid w:val="00734777"/>
    <w:rsid w:val="00737811"/>
    <w:rsid w:val="00747932"/>
    <w:rsid w:val="00751A4A"/>
    <w:rsid w:val="00756632"/>
    <w:rsid w:val="00762C74"/>
    <w:rsid w:val="00786EC0"/>
    <w:rsid w:val="007D1690"/>
    <w:rsid w:val="007E22AD"/>
    <w:rsid w:val="00817416"/>
    <w:rsid w:val="00821BFE"/>
    <w:rsid w:val="008363F9"/>
    <w:rsid w:val="00842779"/>
    <w:rsid w:val="00865F67"/>
    <w:rsid w:val="00881A7B"/>
    <w:rsid w:val="008840E5"/>
    <w:rsid w:val="00887B3E"/>
    <w:rsid w:val="008B20A5"/>
    <w:rsid w:val="008C2AC6"/>
    <w:rsid w:val="00930C23"/>
    <w:rsid w:val="0093193B"/>
    <w:rsid w:val="009509D8"/>
    <w:rsid w:val="00950B64"/>
    <w:rsid w:val="00981893"/>
    <w:rsid w:val="00A1687D"/>
    <w:rsid w:val="00A43E52"/>
    <w:rsid w:val="00A4678D"/>
    <w:rsid w:val="00A778C7"/>
    <w:rsid w:val="00AB441E"/>
    <w:rsid w:val="00AB6293"/>
    <w:rsid w:val="00AC1934"/>
    <w:rsid w:val="00AE0928"/>
    <w:rsid w:val="00AF3B82"/>
    <w:rsid w:val="00B056D7"/>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61F"/>
    <w:rsid w:val="00EB4772"/>
    <w:rsid w:val="00ED169E"/>
    <w:rsid w:val="00ED4235"/>
    <w:rsid w:val="00F04346"/>
    <w:rsid w:val="00F075DC"/>
    <w:rsid w:val="00F149E9"/>
    <w:rsid w:val="00F5134D"/>
    <w:rsid w:val="00F74202"/>
    <w:rsid w:val="00F87713"/>
    <w:rsid w:val="00FA7C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8FF65"/>
  <w15:chartTrackingRefBased/>
  <w15:docId w15:val="{7F7B8578-9F70-422E-9377-79B2A3BD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58EA"/>
    <w:pPr>
      <w:spacing w:after="240"/>
      <w:ind w:left="567" w:hanging="567"/>
    </w:pPr>
  </w:style>
  <w:style w:type="paragraph" w:customStyle="1" w:styleId="EPComma">
    <w:name w:val="EPComma"/>
    <w:basedOn w:val="Normal"/>
    <w:rsid w:val="004758EA"/>
    <w:pPr>
      <w:spacing w:before="480" w:after="240"/>
    </w:pPr>
  </w:style>
  <w:style w:type="character" w:customStyle="1" w:styleId="Normal12HangingChar">
    <w:name w:val="Normal12Hanging Char"/>
    <w:link w:val="Normal12Hanging"/>
    <w:locked/>
    <w:rsid w:val="004758EA"/>
    <w:rPr>
      <w:sz w:val="24"/>
    </w:rPr>
  </w:style>
  <w:style w:type="paragraph" w:customStyle="1" w:styleId="Normal12Hanging">
    <w:name w:val="Normal12Hanging"/>
    <w:basedOn w:val="Normal"/>
    <w:link w:val="Normal12HangingChar"/>
    <w:rsid w:val="004758EA"/>
    <w:pPr>
      <w:spacing w:after="240"/>
      <w:ind w:left="567" w:hanging="567"/>
    </w:pPr>
    <w:rPr>
      <w:lang w:val="en-GB"/>
    </w:rPr>
  </w:style>
  <w:style w:type="character" w:customStyle="1" w:styleId="NormalHanging12aChar">
    <w:name w:val="NormalHanging12a Char"/>
    <w:basedOn w:val="DefaultParagraphFont"/>
    <w:link w:val="NormalHanging12a"/>
    <w:locked/>
    <w:rsid w:val="004758EA"/>
    <w:rPr>
      <w:sz w:val="24"/>
      <w:lang w:val="da-DK"/>
    </w:rPr>
  </w:style>
  <w:style w:type="character" w:styleId="Hyperlink">
    <w:name w:val="Hyperlink"/>
    <w:basedOn w:val="DefaultParagraphFont"/>
    <w:rsid w:val="004758EA"/>
    <w:rPr>
      <w:color w:val="0563C1" w:themeColor="hyperlink"/>
      <w:u w:val="single"/>
    </w:rPr>
  </w:style>
  <w:style w:type="paragraph" w:customStyle="1" w:styleId="BodyA">
    <w:name w:val="Body A"/>
    <w:rsid w:val="004758EA"/>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da-DK"/>
    </w:rPr>
  </w:style>
  <w:style w:type="paragraph" w:styleId="BalloonText">
    <w:name w:val="Balloon Text"/>
    <w:basedOn w:val="Normal"/>
    <w:link w:val="BalloonTextChar"/>
    <w:rsid w:val="003B5BA6"/>
    <w:rPr>
      <w:rFonts w:ascii="Segoe UI" w:hAnsi="Segoe UI" w:cs="Segoe UI"/>
      <w:sz w:val="18"/>
      <w:szCs w:val="18"/>
    </w:rPr>
  </w:style>
  <w:style w:type="character" w:customStyle="1" w:styleId="BalloonTextChar">
    <w:name w:val="Balloon Text Char"/>
    <w:basedOn w:val="DefaultParagraphFont"/>
    <w:link w:val="BalloonText"/>
    <w:rsid w:val="003B5BA6"/>
    <w:rPr>
      <w:rFonts w:ascii="Segoe UI" w:hAnsi="Segoe UI" w:cs="Segoe UI"/>
      <w:sz w:val="18"/>
      <w:szCs w:val="18"/>
      <w:lang w:val="da-DK"/>
    </w:rPr>
  </w:style>
  <w:style w:type="character" w:styleId="CommentReference">
    <w:name w:val="annotation reference"/>
    <w:basedOn w:val="DefaultParagraphFont"/>
    <w:rsid w:val="00EB461F"/>
    <w:rPr>
      <w:sz w:val="16"/>
      <w:szCs w:val="16"/>
    </w:rPr>
  </w:style>
  <w:style w:type="paragraph" w:styleId="CommentText">
    <w:name w:val="annotation text"/>
    <w:basedOn w:val="Normal"/>
    <w:link w:val="CommentTextChar"/>
    <w:rsid w:val="00EB461F"/>
    <w:rPr>
      <w:sz w:val="20"/>
    </w:rPr>
  </w:style>
  <w:style w:type="character" w:customStyle="1" w:styleId="CommentTextChar">
    <w:name w:val="Comment Text Char"/>
    <w:basedOn w:val="DefaultParagraphFont"/>
    <w:link w:val="CommentText"/>
    <w:rsid w:val="00EB461F"/>
    <w:rPr>
      <w:lang w:val="da-DK"/>
    </w:rPr>
  </w:style>
  <w:style w:type="paragraph" w:styleId="CommentSubject">
    <w:name w:val="annotation subject"/>
    <w:basedOn w:val="CommentText"/>
    <w:next w:val="CommentText"/>
    <w:link w:val="CommentSubjectChar"/>
    <w:rsid w:val="00EB461F"/>
    <w:rPr>
      <w:b/>
      <w:bCs/>
    </w:rPr>
  </w:style>
  <w:style w:type="character" w:customStyle="1" w:styleId="CommentSubjectChar">
    <w:name w:val="Comment Subject Char"/>
    <w:basedOn w:val="CommentTextChar"/>
    <w:link w:val="CommentSubject"/>
    <w:rsid w:val="00EB461F"/>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2D0D-D1AD-4F1E-B1F6-5A558CFB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7730</Words>
  <Characters>48810</Characters>
  <Application>Microsoft Office Word</Application>
  <DocSecurity>0</DocSecurity>
  <Lines>406</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2025-05-07T15:56:00Z</dcterms:created>
  <dcterms:modified xsi:type="dcterms:W3CDTF">2025-05-07T15:56:00Z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A10-0072/2025</vt:lpwstr>
  </property>
  <property fmtid="{D5CDD505-2E9C-101B-9397-08002B2CF9AE}" pid="4" name="&lt;Type&gt;">
    <vt:lpwstr>RR</vt:lpwstr>
  </property>
</Properties>
</file>