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077C" w14:paraId="00B46D97" w14:textId="77777777" w:rsidTr="0010095E">
        <w:trPr>
          <w:trHeight w:hRule="exact" w:val="1418"/>
        </w:trPr>
        <w:tc>
          <w:tcPr>
            <w:tcW w:w="6804" w:type="dxa"/>
            <w:shd w:val="clear" w:color="auto" w:fill="auto"/>
            <w:vAlign w:val="center"/>
          </w:tcPr>
          <w:p w14:paraId="3A174E30" w14:textId="77777777" w:rsidR="00751A4A" w:rsidRPr="009A077C" w:rsidRDefault="00F10E89" w:rsidP="0010095E">
            <w:pPr>
              <w:pStyle w:val="EPName"/>
            </w:pPr>
            <w:bookmarkStart w:id="0" w:name="_GoBack"/>
            <w:bookmarkEnd w:id="0"/>
            <w:r w:rsidRPr="009A077C">
              <w:t>Parlamento Europeo</w:t>
            </w:r>
          </w:p>
          <w:p w14:paraId="2B1F5B22" w14:textId="77777777" w:rsidR="00751A4A" w:rsidRPr="009A077C" w:rsidRDefault="005F1B17" w:rsidP="005F1B17">
            <w:pPr>
              <w:pStyle w:val="EPTerm"/>
              <w:rPr>
                <w:rStyle w:val="HideTWBExt"/>
                <w:noProof w:val="0"/>
                <w:vanish w:val="0"/>
                <w:color w:val="auto"/>
              </w:rPr>
            </w:pPr>
            <w:r w:rsidRPr="009A077C">
              <w:t>2024</w:t>
            </w:r>
            <w:r w:rsidR="00817416" w:rsidRPr="009A077C">
              <w:t>-202</w:t>
            </w:r>
            <w:r w:rsidRPr="009A077C">
              <w:t>9</w:t>
            </w:r>
          </w:p>
        </w:tc>
        <w:tc>
          <w:tcPr>
            <w:tcW w:w="2268" w:type="dxa"/>
            <w:shd w:val="clear" w:color="auto" w:fill="auto"/>
          </w:tcPr>
          <w:p w14:paraId="6CF7FD11" w14:textId="77777777" w:rsidR="00751A4A" w:rsidRPr="009A077C" w:rsidRDefault="00187494" w:rsidP="0010095E">
            <w:pPr>
              <w:pStyle w:val="EPLogo"/>
            </w:pPr>
            <w:r w:rsidRPr="009A077C">
              <w:rPr>
                <w:noProof/>
                <w:lang w:val="en-GB"/>
              </w:rPr>
              <w:drawing>
                <wp:inline distT="0" distB="0" distL="0" distR="0" wp14:anchorId="3E07B000" wp14:editId="47F7B2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DCE970" w14:textId="77777777" w:rsidR="00D058B8" w:rsidRPr="009A077C" w:rsidRDefault="00D058B8" w:rsidP="004C5D52">
      <w:pPr>
        <w:pStyle w:val="LineTop"/>
      </w:pPr>
    </w:p>
    <w:p w14:paraId="49F42E47" w14:textId="77777777" w:rsidR="00680577" w:rsidRPr="009A077C" w:rsidRDefault="00F10E89" w:rsidP="00680577">
      <w:pPr>
        <w:pStyle w:val="EPBodyTA1"/>
      </w:pPr>
      <w:r w:rsidRPr="009A077C">
        <w:t>TEXTOS APROBADOS</w:t>
      </w:r>
    </w:p>
    <w:p w14:paraId="37A02ECD" w14:textId="77777777" w:rsidR="00D058B8" w:rsidRPr="009A077C" w:rsidRDefault="00D058B8" w:rsidP="00D058B8">
      <w:pPr>
        <w:pStyle w:val="LineBottom"/>
      </w:pPr>
    </w:p>
    <w:p w14:paraId="173037E8" w14:textId="49223F77" w:rsidR="00F10E89" w:rsidRPr="009A077C" w:rsidRDefault="00F10E89" w:rsidP="00F10E89">
      <w:pPr>
        <w:pStyle w:val="ATHeading1"/>
      </w:pPr>
      <w:bookmarkStart w:id="1" w:name="TANumber"/>
      <w:r w:rsidRPr="009A077C">
        <w:t>P10_TA(2025)00</w:t>
      </w:r>
      <w:r w:rsidR="001B5497" w:rsidRPr="009A077C">
        <w:t>93</w:t>
      </w:r>
      <w:bookmarkEnd w:id="1"/>
    </w:p>
    <w:p w14:paraId="2FDD730F" w14:textId="77777777" w:rsidR="00F10E89" w:rsidRPr="009A077C" w:rsidRDefault="00F10E89" w:rsidP="00F10E89">
      <w:pPr>
        <w:pStyle w:val="ATHeading2"/>
      </w:pPr>
      <w:bookmarkStart w:id="2" w:name="title"/>
      <w:r w:rsidRPr="009A077C">
        <w:t>Informes de 2023 y 2024 sobre Serbia</w:t>
      </w:r>
      <w:bookmarkEnd w:id="2"/>
    </w:p>
    <w:p w14:paraId="5D93CDA1" w14:textId="77777777" w:rsidR="00F10E89" w:rsidRPr="009A077C" w:rsidRDefault="00F10E89" w:rsidP="00F10E89">
      <w:pPr>
        <w:rPr>
          <w:i/>
          <w:vanish/>
        </w:rPr>
      </w:pPr>
      <w:r w:rsidRPr="009A077C">
        <w:rPr>
          <w:i/>
        </w:rPr>
        <w:fldChar w:fldCharType="begin"/>
      </w:r>
      <w:r w:rsidRPr="009A077C">
        <w:rPr>
          <w:i/>
        </w:rPr>
        <w:instrText xml:space="preserve"> TC"(</w:instrText>
      </w:r>
      <w:bookmarkStart w:id="3" w:name="DocNumber"/>
      <w:r w:rsidRPr="009A077C">
        <w:rPr>
          <w:i/>
        </w:rPr>
        <w:instrText>A10-0072/2025</w:instrText>
      </w:r>
      <w:bookmarkEnd w:id="3"/>
      <w:r w:rsidRPr="009A077C">
        <w:rPr>
          <w:i/>
        </w:rPr>
        <w:instrText xml:space="preserve"> - Ponente: Tonino Picula)"\l3 \n&gt; \* MERGEFORMAT </w:instrText>
      </w:r>
      <w:r w:rsidRPr="009A077C">
        <w:rPr>
          <w:i/>
        </w:rPr>
        <w:fldChar w:fldCharType="end"/>
      </w:r>
    </w:p>
    <w:p w14:paraId="0A4488C3" w14:textId="77777777" w:rsidR="00F10E89" w:rsidRPr="009A077C" w:rsidRDefault="00F10E89" w:rsidP="00F10E89">
      <w:pPr>
        <w:rPr>
          <w:vanish/>
        </w:rPr>
      </w:pPr>
      <w:bookmarkStart w:id="4" w:name="Commission"/>
      <w:r w:rsidRPr="009A077C">
        <w:rPr>
          <w:vanish/>
        </w:rPr>
        <w:t>Comisión de Asuntos Exteriores</w:t>
      </w:r>
      <w:bookmarkEnd w:id="4"/>
    </w:p>
    <w:p w14:paraId="023F4A34" w14:textId="77777777" w:rsidR="00F10E89" w:rsidRPr="009A077C" w:rsidRDefault="00F10E89" w:rsidP="00F10E89">
      <w:pPr>
        <w:rPr>
          <w:vanish/>
        </w:rPr>
      </w:pPr>
      <w:bookmarkStart w:id="5" w:name="PE"/>
      <w:r w:rsidRPr="009A077C">
        <w:rPr>
          <w:vanish/>
        </w:rPr>
        <w:t>PE767.969</w:t>
      </w:r>
      <w:bookmarkEnd w:id="5"/>
    </w:p>
    <w:p w14:paraId="510E6A8E" w14:textId="77777777" w:rsidR="00F10E89" w:rsidRPr="009A077C" w:rsidRDefault="00F10E89" w:rsidP="00F10E89">
      <w:pPr>
        <w:pStyle w:val="ATHeading3"/>
      </w:pPr>
      <w:bookmarkStart w:id="6" w:name="Sujet"/>
      <w:r w:rsidRPr="009A077C">
        <w:t>Resolución del Parlamento Europeo, de 7 de mayo de 2025, sobre los Informes de 2023 y 2024 de la Comisión sobre Serbia</w:t>
      </w:r>
      <w:bookmarkEnd w:id="6"/>
      <w:r w:rsidRPr="009A077C">
        <w:t xml:space="preserve"> </w:t>
      </w:r>
      <w:bookmarkStart w:id="7" w:name="References"/>
      <w:r w:rsidRPr="009A077C">
        <w:t>(2025/2022(INI))</w:t>
      </w:r>
      <w:bookmarkEnd w:id="7"/>
    </w:p>
    <w:p w14:paraId="311AB63C" w14:textId="77777777" w:rsidR="00412837" w:rsidRPr="009A077C" w:rsidRDefault="00412837" w:rsidP="00412837">
      <w:pPr>
        <w:pStyle w:val="EPComma"/>
      </w:pPr>
      <w:r w:rsidRPr="009A077C">
        <w:rPr>
          <w:i/>
        </w:rPr>
        <w:t>El Parlamento Europeo</w:t>
      </w:r>
      <w:r w:rsidRPr="009A077C">
        <w:t>,</w:t>
      </w:r>
    </w:p>
    <w:p w14:paraId="68CDF4CF" w14:textId="77777777" w:rsidR="00412837" w:rsidRPr="009A077C" w:rsidRDefault="00412837" w:rsidP="00B240D4">
      <w:pPr>
        <w:pStyle w:val="NormalHanging12a"/>
      </w:pPr>
      <w:r w:rsidRPr="009A077C">
        <w:t>–</w:t>
      </w:r>
      <w:r w:rsidRPr="009A077C">
        <w:tab/>
      </w:r>
      <w:r w:rsidRPr="009A077C">
        <w:rPr>
          <w:snapToGrid w:val="0"/>
        </w:rPr>
        <w:t>Visto el Acuerdo de Estabilización y Asociación entre las Comunidades Europeas y sus Estados miembros, por una parte, y la República de Serbia, por otra</w:t>
      </w:r>
      <w:r w:rsidRPr="009A077C">
        <w:rPr>
          <w:snapToGrid w:val="0"/>
          <w:vertAlign w:val="superscript"/>
        </w:rPr>
        <w:footnoteReference w:id="1"/>
      </w:r>
      <w:r w:rsidRPr="009A077C">
        <w:rPr>
          <w:snapToGrid w:val="0"/>
        </w:rPr>
        <w:t>, que entró en vigor el 1 de septiembre de 2013,</w:t>
      </w:r>
    </w:p>
    <w:p w14:paraId="4035A14F" w14:textId="77777777" w:rsidR="00412837" w:rsidRPr="009A077C" w:rsidRDefault="00412837" w:rsidP="00B240D4">
      <w:pPr>
        <w:pStyle w:val="NormalHanging12a"/>
        <w:rPr>
          <w:snapToGrid w:val="0"/>
        </w:rPr>
      </w:pPr>
      <w:r w:rsidRPr="009A077C">
        <w:t>–</w:t>
      </w:r>
      <w:r w:rsidRPr="009A077C">
        <w:rPr>
          <w:snapToGrid w:val="0"/>
        </w:rPr>
        <w:tab/>
        <w:t>Vista la solicitud de adhesión a la Unión Europea presentada por Serbia el 19 de diciembre de 2009,</w:t>
      </w:r>
    </w:p>
    <w:p w14:paraId="647A340E" w14:textId="77777777" w:rsidR="00412837" w:rsidRPr="009A077C" w:rsidRDefault="00412837" w:rsidP="00B240D4">
      <w:pPr>
        <w:pStyle w:val="NormalHanging12a"/>
        <w:rPr>
          <w:snapToGrid w:val="0"/>
        </w:rPr>
      </w:pPr>
      <w:r w:rsidRPr="009A077C">
        <w:t>–</w:t>
      </w:r>
      <w:r w:rsidRPr="009A077C">
        <w:rPr>
          <w:snapToGrid w:val="0"/>
        </w:rPr>
        <w:tab/>
        <w:t>Vistos el Dictamen de la Comisión, de 12 de octubre de 2011, sobre la solicitud de adhesión de Serbia a la Unión Europea (COM(2011)0668), la decisión del Consejo Europeo, de 1 de marzo de 2012, de conceder a Serbia el estatuto de país candidato y la decisión del Consejo Europeo, de 28 de junio de 2013, de entablar las negociaciones de adhesión a la Unión con Serbia,</w:t>
      </w:r>
    </w:p>
    <w:p w14:paraId="3F2BED8E" w14:textId="77777777" w:rsidR="00412837" w:rsidRPr="009A077C" w:rsidRDefault="00412837" w:rsidP="00B240D4">
      <w:pPr>
        <w:pStyle w:val="NormalHanging12a"/>
        <w:rPr>
          <w:snapToGrid w:val="0"/>
        </w:rPr>
      </w:pPr>
      <w:r w:rsidRPr="009A077C">
        <w:t>–</w:t>
      </w:r>
      <w:r w:rsidRPr="009A077C">
        <w:rPr>
          <w:snapToGrid w:val="0"/>
        </w:rPr>
        <w:tab/>
        <w:t>Vistos el Acuerdo de Bruselas, de 27 de febrero de 2023, y el Acuerdo de Ohrid, de 18 de marzo de 2023, así como su anexo de aplicación,</w:t>
      </w:r>
    </w:p>
    <w:p w14:paraId="13452CB7" w14:textId="77777777" w:rsidR="00412837" w:rsidRPr="009A077C" w:rsidRDefault="00412837" w:rsidP="00B240D4">
      <w:pPr>
        <w:pStyle w:val="NormalHanging12a"/>
        <w:rPr>
          <w:snapToGrid w:val="0"/>
        </w:rPr>
      </w:pPr>
      <w:r w:rsidRPr="009A077C">
        <w:t>–</w:t>
      </w:r>
      <w:r w:rsidRPr="009A077C">
        <w:rPr>
          <w:snapToGrid w:val="0"/>
        </w:rPr>
        <w:tab/>
        <w:t>Visto el Reglamento (UE) 2021/1529 del Parlamento Europeo y del Consejo, de 15 de septiembre de 2021, por el que se establece el Instrumento de Ayuda Preadhesión (IAP III)</w:t>
      </w:r>
      <w:r w:rsidRPr="009A077C">
        <w:rPr>
          <w:snapToGrid w:val="0"/>
          <w:vertAlign w:val="superscript"/>
        </w:rPr>
        <w:footnoteReference w:id="2"/>
      </w:r>
      <w:r w:rsidRPr="009A077C">
        <w:rPr>
          <w:snapToGrid w:val="0"/>
        </w:rPr>
        <w:t>,</w:t>
      </w:r>
    </w:p>
    <w:p w14:paraId="5FD130EF" w14:textId="77777777" w:rsidR="00412837" w:rsidRPr="009A077C" w:rsidRDefault="00412837" w:rsidP="00B240D4">
      <w:pPr>
        <w:pStyle w:val="NormalHanging12a"/>
        <w:rPr>
          <w:snapToGrid w:val="0"/>
        </w:rPr>
      </w:pPr>
      <w:r w:rsidRPr="009A077C">
        <w:t>–</w:t>
      </w:r>
      <w:r w:rsidRPr="009A077C">
        <w:rPr>
          <w:snapToGrid w:val="0"/>
        </w:rPr>
        <w:tab/>
        <w:t>Visto el Reglamento (UE) 2024/1449 del Parlamento Europeo y del Consejo, de 14 de mayo de 2024, por el que se establece el Mecanismo de Reforma y Crecimiento para los Balcanes Occidentales</w:t>
      </w:r>
      <w:r w:rsidRPr="009A077C">
        <w:rPr>
          <w:snapToGrid w:val="0"/>
          <w:vertAlign w:val="superscript"/>
        </w:rPr>
        <w:footnoteReference w:id="3"/>
      </w:r>
      <w:r w:rsidRPr="009A077C">
        <w:rPr>
          <w:snapToGrid w:val="0"/>
        </w:rPr>
        <w:t>,</w:t>
      </w:r>
    </w:p>
    <w:p w14:paraId="774F3376" w14:textId="77777777" w:rsidR="00412837" w:rsidRPr="009A077C" w:rsidRDefault="00412837" w:rsidP="00B240D4">
      <w:pPr>
        <w:pStyle w:val="NormalHanging12a"/>
        <w:rPr>
          <w:snapToGrid w:val="0"/>
        </w:rPr>
      </w:pPr>
      <w:r w:rsidRPr="009A077C">
        <w:rPr>
          <w:snapToGrid w:val="0"/>
        </w:rPr>
        <w:t>–</w:t>
      </w:r>
      <w:r w:rsidRPr="009A077C">
        <w:rPr>
          <w:snapToGrid w:val="0"/>
        </w:rPr>
        <w:tab/>
        <w:t xml:space="preserve">Vistas las Conclusiones de la Presidencia del Consejo Europeo de Salónica, de 19 y 20 </w:t>
      </w:r>
      <w:r w:rsidRPr="009A077C">
        <w:rPr>
          <w:snapToGrid w:val="0"/>
        </w:rPr>
        <w:lastRenderedPageBreak/>
        <w:t>de junio de 2003,</w:t>
      </w:r>
    </w:p>
    <w:p w14:paraId="347632A0" w14:textId="77777777" w:rsidR="00412837" w:rsidRPr="009A077C" w:rsidRDefault="00412837" w:rsidP="00B240D4">
      <w:pPr>
        <w:pStyle w:val="NormalHanging12a"/>
      </w:pPr>
      <w:r w:rsidRPr="009A077C">
        <w:rPr>
          <w:snapToGrid w:val="0"/>
        </w:rPr>
        <w:t>–</w:t>
      </w:r>
      <w:r w:rsidRPr="009A077C">
        <w:rPr>
          <w:b/>
          <w:i/>
        </w:rPr>
        <w:tab/>
      </w:r>
      <w:r w:rsidRPr="009A077C">
        <w:t>Vistas las Declaraciones de las Cumbres UE-Balcanes Occidentales de 17 de mayo de 2018 en Sofía y de 6 de mayo de 2020 en Zagreb,</w:t>
      </w:r>
    </w:p>
    <w:p w14:paraId="3580E83C" w14:textId="77777777" w:rsidR="00412837" w:rsidRPr="009A077C" w:rsidRDefault="00412837" w:rsidP="00B240D4">
      <w:pPr>
        <w:pStyle w:val="NormalHanging12a"/>
        <w:rPr>
          <w:bCs/>
          <w:iCs/>
          <w:snapToGrid w:val="0"/>
        </w:rPr>
      </w:pPr>
      <w:r w:rsidRPr="009A077C">
        <w:rPr>
          <w:snapToGrid w:val="0"/>
        </w:rPr>
        <w:t>–</w:t>
      </w:r>
      <w:r w:rsidRPr="009A077C">
        <w:rPr>
          <w:b/>
          <w:i/>
          <w:snapToGrid w:val="0"/>
        </w:rPr>
        <w:tab/>
      </w:r>
      <w:r w:rsidRPr="009A077C">
        <w:rPr>
          <w:snapToGrid w:val="0"/>
        </w:rPr>
        <w:t>Vistas sus resoluciones sobre las injerencias extranjeras en todos los procesos democráticos de la Unión Europea, incluida la desinformación,</w:t>
      </w:r>
    </w:p>
    <w:p w14:paraId="2D5A23E9" w14:textId="77777777" w:rsidR="00412837" w:rsidRPr="009A077C" w:rsidRDefault="00412837" w:rsidP="00B240D4">
      <w:pPr>
        <w:pStyle w:val="NormalHanging12a"/>
        <w:rPr>
          <w:snapToGrid w:val="0"/>
        </w:rPr>
      </w:pPr>
      <w:r w:rsidRPr="009A077C">
        <w:rPr>
          <w:snapToGrid w:val="0"/>
        </w:rPr>
        <w:t>–</w:t>
      </w:r>
      <w:r w:rsidRPr="009A077C">
        <w:rPr>
          <w:snapToGrid w:val="0"/>
        </w:rPr>
        <w:tab/>
        <w:t>Visto el Proceso de Berlín, puesto en marcha el 28 de agosto de 2014,</w:t>
      </w:r>
    </w:p>
    <w:p w14:paraId="76205A83" w14:textId="77777777" w:rsidR="00412837" w:rsidRPr="009A077C" w:rsidRDefault="00412837" w:rsidP="00B240D4">
      <w:pPr>
        <w:pStyle w:val="NormalHanging12a"/>
        <w:rPr>
          <w:snapToGrid w:val="0"/>
        </w:rPr>
      </w:pPr>
      <w:r w:rsidRPr="009A077C">
        <w:rPr>
          <w:snapToGrid w:val="0"/>
        </w:rPr>
        <w:t>–</w:t>
      </w:r>
      <w:r w:rsidRPr="009A077C">
        <w:rPr>
          <w:snapToGrid w:val="0"/>
        </w:rPr>
        <w:tab/>
        <w:t>Vistos el primer acuerdo sobre los principios rectores de la normalización de las relaciones entre los Gobiernos de Serbia y Kosovo, de 19 de abril de 2013, los acuerdos de 25 de agosto de 2015 y el diálogo en curso facilitado por la Unión para la normalización de las relaciones,</w:t>
      </w:r>
    </w:p>
    <w:p w14:paraId="523D4E9F" w14:textId="77777777" w:rsidR="00412837" w:rsidRPr="009A077C" w:rsidRDefault="00412837" w:rsidP="00B240D4">
      <w:pPr>
        <w:pStyle w:val="NormalHanging12a"/>
        <w:rPr>
          <w:snapToGrid w:val="0"/>
        </w:rPr>
      </w:pPr>
      <w:r w:rsidRPr="009A077C">
        <w:rPr>
          <w:snapToGrid w:val="0"/>
        </w:rPr>
        <w:t>–</w:t>
      </w:r>
      <w:r w:rsidRPr="009A077C">
        <w:rPr>
          <w:snapToGrid w:val="0"/>
        </w:rPr>
        <w:tab/>
        <w:t>Visto el acuerdo sobre libre circulación entre los Gobiernos de Serbia y Kosovo, de 27 de agosto de 2022, el acuerdo sobre matrículas, de 23 de noviembre de 2022, y la hoja de ruta para la aplicación de los acuerdos en materia de energía adoptada en el diálogo facilitado por la Unión, de 21 de junio de 2022,</w:t>
      </w:r>
    </w:p>
    <w:p w14:paraId="14FE0D7F" w14:textId="77777777" w:rsidR="00412837" w:rsidRPr="009A077C" w:rsidRDefault="00412837" w:rsidP="00B240D4">
      <w:pPr>
        <w:pStyle w:val="NormalHanging12a"/>
        <w:rPr>
          <w:snapToGrid w:val="0"/>
        </w:rPr>
      </w:pPr>
      <w:r w:rsidRPr="009A077C">
        <w:rPr>
          <w:snapToGrid w:val="0"/>
        </w:rPr>
        <w:t>–</w:t>
      </w:r>
      <w:r w:rsidRPr="009A077C">
        <w:rPr>
          <w:snapToGrid w:val="0"/>
        </w:rPr>
        <w:tab/>
        <w:t>Vista la Comunicación de la Comisión, de 5 de febrero de 2020, titulada «Mejorar el proceso de adhesión: una perspectiva creíble de la UE para los Balcanes Occidentales» (COM(2020)0057),</w:t>
      </w:r>
    </w:p>
    <w:p w14:paraId="71586B8B" w14:textId="77777777" w:rsidR="00412837" w:rsidRPr="009A077C" w:rsidRDefault="00412837" w:rsidP="00B240D4">
      <w:pPr>
        <w:pStyle w:val="NormalHanging12a"/>
        <w:rPr>
          <w:snapToGrid w:val="0"/>
        </w:rPr>
      </w:pPr>
      <w:r w:rsidRPr="009A077C">
        <w:rPr>
          <w:snapToGrid w:val="0"/>
        </w:rPr>
        <w:t>–</w:t>
      </w:r>
      <w:r w:rsidRPr="009A077C">
        <w:rPr>
          <w:snapToGrid w:val="0"/>
        </w:rPr>
        <w:tab/>
        <w:t>Vista la Comunicación de la Comisión, de 6 de octubre de 2020, titulada «Un Plan Económico y de Inversión para los Balcanes Occidentales» (COM(2020)0641),</w:t>
      </w:r>
    </w:p>
    <w:p w14:paraId="6822AC5A" w14:textId="77777777" w:rsidR="00412837" w:rsidRPr="009A077C" w:rsidRDefault="00412837" w:rsidP="00B240D4">
      <w:pPr>
        <w:pStyle w:val="NormalHanging12a"/>
        <w:rPr>
          <w:snapToGrid w:val="0"/>
        </w:rPr>
      </w:pPr>
      <w:r w:rsidRPr="009A077C">
        <w:t>–</w:t>
      </w:r>
      <w:r w:rsidRPr="009A077C">
        <w:rPr>
          <w:snapToGrid w:val="0"/>
        </w:rPr>
        <w:tab/>
        <w:t>Vista la Comunicación de la Comisión, de 8 de noviembre de 2023, titulada «Comunicación de 2023 sobre la política de ampliación de la UE» (COM(2023)0690), acompañada del documento de trabajo de los servicios de la Comisión titulado «Informe de 2023 sobre Serbia» (SWD(2023)0695),</w:t>
      </w:r>
    </w:p>
    <w:p w14:paraId="153AF873" w14:textId="77777777" w:rsidR="00412837" w:rsidRPr="009A077C" w:rsidRDefault="00412837" w:rsidP="00B240D4">
      <w:pPr>
        <w:pStyle w:val="NormalHanging12a"/>
        <w:rPr>
          <w:snapToGrid w:val="0"/>
        </w:rPr>
      </w:pPr>
      <w:r w:rsidRPr="009A077C">
        <w:rPr>
          <w:snapToGrid w:val="0"/>
        </w:rPr>
        <w:t>–</w:t>
      </w:r>
      <w:r w:rsidRPr="009A077C">
        <w:rPr>
          <w:snapToGrid w:val="0"/>
        </w:rPr>
        <w:tab/>
        <w:t>Vista la Comunicación de la Comisión, de 8 de noviembre de 2023, titulada «Nuevo plan de crecimiento para los Balcanes Occidentales» (COM(2023)0691),</w:t>
      </w:r>
    </w:p>
    <w:p w14:paraId="125A2201" w14:textId="77777777" w:rsidR="00412837" w:rsidRPr="009A077C" w:rsidRDefault="00412837" w:rsidP="00B240D4">
      <w:pPr>
        <w:pStyle w:val="NormalHanging12a"/>
        <w:rPr>
          <w:snapToGrid w:val="0"/>
        </w:rPr>
      </w:pPr>
      <w:r w:rsidRPr="009A077C">
        <w:rPr>
          <w:snapToGrid w:val="0"/>
        </w:rPr>
        <w:t>–</w:t>
      </w:r>
      <w:r w:rsidRPr="009A077C">
        <w:rPr>
          <w:snapToGrid w:val="0"/>
        </w:rPr>
        <w:tab/>
        <w:t>Vista la Comunicación de la Comisión, de 20 de marzo de 2024, sobre las reformas y las revisiones de las políticas previas a la ampliación (COM(2024)0146),</w:t>
      </w:r>
    </w:p>
    <w:p w14:paraId="26D74C1E" w14:textId="77777777" w:rsidR="00412837" w:rsidRPr="009A077C" w:rsidRDefault="00412837" w:rsidP="00B240D4">
      <w:pPr>
        <w:pStyle w:val="NormalHanging12a"/>
        <w:rPr>
          <w:snapToGrid w:val="0"/>
        </w:rPr>
      </w:pPr>
      <w:r w:rsidRPr="009A077C">
        <w:rPr>
          <w:snapToGrid w:val="0"/>
        </w:rPr>
        <w:t>–</w:t>
      </w:r>
      <w:r w:rsidRPr="009A077C">
        <w:rPr>
          <w:snapToGrid w:val="0"/>
        </w:rPr>
        <w:tab/>
        <w:t>Vista la Comunicación de la Comisión, de 30 de octubre de 2024, titulada «Comunicación de 2024 sobre la política de ampliación de la UE» (COM(2024)0690), acompañada del documento de trabajo de los servicios de la Comisión titulado «Informe de 2024 sobre Serbia» (SWD(2024)0695),</w:t>
      </w:r>
    </w:p>
    <w:p w14:paraId="2C8FE6E1" w14:textId="77777777" w:rsidR="00412837" w:rsidRPr="009A077C" w:rsidRDefault="00412837" w:rsidP="00B240D4">
      <w:pPr>
        <w:pStyle w:val="NormalHanging12a"/>
        <w:rPr>
          <w:snapToGrid w:val="0"/>
        </w:rPr>
      </w:pPr>
      <w:r w:rsidRPr="009A077C">
        <w:rPr>
          <w:snapToGrid w:val="0"/>
        </w:rPr>
        <w:t>–</w:t>
      </w:r>
      <w:r w:rsidRPr="009A077C">
        <w:rPr>
          <w:snapToGrid w:val="0"/>
        </w:rPr>
        <w:tab/>
        <w:t>Vistas las Conclusiones del Consejo Europeo, de 9 de febrero de 2023, sobre el diálogo facilitado por la Unión entre Belgrado y Pristina,</w:t>
      </w:r>
    </w:p>
    <w:p w14:paraId="27990042" w14:textId="77777777" w:rsidR="00412837" w:rsidRPr="009A077C" w:rsidRDefault="00412837" w:rsidP="00B240D4">
      <w:pPr>
        <w:pStyle w:val="NormalHanging12a"/>
        <w:rPr>
          <w:bCs/>
          <w:iCs/>
        </w:rPr>
      </w:pPr>
      <w:r w:rsidRPr="009A077C">
        <w:rPr>
          <w:b/>
          <w:i/>
        </w:rPr>
        <w:t>–</w:t>
      </w:r>
      <w:r w:rsidRPr="009A077C">
        <w:rPr>
          <w:b/>
          <w:i/>
        </w:rPr>
        <w:tab/>
      </w:r>
      <w:r w:rsidRPr="009A077C">
        <w:t>Visto el artículo 14 de la Constitución serbia sobre la protección de las minorías nacionales,</w:t>
      </w:r>
    </w:p>
    <w:p w14:paraId="33ABB87F" w14:textId="77777777" w:rsidR="00412837" w:rsidRPr="009A077C" w:rsidRDefault="00412837" w:rsidP="00B240D4">
      <w:pPr>
        <w:pStyle w:val="NormalHanging12a"/>
      </w:pPr>
      <w:r w:rsidRPr="009A077C">
        <w:rPr>
          <w:b/>
          <w:i/>
        </w:rPr>
        <w:t>–</w:t>
      </w:r>
      <w:r w:rsidRPr="009A077C">
        <w:rPr>
          <w:b/>
          <w:i/>
        </w:rPr>
        <w:tab/>
      </w:r>
      <w:r w:rsidRPr="009A077C">
        <w:t>Vistos el Convenio Marco para la Protección de las Minorías Nacionales del Consejo de Europa, ratificado por Serbia en 2001, y la Carta Europea de las Lenguas Regionales o Minoritarias del Consejo de Europa, ratificada por Serbia en 2006,</w:t>
      </w:r>
    </w:p>
    <w:p w14:paraId="5DD1B5C7" w14:textId="77777777" w:rsidR="00412837" w:rsidRPr="009A077C" w:rsidRDefault="00412837" w:rsidP="00B240D4">
      <w:pPr>
        <w:pStyle w:val="NormalHanging12a"/>
        <w:rPr>
          <w:snapToGrid w:val="0"/>
        </w:rPr>
      </w:pPr>
      <w:r w:rsidRPr="009A077C">
        <w:rPr>
          <w:snapToGrid w:val="0"/>
        </w:rPr>
        <w:lastRenderedPageBreak/>
        <w:t>–</w:t>
      </w:r>
      <w:r w:rsidRPr="009A077C">
        <w:rPr>
          <w:snapToGrid w:val="0"/>
        </w:rPr>
        <w:tab/>
        <w:t>Vistas las Conclusiones del Consejo Europeo, de los días 26 y 27 de octubre de 2023, sobre Kosovo y Serbia,</w:t>
      </w:r>
    </w:p>
    <w:p w14:paraId="513784BC" w14:textId="77777777" w:rsidR="00412837" w:rsidRPr="009A077C" w:rsidRDefault="00412837" w:rsidP="00B240D4">
      <w:pPr>
        <w:pStyle w:val="NormalHanging12a"/>
        <w:rPr>
          <w:snapToGrid w:val="0"/>
        </w:rPr>
      </w:pPr>
      <w:r w:rsidRPr="009A077C">
        <w:rPr>
          <w:snapToGrid w:val="0"/>
        </w:rPr>
        <w:t>–</w:t>
      </w:r>
      <w:r w:rsidRPr="009A077C">
        <w:rPr>
          <w:snapToGrid w:val="0"/>
        </w:rPr>
        <w:tab/>
        <w:t>Vistas las Conclusiones del Consejo, de 17 de diciembre de 2024, sobre la ampliación,</w:t>
      </w:r>
    </w:p>
    <w:p w14:paraId="59EBFA49" w14:textId="77777777" w:rsidR="001B5497" w:rsidRPr="009A077C" w:rsidRDefault="001B5497" w:rsidP="00B240D4">
      <w:pPr>
        <w:pStyle w:val="NormalHanging12a"/>
        <w:rPr>
          <w:snapToGrid w:val="0"/>
        </w:rPr>
      </w:pPr>
      <w:r w:rsidRPr="009A077C">
        <w:t>–</w:t>
      </w:r>
      <w:r w:rsidRPr="009A077C">
        <w:tab/>
        <w:t>Vista la orden del Tribunal Europeo de Derechos Humanos de 29 de abril de 2025 a Serbia para que se abstenga de utilizar dispositivos sónicos para el control de multitudes,</w:t>
      </w:r>
    </w:p>
    <w:p w14:paraId="4CEDA221" w14:textId="77777777" w:rsidR="00412837" w:rsidRPr="009A077C" w:rsidRDefault="00412837" w:rsidP="00B240D4">
      <w:pPr>
        <w:pStyle w:val="NormalHanging12a"/>
        <w:rPr>
          <w:snapToGrid w:val="0"/>
        </w:rPr>
      </w:pPr>
      <w:r w:rsidRPr="009A077C">
        <w:rPr>
          <w:snapToGrid w:val="0"/>
        </w:rPr>
        <w:t>–</w:t>
      </w:r>
      <w:r w:rsidRPr="009A077C">
        <w:rPr>
          <w:snapToGrid w:val="0"/>
        </w:rPr>
        <w:tab/>
        <w:t>Visto el informe final de la misión de observación de elecciones de la Organización para la Seguridad y la Cooperación en Europa / Oficina de Instituciones Democráticas y Derechos Humanos (OSCE/OIDDH) sobre las elecciones parlamentarias y presidenciales anticipadas del 3 de abril de 2022 en Serbia, publicado el 19 de agosto de 2022,</w:t>
      </w:r>
    </w:p>
    <w:p w14:paraId="53719D22" w14:textId="77777777" w:rsidR="00412837" w:rsidRPr="009A077C" w:rsidRDefault="00412837" w:rsidP="00B240D4">
      <w:pPr>
        <w:pStyle w:val="NormalHanging12a"/>
        <w:rPr>
          <w:bCs/>
          <w:iCs/>
          <w:snapToGrid w:val="0"/>
        </w:rPr>
      </w:pPr>
      <w:r w:rsidRPr="009A077C">
        <w:rPr>
          <w:snapToGrid w:val="0"/>
        </w:rPr>
        <w:t>–</w:t>
      </w:r>
      <w:r w:rsidRPr="009A077C">
        <w:rPr>
          <w:snapToGrid w:val="0"/>
        </w:rPr>
        <w:tab/>
        <w:t>Vistas las Conclusiones del Consejo Europeo de diciembre de 2006, las Conclusiones del Consejo de marzo de 2020 y las Conclusiones de la Presidencia del Consejo Europeo de Copenhague celebrado los días 21 y 22 de junio de 1993, también conocidas como criterios de Copenhague,</w:t>
      </w:r>
    </w:p>
    <w:p w14:paraId="48A616B0" w14:textId="77777777" w:rsidR="00412837" w:rsidRPr="009A077C" w:rsidRDefault="00412837" w:rsidP="00B240D4">
      <w:pPr>
        <w:pStyle w:val="NormalHanging12a"/>
        <w:rPr>
          <w:snapToGrid w:val="0"/>
        </w:rPr>
      </w:pPr>
      <w:r w:rsidRPr="009A077C">
        <w:rPr>
          <w:snapToGrid w:val="0"/>
        </w:rPr>
        <w:t>–</w:t>
      </w:r>
      <w:r w:rsidRPr="009A077C">
        <w:rPr>
          <w:snapToGrid w:val="0"/>
        </w:rPr>
        <w:tab/>
        <w:t>Visto el informe final de la misión de observación de elecciones de la OSCE/OIDDH sobre las elecciones parlamentarias anticipadas del 17 de diciembre de 2023 en Serbia, publicado el 28 de febrero de 2024,</w:t>
      </w:r>
    </w:p>
    <w:p w14:paraId="26C14903" w14:textId="77777777" w:rsidR="00412837" w:rsidRPr="009A077C" w:rsidRDefault="00412837" w:rsidP="00B240D4">
      <w:pPr>
        <w:pStyle w:val="NormalHanging12a"/>
        <w:rPr>
          <w:snapToGrid w:val="0"/>
        </w:rPr>
      </w:pPr>
      <w:r w:rsidRPr="009A077C">
        <w:t>–</w:t>
      </w:r>
      <w:r w:rsidRPr="009A077C">
        <w:rPr>
          <w:snapToGrid w:val="0"/>
        </w:rPr>
        <w:tab/>
        <w:t>Visto el memorando de entendimiento entre la Unión Europea y la República de Serbia relativo a una asociación estratégica sobre materias primas sostenibles, cadenas de valor de las baterías y vehículos eléctricos, firmado el 19 de julio de 2024,</w:t>
      </w:r>
    </w:p>
    <w:p w14:paraId="601AC138" w14:textId="77777777" w:rsidR="00412837" w:rsidRPr="009A077C" w:rsidRDefault="00412837" w:rsidP="00B240D4">
      <w:pPr>
        <w:pStyle w:val="NormalHanging12a"/>
        <w:rPr>
          <w:snapToGrid w:val="0"/>
        </w:rPr>
      </w:pPr>
      <w:r w:rsidRPr="009A077C">
        <w:t>–</w:t>
      </w:r>
      <w:r w:rsidRPr="009A077C">
        <w:rPr>
          <w:snapToGrid w:val="0"/>
        </w:rPr>
        <w:tab/>
        <w:t>Vista su Resolución, de 29 de febrero de 2024, sobre la profundización de la integración de la Unión con vistas a la futura ampliación</w:t>
      </w:r>
      <w:r w:rsidRPr="009A077C">
        <w:rPr>
          <w:snapToGrid w:val="0"/>
          <w:vertAlign w:val="superscript"/>
        </w:rPr>
        <w:footnoteReference w:id="4"/>
      </w:r>
      <w:r w:rsidRPr="009A077C">
        <w:rPr>
          <w:snapToGrid w:val="0"/>
        </w:rPr>
        <w:t>,</w:t>
      </w:r>
    </w:p>
    <w:p w14:paraId="7D7365F8" w14:textId="77777777" w:rsidR="00412837" w:rsidRPr="009A077C" w:rsidRDefault="00412837" w:rsidP="00B240D4">
      <w:pPr>
        <w:pStyle w:val="NormalHanging12a"/>
        <w:rPr>
          <w:snapToGrid w:val="0"/>
        </w:rPr>
      </w:pPr>
      <w:r w:rsidRPr="009A077C">
        <w:t>–</w:t>
      </w:r>
      <w:r w:rsidRPr="009A077C">
        <w:rPr>
          <w:snapToGrid w:val="0"/>
        </w:rPr>
        <w:tab/>
        <w:t>Vistas sus anteriores Resoluciones sobre Serbia, en particular su Resolución, de 19 de octubre de 2023, sobre la evolución reciente del diálogo entre Serbia y Kosovo, en particular la situación en los municipios del norte de Kosovo</w:t>
      </w:r>
      <w:r w:rsidRPr="009A077C">
        <w:rPr>
          <w:rStyle w:val="FootnoteReference"/>
          <w:snapToGrid w:val="0"/>
        </w:rPr>
        <w:footnoteReference w:id="5"/>
      </w:r>
      <w:r w:rsidRPr="009A077C">
        <w:rPr>
          <w:snapToGrid w:val="0"/>
        </w:rPr>
        <w:t>, y su Resolución, de 8 de febrero de 2024, sobre la situación en Serbia tras las elecciones</w:t>
      </w:r>
      <w:r w:rsidRPr="009A077C">
        <w:rPr>
          <w:rStyle w:val="FootnoteReference"/>
          <w:snapToGrid w:val="0"/>
        </w:rPr>
        <w:footnoteReference w:id="6"/>
      </w:r>
      <w:r w:rsidRPr="009A077C">
        <w:rPr>
          <w:snapToGrid w:val="0"/>
        </w:rPr>
        <w:t>,</w:t>
      </w:r>
    </w:p>
    <w:p w14:paraId="4F1BD91F" w14:textId="77777777" w:rsidR="00412837" w:rsidRPr="009A077C" w:rsidRDefault="00412837" w:rsidP="00B240D4">
      <w:pPr>
        <w:pStyle w:val="NormalHanging12a"/>
        <w:rPr>
          <w:snapToGrid w:val="0"/>
        </w:rPr>
      </w:pPr>
      <w:r w:rsidRPr="009A077C">
        <w:rPr>
          <w:snapToGrid w:val="0"/>
        </w:rPr>
        <w:t>–</w:t>
      </w:r>
      <w:r w:rsidRPr="009A077C">
        <w:rPr>
          <w:snapToGrid w:val="0"/>
        </w:rPr>
        <w:tab/>
        <w:t>Visto el artículo 55 de su Reglamento interno,</w:t>
      </w:r>
    </w:p>
    <w:p w14:paraId="7A65682E" w14:textId="77777777" w:rsidR="00412837" w:rsidRPr="009A077C" w:rsidRDefault="00412837" w:rsidP="00B240D4">
      <w:pPr>
        <w:pStyle w:val="NormalHanging12a"/>
        <w:rPr>
          <w:snapToGrid w:val="0"/>
        </w:rPr>
      </w:pPr>
      <w:r w:rsidRPr="009A077C">
        <w:rPr>
          <w:snapToGrid w:val="0"/>
        </w:rPr>
        <w:t>–</w:t>
      </w:r>
      <w:r w:rsidRPr="009A077C">
        <w:rPr>
          <w:snapToGrid w:val="0"/>
        </w:rPr>
        <w:tab/>
        <w:t>Visto el informe de la Comisión de Asuntos Exteriores (A10</w:t>
      </w:r>
      <w:r w:rsidRPr="009A077C">
        <w:rPr>
          <w:snapToGrid w:val="0"/>
        </w:rPr>
        <w:noBreakHyphen/>
        <w:t>0072/2025),</w:t>
      </w:r>
    </w:p>
    <w:p w14:paraId="1F5A9876" w14:textId="77777777" w:rsidR="00412837" w:rsidRPr="009A077C" w:rsidRDefault="00412837" w:rsidP="00B240D4">
      <w:pPr>
        <w:pStyle w:val="NormalHanging12a"/>
        <w:rPr>
          <w:snapToGrid w:val="0"/>
        </w:rPr>
      </w:pPr>
      <w:r w:rsidRPr="009A077C">
        <w:rPr>
          <w:snapToGrid w:val="0"/>
        </w:rPr>
        <w:t>A.</w:t>
      </w:r>
      <w:r w:rsidRPr="009A077C">
        <w:rPr>
          <w:snapToGrid w:val="0"/>
        </w:rPr>
        <w:tab/>
        <w:t>Considerando que la ampliación es uno de los instrumentos de política exterior de la Unión más eficaces y constituye una inversión geoestratégica a largo plazo en paz, democracia, estabilidad y seguridad en todo el continente;</w:t>
      </w:r>
    </w:p>
    <w:p w14:paraId="7197A222" w14:textId="77777777" w:rsidR="00412837" w:rsidRPr="009A077C" w:rsidRDefault="00412837" w:rsidP="00B240D4">
      <w:pPr>
        <w:pStyle w:val="NormalHanging12a"/>
      </w:pPr>
      <w:r w:rsidRPr="009A077C">
        <w:rPr>
          <w:snapToGrid w:val="0"/>
        </w:rPr>
        <w:t>B.</w:t>
      </w:r>
      <w:r w:rsidRPr="009A077C">
        <w:rPr>
          <w:snapToGrid w:val="0"/>
        </w:rPr>
        <w:tab/>
      </w:r>
      <w:r w:rsidRPr="009A077C">
        <w:t>Considerando que, de acuerdo con los criterios de Copenhague, los países candidatos deben adherirse a los valores de la Unión para poder unirse a ella;</w:t>
      </w:r>
    </w:p>
    <w:p w14:paraId="6133E630" w14:textId="77777777" w:rsidR="00412837" w:rsidRPr="009A077C" w:rsidRDefault="00412837" w:rsidP="00B240D4">
      <w:pPr>
        <w:pStyle w:val="NormalHanging12a"/>
        <w:rPr>
          <w:snapToGrid w:val="0"/>
        </w:rPr>
      </w:pPr>
      <w:r w:rsidRPr="009A077C">
        <w:rPr>
          <w:snapToGrid w:val="0"/>
        </w:rPr>
        <w:t>C.</w:t>
      </w:r>
      <w:r w:rsidRPr="009A077C">
        <w:rPr>
          <w:snapToGrid w:val="0"/>
        </w:rPr>
        <w:tab/>
        <w:t xml:space="preserve">Considerando que la democracia y el Estado de Derecho son los valores fundamentales </w:t>
      </w:r>
      <w:r w:rsidRPr="009A077C">
        <w:rPr>
          <w:snapToGrid w:val="0"/>
        </w:rPr>
        <w:lastRenderedPageBreak/>
        <w:t>en los que se basa la Unión;</w:t>
      </w:r>
    </w:p>
    <w:p w14:paraId="1F12B8C0" w14:textId="77777777" w:rsidR="00412837" w:rsidRPr="009A077C" w:rsidRDefault="00412837" w:rsidP="00B240D4">
      <w:pPr>
        <w:pStyle w:val="NormalHanging12a"/>
        <w:rPr>
          <w:b/>
          <w:snapToGrid w:val="0"/>
        </w:rPr>
      </w:pPr>
      <w:r w:rsidRPr="009A077C">
        <w:rPr>
          <w:snapToGrid w:val="0"/>
        </w:rPr>
        <w:t>D.</w:t>
      </w:r>
      <w:r w:rsidRPr="009A077C">
        <w:rPr>
          <w:snapToGrid w:val="0"/>
        </w:rPr>
        <w:tab/>
      </w:r>
      <w:r w:rsidRPr="009A077C">
        <w:t>Considerando que, en los últimos años, el partido en el poder, el Partido Progresista Serbio (SNS), ha erosionado constantemente los derechos políticos y las libertades civiles, presionando a los medios de comunicación independientes, a la oposición política y a las organizaciones de la sociedad civil;</w:t>
      </w:r>
    </w:p>
    <w:p w14:paraId="2C465426" w14:textId="77777777" w:rsidR="00412837" w:rsidRPr="009A077C" w:rsidRDefault="00412837" w:rsidP="00B240D4">
      <w:pPr>
        <w:pStyle w:val="NormalHanging12a"/>
        <w:rPr>
          <w:bCs/>
          <w:iCs/>
          <w:snapToGrid w:val="0"/>
        </w:rPr>
      </w:pPr>
      <w:r w:rsidRPr="009A077C">
        <w:rPr>
          <w:snapToGrid w:val="0"/>
        </w:rPr>
        <w:t>E.</w:t>
      </w:r>
      <w:r w:rsidRPr="009A077C">
        <w:rPr>
          <w:snapToGrid w:val="0"/>
        </w:rPr>
        <w:tab/>
        <w:t>Considerando que, en el cuarto dictamen sobre Serbia del Comité Consultivo del Convenio Marco del Consejo de Europa para la Protección de las Minorías Nacionales, adoptado el 26 de junio de 2019, se criticaron los retrasos de Serbia en la plena aplicación de los derechos educativos de las minorías;</w:t>
      </w:r>
    </w:p>
    <w:p w14:paraId="21170AB3" w14:textId="77777777" w:rsidR="00412837" w:rsidRPr="009A077C" w:rsidRDefault="00412837" w:rsidP="00B240D4">
      <w:pPr>
        <w:pStyle w:val="NormalHanging12a"/>
        <w:rPr>
          <w:bCs/>
          <w:iCs/>
          <w:snapToGrid w:val="0"/>
        </w:rPr>
      </w:pPr>
      <w:r w:rsidRPr="009A077C">
        <w:rPr>
          <w:snapToGrid w:val="0"/>
        </w:rPr>
        <w:t>F.</w:t>
      </w:r>
      <w:r w:rsidRPr="009A077C">
        <w:rPr>
          <w:snapToGrid w:val="0"/>
        </w:rPr>
        <w:tab/>
        <w:t>Considerando que la libertad religiosa es un valor europeo básico y un derecho humano fundamental, y que Serbia está obligada a respetar y garantizar esta libertad a todas las personas que residen en su territorio, de conformidad con sus compromisos internacionales y sus obligaciones en materia de derechos humanos;</w:t>
      </w:r>
    </w:p>
    <w:p w14:paraId="0C024727" w14:textId="77777777" w:rsidR="00412837" w:rsidRPr="009A077C" w:rsidRDefault="00412837" w:rsidP="00B240D4">
      <w:pPr>
        <w:pStyle w:val="NormalHanging12a"/>
        <w:rPr>
          <w:bCs/>
          <w:iCs/>
          <w:snapToGrid w:val="0"/>
        </w:rPr>
      </w:pPr>
      <w:r w:rsidRPr="009A077C">
        <w:rPr>
          <w:snapToGrid w:val="0"/>
        </w:rPr>
        <w:t>G.</w:t>
      </w:r>
      <w:r w:rsidRPr="009A077C">
        <w:rPr>
          <w:snapToGrid w:val="0"/>
        </w:rPr>
        <w:tab/>
        <w:t>Considerando que, de conformidad con el capítulo 23 del acervo, Serbia debe demostrar mejoras reales en el ejercicio efectivo de los derechos de las personas pertenecientes a minorías nacionales;</w:t>
      </w:r>
    </w:p>
    <w:p w14:paraId="4E7059A4" w14:textId="77777777" w:rsidR="00412837" w:rsidRPr="009A077C" w:rsidRDefault="00412837" w:rsidP="00B240D4">
      <w:pPr>
        <w:pStyle w:val="NormalHanging12a"/>
        <w:rPr>
          <w:snapToGrid w:val="0"/>
        </w:rPr>
      </w:pPr>
      <w:r w:rsidRPr="009A077C">
        <w:rPr>
          <w:snapToGrid w:val="0"/>
        </w:rPr>
        <w:t>H.</w:t>
      </w:r>
      <w:r w:rsidRPr="009A077C">
        <w:rPr>
          <w:snapToGrid w:val="0"/>
        </w:rPr>
        <w:tab/>
        <w:t>Considerando que cada país candidato es juzgado por sus méritos propios, lo que incluye su respeto de los derechos y valores europeos compartidos, el compromiso inquebrantable con ellos y su adaptación a la política exterior y de seguridad de la Unión;</w:t>
      </w:r>
    </w:p>
    <w:p w14:paraId="472BC471" w14:textId="77777777" w:rsidR="00412837" w:rsidRPr="009A077C" w:rsidRDefault="00412837" w:rsidP="00B240D4">
      <w:pPr>
        <w:pStyle w:val="NormalHanging12a"/>
        <w:rPr>
          <w:snapToGrid w:val="0"/>
        </w:rPr>
      </w:pPr>
      <w:r w:rsidRPr="009A077C">
        <w:rPr>
          <w:snapToGrid w:val="0"/>
        </w:rPr>
        <w:t>I.</w:t>
      </w:r>
      <w:r w:rsidRPr="009A077C">
        <w:rPr>
          <w:snapToGrid w:val="0"/>
        </w:rPr>
        <w:tab/>
        <w:t>Considerando que Serbia no ha impuesto sanciones a Rusia a raíz de la agresión rusa contra Ucrania; que la tasa de adaptación de Serbia a la política exterior y de seguridad común europea (PESC) ha ido descendiendo de manera continua desde 2021; que Serbia apoya la integridad territorial y la independencia política de Ucrania, ha condenado claramente la agresión de la Federación de Rusia contra dicho país y ha votado junto a la Unión en las Naciones Unidas, a pesar de que no ha impuesto sanciones a Rusia; que la tasa de adaptación de Serbia a la PESC disminuyó del 54 % en 2023 al 51 % en 2024, mientras que otros países candidatos de la región (Albania, Bosnia y Herzegovina, Montenegro y Macedonia del Norte) lograron una adaptación del 100 %;</w:t>
      </w:r>
    </w:p>
    <w:p w14:paraId="751BF10C" w14:textId="77777777" w:rsidR="00412837" w:rsidRPr="009A077C" w:rsidRDefault="00412837" w:rsidP="00B240D4">
      <w:pPr>
        <w:pStyle w:val="NormalHanging12a"/>
        <w:rPr>
          <w:bCs/>
          <w:iCs/>
          <w:snapToGrid w:val="0"/>
        </w:rPr>
      </w:pPr>
      <w:r w:rsidRPr="009A077C">
        <w:rPr>
          <w:snapToGrid w:val="0"/>
        </w:rPr>
        <w:t>J.</w:t>
      </w:r>
      <w:r w:rsidRPr="009A077C">
        <w:rPr>
          <w:snapToGrid w:val="0"/>
        </w:rPr>
        <w:tab/>
        <w:t>Considerando que Serbia sigue siendo un campo de batalla crítico para las campañas de desinformación extranjeras, en particular para las procedentes de Rusia y China, cuyo objetivo es crear una retórica antioccidental; que el informe final de la OSCE/OIDDH sobre las elecciones parlamentarias anticipadas celebradas el 17 de diciembre de 2023 señalaba varias deficiencias de procedimiento, así como el uso de una retórica dura y la presencia de un sesgo constante en los medios de comunicación, lo que otorgó una ventaja desequilibrada al partido gobernante; que los problemas detectados en dicho informe deben evaluarse de manera minuciosa y con prontitud; que, como parte de las negociaciones de adhesión, Serbia adoptó la Estrategia de lucha contra la ciberdelincuencia 2019</w:t>
      </w:r>
      <w:r w:rsidRPr="009A077C">
        <w:rPr>
          <w:snapToGrid w:val="0"/>
        </w:rPr>
        <w:noBreakHyphen/>
        <w:t>2023 y los planes de acción pertinentes en septiembre de 2018; que la Estrategia y los planes de acción pertinentes no se renovaron después de diciembre de 2023; que Serbia no se ajustó a las medidas restrictivas de la Unión en respuesta a los ciberataques en 2023 y 2024;</w:t>
      </w:r>
    </w:p>
    <w:p w14:paraId="4BFB5CEF" w14:textId="77777777" w:rsidR="00412837" w:rsidRPr="009A077C" w:rsidRDefault="00412837" w:rsidP="00B240D4">
      <w:pPr>
        <w:pStyle w:val="NormalHanging12a"/>
        <w:rPr>
          <w:bCs/>
          <w:iCs/>
          <w:snapToGrid w:val="0"/>
        </w:rPr>
      </w:pPr>
      <w:r w:rsidRPr="009A077C">
        <w:rPr>
          <w:snapToGrid w:val="0"/>
        </w:rPr>
        <w:t>K.</w:t>
      </w:r>
      <w:r w:rsidRPr="009A077C">
        <w:rPr>
          <w:snapToGrid w:val="0"/>
        </w:rPr>
        <w:tab/>
        <w:t>Considerando que la normalización de las relaciones entre Kosovo y Serbia constituye una condición previa para el progreso de ambos países hacia la adhesión a la Unión;</w:t>
      </w:r>
    </w:p>
    <w:p w14:paraId="0529152B" w14:textId="77777777" w:rsidR="00412837" w:rsidRPr="009A077C" w:rsidRDefault="00412837" w:rsidP="00B240D4">
      <w:pPr>
        <w:pStyle w:val="NormalHanging12a"/>
        <w:rPr>
          <w:bCs/>
          <w:iCs/>
          <w:snapToGrid w:val="0"/>
        </w:rPr>
      </w:pPr>
      <w:r w:rsidRPr="009A077C">
        <w:rPr>
          <w:snapToGrid w:val="0"/>
        </w:rPr>
        <w:t>L.</w:t>
      </w:r>
      <w:r w:rsidRPr="009A077C">
        <w:rPr>
          <w:snapToGrid w:val="0"/>
        </w:rPr>
        <w:tab/>
        <w:t>Considerando que la adhesión a la Unión requiere inevitablemente la plena adaptación a los objetivos de la política exterior de la Unión;</w:t>
      </w:r>
    </w:p>
    <w:p w14:paraId="141DCC05" w14:textId="77777777" w:rsidR="00412837" w:rsidRPr="009A077C" w:rsidRDefault="00412837" w:rsidP="00B240D4">
      <w:pPr>
        <w:pStyle w:val="NormalHanging12a"/>
        <w:rPr>
          <w:b/>
        </w:rPr>
      </w:pPr>
      <w:r w:rsidRPr="009A077C">
        <w:rPr>
          <w:snapToGrid w:val="0"/>
        </w:rPr>
        <w:t>M.</w:t>
      </w:r>
      <w:r w:rsidRPr="009A077C">
        <w:rPr>
          <w:snapToGrid w:val="0"/>
        </w:rPr>
        <w:tab/>
        <w:t>Considerando que Serbia reconoce la integridad territorial de Ucrania, incluida la península de Crimea y la región de Dombás;</w:t>
      </w:r>
    </w:p>
    <w:p w14:paraId="56289489" w14:textId="77777777" w:rsidR="00412837" w:rsidRPr="009A077C" w:rsidRDefault="00412837" w:rsidP="00B240D4">
      <w:pPr>
        <w:pStyle w:val="NormalHanging12a"/>
      </w:pPr>
      <w:r w:rsidRPr="009A077C">
        <w:rPr>
          <w:snapToGrid w:val="0"/>
        </w:rPr>
        <w:t>N.</w:t>
      </w:r>
      <w:r w:rsidRPr="009A077C">
        <w:rPr>
          <w:snapToGrid w:val="0"/>
        </w:rPr>
        <w:tab/>
        <w:t>Considerando que la Unión es el principal socio comercial de Serbia, ya que representa el 59,7 % de su comercio total;</w:t>
      </w:r>
    </w:p>
    <w:p w14:paraId="6DD738DD" w14:textId="77777777" w:rsidR="00412837" w:rsidRPr="009A077C" w:rsidRDefault="00412837" w:rsidP="00B240D4">
      <w:pPr>
        <w:pStyle w:val="NormalHanging12a"/>
        <w:rPr>
          <w:bCs/>
          <w:iCs/>
          <w:snapToGrid w:val="0"/>
        </w:rPr>
      </w:pPr>
      <w:r w:rsidRPr="009A077C">
        <w:rPr>
          <w:snapToGrid w:val="0"/>
        </w:rPr>
        <w:t>O.</w:t>
      </w:r>
      <w:r w:rsidRPr="009A077C">
        <w:rPr>
          <w:snapToGrid w:val="0"/>
        </w:rPr>
        <w:tab/>
        <w:t>Considerando que Rusia está utilizando su influencia en Serbia para intentar desestabilizar y amenazar a los Estados soberanos vecinos, interferir en estos y socavar el futuro europeo de Serbia; que los canales de propaganda rusos como RT (anteriormente Russia Today) y Sputnik operan libremente en Serbia y ejercen una influencia significativa en la formulación de discursos contra la Unión y antidemocráticos; que, a menudo, la desinformación tiene su origen en una declaración falsa o engañosa de una personalidad política, que después se recoge en los medios de comunicación estatales y posteriormente se amplifica en las redes sociales, a menudo con la intención de socavar a los opositores políticos y los principios democráticos;</w:t>
      </w:r>
    </w:p>
    <w:p w14:paraId="74AD621B" w14:textId="77777777" w:rsidR="00412837" w:rsidRPr="009A077C" w:rsidRDefault="00412837" w:rsidP="00B240D4">
      <w:pPr>
        <w:pStyle w:val="NormalHanging12a"/>
        <w:rPr>
          <w:bCs/>
          <w:iCs/>
          <w:snapToGrid w:val="0"/>
        </w:rPr>
      </w:pPr>
      <w:r w:rsidRPr="009A077C">
        <w:rPr>
          <w:snapToGrid w:val="0"/>
        </w:rPr>
        <w:t>P.</w:t>
      </w:r>
      <w:r w:rsidRPr="009A077C">
        <w:rPr>
          <w:snapToGrid w:val="0"/>
        </w:rPr>
        <w:tab/>
        <w:t>Considerando que, el 8 de junio de 2024, se celebró en Belgrado una «Asamblea de todos los serbios» con la participación de dirigentes políticos de Serbia, Bosnia y Herzegovina, Montenegro y Kosovo bajo el lema «Un pueblo, una asamblea»;</w:t>
      </w:r>
    </w:p>
    <w:p w14:paraId="3A998E56" w14:textId="77777777" w:rsidR="00412837" w:rsidRPr="009A077C" w:rsidRDefault="00412837" w:rsidP="00B240D4">
      <w:pPr>
        <w:pStyle w:val="NormalHanging12a"/>
        <w:rPr>
          <w:b/>
          <w:i/>
        </w:rPr>
      </w:pPr>
      <w:r w:rsidRPr="009A077C">
        <w:rPr>
          <w:b/>
          <w:i/>
        </w:rPr>
        <w:t>Compromiso con la adhesión a la Unión</w:t>
      </w:r>
    </w:p>
    <w:p w14:paraId="2FF63BB4" w14:textId="77777777" w:rsidR="00412837" w:rsidRPr="009A077C" w:rsidRDefault="00412837" w:rsidP="00B240D4">
      <w:pPr>
        <w:pStyle w:val="NormalHanging12a"/>
        <w:rPr>
          <w:rFonts w:eastAsia="Calibri"/>
          <w:color w:val="000000" w:themeColor="text1"/>
        </w:rPr>
      </w:pPr>
      <w:r w:rsidRPr="009A077C">
        <w:rPr>
          <w:color w:val="000000" w:themeColor="text1"/>
        </w:rPr>
        <w:t>1.</w:t>
      </w:r>
      <w:r w:rsidRPr="009A077C">
        <w:rPr>
          <w:color w:val="000000" w:themeColor="text1"/>
        </w:rPr>
        <w:tab/>
      </w:r>
      <w:r w:rsidRPr="009A077C">
        <w:t>Toma nota de que Serbia haya reafirmado como objetivo estratégico su compromiso con la adhesión a la Unión y de su ambición de adaptarse plenamente al acervo de la Unión para finales de 2026; insta a Serbia a que lleve a cabo reformas esenciales de forma rápida y decisiva, especialmente en el grupo temático 1, para que este compromiso tan ambicioso se perciba como realista, genuino y significativo; destaca la necesidad de que Serbia demuestre seria y categóricamente su orientación estratégica hacia la Unión mostrando una voluntad política firme y la coherencia en la ejecución de las reformas relacionadas con la Unión e informando a sus ciudadanos de manera objetiva e inequívoca sobre la Unión, la trayectoria europea de Serbia y las reformas necesarias;</w:t>
      </w:r>
    </w:p>
    <w:p w14:paraId="145D46A7" w14:textId="77777777" w:rsidR="00412837" w:rsidRPr="009A077C" w:rsidRDefault="00412837" w:rsidP="00B240D4">
      <w:pPr>
        <w:pStyle w:val="NormalHanging12a"/>
      </w:pPr>
      <w:r w:rsidRPr="009A077C">
        <w:t>2.</w:t>
      </w:r>
      <w:r w:rsidRPr="009A077C">
        <w:tab/>
        <w:t>Reitera la importancia estratégica de los Balcanes Occidentales en el contexto geopolítico actual y para la seguridad y la estabilidad de la Unión en su conjunto;</w:t>
      </w:r>
      <w:r w:rsidRPr="009A077C">
        <w:rPr>
          <w:b/>
          <w:i/>
        </w:rPr>
        <w:t xml:space="preserve"> </w:t>
      </w:r>
      <w:r w:rsidRPr="009A077C">
        <w:t>señala que, debido a su posición geopolítica, el país ejerce un impacto directo en la estabilidad general de la región; condena, por tanto, los intentos de Serbia de establecer una esfera de influencia que socave la soberanía de los países vecinos;</w:t>
      </w:r>
    </w:p>
    <w:p w14:paraId="596C3B79" w14:textId="77777777" w:rsidR="00412837" w:rsidRPr="009A077C" w:rsidRDefault="00412837" w:rsidP="00B240D4">
      <w:pPr>
        <w:pStyle w:val="NormalHanging12a"/>
      </w:pPr>
      <w:r w:rsidRPr="009A077C">
        <w:rPr>
          <w:color w:val="000000" w:themeColor="text1"/>
        </w:rPr>
        <w:t>3.</w:t>
      </w:r>
      <w:r w:rsidRPr="009A077C">
        <w:rPr>
          <w:color w:val="000000" w:themeColor="text1"/>
        </w:rPr>
        <w:tab/>
      </w:r>
      <w:r w:rsidRPr="009A077C">
        <w:t>Reconoce el buen nivel de preparación de Serbia en lo que atañe a la estabilidad macroeconómica y la disciplina presupuestaria, así como la evaluación de la Comisión de que el grupo temático 3 está técnicamente listo para su apertura, pero observa con preocupación que se han registrado avances generales limitados o nulos en el cumplimiento de los criterios de referencia para la adhesión a la Unión en todos los capítulos de negociación, con deficiencias concretas en ámbitos de vital importancia como el Estado de Derecho, la libertad de los medios de comunicación, la reforma de la administración pública y la armonización con las políticas de la Unión, en particular la política exterior de la Unión;</w:t>
      </w:r>
    </w:p>
    <w:p w14:paraId="283283C0" w14:textId="77777777" w:rsidR="00412837" w:rsidRPr="009A077C" w:rsidRDefault="00412837" w:rsidP="00B240D4">
      <w:pPr>
        <w:pStyle w:val="Normal12Hanging"/>
        <w:rPr>
          <w:lang w:val="es-ES_tradnl"/>
        </w:rPr>
      </w:pPr>
      <w:r w:rsidRPr="009A077C">
        <w:rPr>
          <w:lang w:val="es-ES_tradnl"/>
        </w:rPr>
        <w:t>4.</w:t>
      </w:r>
      <w:r w:rsidRPr="009A077C">
        <w:rPr>
          <w:lang w:val="es-ES_tradnl"/>
        </w:rPr>
        <w:tab/>
        <w:t>Lamenta que no se haya avanzado sustancialmente en el capítulo 31 debido a que el patrón de adaptación de Serbia a las posiciones de la política exterior de la Unión se ha mantenido prácticamente inalterado, fundamentalmente a causa de las estrechas relaciones de Serbia con Rusia;</w:t>
      </w:r>
      <w:r w:rsidRPr="009A077C">
        <w:rPr>
          <w:b/>
          <w:i/>
          <w:lang w:val="es-ES_tradnl"/>
        </w:rPr>
        <w:t xml:space="preserve"> </w:t>
      </w:r>
      <w:r w:rsidRPr="009A077C">
        <w:rPr>
          <w:lang w:val="es-ES_tradnl"/>
        </w:rPr>
        <w:t>recuerda que Serbia sigue constituyendo una notable excepción en los Balcanes Occidentales en lo que respecta a la adaptación a la PESC; pide a Serbia que invierta esta tendencia y que demuestre avances positivos hacia la plena adaptación; observa que el índice de cumplimiento por parte de Serbia de las declaraciones de la Unión está aumentando, si bien se mantiene solo al 61 %; acoge con satisfacción la continua y activa participación de Serbia y su positiva contribución en las misiones y operaciones de gestión de crisis militares de la UE;</w:t>
      </w:r>
    </w:p>
    <w:p w14:paraId="34F51AB7" w14:textId="77777777" w:rsidR="00412837" w:rsidRPr="009A077C" w:rsidRDefault="00412837" w:rsidP="00B240D4">
      <w:pPr>
        <w:pStyle w:val="Normal12Hanging"/>
        <w:rPr>
          <w:szCs w:val="24"/>
          <w:lang w:val="es-ES_tradnl"/>
        </w:rPr>
      </w:pPr>
      <w:r w:rsidRPr="009A077C">
        <w:rPr>
          <w:lang w:val="es-ES_tradnl"/>
        </w:rPr>
        <w:t>5.</w:t>
      </w:r>
      <w:r w:rsidRPr="009A077C">
        <w:rPr>
          <w:lang w:val="es-ES_tradnl"/>
        </w:rPr>
        <w:tab/>
        <w:t>Acoge con satisfacción la ayuda humanitaria de Serbia a Ucrania y toma nota de la venta de munición por valor de 800</w:t>
      </w:r>
      <w:r w:rsidR="00B240D4" w:rsidRPr="009A077C">
        <w:rPr>
          <w:lang w:val="es-ES_tradnl"/>
        </w:rPr>
        <w:t> 000 000</w:t>
      </w:r>
      <w:r w:rsidRPr="009A077C">
        <w:rPr>
          <w:lang w:val="es-ES_tradnl"/>
        </w:rPr>
        <w:t xml:space="preserve"> EUR para su uso por parte de Ucrania en un acuerdo mutuamente beneficioso; observa que Serbia se ha alineado con algunas posiciones de la Unión en lo que respecta a la guerra de agresión de Rusia contra Ucrania; lamenta, no obstante, que Serbia siga sin ajustarse a las medidas restrictivas de la Unión contra Rusia; pide a la Unión que reconsidere la magnitud de la ayuda financiera proporcionada por la Unión a Serbia en caso de apoyo continuado a ideologías antidemocráticas y de no adaptarse a las medidas restrictivas de la Unión y la PESC;</w:t>
      </w:r>
      <w:r w:rsidRPr="009A077C">
        <w:rPr>
          <w:b/>
          <w:i/>
          <w:lang w:val="es-ES_tradnl"/>
        </w:rPr>
        <w:t xml:space="preserve"> </w:t>
      </w:r>
      <w:r w:rsidRPr="009A077C">
        <w:rPr>
          <w:lang w:val="es-ES_tradnl"/>
        </w:rPr>
        <w:t>pide a Serbia que se ajuste, sistemáticamente, con prontitud y sin demora, a las medidas restrictivas y a la política general de la Unión con respecto a Rusia y Bielorrusia;</w:t>
      </w:r>
    </w:p>
    <w:p w14:paraId="3A0EC0A3" w14:textId="77777777" w:rsidR="00412837" w:rsidRPr="009A077C" w:rsidRDefault="00412837" w:rsidP="00B240D4">
      <w:pPr>
        <w:pStyle w:val="Normal12Hanging"/>
        <w:rPr>
          <w:lang w:val="es-ES_tradnl"/>
        </w:rPr>
      </w:pPr>
      <w:r w:rsidRPr="009A077C">
        <w:rPr>
          <w:lang w:val="es-ES_tradnl"/>
        </w:rPr>
        <w:t>6.</w:t>
      </w:r>
      <w:r w:rsidRPr="009A077C">
        <w:rPr>
          <w:lang w:val="es-ES_tradnl"/>
        </w:rPr>
        <w:tab/>
        <w:t>Destaca la importancia de aplicar sanciones contra Rusia para la seguridad de Europa en su conjunto; lamenta que Serbia mantenga sus estrechas relaciones con Rusia, lo que suscita preocupación respecto a su orientación estratégica; reitera sus llamamientos a las autoridades serbias para que refuercen la transparencia respecto al papel y a las actividades del denominado Centro Humanitario Ruso-Serbio de Nis y pongan fin de inmediato a toda cooperación militar con Rusia; toma nota de la decisión de Serbia de apoyar la Resolución de las Naciones Unidas por la que se condena la agresión de Rusia contra Ucrania tres años después de la invasión a gran escala; lamenta la inmediata retractación verbal por parte del presidente Vučić respecto a la votación de Serbia en las Naciones Unidas, calificándola de «error»; considera que el hecho de mantener relaciones privilegiadas con el régimen del Kremlin socava no solo la credibilidad de Serbia como país candidato, sino también la confianza de sus socios europeos y el futuro de las relaciones entre la Unión y Serbia;</w:t>
      </w:r>
    </w:p>
    <w:p w14:paraId="6301051B" w14:textId="77777777" w:rsidR="00412837" w:rsidRPr="009A077C" w:rsidRDefault="00412837" w:rsidP="00B240D4">
      <w:pPr>
        <w:pStyle w:val="Normal12Hanging"/>
        <w:rPr>
          <w:lang w:val="es-ES_tradnl"/>
        </w:rPr>
      </w:pPr>
      <w:r w:rsidRPr="009A077C">
        <w:rPr>
          <w:lang w:val="es-ES_tradnl"/>
        </w:rPr>
        <w:t>7.</w:t>
      </w:r>
      <w:r w:rsidRPr="009A077C">
        <w:rPr>
          <w:lang w:val="es-ES_tradnl"/>
        </w:rPr>
        <w:tab/>
        <w:t>Lamenta el continuo descenso del apoyo público a la adhesión a la Unión en Serbia y el creciente apoyo al régimen de Putin, que es consecuencia de una prolongada retórica contraria a la Unión y prorrusa por parte de los medios de comunicación controlados por el Gobierno, así como de algunas autoridades gubernamentales; pide a las autoridades serbias que promuevan un debate transparente y basado en hechos sobre la adhesión a la Unión;</w:t>
      </w:r>
    </w:p>
    <w:p w14:paraId="392DB91F" w14:textId="77777777" w:rsidR="00412837" w:rsidRPr="009A077C" w:rsidRDefault="00412837" w:rsidP="00B240D4">
      <w:pPr>
        <w:pStyle w:val="Normal12Hanging"/>
        <w:rPr>
          <w:lang w:val="es-ES_tradnl"/>
        </w:rPr>
      </w:pPr>
      <w:r w:rsidRPr="009A077C">
        <w:rPr>
          <w:lang w:val="es-ES_tradnl"/>
        </w:rPr>
        <w:t>8.</w:t>
      </w:r>
      <w:r w:rsidRPr="009A077C">
        <w:rPr>
          <w:lang w:val="es-ES_tradnl"/>
        </w:rPr>
        <w:tab/>
        <w:t>Lamenta la continua difusión de desinformación, también sobre la guerra de agresión de Rusia contra Ucrania; condena los efectos indirectos de estas acciones en otros países de la región; pide a las autoridades serbias que luchen contra la desinformación e insta a la Unión a que refuerce la cooperación con Serbia para consolidar la resiliencia democrática y contrarrestar las amenazas híbridas;</w:t>
      </w:r>
    </w:p>
    <w:p w14:paraId="2A23ABB6" w14:textId="77777777" w:rsidR="00412837" w:rsidRPr="009A077C" w:rsidRDefault="00412837" w:rsidP="00B240D4">
      <w:pPr>
        <w:pStyle w:val="BodyA"/>
        <w:shd w:val="clear" w:color="auto" w:fill="FFFFFF" w:themeFill="background1"/>
        <w:spacing w:after="240"/>
        <w:ind w:left="567" w:hanging="567"/>
        <w:rPr>
          <w:rFonts w:ascii="Times New Roman" w:eastAsia="Times New Roman" w:hAnsi="Times New Roman" w:cs="Times New Roman"/>
          <w:bCs/>
          <w:iCs/>
          <w:color w:val="000000" w:themeColor="text1"/>
          <w:sz w:val="24"/>
          <w:szCs w:val="24"/>
          <w:lang w:val="es-ES_tradnl"/>
        </w:rPr>
      </w:pPr>
      <w:r w:rsidRPr="009A077C">
        <w:rPr>
          <w:rFonts w:ascii="Times New Roman" w:hAnsi="Times New Roman"/>
          <w:color w:val="000000" w:themeColor="text1"/>
          <w:sz w:val="24"/>
          <w:lang w:val="es-ES_tradnl"/>
        </w:rPr>
        <w:t>9.</w:t>
      </w:r>
      <w:r w:rsidRPr="009A077C">
        <w:rPr>
          <w:rFonts w:ascii="Times New Roman" w:hAnsi="Times New Roman"/>
          <w:color w:val="000000" w:themeColor="text1"/>
          <w:sz w:val="24"/>
          <w:lang w:val="es-ES_tradnl"/>
        </w:rPr>
        <w:tab/>
      </w:r>
      <w:r w:rsidRPr="009A077C">
        <w:rPr>
          <w:rFonts w:ascii="Times New Roman" w:hAnsi="Times New Roman"/>
          <w:sz w:val="24"/>
          <w:lang w:val="es-ES_tradnl"/>
        </w:rPr>
        <w:t>Toma nota de los avances realizados por Serbia en su proceso por ajustarse a la política de visados de la Unión y pide su plena adaptación, en particular con países no pertenecientes a la Unión que representan una amenaza de seguridad para la Unión, como la amenaza de ataques informáticos; acoge con satisfacción el acuerdo firmado el 25 de junio de 2024 entre la UE y Serbia sobre cooperación operativa en la gestión de fronteras con Frontex y destaca la necesidad de actuar de conformidad con los derechos fundamentales y las normas internacionales;</w:t>
      </w:r>
    </w:p>
    <w:p w14:paraId="357F299A" w14:textId="77777777" w:rsidR="00412837" w:rsidRPr="009A077C" w:rsidRDefault="00412837" w:rsidP="00B240D4">
      <w:pPr>
        <w:shd w:val="clear" w:color="auto" w:fill="FFFFFF" w:themeFill="background1"/>
        <w:spacing w:after="240" w:line="259" w:lineRule="auto"/>
        <w:ind w:left="567" w:hanging="567"/>
        <w:rPr>
          <w:i/>
        </w:rPr>
      </w:pPr>
      <w:r w:rsidRPr="009A077C">
        <w:t>10.</w:t>
      </w:r>
      <w:r w:rsidRPr="009A077C">
        <w:tab/>
        <w:t>Reitera que el ritmo general de las negociaciones de adhesión debe depender de los avances tangibles en los principios fundamentales, el Estado de Derecho y un compromiso con los derechos y valores europeos compartidos, así como con el Diálogo Belgrado</w:t>
      </w:r>
      <w:r w:rsidRPr="009A077C">
        <w:noBreakHyphen/>
        <w:t>Pristina, que debe llevarse a cabo de buena fe con el fin de que dé lugar a un acuerdo jurídicamente vinculante basado en el reconocimiento mutuo, así como de la armonización con la PESC de la Unión; reitera su posición de que las negociaciones de adhesión con Serbia solo deben avanzar si el país se ajusta a las sanciones de la Unión contra Rusia y realiza avances significativos en sus reformas relacionadas con la Unión, en particular en el ámbito de los «fundamentos básicos»;</w:t>
      </w:r>
    </w:p>
    <w:p w14:paraId="6A6BD388" w14:textId="77777777" w:rsidR="00412837" w:rsidRPr="009A077C" w:rsidRDefault="00412837" w:rsidP="00B240D4">
      <w:pPr>
        <w:shd w:val="clear" w:color="auto" w:fill="FFFFFF" w:themeFill="background1"/>
        <w:spacing w:after="240" w:line="259" w:lineRule="auto"/>
        <w:ind w:left="567" w:hanging="567"/>
        <w:rPr>
          <w:bCs/>
          <w:iCs/>
        </w:rPr>
      </w:pPr>
      <w:r w:rsidRPr="009A077C">
        <w:t>11.</w:t>
      </w:r>
      <w:r w:rsidRPr="009A077C">
        <w:tab/>
        <w:t>Reitera su preocupación respecto al enfoque apaciguador de la Comisión hacia Serbia en el contexto del retroceso del país durante un año en lo que atañe al Estado de Derecho, la democracia y los derechos fundamentales, así como su influencia desestabilizadora en toda la región; insta a la Comisión a que emplee un lenguaje más claro, también al más alto nivel, con respecto a Serbia y aborde sistemáticamente sus notables deficiencias, su falta de avances e incluso su retroceso, defendiendo de este modo los valores fundamentales de la Unión;</w:t>
      </w:r>
    </w:p>
    <w:p w14:paraId="459EF966" w14:textId="77777777" w:rsidR="00412837" w:rsidRPr="009A077C" w:rsidRDefault="00412837" w:rsidP="00B240D4">
      <w:pPr>
        <w:shd w:val="clear" w:color="auto" w:fill="FFFFFF" w:themeFill="background1"/>
        <w:spacing w:after="240" w:line="259" w:lineRule="auto"/>
        <w:ind w:left="567" w:hanging="567"/>
        <w:rPr>
          <w:bCs/>
          <w:iCs/>
        </w:rPr>
      </w:pPr>
      <w:r w:rsidRPr="009A077C">
        <w:t>12.</w:t>
      </w:r>
      <w:r w:rsidRPr="009A077C">
        <w:rPr>
          <w:b/>
          <w:i/>
        </w:rPr>
        <w:tab/>
      </w:r>
      <w:r w:rsidRPr="009A077C">
        <w:t>Pide al Gobierno serbio que promueva el papel y los beneficios de la adhesión a la Unión y los proyectos y reformas financiados por la Unión entre la población serbia;</w:t>
      </w:r>
    </w:p>
    <w:p w14:paraId="7ED29498" w14:textId="77777777" w:rsidR="00412837" w:rsidRPr="009A077C" w:rsidRDefault="00412837" w:rsidP="00B240D4">
      <w:pPr>
        <w:pStyle w:val="NormalHanging12a"/>
        <w:rPr>
          <w:b/>
          <w:i/>
        </w:rPr>
      </w:pPr>
      <w:r w:rsidRPr="009A077C">
        <w:rPr>
          <w:b/>
          <w:i/>
        </w:rPr>
        <w:t>Democracia y Estado de Derecho</w:t>
      </w:r>
    </w:p>
    <w:p w14:paraId="6F9B838D" w14:textId="77777777" w:rsidR="00412837" w:rsidRPr="009A077C" w:rsidRDefault="00412837" w:rsidP="00B240D4">
      <w:pPr>
        <w:pStyle w:val="NormalHanging12a"/>
        <w:rPr>
          <w:bCs/>
          <w:iCs/>
          <w:szCs w:val="24"/>
        </w:rPr>
      </w:pPr>
      <w:r w:rsidRPr="009A077C">
        <w:t>13.</w:t>
      </w:r>
      <w:r w:rsidRPr="009A077C">
        <w:tab/>
        <w:t>Toma nota de los retos actuales a la hora de garantizar la independencia judicial, incluidas la influencia indebida y la presión política ejercidas sobre el poder judicial; expresa su preocupación por la falta de aplicación de salvaguardias que impidan las injerencias políticas en los nombramientos judiciales y las medidas disciplinarias contra jueces y fiscales; pide a Serbia que garantice que el Consejo Superior del Poder Judicial y de la Fiscalía y el Gobierno y el Parlamento de Serbia defiendan de forma efectiva y proactiva la independencia judicial y la autonomía de la fiscalía;</w:t>
      </w:r>
    </w:p>
    <w:p w14:paraId="3C12ADA3" w14:textId="77777777" w:rsidR="00412837" w:rsidRPr="009A077C" w:rsidRDefault="00412837" w:rsidP="00B240D4">
      <w:pPr>
        <w:shd w:val="clear" w:color="auto" w:fill="FFFFFF" w:themeFill="background1"/>
        <w:spacing w:after="240" w:line="259" w:lineRule="auto"/>
        <w:ind w:left="567" w:hanging="567"/>
        <w:rPr>
          <w:b/>
          <w:iCs/>
        </w:rPr>
      </w:pPr>
      <w:r w:rsidRPr="009A077C">
        <w:rPr>
          <w:color w:val="000000" w:themeColor="text1"/>
        </w:rPr>
        <w:t>14.</w:t>
      </w:r>
      <w:r w:rsidRPr="009A077C">
        <w:rPr>
          <w:color w:val="000000" w:themeColor="text1"/>
        </w:rPr>
        <w:tab/>
      </w:r>
      <w:r w:rsidRPr="009A077C">
        <w:t>Destaca la importancia de adoptar la Ley de la Academia Judicial y el dictamen de la Comisión de Venecia y de realizar los nombramientos judiciales necesarios para reducir las vacantes existentes y mejorar la eficacia general del sistema judicial; observa que el retraso en la adopción de esta Ley ha estancado las reformas judiciales esenciales necesarias para adaptarse a las normas de la Unión; pide que se modifique el proyecto de ley tras la consulta transparente con todas las partes interesadas pertinentes, con vistas a garantizar la independencia y los mecanismos de control de la institución con el fin de contribuir a la independencia judicial en general;</w:t>
      </w:r>
    </w:p>
    <w:p w14:paraId="339C11F8" w14:textId="77777777" w:rsidR="00412837" w:rsidRPr="009A077C" w:rsidRDefault="00412837" w:rsidP="00B240D4">
      <w:pPr>
        <w:shd w:val="clear" w:color="auto" w:fill="FFFFFF" w:themeFill="background1"/>
        <w:spacing w:after="240" w:line="259" w:lineRule="auto"/>
        <w:ind w:left="567" w:hanging="567"/>
      </w:pPr>
      <w:r w:rsidRPr="009A077C">
        <w:rPr>
          <w:color w:val="000000" w:themeColor="text1"/>
        </w:rPr>
        <w:t>15.</w:t>
      </w:r>
      <w:r w:rsidRPr="009A077C">
        <w:rPr>
          <w:color w:val="000000" w:themeColor="text1"/>
        </w:rPr>
        <w:tab/>
      </w:r>
      <w:r w:rsidRPr="009A077C">
        <w:t>Observa que se han realizado avances limitados en la lucha contra la corrupción a pesar de la adopción de una nueva estrategia anticorrupción para el período 2024</w:t>
      </w:r>
      <w:r w:rsidRPr="009A077C">
        <w:noBreakHyphen/>
        <w:t>2028; pide a Serbia que adopte y comience a aplicar el plan de acción de lucha contra la corrupción complementario, y que establezca un mecanismo eficaz de supervisión y coordinación para hacer un seguimiento de los avances, en consonancia con las normas internacionales pertinentes; expresa su preocupación por que la corrupción siga prevaleciendo en muchos ámbitos, en particular en lo que atañe a los «proyectos de interés para la República de Serbia», y por que se requiera una firme voluntad política para abordar este problema eficazmente y para preparar una respuesta sólida de la justicia penal a la corrupción de alto nivel; observa que Serbia ocupa el puesto 105 en el índice de percepción de la corrupción de 2024, muy por debajo de la media de la Unión; considera que el nivel de corrupción en Serbia constituye un obstáculo significativo para su proceso de adhesión a la Unión; observa con preocupación que, tras varios años, aún no se han obtenido resultados en casos de gran interés público, como los de Krušik, Jovanjica, Savamala y Belivuk, que llevan mucho tiempo sin resolverse; pide a Serbia que refuerce la independencia de sus instituciones de lucha contra la corrupción garantizando que dispongan de los recursos adecuados y que se las proteja de injerencias políticas; hace un llamamiento al gobierno de Serbia para que firme el Convenio de lucha contra la corrupción de agentes públicos extranjeros en las transacciones comerciales internacionales de la OCDE y adapte plenamente su marco jurídico en materia de cooperación policial y delincuencia organizada al de la Unión;</w:t>
      </w:r>
    </w:p>
    <w:p w14:paraId="056A2313" w14:textId="77777777" w:rsidR="00412837" w:rsidRPr="009A077C" w:rsidRDefault="00412837" w:rsidP="00B240D4">
      <w:pPr>
        <w:pStyle w:val="Normal12Hanging"/>
        <w:rPr>
          <w:bCs/>
          <w:iCs/>
          <w:lang w:val="es-ES_tradnl"/>
        </w:rPr>
      </w:pPr>
      <w:r w:rsidRPr="009A077C">
        <w:rPr>
          <w:color w:val="000000" w:themeColor="text1"/>
          <w:lang w:val="es-ES_tradnl"/>
        </w:rPr>
        <w:t>16.</w:t>
      </w:r>
      <w:r w:rsidRPr="009A077C">
        <w:rPr>
          <w:color w:val="000000" w:themeColor="text1"/>
          <w:lang w:val="es-ES_tradnl"/>
        </w:rPr>
        <w:tab/>
      </w:r>
      <w:r w:rsidRPr="009A077C">
        <w:rPr>
          <w:lang w:val="es-ES_tradnl"/>
        </w:rPr>
        <w:t>Acoge con satisfacción la composición más pluralista del nuevo Parlamento, con una representación más amplia de los partidos políticos, incluidos los de las minorías nacionales;</w:t>
      </w:r>
      <w:r w:rsidRPr="009A077C">
        <w:rPr>
          <w:b/>
          <w:i/>
          <w:lang w:val="es-ES_tradnl"/>
        </w:rPr>
        <w:t xml:space="preserve"> </w:t>
      </w:r>
      <w:r w:rsidRPr="009A077C">
        <w:rPr>
          <w:lang w:val="es-ES_tradnl"/>
        </w:rPr>
        <w:t>observa que las elecciones anticipadas y el subsiguiente receso en la actividad del Gobierno y el Parlamento han impedido avanzar en las reformas; observa el patrón frecuente de elecciones anticipadas, el modo «campaña» permanente y las prolongadas demoras en la formación de los gobiernos, así como la labor interrumpida del Parlamento nacional, como la ausencia de turnos de preguntas al Gobierno, la falta de debates sobre los informes de instituciones independientes y el uso más frecuente de procedimientos de urgencia, lo que da lugar a una falta de supervisión legislativa parlamentaria y de legitimidad y no contribuye a la gobernanza democrática efectiva del país;</w:t>
      </w:r>
    </w:p>
    <w:p w14:paraId="53D04A6C" w14:textId="77777777" w:rsidR="00412837" w:rsidRPr="009A077C" w:rsidRDefault="00412837" w:rsidP="00B240D4">
      <w:pPr>
        <w:pStyle w:val="Normal12Hanging"/>
        <w:rPr>
          <w:i/>
          <w:lang w:val="es-ES_tradnl"/>
        </w:rPr>
      </w:pPr>
      <w:r w:rsidRPr="009A077C">
        <w:rPr>
          <w:lang w:val="es-ES_tradnl"/>
        </w:rPr>
        <w:t>17.</w:t>
      </w:r>
      <w:r w:rsidRPr="009A077C">
        <w:rPr>
          <w:lang w:val="es-ES_tradnl"/>
        </w:rPr>
        <w:tab/>
        <w:t>Toma nota de la dimisión del primer ministro Miloš Vučević el 28 de enero de 2025, que fue confirmada por la Asamblea Nacional el 19 de marzo de 2025</w:t>
      </w:r>
      <w:r w:rsidR="001B5497" w:rsidRPr="009A077C">
        <w:rPr>
          <w:lang w:val="es-ES"/>
        </w:rPr>
        <w:t>, y de la posterior elección del nuevo Gobierno dirigido por Đuro Macut, nombrado el 16 de abril de 2025</w:t>
      </w:r>
      <w:r w:rsidRPr="009A077C">
        <w:rPr>
          <w:lang w:val="es-ES_tradnl"/>
        </w:rPr>
        <w:t>; toma nota asimismo de la reanudación del trabajo de la Asamblea Nacional el 4 de marzo de 2025, tras una pausa de tres meses, y condena todos los actos de violencia que se produjeron en esta ocasión;</w:t>
      </w:r>
    </w:p>
    <w:p w14:paraId="78C3E5C0" w14:textId="77777777" w:rsidR="00412837" w:rsidRPr="009A077C" w:rsidRDefault="00412837" w:rsidP="00B240D4">
      <w:pPr>
        <w:shd w:val="clear" w:color="auto" w:fill="FFFFFF" w:themeFill="background1"/>
        <w:spacing w:after="240" w:line="259" w:lineRule="auto"/>
        <w:ind w:left="567" w:hanging="567"/>
        <w:rPr>
          <w:bCs/>
          <w:iCs/>
          <w:color w:val="000000" w:themeColor="text1"/>
        </w:rPr>
      </w:pPr>
      <w:r w:rsidRPr="009A077C">
        <w:rPr>
          <w:color w:val="000000" w:themeColor="text1"/>
        </w:rPr>
        <w:t>18.</w:t>
      </w:r>
      <w:r w:rsidRPr="009A077C">
        <w:rPr>
          <w:color w:val="000000" w:themeColor="text1"/>
        </w:rPr>
        <w:tab/>
      </w:r>
      <w:r w:rsidRPr="009A077C">
        <w:t>Reitera su disposición a apoyar a la Asamblea Nacional y a sus miembros en los procesos democráticos relacionados con la trayectoria europea de Serbia, también en lo que atañe al adecuado funcionamiento del Parlamento con arreglo a su Reglamento interno, utilizando las herramientas e iniciativas de apoyo a la democracia del Parlamento Europeo y fomentando una supervisión parlamentaria reforzada del proceso y las reformas para la adhesión a la Unión;</w:t>
      </w:r>
    </w:p>
    <w:p w14:paraId="0E51F2C2" w14:textId="77777777" w:rsidR="00412837" w:rsidRPr="009A077C" w:rsidRDefault="00412837" w:rsidP="00B240D4">
      <w:pPr>
        <w:pStyle w:val="Normal12Hanging"/>
        <w:rPr>
          <w:lang w:val="es-ES_tradnl"/>
        </w:rPr>
      </w:pPr>
      <w:r w:rsidRPr="009A077C">
        <w:rPr>
          <w:color w:val="000000" w:themeColor="text1"/>
          <w:lang w:val="es-ES_tradnl"/>
        </w:rPr>
        <w:t>19.</w:t>
      </w:r>
      <w:r w:rsidRPr="009A077C">
        <w:rPr>
          <w:color w:val="000000" w:themeColor="text1"/>
          <w:lang w:val="es-ES_tradnl"/>
        </w:rPr>
        <w:tab/>
      </w:r>
      <w:r w:rsidRPr="009A077C">
        <w:rPr>
          <w:lang w:val="es-ES_tradnl"/>
        </w:rPr>
        <w:t>Toma nota, con profunda preocupación, del informe final de la misión de observación de elecciones de la OSCE/OIDDH sobre las elecciones de diciembre de 2023; observa que, en abril de 2024, la Asamblea Nacional constituyó un grupo de trabajo para la mejora del proceso electoral, pero que, a finales de año, no había acordado ninguna medida jurídica para mejorar dicho proceso; observa que dos de cada tres representantes de la sociedad civil abandonaron el grupo de trabajo en febrero de 2025; señala que en los primeros meses de 2025 se adoptaron medidas para modificar la Ley sobre el Registro Unificado de Electores, pero que no existe consenso entre los agentes políticos y de la sociedad civil respecto al contenido; pide a todos los grupos parlamentarios de la Asamblea Nacional que decidan la ejecución de las recomendaciones de la OIDDH, con el acuerdo de todos los grupos; pide la igualdad de trato de todos los diputados en la labor de la Asamblea Nacional, la aplicación coherente y efectiva del Código de Conducta parlamentario y la sanción imparcial de las infracciones de la integridad parlamentaria;</w:t>
      </w:r>
    </w:p>
    <w:p w14:paraId="78DAC7A0" w14:textId="77777777" w:rsidR="00412837" w:rsidRPr="009A077C" w:rsidRDefault="00412837" w:rsidP="00B240D4">
      <w:pPr>
        <w:pStyle w:val="Normal12Hanging"/>
        <w:rPr>
          <w:bCs/>
          <w:iCs/>
          <w:lang w:val="es-ES_tradnl"/>
        </w:rPr>
      </w:pPr>
      <w:r w:rsidRPr="009A077C">
        <w:rPr>
          <w:lang w:val="es-ES_tradnl"/>
        </w:rPr>
        <w:t>20.</w:t>
      </w:r>
      <w:r w:rsidRPr="009A077C">
        <w:rPr>
          <w:lang w:val="es-ES_tradnl"/>
        </w:rPr>
        <w:tab/>
        <w:t>Manifiesta su preocupación por la creciente relevancia de la manipulación de información e injerencia por parte de agentes extranjeros, así como de las operaciones cibernéticas extranjeras y la injerencia en los procesos democráticos de Serbia;</w:t>
      </w:r>
    </w:p>
    <w:p w14:paraId="7C294C71" w14:textId="77777777" w:rsidR="00412837" w:rsidRPr="009A077C" w:rsidRDefault="00412837" w:rsidP="00B240D4">
      <w:pPr>
        <w:pStyle w:val="Normal12Hanging"/>
        <w:rPr>
          <w:bCs/>
          <w:iCs/>
          <w:lang w:val="es-ES_tradnl"/>
        </w:rPr>
      </w:pPr>
      <w:r w:rsidRPr="009A077C">
        <w:rPr>
          <w:lang w:val="es-ES_tradnl"/>
        </w:rPr>
        <w:t>21.</w:t>
      </w:r>
      <w:r w:rsidRPr="009A077C">
        <w:rPr>
          <w:lang w:val="es-ES_tradnl"/>
        </w:rPr>
        <w:tab/>
        <w:t xml:space="preserve">Destaca la importancia crucial de garantizar la independencia de las instituciones clave, incluidos los reguladores de los medios de comunicación como la </w:t>
      </w:r>
      <w:r w:rsidRPr="009A077C">
        <w:rPr>
          <w:shd w:val="clear" w:color="auto" w:fill="FFFFFF"/>
          <w:lang w:val="es-ES_tradnl"/>
        </w:rPr>
        <w:t>Autoridad Reguladora de los Medios Electrónicos</w:t>
      </w:r>
      <w:r w:rsidRPr="009A077C">
        <w:rPr>
          <w:lang w:val="es-ES_tradnl"/>
        </w:rPr>
        <w:t>; lamenta el retraso en el nombramiento de los nuevos miembros;</w:t>
      </w:r>
      <w:r w:rsidRPr="009A077C">
        <w:rPr>
          <w:b/>
          <w:i/>
          <w:lang w:val="es-ES_tradnl"/>
        </w:rPr>
        <w:t xml:space="preserve"> </w:t>
      </w:r>
      <w:r w:rsidRPr="009A077C">
        <w:rPr>
          <w:lang w:val="es-ES_tradnl"/>
        </w:rPr>
        <w:t>lamenta las irregularidades del proceso de nombramiento; toma nota de la retirada de varios candidatos de la selección en febrero de 2025, que justificaron su decisión sobre la base de tales irregularidades;</w:t>
      </w:r>
      <w:r w:rsidRPr="009A077C">
        <w:rPr>
          <w:b/>
          <w:lang w:val="es-ES_tradnl"/>
        </w:rPr>
        <w:t xml:space="preserve"> </w:t>
      </w:r>
      <w:r w:rsidRPr="009A077C">
        <w:rPr>
          <w:lang w:val="es-ES_tradnl"/>
        </w:rPr>
        <w:t>lamenta profundamente que la Autoridad Reguladora de los Medios Electrónicos haya desatendido sus obligaciones jurídicas de controlar el desarrollo de la campaña electoral de 2023 en los medios de comunicación de forma oportuna, de informar sobre sus conclusiones y de sancionar a los medios de comunicación que infringieran la ley, difundieran discursos de odio o incumplieran las normas periodísticas; observa con preocupación la ausencia de opiniones políticas pluralistas en los medios de comunicación de ámbito nacional; señala que la Autoridad Reguladora de los Medios Electrónicos debe promover activamente el pluralismo de los medios de comunicación y la transparencia en cuanto a las estructuras de propiedad de tales medios y la independencia respecto a agentes extranjeros;</w:t>
      </w:r>
    </w:p>
    <w:p w14:paraId="57668D0D" w14:textId="77777777" w:rsidR="00412837" w:rsidRPr="009A077C" w:rsidRDefault="00412837" w:rsidP="00B240D4">
      <w:pPr>
        <w:pStyle w:val="Normal12Hanging"/>
        <w:rPr>
          <w:bCs/>
          <w:iCs/>
          <w:lang w:val="es-ES_tradnl"/>
        </w:rPr>
      </w:pPr>
      <w:r w:rsidRPr="009A077C">
        <w:rPr>
          <w:lang w:val="es-ES_tradnl"/>
        </w:rPr>
        <w:t>22.</w:t>
      </w:r>
      <w:r w:rsidRPr="009A077C">
        <w:rPr>
          <w:lang w:val="es-ES_tradnl"/>
        </w:rPr>
        <w:tab/>
        <w:t>Señala que la Autoridad Reguladora de los Medios Electrónicos concedió cuatro frecuencias nacionales a canales con antecedentes de violación de normas periodísticas, incluidas la incitación al odio y la inducción a error del público, el incumplimiento de las advertencias emitidas por la Autoridad Reguladora de los Medios Electrónicos, la difusión de desinformación y el apoyo a la narrativa del Kremlin sobre la guerra de Rusia en Ucrania; lamenta profundamente el hecho de que la Autoridad Reguladora de los Medios Electrónicos no haya expedido la quinta licencia nacional, y pide que esta se conceda mediante un proceso transparente e imparcial sin retrasos innecesarios y de conformidad con las normas internacionales en materia de libertad de los medios de comunicación, tan pronto como se elija un nuevo consejo de la Autoridad; pide al Gobierno serbio que descarte el proceso de elección de nuevos miembros y lo reinicie, de conformidad con la legislación serbia y las normas internacionales en materia de libertad de los medios de comunicación;</w:t>
      </w:r>
    </w:p>
    <w:p w14:paraId="143E0B42" w14:textId="77777777" w:rsidR="00412837" w:rsidRPr="009A077C" w:rsidRDefault="00412837" w:rsidP="00B240D4">
      <w:pPr>
        <w:pStyle w:val="NormalHanging12a"/>
        <w:rPr>
          <w:b/>
          <w:i/>
        </w:rPr>
      </w:pPr>
      <w:r w:rsidRPr="009A077C">
        <w:rPr>
          <w:b/>
          <w:i/>
        </w:rPr>
        <w:t>Libertades fundamentales y derechos humanos</w:t>
      </w:r>
    </w:p>
    <w:p w14:paraId="2B42AD28" w14:textId="10E54599" w:rsidR="00412837" w:rsidRPr="009A077C" w:rsidRDefault="00412837" w:rsidP="00B240D4">
      <w:pPr>
        <w:pStyle w:val="Normal12Hanging"/>
        <w:rPr>
          <w:b/>
          <w:szCs w:val="24"/>
          <w:lang w:val="es-ES_tradnl"/>
        </w:rPr>
      </w:pPr>
      <w:r w:rsidRPr="009A077C">
        <w:rPr>
          <w:lang w:val="es-ES_tradnl"/>
        </w:rPr>
        <w:t>23.</w:t>
      </w:r>
      <w:r w:rsidRPr="009A077C">
        <w:rPr>
          <w:lang w:val="es-ES_tradnl"/>
        </w:rPr>
        <w:tab/>
        <w:t xml:space="preserve">Transmite su más sentido pésame a las familias de las </w:t>
      </w:r>
      <w:r w:rsidR="001B5497" w:rsidRPr="009A077C">
        <w:rPr>
          <w:lang w:val="es-ES_tradnl"/>
        </w:rPr>
        <w:t>dieciséis</w:t>
      </w:r>
      <w:r w:rsidRPr="009A077C">
        <w:rPr>
          <w:lang w:val="es-ES_tradnl"/>
        </w:rPr>
        <w:t xml:space="preserve"> víctimas que perdieron la vida, así como sus sinceras condolencias a los que resultaron heridos tras derrumbarse el techo de la estación de tren de Novi Sad el 1 de noviembre de 2024; pide procedimientos judiciales plenos y transparentes a raíz de la investigación de las autoridades con el fin de llevar a los responsables ante la justicia; subraya la necesidad de examinar de manera más amplia en qué medida la corrupción dio lugar a una reducción de las normas de seguridad y contribuyó a esta tragedia;</w:t>
      </w:r>
    </w:p>
    <w:p w14:paraId="37F9AAA1" w14:textId="77777777" w:rsidR="00412837" w:rsidRPr="009A077C" w:rsidRDefault="00412837" w:rsidP="00B240D4">
      <w:pPr>
        <w:pStyle w:val="Normal12Hanging"/>
        <w:rPr>
          <w:bCs/>
          <w:iCs/>
          <w:szCs w:val="24"/>
          <w:lang w:val="es-ES_tradnl"/>
        </w:rPr>
      </w:pPr>
      <w:r w:rsidRPr="009A077C">
        <w:rPr>
          <w:lang w:val="es-ES_tradnl"/>
        </w:rPr>
        <w:t>24.</w:t>
      </w:r>
      <w:r w:rsidRPr="009A077C">
        <w:rPr>
          <w:lang w:val="es-ES_tradnl"/>
        </w:rPr>
        <w:tab/>
        <w:t>Lamenta el retraso en la respuesta y la rendición de cuentas de las autoridades serbias, la lentitud del proceso de investigación y la falta de transparencia tras la tragedia, cuestiones que se abordaron parcialmente ante la escalada de la presión pública;</w:t>
      </w:r>
    </w:p>
    <w:p w14:paraId="0013A6D4" w14:textId="77777777" w:rsidR="00412837" w:rsidRPr="009A077C" w:rsidRDefault="00412837" w:rsidP="00B240D4">
      <w:pPr>
        <w:pStyle w:val="Normal12Hanging"/>
        <w:rPr>
          <w:bCs/>
          <w:iCs/>
          <w:lang w:val="es-ES_tradnl"/>
        </w:rPr>
      </w:pPr>
      <w:r w:rsidRPr="009A077C">
        <w:rPr>
          <w:lang w:val="es-ES_tradnl"/>
        </w:rPr>
        <w:t>25.</w:t>
      </w:r>
      <w:r w:rsidRPr="009A077C">
        <w:rPr>
          <w:lang w:val="es-ES_tradnl"/>
        </w:rPr>
        <w:tab/>
        <w:t>Expresa su profunda preocupación por los problemas sistémicos acentuados por las protestas de los estudiantes y por otras protestas en Serbia, en particular los relativos a las libertades civiles, la separación de poderes, la transparencia institucional y financiera, especialmente en lo tocante a los proyectos de infraestructura, y la rendición de cuentas; lamenta que el Gobierno haya perdido la oportunidad de satisfacer las demandas de los estudiantes y de los ciudadanos que apoyan a los estudiantes de buena fe; afirma que las demandas de los estudiantes se ajustan a las reformas que se espera que Serbia aplique en su trayectoria europea;</w:t>
      </w:r>
    </w:p>
    <w:p w14:paraId="0CF3B94F" w14:textId="77777777" w:rsidR="00412837" w:rsidRPr="009A077C" w:rsidRDefault="00412837" w:rsidP="00B240D4">
      <w:pPr>
        <w:pStyle w:val="Normal12Hanging"/>
        <w:rPr>
          <w:lang w:val="es-ES_tradnl"/>
        </w:rPr>
      </w:pPr>
      <w:r w:rsidRPr="009A077C">
        <w:rPr>
          <w:lang w:val="es-ES_tradnl"/>
        </w:rPr>
        <w:t>26.</w:t>
      </w:r>
      <w:r w:rsidRPr="009A077C">
        <w:rPr>
          <w:lang w:val="es-ES_tradnl"/>
        </w:rPr>
        <w:tab/>
        <w:t>Resalta la importancia de la libertad de expresión y reunión; pide a las autoridades de Serbia que garanticen la protección de los participantes en protestas pacíficas; toma nota de las protestas masivas del 15 de marzo de 2025, las mayores de la historia moderna de Serbia; pide una investigación imparcial de las alegaciones relativas al uso de tecnología ilegal de control de multitudes contra los manifestantes, lo que causó lesiones a varios de ellos;</w:t>
      </w:r>
    </w:p>
    <w:p w14:paraId="7D18B834" w14:textId="46ABB6EE" w:rsidR="001B5497" w:rsidRPr="009A077C" w:rsidRDefault="001B5497" w:rsidP="00B240D4">
      <w:pPr>
        <w:pStyle w:val="Normal12Hanging"/>
        <w:rPr>
          <w:szCs w:val="24"/>
          <w:lang w:val="es-ES"/>
        </w:rPr>
      </w:pPr>
      <w:r w:rsidRPr="009A077C">
        <w:rPr>
          <w:lang w:val="es-ES"/>
        </w:rPr>
        <w:t>2</w:t>
      </w:r>
      <w:r w:rsidR="00E23B8F" w:rsidRPr="009A077C">
        <w:rPr>
          <w:lang w:val="es-ES"/>
        </w:rPr>
        <w:t>7</w:t>
      </w:r>
      <w:r w:rsidRPr="009A077C">
        <w:rPr>
          <w:lang w:val="es-ES"/>
        </w:rPr>
        <w:t>.</w:t>
      </w:r>
      <w:r w:rsidRPr="009A077C">
        <w:rPr>
          <w:lang w:val="es-ES"/>
        </w:rPr>
        <w:tab/>
        <w:t>Lamenta la continua violencia contra los estudiantes, incluido el reciente incidente en el edificio de la Facultad de Educación Física y el Deporte de Novi Sad, en el que al menos cinco personas resultaron heridas como consecuencia de la irrupción de la policía en el edificio acompañada por el decano, Patrik Drid;</w:t>
      </w:r>
    </w:p>
    <w:p w14:paraId="385FACB4" w14:textId="449592B7" w:rsidR="00412837" w:rsidRPr="009A077C" w:rsidRDefault="00412837" w:rsidP="00B240D4">
      <w:pPr>
        <w:pStyle w:val="Normal12Hanging"/>
        <w:rPr>
          <w:lang w:val="es-ES_tradnl"/>
        </w:rPr>
      </w:pPr>
      <w:r w:rsidRPr="009A077C">
        <w:rPr>
          <w:lang w:val="es-ES_tradnl"/>
        </w:rPr>
        <w:t>2</w:t>
      </w:r>
      <w:r w:rsidR="00E23B8F" w:rsidRPr="009A077C">
        <w:rPr>
          <w:lang w:val="es-ES_tradnl"/>
        </w:rPr>
        <w:t>8</w:t>
      </w:r>
      <w:r w:rsidRPr="009A077C">
        <w:rPr>
          <w:lang w:val="es-ES_tradnl"/>
        </w:rPr>
        <w:t>.</w:t>
      </w:r>
      <w:r w:rsidRPr="009A077C">
        <w:rPr>
          <w:lang w:val="es-ES_tradnl"/>
        </w:rPr>
        <w:tab/>
        <w:t>Condena, en los términos más enérgicos, el uso indebido de datos personales procedentes de registros públicos empleados en represalias contra manifestantes pacíficos; pide a la Fiscalía en Serbia que presente cargos contra todas las personas que hayan atacado físicamente a los participantes en las manifestaciones y que hayan incitado a la violencia en su contra; expresa su profunda preocupación por cualquier acto de violencia; sigue atentamente la evolución de la situación en lo que atañe a las detenciones de manifestantes y la incoación de procedimientos judiciales en su contra;</w:t>
      </w:r>
      <w:r w:rsidRPr="009A077C">
        <w:rPr>
          <w:i/>
          <w:lang w:val="es-ES_tradnl"/>
        </w:rPr>
        <w:t xml:space="preserve"> </w:t>
      </w:r>
      <w:r w:rsidRPr="009A077C">
        <w:rPr>
          <w:lang w:val="es-ES_tradnl"/>
        </w:rPr>
        <w:t>expresa, asimismo, su preocupación por los informes que recogen que determinados servicios de seguridad participaron en actos de intimidación y vigilancia de los manifestantes; condena el lenguaje utilizado por las autoridades serbias que incita a la violencia contra estudiantes y otros manifestantes; observa que los estudiantes activistas se han enfrentado a situaciones de acoso legal, intimidación y uso excesivo de la fuerza por parte de las autoridades; pide una investigación exhaustiva, imparcial y rápida de las acusaciones de actos de violencia contra manifestantes y de mala conducta policial durante las protestas; insta a las misiones diplomáticas de la Unión y de los Estados miembros a que sigan supervisando minuciosamente los asuntos judiciales en curso relacionados con las protestas;</w:t>
      </w:r>
    </w:p>
    <w:p w14:paraId="497148EF" w14:textId="392A508C" w:rsidR="001B5497" w:rsidRPr="009A077C" w:rsidRDefault="001B5497" w:rsidP="00B240D4">
      <w:pPr>
        <w:pStyle w:val="Normal12Hanging"/>
        <w:rPr>
          <w:szCs w:val="24"/>
          <w:lang w:val="es-ES"/>
        </w:rPr>
      </w:pPr>
      <w:r w:rsidRPr="009A077C">
        <w:rPr>
          <w:lang w:val="es-ES"/>
        </w:rPr>
        <w:t>2</w:t>
      </w:r>
      <w:r w:rsidR="00E23B8F" w:rsidRPr="009A077C">
        <w:rPr>
          <w:lang w:val="es-ES"/>
        </w:rPr>
        <w:t>9</w:t>
      </w:r>
      <w:r w:rsidRPr="009A077C">
        <w:rPr>
          <w:lang w:val="es-ES"/>
        </w:rPr>
        <w:t>.</w:t>
      </w:r>
      <w:r w:rsidRPr="009A077C">
        <w:rPr>
          <w:lang w:val="es-ES"/>
        </w:rPr>
        <w:tab/>
        <w:t>Expresa su profunda preocupación por la creciente presión política y financiera ejercida sobre los profesores de enseñanza primaria y secundaria, así como sobre los profesores universitarios, que se vieron privados de sus salarios por participar en la acción colectiva para apoyar las demandas de los estudiantes; lamenta, en este contexto, los inaceptables procedimientos judiciales y la campaña de difamación mediática contra el rector de la Universidad de Belgrado;</w:t>
      </w:r>
    </w:p>
    <w:p w14:paraId="1A07E6F9" w14:textId="2760CB13" w:rsidR="00412837" w:rsidRPr="009A077C" w:rsidRDefault="00E23B8F" w:rsidP="00B240D4">
      <w:pPr>
        <w:pStyle w:val="Normal12Hanging"/>
        <w:rPr>
          <w:lang w:val="es-ES_tradnl"/>
        </w:rPr>
      </w:pPr>
      <w:r w:rsidRPr="009A077C">
        <w:rPr>
          <w:lang w:val="es-ES_tradnl"/>
        </w:rPr>
        <w:t>30</w:t>
      </w:r>
      <w:r w:rsidR="00412837" w:rsidRPr="009A077C">
        <w:rPr>
          <w:lang w:val="es-ES_tradnl"/>
        </w:rPr>
        <w:t>.</w:t>
      </w:r>
      <w:r w:rsidR="00412837" w:rsidRPr="009A077C">
        <w:rPr>
          <w:lang w:val="es-ES_tradnl"/>
        </w:rPr>
        <w:tab/>
        <w:t>Se muestra profundamente alarmado por el hecho de que las autoridades serbias hayan participado en prácticas de vigilancia ilegal generalizadas en las que se utilizan programas espía contra activistas, periodistas y miembros de la sociedad civil, como se indica en los recientes informes de Amnistía Internacional y la Fundación SHARE; insta al Gobierno de Serbia a que ponga fin inmediatamente al uso de tecnología de vigilancia avanzada contra activistas, periodistas y defensores de los derechos humanos, y pide a las autoridades estatales competentes que lleven a cabo una investigación exhaustiva de todos los casos existentes de vigilancia ilegal y uso de programas espía, y que incoen los procedimientos pertinentes contra los responsables; pide a la Comisión Europea, en vista de ello, que lleve a cabo un seguimiento de estos incidentes, aborde estas cuestiones con las autoridades serbias e insiste en que se lleve a cabo una investigación exhaustiva de estos asuntos;</w:t>
      </w:r>
    </w:p>
    <w:p w14:paraId="3C349262" w14:textId="475B64EE" w:rsidR="001B5497" w:rsidRPr="009A077C" w:rsidRDefault="00E23B8F" w:rsidP="00B240D4">
      <w:pPr>
        <w:pStyle w:val="Normal12Hanging"/>
        <w:rPr>
          <w:bCs/>
          <w:iCs/>
          <w:szCs w:val="24"/>
          <w:lang w:val="es-ES"/>
        </w:rPr>
      </w:pPr>
      <w:r w:rsidRPr="009A077C">
        <w:rPr>
          <w:lang w:val="es-ES"/>
        </w:rPr>
        <w:t>31</w:t>
      </w:r>
      <w:r w:rsidR="001B5497" w:rsidRPr="009A077C">
        <w:rPr>
          <w:lang w:val="es-ES"/>
        </w:rPr>
        <w:t>.</w:t>
      </w:r>
      <w:r w:rsidR="001B5497" w:rsidRPr="009A077C">
        <w:rPr>
          <w:lang w:val="es-ES"/>
        </w:rPr>
        <w:tab/>
        <w:t>Lamenta las supuestas escuchas telefónicas ilegales y la detención de cinco activistas del Movimiento de Ciudadanos Libres (PSG), partido de oposición, y de un estudiante de la organización STAV en marzo de 2025, así como las órdenes de detención dictadas contra otros activistas de STAV; condena que los medios de propaganda hayan utilizado el caso, así como la prolongación injustificada de la detención; pide a las autoridades serbias que liberen de la detención a Marija Vasić, Lazar Dinić, Mladen Cvijetić, Lado Jovović, Srđan Đurić y Davor Stefanović;</w:t>
      </w:r>
    </w:p>
    <w:p w14:paraId="47E08EB8" w14:textId="183BCDD0" w:rsidR="00412837" w:rsidRPr="009A077C" w:rsidRDefault="00E23B8F" w:rsidP="00B240D4">
      <w:pPr>
        <w:pStyle w:val="NormalHanging12a"/>
        <w:rPr>
          <w:bCs/>
          <w:iCs/>
        </w:rPr>
      </w:pPr>
      <w:r w:rsidRPr="009A077C">
        <w:t>32</w:t>
      </w:r>
      <w:r w:rsidR="00412837" w:rsidRPr="009A077C">
        <w:t>.</w:t>
      </w:r>
      <w:r w:rsidR="00412837" w:rsidRPr="009A077C">
        <w:tab/>
        <w:t>Rechaza las acusaciones de que la Unión y algunos de sus Estados miembros participaron en la organización de las protestas estudiantiles con vistas a desencadenar una «revolución de colores»; condena enérgicamente, en este contexto, las detenciones y expulsiones ilegales de ciudadanos de la Unión y la revelación pública, por parte de delincuentes de guerra condenados, de los datos personales de ciudadanos de la Unión, así como el discurso de odio contra minorías nacionales; expresa su preocupación por el creciente número de casos de detención de ciudadanos de la Unión en la frontera serbia; señala que los discursos contrarios a la Unión se están traduciendo en un descenso del apoyo a la integración en la Unión entre la sociedad serbia y en el refuerzo de la presencia de agentes autocráticos extranjeros en el país;</w:t>
      </w:r>
    </w:p>
    <w:p w14:paraId="0CD00FE0" w14:textId="495365C0" w:rsidR="00412837" w:rsidRPr="009A077C" w:rsidRDefault="00412837" w:rsidP="00B240D4">
      <w:pPr>
        <w:pStyle w:val="NormalHanging12a"/>
        <w:rPr>
          <w:bCs/>
          <w:iCs/>
        </w:rPr>
      </w:pPr>
      <w:r w:rsidRPr="009A077C">
        <w:t>3</w:t>
      </w:r>
      <w:r w:rsidR="00E23B8F" w:rsidRPr="009A077C">
        <w:t>3</w:t>
      </w:r>
      <w:r w:rsidRPr="009A077C">
        <w:t>.</w:t>
      </w:r>
      <w:r w:rsidRPr="009A077C">
        <w:tab/>
        <w:t>Pide a las autoridades serbias que restablezcan la confianza de los ciudadanos en las instituciones estatales garantizando la transparencia y la rendición de cuentas; anima a todos los agentes políticos y sociales a que entablen un diálogo inclusivo y sustancial destinado a llevar a cabo las reformas relacionadas con la Unión;</w:t>
      </w:r>
    </w:p>
    <w:p w14:paraId="24FDAE7D" w14:textId="1F7351A4" w:rsidR="00412837" w:rsidRPr="009A077C" w:rsidRDefault="00412837" w:rsidP="00B240D4">
      <w:pPr>
        <w:pStyle w:val="NormalHanging12a"/>
      </w:pPr>
      <w:r w:rsidRPr="009A077C">
        <w:t>3</w:t>
      </w:r>
      <w:r w:rsidR="00E23B8F" w:rsidRPr="009A077C">
        <w:t>4</w:t>
      </w:r>
      <w:r w:rsidRPr="009A077C">
        <w:t>.</w:t>
      </w:r>
      <w:r w:rsidRPr="009A077C">
        <w:tab/>
        <w:t>Observa que la libertad de los medios de comunicación en Serbia se ha deteriorado aún más, como demuestra el descenso de Serbia al puesto 98 en la clasificación mundial de la libertad de prensa de Reporteros sin Fronteras de 2024; insta a Serbia a mejorar y proteger la profesionalidad, la diversidad y el pluralismo de los medios de comunicación y a fomentar el periodismo de investigación de calidad, el más alto nivel de ética periodística a través del respeto de los códigos de conducta de la profesión, y la alfabetización mediática; recuerda la importancia de la pluralidad y la transparencia de los medios de comunicación, incluidos los aspectos relacionados con la propiedad y la financiación estatal, en particular mediante una mayor participación de la Autoridad Reguladora de los Medios Electrónicos; recuerda que la concentración de la propiedad de los medios de comunicación puede tener efectos adversos en la libertad de dichos medios y en la profesionalidad del ejercicio del periodismo; reafirma que, como parte de las negociaciones de adhesión, Serbia debe adaptarse a la Unión en asuntos de importancia estratégica, como la lucha contra la manipulación de la información e injerencia por parte de agentes extranjeros; pide a Serbia que se ajuste a las políticas de la Unión en la lucha contra las injerencias extranjeras y las campañas de desinformación mediante la aplicación de medidas reguladoras concretas en consonancia con las normas de la Unión, como las disposiciones incluidas en el Reglamento de Servicios Digitales</w:t>
      </w:r>
      <w:r w:rsidRPr="009A077C">
        <w:rPr>
          <w:rStyle w:val="FootnoteReference"/>
          <w:bCs/>
          <w:iCs/>
        </w:rPr>
        <w:footnoteReference w:id="7"/>
      </w:r>
      <w:r w:rsidRPr="009A077C">
        <w:t xml:space="preserve"> y el Reglamento (UE) 2024/900 sobre transparencia y segmentación en la publicidad política</w:t>
      </w:r>
      <w:r w:rsidRPr="009A077C">
        <w:rPr>
          <w:rStyle w:val="FootnoteReference"/>
          <w:bCs/>
          <w:iCs/>
        </w:rPr>
        <w:footnoteReference w:id="8"/>
      </w:r>
      <w:r w:rsidRPr="009A077C">
        <w:t>; alienta la cooperación entre Serbia, el Servicio Europeo de Acción Exterior y el Centro de Excelencia para la Lucha contra las Amenazas Híbridas en lo que atañe a la lucha contra la desinformación; espera que las autoridades investiguen y enjuicien todos los casos de incitación al odio, campañas de difamación y demandas estratégicas contra periodistas;</w:t>
      </w:r>
    </w:p>
    <w:p w14:paraId="331BA809" w14:textId="260FC0B8" w:rsidR="00412837" w:rsidRPr="009A077C" w:rsidRDefault="00412837" w:rsidP="00B240D4">
      <w:pPr>
        <w:pStyle w:val="NormalHanging12a"/>
      </w:pPr>
      <w:r w:rsidRPr="009A077C">
        <w:t>3</w:t>
      </w:r>
      <w:r w:rsidR="00E23B8F" w:rsidRPr="009A077C">
        <w:t>5</w:t>
      </w:r>
      <w:r w:rsidRPr="009A077C">
        <w:t>.</w:t>
      </w:r>
      <w:r w:rsidRPr="009A077C">
        <w:tab/>
        <w:t>Expresa su profunda preocupación por los casos denunciados de ataques abusivos, vigilancia digital y acoso contra periodistas, activistas de derechos humanos y organizaciones de la sociedad civil y, más recientemente, por la redada policial efectuada el 25 de febrero de 2025 contra cuatro destacadas organizaciones de la sociedad civil, al parecer, en relación con el uso indebido de fondos del Agencia de los Estados Unidos para el Desarrollo Internacional; condena enérgicamente las continuas campañas de difamación y la intimidación contra la sociedad civil en Serbia, incluidas las falsas acusaciones sobre complots para derrocar al Gobierno con apoyo extranjero;</w:t>
      </w:r>
    </w:p>
    <w:p w14:paraId="470A24B4" w14:textId="456118E7" w:rsidR="00412837" w:rsidRPr="009A077C" w:rsidRDefault="00412837" w:rsidP="00B240D4">
      <w:pPr>
        <w:pStyle w:val="NormalHanging12a"/>
      </w:pPr>
      <w:r w:rsidRPr="009A077C">
        <w:t>3</w:t>
      </w:r>
      <w:r w:rsidR="00E23B8F" w:rsidRPr="009A077C">
        <w:t>6</w:t>
      </w:r>
      <w:r w:rsidRPr="009A077C">
        <w:t>.</w:t>
      </w:r>
      <w:r w:rsidRPr="009A077C">
        <w:tab/>
        <w:t>Expresa su preocupación por el hecho de que las organizaciones de la sociedad civil en Serbia se enfrenten a retos cada vez mayores, como la existencia de condiciones restrictivas, limitaciones de financiación, redadas policiales y otras formas de intimidación por parte de las autoridades estatales; subraya la importancia de un marco que permita a organizaciones de la sociedad civil locales actuar libremente y participar en la formulación de políticas, también en la relativa al proceso de integración en la Unión, de manera inclusiva y significativa; lamenta que Serbia no proporcione actualmente un marco que permita a sus organizaciones de la sociedad civil dinámicas y pluralistas, en particular aquellas dedicadas al apoyo de la democracia y la observación electoral, actuar libremente y participar en la formulación de políticas de manera inclusiva y significativa; expresa su preocupación por las recientes redadas en las oficinas de organizaciones de la sociedad civil; pide que se investiguen todos los ataques y campañas de difamación contra organizaciones de la sociedad civil y que se fomente la transparencia de la financiación pública;</w:t>
      </w:r>
    </w:p>
    <w:p w14:paraId="6B2EF983" w14:textId="39052964" w:rsidR="001B5497" w:rsidRPr="009A077C" w:rsidRDefault="001B5497" w:rsidP="00B240D4">
      <w:pPr>
        <w:pStyle w:val="NormalHanging12a"/>
        <w:rPr>
          <w:bCs/>
          <w:iCs/>
        </w:rPr>
      </w:pPr>
      <w:r w:rsidRPr="009A077C">
        <w:t>3</w:t>
      </w:r>
      <w:r w:rsidR="00E23B8F" w:rsidRPr="009A077C">
        <w:t>7</w:t>
      </w:r>
      <w:r w:rsidRPr="009A077C">
        <w:t>.</w:t>
      </w:r>
      <w:r w:rsidRPr="009A077C">
        <w:tab/>
        <w:t>Condena la presión política ejercida sobre las universidades y otras instituciones de investigación a través de un precipitado decreto gubernamental que interfiere con la libertad académica de los investigadores y reduce sus salarios; condena la difamación de profesores, investigadores y otros miembros del personal académico en los medios de comunicación progubernamentales; lamenta el uso cada vez mayor de contratos temporales para profesores y otros funcionarios como herramienta política para ejercer presión y control;</w:t>
      </w:r>
    </w:p>
    <w:p w14:paraId="0426F48E" w14:textId="1611A225" w:rsidR="00412837" w:rsidRPr="009A077C" w:rsidRDefault="00412837" w:rsidP="00B240D4">
      <w:pPr>
        <w:pStyle w:val="NormalHanging12a"/>
        <w:rPr>
          <w:bCs/>
          <w:iCs/>
        </w:rPr>
      </w:pPr>
      <w:r w:rsidRPr="009A077C">
        <w:t>3</w:t>
      </w:r>
      <w:r w:rsidR="00E23B8F" w:rsidRPr="009A077C">
        <w:t>8</w:t>
      </w:r>
      <w:r w:rsidRPr="009A077C">
        <w:t>.</w:t>
      </w:r>
      <w:r w:rsidRPr="009A077C">
        <w:tab/>
        <w:t>Insta a las autoridades serbias a que amplíen la disponibilidad de servicios públicos de radiodifusión en todas las lenguas minoritarias del país, garantizando la igualdad de acceso a los medios de comunicación para todas las comunidades, y sirviéndose al mismo tiempo de las buenas prácticas de la región de Voivodina;</w:t>
      </w:r>
    </w:p>
    <w:p w14:paraId="658096AB" w14:textId="3D861D7D" w:rsidR="00412837" w:rsidRPr="009A077C" w:rsidRDefault="00412837" w:rsidP="00B240D4">
      <w:pPr>
        <w:pStyle w:val="NormalHanging12a"/>
        <w:rPr>
          <w:bCs/>
          <w:iCs/>
        </w:rPr>
      </w:pPr>
      <w:r w:rsidRPr="009A077C">
        <w:t>3</w:t>
      </w:r>
      <w:r w:rsidR="00E23B8F" w:rsidRPr="009A077C">
        <w:t>9</w:t>
      </w:r>
      <w:r w:rsidRPr="009A077C">
        <w:t>.</w:t>
      </w:r>
      <w:r w:rsidRPr="009A077C">
        <w:tab/>
        <w:t>Manifiesta su profunda preocupación por el proyecto de ley presentado al Parlamento serbio el 29 de noviembre de 2024, que propone el establecimiento de una ley de agentes extranjeros al estilo ruso; recuerda a los legisladores serbios que las organizaciones de la sociedad civil y los periodistas desempeñan un papel clave en una sociedad democrática saludable; reitera que dicha legislación es incompatible con los valores de la Unión; observa que múltiples organizaciones de la sociedad civil suspendieron su cooperación con los poderes legislativo y ejecutivo del Gobierno en febrero de 2025;</w:t>
      </w:r>
    </w:p>
    <w:p w14:paraId="112108F9" w14:textId="5D261927" w:rsidR="00412837" w:rsidRPr="009A077C" w:rsidRDefault="00E23B8F" w:rsidP="00B240D4">
      <w:pPr>
        <w:pStyle w:val="NormalHanging12a"/>
      </w:pPr>
      <w:r w:rsidRPr="009A077C">
        <w:t>40</w:t>
      </w:r>
      <w:r w:rsidR="00412837" w:rsidRPr="009A077C">
        <w:t>.</w:t>
      </w:r>
      <w:r w:rsidR="00412837" w:rsidRPr="009A077C">
        <w:tab/>
        <w:t>Expresa su profunda preocupación por la creciente injerencia política en la protección del patrimonio en Serbia, por ejemplo, con la retirada de la condición de protegidos de los monumentos culturales y el incumplimiento de los procedimientos jurídicos que rigen su conservación, como en el caso del complejo modernista Generalštab;</w:t>
      </w:r>
    </w:p>
    <w:p w14:paraId="3B61ECAF" w14:textId="199FD7B8" w:rsidR="00412837" w:rsidRPr="009A077C" w:rsidRDefault="00E23B8F" w:rsidP="00B240D4">
      <w:pPr>
        <w:pStyle w:val="NormalHanging12a"/>
      </w:pPr>
      <w:r w:rsidRPr="009A077C">
        <w:t>41</w:t>
      </w:r>
      <w:r w:rsidR="00412837" w:rsidRPr="009A077C">
        <w:t>.</w:t>
      </w:r>
      <w:r w:rsidR="00412837" w:rsidRPr="009A077C">
        <w:tab/>
        <w:t>Pide a Serbia que luche contra la desinformación, incluidos los discursos manipuladores contra la Unión y, en particular, que acabe con sus propias campañas de desinformación patrocinadas por el Estado; condena la apertura de una oficina de RT en Belgrado, el lanzamiento de un servicio de noticias en línea de RT en Serbia y el funcionamiento continuado del servicio ruso de noticias en línea Sputnik Srbija, que se utiliza para difundir discursos prorrusos y desinformación en toda la región de los Balcanes Occidentales; insta a las autoridades serbias a contrarrestar las amenazas híbridas y a atenerse plenamente a la decisión del Consejo sobre la suspensión de las actividades de radiodifusión de Sputnik y RT; expresa su profunda preocupación ante la difusión de desinformación sobre la agresión rusa contra Ucrania; pide a Serbia y a la Comisión que refuercen las infraestructuras para luchar contra la desinformación y otras amenazas híbridas; condena la creciente influencia de la desinformación patrocinada por los Estados ruso y chino en Serbia, incluida la difusión de discursos contrarios a la Unión y a la democracia;</w:t>
      </w:r>
    </w:p>
    <w:p w14:paraId="36C1C034" w14:textId="24236C90" w:rsidR="00412837" w:rsidRPr="009A077C" w:rsidRDefault="00E23B8F" w:rsidP="00B240D4">
      <w:pPr>
        <w:pStyle w:val="NormalHanging12a"/>
      </w:pPr>
      <w:r w:rsidRPr="009A077C">
        <w:t>42</w:t>
      </w:r>
      <w:r w:rsidR="00412837" w:rsidRPr="009A077C">
        <w:t>.</w:t>
      </w:r>
      <w:r w:rsidR="00412837" w:rsidRPr="009A077C">
        <w:tab/>
        <w:t>Toma nota de la adopción de la estrategia nacional para la igualdad y la estrategia para la prevención y protección contra la discriminación, y pide su plena aplicación y ulterior adaptación a las normas europeas; insta a las autoridades serbias a que aborden las recomendaciones del Grupo de Expertos en la lucha contra la violencia contra las mujeres y la violencia doméstica (GREVIO), con vistas a mejorar el cumplimiento del Convenio de Estambul ratificado por Serbia; observa con preocupación la suspensión temporal de la ejecución de la Ley de la Igualdad de Género por parte del Tribunal Constitucional; expresa su preocupación, asimismo, por la persistente falta de apoyo adecuado a las organizaciones que promueven los derechos de las mujeres y la igualdad de género;</w:t>
      </w:r>
    </w:p>
    <w:p w14:paraId="41F7616F" w14:textId="7E08850F" w:rsidR="001B5497" w:rsidRPr="009A077C" w:rsidRDefault="00E23B8F" w:rsidP="00B240D4">
      <w:pPr>
        <w:pStyle w:val="NormalHanging12a"/>
        <w:rPr>
          <w:bCs/>
          <w:iCs/>
        </w:rPr>
      </w:pPr>
      <w:r w:rsidRPr="009A077C">
        <w:t>43</w:t>
      </w:r>
      <w:r w:rsidR="001B5497" w:rsidRPr="009A077C">
        <w:t>.</w:t>
      </w:r>
      <w:r w:rsidR="001B5497" w:rsidRPr="009A077C">
        <w:tab/>
        <w:t>Deplora profundamente el declive demográfico de Serbia, que se ve agravado por la migración neta negativa debida a las dificultades económicas y la persecución política; destaca que son principalmente las personas jóvenes, educadas y productivas las que se ven obligadas a abandonar el país, así como aquellas presionadas y amenazadas por sus opiniones políticas, incluida Dijana Hrka, madre de una de las víctimas de la tragedia de la estación de tren de Novi Sad, quien teme por su seguridad después de haber sido presionada por partidarios del SNS;</w:t>
      </w:r>
    </w:p>
    <w:p w14:paraId="4A61B14C" w14:textId="27E58BDC" w:rsidR="00412837" w:rsidRPr="009A077C" w:rsidRDefault="00E23B8F" w:rsidP="00B240D4">
      <w:pPr>
        <w:pStyle w:val="NormalHanging12a"/>
        <w:rPr>
          <w:bCs/>
          <w:iCs/>
        </w:rPr>
      </w:pPr>
      <w:r w:rsidRPr="009A077C">
        <w:t>44</w:t>
      </w:r>
      <w:r w:rsidR="00412837" w:rsidRPr="009A077C">
        <w:t xml:space="preserve">. </w:t>
      </w:r>
      <w:r w:rsidR="00412837" w:rsidRPr="009A077C">
        <w:tab/>
        <w:t>Destaca que las autoridades serbias deben tomar medidas concretas para defender y reforzar el respeto por los derechos del niño en el país, en particular ratificando el tercer protocolo facultativo de la Convención de las Naciones Unidas sobre los Derechos del Niño, adoptando a tal efecto un plan de acción nacional sobre los derechos del niño y una nueva estrategia sobre la violencia contra los niños, dada la expiración del marco anterior, y estableciendo un marco nacional para proteger a los menores de abusos y abandonos;</w:t>
      </w:r>
    </w:p>
    <w:p w14:paraId="20DB7F83" w14:textId="2C3330B1" w:rsidR="00412837" w:rsidRPr="009A077C" w:rsidRDefault="00412837" w:rsidP="00B240D4">
      <w:pPr>
        <w:pStyle w:val="NormalHanging12a"/>
        <w:rPr>
          <w:bCs/>
          <w:iCs/>
        </w:rPr>
      </w:pPr>
      <w:r w:rsidRPr="009A077C">
        <w:t>4</w:t>
      </w:r>
      <w:r w:rsidR="00E23B8F" w:rsidRPr="009A077C">
        <w:t>5</w:t>
      </w:r>
      <w:r w:rsidRPr="009A077C">
        <w:t>.</w:t>
      </w:r>
      <w:r w:rsidRPr="009A077C">
        <w:tab/>
        <w:t>Acoge con satisfacción el hecho de que el desfile del Orgullo 2024 de Belgrado, el mayor en Serbia hasta la fecha, transcurriera pacíficamente, protegido por una presencia policial de alto nivel;</w:t>
      </w:r>
    </w:p>
    <w:p w14:paraId="1FB78255" w14:textId="42DFD1DD" w:rsidR="00412837" w:rsidRPr="009A077C" w:rsidRDefault="00412837" w:rsidP="00B240D4">
      <w:pPr>
        <w:pStyle w:val="NormalHanging12a"/>
        <w:rPr>
          <w:rFonts w:eastAsia="Calibri"/>
          <w:bCs/>
          <w:iCs/>
        </w:rPr>
      </w:pPr>
      <w:r w:rsidRPr="009A077C">
        <w:t>4</w:t>
      </w:r>
      <w:r w:rsidR="00E23B8F" w:rsidRPr="009A077C">
        <w:t>6</w:t>
      </w:r>
      <w:r w:rsidRPr="009A077C">
        <w:t>.</w:t>
      </w:r>
      <w:r w:rsidRPr="009A077C">
        <w:tab/>
        <w:t xml:space="preserve">Destaca la necesidad de un compromiso firme para salvaguardar los derechos de las minorías nacionales, garantizar su plena representación en todos los niveles de gobierno, preservar su identidad cultural mediante el uso de sus respectivas lenguas y satisfacer sus necesidades en materia de educación, de libertad de expresión y de acceso a la información, así como para proseguir activamente las investigaciones sobre los delitos de odio como parte insustituible de los valores europeos comunes; </w:t>
      </w:r>
      <w:r w:rsidRPr="009A077C">
        <w:rPr>
          <w:color w:val="000000"/>
        </w:rPr>
        <w:t xml:space="preserve">lamenta que casi todas las minorías nacionales solo estén protegidas en un plano formal; expresa su preocupación por la práctica de la representación </w:t>
      </w:r>
      <w:r w:rsidRPr="009A077C">
        <w:rPr>
          <w:i/>
          <w:color w:val="000000"/>
        </w:rPr>
        <w:t>pro forma</w:t>
      </w:r>
      <w:r w:rsidRPr="009A077C">
        <w:rPr>
          <w:color w:val="000000"/>
        </w:rPr>
        <w:t xml:space="preserve"> de las minorías nacionales bajo control gubernamental; </w:t>
      </w:r>
      <w:r w:rsidRPr="009A077C">
        <w:t>pide a Serbia que proteja y promueva el patrimonio cultural y las tradiciones de sus minorías nacionales, en particular que cree las condiciones propicias para la educación en lenguas minoritarias, también proporcionando un número suficiente de profesores, libros de texto y otros materiales, y lamenta la violación de los derechos de las minorías en este ámbito; pide a Serbia que se abstenga de explotar las identidades nacionales de las minorías nacionales que crean división en el seno de estas comunidades y condena enérgicamente los casos registrados de discurso de odio contra algunas de ellas; toma nota del considerable retraso en la elaboración de un nuevo plan de acción para la realización de los derechos de las minorías nacionales, y destaca la urgente necesidad de que Serbia lo ultime y lo aplique con prontitud; destaca la necesidad de que el nuevo plan de acción incorpore plenamente las conclusiones y recomendaciones del Comité Consultivo del Convenio Marco para la Protección de las Minorías Nacionales;</w:t>
      </w:r>
    </w:p>
    <w:p w14:paraId="5E0FC421" w14:textId="1F82E3C7" w:rsidR="00412837" w:rsidRPr="009A077C" w:rsidRDefault="00412837" w:rsidP="00B240D4">
      <w:pPr>
        <w:pStyle w:val="NormalHanging12a"/>
        <w:rPr>
          <w:rFonts w:eastAsia="Calibri"/>
          <w:bCs/>
          <w:iCs/>
          <w:color w:val="000000" w:themeColor="text1"/>
        </w:rPr>
      </w:pPr>
      <w:r w:rsidRPr="009A077C">
        <w:rPr>
          <w:color w:val="000000" w:themeColor="text1"/>
        </w:rPr>
        <w:t>4</w:t>
      </w:r>
      <w:r w:rsidR="00E23B8F" w:rsidRPr="009A077C">
        <w:rPr>
          <w:color w:val="000000" w:themeColor="text1"/>
        </w:rPr>
        <w:t>7</w:t>
      </w:r>
      <w:r w:rsidRPr="009A077C">
        <w:rPr>
          <w:color w:val="000000" w:themeColor="text1"/>
        </w:rPr>
        <w:t>.</w:t>
      </w:r>
      <w:r w:rsidRPr="009A077C">
        <w:rPr>
          <w:color w:val="000000" w:themeColor="text1"/>
        </w:rPr>
        <w:tab/>
      </w:r>
      <w:r w:rsidRPr="009A077C">
        <w:t>Expresa su preocupación por el significativo descenso de la población de ciertos grupos minoritarios, incluida la minoría búlgara;</w:t>
      </w:r>
      <w:r w:rsidRPr="009A077C">
        <w:rPr>
          <w:color w:val="000000" w:themeColor="text1"/>
        </w:rPr>
        <w:t xml:space="preserve"> </w:t>
      </w:r>
      <w:r w:rsidRPr="009A077C">
        <w:t xml:space="preserve">pide a Serbia que garantice el derecho a utilizar nombres y lenguas propios de los grupos minoritarios, también a las mujeres de la comunidad búlgara; observa con preocupación que no todos los libros de texto escolares se han traducido al búlgaro; </w:t>
      </w:r>
      <w:r w:rsidRPr="009A077C">
        <w:rPr>
          <w:color w:val="000000" w:themeColor="text1"/>
        </w:rPr>
        <w:t xml:space="preserve">pide al Gobierno serbio que garantice los mismos derechos recíprocos para la minoría croata en Serbia que los que disfruta la minoría serbia en Croacia, en particular en lo que se refiere a garantizar su representación recíproca a todos los niveles de gobierno, también regional y local; </w:t>
      </w:r>
      <w:r w:rsidRPr="009A077C">
        <w:t>reitera su preocupación por la aplicación restrictiva y arbitraria de la Ley de Residencia Permanente y Temporal en relación con la «pasivización» de las direcciones de miles de albaneses en el sur de Serbia;</w:t>
      </w:r>
      <w:r w:rsidRPr="009A077C">
        <w:rPr>
          <w:color w:val="000000" w:themeColor="text1"/>
        </w:rPr>
        <w:t xml:space="preserve"> hace hincapié en la situación de la Iglesia ortodoxa rumana en Serbia, que el Estado no reconoce oficialmente como una Iglesia tradicional;</w:t>
      </w:r>
    </w:p>
    <w:p w14:paraId="1DE40A3F" w14:textId="7B69109F" w:rsidR="00412837" w:rsidRPr="009A077C" w:rsidRDefault="00412837" w:rsidP="00B240D4">
      <w:pPr>
        <w:pStyle w:val="NormalHanging12a"/>
        <w:rPr>
          <w:bCs/>
          <w:iCs/>
        </w:rPr>
      </w:pPr>
      <w:r w:rsidRPr="009A077C">
        <w:t>4</w:t>
      </w:r>
      <w:r w:rsidR="00E23B8F" w:rsidRPr="009A077C">
        <w:t>8</w:t>
      </w:r>
      <w:r w:rsidRPr="009A077C">
        <w:t>.</w:t>
      </w:r>
      <w:r w:rsidRPr="009A077C">
        <w:tab/>
        <w:t>Lamenta los intentos de las autoridades serbias de socavar la identidad nacional de las comunidades dentro del país; expresa su preocupación, en este contexto, por la promoción de discursos como el de la «nación shopi», que pretenden eliminar la existencia de la comunidad búlgara y negar sus raíces históricas y su patrimonio cultural; lamenta los registros llevados a cabo por las autoridades serbias en el Centro Cultural de Bosilegrad y la apertura de procedimientos de instrucción por «odio étnico» contra activistas de organizaciones no gubernamentales;</w:t>
      </w:r>
    </w:p>
    <w:p w14:paraId="5069C7B6" w14:textId="08AFA0F8" w:rsidR="00412837" w:rsidRPr="009A077C" w:rsidRDefault="00412837" w:rsidP="00B240D4">
      <w:pPr>
        <w:pStyle w:val="NormalHanging12a"/>
        <w:rPr>
          <w:bCs/>
          <w:iCs/>
        </w:rPr>
      </w:pPr>
      <w:r w:rsidRPr="009A077C">
        <w:t>4</w:t>
      </w:r>
      <w:r w:rsidR="00E23B8F" w:rsidRPr="009A077C">
        <w:t>9</w:t>
      </w:r>
      <w:r w:rsidRPr="009A077C">
        <w:t>.</w:t>
      </w:r>
      <w:r w:rsidRPr="009A077C">
        <w:tab/>
        <w:t>Pide a Serbia que se abstenga de distorsionar acontecimientos históricos, como en el caso del relato en torno a la denominada masacre de Surdulica, que solo sirve para propagar la división y el odio contra las minorías y los países vecinos, lo que resulta incompatible con la adhesión a la Unión;</w:t>
      </w:r>
    </w:p>
    <w:p w14:paraId="051F6D22" w14:textId="77777777" w:rsidR="00412837" w:rsidRPr="009A077C" w:rsidRDefault="00412837" w:rsidP="00B240D4">
      <w:pPr>
        <w:pStyle w:val="NormalHanging12a"/>
        <w:rPr>
          <w:b/>
          <w:i/>
        </w:rPr>
      </w:pPr>
      <w:r w:rsidRPr="009A077C">
        <w:rPr>
          <w:b/>
          <w:i/>
        </w:rPr>
        <w:t>Reconciliación y relaciones de buena vecindad</w:t>
      </w:r>
    </w:p>
    <w:p w14:paraId="21AA66ED" w14:textId="54BF11A6" w:rsidR="00412837" w:rsidRPr="009A077C" w:rsidRDefault="00E23B8F" w:rsidP="00B240D4">
      <w:pPr>
        <w:pStyle w:val="NormalHanging12a"/>
        <w:rPr>
          <w:bCs/>
          <w:iCs/>
        </w:rPr>
      </w:pPr>
      <w:r w:rsidRPr="009A077C">
        <w:t>50</w:t>
      </w:r>
      <w:r w:rsidR="00412837" w:rsidRPr="009A077C">
        <w:t>.</w:t>
      </w:r>
      <w:r w:rsidR="00412837" w:rsidRPr="009A077C">
        <w:tab/>
        <w:t>Reitera que las relaciones de buena vecindad y la cooperación regional siguen siendo elementos fundamentales del proceso de ampliación; pide a Serbia que ponga fin a las restricciones a la entrada de activistas y artistas de la sociedad civil de la región, ya que tales prácticas socavan el diálogo y la cooperación regionales; reafirma, además, la importancia de la estabilidad de los países de Europa sudoriental y su resiliencia frente a las injerencias extranjeras en los procesos democráticos internos; subraya la importancia de que Serbia desarrolle relaciones de buena vecindad, aplique los acuerdos bilaterales y resuelva las cuestiones bilaterales pendientes con sus vecinos; toma nota de la participación de Serbia en iniciativas regionales, así como de su implicación activa en el Plan de Crecimiento para los Balcanes Occidentales y en el mercado regional común; subraya que el respeto de los derechos de las minorías nacionales es una condición esencial para que Serbia avance en su trayectoria europea;</w:t>
      </w:r>
    </w:p>
    <w:p w14:paraId="213B6712" w14:textId="4114F90D" w:rsidR="00412837" w:rsidRPr="009A077C" w:rsidRDefault="00E23B8F" w:rsidP="00B240D4">
      <w:pPr>
        <w:pStyle w:val="NormalHanging12a"/>
        <w:rPr>
          <w:bCs/>
        </w:rPr>
      </w:pPr>
      <w:r w:rsidRPr="009A077C">
        <w:t>51</w:t>
      </w:r>
      <w:r w:rsidR="00412837" w:rsidRPr="009A077C">
        <w:t>.</w:t>
      </w:r>
      <w:r w:rsidR="00412837" w:rsidRPr="009A077C">
        <w:tab/>
        <w:t>Pide una reconciliación histórica y la superación de la discriminación y los prejuicios del pasado; lamenta la reciente retórica incendiaria del Gobierno dirigida contra Estados vecinos que no apoyaron la apertura del grupo temático 3 con Serbia;</w:t>
      </w:r>
    </w:p>
    <w:p w14:paraId="7EEDD043" w14:textId="5CA34934" w:rsidR="00412837" w:rsidRPr="009A077C" w:rsidRDefault="00E23B8F" w:rsidP="00B240D4">
      <w:pPr>
        <w:pStyle w:val="NormalHanging12a"/>
        <w:rPr>
          <w:bCs/>
        </w:rPr>
      </w:pPr>
      <w:r w:rsidRPr="009A077C">
        <w:t>52</w:t>
      </w:r>
      <w:r w:rsidR="00412837" w:rsidRPr="009A077C">
        <w:t>.</w:t>
      </w:r>
      <w:r w:rsidR="00412837" w:rsidRPr="009A077C">
        <w:tab/>
        <w:t>Reitera que Serbia debe abstenerse de influir en la política interna de los países vecinos de los Balcanes Occidentales, también en lo que respecta a la celebración inconstitucional del Día de la República Srpska en Bosnia y Herzegovina y el cuestionamiento de las resoluciones judiciales de Bosnia y Herzegovina;</w:t>
      </w:r>
    </w:p>
    <w:p w14:paraId="045B996C" w14:textId="7F3C35CA" w:rsidR="00412837" w:rsidRPr="009A077C" w:rsidRDefault="00E23B8F" w:rsidP="00B240D4">
      <w:pPr>
        <w:pStyle w:val="NormalHanging12a"/>
      </w:pPr>
      <w:r w:rsidRPr="009A077C">
        <w:t>53</w:t>
      </w:r>
      <w:r w:rsidR="00412837" w:rsidRPr="009A077C">
        <w:t>.</w:t>
      </w:r>
      <w:r w:rsidR="00412837" w:rsidRPr="009A077C">
        <w:tab/>
        <w:t>Insta a Serbia a que redoble sus esfuerzos de reconciliación y busque soluciones a conflictos pasados, en particular en lo que respecta a las personas desaparecidas, cuyo número asciende a 1 782 en Croacia, 7 608 en Bosnia y Herzegovina y 1 595 en Kosovo; pide a las autoridades serbias que se haga justicia con las víctimas mediante el reconocimiento y el respeto de las sentencias judiciales sobre crímenes de guerra, la lucha contra la impunidad de los crímenes de guerra, la investigación de los casos de personas desaparecidas, la investigación de las fosas comunes y el apoyo a los fiscales nacionales para llevar a los autores de dichos delitos ante la justicia, lo que también exige la cooperación de otras partes; condena enérgicamente la negación pública generalizada de las sentencias internacionales por crímenes de guerra, incluida la negación del genocidio de Srebrenica;</w:t>
      </w:r>
    </w:p>
    <w:p w14:paraId="49197A1C" w14:textId="43E887C9" w:rsidR="00412837" w:rsidRPr="009A077C" w:rsidRDefault="00E23B8F" w:rsidP="00B240D4">
      <w:pPr>
        <w:pStyle w:val="NormalHanging12a"/>
      </w:pPr>
      <w:r w:rsidRPr="009A077C">
        <w:t>54</w:t>
      </w:r>
      <w:r w:rsidR="00412837" w:rsidRPr="009A077C">
        <w:t>.</w:t>
      </w:r>
      <w:r w:rsidR="00412837" w:rsidRPr="009A077C">
        <w:tab/>
        <w:t>Pide a las autoridades judiciales de Serbia que garanticen el cumplimiento de las normas en materia de proceso equitativo y la satisfacción del derecho a la justicia para las víctimas en todos los casos de crímenes de guerra; pide que se tipifique en el Código Penal la negación de los crímenes de guerra y de enaltecimiento de los criminales de guerra, con vistas a enjuiciar cualquier forma de negación de crímenes de guerra que determinen las sentencias del Tribunal Penal Internacional para la ex Yugoslavia y de la Corte Internacional de Justicia;</w:t>
      </w:r>
    </w:p>
    <w:p w14:paraId="716E4EA6" w14:textId="4AADF82B" w:rsidR="001B5497" w:rsidRPr="009A077C" w:rsidRDefault="00E23B8F" w:rsidP="00B240D4">
      <w:pPr>
        <w:pStyle w:val="NormalHanging12a"/>
        <w:rPr>
          <w:bCs/>
          <w:iCs/>
        </w:rPr>
      </w:pPr>
      <w:r w:rsidRPr="009A077C">
        <w:t>55</w:t>
      </w:r>
      <w:r w:rsidR="001B5497" w:rsidRPr="009A077C">
        <w:t>.</w:t>
      </w:r>
      <w:r w:rsidR="001B5497" w:rsidRPr="009A077C">
        <w:tab/>
        <w:t>Reitera su apoyo a la iniciativa de establecer una comisión regional para determinar los hechos relativos a los crímenes de guerra y otras violaciones graves de los derechos humanos cometidas en el territorio de la antigua Yugoslavia (RECOM);</w:t>
      </w:r>
    </w:p>
    <w:p w14:paraId="2FCC2546" w14:textId="0F1674C6" w:rsidR="00412837" w:rsidRPr="009A077C" w:rsidRDefault="00412837" w:rsidP="00B240D4">
      <w:pPr>
        <w:pStyle w:val="NormalHanging12a"/>
        <w:rPr>
          <w:bCs/>
          <w:iCs/>
        </w:rPr>
      </w:pPr>
      <w:r w:rsidRPr="009A077C">
        <w:t>5</w:t>
      </w:r>
      <w:r w:rsidR="00E23B8F" w:rsidRPr="009A077C">
        <w:t>6</w:t>
      </w:r>
      <w:r w:rsidRPr="009A077C">
        <w:t>.</w:t>
      </w:r>
      <w:r w:rsidRPr="009A077C">
        <w:tab/>
        <w:t>Reitera su posición sobre la importancia de la apertura y la publicación de archivos del período de la guerra, y reitera su petición de que se abran los archivos de la antigua Yugoslavia y, en particular, de que se conceda acceso a los expedientes del antiguo servicio secreto yugoslavo (UDBA) y del Servicio de Contrainteligencia del Ejército Popular Yugoslavo (KOS), así como de que los expedientes se devuelvan a los respectivos Gobiernos si así lo solicitan;</w:t>
      </w:r>
    </w:p>
    <w:p w14:paraId="45BEC8B8" w14:textId="6B8A79AA" w:rsidR="00412837" w:rsidRPr="009A077C" w:rsidRDefault="00412837" w:rsidP="00B240D4">
      <w:pPr>
        <w:pStyle w:val="NormalHanging12a"/>
      </w:pPr>
      <w:r w:rsidRPr="009A077C">
        <w:t>5</w:t>
      </w:r>
      <w:r w:rsidR="00E23B8F" w:rsidRPr="009A077C">
        <w:t>7</w:t>
      </w:r>
      <w:r w:rsidRPr="009A077C">
        <w:t>.</w:t>
      </w:r>
      <w:r w:rsidRPr="009A077C">
        <w:tab/>
        <w:t>Reitera su pleno apoyo al diálogo facilitado por la Unión y acoge con satisfacción el nombramiento de Peter Sørensen como representante especial de la Unión Europea para el Diálogo Belgrado</w:t>
      </w:r>
      <w:r w:rsidRPr="009A077C">
        <w:noBreakHyphen/>
        <w:t>Pristina;</w:t>
      </w:r>
    </w:p>
    <w:p w14:paraId="43270FF6" w14:textId="3A6A4F44" w:rsidR="00412837" w:rsidRPr="009A077C" w:rsidRDefault="00412837" w:rsidP="00B240D4">
      <w:pPr>
        <w:pStyle w:val="NormalHanging12a"/>
        <w:rPr>
          <w:i/>
        </w:rPr>
      </w:pPr>
      <w:r w:rsidRPr="009A077C">
        <w:t>5</w:t>
      </w:r>
      <w:r w:rsidR="00E23B8F" w:rsidRPr="009A077C">
        <w:t>8</w:t>
      </w:r>
      <w:r w:rsidRPr="009A077C">
        <w:t>.</w:t>
      </w:r>
      <w:r w:rsidRPr="009A077C">
        <w:tab/>
        <w:t>Reitera la importancia de una actitud constructiva por parte de las autoridades tanto de Serbia como de Kosovo para lograr un acuerdo global de normalización jurídicamente vinculante, basado en el mutuo reconocimiento y con arreglo al Derecho internacional; pide tanto a Kosovo como a Serbia que apliquen los Acuerdos de Bruselas y de Ohrid, incluidos la creación de la asociación/comunidad de municipios de mayoría serbia y el levantamiento de la oposición de Serbia a la adhesión de Kosovo a organizaciones regionales e internacionales, y que se abstengan de acciones unilaterales que puedan socavar el proceso de diálogo;</w:t>
      </w:r>
    </w:p>
    <w:p w14:paraId="4C9C3765" w14:textId="1B6FBBBF" w:rsidR="00412837" w:rsidRPr="009A077C" w:rsidRDefault="00412837" w:rsidP="00B240D4">
      <w:pPr>
        <w:pStyle w:val="NormalHanging12a"/>
      </w:pPr>
      <w:r w:rsidRPr="009A077C">
        <w:t>5</w:t>
      </w:r>
      <w:r w:rsidR="00E23B8F" w:rsidRPr="009A077C">
        <w:t>9</w:t>
      </w:r>
      <w:r w:rsidRPr="009A077C">
        <w:t>.</w:t>
      </w:r>
      <w:r w:rsidRPr="009A077C">
        <w:tab/>
        <w:t>Espera que Kosovo y Serbia cooperen plenamente y adopten todas las medidas necesarias para detener y llevar rápidamente ante la justicia a los autores de los atentados terroristas perpetrados en Banjska en 2023; lamenta que Serbia siga sin enjuiciar a los culpables, en particular a Milan Radoičić, vicepresidente de Srpska Lista; reitera que los autores del atentado terrorista en Zubin Potok también deben rendir cuentas y comparecer ante la justicia sin demora;</w:t>
      </w:r>
    </w:p>
    <w:p w14:paraId="2005EE2B" w14:textId="28825246" w:rsidR="00412837" w:rsidRPr="009A077C" w:rsidRDefault="00E23B8F" w:rsidP="00B240D4">
      <w:pPr>
        <w:pStyle w:val="NormalHanging12a"/>
        <w:rPr>
          <w:i/>
        </w:rPr>
      </w:pPr>
      <w:r w:rsidRPr="009A077C">
        <w:t>60</w:t>
      </w:r>
      <w:r w:rsidR="00412837" w:rsidRPr="009A077C">
        <w:t>.</w:t>
      </w:r>
      <w:r w:rsidR="00412837" w:rsidRPr="009A077C">
        <w:tab/>
        <w:t>Pide a la vicepresidenta de la Comisión / alta representante de la Unión para Asuntos Exteriores y Política de Seguridad y a la Comisión que adopten una actitud más proactiva a la hora de dirigir el proceso de diálogo; pide que se refuerce el papel del Parlamento Europeo como facilitador del diálogo a través de asambleas parlamentarias paritarias celebradas periódicamente;</w:t>
      </w:r>
    </w:p>
    <w:p w14:paraId="1E8E9E3F" w14:textId="77777777" w:rsidR="00412837" w:rsidRPr="009A077C" w:rsidRDefault="00412837" w:rsidP="00B240D4">
      <w:pPr>
        <w:pStyle w:val="NormalHanging12a"/>
      </w:pPr>
      <w:r w:rsidRPr="009A077C">
        <w:rPr>
          <w:b/>
          <w:i/>
        </w:rPr>
        <w:t>Reformas socioeconómicas</w:t>
      </w:r>
    </w:p>
    <w:p w14:paraId="60599A52" w14:textId="2A9B10A3" w:rsidR="00412837" w:rsidRPr="009A077C" w:rsidRDefault="00E23B8F" w:rsidP="00B240D4">
      <w:pPr>
        <w:pStyle w:val="NormalHanging12a"/>
        <w:rPr>
          <w:bCs/>
          <w:szCs w:val="24"/>
        </w:rPr>
      </w:pPr>
      <w:r w:rsidRPr="009A077C">
        <w:t>61</w:t>
      </w:r>
      <w:r w:rsidR="00412837" w:rsidRPr="009A077C">
        <w:t>.</w:t>
      </w:r>
      <w:r w:rsidR="00412837" w:rsidRPr="009A077C">
        <w:tab/>
        <w:t>Acoge con satisfacción los avances constantes de Serbia hacia el desarrollo de una economía de mercado operativa con un crecimiento positivo del PIB y un aumento de la inversión extranjera en algunos sectores; toma nota de que Serbia recibió su primera calificación crediticia de grado de inversión; subraya que la Unión es el principal socio comercial de Serbia, la mayor fuente de inversión extranjera directa y, con diferencia, el mayor donante; reitera que la ayuda financiera, que representa un gran beneficio para Serbia, está supeditada a la consolidación de los principios democráticos, la adaptación a la PESC y otras políticas de la Unión; reitera la necesidad de reformas más sustanciales relacionadas con el mercado laboral, la educación y la administración pública, incluidas las encaminadas a abordar las desigualdades sociales; expresa su preocupación por la escala y el alcance de los contratos intergubernamentales adjudicados que quedan exentos de la aplicación del marco legislativo vigente en materia de contratación pública; lamenta, no obstante, que la deuda pública como porcentaje del PIB se mantenga muy por encima de la media de Europa oriental;</w:t>
      </w:r>
    </w:p>
    <w:p w14:paraId="688227E9" w14:textId="19DA0274" w:rsidR="00412837" w:rsidRPr="009A077C" w:rsidRDefault="00E23B8F" w:rsidP="00B240D4">
      <w:pPr>
        <w:pStyle w:val="NormalHanging12a"/>
        <w:rPr>
          <w:bCs/>
          <w:iCs/>
        </w:rPr>
      </w:pPr>
      <w:r w:rsidRPr="009A077C">
        <w:t>62</w:t>
      </w:r>
      <w:r w:rsidR="00412837" w:rsidRPr="009A077C">
        <w:t>.</w:t>
      </w:r>
      <w:r w:rsidR="00412837" w:rsidRPr="009A077C">
        <w:tab/>
        <w:t>Expresa su preocupación por la inversión en Serbia efectuada por Rusia y China, y por la creciente influencia de estos países en los procesos políticos y económicos de la región;</w:t>
      </w:r>
    </w:p>
    <w:p w14:paraId="6441F39A" w14:textId="5B9CC952" w:rsidR="00412837" w:rsidRPr="009A077C" w:rsidRDefault="00E23B8F" w:rsidP="00B240D4">
      <w:pPr>
        <w:pStyle w:val="NormalHanging12a"/>
        <w:rPr>
          <w:bCs/>
          <w:iCs/>
        </w:rPr>
      </w:pPr>
      <w:r w:rsidRPr="009A077C">
        <w:t>63</w:t>
      </w:r>
      <w:r w:rsidR="00412837" w:rsidRPr="009A077C">
        <w:t>.</w:t>
      </w:r>
      <w:r w:rsidR="00412837" w:rsidRPr="009A077C">
        <w:tab/>
        <w:t>Pide a Serbia que redoble sus esfuerzos y aumente la inversión en el desarrollo socioeconómico de sus regiones fronterizas, con el fin de abordar la despoblación y garantizar que los residentes dispongan de acceso a servicios esenciales, y en particular a oportunidades profesionales, atención sanitaria y educación; subraya el potencial de los programas de cooperación transfronteriza del IAP III como herramienta clave para promover un crecimiento regional sostenible a largo plazo;</w:t>
      </w:r>
    </w:p>
    <w:p w14:paraId="512B529B" w14:textId="28E43CEF" w:rsidR="00412837" w:rsidRPr="009A077C" w:rsidRDefault="00E23B8F" w:rsidP="00B240D4">
      <w:pPr>
        <w:pStyle w:val="NormalHanging12a"/>
      </w:pPr>
      <w:r w:rsidRPr="009A077C">
        <w:t>64</w:t>
      </w:r>
      <w:r w:rsidR="00412837" w:rsidRPr="009A077C">
        <w:t>.</w:t>
      </w:r>
      <w:r w:rsidR="00412837" w:rsidRPr="009A077C">
        <w:tab/>
        <w:t>Acoge con satisfacción el compromiso activo de Serbia en la aplicación del nuevo plan de crecimiento para los Balcanes Occidentales; toma nota de que Serbia adoptó su programa de reformas el 3 de octubre de 2024; considera que aprovechar las oportunidades del plan de crecimiento reforzaría aún más la economía serbia, que en los últimos tres años se ha beneficiado de más de 586 </w:t>
      </w:r>
      <w:r w:rsidR="00B240D4" w:rsidRPr="009A077C">
        <w:t>000 000</w:t>
      </w:r>
      <w:r w:rsidR="00412837" w:rsidRPr="009A077C">
        <w:t> EUR de asistencia financiera y técnica en el marco del IAP III; cree que la financiación de la Unión debe apoyar mejor las reformas democráticas del país; pide, en este contexto, que se reprograme la financiación pertinente de la Unión, incluida la procedente del plan de crecimiento para los Balcanes Occidentales, para reorientar más fondos hacia el apoyo a reformas judiciales y a medidas de lucha contra la corrupción, así como a los medios de comunicación independientes y a las organizaciones de la sociedad civil, con el fin de respaldar su labor fundamental, en particular en el vacío creado por la retirada de donantes de los Estados Unidos; pide, asimismo, a la Unión y a los países de los Balcanes Occidentales que establezcan un marco de cooperación fructífera entre la Fiscalía Europea y sus homólogos de los Balcanes Occidentales, con el fin de velar por que la Fiscalía Europea pueda ejercer eficazmente sus competencias en relación con los fondos del IAP III y del Mecanismo para los Balcanes Occidentales en los países beneficiarios; insta a las autoridades serbias a que redoblen sus esfuerzos para comunicar claramente a los ciudadanos los beneficios de los fondos de la Unión y mejorar su visibilidad;</w:t>
      </w:r>
    </w:p>
    <w:p w14:paraId="060CE139" w14:textId="5702771D" w:rsidR="00412837" w:rsidRPr="009A077C" w:rsidRDefault="00E23B8F" w:rsidP="00B240D4">
      <w:pPr>
        <w:pStyle w:val="NormalHanging12a"/>
        <w:rPr>
          <w:bCs/>
          <w:iCs/>
        </w:rPr>
      </w:pPr>
      <w:r w:rsidRPr="009A077C">
        <w:t>65</w:t>
      </w:r>
      <w:r w:rsidR="00412837" w:rsidRPr="009A077C">
        <w:t>.</w:t>
      </w:r>
      <w:r w:rsidR="00412837" w:rsidRPr="009A077C">
        <w:tab/>
        <w:t>Lamenta la falta de consultas públicas durante la adopción del programa de reformas serbio; aboga por una supervisión más eficaz de los programas y proyectos de financiación de la Unión;</w:t>
      </w:r>
    </w:p>
    <w:p w14:paraId="3729042D" w14:textId="14A068A8" w:rsidR="00412837" w:rsidRPr="009A077C" w:rsidRDefault="00412837" w:rsidP="00B240D4">
      <w:pPr>
        <w:pStyle w:val="NormalHanging12a"/>
        <w:rPr>
          <w:bCs/>
          <w:iCs/>
        </w:rPr>
      </w:pPr>
      <w:r w:rsidRPr="009A077C">
        <w:t>6</w:t>
      </w:r>
      <w:r w:rsidR="00E23B8F" w:rsidRPr="009A077C">
        <w:t>6</w:t>
      </w:r>
      <w:r w:rsidRPr="009A077C">
        <w:t>.</w:t>
      </w:r>
      <w:r w:rsidRPr="009A077C">
        <w:tab/>
        <w:t>Aboga por una mayor cooperación regional entre los países de los Balcanes Occidentales para intercambiar buenas prácticas y desarrollar estrategias conjuntas en la lucha contra la desinformación y las injerencias extranjeras; hace hincapié en el papel de la Unión a la hora de facilitar estos esfuerzos de colaboración; pide la continuación y el refuerzo del programa regional de ciberseguridad del IAP;</w:t>
      </w:r>
    </w:p>
    <w:p w14:paraId="3B91FC3A" w14:textId="68DBB5B1" w:rsidR="00412837" w:rsidRPr="009A077C" w:rsidRDefault="00412837" w:rsidP="00B240D4">
      <w:pPr>
        <w:pStyle w:val="NormalHanging12a"/>
        <w:rPr>
          <w:bCs/>
          <w:iCs/>
        </w:rPr>
      </w:pPr>
      <w:r w:rsidRPr="009A077C">
        <w:t>6</w:t>
      </w:r>
      <w:r w:rsidR="00E23B8F" w:rsidRPr="009A077C">
        <w:t>7</w:t>
      </w:r>
      <w:r w:rsidRPr="009A077C">
        <w:t>.</w:t>
      </w:r>
      <w:r w:rsidRPr="009A077C">
        <w:tab/>
        <w:t>Reconoce el importante papel de la comunidad empresarial serbia en el avance de la convergencia económica con la Unión, en particular gracias a las oportunidades que brinda el plan de crecimiento y su implementación como una alternativa sostenible a la inversión rusa y china en el país; acoge con satisfacción la contribución de la comunidad empresarial a la mejora de las relaciones socioeconómicas en los Balcanes Occidentales;</w:t>
      </w:r>
    </w:p>
    <w:p w14:paraId="6A861AA7" w14:textId="4FD63E23" w:rsidR="00412837" w:rsidRPr="009A077C" w:rsidRDefault="00412837" w:rsidP="00B240D4">
      <w:pPr>
        <w:pStyle w:val="NormalHanging12a"/>
        <w:rPr>
          <w:bCs/>
          <w:iCs/>
        </w:rPr>
      </w:pPr>
      <w:r w:rsidRPr="009A077C">
        <w:t>6</w:t>
      </w:r>
      <w:r w:rsidR="00E23B8F" w:rsidRPr="009A077C">
        <w:t>8</w:t>
      </w:r>
      <w:r w:rsidRPr="009A077C">
        <w:t>.</w:t>
      </w:r>
      <w:r w:rsidRPr="009A077C">
        <w:tab/>
        <w:t>Toma nota de los esfuerzos de la comunidad empresarial de Serbia por defender la adhesión de los Balcanes Occidentales al mercado único de la Unión, como un paso concreto para la plena adhesión a la Unión; pide acciones claras y mensurables y una adecuada definición de funciones y responsabilidades para la ejecución del Plan de Acción para el Mercado Regional Común, como motor esencial para el éxito de la adhesión de la región al mercado único de la Unión;</w:t>
      </w:r>
    </w:p>
    <w:p w14:paraId="35B973DA" w14:textId="58D2D51A" w:rsidR="00412837" w:rsidRPr="009A077C" w:rsidRDefault="00412837" w:rsidP="00B240D4">
      <w:pPr>
        <w:pStyle w:val="NormalHanging12a"/>
        <w:rPr>
          <w:b/>
          <w:i/>
        </w:rPr>
      </w:pPr>
      <w:r w:rsidRPr="009A077C">
        <w:rPr>
          <w:b/>
          <w:i/>
        </w:rPr>
        <w:t>Energía, medio ambiente, desarrollo sostenible y conectividad</w:t>
      </w:r>
    </w:p>
    <w:p w14:paraId="269E3D5A" w14:textId="691AA1B3" w:rsidR="00412837" w:rsidRPr="009A077C" w:rsidRDefault="00412837" w:rsidP="00B240D4">
      <w:pPr>
        <w:pStyle w:val="NormalHanging12a"/>
      </w:pPr>
      <w:r w:rsidRPr="009A077C">
        <w:t>6</w:t>
      </w:r>
      <w:r w:rsidR="00E23B8F" w:rsidRPr="009A077C">
        <w:t>9</w:t>
      </w:r>
      <w:r w:rsidRPr="009A077C">
        <w:t>.</w:t>
      </w:r>
      <w:r w:rsidRPr="009A077C">
        <w:tab/>
        <w:t>Pide a Serbia que redoble sus esfuerzos para transponer el acervo pertinente en materia de medio ambiente y clima, y que garantice la correcta aplicación de las normas de protección medioambiental, en particular mediante una mejora importante de sus capacidades administrativas y técnicas a todos los niveles de gobierno, en particular en lo que respecta a la legislación sobre gestión de residuos y la adopción del Programa de Adaptación al Cambio Climático y el Plan Nacional de Energía y Clima; insta a las autoridades serbias a que mejoren la transparencia y la evaluación de impacto medioambiental de todas las inversiones, incluidas las procedentes de China y Rusia;</w:t>
      </w:r>
    </w:p>
    <w:p w14:paraId="1FA4604B" w14:textId="3DBA39D4" w:rsidR="00412837" w:rsidRPr="009A077C" w:rsidRDefault="00E23B8F" w:rsidP="00B240D4">
      <w:pPr>
        <w:pStyle w:val="NormalHanging12a"/>
      </w:pPr>
      <w:r w:rsidRPr="009A077C">
        <w:t>70</w:t>
      </w:r>
      <w:r w:rsidR="00412837" w:rsidRPr="009A077C">
        <w:t>.</w:t>
      </w:r>
      <w:r w:rsidR="00412837" w:rsidRPr="009A077C">
        <w:tab/>
        <w:t>Reitera su pesar por la inacción con respecto a la contaminación del río Dragovishtitsa causada por las minas que operan en la región y el efecto perjudicial para la salud de la población local y el medio ambiente;</w:t>
      </w:r>
    </w:p>
    <w:p w14:paraId="000ED260" w14:textId="2C493FC7" w:rsidR="00412837" w:rsidRPr="009A077C" w:rsidRDefault="00E23B8F" w:rsidP="00B240D4">
      <w:pPr>
        <w:pStyle w:val="NormalHanging12a"/>
      </w:pPr>
      <w:r w:rsidRPr="009A077C">
        <w:t>71</w:t>
      </w:r>
      <w:r w:rsidR="00412837" w:rsidRPr="009A077C">
        <w:t>.</w:t>
      </w:r>
      <w:r w:rsidR="00412837" w:rsidRPr="009A077C">
        <w:tab/>
        <w:t>Pide a Serbia que intensifique sus esfuerzos para la descarbonización de su sistema energético, y que propicie la aplicación efectiva de la normativa de reducción de la contaminación relacionada con las centrales térmicas;</w:t>
      </w:r>
    </w:p>
    <w:p w14:paraId="53A95808" w14:textId="11206CE5" w:rsidR="00412837" w:rsidRPr="009A077C" w:rsidRDefault="00E23B8F" w:rsidP="00B240D4">
      <w:pPr>
        <w:pStyle w:val="NormalHanging12a"/>
      </w:pPr>
      <w:r w:rsidRPr="009A077C">
        <w:t>72</w:t>
      </w:r>
      <w:r w:rsidR="00412837" w:rsidRPr="009A077C">
        <w:t>.</w:t>
      </w:r>
      <w:r w:rsidR="00412837" w:rsidRPr="009A077C">
        <w:tab/>
        <w:t>Hace hincapié en la necesidad de seguir avanzando en la cooperación transfronteriza con los países vecinos, especialmente en lo que se refiere a las infraestructuras viarias transfronterizas; insta a Serbia a que comience a llevar a cabo las actividades descritas en el memorando de entendimiento sobre la cooperación en materia de protección del medio ambiente con Bulgaria;</w:t>
      </w:r>
    </w:p>
    <w:p w14:paraId="22A31CBA" w14:textId="23FE3821" w:rsidR="00412837" w:rsidRPr="009A077C" w:rsidRDefault="00E23B8F" w:rsidP="00B240D4">
      <w:pPr>
        <w:pStyle w:val="NormalHanging12a"/>
      </w:pPr>
      <w:r w:rsidRPr="009A077C">
        <w:t>73</w:t>
      </w:r>
      <w:r w:rsidR="00412837" w:rsidRPr="009A077C">
        <w:t>.</w:t>
      </w:r>
      <w:r w:rsidR="00412837" w:rsidRPr="009A077C">
        <w:tab/>
        <w:t>Toma nota del memorando de entendimiento entre la Unión y Serbia por el que se inicia una asociación estratégica sobre materias primas sostenibles, cadenas de valor para las baterías y vehículos eléctricos, teniendo en cuenta la transición energética europea y en línea con las más altas normas medioambientales;</w:t>
      </w:r>
      <w:r w:rsidR="00412837" w:rsidRPr="009A077C">
        <w:rPr>
          <w:b/>
        </w:rPr>
        <w:t xml:space="preserve"> </w:t>
      </w:r>
      <w:r w:rsidR="00412837" w:rsidRPr="009A077C">
        <w:t>recuerda que el diálogo con las poblaciones afectadas, la comunidad científica y la sociedad civil deben ocupar un lugar central en cualquier asociación estratégica de este tipo;</w:t>
      </w:r>
    </w:p>
    <w:p w14:paraId="6691C94F" w14:textId="6ABC0089" w:rsidR="00412837" w:rsidRPr="009A077C" w:rsidRDefault="00E23B8F" w:rsidP="00B240D4">
      <w:pPr>
        <w:pStyle w:val="NormalHanging12a"/>
        <w:rPr>
          <w:bCs/>
        </w:rPr>
      </w:pPr>
      <w:r w:rsidRPr="009A077C">
        <w:t>74</w:t>
      </w:r>
      <w:r w:rsidR="00412837" w:rsidRPr="009A077C">
        <w:t>.</w:t>
      </w:r>
      <w:r w:rsidR="00412837" w:rsidRPr="009A077C">
        <w:tab/>
        <w:t>Acoge con satisfacción el acuerdo alcanzado en la Cumbre UE</w:t>
      </w:r>
      <w:r w:rsidR="00412837" w:rsidRPr="009A077C">
        <w:noBreakHyphen/>
        <w:t>Balcanes Occidentales, celebrada en Tirana, sobre la reducción de los costes de itinerancia; pide a las autoridades, a los actores privados y a todas las partes interesadas, a este respecto, que faciliten la consecución de los objetivos acordados para lograr una reducción sustancial de los costes de itinerancia de datos, así como ulteriores reducciones que acerquen los precios a los precios nacionales entre los Balcanes Occidentales y la Unión de aquí a 2027; acoge con satisfacción la entrada en vigor de la primera fase de aplicación de la hoja de ruta para la itinerancia de datos entre los Balcanes Occidentales y la Unión;</w:t>
      </w:r>
    </w:p>
    <w:p w14:paraId="01E4CF51" w14:textId="496D6A9A" w:rsidR="00412837" w:rsidRPr="009A077C" w:rsidRDefault="00E23B8F" w:rsidP="00B240D4">
      <w:pPr>
        <w:pStyle w:val="NormalHanging12a"/>
        <w:rPr>
          <w:b/>
        </w:rPr>
      </w:pPr>
      <w:r w:rsidRPr="009A077C">
        <w:t>75</w:t>
      </w:r>
      <w:r w:rsidR="00412837" w:rsidRPr="009A077C">
        <w:t>.</w:t>
      </w:r>
      <w:r w:rsidR="00412837" w:rsidRPr="009A077C">
        <w:tab/>
        <w:t>Reitera la importancia de que Serbia siga diversificando su suministro energético para poder desligarse de su dependencia de Rusia; toma nota de las sanciones anunciadas por los Estados Unidos contra Naftna Industrija Srbije (NIS), una filial de la Gazprom rusa; acoge con satisfacción la culminación del interconector de gas entre Serbia y Bulgaria (IBS) en diciembre de 2023; lamenta el aplazamiento del inicio de la explotación comercial del IBS; pide la rápida finalización del proceso de concesión de permisos, con el fin de garantizar su plena operatividad de conformidad con el acervo de la Comunidad de la Energía; observa que Serbia está tomando medidas para introducir un impuesto sobre el carbono de aquí a 2027 para tender a la armonización con el régimen de comercio de derechos de emisión de la Unión;</w:t>
      </w:r>
    </w:p>
    <w:p w14:paraId="41F21451" w14:textId="059F5FD4" w:rsidR="00412837" w:rsidRPr="009A077C" w:rsidRDefault="00412837" w:rsidP="00B240D4">
      <w:pPr>
        <w:pStyle w:val="NormalHanging12a"/>
        <w:rPr>
          <w:bCs/>
        </w:rPr>
      </w:pPr>
      <w:r w:rsidRPr="009A077C">
        <w:t>7</w:t>
      </w:r>
      <w:r w:rsidR="00E23B8F" w:rsidRPr="009A077C">
        <w:t>6</w:t>
      </w:r>
      <w:r w:rsidRPr="009A077C">
        <w:t>.</w:t>
      </w:r>
      <w:r w:rsidRPr="009A077C">
        <w:tab/>
        <w:t>Observa que se han abierto todos los capítulos del grupo temático 4 (agenda ecológica y la conectividad sostenible); toma nota de la adopción de la Ley sobre Evaluación del Impacto Ambiental como un paso positivo hacia la protección del medio ambiente en Serbia, al tiempo que lamenta que la nueva ley no se ajuste plenamente a la Directiva 2014/52/UE</w:t>
      </w:r>
      <w:r w:rsidRPr="009A077C">
        <w:rPr>
          <w:rStyle w:val="FootnoteReference"/>
          <w:bCs/>
        </w:rPr>
        <w:footnoteReference w:id="9"/>
      </w:r>
      <w:r w:rsidRPr="009A077C">
        <w:t xml:space="preserve"> de la Unión, ya que sigue dejando abierta la posibilidad de que proyectos de envergadura avancen sin un control medioambiental exhaustivo; reitera la necesidad de designar y gestionar rigurosamente las zonas protegidas, en particular las identificadas como Áreas Importantes para la Conservación de las Aves y la Biodiversidad (IBA); pide que se preste especial atención a sitios críticos en los que es necesario mejorar el cumplimiento de la legislación contra la caza furtiva;</w:t>
      </w:r>
    </w:p>
    <w:p w14:paraId="7F02429D" w14:textId="77777777" w:rsidR="00412837" w:rsidRPr="009A077C" w:rsidRDefault="00412837" w:rsidP="00412837">
      <w:pPr>
        <w:pStyle w:val="NormalHanging12a"/>
        <w:jc w:val="center"/>
      </w:pPr>
      <w:r w:rsidRPr="009A077C">
        <w:t>°</w:t>
      </w:r>
    </w:p>
    <w:p w14:paraId="14C2740E" w14:textId="77777777" w:rsidR="00412837" w:rsidRPr="009A077C" w:rsidRDefault="00412837" w:rsidP="00412837">
      <w:pPr>
        <w:pStyle w:val="NormalHanging12a"/>
        <w:jc w:val="center"/>
      </w:pPr>
      <w:r w:rsidRPr="009A077C">
        <w:t>°</w:t>
      </w:r>
      <w:r w:rsidRPr="009A077C">
        <w:tab/>
        <w:t>°</w:t>
      </w:r>
    </w:p>
    <w:p w14:paraId="02EAE9AC" w14:textId="4E2BFF3D" w:rsidR="00E35D9B" w:rsidRPr="009A077C" w:rsidRDefault="00412837" w:rsidP="00E35D9B">
      <w:pPr>
        <w:pStyle w:val="NormalHanging12a"/>
      </w:pPr>
      <w:r w:rsidRPr="009A077C">
        <w:t>7</w:t>
      </w:r>
      <w:r w:rsidR="00E23B8F" w:rsidRPr="009A077C">
        <w:t>7</w:t>
      </w:r>
      <w:r w:rsidRPr="009A077C">
        <w:t>.</w:t>
      </w:r>
      <w:r w:rsidRPr="009A077C">
        <w:tab/>
        <w:t>Encarga a su presidenta que transmita la presente Resolución al presidente del Consejo Europeo, a la Comisión, a la vicepresidenta de la Comisión / alta representante de la Unión para Asuntos Exteriores y Política de Seguridad, a los Gobiernos y Parlamentos de los Estados miembros y al presidente, el Gobierno y la Asamblea Nacional de Serbia.</w:t>
      </w:r>
    </w:p>
    <w:p w14:paraId="091321E3" w14:textId="77777777" w:rsidR="00E365E1" w:rsidRPr="009A077C" w:rsidRDefault="00E365E1" w:rsidP="00F10E89"/>
    <w:sectPr w:rsidR="00E365E1" w:rsidRPr="009A077C" w:rsidSect="00E35D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2376E" w14:textId="77777777" w:rsidR="00F10E89" w:rsidRPr="00E35D9B" w:rsidRDefault="00F10E89">
      <w:r w:rsidRPr="00E35D9B">
        <w:separator/>
      </w:r>
    </w:p>
  </w:endnote>
  <w:endnote w:type="continuationSeparator" w:id="0">
    <w:p w14:paraId="703F7097" w14:textId="77777777" w:rsidR="00F10E89" w:rsidRPr="00E35D9B" w:rsidRDefault="00F10E89">
      <w:r w:rsidRPr="00E35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7B099" w14:textId="77777777" w:rsidR="00064002" w:rsidRPr="00E35D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3CA0" w14:textId="77777777" w:rsidR="00064002" w:rsidRPr="00E35D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344F0" w14:textId="77777777" w:rsidR="00064002" w:rsidRPr="00E35D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62F5E" w14:textId="77777777" w:rsidR="00F10E89" w:rsidRPr="00E35D9B" w:rsidRDefault="00F10E89">
      <w:r w:rsidRPr="00E35D9B">
        <w:separator/>
      </w:r>
    </w:p>
  </w:footnote>
  <w:footnote w:type="continuationSeparator" w:id="0">
    <w:p w14:paraId="16FB8844" w14:textId="77777777" w:rsidR="00F10E89" w:rsidRPr="00E35D9B" w:rsidRDefault="00F10E89">
      <w:r w:rsidRPr="00E35D9B">
        <w:continuationSeparator/>
      </w:r>
    </w:p>
  </w:footnote>
  <w:footnote w:id="1">
    <w:p w14:paraId="322D34DB" w14:textId="77777777" w:rsidR="00412837" w:rsidRPr="001B5497" w:rsidRDefault="00412837" w:rsidP="00E35D9B">
      <w:pPr>
        <w:pStyle w:val="FootnoteText"/>
        <w:ind w:left="567" w:hanging="567"/>
        <w:rPr>
          <w:rFonts w:eastAsiaTheme="minorHAnsi"/>
          <w:sz w:val="24"/>
          <w:lang w:val="pt-PT"/>
        </w:rPr>
      </w:pPr>
      <w:r w:rsidRPr="00E35D9B">
        <w:rPr>
          <w:rStyle w:val="FootnoteReference"/>
          <w:sz w:val="24"/>
          <w:lang w:val="es-ES_tradnl"/>
        </w:rPr>
        <w:footnoteRef/>
      </w:r>
      <w:r w:rsidR="00E35D9B" w:rsidRPr="001B5497">
        <w:rPr>
          <w:sz w:val="24"/>
          <w:lang w:val="pt-PT"/>
        </w:rPr>
        <w:t xml:space="preserve"> </w:t>
      </w:r>
      <w:r w:rsidR="00E35D9B" w:rsidRPr="001B5497">
        <w:rPr>
          <w:sz w:val="24"/>
          <w:lang w:val="pt-PT"/>
        </w:rPr>
        <w:tab/>
      </w:r>
      <w:r w:rsidRPr="001B5497">
        <w:rPr>
          <w:sz w:val="24"/>
          <w:lang w:val="pt-PT"/>
        </w:rPr>
        <w:t xml:space="preserve">DO L 278 de 18.10.2013, p. 16, ELI: </w:t>
      </w:r>
      <w:hyperlink r:id="rId1" w:history="1">
        <w:r w:rsidRPr="001B5497">
          <w:rPr>
            <w:rStyle w:val="Hyperlink"/>
            <w:sz w:val="24"/>
            <w:lang w:val="pt-PT"/>
          </w:rPr>
          <w:t>http://data.europa.eu/eli/agree_internation/2013/490/oj</w:t>
        </w:r>
      </w:hyperlink>
      <w:r w:rsidRPr="001B5497">
        <w:rPr>
          <w:sz w:val="24"/>
          <w:lang w:val="pt-PT"/>
        </w:rPr>
        <w:t>.</w:t>
      </w:r>
    </w:p>
  </w:footnote>
  <w:footnote w:id="2">
    <w:p w14:paraId="0B51746D" w14:textId="77777777" w:rsidR="00412837" w:rsidRPr="001B5497" w:rsidRDefault="00412837" w:rsidP="00E35D9B">
      <w:pPr>
        <w:pStyle w:val="FootnoteText"/>
        <w:ind w:left="567" w:hanging="567"/>
        <w:rPr>
          <w:sz w:val="24"/>
          <w:lang w:val="pt-PT"/>
        </w:rPr>
      </w:pPr>
      <w:r w:rsidRPr="00E35D9B">
        <w:rPr>
          <w:rStyle w:val="FootnoteReference"/>
          <w:sz w:val="24"/>
          <w:lang w:val="es-ES_tradnl"/>
        </w:rPr>
        <w:footnoteRef/>
      </w:r>
      <w:r w:rsidR="00E35D9B" w:rsidRPr="001B5497">
        <w:rPr>
          <w:sz w:val="24"/>
          <w:lang w:val="pt-PT"/>
        </w:rPr>
        <w:t xml:space="preserve"> </w:t>
      </w:r>
      <w:r w:rsidR="00E35D9B" w:rsidRPr="001B5497">
        <w:rPr>
          <w:sz w:val="24"/>
          <w:lang w:val="pt-PT"/>
        </w:rPr>
        <w:tab/>
      </w:r>
      <w:r w:rsidRPr="001B5497">
        <w:rPr>
          <w:sz w:val="24"/>
          <w:lang w:val="pt-PT"/>
        </w:rPr>
        <w:t xml:space="preserve">DO L 330 de 20.9.2021, p. 1, ELI: </w:t>
      </w:r>
      <w:hyperlink r:id="rId2" w:history="1">
        <w:r w:rsidRPr="001B5497">
          <w:rPr>
            <w:rStyle w:val="Hyperlink"/>
            <w:sz w:val="24"/>
            <w:lang w:val="pt-PT"/>
          </w:rPr>
          <w:t>http://data.europa.eu/eli/reg/2021/1529/oj</w:t>
        </w:r>
      </w:hyperlink>
      <w:r w:rsidRPr="001B5497">
        <w:rPr>
          <w:sz w:val="24"/>
          <w:lang w:val="pt-PT"/>
        </w:rPr>
        <w:t>.</w:t>
      </w:r>
    </w:p>
  </w:footnote>
  <w:footnote w:id="3">
    <w:p w14:paraId="4EEC3C49" w14:textId="77777777" w:rsidR="00412837" w:rsidRPr="001B5497" w:rsidRDefault="00412837" w:rsidP="00E35D9B">
      <w:pPr>
        <w:pStyle w:val="FootnoteText"/>
        <w:ind w:left="567" w:hanging="567"/>
        <w:rPr>
          <w:sz w:val="24"/>
          <w:lang w:val="pt-PT"/>
        </w:rPr>
      </w:pPr>
      <w:r w:rsidRPr="00E35D9B">
        <w:rPr>
          <w:rStyle w:val="FootnoteReference"/>
          <w:sz w:val="24"/>
          <w:lang w:val="es-ES_tradnl"/>
        </w:rPr>
        <w:footnoteRef/>
      </w:r>
      <w:r w:rsidR="00E35D9B" w:rsidRPr="001B5497">
        <w:rPr>
          <w:sz w:val="24"/>
          <w:lang w:val="pt-PT"/>
        </w:rPr>
        <w:t xml:space="preserve"> </w:t>
      </w:r>
      <w:r w:rsidR="00E35D9B" w:rsidRPr="001B5497">
        <w:rPr>
          <w:sz w:val="24"/>
          <w:lang w:val="pt-PT"/>
        </w:rPr>
        <w:tab/>
      </w:r>
      <w:r w:rsidRPr="001B5497">
        <w:rPr>
          <w:sz w:val="24"/>
          <w:lang w:val="pt-PT"/>
        </w:rPr>
        <w:t xml:space="preserve">DO L, 2024/1449, 24.5.2024, ELI: </w:t>
      </w:r>
      <w:hyperlink r:id="rId3" w:history="1">
        <w:r w:rsidRPr="001B5497">
          <w:rPr>
            <w:rStyle w:val="Hyperlink"/>
            <w:sz w:val="24"/>
            <w:lang w:val="pt-PT"/>
          </w:rPr>
          <w:t>http://data.europa.eu/eli/reg/2024/1449/oj</w:t>
        </w:r>
      </w:hyperlink>
      <w:r w:rsidRPr="001B5497">
        <w:rPr>
          <w:sz w:val="24"/>
          <w:lang w:val="pt-PT"/>
        </w:rPr>
        <w:t xml:space="preserve">. </w:t>
      </w:r>
    </w:p>
  </w:footnote>
  <w:footnote w:id="4">
    <w:p w14:paraId="57D18952" w14:textId="77777777" w:rsidR="00412837" w:rsidRPr="001B5497" w:rsidRDefault="00412837" w:rsidP="00E35D9B">
      <w:pPr>
        <w:pStyle w:val="FootnoteText"/>
        <w:ind w:left="567" w:hanging="567"/>
        <w:rPr>
          <w:sz w:val="24"/>
          <w:lang w:val="pt-PT"/>
        </w:rPr>
      </w:pPr>
      <w:r w:rsidRPr="00E35D9B">
        <w:rPr>
          <w:rStyle w:val="FootnoteReference"/>
          <w:sz w:val="24"/>
          <w:lang w:val="es-ES_tradnl"/>
        </w:rPr>
        <w:footnoteRef/>
      </w:r>
      <w:r w:rsidR="00E35D9B" w:rsidRPr="001B5497">
        <w:rPr>
          <w:sz w:val="24"/>
          <w:lang w:val="pt-PT"/>
        </w:rPr>
        <w:t xml:space="preserve"> </w:t>
      </w:r>
      <w:r w:rsidR="00E35D9B" w:rsidRPr="001B5497">
        <w:rPr>
          <w:sz w:val="24"/>
          <w:lang w:val="pt-PT"/>
        </w:rPr>
        <w:tab/>
      </w:r>
      <w:r w:rsidRPr="001B5497">
        <w:rPr>
          <w:sz w:val="24"/>
          <w:lang w:val="pt-PT"/>
        </w:rPr>
        <w:t xml:space="preserve">DO C, C/2024/6746, 26.11.2024, ELI: </w:t>
      </w:r>
      <w:hyperlink r:id="rId4" w:history="1">
        <w:r w:rsidRPr="001B5497">
          <w:rPr>
            <w:rStyle w:val="Hyperlink"/>
            <w:sz w:val="24"/>
            <w:lang w:val="pt-PT"/>
          </w:rPr>
          <w:t>http://data.europa.eu/eli/C/2024/6746/oj</w:t>
        </w:r>
      </w:hyperlink>
      <w:r w:rsidRPr="001B5497">
        <w:rPr>
          <w:sz w:val="24"/>
          <w:lang w:val="pt-PT"/>
        </w:rPr>
        <w:t xml:space="preserve">. </w:t>
      </w:r>
    </w:p>
  </w:footnote>
  <w:footnote w:id="5">
    <w:p w14:paraId="1C8DEF99" w14:textId="77777777" w:rsidR="00412837" w:rsidRPr="001B5497" w:rsidRDefault="00412837" w:rsidP="00E35D9B">
      <w:pPr>
        <w:pStyle w:val="FootnoteText"/>
        <w:ind w:left="567" w:hanging="567"/>
        <w:rPr>
          <w:sz w:val="24"/>
          <w:lang w:val="pt-PT"/>
        </w:rPr>
      </w:pPr>
      <w:r w:rsidRPr="00E35D9B">
        <w:rPr>
          <w:rStyle w:val="FootnoteReference"/>
          <w:sz w:val="24"/>
          <w:lang w:val="es-ES_tradnl"/>
        </w:rPr>
        <w:footnoteRef/>
      </w:r>
      <w:r w:rsidR="00E35D9B" w:rsidRPr="001B5497">
        <w:rPr>
          <w:sz w:val="24"/>
          <w:lang w:val="pt-PT"/>
        </w:rPr>
        <w:t xml:space="preserve"> </w:t>
      </w:r>
      <w:r w:rsidR="00E35D9B" w:rsidRPr="001B5497">
        <w:rPr>
          <w:sz w:val="24"/>
          <w:lang w:val="pt-PT"/>
        </w:rPr>
        <w:tab/>
      </w:r>
      <w:r w:rsidRPr="001B5497">
        <w:rPr>
          <w:sz w:val="24"/>
          <w:lang w:val="pt-PT"/>
        </w:rPr>
        <w:t xml:space="preserve">DO C, C/2024/2654, 29.4.2024, ELI: </w:t>
      </w:r>
      <w:hyperlink r:id="rId5" w:history="1">
        <w:r w:rsidRPr="001B5497">
          <w:rPr>
            <w:rStyle w:val="Hyperlink"/>
            <w:sz w:val="24"/>
            <w:lang w:val="pt-PT"/>
          </w:rPr>
          <w:t>http://data.europa.eu/eli/C/2024/2654/oj</w:t>
        </w:r>
      </w:hyperlink>
      <w:r w:rsidRPr="001B5497">
        <w:rPr>
          <w:sz w:val="24"/>
          <w:lang w:val="pt-PT"/>
        </w:rPr>
        <w:t xml:space="preserve">. </w:t>
      </w:r>
    </w:p>
  </w:footnote>
  <w:footnote w:id="6">
    <w:p w14:paraId="0C2D8E23" w14:textId="77777777" w:rsidR="00412837" w:rsidRPr="001B5497" w:rsidRDefault="00412837" w:rsidP="00E35D9B">
      <w:pPr>
        <w:pStyle w:val="FootnoteText"/>
        <w:ind w:left="567" w:hanging="567"/>
        <w:rPr>
          <w:sz w:val="24"/>
          <w:lang w:val="pt-PT"/>
        </w:rPr>
      </w:pPr>
      <w:r w:rsidRPr="00E35D9B">
        <w:rPr>
          <w:rStyle w:val="FootnoteReference"/>
          <w:sz w:val="24"/>
          <w:lang w:val="es-ES_tradnl"/>
        </w:rPr>
        <w:footnoteRef/>
      </w:r>
      <w:r w:rsidR="00E35D9B" w:rsidRPr="001B5497">
        <w:rPr>
          <w:sz w:val="24"/>
          <w:lang w:val="pt-PT"/>
        </w:rPr>
        <w:t xml:space="preserve"> </w:t>
      </w:r>
      <w:r w:rsidR="00E35D9B" w:rsidRPr="001B5497">
        <w:rPr>
          <w:sz w:val="24"/>
          <w:lang w:val="pt-PT"/>
        </w:rPr>
        <w:tab/>
      </w:r>
      <w:r w:rsidRPr="001B5497">
        <w:rPr>
          <w:sz w:val="24"/>
          <w:lang w:val="pt-PT"/>
        </w:rPr>
        <w:t xml:space="preserve">DO C, C/2024/6339, 7.11.2024, ELI: </w:t>
      </w:r>
      <w:hyperlink r:id="rId6" w:history="1">
        <w:r w:rsidRPr="001B5497">
          <w:rPr>
            <w:rStyle w:val="Hyperlink"/>
            <w:sz w:val="24"/>
            <w:lang w:val="pt-PT"/>
          </w:rPr>
          <w:t>http://data.europa.eu/eli/C/2024/6339/oj</w:t>
        </w:r>
      </w:hyperlink>
      <w:r w:rsidRPr="001B5497">
        <w:rPr>
          <w:sz w:val="24"/>
          <w:lang w:val="pt-PT"/>
        </w:rPr>
        <w:t>.</w:t>
      </w:r>
    </w:p>
  </w:footnote>
  <w:footnote w:id="7">
    <w:p w14:paraId="4AB2881E" w14:textId="77777777" w:rsidR="00412837" w:rsidRPr="00E35D9B" w:rsidRDefault="00412837" w:rsidP="00E35D9B">
      <w:pPr>
        <w:pStyle w:val="FootnoteText"/>
        <w:ind w:left="567" w:hanging="567"/>
        <w:rPr>
          <w:sz w:val="24"/>
          <w:lang w:val="es-ES_tradnl"/>
        </w:rPr>
      </w:pPr>
      <w:r w:rsidRPr="00E35D9B">
        <w:rPr>
          <w:rStyle w:val="FootnoteReference"/>
          <w:sz w:val="24"/>
          <w:lang w:val="es-ES_tradnl"/>
        </w:rPr>
        <w:footnoteRef/>
      </w:r>
      <w:r w:rsidR="00E35D9B" w:rsidRPr="00E35D9B">
        <w:rPr>
          <w:sz w:val="24"/>
          <w:lang w:val="es-ES_tradnl"/>
        </w:rPr>
        <w:t xml:space="preserve"> </w:t>
      </w:r>
      <w:r w:rsidR="00E35D9B" w:rsidRPr="00E35D9B">
        <w:rPr>
          <w:sz w:val="24"/>
          <w:lang w:val="es-ES_tradnl"/>
        </w:rPr>
        <w:tab/>
      </w:r>
      <w:r w:rsidRPr="00E35D9B">
        <w:rPr>
          <w:sz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7" w:history="1">
        <w:r w:rsidRPr="00E35D9B">
          <w:rPr>
            <w:rStyle w:val="Hyperlink"/>
            <w:sz w:val="24"/>
            <w:lang w:val="es-ES_tradnl"/>
          </w:rPr>
          <w:t>http://data.europa.eu/eli/reg/2022/2065/oj</w:t>
        </w:r>
      </w:hyperlink>
      <w:r w:rsidRPr="00E35D9B">
        <w:rPr>
          <w:sz w:val="24"/>
          <w:lang w:val="es-ES_tradnl"/>
        </w:rPr>
        <w:t>).</w:t>
      </w:r>
    </w:p>
  </w:footnote>
  <w:footnote w:id="8">
    <w:p w14:paraId="3E1CB19A" w14:textId="77777777" w:rsidR="00412837" w:rsidRPr="00E35D9B" w:rsidRDefault="00412837" w:rsidP="00E35D9B">
      <w:pPr>
        <w:pStyle w:val="FootnoteText"/>
        <w:ind w:left="567" w:hanging="567"/>
        <w:rPr>
          <w:sz w:val="24"/>
          <w:lang w:val="es-ES_tradnl"/>
        </w:rPr>
      </w:pPr>
      <w:r w:rsidRPr="00E35D9B">
        <w:rPr>
          <w:rStyle w:val="FootnoteReference"/>
          <w:sz w:val="24"/>
          <w:lang w:val="es-ES_tradnl"/>
        </w:rPr>
        <w:footnoteRef/>
      </w:r>
      <w:r w:rsidR="00E35D9B" w:rsidRPr="00E35D9B">
        <w:rPr>
          <w:sz w:val="24"/>
          <w:lang w:val="es-ES_tradnl"/>
        </w:rPr>
        <w:t xml:space="preserve"> </w:t>
      </w:r>
      <w:r w:rsidR="00E35D9B" w:rsidRPr="00E35D9B">
        <w:rPr>
          <w:sz w:val="24"/>
          <w:lang w:val="es-ES_tradnl"/>
        </w:rPr>
        <w:tab/>
      </w:r>
      <w:r w:rsidRPr="00E35D9B">
        <w:rPr>
          <w:sz w:val="24"/>
          <w:lang w:val="es-ES_tradnl"/>
        </w:rPr>
        <w:t xml:space="preserve">Reglamento (UE) 2024/900 del Parlamento Europeo y del Consejo, de 13 de marzo de 2024, sobre transparencia y segmentación en la publicidad política (DO L, 2024/900, 20.3.2024, ELI: </w:t>
      </w:r>
      <w:hyperlink r:id="rId8" w:history="1">
        <w:r w:rsidRPr="00E35D9B">
          <w:rPr>
            <w:rStyle w:val="Hyperlink"/>
            <w:sz w:val="24"/>
            <w:lang w:val="es-ES_tradnl"/>
          </w:rPr>
          <w:t>http://data.europa.eu/eli/reg/2024/900/oj</w:t>
        </w:r>
      </w:hyperlink>
      <w:r w:rsidRPr="00E35D9B">
        <w:rPr>
          <w:sz w:val="24"/>
          <w:lang w:val="es-ES_tradnl"/>
        </w:rPr>
        <w:t>).</w:t>
      </w:r>
    </w:p>
  </w:footnote>
  <w:footnote w:id="9">
    <w:p w14:paraId="6DD63E74" w14:textId="77777777" w:rsidR="00412837" w:rsidRPr="00E35D9B" w:rsidRDefault="00412837" w:rsidP="00E35D9B">
      <w:pPr>
        <w:pStyle w:val="FootnoteText"/>
        <w:ind w:left="567" w:hanging="567"/>
        <w:rPr>
          <w:sz w:val="24"/>
          <w:lang w:val="es-ES_tradnl"/>
        </w:rPr>
      </w:pPr>
      <w:r w:rsidRPr="00E35D9B">
        <w:rPr>
          <w:rStyle w:val="FootnoteReference"/>
          <w:sz w:val="24"/>
          <w:lang w:val="es-ES_tradnl"/>
        </w:rPr>
        <w:footnoteRef/>
      </w:r>
      <w:r w:rsidR="00E35D9B" w:rsidRPr="00E35D9B">
        <w:rPr>
          <w:sz w:val="24"/>
          <w:lang w:val="es-ES_tradnl"/>
        </w:rPr>
        <w:t xml:space="preserve"> </w:t>
      </w:r>
      <w:r w:rsidR="00E35D9B" w:rsidRPr="00E35D9B">
        <w:rPr>
          <w:sz w:val="24"/>
          <w:lang w:val="es-ES_tradnl"/>
        </w:rPr>
        <w:tab/>
      </w:r>
      <w:r w:rsidRPr="00E35D9B">
        <w:rPr>
          <w:sz w:val="24"/>
          <w:lang w:val="es-ES_tradnl"/>
        </w:rPr>
        <w:t xml:space="preserve">Directiva 2014/52/UE del Parlamento Europeo y del Consejo, de 16 de abril de 2014, por la que se modifica la Directiva 2011/92/UE, relativa a la evaluación de las repercusiones de determinados proyectos públicos y privados sobre el medio ambiente (DO L 124 de 25.4.2014, p. 1, ELI: </w:t>
      </w:r>
      <w:hyperlink r:id="rId9" w:history="1">
        <w:r w:rsidRPr="00B240D4">
          <w:rPr>
            <w:rStyle w:val="Hyperlink"/>
            <w:sz w:val="24"/>
            <w:lang w:val="es-ES_tradnl"/>
          </w:rPr>
          <w:t>http://data.europa.eu/eli/dir/2014/52/oj</w:t>
        </w:r>
      </w:hyperlink>
      <w:r w:rsidRPr="00E35D9B">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F123D" w14:textId="77777777" w:rsidR="00064002" w:rsidRPr="00E35D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8472E" w14:textId="77777777" w:rsidR="00064002" w:rsidRPr="00E35D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ECD47" w14:textId="77777777" w:rsidR="00064002" w:rsidRPr="00E35D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ES"/>
    <w:docVar w:name="dvnumam" w:val="0"/>
    <w:docVar w:name="dvpe" w:val="767.969"/>
    <w:docVar w:name="dvrapporteur" w:val="Ponente: "/>
    <w:docVar w:name="dvtitre" w:val="Resolución del Parlamento Europeo, de 7 de mayo de 2025, sobre los Informes de 2023 y 2024 de la Comisión sobre Serbia(2025/2022(INI))"/>
  </w:docVars>
  <w:rsids>
    <w:rsidRoot w:val="00F10E89"/>
    <w:rsid w:val="00002272"/>
    <w:rsid w:val="00064002"/>
    <w:rsid w:val="000677B9"/>
    <w:rsid w:val="000831BA"/>
    <w:rsid w:val="000A42CC"/>
    <w:rsid w:val="000E7DD9"/>
    <w:rsid w:val="0010095E"/>
    <w:rsid w:val="00125B37"/>
    <w:rsid w:val="00187494"/>
    <w:rsid w:val="001B5497"/>
    <w:rsid w:val="001F32AE"/>
    <w:rsid w:val="002767FF"/>
    <w:rsid w:val="002B18FE"/>
    <w:rsid w:val="002B5493"/>
    <w:rsid w:val="00343214"/>
    <w:rsid w:val="00361C00"/>
    <w:rsid w:val="00395FA1"/>
    <w:rsid w:val="003E15D4"/>
    <w:rsid w:val="00411CCE"/>
    <w:rsid w:val="00412837"/>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77C"/>
    <w:rsid w:val="00A1687D"/>
    <w:rsid w:val="00A43E52"/>
    <w:rsid w:val="00A4678D"/>
    <w:rsid w:val="00A778C7"/>
    <w:rsid w:val="00AB441E"/>
    <w:rsid w:val="00AB6293"/>
    <w:rsid w:val="00AE0928"/>
    <w:rsid w:val="00AF3B82"/>
    <w:rsid w:val="00B12E95"/>
    <w:rsid w:val="00B22876"/>
    <w:rsid w:val="00B240D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B8F"/>
    <w:rsid w:val="00E35D9B"/>
    <w:rsid w:val="00E365E1"/>
    <w:rsid w:val="00E820A4"/>
    <w:rsid w:val="00EB006A"/>
    <w:rsid w:val="00EB4772"/>
    <w:rsid w:val="00ED169E"/>
    <w:rsid w:val="00ED4235"/>
    <w:rsid w:val="00F04346"/>
    <w:rsid w:val="00F075DC"/>
    <w:rsid w:val="00F10E8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849CA"/>
  <w15:chartTrackingRefBased/>
  <w15:docId w15:val="{166C48FD-27F1-4F4F-89CF-8A4955CBB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2837"/>
    <w:pPr>
      <w:spacing w:after="240"/>
      <w:ind w:left="567" w:hanging="567"/>
    </w:pPr>
  </w:style>
  <w:style w:type="paragraph" w:customStyle="1" w:styleId="EPComma">
    <w:name w:val="EPComma"/>
    <w:basedOn w:val="Normal"/>
    <w:rsid w:val="00412837"/>
    <w:pPr>
      <w:spacing w:before="480" w:after="240"/>
    </w:pPr>
  </w:style>
  <w:style w:type="character" w:customStyle="1" w:styleId="Normal12HangingChar">
    <w:name w:val="Normal12Hanging Char"/>
    <w:link w:val="Normal12Hanging"/>
    <w:locked/>
    <w:rsid w:val="00412837"/>
    <w:rPr>
      <w:sz w:val="24"/>
    </w:rPr>
  </w:style>
  <w:style w:type="paragraph" w:customStyle="1" w:styleId="Normal12Hanging">
    <w:name w:val="Normal12Hanging"/>
    <w:basedOn w:val="Normal"/>
    <w:link w:val="Normal12HangingChar"/>
    <w:rsid w:val="00412837"/>
    <w:pPr>
      <w:spacing w:after="240"/>
      <w:ind w:left="567" w:hanging="567"/>
    </w:pPr>
    <w:rPr>
      <w:lang w:val="en-GB"/>
    </w:rPr>
  </w:style>
  <w:style w:type="character" w:customStyle="1" w:styleId="NormalHanging12aChar">
    <w:name w:val="NormalHanging12a Char"/>
    <w:basedOn w:val="DefaultParagraphFont"/>
    <w:link w:val="NormalHanging12a"/>
    <w:locked/>
    <w:rsid w:val="00412837"/>
    <w:rPr>
      <w:sz w:val="24"/>
      <w:lang w:val="es-ES_tradnl"/>
    </w:rPr>
  </w:style>
  <w:style w:type="character" w:styleId="Hyperlink">
    <w:name w:val="Hyperlink"/>
    <w:basedOn w:val="DefaultParagraphFont"/>
    <w:rsid w:val="00412837"/>
    <w:rPr>
      <w:color w:val="0563C1" w:themeColor="hyperlink"/>
      <w:u w:val="single"/>
    </w:rPr>
  </w:style>
  <w:style w:type="paragraph" w:customStyle="1" w:styleId="BodyA">
    <w:name w:val="Body A"/>
    <w:rsid w:val="00412837"/>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s-ES"/>
    </w:rPr>
  </w:style>
  <w:style w:type="paragraph" w:styleId="BalloonText">
    <w:name w:val="Balloon Text"/>
    <w:basedOn w:val="Normal"/>
    <w:link w:val="BalloonTextChar"/>
    <w:rsid w:val="00B240D4"/>
    <w:rPr>
      <w:rFonts w:ascii="Segoe UI" w:hAnsi="Segoe UI" w:cs="Segoe UI"/>
      <w:sz w:val="18"/>
      <w:szCs w:val="18"/>
    </w:rPr>
  </w:style>
  <w:style w:type="character" w:customStyle="1" w:styleId="BalloonTextChar">
    <w:name w:val="Balloon Text Char"/>
    <w:basedOn w:val="DefaultParagraphFont"/>
    <w:link w:val="BalloonText"/>
    <w:rsid w:val="00B240D4"/>
    <w:rPr>
      <w:rFonts w:ascii="Segoe UI" w:hAnsi="Segoe UI" w:cs="Segoe UI"/>
      <w:sz w:val="18"/>
      <w:szCs w:val="18"/>
      <w:lang w:val="es-ES_tradnl"/>
    </w:rPr>
  </w:style>
  <w:style w:type="character" w:styleId="CommentReference">
    <w:name w:val="annotation reference"/>
    <w:basedOn w:val="DefaultParagraphFont"/>
    <w:rsid w:val="001B5497"/>
    <w:rPr>
      <w:sz w:val="16"/>
      <w:szCs w:val="16"/>
    </w:rPr>
  </w:style>
  <w:style w:type="paragraph" w:styleId="CommentText">
    <w:name w:val="annotation text"/>
    <w:basedOn w:val="Normal"/>
    <w:link w:val="CommentTextChar"/>
    <w:rsid w:val="001B5497"/>
    <w:rPr>
      <w:sz w:val="20"/>
    </w:rPr>
  </w:style>
  <w:style w:type="character" w:customStyle="1" w:styleId="CommentTextChar">
    <w:name w:val="Comment Text Char"/>
    <w:basedOn w:val="DefaultParagraphFont"/>
    <w:link w:val="CommentText"/>
    <w:rsid w:val="001B5497"/>
    <w:rPr>
      <w:lang w:val="es-ES_tradnl"/>
    </w:rPr>
  </w:style>
  <w:style w:type="paragraph" w:styleId="CommentSubject">
    <w:name w:val="annotation subject"/>
    <w:basedOn w:val="CommentText"/>
    <w:next w:val="CommentText"/>
    <w:link w:val="CommentSubjectChar"/>
    <w:rsid w:val="001B5497"/>
    <w:rPr>
      <w:b/>
      <w:bCs/>
    </w:rPr>
  </w:style>
  <w:style w:type="character" w:customStyle="1" w:styleId="CommentSubjectChar">
    <w:name w:val="Comment Subject Char"/>
    <w:basedOn w:val="CommentTextChar"/>
    <w:link w:val="CommentSubject"/>
    <w:rsid w:val="001B549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9E1A2-98A1-424A-9745-F8882946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9939</Words>
  <Characters>52280</Characters>
  <Application>Microsoft Office Word</Application>
  <DocSecurity>0</DocSecurity>
  <Lines>435</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2025-05-07T17:36:00Z</dcterms:created>
  <dcterms:modified xsi:type="dcterms:W3CDTF">2025-05-07T17:36:00Z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A10-0072/2025</vt:lpwstr>
  </property>
  <property fmtid="{D5CDD505-2E9C-101B-9397-08002B2CF9AE}" pid="4" name="&lt;Type&gt;">
    <vt:lpwstr>RR</vt:lpwstr>
  </property>
</Properties>
</file>