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P10_TA(2025)0093</w:t>
      </w:r>
      <w:bookmarkEnd w:id="1"/>
    </w:p>
    <w:p>
      <w:pPr>
        <w:pStyle w:val="ATHeading2"/>
      </w:pPr>
      <w:bookmarkStart w:id="2" w:name="title"/>
      <w:r>
        <w:t>Správy o Srbsku za roky 2023 a 2024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A10-0072/2025</w:instrText>
      </w:r>
      <w:bookmarkEnd w:id="3"/>
      <w:r>
        <w:rPr>
          <w:i/>
        </w:rPr>
        <w:instrText xml:space="preserve"> - Spravodajca: Tonino Picula)"\l3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zahraničné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PE767.969</w:t>
      </w:r>
      <w:bookmarkEnd w:id="5"/>
    </w:p>
    <w:p>
      <w:pPr>
        <w:pStyle w:val="ATHeading3"/>
      </w:pPr>
      <w:bookmarkStart w:id="6" w:name="Sujet"/>
      <w:r>
        <w:t>Uznesenie Európskeho parlamentu zo 7. mája 2025 o správach Komisie o Srbsku za roky 2023 a 2024</w:t>
      </w:r>
      <w:bookmarkEnd w:id="6"/>
      <w:r>
        <w:t xml:space="preserve"> </w:t>
      </w:r>
      <w:bookmarkStart w:id="7" w:name="References"/>
      <w:r>
        <w:t>(2025/2022(INI))</w:t>
      </w:r>
      <w:bookmarkEnd w:id="7"/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rPr>
          <w:snapToGrid w:val="0"/>
        </w:rPr>
        <w:t>so zreteľom na Dohodu o stabilizácii a pridružení medzi Európskymi spoločenstvami a ich členskými štátmi na jednej strane a Srbskou republikou na strane druhej</w:t>
      </w:r>
      <w:r>
        <w:rPr>
          <w:snapToGrid w:val="0"/>
          <w:vertAlign w:val="superscript"/>
        </w:rPr>
        <w:footnoteReference w:id="1"/>
      </w:r>
      <w:r>
        <w:rPr>
          <w:snapToGrid w:val="0"/>
        </w:rPr>
        <w:t>, ktorá nadobudla platnosť 1. septembra 2013,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žiadosť Srbska o členstvo v Európskej únii z 19. decembra 2009,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stanovisko Komisie z 12. októbra 2011 k žiadosti Srbska o členstvo v Európskej únii (COM(2011)0668), na rozhodnutie Európskej rady z 1. marca 2012 udeliť Srbsku štatút kandidátskej krajiny a na rozhodnutie Európskej rady z 28. júna 2013 o začatí prístupových rokovaní EÚ so Srbskom,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Bruselskú dohodu z 27. februára 2023 a Ochridskú dohodu z 18. marca 2023 a na ich prílohu o vykonávaní,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nariadenie Európskeho parlamentu a Rady (EÚ) 2021/1529 z 15. septembra 2021, ktorým sa zriaďuje nástroj predvstupovej pomoci (IPA III)</w:t>
      </w:r>
      <w:r>
        <w:rPr>
          <w:snapToGrid w:val="0"/>
          <w:vertAlign w:val="superscript"/>
        </w:rPr>
        <w:footnoteReference w:id="2"/>
      </w:r>
      <w:r>
        <w:rPr>
          <w:snapToGrid w:val="0"/>
        </w:rPr>
        <w:t>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nariadenie Európskeho parlamentu a Rady (EÚ) 2024/1449 zo 14. mája 2024 o zriadení Nástroja na podporu reforiem a rastu pre západný Balkán</w:t>
      </w:r>
      <w:r>
        <w:rPr>
          <w:snapToGrid w:val="0"/>
          <w:vertAlign w:val="superscript"/>
        </w:rPr>
        <w:footnoteReference w:id="3"/>
      </w:r>
      <w:r>
        <w:rPr>
          <w:snapToGrid w:val="0"/>
        </w:rPr>
        <w:t>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závery predsedníctva zo zasadnutia Európskej rady v Solúne, ktoré sa konalo 19. a 20. júna 2003,</w:t>
      </w:r>
    </w:p>
    <w:p>
      <w:pPr>
        <w:pStyle w:val="NormalHanging12a"/>
      </w:pPr>
      <w:r>
        <w:rPr>
          <w:snapToGrid w:val="0"/>
        </w:rPr>
        <w:t>–</w:t>
      </w:r>
      <w:r>
        <w:rPr>
          <w:b/>
          <w:i/>
        </w:rPr>
        <w:tab/>
      </w:r>
      <w:r>
        <w:t xml:space="preserve">so zreteľom na vyhlásenia </w:t>
      </w:r>
      <w:r>
        <w:rPr>
          <w:snapToGrid w:val="0"/>
        </w:rPr>
        <w:t>zo</w:t>
      </w:r>
      <w:r>
        <w:t xml:space="preserve"> samitov EÚ – západný Balkán zo 17. mája 2018 v Sofii a </w:t>
      </w:r>
      <w:r>
        <w:lastRenderedPageBreak/>
        <w:t>zo 6. mája 2020 v Záhrebe,</w:t>
      </w:r>
    </w:p>
    <w:p>
      <w:pPr>
        <w:pStyle w:val="NormalHanging12a"/>
        <w:rPr>
          <w:bCs/>
          <w:iCs/>
          <w:snapToGrid w:val="0"/>
        </w:rPr>
      </w:pPr>
      <w:r>
        <w:rPr>
          <w:snapToGrid w:val="0"/>
        </w:rPr>
        <w:t>–</w:t>
      </w:r>
      <w:r>
        <w:rPr>
          <w:b/>
          <w:i/>
          <w:snapToGrid w:val="0"/>
        </w:rPr>
        <w:tab/>
      </w:r>
      <w:r>
        <w:rPr>
          <w:snapToGrid w:val="0"/>
        </w:rPr>
        <w:t>so zreteľom na svoje uznesenia o zahraničnom zasahovaní do všetkých demokratických procesov v Európskej únii vrátane dezinformácií,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berlínsky proces, ktorý sa začal 28. augusta 2014,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prvú dohodu o zásadách upravujúcich normalizáciu vzťahov medzi vládami Srbska a Kosova z 19. apríla 2013, na dohody z 25. augusta 2015 a na prebiehajúci dialóg o normalizácii vzťahov sprostredkovaný EÚ,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dohodu o voľnom pohybe medzi vládami Srbska a Kosova z 27. augusta 2022 a na dohodu o poznávacích značkách z 23. novembra 2022, ako aj na plán vykonávania dohôd o energetike v rámci dialógu sprostredkovaného EÚ z 21. júna 2022,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oznámenie Komisie z 5. februára 2020 s názvom Posilnený proces pristúpenia – dôveryhodná perspektíva členstva v EÚ pre západný Balkán (COM(2020)0057),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oznámenie Komisie zo 6. októbra 2020 s názvom Hospodársky a investičný plán pre západný Balkán (COM(2020)0641),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oznámenie Komisie z 8. novembra 2023 s názvom Oznámenie o politike rozširovania EÚ za rok 2023 (COM(2023)0690) a na sprievodný pracovný dokument útvarov Komisie s názvom Správa o Srbsku za rok 2023 (SWD(2023)0695),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oznámenie Komisie z 8. novembra 2023 s názvom Nový plán rastu pre západný Balkán (COM(2023)0691),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oznámenie Komisie z 20. marca 2024 o reformách pred rozšírením a o preskúmaní politík (COM(2024)0146),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oznámenie Komisie z 30. októbra 2024 s názvom Oznámenie o politike rozširovania EÚ za rok 2024 (COM(2024)0690) a na sprievodný pracovný dokument útvarov Komisie s názvom Správa o Srbsku za rok 2024 (SWD(2024)0695),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závery Európskej rady z 9. februára 2023 o dialógu medzi Belehradom a Prištinou, ktorý sprostredkovala EÚ,</w:t>
      </w:r>
    </w:p>
    <w:p>
      <w:pPr>
        <w:pStyle w:val="NormalHanging12a"/>
        <w:rPr>
          <w:bCs/>
          <w:iCs/>
        </w:rPr>
      </w:pPr>
      <w:r>
        <w:t>–</w:t>
      </w:r>
      <w:r>
        <w:rPr>
          <w:b/>
          <w:i/>
        </w:rPr>
        <w:tab/>
      </w:r>
      <w:r>
        <w:t>so zreteľom na článok 14 srbskej ústavy o ochrane národnostných menšín,</w:t>
      </w:r>
    </w:p>
    <w:p>
      <w:pPr>
        <w:pStyle w:val="NormalHanging12a"/>
      </w:pPr>
      <w:r>
        <w:t>–</w:t>
      </w:r>
      <w:r>
        <w:rPr>
          <w:b/>
          <w:i/>
        </w:rPr>
        <w:tab/>
      </w:r>
      <w:r>
        <w:t>so zreteľom na Rámcový dohovor Rady Európy na ochranu národnostných menšín, ktorý Srbsko ratifikovalo v roku 2001, a Európsku chartu regionálnych alebo menšinových jazykov Rady Európy, ktorú Srbsko ratifikovalo v roku 2006,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závery Európskej rady z 26. a 27. októbra 2023 týkajúce sa Kosova a Srbska,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závery Rady zo 17. decembra 2024 o rozširovaní,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 xml:space="preserve">so zreteľom na súdny príkaz Európskeho súdu pre ľudské práva z 29. apríla 2025 </w:t>
      </w:r>
      <w:r>
        <w:rPr>
          <w:snapToGrid w:val="0"/>
        </w:rPr>
        <w:lastRenderedPageBreak/>
        <w:t>adresovaný Srbsku, aby prestalo používať zvukové zariadenia na kontrolu davu,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záverečnú správu volebnej pozorovateľskej misie Organizácie pre bezpečnosť a spoluprácu v Európe/Úradu pre demokratické inštitúcie a ľudské práva (OBSE/ODIHR) o predčasných parlamentných a prezidentských voľbách, ktoré sa konali 3. apríla 2022 v Srbsku, ktorá bola uverejnená 19. augusta 2022,</w:t>
      </w:r>
    </w:p>
    <w:p>
      <w:pPr>
        <w:pStyle w:val="NormalHanging12a"/>
        <w:rPr>
          <w:bCs/>
          <w:iCs/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závery Európskej rady z decembra 2006, na závery Rady z marca 2020 a závery predsedníctva Európskej rady z Kodane z 21. a 22. júna 1993, známe aj ako kodanské kritériá,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záverečnú správu volebnej pozorovateľskej misie OBSE/ODIHR, uverejnenú 28. februára 2024, o predčasných parlamentných voľbách, ktoré sa konali 17. decembra 2023 v Srbsku;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memorandum o porozumení medzi Európskou úniou a Srbskou republikou o strategickom partnerstve v oblasti udržateľných surovín, hodnotových reťazcov batérií a elektrických vozidiel podpísané 19. júla 2024,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svoje uznesenie z 29. februára 2024 o prehĺbení integrácie EÚ s ohľadom na budúce rozšírenie</w:t>
      </w:r>
      <w:r>
        <w:rPr>
          <w:snapToGrid w:val="0"/>
          <w:vertAlign w:val="superscript"/>
        </w:rPr>
        <w:footnoteReference w:id="4"/>
      </w:r>
      <w:r>
        <w:rPr>
          <w:snapToGrid w:val="0"/>
        </w:rPr>
        <w:t>,</w:t>
      </w:r>
    </w:p>
    <w:p>
      <w:pPr>
        <w:pStyle w:val="NormalHanging12a"/>
        <w:rPr>
          <w:snapToGrid w:val="0"/>
        </w:rPr>
      </w:pPr>
      <w:r>
        <w:t>–</w:t>
      </w:r>
      <w:r>
        <w:rPr>
          <w:snapToGrid w:val="0"/>
        </w:rPr>
        <w:tab/>
        <w:t>so zreteľom na svoje predchádzajúce uznesenia o Srbsku, najmä uznesenie z 19. októbra 2023 o nedávnom vývoji v rámci srbsko-</w:t>
      </w:r>
      <w:proofErr w:type="spellStart"/>
      <w:r>
        <w:rPr>
          <w:snapToGrid w:val="0"/>
        </w:rPr>
        <w:t>kosovského</w:t>
      </w:r>
      <w:proofErr w:type="spellEnd"/>
      <w:r>
        <w:rPr>
          <w:snapToGrid w:val="0"/>
        </w:rPr>
        <w:t xml:space="preserve"> dialógu vrátane situácie v obciach na severe Kosova</w:t>
      </w:r>
      <w:r>
        <w:rPr>
          <w:rStyle w:val="FootnoteReference"/>
          <w:snapToGrid w:val="0"/>
        </w:rPr>
        <w:footnoteReference w:id="5"/>
      </w:r>
      <w:r>
        <w:rPr>
          <w:snapToGrid w:val="0"/>
        </w:rPr>
        <w:t xml:space="preserve"> a uznesenie z 8. februára 2024 o situácii v Srbsku po voľbách</w:t>
      </w:r>
      <w:r>
        <w:rPr>
          <w:rStyle w:val="FootnoteReference"/>
          <w:snapToGrid w:val="0"/>
        </w:rPr>
        <w:footnoteReference w:id="6"/>
      </w:r>
      <w:r>
        <w:rPr>
          <w:snapToGrid w:val="0"/>
        </w:rPr>
        <w:t>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zo zreteľom na článok 55 rokovacieho poriadku,</w:t>
      </w:r>
    </w:p>
    <w:p>
      <w:pPr>
        <w:pStyle w:val="NormalHanging12a"/>
        <w:rPr>
          <w:snapToGrid w:val="0"/>
        </w:rPr>
      </w:pPr>
      <w:r>
        <w:rPr>
          <w:snapToGrid w:val="0"/>
        </w:rPr>
        <w:t>–</w:t>
      </w:r>
      <w:r>
        <w:rPr>
          <w:snapToGrid w:val="0"/>
        </w:rPr>
        <w:tab/>
        <w:t>so zreteľom na správu Výboru pre zahraničné veci (A10-0072/2025),</w:t>
      </w:r>
    </w:p>
    <w:p>
      <w:pPr>
        <w:pStyle w:val="NormalHanging12a"/>
        <w:jc w:val="both"/>
        <w:rPr>
          <w:snapToGrid w:val="0"/>
        </w:rPr>
      </w:pPr>
      <w:r>
        <w:rPr>
          <w:snapToGrid w:val="0"/>
        </w:rPr>
        <w:t>A.</w:t>
      </w:r>
      <w:r>
        <w:rPr>
          <w:snapToGrid w:val="0"/>
        </w:rPr>
        <w:tab/>
        <w:t>keďže rozširovanie je jedným z najúspešnejších nástrojov zahraničnej politiky EÚ a strategickou geopolitickou investíciou do dlhodobého mieru, stability a bezpečnosti na celom kontinente;</w:t>
      </w:r>
    </w:p>
    <w:p>
      <w:pPr>
        <w:pStyle w:val="NormalHanging12a"/>
      </w:pPr>
      <w:r>
        <w:rPr>
          <w:snapToGrid w:val="0"/>
        </w:rPr>
        <w:t>B.</w:t>
      </w:r>
      <w:r>
        <w:rPr>
          <w:snapToGrid w:val="0"/>
        </w:rPr>
        <w:tab/>
      </w:r>
      <w:r>
        <w:t>keďže podľa kodanských kritérií musia kandidátske krajiny dodržiavať hodnoty Únie, aby do nej mohli vstúpiť</w:t>
      </w:r>
      <w:r>
        <w:rPr>
          <w:snapToGrid w:val="0"/>
        </w:rPr>
        <w:t>;</w:t>
      </w:r>
    </w:p>
    <w:p>
      <w:pPr>
        <w:pStyle w:val="NormalHanging12a"/>
        <w:jc w:val="both"/>
        <w:rPr>
          <w:snapToGrid w:val="0"/>
        </w:rPr>
      </w:pPr>
      <w:r>
        <w:rPr>
          <w:snapToGrid w:val="0"/>
        </w:rPr>
        <w:t>C.</w:t>
      </w:r>
      <w:r>
        <w:rPr>
          <w:snapToGrid w:val="0"/>
        </w:rPr>
        <w:tab/>
        <w:t>keďže demokracia a právny štát sú základnými hodnotami, na ktorých je EÚ založená;</w:t>
      </w:r>
    </w:p>
    <w:p>
      <w:pPr>
        <w:pStyle w:val="NormalHanging12a"/>
        <w:rPr>
          <w:b/>
          <w:snapToGrid w:val="0"/>
        </w:rPr>
      </w:pPr>
      <w:r>
        <w:rPr>
          <w:snapToGrid w:val="0"/>
        </w:rPr>
        <w:t>D.</w:t>
      </w:r>
      <w:r>
        <w:rPr>
          <w:snapToGrid w:val="0"/>
        </w:rPr>
        <w:tab/>
        <w:t>keďže v posledných</w:t>
      </w:r>
      <w:r>
        <w:t xml:space="preserve"> rokoch </w:t>
      </w:r>
      <w:r>
        <w:rPr>
          <w:snapToGrid w:val="0"/>
        </w:rPr>
        <w:t>neustále dochádza k obmedzovaniu politických práv a občianskych slobôd, pričom sa vyvíja tlak na nezávislé médiá a organizácie občianskej spoločnosti;</w:t>
      </w:r>
    </w:p>
    <w:p>
      <w:pPr>
        <w:pStyle w:val="NormalHanging12a"/>
        <w:jc w:val="both"/>
        <w:rPr>
          <w:bCs/>
          <w:iCs/>
          <w:snapToGrid w:val="0"/>
        </w:rPr>
      </w:pPr>
      <w:r>
        <w:rPr>
          <w:snapToGrid w:val="0"/>
        </w:rPr>
        <w:t>E.</w:t>
      </w:r>
      <w:r>
        <w:rPr>
          <w:snapToGrid w:val="0"/>
        </w:rPr>
        <w:tab/>
        <w:t>keďže v štvrtom stanovisku Poradného výboru Rady Európy pre Rámcový dohovor na ochranu národnostných menšín, ktoré bolo prijaté 26. júna 2019, sa kritizuje oneskorenie Srbska pri plnom vykonávaní práv menšín v oblasti vzdelávania;</w:t>
      </w:r>
    </w:p>
    <w:p>
      <w:pPr>
        <w:pStyle w:val="NormalHanging12a"/>
        <w:jc w:val="both"/>
        <w:rPr>
          <w:bCs/>
          <w:iCs/>
          <w:snapToGrid w:val="0"/>
        </w:rPr>
      </w:pPr>
      <w:r>
        <w:rPr>
          <w:snapToGrid w:val="0"/>
        </w:rPr>
        <w:t>F.</w:t>
      </w:r>
      <w:r>
        <w:rPr>
          <w:snapToGrid w:val="0"/>
        </w:rPr>
        <w:tab/>
        <w:t xml:space="preserve">keďže sloboda náboženského vyznania je základnou európskou hodnotou a základným </w:t>
      </w:r>
      <w:r>
        <w:rPr>
          <w:snapToGrid w:val="0"/>
        </w:rPr>
        <w:lastRenderedPageBreak/>
        <w:t>ľudským právom a Srbsko je preto povinné rešpektovať túto slobodu a zaručiť ju všetkým osobám s pobytom na svojom území v súlade so svojimi medzinárodnými záväzkami a povinnosťami v oblasti ľudských práv;</w:t>
      </w:r>
    </w:p>
    <w:p>
      <w:pPr>
        <w:pStyle w:val="NormalHanging12a"/>
        <w:jc w:val="both"/>
        <w:rPr>
          <w:bCs/>
          <w:iCs/>
          <w:snapToGrid w:val="0"/>
        </w:rPr>
      </w:pPr>
      <w:r>
        <w:rPr>
          <w:snapToGrid w:val="0"/>
        </w:rPr>
        <w:t>G.</w:t>
      </w:r>
      <w:r>
        <w:rPr>
          <w:snapToGrid w:val="0"/>
        </w:rPr>
        <w:tab/>
        <w:t xml:space="preserve">keďže Srbsko musí v súlade s kapitolou 23 </w:t>
      </w:r>
      <w:proofErr w:type="spellStart"/>
      <w:r>
        <w:rPr>
          <w:i/>
          <w:snapToGrid w:val="0"/>
        </w:rPr>
        <w:t>acquis</w:t>
      </w:r>
      <w:proofErr w:type="spellEnd"/>
      <w:r>
        <w:rPr>
          <w:snapToGrid w:val="0"/>
        </w:rPr>
        <w:t xml:space="preserve"> preukázať skutočné zlepšenie účinného vykonávania práv osôb patriacich k národnostným menšinám;</w:t>
      </w:r>
    </w:p>
    <w:p>
      <w:pPr>
        <w:pStyle w:val="NormalHanging12a"/>
        <w:rPr>
          <w:snapToGrid w:val="0"/>
        </w:rPr>
      </w:pPr>
      <w:r>
        <w:rPr>
          <w:snapToGrid w:val="0"/>
        </w:rPr>
        <w:t>H.</w:t>
      </w:r>
      <w:r>
        <w:rPr>
          <w:snapToGrid w:val="0"/>
        </w:rPr>
        <w:tab/>
        <w:t>keďže každá kandidátska krajina uchádzajúca sa o rozšírenie sa posudzuje na základe svojich výsledkov, medzi ktorými je rešpektovanie a dôsledné dodržiavanie spoločných európskych práv a hodnôt a zosúladenie so zahraničnou a bezpečnostnou politikou EÚ;</w:t>
      </w:r>
    </w:p>
    <w:p>
      <w:pPr>
        <w:pStyle w:val="NormalHanging12a"/>
        <w:rPr>
          <w:snapToGrid w:val="0"/>
        </w:rPr>
      </w:pPr>
      <w:r>
        <w:rPr>
          <w:snapToGrid w:val="0"/>
        </w:rPr>
        <w:t>I.</w:t>
      </w:r>
      <w:r>
        <w:rPr>
          <w:snapToGrid w:val="0"/>
        </w:rPr>
        <w:tab/>
        <w:t>keďže Srbsko neuložilo sankcie voči Rusku v nadväznosti na ruskú agresiu na Ukrajine; keďže miera zosúladenia Srbska so spoločnou zahraničnou a bezpečnostnou politikou (SZBP) od roku 2021 neustále klesá; keďže Srbsko podporuje územnú celistvosť a politickú nezávislosť Ukrajiny, jasne odsúdilo agresiu Ruskej federácie voči Ukrajine a hlasovalo v OSN spolu s EÚ, hoci na Rusko neuvalilo sankcie; keďže miera zosúladenia Srbska so spoločnou zahraničnou a bezpečnostnou politikou klesla z 54 % v roku 2023 na 51 % v roku 2024, zatiaľ čo iné kandidátske krajiny v regióne – Albánsko, Bosna a Hercegovina, Čierna Hora a Severné Macedónsko – dosiahli 100 % zosúladenie</w:t>
      </w:r>
      <w:r>
        <w:rPr>
          <w:b/>
          <w:snapToGrid w:val="0"/>
        </w:rPr>
        <w:t>;</w:t>
      </w:r>
    </w:p>
    <w:p>
      <w:pPr>
        <w:pStyle w:val="NormalHanging12a"/>
        <w:rPr>
          <w:bCs/>
          <w:iCs/>
          <w:snapToGrid w:val="0"/>
        </w:rPr>
      </w:pPr>
      <w:r>
        <w:rPr>
          <w:snapToGrid w:val="0"/>
        </w:rPr>
        <w:t>J.</w:t>
      </w:r>
      <w:r>
        <w:rPr>
          <w:snapToGrid w:val="0"/>
        </w:rPr>
        <w:tab/>
        <w:t>keďže Srbsko je naďalej hlavným bojiskom na vedenie zahraničných dezinformačných kampaní, najmä zo strany Ruska a Číny, ktoré sa usilujú zavádzať protizápadnú rétoriku; keďže záverečná správa OBSE/ODIHR o predčasných parlamentných voľbách, ktoré sa konali 17. decembra 2023, poukázala na viaceré procedurálne nedostatky, ako aj na používanie ostrej rétoriky a neustále prítomnú zaujatosť v médiách, ktoré vládnucej strane poskytli nevyváženú výhodu; keďže problémy uvedené v záverečnej správe sa musia dôkladne a urýchlene posúdiť; keďže Srbsko prijalo v septembri 2018 v rámci prístupových rokovaní stratégiu boja proti počítačovej kriminalite na roky 2019 – 2023 a príslušné akčné plány; keďže stratégia a príslušné akčné plány neboli po decembri 2023 obnovené; keďže Srbsko sa nezosúladilo s reštriktívnymi opatreniami EÚ v reakcii na kybernetické útoky v rokoch 2023 a 2024;</w:t>
      </w:r>
    </w:p>
    <w:p>
      <w:pPr>
        <w:pStyle w:val="NormalHanging12a"/>
        <w:rPr>
          <w:bCs/>
          <w:iCs/>
          <w:snapToGrid w:val="0"/>
        </w:rPr>
      </w:pPr>
      <w:r>
        <w:rPr>
          <w:snapToGrid w:val="0"/>
        </w:rPr>
        <w:t>K.</w:t>
      </w:r>
      <w:r>
        <w:rPr>
          <w:snapToGrid w:val="0"/>
        </w:rPr>
        <w:tab/>
        <w:t>keďže normalizácia vzťahov medzi Kosovom a Srbskom je predpokladom napredovania oboch krajín smerom k členstvu v EÚ;</w:t>
      </w:r>
    </w:p>
    <w:p>
      <w:pPr>
        <w:pStyle w:val="NormalHanging12a"/>
        <w:rPr>
          <w:bCs/>
          <w:iCs/>
          <w:snapToGrid w:val="0"/>
        </w:rPr>
      </w:pPr>
      <w:r>
        <w:rPr>
          <w:snapToGrid w:val="0"/>
        </w:rPr>
        <w:t>L.</w:t>
      </w:r>
      <w:r>
        <w:rPr>
          <w:snapToGrid w:val="0"/>
        </w:rPr>
        <w:tab/>
        <w:t>keďže pristúpenie k EÚ si nevyhnutne vyžaduje plné zosúladenie s cieľmi zahraničnej politiky Únie;</w:t>
      </w:r>
    </w:p>
    <w:p>
      <w:pPr>
        <w:pStyle w:val="NormalHanging12a"/>
        <w:rPr>
          <w:b/>
        </w:rPr>
      </w:pPr>
      <w:r>
        <w:rPr>
          <w:snapToGrid w:val="0"/>
        </w:rPr>
        <w:t>M.</w:t>
      </w:r>
      <w:r>
        <w:rPr>
          <w:snapToGrid w:val="0"/>
        </w:rPr>
        <w:tab/>
        <w:t>keďže Srbsko uznáva územnú celistvosť Ukrajiny vrátane Krymského polostrova a Donbasu;</w:t>
      </w:r>
    </w:p>
    <w:p>
      <w:pPr>
        <w:pStyle w:val="NormalHanging12a"/>
      </w:pPr>
      <w:r>
        <w:rPr>
          <w:snapToGrid w:val="0"/>
        </w:rPr>
        <w:t>N.</w:t>
      </w:r>
      <w:r>
        <w:rPr>
          <w:snapToGrid w:val="0"/>
        </w:rPr>
        <w:tab/>
        <w:t>keďže EÚ je hlavným obchodným partnerom Srbska a predstavuje 59,7 % celkového obchodu Srbska;</w:t>
      </w:r>
    </w:p>
    <w:p>
      <w:pPr>
        <w:pStyle w:val="NormalHanging12a"/>
        <w:rPr>
          <w:bCs/>
          <w:iCs/>
          <w:snapToGrid w:val="0"/>
        </w:rPr>
      </w:pPr>
      <w:r>
        <w:rPr>
          <w:snapToGrid w:val="0"/>
        </w:rPr>
        <w:t>O.</w:t>
      </w:r>
      <w:r>
        <w:rPr>
          <w:snapToGrid w:val="0"/>
        </w:rPr>
        <w:tab/>
        <w:t xml:space="preserve">keďže Rusko využíva svoj vplyv v Srbsku na destabilizáciu susedných zvrchovaných štátov, zasahovanie do ich záležitostí a ich ohrozovanie a na oslabovanie európskej budúcnosti Srbska; keďže ruské propagandistické stanice, ako napríklad RT (predtým </w:t>
      </w:r>
      <w:proofErr w:type="spellStart"/>
      <w:r>
        <w:rPr>
          <w:snapToGrid w:val="0"/>
        </w:rPr>
        <w:t>Russia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Today</w:t>
      </w:r>
      <w:proofErr w:type="spellEnd"/>
      <w:r>
        <w:rPr>
          <w:snapToGrid w:val="0"/>
        </w:rPr>
        <w:t xml:space="preserve">) a Sputnik, pôsobia v Srbsku bez obmedzenia a majú významný vplyv na vytváranie </w:t>
      </w:r>
      <w:proofErr w:type="spellStart"/>
      <w:r>
        <w:rPr>
          <w:snapToGrid w:val="0"/>
        </w:rPr>
        <w:t>protiúnijných</w:t>
      </w:r>
      <w:proofErr w:type="spellEnd"/>
      <w:r>
        <w:rPr>
          <w:snapToGrid w:val="0"/>
        </w:rPr>
        <w:t xml:space="preserve"> a protidemokratických </w:t>
      </w:r>
      <w:proofErr w:type="spellStart"/>
      <w:r>
        <w:rPr>
          <w:snapToGrid w:val="0"/>
        </w:rPr>
        <w:t>naratívov</w:t>
      </w:r>
      <w:proofErr w:type="spellEnd"/>
      <w:r>
        <w:rPr>
          <w:snapToGrid w:val="0"/>
        </w:rPr>
        <w:t xml:space="preserve">; keďže dezinformácie často vznikajú na základe nepravdivého alebo zavádzajúceho vyhlásenia politickej osobnosti, </w:t>
      </w:r>
      <w:r>
        <w:rPr>
          <w:snapToGrid w:val="0"/>
        </w:rPr>
        <w:lastRenderedPageBreak/>
        <w:t>o ktorom následne informujú štátne médiá a ktoré sa šíri v sociálnych médiách, často so zámerom oslabiť politických oponentov a demokratické zásady;</w:t>
      </w:r>
    </w:p>
    <w:p>
      <w:pPr>
        <w:pStyle w:val="NormalHanging12a"/>
        <w:jc w:val="both"/>
        <w:rPr>
          <w:bCs/>
          <w:iCs/>
          <w:snapToGrid w:val="0"/>
        </w:rPr>
      </w:pPr>
      <w:r>
        <w:rPr>
          <w:snapToGrid w:val="0"/>
        </w:rPr>
        <w:t>P.</w:t>
      </w:r>
      <w:r>
        <w:rPr>
          <w:snapToGrid w:val="0"/>
        </w:rPr>
        <w:tab/>
        <w:t xml:space="preserve">keďže 8. júna 2024 sa v Belehrade konalo </w:t>
      </w:r>
      <w:proofErr w:type="spellStart"/>
      <w:r>
        <w:rPr>
          <w:snapToGrid w:val="0"/>
        </w:rPr>
        <w:t>Celosrbské</w:t>
      </w:r>
      <w:proofErr w:type="spellEnd"/>
      <w:r>
        <w:rPr>
          <w:snapToGrid w:val="0"/>
        </w:rPr>
        <w:t xml:space="preserve"> zhromaždenie za účasti vedúcich politických predstaviteľov zo Srbska, z Bosny a Hercegoviny, Čiernej Hory a Kosova pod heslom „Jeden národ, jedno zhromaždenie“;</w:t>
      </w:r>
    </w:p>
    <w:p>
      <w:pPr>
        <w:pStyle w:val="NormalHanging12a"/>
        <w:rPr>
          <w:b/>
          <w:i/>
        </w:rPr>
      </w:pPr>
      <w:r>
        <w:rPr>
          <w:b/>
          <w:i/>
        </w:rPr>
        <w:t>Záväzok v súvislosti s pristúpením k EÚ</w:t>
      </w:r>
    </w:p>
    <w:p>
      <w:pPr>
        <w:pStyle w:val="NormalHanging12a"/>
        <w:rPr>
          <w:rFonts w:eastAsia="Calibri"/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t xml:space="preserve">berie na vedomie odhodlanie Srbska získať členstvo v EÚ, ktoré vyhlásilo za svoj strategický cieľ, a jeho ambíciu dosiahnuť do konca roka 2026 úplný súlad s </w:t>
      </w:r>
      <w:proofErr w:type="spellStart"/>
      <w:r>
        <w:rPr>
          <w:i/>
        </w:rPr>
        <w:t>acquis</w:t>
      </w:r>
      <w:proofErr w:type="spellEnd"/>
      <w:r>
        <w:t xml:space="preserve"> Únie; naliehavo vyzýva Srbsko na urýchlené a rázne vykonanie zásadných reforiem, najmä v rámci bloku 1, aby bol tento veľmi ambiciózny záväzok vnímaný ako realistický, skutočný a zmysluplný; zdôrazňuje, že Srbsko musí seriózne a kategoricky preukázať, že sa strategicky orientuje na EÚ, a to tým, že prejaví silnú politickú vôľu a dôslednosť pri vykonávaní reforiem súvisiacich s EÚ a bude objektívne a jasne komunikovať so svojimi občanmi o EÚ, európskej ceste Srbska a</w:t>
      </w:r>
      <w:r>
        <w:rPr>
          <w:color w:val="000000" w:themeColor="text1"/>
        </w:rPr>
        <w:t xml:space="preserve"> </w:t>
      </w:r>
      <w:r>
        <w:t>požadovaných reformách;</w:t>
      </w:r>
    </w:p>
    <w:p>
      <w:pPr>
        <w:pStyle w:val="NormalHanging12a"/>
      </w:pPr>
      <w:r>
        <w:t>2.</w:t>
      </w:r>
      <w:r>
        <w:tab/>
        <w:t>pripomína strategický význam západného Balkánu v súčasnom geopolitickom kontexte a pre bezpečnosť a stabilitu EÚ ako celok;</w:t>
      </w:r>
      <w:r>
        <w:rPr>
          <w:b/>
          <w:i/>
        </w:rPr>
        <w:t xml:space="preserve"> </w:t>
      </w:r>
      <w:r>
        <w:t>zdôrazňuje, že krajina má vzhľadom na svoju geopolitickú polohu priamy vplyv na celkovú stabilitu regiónu; odsudzuje preto pokusy Srbska o vytvorenie sféry vplyvu, ktorá by narúšala zvrchovanosť susedných krajín;</w:t>
      </w:r>
    </w:p>
    <w:p>
      <w:pPr>
        <w:pStyle w:val="NormalHanging12a"/>
      </w:pPr>
      <w:r>
        <w:rPr>
          <w:color w:val="000000" w:themeColor="text1"/>
        </w:rPr>
        <w:t>3.</w:t>
      </w:r>
      <w:r>
        <w:rPr>
          <w:color w:val="000000" w:themeColor="text1"/>
        </w:rPr>
        <w:tab/>
      </w:r>
      <w:r>
        <w:t>berie na vedomie dobrú úroveň prípravy Srbska v súvislosti s makroekonomickou stabilitou a fiškálnou disciplínou a konštatovanie Komisie, že blok 3 je z technického hľadiska pripravený, takže rokovania sa môžu začať, so znepokojením však konštatuje, že pri plnení kritérií na dosiahnutie členstva v EÚ vo všetkých rokovacích kapitolách nastal len obmedzený, resp. žiadny celkový pokrok, pričom nedostatky sa týkajú predovšetkým kritických oblastí, ako je právny štát, sloboda médií, reforma verejnej správy a zosúladenie s politikami EÚ, najmä so zahraničnou politikou EÚ;</w:t>
      </w:r>
    </w:p>
    <w:p>
      <w:pPr>
        <w:pStyle w:val="Normal12Hanging"/>
        <w:rPr>
          <w:lang w:val="sk-SK"/>
        </w:rPr>
      </w:pPr>
      <w:r>
        <w:rPr>
          <w:lang w:val="sk-SK"/>
        </w:rPr>
        <w:t>4.</w:t>
      </w:r>
      <w:r>
        <w:rPr>
          <w:lang w:val="sk-SK"/>
        </w:rPr>
        <w:tab/>
        <w:t>vyjadruje poľutovanie nad tým, že v prípade kapitoly 31 sa nedosiahol žiadny významný pokrok, pretože spôsob, akým Srbsko zabezpečuje súlad so zahraničnopolitickými pozíciami EÚ, sa do veľkej miery nezmenil, najmä v dôsledku úzkych vzťahov Srbska s Ruskom;</w:t>
      </w:r>
      <w:r>
        <w:rPr>
          <w:b/>
          <w:i/>
          <w:lang w:val="sk-SK"/>
        </w:rPr>
        <w:t xml:space="preserve"> </w:t>
      </w:r>
      <w:r>
        <w:rPr>
          <w:lang w:val="sk-SK"/>
        </w:rPr>
        <w:t>pripomína, že Srbsko zostáva dôležitou výnimkou na západnom Balkáne, pokiaľ ide o zosúlaďovanie so SZBP; vyzýva Srbsko, aby tento trend zvrátilo a preukázalo pozitívne kroky smerom k zabezpečeniu úplného súladu; konštatuje, že miera dodržiavania vyhlásení a deklarácií EÚ zo strany Srbska sa zvyšuje, no stále je len 61 %; víta pokračujúcu aktívnu účasť Srbska na vojenských misiách a operáciách krízového riadenia EÚ a jeho pozitívny prínos k nim;</w:t>
      </w:r>
    </w:p>
    <w:p>
      <w:pPr>
        <w:pStyle w:val="Normal12Hanging"/>
        <w:rPr>
          <w:szCs w:val="24"/>
          <w:lang w:val="sk-SK"/>
        </w:rPr>
      </w:pPr>
      <w:r>
        <w:rPr>
          <w:lang w:val="sk-SK"/>
        </w:rPr>
        <w:t>5.</w:t>
      </w:r>
      <w:r>
        <w:rPr>
          <w:lang w:val="sk-SK"/>
        </w:rPr>
        <w:tab/>
        <w:t>víta humanitárnu pomoc, ktorú Srbsko poskytuje Ukrajine, a berie na vedomie predaj munície Ukrajine v hodnote 800 miliónov EUR v rámci vzájomne výhodnej dohody; konštatuje, že Srbsko sa zosúladilo s niektorými pozíciami EÚ v súvislosti s ruskou útočnou vojnou proti Ukrajine; vyjadruje však poľutovanie nad tým, že Srbsko sa stále nezosúladilo s reštriktívnymi opatreniami EÚ voči Rusku; vyzýva EÚ, aby prehodnotila rozsah finančnej pomoci, ktorú poskytuje Srbsku, v prípade, že Srbsko bude naďalej podporovať protidemokratické ideológie a nezabezpečí súlad s reštriktívnymi opatreniami EÚ a SZBP;</w:t>
      </w:r>
      <w:r>
        <w:rPr>
          <w:b/>
          <w:i/>
          <w:lang w:val="sk-SK"/>
        </w:rPr>
        <w:t xml:space="preserve"> </w:t>
      </w:r>
      <w:r>
        <w:rPr>
          <w:lang w:val="sk-SK"/>
        </w:rPr>
        <w:t xml:space="preserve">vyzýva Srbsko, aby rýchlo zabezpečilo systematické a bezodkladné zosúlaďovanie s reštriktívnymi opatreniami EÚ a jej všeobecnou politikou </w:t>
      </w:r>
      <w:r>
        <w:rPr>
          <w:lang w:val="sk-SK"/>
        </w:rPr>
        <w:lastRenderedPageBreak/>
        <w:t>voči Rusku a Bielorusku;</w:t>
      </w:r>
    </w:p>
    <w:p>
      <w:pPr>
        <w:pStyle w:val="Normal12Hanging"/>
        <w:rPr>
          <w:lang w:val="sk-SK"/>
        </w:rPr>
      </w:pPr>
      <w:r>
        <w:rPr>
          <w:lang w:val="sk-SK"/>
        </w:rPr>
        <w:t>6.</w:t>
      </w:r>
      <w:r>
        <w:rPr>
          <w:lang w:val="sk-SK"/>
        </w:rPr>
        <w:tab/>
        <w:t>zdôrazňuje význam uvalenia sankcií na Rusko v záujme bezpečnosti celej Európy; vyjadruje poľutovanie nad pretrvávajúcimi úzkymi vzťahmi Srbska s Ruskom, čo vyvoláva obavy o jeho strategickú orientáciu; opätovne vyzýva srbské orgány, aby zvýšili transparentnosť, pokiaľ ide o úlohu a činnosti tzv. rusko-srbského humanitárneho centra v </w:t>
      </w:r>
      <w:proofErr w:type="spellStart"/>
      <w:r>
        <w:rPr>
          <w:lang w:val="sk-SK"/>
        </w:rPr>
        <w:t>Niši</w:t>
      </w:r>
      <w:proofErr w:type="spellEnd"/>
      <w:r>
        <w:rPr>
          <w:lang w:val="sk-SK"/>
        </w:rPr>
        <w:t xml:space="preserve">, a aby okamžite ukončili všetku vojenskú spoluprácu s Ruskom; berie na vedomie rozhodnutie Srbska podporiť rezolúciu OSN, ktorá odsudzuje agresiu Ruska voči Ukrajine tri roky po komplexnej vojenskej invázii; vyjadruje poľutovanie nad tým, že prezident </w:t>
      </w:r>
      <w:proofErr w:type="spellStart"/>
      <w:r>
        <w:rPr>
          <w:lang w:val="sk-SK"/>
        </w:rPr>
        <w:t>Vučič</w:t>
      </w:r>
      <w:proofErr w:type="spellEnd"/>
      <w:r>
        <w:rPr>
          <w:lang w:val="sk-SK"/>
        </w:rPr>
        <w:t xml:space="preserve"> okamžite ústne odvolal hlasovanie Srbska v OSN a označil ho za „chybu“; domnieva sa, že udržiavanie privilegovaných vzťahov s kremeľským režimom neoslabuje len dôveryhodnosť Srbska ako kandidátskej krajiny, ale aj dôveru jeho európskych partnerov a budúcnosť vzťahov EÚ a Srbska;</w:t>
      </w:r>
    </w:p>
    <w:p>
      <w:pPr>
        <w:pStyle w:val="Normal12Hanging"/>
        <w:rPr>
          <w:lang w:val="sk-SK"/>
        </w:rPr>
      </w:pPr>
      <w:r>
        <w:rPr>
          <w:lang w:val="sk-SK"/>
        </w:rPr>
        <w:t>7.</w:t>
      </w:r>
      <w:r>
        <w:rPr>
          <w:lang w:val="sk-SK"/>
        </w:rPr>
        <w:tab/>
        <w:t xml:space="preserve">vyjadruje poľutovanie nad pokračujúcim poklesom podpory verejnosti v prospech členstva Srbska v EÚ a rastúcou podporou Putinovho režimu, ktorá je výsledkom dlhodobej </w:t>
      </w:r>
      <w:proofErr w:type="spellStart"/>
      <w:r>
        <w:rPr>
          <w:lang w:val="sk-SK"/>
        </w:rPr>
        <w:t>protiúnijnej</w:t>
      </w:r>
      <w:proofErr w:type="spellEnd"/>
      <w:r>
        <w:rPr>
          <w:lang w:val="sk-SK"/>
        </w:rPr>
        <w:t xml:space="preserve"> a </w:t>
      </w:r>
      <w:proofErr w:type="spellStart"/>
      <w:r>
        <w:rPr>
          <w:lang w:val="sk-SK"/>
        </w:rPr>
        <w:t>proruskej</w:t>
      </w:r>
      <w:proofErr w:type="spellEnd"/>
      <w:r>
        <w:rPr>
          <w:lang w:val="sk-SK"/>
        </w:rPr>
        <w:t xml:space="preserve"> rétoriky zo strany vládou kontrolovaných médií, ako aj niektorých vládnych predstaviteľov; vyzýva srbské orgány, aby posilnili otvorenú diskusiu o pristúpení k EÚ založenú na faktoch;</w:t>
      </w:r>
    </w:p>
    <w:p>
      <w:pPr>
        <w:pStyle w:val="Normal12Hanging"/>
        <w:rPr>
          <w:lang w:val="sk-SK"/>
        </w:rPr>
      </w:pPr>
      <w:r>
        <w:rPr>
          <w:lang w:val="sk-SK"/>
        </w:rPr>
        <w:t>8.</w:t>
      </w:r>
      <w:r>
        <w:rPr>
          <w:lang w:val="sk-SK"/>
        </w:rPr>
        <w:tab/>
        <w:t>odsudzuje pokračujúce šírenie dezinformácií, a to aj o útočnej vojne Ruska proti Ukrajine; odsudzuje vedľajšie účinky týchto opatrení v iných krajinách regiónu; vyzýva srbské orgány, aby bojovali proti dezinformáciám, a vyzýva EÚ, aby posilnila spoluprácu so Srbskom s cieľom posilniť odolnosť demokracie a bojovať proti hybridným hrozbám;</w:t>
      </w:r>
    </w:p>
    <w:p>
      <w:pPr>
        <w:pStyle w:val="BodyA"/>
        <w:shd w:val="clear" w:color="auto" w:fill="FFFFFF" w:themeFill="background1"/>
        <w:ind w:left="567" w:hanging="567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9.</w:t>
      </w:r>
      <w:r>
        <w:rPr>
          <w:rFonts w:ascii="Times New Roman" w:hAnsi="Times New Roman"/>
          <w:color w:val="000000" w:themeColor="text1"/>
          <w:sz w:val="24"/>
        </w:rPr>
        <w:tab/>
      </w:r>
      <w:r>
        <w:rPr>
          <w:rFonts w:ascii="Times New Roman" w:hAnsi="Times New Roman"/>
          <w:sz w:val="24"/>
        </w:rPr>
        <w:t xml:space="preserve">berie na vedomie napredovanie Srbska pri dosahovaní súladu s vízovou politikou EÚ a vyzýva, aby bol tento súlad úplný, najmä v súvislosti s tými tretími krajinami, ktoré predstavujú pre EÚ bezpečnostnú hrozbu, a to aj v podobe kybernetických útokov; </w:t>
      </w:r>
      <w:r>
        <w:rPr>
          <w:rFonts w:ascii="Times New Roman" w:hAnsi="Times New Roman"/>
          <w:color w:val="000000" w:themeColor="text1"/>
          <w:sz w:val="24"/>
        </w:rPr>
        <w:t>víta</w:t>
      </w:r>
      <w:r>
        <w:rPr>
          <w:rFonts w:ascii="Times New Roman" w:hAnsi="Times New Roman"/>
          <w:sz w:val="24"/>
        </w:rPr>
        <w:t xml:space="preserve"> dohodu o operačnej spolupráci v oblasti riadenia hraníc s agentúrou </w:t>
      </w:r>
      <w:proofErr w:type="spellStart"/>
      <w:r>
        <w:rPr>
          <w:rFonts w:ascii="Times New Roman" w:hAnsi="Times New Roman"/>
          <w:sz w:val="24"/>
        </w:rPr>
        <w:t>Frontex</w:t>
      </w:r>
      <w:proofErr w:type="spellEnd"/>
      <w:r>
        <w:rPr>
          <w:rFonts w:ascii="Times New Roman" w:hAnsi="Times New Roman"/>
          <w:sz w:val="24"/>
        </w:rPr>
        <w:t>, ktorú 25. júna 2024 podpísali EÚ a Srbsko, s dôrazom na potrebu konať v súlade so základnými právami a medzinárodnými normami;</w:t>
      </w:r>
    </w:p>
    <w:p>
      <w:pPr>
        <w:shd w:val="clear" w:color="auto" w:fill="FFFFFF" w:themeFill="background1"/>
        <w:spacing w:after="120" w:line="259" w:lineRule="auto"/>
        <w:ind w:left="567" w:hanging="567"/>
        <w:rPr>
          <w:i/>
        </w:rPr>
      </w:pPr>
      <w:r>
        <w:t>10.</w:t>
      </w:r>
      <w:r>
        <w:tab/>
        <w:t>pripomína, že celkové tempo prístupových rokovaní by malo závisieť od hmatateľného pokroku v oblasti základných práv, právneho štátu a odhodlania presadzovať spoločné európske práva a hodnoty, ako aj od dialóg medzi Belehradom a Prištinou, ktorý sa má viesť v dobrej viere tak, aby jeho výsledkom bola právne záväzná dohoda založená na vzájomnom uznávaní, ako aj súlad so SZBP EÚ; opakuje svoju pozíciu, že prístupové rokovania so Srbskom by mali napredovať len vtedy, ak krajina pristúpi k sankciám EÚ voči Rusku a dosiahne významný pokrok v reformách súvisiacich s EÚ, najmä v oblasti základných hodnôt;</w:t>
      </w:r>
    </w:p>
    <w:p>
      <w:pPr>
        <w:shd w:val="clear" w:color="auto" w:fill="FFFFFF" w:themeFill="background1"/>
        <w:spacing w:after="120" w:line="259" w:lineRule="auto"/>
        <w:ind w:left="567" w:hanging="567"/>
        <w:rPr>
          <w:bCs/>
          <w:iCs/>
        </w:rPr>
      </w:pPr>
      <w:r>
        <w:t>11.</w:t>
      </w:r>
      <w:r>
        <w:tab/>
        <w:t>opätovne vyjadruje znepokojenie nad ústupčivým prístupom Komisie k Srbsku v súvislosti so zhoršovaním situácie v oblasti právneho štátu, demokracie a základných práv v Srbsku trvajúcim už vyše roka, ako aj jeho destabilizujúcim vplyvom na celý región; naliehavo vyzýva Komisiu, aby voči Srbsku používala jasnejší jazyk, a to aj na najvyššej úrovni, a aby dôsledne riešila závažné nedostatky, nedostatočný pokrok a dokonca zhoršenie situácie, a tak zachovávala základné hodnoty EÚ;</w:t>
      </w:r>
    </w:p>
    <w:p>
      <w:pPr>
        <w:shd w:val="clear" w:color="auto" w:fill="FFFFFF" w:themeFill="background1"/>
        <w:spacing w:after="120" w:line="259" w:lineRule="auto"/>
        <w:ind w:left="567" w:hanging="567"/>
        <w:rPr>
          <w:bCs/>
          <w:iCs/>
        </w:rPr>
      </w:pPr>
      <w:r>
        <w:t>12.</w:t>
      </w:r>
      <w:r>
        <w:rPr>
          <w:b/>
          <w:i/>
        </w:rPr>
        <w:t xml:space="preserve"> </w:t>
      </w:r>
      <w:r>
        <w:rPr>
          <w:b/>
          <w:i/>
        </w:rPr>
        <w:tab/>
      </w:r>
      <w:r>
        <w:t>vyzýva srbskú vládu, aby medzi obyvateľmi Srbska propagovala úlohu a prínosy pristúpenia k EÚ a projektov a reforiem financovaných EÚ;</w:t>
      </w:r>
    </w:p>
    <w:p>
      <w:pPr>
        <w:pStyle w:val="NormalHanging12a"/>
        <w:rPr>
          <w:b/>
          <w:i/>
        </w:rPr>
      </w:pPr>
      <w:r>
        <w:rPr>
          <w:b/>
          <w:i/>
        </w:rPr>
        <w:lastRenderedPageBreak/>
        <w:t>Demokracia a právny štát</w:t>
      </w:r>
    </w:p>
    <w:p>
      <w:pPr>
        <w:pStyle w:val="NormalHanging12a"/>
        <w:rPr>
          <w:bCs/>
          <w:iCs/>
          <w:szCs w:val="24"/>
        </w:rPr>
      </w:pPr>
      <w:r>
        <w:t>13.</w:t>
      </w:r>
      <w:r>
        <w:tab/>
        <w:t xml:space="preserve">berie na vedomie pretrvávajúce výzvy pri zabezpečovaní nezávislosti súdnictva vrátane neprípustného ovplyvňovania súdnych orgánov a politického nátlaku na </w:t>
      </w:r>
      <w:proofErr w:type="spellStart"/>
      <w:r>
        <w:t>ne</w:t>
      </w:r>
      <w:proofErr w:type="spellEnd"/>
      <w:r>
        <w:t>; vyjadruje znepokojenie nad tým, že sa nezaviedli záruky, ktoré by zabránili politickému zasahovaniu do vymenúvania sudcov a disciplinárnych konaní proti sudcom a prokurátorom; vyzýva Srbsko, aby zabezpečilo, že Vysoká súdna rada, Vysoká prokurátorská rada a vláda a parlament Srbska budú účinne a proaktívne brániť nezávislosť súdnictva a autonómiu prokuratúry</w:t>
      </w:r>
      <w:r>
        <w:rPr>
          <w:color w:val="000000" w:themeColor="text1"/>
        </w:rPr>
        <w:t>;</w:t>
      </w:r>
    </w:p>
    <w:p>
      <w:pPr>
        <w:shd w:val="clear" w:color="auto" w:fill="FFFFFF" w:themeFill="background1"/>
        <w:spacing w:after="120" w:line="259" w:lineRule="auto"/>
        <w:ind w:left="567" w:hanging="567"/>
        <w:rPr>
          <w:b/>
          <w:iCs/>
        </w:rPr>
      </w:pPr>
      <w:r>
        <w:rPr>
          <w:color w:val="000000" w:themeColor="text1"/>
        </w:rPr>
        <w:t>14.</w:t>
      </w:r>
      <w:r>
        <w:rPr>
          <w:color w:val="000000" w:themeColor="text1"/>
        </w:rPr>
        <w:tab/>
      </w:r>
      <w:r>
        <w:t>zdôrazňuje význam prijatia zákona o justičnej akadémii a stanovisko Benátskej komisie a že je potrebné vymenovať sudcov, aby sa znížil počet neobsadených miest a zlepšila celková účinnosť súdneho systému; konštatuje, že pre oneskorenie pri prijímaní tohto zákona sa pozastavili kľúčové reformy súdnictva potrebné na zosúladenie s normami EÚ; vyzýva, aby sa návrh zákona zmenil po transparentných konzultáciách so všetkými zainteresovanými stranami, a tak sa zabezpečila nezávislosť a kontrolné mechanizmy inštitúcie s cieľom prispieť k celkovej nezávislosti súdnictva;</w:t>
      </w:r>
    </w:p>
    <w:p>
      <w:pPr>
        <w:shd w:val="clear" w:color="auto" w:fill="FFFFFF" w:themeFill="background1"/>
        <w:spacing w:after="120" w:line="259" w:lineRule="auto"/>
        <w:ind w:left="567" w:hanging="567"/>
      </w:pPr>
      <w:r>
        <w:rPr>
          <w:color w:val="000000" w:themeColor="text1"/>
        </w:rPr>
        <w:t>15.</w:t>
      </w:r>
      <w:r>
        <w:rPr>
          <w:color w:val="000000" w:themeColor="text1"/>
        </w:rPr>
        <w:tab/>
      </w:r>
      <w:r>
        <w:t xml:space="preserve">konštatuje, že v boji proti korupcii bol pokrok obmedzený napriek tomu, že bola prijatá nová protikorupčná stratégia na roky 2024 – 2028; vyzýva Srbsko, aby prijalo a začalo realizovať sprievodný akčný plán boja proti korupcii a zaviedlo účinný mechanizmus monitorovania a koordinácie na sledovanie pokroku v súlade s medzinárodnými normami; vyjadruje znepokojenie nad tým, že korupcia je ešte stále bežná v mnohých oblastiach, najmä v súvislosti s projektmi v záujme Srbskej republiky, a že účinné riešenie korupcie, ako aj rázna reakcia trestnej justície na korupciu na najvyššej úrovni si vyžadujú silnú politickú vôľu; konštatuje, že Srbsko sa na indexe vnímania korupcie za rok 2024 umiestnilo na 105. mieste, čo je výrazne pod priemerom EÚ; domnieva sa, že miera korupcie v Srbsku je významnou prekážkou v procese jeho pristúpenia k EÚ; so znepokojením konštatuje, že ani po viacerých rokoch sa nedosiahli žiadne výsledky v prípadoch vysokého verejného záujmu, ako sú dlhoročné prípady </w:t>
      </w:r>
      <w:proofErr w:type="spellStart"/>
      <w:r>
        <w:t>Krušik</w:t>
      </w:r>
      <w:proofErr w:type="spellEnd"/>
      <w:r>
        <w:t xml:space="preserve">, </w:t>
      </w:r>
      <w:proofErr w:type="spellStart"/>
      <w:r>
        <w:t>Jovanjica</w:t>
      </w:r>
      <w:proofErr w:type="spellEnd"/>
      <w:r>
        <w:t xml:space="preserve">, </w:t>
      </w:r>
      <w:proofErr w:type="spellStart"/>
      <w:r>
        <w:t>Savamala</w:t>
      </w:r>
      <w:proofErr w:type="spellEnd"/>
      <w:r>
        <w:t xml:space="preserve"> a </w:t>
      </w:r>
      <w:proofErr w:type="spellStart"/>
      <w:r>
        <w:t>Belivuk</w:t>
      </w:r>
      <w:proofErr w:type="spellEnd"/>
      <w:r>
        <w:t>; vyzýva Srbsko, aby posilnilo nezávislosť svojich protikorupčných inštitúcií tým, že zabezpečí ich primerané financovanie a ochranu pred politickým zasahovaním; vyzýva srbskú vládu, aby podpísala Dohovor Organizácie pre hospodársku spoluprácu a rozvoj o boji proti podplácaniu a plne zosúladila svoj právny rámec v oblasti policajnej spolupráce a organizovanej trestnej činnosti s rámcom EÚ;</w:t>
      </w:r>
    </w:p>
    <w:p>
      <w:pPr>
        <w:pStyle w:val="Normal12Hanging"/>
        <w:rPr>
          <w:bCs/>
          <w:iCs/>
          <w:lang w:val="sk-SK"/>
        </w:rPr>
      </w:pPr>
      <w:r>
        <w:rPr>
          <w:color w:val="000000" w:themeColor="text1"/>
          <w:lang w:val="sk-SK"/>
        </w:rPr>
        <w:t>16.</w:t>
      </w:r>
      <w:r>
        <w:rPr>
          <w:color w:val="000000" w:themeColor="text1"/>
          <w:lang w:val="sk-SK"/>
        </w:rPr>
        <w:tab/>
      </w:r>
      <w:r>
        <w:rPr>
          <w:lang w:val="sk-SK"/>
        </w:rPr>
        <w:t>víta pluralitnejšie zloženie nového parlamentu, ktorý sa vyznačuje širším zastúpením politických strán vrátane strán národnostných menšín;</w:t>
      </w:r>
      <w:r>
        <w:rPr>
          <w:b/>
          <w:i/>
          <w:lang w:val="sk-SK"/>
        </w:rPr>
        <w:t xml:space="preserve"> </w:t>
      </w:r>
      <w:r>
        <w:rPr>
          <w:lang w:val="sk-SK"/>
        </w:rPr>
        <w:t>konštatuje, že predčasné voľby a s tým súvisiace prerušenie fungovania vlády a parlamentu bránia v pokroku pri vykonávaní reforiem; berie na vedomie časté organizovanie predčasných volieb, permanentný režim volebných kampaní a dlhé prieťahy pri zostavovaní vlád, ako aj prerušovanú prácu národného parlamentu, okrem iného absenciu hodín otázok kladených vláde, diskusií o správach nezávislých inštitúcií, a častejšie využívanie naliehavých postupov, čo vedie k nedostatočnému parlamentnému legislatívnemu dohľadu a legitimite parlamentu a neprispieva k účinnej demokratickej správe krajiny;</w:t>
      </w:r>
    </w:p>
    <w:p>
      <w:pPr>
        <w:pStyle w:val="Normal12Hanging"/>
        <w:rPr>
          <w:i/>
          <w:lang w:val="sk-SK"/>
        </w:rPr>
      </w:pPr>
      <w:r>
        <w:rPr>
          <w:lang w:val="sk-SK"/>
        </w:rPr>
        <w:t>17.</w:t>
      </w:r>
      <w:r>
        <w:rPr>
          <w:lang w:val="sk-SK"/>
        </w:rPr>
        <w:tab/>
        <w:t xml:space="preserve">berie na vedomie demisiu predsedu vlády Miloša </w:t>
      </w:r>
      <w:proofErr w:type="spellStart"/>
      <w:r>
        <w:rPr>
          <w:lang w:val="sk-SK"/>
        </w:rPr>
        <w:t>Vučevića</w:t>
      </w:r>
      <w:proofErr w:type="spellEnd"/>
      <w:r>
        <w:rPr>
          <w:lang w:val="sk-SK"/>
        </w:rPr>
        <w:t xml:space="preserve"> z 28. januára 2025, ktorú potvrdilo Národné zhromaždenie 19. marca 2025, a následné zvolenie novej vlády pod vedením </w:t>
      </w:r>
      <w:proofErr w:type="spellStart"/>
      <w:r>
        <w:rPr>
          <w:lang w:val="sk-SK"/>
        </w:rPr>
        <w:t>Đura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Macuta</w:t>
      </w:r>
      <w:proofErr w:type="spellEnd"/>
      <w:r>
        <w:rPr>
          <w:lang w:val="sk-SK"/>
        </w:rPr>
        <w:t xml:space="preserve">, ktorá bola vymenovaná 16. apríla 2025; berie na vedomie obnovenie činnosti Národného zhromaždenia 4. marca 2025 po trojmesačnej prestávke </w:t>
      </w:r>
      <w:r>
        <w:rPr>
          <w:lang w:val="sk-SK"/>
        </w:rPr>
        <w:lastRenderedPageBreak/>
        <w:t>a odsudzuje všetky násilné činy, ku ktorým pri tejto príležitosti došlo;</w:t>
      </w:r>
    </w:p>
    <w:p>
      <w:pPr>
        <w:shd w:val="clear" w:color="auto" w:fill="FFFFFF" w:themeFill="background1"/>
        <w:spacing w:before="240" w:after="160" w:line="259" w:lineRule="auto"/>
        <w:ind w:left="567" w:hanging="567"/>
        <w:rPr>
          <w:bCs/>
          <w:iCs/>
          <w:color w:val="000000" w:themeColor="text1"/>
        </w:rPr>
      </w:pPr>
      <w:r>
        <w:rPr>
          <w:color w:val="000000" w:themeColor="text1"/>
        </w:rPr>
        <w:t>18.</w:t>
      </w:r>
      <w:r>
        <w:rPr>
          <w:color w:val="000000" w:themeColor="text1"/>
        </w:rPr>
        <w:tab/>
      </w:r>
      <w:r>
        <w:t>pripomína, že je ochotný podporovať Národné zhromaždenie a jeho členov v demokratických procesoch súvisiacich s európskou cestou Srbska vrátane riadneho fungovania parlamentu v súlade s jeho rokovacím poriadkom, a to pomocou existujúcich nástrojov a iniciatív Európskeho parlamentu na podporu demokracie a podporovaním väčšieho parlamentného dohľadu nad procesom pristúpenia k EÚ a reformami;</w:t>
      </w:r>
    </w:p>
    <w:p>
      <w:pPr>
        <w:pStyle w:val="Normal12Hanging"/>
        <w:rPr>
          <w:lang w:val="sk-SK"/>
        </w:rPr>
      </w:pPr>
      <w:r>
        <w:rPr>
          <w:color w:val="000000" w:themeColor="text1"/>
          <w:lang w:val="sk-SK"/>
        </w:rPr>
        <w:t>19.</w:t>
      </w:r>
      <w:r>
        <w:rPr>
          <w:color w:val="000000" w:themeColor="text1"/>
          <w:lang w:val="sk-SK"/>
        </w:rPr>
        <w:tab/>
      </w:r>
      <w:r>
        <w:rPr>
          <w:lang w:val="sk-SK"/>
        </w:rPr>
        <w:t>s hlbokým znepokojením</w:t>
      </w:r>
      <w:r>
        <w:rPr>
          <w:b/>
          <w:i/>
          <w:lang w:val="sk-SK"/>
        </w:rPr>
        <w:t xml:space="preserve"> </w:t>
      </w:r>
      <w:r>
        <w:rPr>
          <w:lang w:val="sk-SK"/>
        </w:rPr>
        <w:t>berie na vedomie záverečnú správu volebnej pozorovateľskej misie OBSE/ODIHR o voľbách v decembri 2023; konštatuje, že Národné zhromaždenie vytvorilo v apríli 2024 pracovnú skupinu na zlepšenie volebného procesu, ale že do konca roka neprijalo žiadne právne opatrenia na zlepšenie volebného procesu; konštatuje, že dvaja z troch zástupcov občianskej spoločnosti vo februári 2025 z pracovnej skupiny odišli; konštatuje, že v prvých mesiacoch roku 2025 boli prijaté kroky na zmenu zákona o jednotnom registri voličov, ale že politické subjekty a predstavitelia občianskej spoločnosti nedosiahli konsenzus o jeho obsahu; vyzýva všetky parlamentné skupiny v Národnom zhromaždení, aby so súhlasom všetkých skupín rozhodli o vykonávaní odporúčaní ODIHR; vyzýva na rovnaké zaobchádzanie so všetkými poslancami parlamentu v rámci činnosti Národného zhromaždenia, dôsledné a účinné uplatňovanie parlamentného kódexu správania a nestranné ukladanie sankcií za porušenia parlamentnej integrity;</w:t>
      </w:r>
    </w:p>
    <w:p>
      <w:pPr>
        <w:pStyle w:val="Normal12Hanging"/>
        <w:rPr>
          <w:bCs/>
          <w:iCs/>
          <w:lang w:val="sk-SK"/>
        </w:rPr>
      </w:pPr>
      <w:r>
        <w:rPr>
          <w:lang w:val="sk-SK"/>
        </w:rPr>
        <w:t>20.</w:t>
      </w:r>
      <w:r>
        <w:rPr>
          <w:lang w:val="sk-SK"/>
        </w:rPr>
        <w:tab/>
        <w:t>je znepokojený čoraz väčšou úlohou zahraničnej manipulácie s informáciami a zahraničného zasahovania, zahraničných kybernetických operácií a zasahovania do demokratických volebných procesov Srbska;</w:t>
      </w:r>
    </w:p>
    <w:p>
      <w:pPr>
        <w:pStyle w:val="Normal12Hanging"/>
        <w:rPr>
          <w:bCs/>
          <w:iCs/>
          <w:lang w:val="sk-SK"/>
        </w:rPr>
      </w:pPr>
      <w:r>
        <w:rPr>
          <w:lang w:val="sk-SK"/>
        </w:rPr>
        <w:t>21.</w:t>
      </w:r>
      <w:r>
        <w:rPr>
          <w:lang w:val="sk-SK"/>
        </w:rPr>
        <w:tab/>
        <w:t xml:space="preserve">zdôrazňuje zásadný význam zabezpečenia nezávislosti kľúčových inštitúcií vrátane regulačných orgánov pre médiá, ako je </w:t>
      </w:r>
      <w:r>
        <w:rPr>
          <w:shd w:val="clear" w:color="auto" w:fill="FFFFFF"/>
          <w:lang w:val="sk-SK"/>
        </w:rPr>
        <w:t>Regulačný úrad pre elektronické médiá (REM)</w:t>
      </w:r>
      <w:r>
        <w:rPr>
          <w:lang w:val="sk-SK"/>
        </w:rPr>
        <w:t>; vyjadruje poľutovanie nad omeškaním voľby nových členov</w:t>
      </w:r>
      <w:r>
        <w:rPr>
          <w:i/>
          <w:lang w:val="sk-SK"/>
        </w:rPr>
        <w:t>;</w:t>
      </w:r>
      <w:r>
        <w:rPr>
          <w:b/>
          <w:i/>
          <w:lang w:val="sk-SK"/>
        </w:rPr>
        <w:t xml:space="preserve"> </w:t>
      </w:r>
      <w:r>
        <w:rPr>
          <w:lang w:val="sk-SK"/>
        </w:rPr>
        <w:t>vyjadruje poľutovanie nad nezrovnalosťami v procese nominácie; berie na vedomie odstúpenie viacerých uchádzačov z výberového konania vo februári 2025, ktorí svoje rozhodnutie odôvodnili práve týmito nezrovnalosťami;</w:t>
      </w:r>
      <w:r>
        <w:rPr>
          <w:b/>
          <w:lang w:val="sk-SK"/>
        </w:rPr>
        <w:t xml:space="preserve"> </w:t>
      </w:r>
      <w:r>
        <w:rPr>
          <w:lang w:val="sk-SK"/>
        </w:rPr>
        <w:t>vyjadruje hlboké poľutovanie nad tým, že Regulačný úrad pre elektronické médiá</w:t>
      </w:r>
      <w:r>
        <w:rPr>
          <w:b/>
          <w:lang w:val="sk-SK"/>
        </w:rPr>
        <w:t xml:space="preserve"> </w:t>
      </w:r>
      <w:r>
        <w:rPr>
          <w:lang w:val="sk-SK"/>
        </w:rPr>
        <w:t>zanedbal svoje právne povinnosti včas dohliadať na priebeh volebnej kampane v roku 2023 v médiách, podávať správy o svojich zisteniach a sankcionovať médiá, ktoré porušili zákon, šírili nenávistné prejavy alebo porušili novinárske normy; so znepokojením berie na vedomie absenciu pluralitných politických názorov v celoštátnych médiách; konštatuje, že REM by mal aktívne podporovať pluralitu médií a transparentnosť, pokiaľ ide o vlastnícke štruktúry médií a nezávislosť od zahraničných subjektov;</w:t>
      </w:r>
    </w:p>
    <w:p>
      <w:pPr>
        <w:pStyle w:val="Normal12Hanging"/>
        <w:rPr>
          <w:bCs/>
          <w:iCs/>
          <w:lang w:val="sk-SK"/>
        </w:rPr>
      </w:pPr>
      <w:r>
        <w:rPr>
          <w:lang w:val="sk-SK"/>
        </w:rPr>
        <w:t>22.</w:t>
      </w:r>
      <w:r>
        <w:rPr>
          <w:lang w:val="sk-SK"/>
        </w:rPr>
        <w:tab/>
        <w:t xml:space="preserve">berie na vedomie, že REM udelil štyri vnútroštátne frekvencie kanálom, ktoré v minulosti porušovali novinárske normy, vrátane tých, ktoré používali nenávistné prejavy a zavádzali verejnosť, nerešpektovali upozornenia REM, šírili dezinformácie a podporovali </w:t>
      </w:r>
      <w:proofErr w:type="spellStart"/>
      <w:r>
        <w:rPr>
          <w:lang w:val="sk-SK"/>
        </w:rPr>
        <w:t>naratív</w:t>
      </w:r>
      <w:proofErr w:type="spellEnd"/>
      <w:r>
        <w:rPr>
          <w:lang w:val="sk-SK"/>
        </w:rPr>
        <w:t xml:space="preserve"> Kremľa o ruskej vojne na Ukrajine; vyjadruje hlboké poľutovanie nad tým, že REM nevydal piatu vnútroštátnu licenciu, a žiada, aby bola udelená prostredníctvom transparentného a nestranného procesu bez zbytočného odkladu a v súlade s medzinárodnými normami v oblasti slobody médií ihneď po zvolení novej rady REM; vyzýva srbskú vládu, aby zrušila a opätovne obnovila postup voľby nových členov v súlade so srbskými právnymi predpismi a medzinárodnými normami v oblasti slobody médií;</w:t>
      </w:r>
    </w:p>
    <w:p>
      <w:pPr>
        <w:pStyle w:val="NormalHanging12a"/>
        <w:rPr>
          <w:b/>
          <w:i/>
        </w:rPr>
      </w:pPr>
      <w:r>
        <w:rPr>
          <w:b/>
          <w:i/>
        </w:rPr>
        <w:lastRenderedPageBreak/>
        <w:t>Základné slobody a ľudské práva</w:t>
      </w:r>
    </w:p>
    <w:p>
      <w:pPr>
        <w:pStyle w:val="Normal12Hanging"/>
        <w:rPr>
          <w:b/>
          <w:szCs w:val="24"/>
          <w:lang w:val="sk-SK"/>
        </w:rPr>
      </w:pPr>
      <w:r>
        <w:rPr>
          <w:lang w:val="sk-SK"/>
        </w:rPr>
        <w:t>23.</w:t>
      </w:r>
      <w:r>
        <w:rPr>
          <w:lang w:val="sk-SK"/>
        </w:rPr>
        <w:tab/>
        <w:t>vyjadruje úprimnú sústrasť rodinám 16 obetí, ktoré prišli o život, a tým, ktorí utrpeli zranenia v dôsledku nešťastia 1. novembra 2024, keď sa zrútila časť strechy na železničnej stanici v meste Nový Sad; vyzýva, aby sa v nadväznosti na vyšetrovanie zo strany orgánov začalo riadne a transparentné súdne konanie s cieľom postaviť zodpovedné osoby pred súd; zdôrazňuje potrebu hlbšie preskúmať, do akej miery korupcia viedla k zmierneniu bezpečnostných noriem a prispela k tejto tragédii;</w:t>
      </w:r>
    </w:p>
    <w:p>
      <w:pPr>
        <w:pStyle w:val="Normal12Hanging"/>
        <w:rPr>
          <w:bCs/>
          <w:iCs/>
          <w:szCs w:val="24"/>
          <w:lang w:val="sk-SK"/>
        </w:rPr>
      </w:pPr>
      <w:r>
        <w:rPr>
          <w:lang w:val="sk-SK"/>
        </w:rPr>
        <w:t>24.</w:t>
      </w:r>
      <w:r>
        <w:rPr>
          <w:lang w:val="sk-SK"/>
        </w:rPr>
        <w:tab/>
        <w:t>vyjadruje poľutovanie nad oneskorenou reakciou a zodpovednosťou srbských orgánov, pomalým procesom vyšetrovania a nedostatočnou transparentnosťou po tragédii, ktoré sa čiastočne riešili až po rastúcom tlaku verejnosti;</w:t>
      </w:r>
    </w:p>
    <w:p>
      <w:pPr>
        <w:pStyle w:val="Normal12Hanging"/>
        <w:rPr>
          <w:bCs/>
          <w:iCs/>
          <w:lang w:val="sk-SK"/>
        </w:rPr>
      </w:pPr>
      <w:r>
        <w:rPr>
          <w:lang w:val="sk-SK"/>
        </w:rPr>
        <w:t>25.</w:t>
      </w:r>
      <w:r>
        <w:rPr>
          <w:lang w:val="sk-SK"/>
        </w:rPr>
        <w:tab/>
        <w:t>vyjadruje hlboké znepokojenie nad systematickými problémami, na ktoré poukázali študentské demonštrácie a rôzne iné demonštrácie v Srbsku, ako sú napríklad otázky súvisiace s občianskymi slobodami, deľbou moci, korupciou, ochranou životného prostredia, inštitucionálnou a finančnou transparentnosťou, najmä pokiaľ ide o projekty v oblasti infraštruktúry, a zodpovednosťou; vyjadruje poľutovanie nad tým, že vláda premeškala príležitosť splniť požiadavky študentov a občanov, ktorí v dobrej viere študentov podporovali; potvrdzuje, že požiadavky študentov sú v súlade s reformami, ktoré by Srbsko malo uskutočniť na svojej európskej ceste;</w:t>
      </w:r>
    </w:p>
    <w:p>
      <w:pPr>
        <w:pStyle w:val="Normal12Hanging"/>
        <w:rPr>
          <w:lang w:val="sk-SK"/>
        </w:rPr>
      </w:pPr>
      <w:r>
        <w:rPr>
          <w:lang w:val="sk-SK"/>
        </w:rPr>
        <w:t>26.</w:t>
      </w:r>
      <w:r>
        <w:rPr>
          <w:lang w:val="sk-SK"/>
        </w:rPr>
        <w:tab/>
        <w:t>zdôrazňuje význam slobody prejavu a zhromažďovania; vyzýva srbské orgány, aby zabezpečili ochranu účastníkov pokojných demonštrácií; berie na vedomie masovú demonštráciu, ktorá sa uskutočnila 15. marca 2025 a bola najväčším hromadným protestom v moderných dejinách Srbska; vyzýva na nestranné vyšetrenie tvrdení, že proti demonštrantom bola použitá nezákonná technológia zvládania davu, čo viacerým z nich spôsobilo zranenia;</w:t>
      </w:r>
    </w:p>
    <w:p>
      <w:pPr>
        <w:pStyle w:val="Normal12Hanging"/>
        <w:rPr>
          <w:szCs w:val="24"/>
          <w:lang w:val="sk-SK"/>
        </w:rPr>
      </w:pPr>
      <w:r>
        <w:rPr>
          <w:szCs w:val="24"/>
          <w:lang w:val="sk-SK"/>
        </w:rPr>
        <w:t>27.</w:t>
      </w:r>
      <w:r>
        <w:rPr>
          <w:szCs w:val="24"/>
          <w:lang w:val="sk-SK"/>
        </w:rPr>
        <w:tab/>
        <w:t xml:space="preserve">vyjadruje poľutovanie nad pokračujúcim násilím páchaným na študentoch vrátane nedávneho incidentu v budove Fakulty telesnej výchovy a športu v Novom Sade, pri ktorom bolo zranených najmenej päť osôb po vtrhnutí polície sprevádzanej dekanom Patrikom </w:t>
      </w:r>
      <w:proofErr w:type="spellStart"/>
      <w:r>
        <w:rPr>
          <w:szCs w:val="24"/>
          <w:lang w:val="sk-SK"/>
        </w:rPr>
        <w:t>Dridom</w:t>
      </w:r>
      <w:proofErr w:type="spellEnd"/>
      <w:r>
        <w:rPr>
          <w:szCs w:val="24"/>
          <w:lang w:val="sk-SK"/>
        </w:rPr>
        <w:t xml:space="preserve"> do budovy;</w:t>
      </w:r>
    </w:p>
    <w:p>
      <w:pPr>
        <w:pStyle w:val="Normal12Hanging"/>
        <w:rPr>
          <w:lang w:val="sk-SK"/>
        </w:rPr>
      </w:pPr>
      <w:r>
        <w:rPr>
          <w:lang w:val="sk-SK"/>
        </w:rPr>
        <w:t>28.</w:t>
      </w:r>
      <w:r>
        <w:rPr>
          <w:lang w:val="sk-SK"/>
        </w:rPr>
        <w:tab/>
        <w:t>čo najdôraznejšie odsudzuje zneužívanie osobných údajov z verejných registrov ako odvetné opatrenie proti pokojným demonštrantom; vyzýva srbskú prokuratúru, aby vzniesla obvinenia voči všetkým osobám, ktoré fyzicky napadli účastníkov pokojných zhromaždení a podnecovali k násiliu voči nim; vyjadruje hlboké znepokojenie nad každým prejavom násilia; pozorne sleduje vývoj v súvislosti so zatýkaním</w:t>
      </w:r>
      <w:r>
        <w:rPr>
          <w:b/>
          <w:i/>
          <w:lang w:val="sk-SK"/>
        </w:rPr>
        <w:t xml:space="preserve"> </w:t>
      </w:r>
      <w:r>
        <w:rPr>
          <w:lang w:val="sk-SK"/>
        </w:rPr>
        <w:t>demonštrantov a</w:t>
      </w:r>
      <w:r>
        <w:rPr>
          <w:b/>
          <w:lang w:val="sk-SK"/>
        </w:rPr>
        <w:t> </w:t>
      </w:r>
      <w:r>
        <w:rPr>
          <w:lang w:val="sk-SK"/>
        </w:rPr>
        <w:t>súdnym konaním,</w:t>
      </w:r>
      <w:r>
        <w:rPr>
          <w:b/>
          <w:i/>
          <w:lang w:val="sk-SK"/>
        </w:rPr>
        <w:t xml:space="preserve"> </w:t>
      </w:r>
      <w:r>
        <w:rPr>
          <w:lang w:val="sk-SK"/>
        </w:rPr>
        <w:t>ktoré sa proti nim začalo;</w:t>
      </w:r>
      <w:r>
        <w:rPr>
          <w:i/>
          <w:lang w:val="sk-SK"/>
        </w:rPr>
        <w:t xml:space="preserve"> </w:t>
      </w:r>
      <w:r>
        <w:rPr>
          <w:lang w:val="sk-SK"/>
        </w:rPr>
        <w:t>je znepokojený správami, že bezpečnostné služby sa podieľali na zastrašovaní a sledovaní demonštrantov; odsudzuje spôsob vyjadrovania srbských orgánov, ktoré podnecujú k násiliu voči študentom a iným demonštrantom; konštatuje, že študentskí aktivisti čelili právnemu obťažovaniu, zastrašovaniu a neprimeranému použitiu sily zo strany orgánov; vyzýva na dôkladné, nestranné a rýchle vyšetrenie obvinení z násilia voči demonštrantom a z nesprávneho postupu polície počas demonštrácií; naliehavo vyzýva diplomatické misie EÚ a členských štátov, aby naďalej dôsledne monitorovali prebiehajúce súdne konania vo veciach súvisiacich s demonštráciami;</w:t>
      </w:r>
    </w:p>
    <w:p>
      <w:pPr>
        <w:pStyle w:val="Normal12Hanging"/>
        <w:rPr>
          <w:szCs w:val="24"/>
          <w:lang w:val="sk-SK"/>
        </w:rPr>
      </w:pPr>
      <w:r>
        <w:rPr>
          <w:szCs w:val="24"/>
          <w:lang w:val="sk-SK"/>
        </w:rPr>
        <w:t>29.</w:t>
      </w:r>
      <w:r>
        <w:rPr>
          <w:szCs w:val="24"/>
          <w:lang w:val="sk-SK"/>
        </w:rPr>
        <w:tab/>
        <w:t xml:space="preserve">vyjadruje hlboké znepokojenie nad rastúcim politickým a finančným tlakom na učiteľov základných a stredných škôl, ako aj univerzitných profesorov, ktorým odobrali mzdu z </w:t>
      </w:r>
      <w:r>
        <w:rPr>
          <w:szCs w:val="24"/>
          <w:lang w:val="sk-SK"/>
        </w:rPr>
        <w:lastRenderedPageBreak/>
        <w:t xml:space="preserve">dôvodu účasti na kolektívnych akciách na podporu požiadaviek študentov; v tejto súvislosti odsudzuje neprijateľné súdne konania a </w:t>
      </w:r>
      <w:proofErr w:type="spellStart"/>
      <w:r>
        <w:rPr>
          <w:szCs w:val="24"/>
          <w:lang w:val="sk-SK"/>
        </w:rPr>
        <w:t>očierňovaciu</w:t>
      </w:r>
      <w:proofErr w:type="spellEnd"/>
      <w:r>
        <w:rPr>
          <w:szCs w:val="24"/>
          <w:lang w:val="sk-SK"/>
        </w:rPr>
        <w:t xml:space="preserve"> mediálnu kampaň vedené proti rektorovi Univerzity v Belehrade;</w:t>
      </w:r>
    </w:p>
    <w:p>
      <w:pPr>
        <w:pStyle w:val="Normal12Hanging"/>
        <w:rPr>
          <w:lang w:val="sk-SK"/>
        </w:rPr>
      </w:pPr>
      <w:r>
        <w:rPr>
          <w:lang w:val="sk-SK"/>
        </w:rPr>
        <w:t xml:space="preserve">30. </w:t>
      </w:r>
      <w:r>
        <w:rPr>
          <w:lang w:val="sk-SK"/>
        </w:rPr>
        <w:tab/>
        <w:t xml:space="preserve">je hlboko znepokojený tým, že srbské orgány sa dopúšťajú rozsiahlych nezákonných praktík sledovania aktivistov, novinárov a členov občianskej spoločnosti pomocou špionážneho softvéru, ako sa uvádza v nedávnych správach organizácie </w:t>
      </w:r>
      <w:proofErr w:type="spellStart"/>
      <w:r>
        <w:rPr>
          <w:lang w:val="sk-SK"/>
        </w:rPr>
        <w:t>Amnesty</w:t>
      </w:r>
      <w:proofErr w:type="spellEnd"/>
      <w:r>
        <w:rPr>
          <w:lang w:val="sk-SK"/>
        </w:rPr>
        <w:t xml:space="preserve"> International a nadácie SHARE; naliehavo vyzýva vládu Srbska, aby okamžite prestala používať pokročilé sledovacie technológie proti aktivistov, novinárom a obhajcom ľudských práv, a vyzýva príslušné štátne orgány, aby dôkladne vyšetrili všetky existujúce prípady nezákonného sledovania a využívania špionážneho softvéru a aby začali príslušné konania proti zodpovedným osobám; v tejto súvislosti vyzýva Európsku komisiu, aby sa týmito incidentmi zaoberala, riešila tieto otázky v spolupráci so srbskými orgánmi, a zdôrazňuje, že ich treba dôkladne vyšetriť;</w:t>
      </w:r>
    </w:p>
    <w:p>
      <w:pPr>
        <w:pStyle w:val="Normal12Hanging"/>
        <w:rPr>
          <w:bCs/>
          <w:iCs/>
          <w:szCs w:val="24"/>
          <w:lang w:val="sk-SK"/>
        </w:rPr>
      </w:pPr>
      <w:r>
        <w:rPr>
          <w:bCs/>
          <w:iCs/>
          <w:szCs w:val="24"/>
          <w:lang w:val="sk-SK"/>
        </w:rPr>
        <w:t>31.</w:t>
      </w:r>
      <w:r>
        <w:rPr>
          <w:bCs/>
          <w:iCs/>
          <w:szCs w:val="24"/>
          <w:lang w:val="sk-SK"/>
        </w:rPr>
        <w:tab/>
        <w:t xml:space="preserve">vyjadruje poľutovanie nad údajným nezákonným odpočúvaním a zadržaním piatich aktivistov z opozičného Hnutia slobodných občanov (PSG) a študenta z organizácie STAV v marci 2025 a nad zatykačmi vydanými na ďalších aktivistov tejto organizácie; odsudzuje zneužívanie tohto prípadu propagandistickými médiami a neodôvodnené predlžovanie väzby; vyzýva srbské orgány, aby z väzby prepustili </w:t>
      </w:r>
      <w:proofErr w:type="spellStart"/>
      <w:r>
        <w:rPr>
          <w:bCs/>
          <w:iCs/>
          <w:szCs w:val="24"/>
          <w:lang w:val="sk-SK"/>
        </w:rPr>
        <w:t>Mariju</w:t>
      </w:r>
      <w:proofErr w:type="spellEnd"/>
      <w:r>
        <w:rPr>
          <w:bCs/>
          <w:iCs/>
          <w:szCs w:val="24"/>
          <w:lang w:val="sk-SK"/>
        </w:rPr>
        <w:t xml:space="preserve"> </w:t>
      </w:r>
      <w:proofErr w:type="spellStart"/>
      <w:r>
        <w:rPr>
          <w:bCs/>
          <w:iCs/>
          <w:szCs w:val="24"/>
          <w:lang w:val="sk-SK"/>
        </w:rPr>
        <w:t>Vasičovú</w:t>
      </w:r>
      <w:proofErr w:type="spellEnd"/>
      <w:r>
        <w:rPr>
          <w:bCs/>
          <w:iCs/>
          <w:szCs w:val="24"/>
          <w:lang w:val="sk-SK"/>
        </w:rPr>
        <w:t xml:space="preserve">, Lazara </w:t>
      </w:r>
      <w:proofErr w:type="spellStart"/>
      <w:r>
        <w:rPr>
          <w:bCs/>
          <w:iCs/>
          <w:szCs w:val="24"/>
          <w:lang w:val="sk-SK"/>
        </w:rPr>
        <w:t>Diniča</w:t>
      </w:r>
      <w:proofErr w:type="spellEnd"/>
      <w:r>
        <w:rPr>
          <w:bCs/>
          <w:iCs/>
          <w:szCs w:val="24"/>
          <w:lang w:val="sk-SK"/>
        </w:rPr>
        <w:t xml:space="preserve">, </w:t>
      </w:r>
      <w:proofErr w:type="spellStart"/>
      <w:r>
        <w:rPr>
          <w:bCs/>
          <w:iCs/>
          <w:szCs w:val="24"/>
          <w:lang w:val="sk-SK"/>
        </w:rPr>
        <w:t>Mladena</w:t>
      </w:r>
      <w:proofErr w:type="spellEnd"/>
      <w:r>
        <w:rPr>
          <w:bCs/>
          <w:iCs/>
          <w:szCs w:val="24"/>
          <w:lang w:val="sk-SK"/>
        </w:rPr>
        <w:t xml:space="preserve"> </w:t>
      </w:r>
      <w:proofErr w:type="spellStart"/>
      <w:r>
        <w:rPr>
          <w:bCs/>
          <w:iCs/>
          <w:szCs w:val="24"/>
          <w:lang w:val="sk-SK"/>
        </w:rPr>
        <w:t>Cvijetiča</w:t>
      </w:r>
      <w:proofErr w:type="spellEnd"/>
      <w:r>
        <w:rPr>
          <w:bCs/>
          <w:iCs/>
          <w:szCs w:val="24"/>
          <w:lang w:val="sk-SK"/>
        </w:rPr>
        <w:t xml:space="preserve">, Lada </w:t>
      </w:r>
      <w:proofErr w:type="spellStart"/>
      <w:r>
        <w:rPr>
          <w:bCs/>
          <w:iCs/>
          <w:szCs w:val="24"/>
          <w:lang w:val="sk-SK"/>
        </w:rPr>
        <w:t>Jovoviča</w:t>
      </w:r>
      <w:proofErr w:type="spellEnd"/>
      <w:r>
        <w:rPr>
          <w:bCs/>
          <w:iCs/>
          <w:szCs w:val="24"/>
          <w:lang w:val="sk-SK"/>
        </w:rPr>
        <w:t xml:space="preserve">, </w:t>
      </w:r>
      <w:proofErr w:type="spellStart"/>
      <w:r>
        <w:rPr>
          <w:bCs/>
          <w:iCs/>
          <w:szCs w:val="24"/>
          <w:lang w:val="sk-SK"/>
        </w:rPr>
        <w:t>Srđana</w:t>
      </w:r>
      <w:proofErr w:type="spellEnd"/>
      <w:r>
        <w:rPr>
          <w:bCs/>
          <w:iCs/>
          <w:szCs w:val="24"/>
          <w:lang w:val="sk-SK"/>
        </w:rPr>
        <w:t xml:space="preserve"> </w:t>
      </w:r>
      <w:proofErr w:type="spellStart"/>
      <w:r>
        <w:rPr>
          <w:bCs/>
          <w:iCs/>
          <w:szCs w:val="24"/>
          <w:lang w:val="sk-SK"/>
        </w:rPr>
        <w:t>Đuriča</w:t>
      </w:r>
      <w:proofErr w:type="spellEnd"/>
      <w:r>
        <w:rPr>
          <w:bCs/>
          <w:iCs/>
          <w:szCs w:val="24"/>
          <w:lang w:val="sk-SK"/>
        </w:rPr>
        <w:t xml:space="preserve"> a </w:t>
      </w:r>
      <w:proofErr w:type="spellStart"/>
      <w:r>
        <w:rPr>
          <w:bCs/>
          <w:iCs/>
          <w:szCs w:val="24"/>
          <w:lang w:val="sk-SK"/>
        </w:rPr>
        <w:t>Davora</w:t>
      </w:r>
      <w:proofErr w:type="spellEnd"/>
      <w:r>
        <w:rPr>
          <w:bCs/>
          <w:iCs/>
          <w:szCs w:val="24"/>
          <w:lang w:val="sk-SK"/>
        </w:rPr>
        <w:t xml:space="preserve"> </w:t>
      </w:r>
      <w:proofErr w:type="spellStart"/>
      <w:r>
        <w:rPr>
          <w:bCs/>
          <w:iCs/>
          <w:szCs w:val="24"/>
          <w:lang w:val="sk-SK"/>
        </w:rPr>
        <w:t>Stefanoviča</w:t>
      </w:r>
      <w:proofErr w:type="spellEnd"/>
      <w:r>
        <w:rPr>
          <w:bCs/>
          <w:iCs/>
          <w:szCs w:val="24"/>
          <w:lang w:val="sk-SK"/>
        </w:rPr>
        <w:t>;</w:t>
      </w:r>
    </w:p>
    <w:p>
      <w:pPr>
        <w:pStyle w:val="NormalHanging12a"/>
        <w:rPr>
          <w:bCs/>
          <w:iCs/>
        </w:rPr>
      </w:pPr>
      <w:r>
        <w:t>32.</w:t>
      </w:r>
      <w:r>
        <w:tab/>
        <w:t xml:space="preserve">odmieta obvinenia, že EÚ a niektoré jej členské štáty boli zapojené do organizácie študentských demonštrácií s cieľom vyvolať tzv. farebnú revolúciu; v tejto súvislosti dôrazne odsudzuje nezákonné zatýkanie a vyhosťovanie občanov EÚ a zverejňovanie osobných údajov občanov EÚ odsúdenými vojnovými zločincami, ako aj nenávistné prejavy proti národnostným menšinám; vyjadruje znepokojenie nad rastúcim počtom prípadov zadržania občanov EÚ na hraniciach Srbska; konštatuje, že </w:t>
      </w:r>
      <w:proofErr w:type="spellStart"/>
      <w:r>
        <w:t>naratívy</w:t>
      </w:r>
      <w:proofErr w:type="spellEnd"/>
      <w:r>
        <w:t xml:space="preserve"> proti EÚ sa prejavujú v klesajúcej podpore integrácie do EÚ v srbskej spoločnosti a v posilňovaní prítomnosti zahraničných autokratických subjektov v krajine;</w:t>
      </w:r>
    </w:p>
    <w:p>
      <w:pPr>
        <w:pStyle w:val="NormalHanging12a"/>
        <w:rPr>
          <w:bCs/>
          <w:iCs/>
        </w:rPr>
      </w:pPr>
      <w:r>
        <w:t>33.</w:t>
      </w:r>
      <w:r>
        <w:tab/>
        <w:t xml:space="preserve">vyzýva srbské orgány, aby obnovili dôveru občanov v štátne inštitúcie tým, že zabezpečia transparentnosť a zodpovednosť; nabáda všetky politické a sociálne subjekty, aby sa zapojili do </w:t>
      </w:r>
      <w:proofErr w:type="spellStart"/>
      <w:r>
        <w:t>inkluzívneho</w:t>
      </w:r>
      <w:proofErr w:type="spellEnd"/>
      <w:r>
        <w:t xml:space="preserve"> a vecného dialógu zameraného na uskutočnenie reforiem súvisiacich s EÚ;</w:t>
      </w:r>
    </w:p>
    <w:p>
      <w:pPr>
        <w:pStyle w:val="NormalHanging12a"/>
      </w:pPr>
      <w:r>
        <w:t>34.</w:t>
      </w:r>
      <w:r>
        <w:tab/>
        <w:t>konštatuje, že sloboda médií v Srbsku sa ešte viac zhoršila, o čom svedčí pokles Srbska na 98. miesto v svetovom rebríčku slobody tlače organizácie Reportéri bez hraníc za rok 2024; naliehavo vyzýva Srbsko, aby zlepšilo a chránilo profesionalitu, rozmanitosť a pluralitu médií a podporovalo kvalitnú investigatívnu žurnalistiku, prostredníctvom dodržiavania novinárskeho kódexu správania najprísnejšie etické novinárske normy a mediálnu gramotnosť; pripomína význam plurality</w:t>
      </w:r>
      <w:r>
        <w:rPr>
          <w:b/>
          <w:i/>
        </w:rPr>
        <w:t xml:space="preserve"> </w:t>
      </w:r>
      <w:r>
        <w:t>a transparentnosti</w:t>
      </w:r>
      <w:r>
        <w:rPr>
          <w:b/>
        </w:rPr>
        <w:t xml:space="preserve"> </w:t>
      </w:r>
      <w:r>
        <w:t xml:space="preserve">médií vrátane aspektov týkajúcich sa vlastníctva a štátneho financovania, najmä prostredníctvom intenzívnejšieho zapájania Regulačného úradu pre elektronické médiá (REM); pripomína, že koncentrácia vlastníctva médií môže mať nepriaznivé účinky na slobodu médií a profesionalitu spravodajstva; opätovne potvrdzuje, že v rámci prístupových rokovaní sa Srbsko musí priblížiť EÚ v otázkach strategického významu, ako je boj proti zahraničnej manipulácii s informáciami a zahraničnému zasahovaniu; vyzýva Srbsko, aby zabezpečilo súlad s politikami EÚ na boj proti zahraničnému zasahovaniu a dezinformačným kampaniam, a to zavedením konkrétnych regulačných opatrení v súlade s normami EÚ, ako sú ustanovenia, ktoré sú súčasťou aktu o digitálnych </w:t>
      </w:r>
      <w:r>
        <w:lastRenderedPageBreak/>
        <w:t>službách</w:t>
      </w:r>
      <w:r>
        <w:rPr>
          <w:rStyle w:val="FootnoteReference"/>
          <w:bCs/>
          <w:iCs/>
        </w:rPr>
        <w:footnoteReference w:id="7"/>
      </w:r>
      <w:r>
        <w:t xml:space="preserve"> a nariadenia (EÚ) 2024/900 o transparentnosti a cielení politickej reklamy</w:t>
      </w:r>
      <w:r>
        <w:rPr>
          <w:rStyle w:val="FootnoteReference"/>
          <w:bCs/>
          <w:iCs/>
        </w:rPr>
        <w:footnoteReference w:id="8"/>
      </w:r>
      <w:r>
        <w:t xml:space="preserve">; podporuje spoluprácu medzi Srbskom, Európskou službou pre vonkajšiu činnosť a Európskym centrom </w:t>
      </w:r>
      <w:proofErr w:type="spellStart"/>
      <w:r>
        <w:t>excelentnosti</w:t>
      </w:r>
      <w:proofErr w:type="spellEnd"/>
      <w:r>
        <w:t xml:space="preserve"> pre boj proti hybridným hrozbám v oblasti boja proti dezinformáciám; očakáva od orgánov, že vyšetria a budú stíhať všetky prípady nenávistných prejavov, očierňujúcich kampaní a strategických žalôb proti novinárom;</w:t>
      </w:r>
    </w:p>
    <w:p>
      <w:pPr>
        <w:pStyle w:val="NormalHanging12a"/>
      </w:pPr>
      <w:r>
        <w:t>35.</w:t>
      </w:r>
      <w:r>
        <w:tab/>
        <w:t>vyjadruje hlboké znepokojenie nad hlásenými prípadmi zneužívania, digitálneho sledovania a obťažovania novinárov, aktivistov za ľudské práva a organizácií občianskej spoločnosti, ako bola najnovšie policajná razia 25. februára 2025 v štyroch popredných organizáciách občianskej spoločnosti, údajne v súvislosti so zneužívaním finančných prostriedkov agentúry USA pre medzinárodný rozvoj; dôrazne odsudzuje pretrvávajúce očierňujúce kampane a zastrašovanie občianskej spoločnosti v Srbsku vrátane falošných obvinení zo sprisahania s cieľom zvrhnúť vládu s podporou zo zahraničia;</w:t>
      </w:r>
    </w:p>
    <w:p>
      <w:pPr>
        <w:pStyle w:val="NormalHanging12a"/>
      </w:pPr>
      <w:r>
        <w:t>36.</w:t>
      </w:r>
      <w:r>
        <w:tab/>
        <w:t xml:space="preserve">vyjadruje znepokojenie nad tým, že organizácie občianskej spoločnosti v Srbsku čelia čoraz väčším výzvam vrátane reštriktívnych podmienok, obmedzení financovania, policajných razií a iných foriem zastrašovania zo strany štátnych orgánov; zdôrazňuje význam rámca, ktorý umožňuje miestnym a dynamickým organizáciám občianskej spoločnosti slobodne fungovať a zúčastňovať sa na tvorbe politík vrátane procesov integrácie do EÚ </w:t>
      </w:r>
      <w:proofErr w:type="spellStart"/>
      <w:r>
        <w:t>inkluzívnym</w:t>
      </w:r>
      <w:proofErr w:type="spellEnd"/>
      <w:r>
        <w:t xml:space="preserve"> a zmysluplným spôsobom; vyjadruje poľutovanie nad tým, že Srbsko v súčasnosti nedisponuje rámcom, ktorý umožňuje aktívnym a pluralitným organizáciám občianskej spoločnosti,</w:t>
      </w:r>
      <w:r>
        <w:rPr>
          <w:i/>
        </w:rPr>
        <w:t xml:space="preserve"> </w:t>
      </w:r>
      <w:r>
        <w:t>najmä tým, ktoré sa venujú podpore demokracie a pozorovaniu volieb,</w:t>
      </w:r>
      <w:r>
        <w:rPr>
          <w:b/>
        </w:rPr>
        <w:t xml:space="preserve"> </w:t>
      </w:r>
      <w:r>
        <w:t xml:space="preserve">slobodne fungovať a zúčastňovať sa na tvorbe politík </w:t>
      </w:r>
      <w:proofErr w:type="spellStart"/>
      <w:r>
        <w:t>inkluzívnym</w:t>
      </w:r>
      <w:proofErr w:type="spellEnd"/>
      <w:r>
        <w:t xml:space="preserve"> a zmysluplným spôsobom; vyjadruje znepokojenie nad nedávnymi raziami v kanceláriách organizácií občianskej spoločnosti; vyzýva na vyšetrenie všetkých útokov a očierňujúcich kampaní zameraných na organizácie občianskej spoločnosti a na zvýšenie transparentnosti verejného financovania;</w:t>
      </w:r>
    </w:p>
    <w:p>
      <w:pPr>
        <w:pStyle w:val="NormalHanging12a"/>
        <w:rPr>
          <w:bCs/>
          <w:iCs/>
        </w:rPr>
      </w:pPr>
      <w:r>
        <w:rPr>
          <w:bCs/>
          <w:iCs/>
        </w:rPr>
        <w:t>37.</w:t>
      </w:r>
      <w:r>
        <w:rPr>
          <w:bCs/>
          <w:iCs/>
        </w:rPr>
        <w:tab/>
        <w:t>odsudzuje politický tlak, ktorý je vyvíjaný na univerzity a iné výskumné inštitúcie formou urýchlene prijatého vládneho dekrétu, ktorý je zásahom do akademických slobôd výskumných pracovníkov a znižuje im mzdy; odsudzuje hanobenie profesorov, výskumných pracovníkov a iných akademických pracovníkov v provládnych médiách; vyjadruje poľutovanie nad stále častejším používaním dočasných pracovných zmlúv pre učiteľov a iných štátnych zamestnancov ako politického nástroja na vyvíjanie tlaku a kontroly;</w:t>
      </w:r>
    </w:p>
    <w:p>
      <w:pPr>
        <w:pStyle w:val="NormalHanging12a"/>
        <w:rPr>
          <w:bCs/>
          <w:iCs/>
        </w:rPr>
      </w:pPr>
      <w:r>
        <w:t>38.</w:t>
      </w:r>
      <w:r>
        <w:tab/>
        <w:t>naliehavo vyzýva srbské orgány, aby rozšírili dostupnosť verejnoprávnych vysielacích služieb vo všetkých menšinových jazykoch v celej krajine a zabezpečili rovnaký prístup k médiám pre všetky komunity, a opierali sa pritom o najlepšie postupy z regiónu Vojvodina;</w:t>
      </w:r>
    </w:p>
    <w:p>
      <w:pPr>
        <w:pStyle w:val="NormalHanging12a"/>
        <w:rPr>
          <w:bCs/>
          <w:iCs/>
        </w:rPr>
      </w:pPr>
      <w:r>
        <w:t>39.</w:t>
      </w:r>
      <w:r>
        <w:tab/>
        <w:t xml:space="preserve">vyjadruje hlboké znepokojenie nad návrhom zákona predloženým srbskému parlamentu </w:t>
      </w:r>
      <w:r>
        <w:lastRenderedPageBreak/>
        <w:t>29. novembra 2024, v ktorom sa navrhuje zaviesť zákon o zahraničných agentoch v ruskom štýle; pripomína srbským zákonodarcom, že organizácie občianskej spoločnosti a novinári zohrávajú kľúčovú úlohu v zdravej demokratickej spoločnosti; opakuje, že takéto právne predpisy sú nezlučiteľné s hodnotami EÚ; konštatuje, že viaceré organizácie občianskej spoločnosti vo februári 2025 pozastavili spoluprácu so zákonodarnou a s výkonnou zložkou vlády;</w:t>
      </w:r>
    </w:p>
    <w:p>
      <w:pPr>
        <w:pStyle w:val="NormalHanging12a"/>
      </w:pPr>
      <w:r>
        <w:t>40.</w:t>
      </w:r>
      <w:r>
        <w:tab/>
        <w:t xml:space="preserve">vyjadruje hlboké znepokojenie nad čoraz väčším politickým zasahovaním do ochrany kultúrneho dedičstva v Srbsku vrátane odnímania chráneného štatútu kultúrnym pamiatkam a nerešpektovania právnych postupov upravujúcich ich ochranu, ako v prípade modernistického komplexu </w:t>
      </w:r>
      <w:proofErr w:type="spellStart"/>
      <w:r>
        <w:t>Generalštab</w:t>
      </w:r>
      <w:proofErr w:type="spellEnd"/>
      <w:r>
        <w:t>;</w:t>
      </w:r>
    </w:p>
    <w:p>
      <w:pPr>
        <w:pStyle w:val="NormalHanging12a"/>
      </w:pPr>
      <w:r>
        <w:t>41.</w:t>
      </w:r>
      <w:r>
        <w:tab/>
        <w:t xml:space="preserve">vyzýva Srbsko, aby bojovalo proti dezinformáciám, okrem iného </w:t>
      </w:r>
      <w:proofErr w:type="spellStart"/>
      <w:r>
        <w:t>manipulatívnym</w:t>
      </w:r>
      <w:proofErr w:type="spellEnd"/>
      <w:r>
        <w:t xml:space="preserve"> </w:t>
      </w:r>
      <w:proofErr w:type="spellStart"/>
      <w:r>
        <w:t>naratívom</w:t>
      </w:r>
      <w:proofErr w:type="spellEnd"/>
      <w:r>
        <w:t xml:space="preserve"> proti EÚ, a aby najmä ukončilo vlastné štátom sponzorované dezinformačné kampane; odsudzuje otvorenie kancelárie RT v Belehrade, spustenie internetovej spravodajskej služby RT v srbčine a pokračujúcu prevádzku ruskej internetovej spravodajskej služby Sputnik </w:t>
      </w:r>
      <w:proofErr w:type="spellStart"/>
      <w:r>
        <w:t>Srbija</w:t>
      </w:r>
      <w:proofErr w:type="spellEnd"/>
      <w:r>
        <w:t xml:space="preserve">, ktorá sa využíva na šírenie </w:t>
      </w:r>
      <w:proofErr w:type="spellStart"/>
      <w:r>
        <w:t>proruských</w:t>
      </w:r>
      <w:proofErr w:type="spellEnd"/>
      <w:r>
        <w:t xml:space="preserve"> </w:t>
      </w:r>
      <w:proofErr w:type="spellStart"/>
      <w:r>
        <w:t>naratívov</w:t>
      </w:r>
      <w:proofErr w:type="spellEnd"/>
      <w:r>
        <w:t xml:space="preserve"> a dezinformácií v regióne západného Balkánu; naliehavo vyzýva srbské orgány, aby bojovali proti hybridným hrozbám a aby zabezpečili úplný súlad s rozhodnutím Rady o pozastavení vysielacích činností spoločností Sputnik a RT; je hlboko znepokojený šírením dezinformácií o ruskej agresii voči Ukrajine; vyzýva Srbsko a Komisiu, aby posilnili infraštruktúru na boj proti dezinformáciám a iným hybridným hrozbám; odsudzuje rastúci vplyv štátom sponzorovaných dezinformácií v Srbsku zo strany Ruska a Číny vrátane šírenia </w:t>
      </w:r>
      <w:proofErr w:type="spellStart"/>
      <w:r>
        <w:t>naratívov</w:t>
      </w:r>
      <w:proofErr w:type="spellEnd"/>
      <w:r>
        <w:t xml:space="preserve"> proti EÚ a protidemokratických </w:t>
      </w:r>
      <w:proofErr w:type="spellStart"/>
      <w:r>
        <w:t>naratívov</w:t>
      </w:r>
      <w:proofErr w:type="spellEnd"/>
      <w:r>
        <w:t>;</w:t>
      </w:r>
    </w:p>
    <w:p>
      <w:pPr>
        <w:pStyle w:val="NormalHanging12a"/>
      </w:pPr>
      <w:r>
        <w:t>42.</w:t>
      </w:r>
      <w:r>
        <w:tab/>
        <w:t>berie na vedomie prijatie národnej stratégie pre rovnosť a stratégie pre prevenciu a ochranu pred diskrimináciou a vyzýva na ich úplné vykonávanie a ďalšie zosúladenie s európskymi normami; naliehavo vyzýva srbské orgány, aby sa zaoberali odporúčaniami Skupiny expertov pre opatrenia na boj proti násiliu na ženách a domácemu násiliu (GREVIO) s cieľom zlepšiť dodržiavanie Istanbulského dohovoru, ktorý Srbsko ratifikovalo; so znepokojením berie na vedomie dočasné pozastavenie uplatňovania zákona o rodovej rovnosti Ústavným súdom; vyjadruje znepokojenie nad pretrvávajúcim nedostatkom primeranej podpory pre organizácie presadzujúce práva žien a rodovú rovnosť;</w:t>
      </w:r>
    </w:p>
    <w:p>
      <w:pPr>
        <w:pStyle w:val="NormalHanging12a"/>
        <w:rPr>
          <w:bCs/>
          <w:iCs/>
        </w:rPr>
      </w:pPr>
      <w:r>
        <w:rPr>
          <w:bCs/>
          <w:iCs/>
        </w:rPr>
        <w:t>43.</w:t>
      </w:r>
      <w:r>
        <w:rPr>
          <w:bCs/>
          <w:iCs/>
        </w:rPr>
        <w:tab/>
        <w:t xml:space="preserve">vyjadruje hlboké poľutovanie nad poklesom demografickej krivky v Srbsku, ktorý zhoršuje záporná miera čistej migrácie v dôsledku hospodárskych ťažkostí a politického prenasledovania; zdôrazňuje, že sú to najmä mladí, vzdelaní a produktívni ľudia, ktorí sú nútení opustiť krajinu, ale aj tí, ktorí sú pod tlakom a v ohrození pre svoje politické názory, vrátane </w:t>
      </w:r>
      <w:proofErr w:type="spellStart"/>
      <w:r>
        <w:rPr>
          <w:bCs/>
          <w:iCs/>
        </w:rPr>
        <w:t>Dijany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Hrkovej</w:t>
      </w:r>
      <w:proofErr w:type="spellEnd"/>
      <w:r>
        <w:rPr>
          <w:bCs/>
          <w:iCs/>
        </w:rPr>
        <w:t>, matky jednej z obetí tragédie na železničnej stanici v Novom Sade, ktorá sa obáva o svoju bezpečnosť po tom, čo je vystavovaná tlaku zo strany prívržencov SNS;</w:t>
      </w:r>
    </w:p>
    <w:p>
      <w:pPr>
        <w:pStyle w:val="NormalHanging12a"/>
        <w:rPr>
          <w:bCs/>
          <w:iCs/>
        </w:rPr>
      </w:pPr>
      <w:r>
        <w:t xml:space="preserve">44. </w:t>
      </w:r>
      <w:r>
        <w:tab/>
        <w:t>zdôrazňuje, že srbské orgány musia prijať konkrétne opatrenia na dodržiavanie a posilňovanie rešpektovania práv dieťaťa v krajine, a to aj ratifikáciou tretieho Opčného protokolu k Dohovoru OSN o právach dieťaťa, prijatím národného akčného plánu pre práva dieťaťa, prijatím novej stratégie na boj proti násiliu páchaného na deťoch vzhľadom na skončenie platnosti predchádzajúceho rámca a vytvorením národného rámca pre ochranu detí pred zneužívaním a zanedbávaním;</w:t>
      </w:r>
    </w:p>
    <w:p>
      <w:pPr>
        <w:pStyle w:val="NormalHanging12a"/>
        <w:jc w:val="both"/>
        <w:rPr>
          <w:bCs/>
          <w:iCs/>
        </w:rPr>
      </w:pPr>
      <w:r>
        <w:t>45.</w:t>
      </w:r>
      <w:r>
        <w:tab/>
        <w:t xml:space="preserve">víta skutočnosť, že sprievod Belehrad </w:t>
      </w:r>
      <w:proofErr w:type="spellStart"/>
      <w:r>
        <w:t>Pride</w:t>
      </w:r>
      <w:proofErr w:type="spellEnd"/>
      <w:r>
        <w:t xml:space="preserve"> 2024, doteraz najväčší v Srbsku, prebehol </w:t>
      </w:r>
      <w:r>
        <w:lastRenderedPageBreak/>
        <w:t>pokojne, hoci pod ochranou a prísnym dohľadom polície;</w:t>
      </w:r>
    </w:p>
    <w:p>
      <w:pPr>
        <w:pStyle w:val="NormalHanging12a"/>
        <w:rPr>
          <w:rFonts w:eastAsia="Calibri"/>
          <w:bCs/>
          <w:iCs/>
        </w:rPr>
      </w:pPr>
      <w:r>
        <w:t>46.</w:t>
      </w:r>
      <w:r>
        <w:tab/>
        <w:t xml:space="preserve">zdôrazňuje potrebu pevného záväzku chrániť práva národnostných menšín, zabezpečiť ich plné zastúpenie na všetkých úrovniach riadenia, zachovať ich kultúrnu identitu používaním ich príslušných jazykov a plnením ich potrieb v oblasti vzdelávania, slobodu prejavu a prístup k informáciám a aktívne vyšetrovať trestné činy motivované nenávisťou ako nenahraditeľnú súčasť spoločných európskych hodnôt; </w:t>
      </w:r>
      <w:r>
        <w:rPr>
          <w:color w:val="000000"/>
        </w:rPr>
        <w:t xml:space="preserve">vyjadruje poľutovanie nad tým, že takmer všetky národnostné menšiny sú chránené len formálne; vyjadruje znepokojenie nad tým, že národnostné menšiny, ktoré sú pod kontrolou vlády, sú v praxi zastupované pro forma; </w:t>
      </w:r>
      <w:r>
        <w:t>vyzýva Srbsko, aby chránilo a propagovalo kultúrne dedičstvo a tradície svojich národnostných menšín, najmä aby vytvorilo pozitívnu atmosféru pre vzdelávanie v menšinových jazykoch, a to aj zabezpečením dostatočného počtu učiteľov, učebníc a ďalších materiálov, a vyjadruje poľutovanie nad porušovaním práv menšín v tejto oblasti; vyzýva Srbsko, aby sa zdržalo zneužívania národnej identity národnostných menšín, ktoré spôsobuje rozkol v týchto komunitách, a dôrazne odsudzuje zaznamenané prípady nenávistných prejavov voči niektorým z nich; berie na vedomie značné oneskorenie pri vypracúvaní nového akčného plánu výkonu práv národnostných menšín a zdôrazňuje, že je naliehavo potrebné, aby Srbsko tento plán urýchlene dokončilo a začalo ho realizovať; zdôrazňuje, že je potrebné, aby nový akčný plán v plnej miere zohľadňoval zistenia a odporúčania Poradného výboru pre Rámcový dohovor na ochranu národnostných menšín;</w:t>
      </w:r>
    </w:p>
    <w:p>
      <w:pPr>
        <w:pStyle w:val="NormalHanging12a"/>
        <w:rPr>
          <w:rFonts w:eastAsia="Calibri"/>
          <w:bCs/>
          <w:iCs/>
          <w:color w:val="000000" w:themeColor="text1"/>
        </w:rPr>
      </w:pPr>
      <w:r>
        <w:rPr>
          <w:color w:val="000000" w:themeColor="text1"/>
        </w:rPr>
        <w:t>47.</w:t>
      </w:r>
      <w:r>
        <w:rPr>
          <w:color w:val="000000" w:themeColor="text1"/>
        </w:rPr>
        <w:tab/>
        <w:t>vyjadruje znepokojenie nad výrazným poklesom počtu obyvateľov niektorých menšinových skupín</w:t>
      </w:r>
      <w:r>
        <w:rPr>
          <w:color w:val="000000"/>
        </w:rPr>
        <w:t xml:space="preserve"> vrátane</w:t>
      </w:r>
      <w:r>
        <w:rPr>
          <w:color w:val="000000" w:themeColor="text1"/>
        </w:rPr>
        <w:t xml:space="preserve"> bulharskej menšiny; </w:t>
      </w:r>
      <w:r>
        <w:t xml:space="preserve">vyzýva Srbsko, aby zabezpečilo, že menšinové skupiny budú mať právo používať svoje typické mená a typický jazyk vrátane žien patriacich k bulharskej menšine; so znepokojením konštatuje, že do bulharčiny neboli preložené všetky školské učebnice; </w:t>
      </w:r>
      <w:r>
        <w:rPr>
          <w:color w:val="000000" w:themeColor="text1"/>
        </w:rPr>
        <w:t>vyzýva srbskú vládu, aby chorvátskej menšine v Srbsku zabezpečila rovnaké práva, aké má srbská menšina v Chorvátsku, najmä pokiaľ ide o ich vzájomné zastúpenie na všetkých úrovniach riadenia vrátane regionálnej a miestnej úrovne; opätovne vyjadruje znepokojenie nad reštriktívnym a svojvoľným presadzovaním zákona o trvalom</w:t>
      </w:r>
      <w:r>
        <w:t xml:space="preserve"> a </w:t>
      </w:r>
      <w:r>
        <w:rPr>
          <w:color w:val="000000" w:themeColor="text1"/>
        </w:rPr>
        <w:t xml:space="preserve">prechodnom pobyte v súvislosti s tzv. </w:t>
      </w:r>
      <w:proofErr w:type="spellStart"/>
      <w:r>
        <w:rPr>
          <w:color w:val="000000" w:themeColor="text1"/>
        </w:rPr>
        <w:t>pasivizáciou</w:t>
      </w:r>
      <w:proofErr w:type="spellEnd"/>
      <w:r>
        <w:rPr>
          <w:color w:val="000000" w:themeColor="text1"/>
        </w:rPr>
        <w:t xml:space="preserve"> (</w:t>
      </w:r>
      <w:proofErr w:type="spellStart"/>
      <w:r>
        <w:rPr>
          <w:color w:val="000000" w:themeColor="text1"/>
        </w:rPr>
        <w:t>deaktiváciou</w:t>
      </w:r>
      <w:proofErr w:type="spellEnd"/>
      <w:r>
        <w:rPr>
          <w:color w:val="000000" w:themeColor="text1"/>
        </w:rPr>
        <w:t>) adries tisícov Albáncov na juhu Srbska; poukazuje na situáciu rumunskej pravoslávnej cirkvi v Srbsku, ktorá nie je štátom oficiálne uznaná ako tradičná cirkev;</w:t>
      </w:r>
    </w:p>
    <w:p>
      <w:pPr>
        <w:pStyle w:val="NormalHanging12a"/>
        <w:rPr>
          <w:bCs/>
          <w:iCs/>
        </w:rPr>
      </w:pPr>
      <w:r>
        <w:t>48.</w:t>
      </w:r>
      <w:r>
        <w:tab/>
        <w:t xml:space="preserve">vyjadruje poľutovanie nad pokusmi srbských orgánov oslabiť národnú identitu komunít v krajine; v tejto súvislosti vyjadruje znepokojenie nad propagáciou </w:t>
      </w:r>
      <w:proofErr w:type="spellStart"/>
      <w:r>
        <w:t>naratívov</w:t>
      </w:r>
      <w:proofErr w:type="spellEnd"/>
      <w:r>
        <w:t xml:space="preserve">, ako je tzv. </w:t>
      </w:r>
      <w:proofErr w:type="spellStart"/>
      <w:r>
        <w:t>šopský</w:t>
      </w:r>
      <w:proofErr w:type="spellEnd"/>
      <w:r>
        <w:t xml:space="preserve"> národ, ktorých cieľom je vymazať existenciu bulharskej komunity a poprieť jeho historické korene a kultúrne dedičstvo; vyjadruje poľutovanie nad prehliadkami, ktoré srbské orgány vykonali v kultúrnom centre v </w:t>
      </w:r>
      <w:proofErr w:type="spellStart"/>
      <w:r>
        <w:t>Bosilegrade</w:t>
      </w:r>
      <w:proofErr w:type="spellEnd"/>
      <w:r>
        <w:t>, a nad začatím predsúdneho konania proti aktivistom z mimovládnych organizácií z dôvodu etnicky motivovanej nenávisti;</w:t>
      </w:r>
    </w:p>
    <w:p>
      <w:pPr>
        <w:pStyle w:val="NormalHanging12a"/>
        <w:rPr>
          <w:bCs/>
          <w:iCs/>
        </w:rPr>
      </w:pPr>
      <w:r>
        <w:t>49.</w:t>
      </w:r>
      <w:r>
        <w:tab/>
        <w:t xml:space="preserve">vyzýva Srbsko, aby sa zdržalo prekrúcania historických udalostí, ako je napríklad </w:t>
      </w:r>
      <w:proofErr w:type="spellStart"/>
      <w:r>
        <w:t>naratív</w:t>
      </w:r>
      <w:proofErr w:type="spellEnd"/>
      <w:r>
        <w:t xml:space="preserve"> o tzv. masakri v </w:t>
      </w:r>
      <w:proofErr w:type="spellStart"/>
      <w:r>
        <w:t>Surdulici</w:t>
      </w:r>
      <w:proofErr w:type="spellEnd"/>
      <w:r>
        <w:t>, ktoré slúži len na rozdelenie spoločnosti a šírenie nenávisti voči menšinám a susedným krajinám, čo je nezlučiteľné s členstvom v EÚ;</w:t>
      </w:r>
    </w:p>
    <w:p>
      <w:pPr>
        <w:pStyle w:val="NormalHanging12a"/>
        <w:rPr>
          <w:b/>
          <w:i/>
        </w:rPr>
      </w:pPr>
      <w:r>
        <w:rPr>
          <w:b/>
          <w:i/>
        </w:rPr>
        <w:t>Zmierenie a dobré susedské vzťahy</w:t>
      </w:r>
    </w:p>
    <w:p>
      <w:pPr>
        <w:pStyle w:val="NormalHanging12a"/>
        <w:rPr>
          <w:bCs/>
          <w:iCs/>
        </w:rPr>
      </w:pPr>
      <w:r>
        <w:t>50.</w:t>
      </w:r>
      <w:r>
        <w:tab/>
        <w:t xml:space="preserve">opätovne pripomína, že dobré susedské vzťahy a regionálna spolupráca sú naďalej základnými prvkami procesu rozširovania; vyzýva Srbsko, aby prestalo obmedzovať </w:t>
      </w:r>
      <w:r>
        <w:lastRenderedPageBreak/>
        <w:t>vstup regionálnych aktivistov občianskej spoločnosti a umelcov, keďže takéto praktiky oslabujú regionálny dialóg a spoluprácu; okrem toho opätovne potvrdzuje význam stability krajín juhovýchodnej Európy a ich odolnosti voči zahraničnému zasahovaniu do vnútorných demokratických procesov; zdôrazňuje, že je dôležité, aby Srbsko rozvíjalo dobré susedské vzťahy, vykonávalo dvojstranné dohody a vyriešilo doposiaľ neuzavreté bilaterálne otázky so svojimi susedmi; berie na vedomie účasť Srbska na regionálnych iniciatívach a jeho aktívne zapojenie do Plánu rastu pre západný Balkán a spoločného regionálneho trhu; zdôrazňuje skutočnosť, že dodržiavanie práv národnostných menšín je nevyhnutnou podmienkou napredovania Srbska na jeho európskej ceste;</w:t>
      </w:r>
    </w:p>
    <w:p>
      <w:pPr>
        <w:pStyle w:val="NormalHanging12a"/>
        <w:rPr>
          <w:bCs/>
        </w:rPr>
      </w:pPr>
      <w:r>
        <w:t>51.</w:t>
      </w:r>
      <w:r>
        <w:tab/>
        <w:t>požaduje historické zmierenie a prekonanie diskriminácie a predsudkov z minulosti; vyjadruje poľutovanie nad nedávnymi štvavými prejavmi vlády zameranými na susedné štáty, ktoré nepodporili otvorenie bloku 3 so Srbskom;</w:t>
      </w:r>
    </w:p>
    <w:p>
      <w:pPr>
        <w:pStyle w:val="NormalHanging12a"/>
        <w:rPr>
          <w:bCs/>
        </w:rPr>
      </w:pPr>
      <w:r>
        <w:t>52.</w:t>
      </w:r>
      <w:r>
        <w:tab/>
        <w:t>znovu pripomína, že Srbsko musí prestať ovplyvňovať domácu politiku svojich susedných krajín na západnom Balkáne, a to aj pokiaľ ide o protiústavné oslavy Dňa Republiky srbskej v Bosne a Hercegovine a spochybňovanie rozhodnutí súdov Bosny a Hercegoviny;</w:t>
      </w:r>
    </w:p>
    <w:p>
      <w:pPr>
        <w:pStyle w:val="NormalHanging12a"/>
      </w:pPr>
      <w:r>
        <w:t>53.</w:t>
      </w:r>
      <w:r>
        <w:tab/>
        <w:t>naliehavo vyzýva Srbsko, aby zintenzívnilo úsilie o zmierenie a hľadalo riešenia sporov z minulosti, najmä v súvislosti s nezvestnými osobami, ktorých je 1 782 v Chorvátsku, 7 608 v Bosne a Hercegovine a 1 595 v Kosove; vyzýva srbské orgány, aby dosiahli spravodlivosť pre obete uznaním a dodržiavaním súdnych rozsudkov vo veci vojnových zločinov, bojov proti beztrestnosti za vojnové zločiny, vyšetrovaním prípadov nezvestných osôb, skúmaním hrobov a podporou domácich prokurátorov pri stíhaní páchateľov, čo si vyžaduje spoluprácu aj s ďalšími stranami; dôrazne odsudzuje rozsiahle verejné popieranie medzinárodných rozsudkov za vojnové zločiny vrátane popierania genocídy v </w:t>
      </w:r>
      <w:proofErr w:type="spellStart"/>
      <w:r>
        <w:t>Srebrenici</w:t>
      </w:r>
      <w:proofErr w:type="spellEnd"/>
      <w:r>
        <w:t>;</w:t>
      </w:r>
    </w:p>
    <w:p>
      <w:pPr>
        <w:pStyle w:val="NormalHanging12a"/>
      </w:pPr>
      <w:r>
        <w:t>54.</w:t>
      </w:r>
      <w:r>
        <w:tab/>
        <w:t>vyzýva justičné orgány v Srbsku, aby zabezpečili dodržiavanie noriem spravodlivého súdneho konania a poskytli zadosťučinenie obetiam všetkých vojnových zločinov; žiada, aby sa popieranie vojnových zločinov a oslavovanie vojnových zločincov zahrnuli do Trestného zákona s cieľom stíhať akúkoľvek formu popierania vojnových zločinov stanovenú rozsudkami Medzinárodného trestného tribunálu pre bývalú Juhosláviu a Medzinárodného súdneho dvora;</w:t>
      </w:r>
    </w:p>
    <w:p>
      <w:pPr>
        <w:pStyle w:val="NormalHanging12a"/>
        <w:rPr>
          <w:bCs/>
          <w:iCs/>
        </w:rPr>
      </w:pPr>
      <w:r>
        <w:rPr>
          <w:bCs/>
          <w:iCs/>
        </w:rPr>
        <w:t>55.</w:t>
      </w:r>
      <w:r>
        <w:rPr>
          <w:bCs/>
          <w:iCs/>
        </w:rPr>
        <w:tab/>
        <w:t>opätovne vyjadruje podporu iniciatíve na zriadenie regionálnej komisie pre zistenie faktov o vojnových zločinoch a iných prípadoch závažného porušovania ľudských práv spáchaných na území bývalej Juhoslávie (RECOM);</w:t>
      </w:r>
    </w:p>
    <w:p>
      <w:pPr>
        <w:pStyle w:val="NormalHanging12a"/>
        <w:rPr>
          <w:bCs/>
          <w:iCs/>
        </w:rPr>
      </w:pPr>
      <w:r>
        <w:t>56.</w:t>
      </w:r>
      <w:r>
        <w:tab/>
        <w:t>pripomína svoje stanovisko k významu otvorenia a zverejnenia vojnových archívov a opätovne vyzýva na otvorenie archívov bývalej Juhoslávie, a najmä na sprístupnenie spisov bývalej juhoslovanskej tajnej služby (UDBA) a kontrarozviedky Juhoslovanskej ľudovej armády (KOS) a na vrátenie spisov príslušným vládam, ak o to požiadajú;</w:t>
      </w:r>
    </w:p>
    <w:p>
      <w:pPr>
        <w:pStyle w:val="NormalHanging12a"/>
      </w:pPr>
      <w:r>
        <w:t>57.</w:t>
      </w:r>
      <w:r>
        <w:tab/>
        <w:t xml:space="preserve">opätovne zdôrazňuje, že plne podporuje dialóg, ktorý sprostredkúva EÚ, a víta vymenovanie Petra </w:t>
      </w:r>
      <w:proofErr w:type="spellStart"/>
      <w:r>
        <w:t>Sørensena</w:t>
      </w:r>
      <w:proofErr w:type="spellEnd"/>
      <w:r>
        <w:t xml:space="preserve"> za osobitného zástupcu EÚ pre dialóg medzi Belehradom a Prištinou;</w:t>
      </w:r>
    </w:p>
    <w:p>
      <w:pPr>
        <w:pStyle w:val="NormalHanging12a"/>
        <w:rPr>
          <w:i/>
        </w:rPr>
      </w:pPr>
      <w:r>
        <w:t>58.</w:t>
      </w:r>
      <w:r>
        <w:tab/>
        <w:t>opätovne zdôrazňuje význam konštruktívnej angažovanosti srbských a </w:t>
      </w:r>
      <w:proofErr w:type="spellStart"/>
      <w:r>
        <w:t>kosovských</w:t>
      </w:r>
      <w:proofErr w:type="spellEnd"/>
      <w:r>
        <w:t xml:space="preserve"> </w:t>
      </w:r>
      <w:r>
        <w:lastRenderedPageBreak/>
        <w:t>orgánov v záujme dosiahnutia komplexnej právne záväznej dohody o normalizácii na základe vzájomného uznania a v súlade s medzinárodným právom; vyzýva Kosovo aj Srbsko, aby vykonávali Bruselskú a Ochridskú dohodu vrátane zriadenia združenia/spoločenstva obcí so srbskou väčšinou a aby Srbsko prestalo namietať proti členstvu Kosova v regionálnych a medzinárodných organizáciách</w:t>
      </w:r>
      <w:r>
        <w:rPr>
          <w:i/>
        </w:rPr>
        <w:t xml:space="preserve"> </w:t>
      </w:r>
      <w:r>
        <w:t>a nedopúšťalo sa jednostranných krokov, ktoré by mohli oslabiť vedenie dialógu;</w:t>
      </w:r>
    </w:p>
    <w:p>
      <w:pPr>
        <w:pStyle w:val="NormalHanging12a"/>
      </w:pPr>
      <w:r>
        <w:t>59.</w:t>
      </w:r>
      <w:r>
        <w:tab/>
        <w:t xml:space="preserve">očakáva, že Kosovo a Srbsko budú v plnej miere spolupracovať a prijmú všetky potrebné opatrenia, aby zadržali páchateľov teroristického útoku v obci </w:t>
      </w:r>
      <w:proofErr w:type="spellStart"/>
      <w:r>
        <w:t>Banjska</w:t>
      </w:r>
      <w:proofErr w:type="spellEnd"/>
      <w:r>
        <w:t xml:space="preserve"> v roku 2023 a urýchlene ich postavili pred súd; vyjadruje poľutovanie nad tým, že Srbsko doteraz nestíhalo vinníkov, najmä Milana </w:t>
      </w:r>
      <w:proofErr w:type="spellStart"/>
      <w:r>
        <w:t>Radoičića</w:t>
      </w:r>
      <w:proofErr w:type="spellEnd"/>
      <w:r>
        <w:t xml:space="preserve">, podpredsedu strany </w:t>
      </w:r>
      <w:proofErr w:type="spellStart"/>
      <w:r>
        <w:t>Srpska</w:t>
      </w:r>
      <w:proofErr w:type="spellEnd"/>
      <w:r>
        <w:t xml:space="preserve"> Lista; opakuje, že páchatelia teroristického útoku v meste </w:t>
      </w:r>
      <w:proofErr w:type="spellStart"/>
      <w:r>
        <w:t>Zubin</w:t>
      </w:r>
      <w:proofErr w:type="spellEnd"/>
      <w:r>
        <w:t xml:space="preserve"> Potok musia byť takisto vzatí na zodpovednosť a bezodkladne postavení pred súd;</w:t>
      </w:r>
    </w:p>
    <w:p>
      <w:pPr>
        <w:pStyle w:val="NormalHanging12a"/>
        <w:rPr>
          <w:i/>
        </w:rPr>
      </w:pPr>
      <w:r>
        <w:t>60.</w:t>
      </w:r>
      <w:r>
        <w:tab/>
        <w:t xml:space="preserve">vyzýva podpredsedníčku Komisie/vysokú predstaviteľku Únie pre zahraničné veci a bezpečnostnú politiku a Komisiu, aby sa </w:t>
      </w:r>
      <w:proofErr w:type="spellStart"/>
      <w:r>
        <w:t>proaktívnejšie</w:t>
      </w:r>
      <w:proofErr w:type="spellEnd"/>
      <w:r>
        <w:t xml:space="preserve"> zapojili do vedenia dialógu; vyzýva na posilnenie úlohy Európskeho parlamentu pri uľahčovaní dialógu</w:t>
      </w:r>
      <w:r>
        <w:rPr>
          <w:b/>
          <w:i/>
        </w:rPr>
        <w:t xml:space="preserve"> </w:t>
      </w:r>
      <w:r>
        <w:t>prostredníctvom pravidelných zasadnutí Spoločného parlamentného zhromaždenia;</w:t>
      </w:r>
    </w:p>
    <w:p>
      <w:pPr>
        <w:pStyle w:val="NormalHanging12a"/>
      </w:pPr>
      <w:r>
        <w:rPr>
          <w:b/>
          <w:i/>
        </w:rPr>
        <w:t>Sociálne a hospodárske reformy</w:t>
      </w:r>
    </w:p>
    <w:p>
      <w:pPr>
        <w:pStyle w:val="NormalHanging12a"/>
        <w:rPr>
          <w:bCs/>
          <w:szCs w:val="24"/>
        </w:rPr>
      </w:pPr>
      <w:r>
        <w:t>61.</w:t>
      </w:r>
      <w:r>
        <w:tab/>
        <w:t>víta stabilný pokrok Srbska pri budovaní fungujúceho trhového hospodárstva s pozitívnym rastom HDP</w:t>
      </w:r>
      <w:r>
        <w:rPr>
          <w:b/>
          <w:i/>
        </w:rPr>
        <w:t xml:space="preserve"> </w:t>
      </w:r>
      <w:r>
        <w:t>a zvýšenými zahraničnými investíciami do niektorých odvetví; berie na vedomie skutočnosť, že Srbsko prvýkrát v histórii získalo ratingové hodnotenie investičného stupňa; zdôrazňuje skutočnosť, že EÚ je hlavným obchodným partnerom Srbska, najväčším zdrojom priamych zahraničných investícií a zďaleka najväčším darcom; opätovne pripomína, že finančná pomoc, ktorá je pre Srbsko veľmi prospešná, je podmienená posilnením demokratických zásad a zosúladením so SZBP a ostatnými politikami EÚ; opätovne zdôrazňuje, že sú potrebné zásadnejšie reformy na trhu práce, vo vzdelávaní a verejnej správe, a to aj s cieľom riešiť sociálne nerovnosti; vyjadruje znepokojenie nad rozsahom a pôsobnosťou zadávaných medzivládnych zákaziek, ktoré sú vyňaté zo súčasného legislatívneho rámca pre verejné obstarávanie; vyjadruje však poľutovanie nad skutočnosťou, že verejný dlh vyjadrený ako percentuálny podiel HDP zostáva výrazne nad východoeurópskym priemerom;</w:t>
      </w:r>
    </w:p>
    <w:p>
      <w:pPr>
        <w:pStyle w:val="NormalHanging12a"/>
        <w:rPr>
          <w:bCs/>
          <w:iCs/>
        </w:rPr>
      </w:pPr>
      <w:r>
        <w:t>62.</w:t>
      </w:r>
      <w:r>
        <w:tab/>
        <w:t>je znepokojený investíciami Ruska a Číny v Srbsku a ich rastúcim vplyvom na politické a hospodárske procesy v regióne;</w:t>
      </w:r>
    </w:p>
    <w:p>
      <w:pPr>
        <w:pStyle w:val="NormalHanging12a"/>
        <w:rPr>
          <w:bCs/>
          <w:iCs/>
        </w:rPr>
      </w:pPr>
      <w:r>
        <w:t>63.</w:t>
      </w:r>
      <w:r>
        <w:tab/>
        <w:t>vyzýva Srbsko, aby zintenzívnilo úsilie a zvýšilo investície do sociálno-ekonomického rozvoja svojich pohraničných regiónov s cieľom zaoberať sa vyľudňovaním a zabezpečiť, aby obyvatelia mali prístup k základným službám vrátane pracovných príležitostí, zdravotnej starostlivosti a vzdelávania; zdôrazňuje potenciál programov cezhraničnej spolupráce v rámci nástroja IPA III ako kľúčového nástroja na podporu dlhodobého udržateľného regionálneho rastu;</w:t>
      </w:r>
    </w:p>
    <w:p>
      <w:pPr>
        <w:pStyle w:val="NormalHanging12a"/>
      </w:pPr>
      <w:r>
        <w:t>64.</w:t>
      </w:r>
      <w:r>
        <w:tab/>
        <w:t xml:space="preserve">víta aktívne zapojenie Srbska do vykonávania nového plánu rastu pre západný Balkán; berie na vedomie skutočnosť, že Srbsko prijalo 3. októbra 2024 svoj program reforiem; domnieva sa, že využitie príležitostí plánu rastu by ešte viac posilnilo srbské hospodárstvo, ktoré za posledné tri roky dostávalo finančnú a technickú pomoc v rámci nástroja IPA III vo výške viac ako 586 miliónov EUR; domnieva sa, že financovanie EÚ by malo lepšie podporovať demokratické reformy v krajine; v tejto súvislosti </w:t>
      </w:r>
      <w:r>
        <w:lastRenderedPageBreak/>
        <w:t>vyzýva, aby sa príslušné financovanie EÚ vrátane prostriedkov z plánu rastu pre západný Balkán</w:t>
      </w:r>
      <w:r>
        <w:rPr>
          <w:b/>
        </w:rPr>
        <w:t xml:space="preserve"> </w:t>
      </w:r>
      <w:r>
        <w:t>preprogramovalo tak, aby sa nasmerovalo viac finančných prostriedkov na podporu reforiem súdnictva a protikorupčných opatrení, ako aj nezávislých médií a organizácií občianskej spoločnosti s cieľom podporiť ich dôležitú prácu, najmä vzhľadom na vákuum, ktoré vzniklo odchodom darcov z USA; okrem toho vyzýva EÚ a krajiny západného Balkánu, aby vytvorili rámec pre plodnú spoluprácu medzi Európskou prokuratúrou (EPPO) a jej partnermi zo západného Balkánu s cieľom zabezpečiť, aby Európska prokuratúra mohla účinne vykonávať svoje právomoci v oblasti IPA III a Nástroja pre západný Balkán v prijímajúcich krajinách; naliehavo vyzýva srbské orgány, aby zintenzívnili úsilie o jasné informovanie občanov o prínosoch financovania EÚ a zlepšili ich viditeľnosť;</w:t>
      </w:r>
    </w:p>
    <w:p>
      <w:pPr>
        <w:pStyle w:val="NormalHanging12a"/>
        <w:rPr>
          <w:bCs/>
          <w:iCs/>
        </w:rPr>
      </w:pPr>
      <w:r>
        <w:t>65.</w:t>
      </w:r>
      <w:r>
        <w:tab/>
        <w:t>vyjadruje poľutovanie nad nedostatkom verejných konzultácií počas prijímania srbského programu reforiem; vyzýva na účinnejší dohľad nad programami a projektmi financovania EÚ;</w:t>
      </w:r>
    </w:p>
    <w:p>
      <w:pPr>
        <w:pStyle w:val="NormalHanging12a"/>
        <w:rPr>
          <w:bCs/>
          <w:iCs/>
        </w:rPr>
      </w:pPr>
      <w:r>
        <w:t>66.</w:t>
      </w:r>
      <w:r>
        <w:tab/>
        <w:t>zasadzuje sa za intenzívnejšiu regionálnu spoluprácu medzi krajinami západného Balkánu s cieľom vymieňať si najlepšie postupy a vypracovať spoločné stratégie boja proti dezinformáciám a zahraničnému zasahovaniu; zdôrazňuje úlohu EÚ pri uľahčovaní tohto úsilia o spoluprácu; vyzýva na pokračovanie a ďalšie posilnenie regionálneho programu kybernetickej bezpečnosti v rámci IPA;</w:t>
      </w:r>
    </w:p>
    <w:p>
      <w:pPr>
        <w:pStyle w:val="NormalHanging12a"/>
        <w:rPr>
          <w:bCs/>
          <w:iCs/>
        </w:rPr>
      </w:pPr>
      <w:r>
        <w:t>67.</w:t>
      </w:r>
      <w:r>
        <w:tab/>
        <w:t>uznáva dôležitú úlohu srbskej podnikateľskej komunity pri presadzovaní hospodárskej konvergencie s EÚ, a to aj prostredníctvom príležitostí, ktoré ponúka plán rastu pre západný Balkán ako udržateľná alternatíva k ruským a čínskym investíciám v krajine, a pri jeho realizácii; víta príspevok podnikateľskej komunity k rozvoju sociálno-ekonomických vzťahov na západnom Balkáne;</w:t>
      </w:r>
    </w:p>
    <w:p>
      <w:pPr>
        <w:pStyle w:val="NormalHanging12a"/>
        <w:rPr>
          <w:bCs/>
          <w:iCs/>
        </w:rPr>
      </w:pPr>
      <w:r>
        <w:t>68.</w:t>
      </w:r>
      <w:r>
        <w:tab/>
        <w:t>berie na vedomie úsilie srbskej podnikateľskej komunity pri presadzovaní vstupu západného Balkánu na jednotný trh EÚ ako konkrétny krok smerom k plnému členstvu v EÚ; vyzýva na jasné, merateľné opatrenia a presne vymedzené úlohy a zodpovednosti pri vykonávaní akčného plánu pre spoločný regionálny trh, ktorý je kľúčovou hnacou silou úspešného vstupu regiónu na jednotný trh EÚ;</w:t>
      </w:r>
    </w:p>
    <w:p>
      <w:pPr>
        <w:pStyle w:val="NormalHanging12a"/>
        <w:rPr>
          <w:b/>
          <w:i/>
        </w:rPr>
      </w:pPr>
      <w:r>
        <w:rPr>
          <w:b/>
          <w:i/>
        </w:rPr>
        <w:t>Energetika, životné prostredie, udržateľný rozvoj a prepojenosť</w:t>
      </w:r>
    </w:p>
    <w:p>
      <w:pPr>
        <w:pStyle w:val="NormalHanging12a"/>
      </w:pPr>
      <w:r>
        <w:t>69.</w:t>
      </w:r>
      <w:r>
        <w:tab/>
        <w:t xml:space="preserve">vyzýva Srbsko, aby zvýšilo úsilie o transpozíciu príslušného </w:t>
      </w:r>
      <w:proofErr w:type="spellStart"/>
      <w:r>
        <w:rPr>
          <w:i/>
        </w:rPr>
        <w:t>acquis</w:t>
      </w:r>
      <w:proofErr w:type="spellEnd"/>
      <w:r>
        <w:t xml:space="preserve"> v oblasti životného prostredia a klímy a zabezpečilo náležité uplatňovanie noriem v oblasti ochrany životného prostredia, a to aj výrazným posilnením svojich administratívnych a technických kapacít na všetkých úrovniach verejnej správy, najmä v oblasti odpadového hospodárstva a pri prijatí programu pre adaptáciu na zmenu klímy a národného energetického a klimatického plánu; naliehavo vyzýva srbské orgány, aby zlepšili transparentnosť a posudzovanie vplyvu všetkých investícií na životné prostredie vrátane čínskych a ruských investícií;</w:t>
      </w:r>
    </w:p>
    <w:p>
      <w:pPr>
        <w:pStyle w:val="NormalHanging12a"/>
      </w:pPr>
      <w:r>
        <w:t>70.</w:t>
      </w:r>
      <w:r>
        <w:tab/>
        <w:t xml:space="preserve">opätovne vyjadruje poľutovanie nad nečinnosťou v súvislosti so znečistením rieky </w:t>
      </w:r>
      <w:proofErr w:type="spellStart"/>
      <w:r>
        <w:t>Dragovištica</w:t>
      </w:r>
      <w:proofErr w:type="spellEnd"/>
      <w:r>
        <w:t xml:space="preserve"> v dôsledku banskej ťažby v regióne a nad škodlivým vplyvom na zdravie miestneho obyvateľstva a životné prostredie;</w:t>
      </w:r>
    </w:p>
    <w:p>
      <w:pPr>
        <w:pStyle w:val="NormalHanging12a"/>
      </w:pPr>
      <w:r>
        <w:t>71.</w:t>
      </w:r>
      <w:r>
        <w:tab/>
        <w:t xml:space="preserve">vyzýva Srbsko, aby zvýšilo úsilie o dekarbonizáciu svojho energetického systému a umožnilo účinné presadzovanie predpisov týkajúcich sa znižovania znečisťujúcich </w:t>
      </w:r>
      <w:r>
        <w:lastRenderedPageBreak/>
        <w:t>látok v súvislosti s tepelnými elektrárňami;</w:t>
      </w:r>
    </w:p>
    <w:p>
      <w:pPr>
        <w:pStyle w:val="NormalHanging12a"/>
      </w:pPr>
      <w:r>
        <w:t>72.</w:t>
      </w:r>
      <w:r>
        <w:tab/>
        <w:t>zdôrazňuje potrebu ďalšieho pokroku v cezhraničnej spolupráci so susednými krajinami, najmä pokiaľ ide o cezhraničnú cestnú infraštruktúru; vyzýva Srbsko, aby začalo vykonávať činnosti uvedené v memorande o porozumení na podporu spolupráce s Bulharskom v oblasti ochrany životného prostredia;</w:t>
      </w:r>
    </w:p>
    <w:p>
      <w:pPr>
        <w:pStyle w:val="NormalHanging12a"/>
      </w:pPr>
      <w:r>
        <w:t>73.</w:t>
      </w:r>
      <w:r>
        <w:tab/>
        <w:t>berie na vedomie memorandum o porozumení medzi EÚ a Srbskom, ktorým sa zavádza strategické partnerstvo v oblasti udržateľných surovín, hodnotových reťazcov batérií a elektrických vozidiel so zreteľom na európsku energetickú transformáciu a v súlade s najvyššími environmentálnymi štandardmi;</w:t>
      </w:r>
      <w:r>
        <w:rPr>
          <w:b/>
        </w:rPr>
        <w:t xml:space="preserve"> </w:t>
      </w:r>
      <w:r>
        <w:t>pripomína, že v centre každého takéhoto strategického partnerstva by mal byť dialóg s dotknutým obyvateľstvom, vedeckou obcou a občianskou spoločnosťou;</w:t>
      </w:r>
    </w:p>
    <w:p>
      <w:pPr>
        <w:pStyle w:val="NormalHanging12a"/>
        <w:rPr>
          <w:bCs/>
        </w:rPr>
      </w:pPr>
      <w:r>
        <w:t>74.</w:t>
      </w:r>
      <w:r>
        <w:tab/>
        <w:t xml:space="preserve">víta dohodu dosiahnutú na samite EÚ – západný Balkán v Tirane o znížení nákladov na roaming; v tejto súvislosti vyzýva orgány, súkromné subjekty a všetky zainteresované strany, aby uľahčili splnenie dohodnutých cieľov na dosiahnutie výrazného zníženia </w:t>
      </w:r>
      <w:proofErr w:type="spellStart"/>
      <w:r>
        <w:t>roamingových</w:t>
      </w:r>
      <w:proofErr w:type="spellEnd"/>
      <w:r>
        <w:t xml:space="preserve"> poplatkov za dáta a ďalších poplatkov medzi západným Balkánom a EÚ, a tak sa ceny do roku 2027 dostali približne na úroveň domácich cien; víta začatie prvej fázy realizácie plánu na zníženie </w:t>
      </w:r>
      <w:proofErr w:type="spellStart"/>
      <w:r>
        <w:t>roamingových</w:t>
      </w:r>
      <w:proofErr w:type="spellEnd"/>
      <w:r>
        <w:t xml:space="preserve"> nákladov medzi západným Balkánom a EÚ;</w:t>
      </w:r>
    </w:p>
    <w:p>
      <w:pPr>
        <w:pStyle w:val="NormalHanging12a"/>
        <w:rPr>
          <w:b/>
        </w:rPr>
      </w:pPr>
      <w:r>
        <w:t>75.</w:t>
      </w:r>
      <w:r>
        <w:tab/>
        <w:t xml:space="preserve">opätovne zdôrazňuje, že je dôležité, aby Srbsko naďalej </w:t>
      </w:r>
      <w:proofErr w:type="spellStart"/>
      <w:r>
        <w:t>diverzifikovalo</w:t>
      </w:r>
      <w:proofErr w:type="spellEnd"/>
      <w:r>
        <w:rPr>
          <w:i/>
        </w:rPr>
        <w:t xml:space="preserve"> </w:t>
      </w:r>
      <w:r>
        <w:t xml:space="preserve">svoje dodávky energie, a tak sa dokázalo vymaniť spod závislosti od Ruska; berie na vedomie sankcie uložené Spojenými štátmi voči spoločnosti </w:t>
      </w:r>
      <w:proofErr w:type="spellStart"/>
      <w:r>
        <w:t>Naftna</w:t>
      </w:r>
      <w:proofErr w:type="spellEnd"/>
      <w:r>
        <w:t xml:space="preserve"> </w:t>
      </w:r>
      <w:proofErr w:type="spellStart"/>
      <w:r>
        <w:t>Industrija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(NIS), dcérskej spoločnosti ruského Gazpromu; víta dokončenie plynovodného prepojenia medzi Srbskom a Bulharskom (IBS) v decembri 2023; vyjadruje poľutovanie nad oddialením spustenia komerčnej prevádzky IBS; vyzýva na urýchlené dokončenie procesu udeľovania povolení, aby sa zabezpečila jeho plná funkčnosť v súlade s </w:t>
      </w:r>
      <w:proofErr w:type="spellStart"/>
      <w:r>
        <w:rPr>
          <w:i/>
        </w:rPr>
        <w:t>acquis</w:t>
      </w:r>
      <w:proofErr w:type="spellEnd"/>
      <w:r>
        <w:t xml:space="preserve"> Energetického spoločenstva; konštatuje, že Srbsko prijíma kroky na zavedenie uhlíkovej dane do roku 2027, čo je jeden z krokov k zosúladeniu so systémom EÚ na obchodovanie s emisiami;</w:t>
      </w:r>
    </w:p>
    <w:p>
      <w:pPr>
        <w:pStyle w:val="NormalHanging12a"/>
        <w:rPr>
          <w:bCs/>
        </w:rPr>
      </w:pPr>
      <w:r>
        <w:t>76.</w:t>
      </w:r>
      <w:r>
        <w:tab/>
        <w:t>konštatuje, že sa otvorili všetky kapitoly v bloku 4 týkajúcom sa zelenej agendy a udržateľnej prepojenosti; berie na vedomie prijatie zákona o posudzovaní vplyvov na životné prostredie ako pozitívny krok smerom k ochrane životného prostredia v Srbsku, pričom vyjadruje poľutovanie nad tým, že nový zákon nie je v plnom súlade s príslušnou smernicou EÚ 2014/52/EÚ</w:t>
      </w:r>
      <w:r>
        <w:rPr>
          <w:rStyle w:val="FootnoteReference"/>
          <w:bCs/>
        </w:rPr>
        <w:footnoteReference w:id="9"/>
      </w:r>
      <w:r>
        <w:t>, keďže stále ponecháva možnosť, aby sa významné projekty realizovali bez komplexnej environmentálnej kontroly; opätovne zdôrazňuje potrebu vymedziť a dôsledne spravovať chránené územia, najmä územia označené ako významné vtáčie územia; žiada, aby sa osobitná pozornosť venovala kritickým lokalitám, ktoré si vyžadujú zlepšenie presadzovania právnych predpisov proti pytliactvu;</w:t>
      </w:r>
    </w:p>
    <w:p>
      <w:pPr>
        <w:pStyle w:val="NormalHanging12a"/>
        <w:jc w:val="center"/>
      </w:pPr>
      <w:r>
        <w:t>°</w:t>
      </w:r>
    </w:p>
    <w:p>
      <w:pPr>
        <w:pStyle w:val="NormalHanging12a"/>
        <w:jc w:val="center"/>
      </w:pPr>
      <w:r>
        <w:lastRenderedPageBreak/>
        <w:t>°</w:t>
      </w:r>
      <w:r>
        <w:tab/>
        <w:t>°</w:t>
      </w:r>
    </w:p>
    <w:p>
      <w:pPr>
        <w:pStyle w:val="NormalHanging12a"/>
      </w:pPr>
      <w:r>
        <w:t>77.</w:t>
      </w:r>
      <w:r>
        <w:tab/>
        <w:t>poveruje svoju predsedníčku, aby postúpila toto uznesenie predsedovi Európskej rady, Komisii, podpredsedníčke Komisie/vysokej predstaviteľke Únie pre zahraničné veci a bezpečnostnú politiku, vládam a parlamentom členských štátov a prezidentovi, vláde a Národnému zhromaždeniu Srbska.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rFonts w:eastAsiaTheme="minorHAnsi"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278, 18.10.2013, s. 16, ELI: </w:t>
      </w:r>
      <w:hyperlink r:id="rId1" w:history="1">
        <w:r>
          <w:rPr>
            <w:rStyle w:val="Hyperlink"/>
            <w:sz w:val="24"/>
            <w:lang w:val="sk-SK"/>
          </w:rPr>
          <w:t>http://data.europa.eu/eli/agree_internation/2013/490/oj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330, 20.9.2021, s. </w:t>
      </w:r>
      <w:r>
        <w:rPr>
          <w:sz w:val="24"/>
          <w:lang w:val="sk-SK"/>
        </w:rPr>
        <w:t xml:space="preserve">1, ELI: </w:t>
      </w:r>
      <w:hyperlink r:id="rId2" w:history="1">
        <w:r>
          <w:rPr>
            <w:rStyle w:val="Hyperlink"/>
            <w:sz w:val="24"/>
            <w:lang w:val="sk-SK"/>
          </w:rPr>
          <w:t>http://data.europa.eu/eli/reg/2021/1529/oj</w:t>
        </w:r>
      </w:hyperlink>
      <w:r>
        <w:rPr>
          <w:sz w:val="24"/>
          <w:lang w:val="sk-SK"/>
        </w:rPr>
        <w:t>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L, 2024/1449, 24.5.2024, ELI: </w:t>
      </w:r>
      <w:hyperlink r:id="rId3" w:history="1">
        <w:r>
          <w:rPr>
            <w:rStyle w:val="Hyperlink"/>
            <w:sz w:val="24"/>
            <w:lang w:val="sk-SK"/>
          </w:rPr>
          <w:t>http://data.europa.eu/eli/reg/2024/1449/oj</w:t>
        </w:r>
      </w:hyperlink>
      <w:r>
        <w:rPr>
          <w:sz w:val="24"/>
          <w:lang w:val="sk-SK"/>
        </w:rPr>
        <w:t xml:space="preserve">. 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C, C/2024/6746, 26.11.2024, ELI: </w:t>
      </w:r>
      <w:hyperlink r:id="rId4" w:history="1">
        <w:r>
          <w:rPr>
            <w:rStyle w:val="Hyperlink"/>
            <w:sz w:val="24"/>
            <w:lang w:val="sk-SK"/>
          </w:rPr>
          <w:t>http://data.europa.eu/eli/C/2024/6746/oj</w:t>
        </w:r>
      </w:hyperlink>
      <w:r>
        <w:rPr>
          <w:sz w:val="24"/>
          <w:lang w:val="sk-SK"/>
        </w:rPr>
        <w:t xml:space="preserve">. 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C, C/2024/2654, 29.4.2024, ELI: </w:t>
      </w:r>
      <w:hyperlink r:id="rId5" w:history="1">
        <w:r>
          <w:rPr>
            <w:rStyle w:val="Hyperlink"/>
            <w:sz w:val="24"/>
            <w:lang w:val="sk-SK"/>
          </w:rPr>
          <w:t>http://data.europa.eu/eli/C/2024/2654/oj</w:t>
        </w:r>
      </w:hyperlink>
      <w:r>
        <w:rPr>
          <w:sz w:val="24"/>
          <w:lang w:val="sk-SK"/>
        </w:rPr>
        <w:t xml:space="preserve">. 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C, C/2024/6339, 7.11.2024, ELI: </w:t>
      </w:r>
      <w:hyperlink r:id="rId6" w:history="1">
        <w:r>
          <w:rPr>
            <w:rStyle w:val="Hyperlink"/>
            <w:sz w:val="24"/>
            <w:lang w:val="sk-SK"/>
          </w:rPr>
          <w:t>http://data.europa.eu/eli/C/2024/6339/oj</w:t>
        </w:r>
      </w:hyperlink>
      <w:r>
        <w:rPr>
          <w:sz w:val="24"/>
          <w:lang w:val="sk-SK"/>
        </w:rPr>
        <w:t>.</w:t>
      </w:r>
    </w:p>
  </w:footnote>
  <w:footnote w:id="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 2022/2065 z 19. októbra 2022 o jednotnom trhu s digitálnymi službami a o zmene smernice 2000/31/ES (akt o digitálnych službách) (Ú. v. EÚ L 277, 27.10.2022, s. </w:t>
      </w:r>
      <w:r>
        <w:rPr>
          <w:sz w:val="24"/>
          <w:lang w:val="sk-SK"/>
        </w:rPr>
        <w:t xml:space="preserve">1, ELI: </w:t>
      </w:r>
      <w:hyperlink r:id="rId7" w:history="1">
        <w:r>
          <w:rPr>
            <w:rStyle w:val="Hyperlink"/>
            <w:sz w:val="24"/>
            <w:lang w:val="sk-SK"/>
          </w:rPr>
          <w:t>http://data.europa.eu/eli/reg/2022/2065/oj</w:t>
        </w:r>
      </w:hyperlink>
      <w:r>
        <w:rPr>
          <w:sz w:val="24"/>
          <w:lang w:val="sk-SK"/>
        </w:rPr>
        <w:t>).</w:t>
      </w:r>
    </w:p>
  </w:footnote>
  <w:footnote w:id="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2024/900 z 13. marca 2024 o transparentnosti a cielení politickej reklamy (Ú. v. </w:t>
      </w:r>
      <w:r>
        <w:rPr>
          <w:sz w:val="24"/>
          <w:lang w:val="sk-SK"/>
        </w:rPr>
        <w:t xml:space="preserve">EÚ L, 2024/900, 20.3.2024, ELI: </w:t>
      </w:r>
      <w:hyperlink r:id="rId8" w:history="1">
        <w:r>
          <w:rPr>
            <w:rStyle w:val="Hyperlink"/>
            <w:sz w:val="24"/>
            <w:lang w:val="sk-SK"/>
          </w:rPr>
          <w:t>http://data.europa.eu/eli/reg/2024/900/oj</w:t>
        </w:r>
      </w:hyperlink>
      <w:r>
        <w:rPr>
          <w:sz w:val="24"/>
          <w:lang w:val="sk-SK"/>
        </w:rPr>
        <w:t>).</w:t>
      </w:r>
    </w:p>
  </w:footnote>
  <w:footnote w:id="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2014/52/EÚ zo 16. apríla 2014, ktorou sa mení smernica 2011/92/EÚ o posudzovaní vplyvov určitých verejných a súkromných projektov na životné prostredie (Ú. v. EÚ L 124, 25.4.2014, s. </w:t>
      </w:r>
      <w:r>
        <w:rPr>
          <w:sz w:val="24"/>
          <w:lang w:val="sk-SK"/>
        </w:rPr>
        <w:t xml:space="preserve">1, ELI: </w:t>
      </w:r>
      <w:hyperlink r:id="rId9" w:history="1">
        <w:r>
          <w:rPr>
            <w:rStyle w:val="Hyperlink"/>
            <w:sz w:val="24"/>
            <w:lang w:val="sk-SK"/>
          </w:rPr>
          <w:t>http://data.europa.eu/eli/dir/2014/52/oj</w:t>
        </w:r>
      </w:hyperlink>
      <w:r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2/2025"/>
    <w:docVar w:name="dvlangue" w:val="SK"/>
    <w:docVar w:name="dvnumam" w:val="0"/>
    <w:docVar w:name="dvpe" w:val="767.969"/>
    <w:docVar w:name="dvrapporteur" w:val="Spravodajca: "/>
    <w:docVar w:name="dvtitre" w:val="Uznesenie Európskeho parlamentu zo 7. mája 2025 o správach Komisie o Srbsku za roky 2023 a 2024(2025/2022(INI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4B2F7-53D8-4902-B2CA-EADC93FE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12HangingChar">
    <w:name w:val="Normal12Hanging Char"/>
    <w:link w:val="Normal12Hanging"/>
    <w:locked/>
    <w:rPr>
      <w:sz w:val="24"/>
    </w:rPr>
  </w:style>
  <w:style w:type="paragraph" w:customStyle="1" w:styleId="Normal12Hanging">
    <w:name w:val="Normal12Hanging"/>
    <w:basedOn w:val="Normal"/>
    <w:link w:val="Normal12HangingChar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BodyA">
    <w:name w:val="Body A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3/490/oj" TargetMode="External"/><Relationship Id="rId6" Type="http://schemas.openxmlformats.org/officeDocument/2006/relationships/hyperlink" Target="http://data.europa.eu/eli/C/2024/6339/oj" TargetMode="External"/><Relationship Id="rId5" Type="http://schemas.openxmlformats.org/officeDocument/2006/relationships/hyperlink" Target="http://data.europa.eu/eli/C/2024/2654/oj" TargetMode="External"/><Relationship Id="rId4" Type="http://schemas.openxmlformats.org/officeDocument/2006/relationships/hyperlink" Target="http://data.europa.eu/eli/C/2024/6746/oj" TargetMode="External"/><Relationship Id="rId9" Type="http://schemas.openxmlformats.org/officeDocument/2006/relationships/hyperlink" Target="http://data.europa.eu/eli/dir/2014/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E3C45-7E75-48EA-BAB8-011267B3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18</Pages>
  <Words>7308</Words>
  <Characters>45645</Characters>
  <Application>Microsoft Office Word</Application>
  <DocSecurity>0</DocSecurity>
  <Lines>380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9</cp:revision>
  <cp:lastPrinted>2004-11-19T15:42:00Z</cp:lastPrinted>
  <dcterms:created xsi:type="dcterms:W3CDTF">2025-05-07T09:35:00Z</dcterms:created>
  <dcterms:modified xsi:type="dcterms:W3CDTF">2025-05-07T16:18:00Z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A10-0072/2025</vt:lpwstr>
  </property>
  <property fmtid="{D5CDD505-2E9C-101B-9397-08002B2CF9AE}" pid="4" name="&lt;Type&gt;">
    <vt:lpwstr>RR</vt:lpwstr>
  </property>
</Properties>
</file>