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353E" w:rsidTr="0010095E">
        <w:trPr>
          <w:trHeight w:hRule="exact" w:val="1418"/>
        </w:trPr>
        <w:tc>
          <w:tcPr>
            <w:tcW w:w="6804" w:type="dxa"/>
            <w:shd w:val="clear" w:color="auto" w:fill="auto"/>
            <w:vAlign w:val="center"/>
          </w:tcPr>
          <w:p w:rsidR="00751A4A" w:rsidRPr="008A353E" w:rsidRDefault="00872C5B" w:rsidP="0010095E">
            <w:pPr>
              <w:pStyle w:val="EPName"/>
            </w:pPr>
            <w:r w:rsidRPr="008A353E">
              <w:t>Europa-Parlamentet</w:t>
            </w:r>
          </w:p>
          <w:p w:rsidR="00751A4A" w:rsidRPr="008A353E" w:rsidRDefault="005F1B17" w:rsidP="005F1B17">
            <w:pPr>
              <w:pStyle w:val="EPTerm"/>
              <w:rPr>
                <w:rStyle w:val="HideTWBExt"/>
                <w:noProof w:val="0"/>
                <w:vanish w:val="0"/>
                <w:color w:val="auto"/>
              </w:rPr>
            </w:pPr>
            <w:r w:rsidRPr="008A353E">
              <w:t>2024</w:t>
            </w:r>
            <w:r w:rsidR="00817416" w:rsidRPr="008A353E">
              <w:t>-202</w:t>
            </w:r>
            <w:r w:rsidRPr="008A353E">
              <w:t>9</w:t>
            </w:r>
          </w:p>
        </w:tc>
        <w:tc>
          <w:tcPr>
            <w:tcW w:w="2268" w:type="dxa"/>
            <w:shd w:val="clear" w:color="auto" w:fill="auto"/>
          </w:tcPr>
          <w:p w:rsidR="00751A4A" w:rsidRPr="008A353E" w:rsidRDefault="00187494" w:rsidP="0010095E">
            <w:pPr>
              <w:pStyle w:val="EPLogo"/>
            </w:pPr>
            <w:r w:rsidRPr="008A353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A353E" w:rsidRDefault="00D058B8" w:rsidP="004C5D52">
      <w:pPr>
        <w:pStyle w:val="LineTop"/>
      </w:pPr>
    </w:p>
    <w:p w:rsidR="00680577" w:rsidRPr="008A353E" w:rsidRDefault="00872C5B" w:rsidP="00680577">
      <w:pPr>
        <w:pStyle w:val="EPBodyTA1"/>
      </w:pPr>
      <w:r w:rsidRPr="008A353E">
        <w:t>VEDTAGNE TEKSTER</w:t>
      </w:r>
    </w:p>
    <w:p w:rsidR="00D058B8" w:rsidRPr="008A353E" w:rsidRDefault="00D058B8" w:rsidP="00D058B8">
      <w:pPr>
        <w:pStyle w:val="LineBottom"/>
      </w:pPr>
    </w:p>
    <w:p w:rsidR="00872C5B" w:rsidRPr="008A353E" w:rsidRDefault="00872C5B" w:rsidP="00872C5B">
      <w:pPr>
        <w:pStyle w:val="ATHeading1"/>
      </w:pPr>
      <w:bookmarkStart w:id="0" w:name="TANumber"/>
      <w:r w:rsidRPr="008A353E">
        <w:t>P10_TA(2025)00</w:t>
      </w:r>
      <w:r w:rsidR="00FD0FEA">
        <w:t>94</w:t>
      </w:r>
      <w:bookmarkEnd w:id="0"/>
    </w:p>
    <w:p w:rsidR="00872C5B" w:rsidRPr="008A353E" w:rsidRDefault="00C2220A" w:rsidP="00872C5B">
      <w:pPr>
        <w:pStyle w:val="ATHeading2"/>
      </w:pPr>
      <w:bookmarkStart w:id="1" w:name="title"/>
      <w:r w:rsidRPr="008A353E">
        <w:t>R</w:t>
      </w:r>
      <w:r w:rsidR="00872C5B" w:rsidRPr="008A353E">
        <w:t>apporter om Kosovo for 2023 og 2024</w:t>
      </w:r>
      <w:bookmarkEnd w:id="1"/>
    </w:p>
    <w:p w:rsidR="00872C5B" w:rsidRPr="008A353E" w:rsidRDefault="00872C5B" w:rsidP="00872C5B">
      <w:pPr>
        <w:rPr>
          <w:i/>
          <w:vanish/>
        </w:rPr>
      </w:pPr>
      <w:r w:rsidRPr="008A353E">
        <w:rPr>
          <w:i/>
        </w:rPr>
        <w:fldChar w:fldCharType="begin"/>
      </w:r>
      <w:r w:rsidRPr="008A353E">
        <w:rPr>
          <w:i/>
        </w:rPr>
        <w:instrText xml:space="preserve"> TC"(</w:instrText>
      </w:r>
      <w:bookmarkStart w:id="2" w:name="DocNumber"/>
      <w:r w:rsidRPr="008A353E">
        <w:rPr>
          <w:i/>
        </w:rPr>
        <w:instrText>A10-0075/2025</w:instrText>
      </w:r>
      <w:bookmarkEnd w:id="2"/>
      <w:r w:rsidRPr="008A353E">
        <w:rPr>
          <w:i/>
        </w:rPr>
        <w:instrText xml:space="preserve"> - Ordfører: Riho Terras)"\l3 \n&gt; \* MERGEFORMAT </w:instrText>
      </w:r>
      <w:r w:rsidRPr="008A353E">
        <w:rPr>
          <w:i/>
        </w:rPr>
        <w:fldChar w:fldCharType="end"/>
      </w:r>
    </w:p>
    <w:p w:rsidR="00872C5B" w:rsidRPr="008A353E" w:rsidRDefault="00872C5B" w:rsidP="00872C5B">
      <w:pPr>
        <w:rPr>
          <w:vanish/>
        </w:rPr>
      </w:pPr>
      <w:bookmarkStart w:id="3" w:name="Commission"/>
      <w:r w:rsidRPr="008A353E">
        <w:rPr>
          <w:vanish/>
        </w:rPr>
        <w:t>Udenrigsudvalget</w:t>
      </w:r>
      <w:bookmarkEnd w:id="3"/>
    </w:p>
    <w:p w:rsidR="00872C5B" w:rsidRPr="008A353E" w:rsidRDefault="00872C5B" w:rsidP="00872C5B">
      <w:pPr>
        <w:rPr>
          <w:vanish/>
        </w:rPr>
      </w:pPr>
      <w:bookmarkStart w:id="4" w:name="PE"/>
      <w:r w:rsidRPr="008A353E">
        <w:rPr>
          <w:vanish/>
        </w:rPr>
        <w:t>PE767.973</w:t>
      </w:r>
      <w:bookmarkEnd w:id="4"/>
    </w:p>
    <w:p w:rsidR="00872C5B" w:rsidRPr="008A353E" w:rsidRDefault="00872C5B" w:rsidP="00872C5B">
      <w:pPr>
        <w:pStyle w:val="ATHeading3"/>
      </w:pPr>
      <w:bookmarkStart w:id="5" w:name="Sujet"/>
      <w:r w:rsidRPr="008A353E">
        <w:t>Europa-Parlamentets beslutning af 7. maj 2025 om Kommissionens rapporter om Kosovo for 2023 og 2024</w:t>
      </w:r>
      <w:bookmarkEnd w:id="5"/>
      <w:r w:rsidRPr="008A353E">
        <w:t xml:space="preserve"> </w:t>
      </w:r>
      <w:bookmarkStart w:id="6" w:name="References"/>
      <w:r w:rsidRPr="008A353E">
        <w:t>(2025/2019(INI))</w:t>
      </w:r>
      <w:bookmarkEnd w:id="6"/>
    </w:p>
    <w:p w:rsidR="0009188E" w:rsidRPr="008A353E" w:rsidRDefault="0009188E" w:rsidP="0009188E">
      <w:pPr>
        <w:pStyle w:val="EPComma"/>
      </w:pPr>
      <w:r w:rsidRPr="008A353E">
        <w:rPr>
          <w:i/>
        </w:rPr>
        <w:t>Europa-Parlamentet</w:t>
      </w:r>
      <w:r w:rsidRPr="008A353E">
        <w:t>,</w:t>
      </w:r>
    </w:p>
    <w:p w:rsidR="0009188E" w:rsidRPr="008A353E" w:rsidRDefault="0009188E" w:rsidP="0009188E">
      <w:pPr>
        <w:pStyle w:val="NormalHanging12a"/>
      </w:pPr>
      <w:r w:rsidRPr="008A353E">
        <w:t>–</w:t>
      </w:r>
      <w:r w:rsidRPr="008A353E">
        <w:tab/>
        <w:t>der henviser til den stabiliserings- og associeringsaftale mellem Den Europæiske Union og Det Europæiske Atomenergifællesskab på den ene side og Kosovo på den anden side</w:t>
      </w:r>
      <w:r w:rsidRPr="008A353E">
        <w:rPr>
          <w:vertAlign w:val="superscript"/>
        </w:rPr>
        <w:footnoteReference w:id="1"/>
      </w:r>
      <w:r w:rsidRPr="008A353E">
        <w:t>, som trådte i kraft den 1. april 2016,</w:t>
      </w:r>
    </w:p>
    <w:p w:rsidR="0009188E" w:rsidRPr="008A353E" w:rsidRDefault="0009188E" w:rsidP="0009188E">
      <w:pPr>
        <w:pStyle w:val="NormalHanging12a"/>
      </w:pPr>
      <w:r w:rsidRPr="008A353E">
        <w:t>–</w:t>
      </w:r>
      <w:r w:rsidRPr="008A353E">
        <w:tab/>
        <w:t>der henviser til Kosovos ansøgning af 15. december 2022 om medlemskab af Den Europæiske Union,</w:t>
      </w:r>
    </w:p>
    <w:p w:rsidR="0009188E" w:rsidRPr="008A353E" w:rsidRDefault="0009188E" w:rsidP="0009188E">
      <w:pPr>
        <w:pStyle w:val="NormalHanging12a"/>
      </w:pPr>
      <w:r w:rsidRPr="008A353E">
        <w:t>–</w:t>
      </w:r>
      <w:r w:rsidRPr="008A353E">
        <w:tab/>
        <w:t>der henviser til Kosovos ansøgning af 12. maj 2022 om medlemskab af Europarådet,</w:t>
      </w:r>
    </w:p>
    <w:p w:rsidR="0009188E" w:rsidRPr="008A353E" w:rsidRDefault="0009188E" w:rsidP="0009188E">
      <w:pPr>
        <w:pStyle w:val="NormalHanging12a"/>
      </w:pPr>
      <w:r w:rsidRPr="008A353E">
        <w:t>–</w:t>
      </w:r>
      <w:r w:rsidRPr="008A353E">
        <w:tab/>
        <w:t>der henviser til den rammeaftale mellem Den Europæiske Union og Kosovo om de generelle principper for Kosovos deltagelse i EU-programmer</w:t>
      </w:r>
      <w:r w:rsidRPr="008A353E">
        <w:rPr>
          <w:vertAlign w:val="superscript"/>
        </w:rPr>
        <w:footnoteReference w:id="2"/>
      </w:r>
      <w:r w:rsidRPr="008A353E">
        <w:t>, der trådte i kraft den 1. august 2017,</w:t>
      </w:r>
    </w:p>
    <w:p w:rsidR="0009188E" w:rsidRPr="008A353E" w:rsidRDefault="0009188E" w:rsidP="0009188E">
      <w:pPr>
        <w:pStyle w:val="NormalHanging12a"/>
      </w:pPr>
      <w:r w:rsidRPr="008A353E">
        <w:t>–</w:t>
      </w:r>
      <w:r w:rsidRPr="008A353E">
        <w:tab/>
        <w:t>der henviser til Europa-Parlamentets og Rådets forordning (EU) 2021/1529 af 15. september 2021 om oprettelse af et instrument til førtiltrædelsesbistand (IPA III)</w:t>
      </w:r>
      <w:r w:rsidRPr="008A353E">
        <w:rPr>
          <w:vertAlign w:val="superscript"/>
        </w:rPr>
        <w:footnoteReference w:id="3"/>
      </w:r>
      <w:r w:rsidRPr="008A353E">
        <w:t>,</w:t>
      </w:r>
    </w:p>
    <w:p w:rsidR="0009188E" w:rsidRPr="008A353E" w:rsidRDefault="0009188E" w:rsidP="0009188E">
      <w:pPr>
        <w:pStyle w:val="NormalHanging12a"/>
      </w:pPr>
      <w:r w:rsidRPr="008A353E">
        <w:t>–</w:t>
      </w:r>
      <w:r w:rsidRPr="008A353E">
        <w:tab/>
        <w:t>der henviser til Europa-Parlamentets og Rådets forordning (EU) 2024/1449 af 14. maj 2024 om oprettelse af reform- og vækstfaciliteten for Vestbalkan</w:t>
      </w:r>
      <w:r w:rsidRPr="008A353E">
        <w:rPr>
          <w:vertAlign w:val="superscript"/>
        </w:rPr>
        <w:footnoteReference w:id="4"/>
      </w:r>
      <w:r w:rsidRPr="008A353E">
        <w:t>,</w:t>
      </w:r>
    </w:p>
    <w:p w:rsidR="0009188E" w:rsidRPr="008A353E" w:rsidRDefault="0009188E" w:rsidP="0009188E">
      <w:pPr>
        <w:pStyle w:val="NormalHanging12a"/>
      </w:pPr>
      <w:r w:rsidRPr="008A353E">
        <w:t>–</w:t>
      </w:r>
      <w:r w:rsidRPr="008A353E">
        <w:tab/>
        <w:t>der henviser til formandskabets konklusioner fra Det Europæiske Råds møde i Thessaloniki den 19. og 20. juni 2003,</w:t>
      </w:r>
    </w:p>
    <w:p w:rsidR="0009188E" w:rsidRPr="008A353E" w:rsidRDefault="0009188E" w:rsidP="0009188E">
      <w:pPr>
        <w:pStyle w:val="NormalHanging12a"/>
      </w:pPr>
      <w:r w:rsidRPr="008A353E">
        <w:t>–</w:t>
      </w:r>
      <w:r w:rsidRPr="008A353E">
        <w:tab/>
        <w:t xml:space="preserve">der henviser til erklæringerne fra topmøderne mellem EU og Vestbalkan af 17. maj 2018 i Sofia, af 6. maj 2020 i Zagreb, af 6. oktober 2021 i Brdo pri Kranju, af 6. december 2022 i Tirana, af 13. december 2023 i Bruxelles og af 18. december 2024 i Bruxelles, </w:t>
      </w:r>
    </w:p>
    <w:p w:rsidR="0009188E" w:rsidRPr="008A353E" w:rsidRDefault="0009188E" w:rsidP="0009188E">
      <w:pPr>
        <w:pStyle w:val="NormalHanging12a"/>
      </w:pPr>
      <w:r w:rsidRPr="008A353E">
        <w:lastRenderedPageBreak/>
        <w:t>–</w:t>
      </w:r>
      <w:r w:rsidRPr="008A353E">
        <w:tab/>
        <w:t>der henviser til Berlinprocessen, som blev igangsat den 28. august 2014,</w:t>
      </w:r>
    </w:p>
    <w:p w:rsidR="0009188E" w:rsidRPr="008A353E" w:rsidRDefault="0009188E" w:rsidP="0009188E">
      <w:pPr>
        <w:pStyle w:val="NormalHanging12a"/>
      </w:pPr>
      <w:r w:rsidRPr="008A353E">
        <w:t>–</w:t>
      </w:r>
      <w:r w:rsidRPr="008A353E">
        <w:tab/>
        <w:t>der henviser til Kommissionens meddelelse af 5. februar 2020 med titlen "Styrkelse af tiltrædelsesprocessen – Et troværdigt EU-perspektiv for landene på Vestbalkan" (COM(2020)0057),</w:t>
      </w:r>
    </w:p>
    <w:p w:rsidR="0009188E" w:rsidRPr="008A353E" w:rsidRDefault="0009188E" w:rsidP="0009188E">
      <w:pPr>
        <w:pStyle w:val="NormalHanging12a"/>
      </w:pPr>
      <w:r w:rsidRPr="008A353E">
        <w:t>–</w:t>
      </w:r>
      <w:r w:rsidRPr="008A353E">
        <w:tab/>
        <w:t>der henviser til Kommissionens meddelelse af 6. oktober 2020 med titlen "En økonomisk plan og investeringsplan for Vestbalkan" (COM(2020)0641),</w:t>
      </w:r>
    </w:p>
    <w:p w:rsidR="0009188E" w:rsidRPr="008A353E" w:rsidRDefault="0009188E" w:rsidP="0009188E">
      <w:pPr>
        <w:pStyle w:val="NormalHanging12a"/>
      </w:pPr>
      <w:r w:rsidRPr="008A353E">
        <w:t>–</w:t>
      </w:r>
      <w:r w:rsidRPr="008A353E">
        <w:tab/>
        <w:t>der henviser til Kommissionens meddelelse af 8. november 2023 med titlen "Meddelelse om EU's udvidelsespolitik 2023" (COM(2023)0690), som blev ledsaget af et arbejdsdokument fra Kommissionens tjenestegrene med titlen "Kosovo 2023 Report" (SWD(2023)0692),</w:t>
      </w:r>
    </w:p>
    <w:p w:rsidR="0009188E" w:rsidRPr="008A353E" w:rsidRDefault="0009188E" w:rsidP="0009188E">
      <w:pPr>
        <w:pStyle w:val="NormalHanging12a"/>
      </w:pPr>
      <w:r w:rsidRPr="008A353E">
        <w:t>–</w:t>
      </w:r>
      <w:r w:rsidRPr="008A353E">
        <w:tab/>
        <w:t>der henviser til Kommissionens meddelelse af 8. november 2023 med titlen "Ny vækstplan for landene på Vestbalkan" (COM(2023)0691),</w:t>
      </w:r>
    </w:p>
    <w:p w:rsidR="0009188E" w:rsidRPr="008A353E" w:rsidRDefault="0009188E" w:rsidP="0009188E">
      <w:pPr>
        <w:pStyle w:val="NormalHanging12a"/>
      </w:pPr>
      <w:r w:rsidRPr="008A353E">
        <w:t>–</w:t>
      </w:r>
      <w:r w:rsidRPr="008A353E">
        <w:tab/>
        <w:t>der henviser til Kommissionens meddelelse af 20. marts 2024 om førudvidelsesreformer og gennemgang af politikker (COM(2024)0146),</w:t>
      </w:r>
    </w:p>
    <w:p w:rsidR="0009188E" w:rsidRPr="008A353E" w:rsidRDefault="0009188E" w:rsidP="0009188E">
      <w:pPr>
        <w:pStyle w:val="NormalHanging12a"/>
      </w:pPr>
      <w:r w:rsidRPr="008A353E">
        <w:t>–</w:t>
      </w:r>
      <w:r w:rsidRPr="008A353E">
        <w:tab/>
        <w:t>der henviser til Kommissionens meddelelse af 30. oktober 2024 med titlen "Meddelelse om EU's udvidelsespolitik 2024" (COM(2024)0690), som blev ledsaget af et arbejdsdokument fra Kommissionens tjenestegrene med titlen "Kosovo 2024 Report" (SWD(2024)0692),</w:t>
      </w:r>
    </w:p>
    <w:p w:rsidR="0009188E" w:rsidRPr="008A353E" w:rsidRDefault="0009188E" w:rsidP="0009188E">
      <w:pPr>
        <w:pStyle w:val="NormalHanging12a"/>
      </w:pPr>
      <w:r w:rsidRPr="008A353E">
        <w:t>–</w:t>
      </w:r>
      <w:r w:rsidRPr="008A353E">
        <w:tab/>
        <w:t>der henviser til Kommissionens generelle resumé og landevurdering af 31. maj 2023 og 13. juni 2024 vedrørende Kosovos økonomiske reformprogram,</w:t>
      </w:r>
    </w:p>
    <w:p w:rsidR="0009188E" w:rsidRPr="008A353E" w:rsidRDefault="0009188E" w:rsidP="0009188E">
      <w:pPr>
        <w:pStyle w:val="NormalHanging12a"/>
      </w:pPr>
      <w:r w:rsidRPr="008A353E">
        <w:t>–</w:t>
      </w:r>
      <w:r w:rsidRPr="008A353E">
        <w:tab/>
        <w:t>der henviser til de fælles konklusioner fra den økonomiske og finansielle dialog mellem EU og Vestbalkan og Tyrkiet, som blev vedtaget af Rådet den 16. maj 2023, og til de fælles konklusioner fra den økonomiske og finansielle dialog mellem EU og partnerne på Vestbalkan, Tyrkiet, Georgien, Republikken Moldova og Ukraine, som blev vedtaget af Rådet den 14. maj 2024,</w:t>
      </w:r>
    </w:p>
    <w:p w:rsidR="0009188E" w:rsidRPr="008A353E" w:rsidRDefault="0009188E" w:rsidP="0009188E">
      <w:pPr>
        <w:pStyle w:val="NormalHanging12a"/>
      </w:pPr>
      <w:r w:rsidRPr="008A353E">
        <w:t>–</w:t>
      </w:r>
      <w:r w:rsidRPr="008A353E">
        <w:tab/>
        <w:t>der henviser til FN's Sikkerhedsråds resolution 1244 af 10. juni 1999, til den rådgivende udtalelse fra Den Internationale Domstol af 22. juli 2010 om Kosovos ensidige uafhængighedserklærings overensstemmelse med folkeretten samt til FN's Generalforsamlings resolution 64/298 af 9. september 2010, hvori Den Internationale Domstols udtalelse anerkendtes, og der blev udtrykt tilfredshed med EU's vilje til at fremme dialogen mellem Serbien og Kosovo,</w:t>
      </w:r>
    </w:p>
    <w:p w:rsidR="0009188E" w:rsidRPr="008A353E" w:rsidRDefault="0009188E" w:rsidP="0009188E">
      <w:pPr>
        <w:pStyle w:val="NormalHanging12a"/>
      </w:pPr>
      <w:r w:rsidRPr="008A353E">
        <w:t>–</w:t>
      </w:r>
      <w:r w:rsidRPr="008A353E">
        <w:tab/>
        <w:t>der henviser til den første aftale af 19. april 2013 om principperne for en normalisering af forholdet mellem Serbien og Kosovo, til aftalerne af 25. august 2015 og til den igangværende EU-støttede dialog med henblik på en normalisering af forholdet,</w:t>
      </w:r>
    </w:p>
    <w:p w:rsidR="0009188E" w:rsidRPr="008A353E" w:rsidRDefault="0009188E" w:rsidP="0009188E">
      <w:pPr>
        <w:pStyle w:val="NormalHanging12a"/>
      </w:pPr>
      <w:r w:rsidRPr="008A353E">
        <w:t>–</w:t>
      </w:r>
      <w:r w:rsidRPr="008A353E">
        <w:tab/>
        <w:t>der henviser til Bruxellesaftalen af 27. februar 2023 og Ohridaftalen af 18. marts 2023 og gennemførelsesbilaget hertil,</w:t>
      </w:r>
    </w:p>
    <w:p w:rsidR="0009188E" w:rsidRPr="008A353E" w:rsidRDefault="0009188E" w:rsidP="0009188E">
      <w:pPr>
        <w:pStyle w:val="NormalHanging12a"/>
      </w:pPr>
      <w:r w:rsidRPr="008A353E">
        <w:t>–</w:t>
      </w:r>
      <w:r w:rsidRPr="008A353E">
        <w:tab/>
        <w:t xml:space="preserve">der henviser til Rådets afgørelse (FUSP) 2023/1095 af 5. juni 2023 om ændring af fælles aktion 2008/124/FUSP om Den Europæiske Unions retsstatsmission i Kosovo </w:t>
      </w:r>
      <w:r w:rsidRPr="008A353E">
        <w:lastRenderedPageBreak/>
        <w:t>(EULEX Kosovo)</w:t>
      </w:r>
      <w:r w:rsidRPr="008A353E">
        <w:rPr>
          <w:vertAlign w:val="superscript"/>
        </w:rPr>
        <w:footnoteReference w:id="5"/>
      </w:r>
      <w:r w:rsidRPr="008A353E">
        <w:t>, som forlængede missionens mandat indtil den 14. juni 2025,</w:t>
      </w:r>
    </w:p>
    <w:p w:rsidR="0009188E" w:rsidRPr="008A353E" w:rsidRDefault="0009188E" w:rsidP="0009188E">
      <w:pPr>
        <w:pStyle w:val="NormalHanging12a"/>
      </w:pPr>
      <w:r w:rsidRPr="008A353E">
        <w:t>–</w:t>
      </w:r>
      <w:r w:rsidRPr="008A353E">
        <w:tab/>
        <w:t>der henviser til Europa-Parlamentets og Rådets forordning (EU) 2023/850 af 19. april 2023 om ændring af forordning (EU) 2018/1806 om fastlæggelse af listen over de tredjelande, hvis statsborgere skal være i besiddelse af visum ved passage af de ydre grænser, og listen over de tredjelande, hvis statsborgere er fritaget for dette krav (Kosovo)</w:t>
      </w:r>
      <w:r w:rsidRPr="008A353E">
        <w:rPr>
          <w:rStyle w:val="FootnoteReference"/>
        </w:rPr>
        <w:footnoteReference w:id="6"/>
      </w:r>
      <w:r w:rsidRPr="008A353E">
        <w:t>,</w:t>
      </w:r>
    </w:p>
    <w:p w:rsidR="0009188E" w:rsidRPr="008A353E" w:rsidRDefault="0009188E" w:rsidP="0009188E">
      <w:pPr>
        <w:pStyle w:val="NormalHanging12a"/>
      </w:pPr>
      <w:r w:rsidRPr="008A353E">
        <w:t>–</w:t>
      </w:r>
      <w:r w:rsidRPr="008A353E">
        <w:tab/>
        <w:t>der henviser til den endelige rapport fra EU's valgobservationsmission til kommunalvalget i Kosovo i 2021,</w:t>
      </w:r>
    </w:p>
    <w:p w:rsidR="0009188E" w:rsidRPr="008A353E" w:rsidRDefault="0009188E" w:rsidP="0009188E">
      <w:pPr>
        <w:pStyle w:val="NormalHanging12a"/>
        <w:rPr>
          <w:b/>
          <w:szCs w:val="24"/>
        </w:rPr>
      </w:pPr>
      <w:r w:rsidRPr="008A353E">
        <w:t>–</w:t>
      </w:r>
      <w:r w:rsidRPr="008A353E">
        <w:tab/>
        <w:t>der henviser til den foreløbige rapport fra EU's valgobservationsmission til parlamentsvalget i Kosovo i 2025,</w:t>
      </w:r>
    </w:p>
    <w:p w:rsidR="0009188E" w:rsidRPr="008A353E" w:rsidRDefault="0009188E" w:rsidP="0009188E">
      <w:pPr>
        <w:pStyle w:val="NormalHanging12a"/>
      </w:pPr>
      <w:r w:rsidRPr="008A353E">
        <w:t>–</w:t>
      </w:r>
      <w:r w:rsidRPr="008A353E">
        <w:tab/>
        <w:t>der henviser til det fjerde møde i stabiliserings- og associeringsrådet mellem Den Europæiske Union og Kosovo, som blev afholdt i Bruxelles den 7. december 2021,</w:t>
      </w:r>
    </w:p>
    <w:p w:rsidR="0009188E" w:rsidRPr="008A353E" w:rsidRDefault="0009188E" w:rsidP="0009188E">
      <w:pPr>
        <w:pStyle w:val="NormalHanging12a"/>
      </w:pPr>
      <w:r w:rsidRPr="008A353E">
        <w:t>–</w:t>
      </w:r>
      <w:r w:rsidRPr="008A353E">
        <w:tab/>
        <w:t>der henviser til sine tidligere beslutninger om Kosovo,</w:t>
      </w:r>
    </w:p>
    <w:p w:rsidR="0009188E" w:rsidRPr="008A353E" w:rsidRDefault="0009188E" w:rsidP="0009188E">
      <w:pPr>
        <w:pStyle w:val="NormalHanging12a"/>
      </w:pPr>
      <w:r w:rsidRPr="008A353E">
        <w:t>–</w:t>
      </w:r>
      <w:r w:rsidRPr="008A353E">
        <w:tab/>
        <w:t>der henviser til de fælles henstillinger fra det 12. møde i Det Parlamentariske Stabiliserings- og Associeringsudvalg EU-Kosovo, som blev afholdt den 9. december 2024,</w:t>
      </w:r>
    </w:p>
    <w:p w:rsidR="0009188E" w:rsidRPr="008A353E" w:rsidRDefault="0009188E" w:rsidP="0009188E">
      <w:pPr>
        <w:pStyle w:val="NormalHanging12a"/>
      </w:pPr>
      <w:r w:rsidRPr="008A353E">
        <w:t>–</w:t>
      </w:r>
      <w:r w:rsidRPr="008A353E">
        <w:tab/>
        <w:t>der henviser til Transparency Internationals korruptionsindeks for 2024,</w:t>
      </w:r>
    </w:p>
    <w:p w:rsidR="0009188E" w:rsidRPr="008A353E" w:rsidRDefault="0009188E" w:rsidP="0009188E">
      <w:pPr>
        <w:pStyle w:val="NormalHanging12a"/>
      </w:pPr>
      <w:r w:rsidRPr="008A353E">
        <w:t>–</w:t>
      </w:r>
      <w:r w:rsidRPr="008A353E">
        <w:tab/>
        <w:t>der henviser til det internationale pressefrihedsindeks for 2024 fra Journalister uden Grænser,</w:t>
      </w:r>
    </w:p>
    <w:p w:rsidR="0009188E" w:rsidRPr="008A353E" w:rsidRDefault="0009188E" w:rsidP="0009188E">
      <w:pPr>
        <w:pStyle w:val="NormalHanging12a"/>
      </w:pPr>
      <w:r w:rsidRPr="008A353E">
        <w:t>–</w:t>
      </w:r>
      <w:r w:rsidRPr="008A353E">
        <w:tab/>
        <w:t>der henviser til Democracy Report 2024 af mars 2024 fra Varieties of Democracy (V-Dem) Institute,</w:t>
      </w:r>
    </w:p>
    <w:p w:rsidR="0009188E" w:rsidRPr="008A353E" w:rsidRDefault="0009188E" w:rsidP="0009188E">
      <w:pPr>
        <w:pStyle w:val="NormalHanging12a"/>
      </w:pPr>
      <w:r w:rsidRPr="008A353E">
        <w:t>–</w:t>
      </w:r>
      <w:r w:rsidRPr="008A353E">
        <w:tab/>
        <w:t>der henviser til forretningsordenens artikel 55,</w:t>
      </w:r>
    </w:p>
    <w:p w:rsidR="0009188E" w:rsidRPr="008A353E" w:rsidRDefault="0009188E" w:rsidP="0009188E">
      <w:pPr>
        <w:pStyle w:val="NormalHanging12a"/>
      </w:pPr>
      <w:r w:rsidRPr="008A353E">
        <w:t>–</w:t>
      </w:r>
      <w:r w:rsidRPr="008A353E">
        <w:tab/>
        <w:t>der henviser til betænkning fra Udenrigsudvalget (A10-0075/2025),</w:t>
      </w:r>
    </w:p>
    <w:p w:rsidR="0009188E" w:rsidRPr="008A353E" w:rsidRDefault="0009188E" w:rsidP="0009188E">
      <w:pPr>
        <w:pStyle w:val="NormalHanging12a"/>
      </w:pPr>
      <w:r w:rsidRPr="008A353E">
        <w:t>A.</w:t>
      </w:r>
      <w:r w:rsidRPr="008A353E">
        <w:tab/>
        <w:t>der henviser til, at udvidelsespolitikken er et af EU's mest effektive udenrigspolitiske instrumenter og en af de mest vellykkede politikker til at tilskynde til og fremme grundlæggende reformer og en strategisk geopolitisk investering i langsigtet fred, stabilitet og sikkerhed på hele kontinentet;</w:t>
      </w:r>
    </w:p>
    <w:p w:rsidR="0009188E" w:rsidRPr="008A353E" w:rsidRDefault="0009188E" w:rsidP="0009188E">
      <w:pPr>
        <w:pStyle w:val="NormalHanging12a"/>
      </w:pPr>
      <w:r w:rsidRPr="008A353E">
        <w:t>B.</w:t>
      </w:r>
      <w:r w:rsidRPr="008A353E">
        <w:tab/>
        <w:t>der henviser til, at demokrati, menneskerettigheder og retsstatsprincippet er de grundlæggende værdier, som EU bygger på;</w:t>
      </w:r>
    </w:p>
    <w:p w:rsidR="0009188E" w:rsidRPr="008A353E" w:rsidRDefault="0009188E" w:rsidP="0009188E">
      <w:pPr>
        <w:pStyle w:val="NormalHanging12a"/>
      </w:pPr>
      <w:r w:rsidRPr="008A353E">
        <w:t>C.</w:t>
      </w:r>
      <w:r w:rsidRPr="008A353E">
        <w:tab/>
        <w:t>der henviser til, at EU's udvidelsesproces er et strategisk instrument til styrkelse af stabilitet, demokrati og økonomisk udvikling i Europa, og at hvert udvidelsesland vurderes på grundlag af sine egne resultater, og at gennemførelsen af de nødvendige reformer og overholdelse af sættet af kriterier og fælles europæiske værdier er afgørende for tidsplanen og fremskridtene hen imod tiltrædelse;</w:t>
      </w:r>
      <w:r w:rsidRPr="008A353E">
        <w:rPr>
          <w:b/>
        </w:rPr>
        <w:t xml:space="preserve"> </w:t>
      </w:r>
      <w:r w:rsidRPr="008A353E">
        <w:t xml:space="preserve">der henviser til, at Kosovos vej mod EU-medlemskab også afhænger af normaliseringen af forbindelserne </w:t>
      </w:r>
      <w:r w:rsidRPr="008A353E">
        <w:lastRenderedPageBreak/>
        <w:t>med Serbien;</w:t>
      </w:r>
    </w:p>
    <w:p w:rsidR="0009188E" w:rsidRPr="008A353E" w:rsidRDefault="0009188E" w:rsidP="0009188E">
      <w:pPr>
        <w:pStyle w:val="NormalHanging12a"/>
      </w:pPr>
      <w:r w:rsidRPr="008A353E">
        <w:t>D.</w:t>
      </w:r>
      <w:r w:rsidRPr="008A353E">
        <w:tab/>
        <w:t>der henviser til, at EU er den største donor af økonomisk støtte til Kosovo;</w:t>
      </w:r>
    </w:p>
    <w:p w:rsidR="0009188E" w:rsidRPr="008A353E" w:rsidRDefault="0009188E" w:rsidP="0009188E">
      <w:pPr>
        <w:pStyle w:val="NormalHanging12a"/>
        <w:rPr>
          <w:szCs w:val="24"/>
        </w:rPr>
      </w:pPr>
      <w:r w:rsidRPr="008A353E">
        <w:t>E.</w:t>
      </w:r>
      <w:r w:rsidRPr="008A353E">
        <w:tab/>
        <w:t>der henviser til, at Kosovo har været udsat for udenlandsk indblanding og desinformationskampagner, navnlig fra Rusland, især gennem serbiske nationalistiske medier, og Kina, bl.a. gennem blød magt, der har til formål at destabilisere landets demokratiske institutioner, bringe den samfundsmæssige samhørighed i fare og tilskynde til etnisk vold; der henviser til, at angrebet i Banjska/Banjskë i september 2023 blev efterfulgt af en massiv spredning af desinformation, der yderligere forværrede spændingerne; der henviser til, at Kosovos myndigheder vedtog loven om den uafhængige mediekommission i juli 2024; der henviser til, at Europarådet i maj 2024 offentliggjorde en juridisk udtalelse om lovforslaget om den uafhængige mediekommission, hvori det gav udtryk for bekymring over visse aspekter af lovforslaget, som det var på daværende tidspunkt, og fremsatte anbefalinger til, hvordan disse bekymringer kunne imødegås; der henviser til, at den endelige tekst til loven om den uafhængige mediekommission ikke afspejlede de fleste af de fremsatte anbefalinger;</w:t>
      </w:r>
    </w:p>
    <w:p w:rsidR="0009188E" w:rsidRPr="008A353E" w:rsidRDefault="0009188E" w:rsidP="0009188E">
      <w:pPr>
        <w:pStyle w:val="NormalHanging12a"/>
        <w:rPr>
          <w:b/>
          <w:szCs w:val="24"/>
        </w:rPr>
      </w:pPr>
      <w:r w:rsidRPr="008A353E">
        <w:t>F.</w:t>
      </w:r>
      <w:r w:rsidRPr="008A353E">
        <w:tab/>
        <w:t>der henviser til, at Den Europæiske Unions retsstatsmission i Kosovo, også kendt som EULEX, er den største civile mission, der nogensinde er iværksat under Den Europæiske Unions fælles sikkerheds- og forsvarspolitik (FSFP);</w:t>
      </w:r>
    </w:p>
    <w:p w:rsidR="0009188E" w:rsidRPr="008A353E" w:rsidRDefault="0009188E" w:rsidP="0009188E">
      <w:pPr>
        <w:pStyle w:val="NormalHanging12a"/>
        <w:rPr>
          <w:szCs w:val="24"/>
        </w:rPr>
      </w:pPr>
      <w:r w:rsidRPr="008A353E">
        <w:t>G.</w:t>
      </w:r>
      <w:r w:rsidRPr="008A353E">
        <w:tab/>
        <w:t>der henviser til, at der i 2018 og 2023 blev underskrevet andragender af over 500 personer, der historisk set selv identificerer sig som bulgarere;</w:t>
      </w:r>
    </w:p>
    <w:p w:rsidR="0009188E" w:rsidRPr="008A353E" w:rsidRDefault="0009188E" w:rsidP="0009188E">
      <w:pPr>
        <w:pStyle w:val="Normal12a24b"/>
        <w:spacing w:before="0"/>
      </w:pPr>
      <w:r w:rsidRPr="008A353E">
        <w:rPr>
          <w:rStyle w:val="BoldItalic"/>
        </w:rPr>
        <w:t>Engagement i EU-medlemskab</w:t>
      </w:r>
    </w:p>
    <w:p w:rsidR="0009188E" w:rsidRPr="008A353E" w:rsidRDefault="0009188E" w:rsidP="0009188E">
      <w:pPr>
        <w:pStyle w:val="NormalHanging12a"/>
      </w:pPr>
      <w:r w:rsidRPr="008A353E">
        <w:t>1.</w:t>
      </w:r>
      <w:r w:rsidRPr="008A353E">
        <w:tab/>
        <w:t>roser Kosovos engagement i EU-medlemskab, som afspejler et klart strategisk geopolitisk valg, og dets borgeres fortsatte stærke støtte til Kosovos vej mod EU; gentager, at Kosovo har været konsekvent i sin indsats for at integrere sig i Den Europæiske Union;</w:t>
      </w:r>
    </w:p>
    <w:p w:rsidR="0009188E" w:rsidRPr="008A353E" w:rsidRDefault="0009188E" w:rsidP="0009188E">
      <w:pPr>
        <w:pStyle w:val="NormalHanging12a"/>
      </w:pPr>
      <w:r w:rsidRPr="008A353E">
        <w:t>2.</w:t>
      </w:r>
      <w:r w:rsidRPr="008A353E">
        <w:tab/>
        <w:t>gentager sin faste overbevisning om, at Kosovos fremtid ligger i EU, og at alle bestræbelser på at bringe Kosovo ud af den grå zone er i både Kosovos og EU's befolknings interesse, navnlig i lyset af den aktuelle dynamiske geopolitiske situation i regionen, hurtige og store geopolitiske omvæltninger og den stigende konkurrence med autoritære regimer;</w:t>
      </w:r>
    </w:p>
    <w:p w:rsidR="0009188E" w:rsidRPr="008A353E" w:rsidRDefault="0009188E" w:rsidP="0009188E">
      <w:pPr>
        <w:pStyle w:val="NormalHanging12a"/>
        <w:rPr>
          <w:szCs w:val="24"/>
        </w:rPr>
      </w:pPr>
      <w:r w:rsidRPr="008A353E">
        <w:t>3.</w:t>
      </w:r>
      <w:r w:rsidRPr="008A353E">
        <w:tab/>
        <w:t>støtter Kosovos ansøgning om EU-medlemskab, som afspejler en overvældende konsensus på tværs af partierne om EU-integration og et klart geopolitisk strategisk valg; gentager sin opfordring til medlemsstaterne i Rådet om at give Kommissionen til opgave at udlevere spørgeskemaet til landet og fremlægge en udtalelse om berettigelsen af landets ansøgning; opfordrer indtrængende de medlemsstater, der endnu ikke har anerkendt Kosovos uafhængighed, til straks at gøre dette og dermed give Kosovo mulighed for at gøre fremskridt på sin vej mod EU på lige fod med de øvrige kandidatlande; minder om Den Internationale Domstols (ICJ) rådgivende udtalelse af 22. juli 2010, hvori det fastslås, at Kosovos ensidige uafhængighedserklæring ikke er i strid med den almindelige folkeret;</w:t>
      </w:r>
    </w:p>
    <w:p w:rsidR="0009188E" w:rsidRPr="008A353E" w:rsidRDefault="0009188E" w:rsidP="0009188E">
      <w:pPr>
        <w:pStyle w:val="NormalHanging12a"/>
      </w:pPr>
      <w:r w:rsidRPr="008A353E">
        <w:t>4.</w:t>
      </w:r>
      <w:r w:rsidRPr="008A353E">
        <w:tab/>
        <w:t xml:space="preserve">minder om, at medlemskab af Den Europæiske Union er baseret på en meritbaseret proces, der er betinget af en streng gennemførelse af reformer, der er i </w:t>
      </w:r>
      <w:r w:rsidRPr="008A353E">
        <w:lastRenderedPageBreak/>
        <w:t>overensstemmelse med de højeste europæiske standarder, navnlig overholdelse af Københavnskriterierne og af retsstatsprincippet, og som sikrer en effektiv anvendelse af lovgivningen i praksis; opfordrer Kosovo til at fortsætte sine bestræbelser i denne henseende ved yderligere at styrke sin forpligtelse til at leve op til Unionens værdier og standarder; understreger, at udvidelsen også indebærer en grundig forberedelse af potentielle nye medlemmer, samtidig med at det indre markeds økonomiske stabilitet, sociale og miljømæssige standarder og EU-institutionernes korrekte funktion respekteres;</w:t>
      </w:r>
    </w:p>
    <w:p w:rsidR="0009188E" w:rsidRPr="008A353E" w:rsidRDefault="0009188E" w:rsidP="0009188E">
      <w:pPr>
        <w:pStyle w:val="NormalHanging12a"/>
      </w:pPr>
      <w:r w:rsidRPr="008A353E">
        <w:t>5.</w:t>
      </w:r>
      <w:r w:rsidRPr="008A353E">
        <w:tab/>
        <w:t>glæder sig over den visumliberalisering, der blev vedtaget i april 2023 og har været gældende siden den 1. januar 2024, og som er et håndgribeligt resultat af Kosovos stadig tættere forbindelser med EU og bevis på den indsats, Kosovo har gjort på sin vej mod europæisk integration; glæder sig over Kosovos beslutning om ensidigt at afskaffe visumkrav for borgere fra Bosnien-Hercegovina; glæder sig over Spaniens beslutning om siden januar 2024 at anerkende almindelige pas udstedt af Kosovo som gyldige rejsedokumenter;</w:t>
      </w:r>
    </w:p>
    <w:p w:rsidR="0009188E" w:rsidRPr="008A353E" w:rsidRDefault="0009188E" w:rsidP="0009188E">
      <w:pPr>
        <w:pStyle w:val="NormalHanging12a"/>
      </w:pPr>
      <w:r w:rsidRPr="008A353E">
        <w:t>6.</w:t>
      </w:r>
      <w:r w:rsidRPr="008A353E">
        <w:tab/>
        <w:t>bemærker de håndgribelige fremskridt inden for områderne retfærdighed, frihed og sikkerhed, bekæmpelse af organiseret kriminalitet samt en fungerende markedsøkonomi; beklager, at fremskridtet på retsstatsområdet er begrænset, og opfordrer til fremskyndelse af reformer på området; glæder sig over Kosovos ambition om at fremme gennemførelsen af reformer, der fortsat er landets prioritet; beklager manglen på beslutningsdygtighed i Kosovos nationalforsamling som følge af de politiske partiers boykot af forsamlingens arbejde forud for parlamentsvalget;</w:t>
      </w:r>
    </w:p>
    <w:p w:rsidR="0009188E" w:rsidRPr="008A353E" w:rsidRDefault="0009188E" w:rsidP="0009188E">
      <w:pPr>
        <w:pStyle w:val="NormalHanging12a"/>
      </w:pPr>
      <w:r w:rsidRPr="008A353E">
        <w:t>7.</w:t>
      </w:r>
      <w:r w:rsidRPr="008A353E">
        <w:tab/>
        <w:t>beklager politiseringen af institutioner såsom den centrale valgkommission og den uafhængige mediekommission;</w:t>
      </w:r>
    </w:p>
    <w:p w:rsidR="0009188E" w:rsidRPr="008A353E" w:rsidRDefault="0009188E" w:rsidP="0009188E">
      <w:pPr>
        <w:pStyle w:val="NormalHanging12a"/>
      </w:pPr>
      <w:r w:rsidRPr="008A353E">
        <w:t>8.</w:t>
      </w:r>
      <w:r w:rsidRPr="008A353E">
        <w:tab/>
        <w:t>roser Kosovos igangværende tilpasning til EU's udenrigs- og sikkerhedspolitik, navnlig dets stærke fordømmelse af Ruslands angrebskrig mod Ukraine, og dets gennemførelse af EU's restriktive foranstaltninger over for Rusland og Belarus, der er i overensstemmelse med Unionens udenrigspolitik, og dets støtte gennem humanitære bistandspakker og militære bistandspakker til Ukraine, som bekræfter, at Kosovo er en pålidelig og værdifuld partner, der er engageret i EU-integration og bekræfter Kosovos klare geopolitiske orientering, som er fast forankret i den europæiske og transatlantiske alliance;</w:t>
      </w:r>
    </w:p>
    <w:p w:rsidR="0009188E" w:rsidRPr="008A353E" w:rsidRDefault="0009188E" w:rsidP="0009188E">
      <w:pPr>
        <w:pStyle w:val="NormalHanging12a"/>
        <w:rPr>
          <w:szCs w:val="24"/>
        </w:rPr>
      </w:pPr>
      <w:r w:rsidRPr="008A353E">
        <w:t>9.</w:t>
      </w:r>
      <w:r w:rsidRPr="008A353E">
        <w:tab/>
        <w:t>opfordrer til øjeblikkelig ophævelse af EU's foranstaltninger mod Kosovo, som ikke længere er berettigede, idet Kosovo har opfyldt EU's krav, og da foranstaltningerne står i stærkt modstrid med Kosovos påviste engagement i europæiske værdier og tilpasning til EU's politikker, og da de begrænser virkningen af EU's partnerskab med Kosovo og hindrer genoptagelsen af dialogen mellem Beograd og Pristina i god tro;</w:t>
      </w:r>
    </w:p>
    <w:p w:rsidR="0009188E" w:rsidRPr="008A353E" w:rsidRDefault="0009188E" w:rsidP="0009188E">
      <w:pPr>
        <w:pStyle w:val="NormalHanging12a"/>
      </w:pPr>
      <w:r w:rsidRPr="008A353E">
        <w:t>10.</w:t>
      </w:r>
      <w:r w:rsidRPr="008A353E">
        <w:tab/>
        <w:t>gentager sin fulde opbakning til Kosovos ansøgning om medlemskab af Europarådet og til landets strategiske orientering om at tilslutte sig NATO's program "Partnerskab for fred" og dets forsøg på at tilslutte sig andre internationale organisationer; opfordrer de relevante organisationer og medlemsstaterne til proaktivt at støtte Kosovos respektive forsøg;</w:t>
      </w:r>
      <w:r w:rsidRPr="008A353E">
        <w:rPr>
          <w:color w:val="FF0000"/>
        </w:rPr>
        <w:t xml:space="preserve"> </w:t>
      </w:r>
      <w:r w:rsidRPr="008A353E">
        <w:t>opfordrer Kommissionen og EU-kontoret i Kosovo til at intensivere deres bestræbelser på at øge synligheden og fremhæve betydningen af samt indsatsen fra og fordelene ved et tættere partnerskab mellem EU og Kosovo;</w:t>
      </w:r>
    </w:p>
    <w:p w:rsidR="0009188E" w:rsidRPr="008A353E" w:rsidRDefault="0009188E" w:rsidP="0009188E">
      <w:pPr>
        <w:pStyle w:val="NormalHanging12a"/>
        <w:rPr>
          <w:b/>
          <w:i/>
        </w:rPr>
      </w:pPr>
      <w:r w:rsidRPr="008A353E">
        <w:t>11.</w:t>
      </w:r>
      <w:r w:rsidRPr="008A353E">
        <w:rPr>
          <w:b/>
          <w:i/>
        </w:rPr>
        <w:tab/>
      </w:r>
      <w:r w:rsidRPr="008A353E">
        <w:t xml:space="preserve">glæder sig over, at Kosovo reducerede den administrative byrde ved at forenkle </w:t>
      </w:r>
      <w:r w:rsidRPr="008A353E">
        <w:lastRenderedPageBreak/>
        <w:t>procedurerne gennem gennemførelsen af det relaterede program for 2022-2027; bemærker, at den strategiske ramme for den offentlige forvaltning er på plads, men ikke gennemført effektivt; beklager, at forsinkelser i reformen af den offentlige forvaltning har svækket forvaltningen af EU-midler, og at ansvarligheden i den offentlige sektor er utilstrækkelig; opfordrer Kosovo til at forbedre den offentlige forvaltning og det meritbaserede system for offentlige tjenester ved at ændre og vedtage loven om offentligt ansatte og loven om det uafhængige tilsynsorgan for offentlige tjenester;</w:t>
      </w:r>
    </w:p>
    <w:p w:rsidR="0009188E" w:rsidRPr="008A353E" w:rsidRDefault="0009188E" w:rsidP="0009188E">
      <w:pPr>
        <w:pStyle w:val="NormalHanging12a"/>
      </w:pPr>
      <w:r w:rsidRPr="008A353E">
        <w:t>12.</w:t>
      </w:r>
      <w:r w:rsidRPr="008A353E">
        <w:tab/>
        <w:t>beklager, at Kosovos forfatningsdomstols afgørelse om loven om lønninger, som samler og forener det nuværende lønsystem for offentligt ansatte, endnu ikke er gennemført; opfordrer Kosovos regering til at revidere sin lovgivning om forvaltning af offentlige finanser for at opfylde internationale standarder og til at indarbejde metoden for offentlige investeringer i den reviderede lovgivning;</w:t>
      </w:r>
    </w:p>
    <w:p w:rsidR="0009188E" w:rsidRPr="008A353E" w:rsidRDefault="0009188E" w:rsidP="0009188E">
      <w:pPr>
        <w:pStyle w:val="NormalHanging12a"/>
        <w:rPr>
          <w:b/>
          <w:i/>
        </w:rPr>
      </w:pPr>
      <w:r w:rsidRPr="008A353E">
        <w:rPr>
          <w:b/>
          <w:i/>
        </w:rPr>
        <w:t>Demokrati og retsstatsprincippet</w:t>
      </w:r>
    </w:p>
    <w:p w:rsidR="0009188E" w:rsidRDefault="0009188E" w:rsidP="0009188E">
      <w:pPr>
        <w:pStyle w:val="NormalHanging12a"/>
      </w:pPr>
      <w:r w:rsidRPr="008A353E">
        <w:t>13.</w:t>
      </w:r>
      <w:r w:rsidRPr="008A353E">
        <w:tab/>
        <w:t>glæder sig over de vigtige og positive fremskridt med hensyn til at imødekomme mange af EU's valgobservationsmissions (EUEOM's) mangeårige henstillinger og med hensyn til at fremlægge en konsensusbaseret lov om parlamentsvalg; bemærker, at dette giver tilstrækkeligt grundlag for at afholde demokratiske valg i overensstemmelse med internationale og regionale normer; bemærker, at Den Europæiske Union som svar på en opfordring fra Kosovos præsident udsendte en EU-valgobservationsmission, herunder en observatørdelegation af medlemmer af Europa-Parlamentet, til at observere parlamentsvalget i Kosovo den 9. februar 2025;</w:t>
      </w:r>
      <w:r w:rsidRPr="008A353E">
        <w:rPr>
          <w:b/>
        </w:rPr>
        <w:t xml:space="preserve"> </w:t>
      </w:r>
      <w:r w:rsidRPr="008A353E">
        <w:t>glæder sig over konklusionerne fra EU's valgobservationsmission, der bekræfter, at valget den 9. februar 2025 overordnet var fredeligt, frit og retfærdigt og havde deltagelse af alle samfundsgrupper i Kosovo; beklager de politiske partiers hårde retorik under valgkampen; noterer sig de tekniske problemer, der opstod under optællingsprocessen, og opfordrer Kosovos myndigheder til at øge deres bestræbelser på at forbedre organiseringen af det næste valg; bemærker manglen på reel politisk pluralisme i det kosovoserbiske samfund ved parlamentsvalget på trods af flere kosovoserbiske valglister; er bekymret over rapporter om det fortsatte pres på vælgere fra det serbiske samfund, der udøves fra Beograd; fordømmer den amerikanske særlige udsending Richard Grenells gentagne indblandinger i valgkampen;</w:t>
      </w:r>
    </w:p>
    <w:p w:rsidR="00FD0FEA" w:rsidRPr="00022405" w:rsidRDefault="00FD0FEA" w:rsidP="0009188E">
      <w:pPr>
        <w:pStyle w:val="NormalHanging12a"/>
        <w:rPr>
          <w:szCs w:val="24"/>
        </w:rPr>
      </w:pPr>
      <w:r>
        <w:rPr>
          <w:szCs w:val="24"/>
        </w:rPr>
        <w:t>14</w:t>
      </w:r>
      <w:r w:rsidRPr="00022405">
        <w:rPr>
          <w:szCs w:val="24"/>
        </w:rPr>
        <w:t>.</w:t>
      </w:r>
      <w:r w:rsidRPr="00022405">
        <w:rPr>
          <w:szCs w:val="24"/>
        </w:rPr>
        <w:tab/>
        <w:t>bemærker med bekymring det politiske dødvande som følge af det fragmenterede politiske landskab og det hidtil fejlslagne valg af en formand for parlamentet, hvilket hindrer dannelsen af en regering efter parlamentsvalget den 9. februar 2025 og forsinker parlamentets behandling af en række budgettekster; tilskynder de politiske partier til at samarbejde for at komme ud af dette dødvande hurtigst muligt;</w:t>
      </w:r>
    </w:p>
    <w:p w:rsidR="0009188E" w:rsidRPr="008A353E" w:rsidRDefault="00C05ADC" w:rsidP="0009188E">
      <w:pPr>
        <w:pStyle w:val="NormalHanging12a"/>
      </w:pPr>
      <w:r>
        <w:t>15</w:t>
      </w:r>
      <w:r w:rsidR="0009188E" w:rsidRPr="008A353E">
        <w:t>.</w:t>
      </w:r>
      <w:r w:rsidR="0009188E" w:rsidRPr="008A353E">
        <w:tab/>
        <w:t>bemærker med bekymring, at loven om lokalvalg og loven om parlamentsvalg stadig ikke er gennemført og harmoniseret med loven om ligestilling mellem kønnene, som kræver 50 % lige repræsentation af kvinder og mænd; beklager, at kvinder fortsat er underrepræsenteret;</w:t>
      </w:r>
    </w:p>
    <w:p w:rsidR="0009188E" w:rsidRPr="008A353E" w:rsidRDefault="00C05ADC" w:rsidP="0009188E">
      <w:pPr>
        <w:pStyle w:val="NormalHanging12a"/>
      </w:pPr>
      <w:r>
        <w:t>16</w:t>
      </w:r>
      <w:r w:rsidR="0009188E" w:rsidRPr="008A353E">
        <w:t>.</w:t>
      </w:r>
      <w:r w:rsidR="0009188E" w:rsidRPr="008A353E">
        <w:tab/>
        <w:t>glæder sig over vedtagelsen af loven om den særlige anklagemyndighed og fremskridtene med hensyn til at dømme sager om korruption;</w:t>
      </w:r>
      <w:r w:rsidR="0009188E" w:rsidRPr="008A353E">
        <w:rPr>
          <w:b/>
          <w:i/>
        </w:rPr>
        <w:t xml:space="preserve"> </w:t>
      </w:r>
      <w:r w:rsidR="0009188E" w:rsidRPr="008A353E">
        <w:t xml:space="preserve">roser den særlige anklagemyndigheds aktive arbejde med at løse syv sager om krigsforbrydelser; opfordrer til en yderligere præcisering af kompetencefordelingen mellem den særlige anklagemyndighed og den grundlæggende anklagemyndighed i forbindelse med efterforskning og retsforfølgning; opfordrer Kosovo til fortsat at styrke den særlige anklagemyndighed ved at øge dens kapacitet til at efterforske og retsforfølge i højt </w:t>
      </w:r>
      <w:r w:rsidR="0009188E" w:rsidRPr="008A353E">
        <w:lastRenderedPageBreak/>
        <w:t>profilerede sager om organiseret kriminalitet; opfordrer politiet og den særlige anklagemyndighed til at arbejde tæt sammen om at udvikle strategier for en mere effektiv efterforskning med en klar ansvarsfordeling;</w:t>
      </w:r>
    </w:p>
    <w:p w:rsidR="0009188E" w:rsidRPr="008A353E" w:rsidRDefault="00C05ADC" w:rsidP="0009188E">
      <w:pPr>
        <w:pStyle w:val="NormalHanging12a"/>
        <w:rPr>
          <w:bCs/>
          <w:iCs/>
        </w:rPr>
      </w:pPr>
      <w:r>
        <w:t>17</w:t>
      </w:r>
      <w:r w:rsidR="0009188E" w:rsidRPr="008A353E">
        <w:t>.</w:t>
      </w:r>
      <w:r w:rsidR="0009188E" w:rsidRPr="008A353E">
        <w:tab/>
        <w:t>noterer sig fremskridtene i Kosovos placering i korruptionsindekset, da landet er gået 10 pladser frem siden sidste år, og anser dette for at være en positiv udvikling, og bemærker, at dette både skyldes fald i andre landes scorer og, hvad der er mere betydningsfuldt, vedtagelse af god lovgivning i Kosovo, men mener dog, at Kosovos placering stadig stort set er utilfredsstillende; understreger, at borgernes tillid ikke kun vindes med lovgivningsmæssige reformer, men at det også kræver synlige resultater med hensyn til efterforskning, retsforfølgning og domfældelse i korruptionssager på alle niveauer; beklager imidlertid, at Kosovo siden 2019 har manglet en strategi til bekæmpelse af korruption, og opfordrer indtrængende til, at der gøres en større indsats for at prioritere færdiggørelse af denne strategi; gentager, at der er behov for et stærkt politisk engagement for at opnå solide resultater i bekæmpelsen af korruption på højt plan;</w:t>
      </w:r>
    </w:p>
    <w:p w:rsidR="0009188E" w:rsidRPr="008A353E" w:rsidRDefault="00C05ADC" w:rsidP="0009188E">
      <w:pPr>
        <w:pStyle w:val="NormalHanging12a"/>
      </w:pPr>
      <w:r>
        <w:t>18</w:t>
      </w:r>
      <w:r w:rsidR="0009188E" w:rsidRPr="008A353E">
        <w:t>.</w:t>
      </w:r>
      <w:r w:rsidR="0009188E" w:rsidRPr="008A353E">
        <w:tab/>
        <w:t xml:space="preserve">udtrykker alvorlig bekymring over systemiske sårbarheder i Kosovos retsvæsen, navnlig med hensyn til retssystemets uafhængighed og respekten for magtens tredeling; gentager sin bekymring over forsinkelser i retssager og regeringsembedsmænds fortsatte kritik af retsafgørelser i individuelle sager; </w:t>
      </w:r>
      <w:r w:rsidR="00FD0FEA" w:rsidRPr="00FD0FEA">
        <w:t>glæder sig over</w:t>
      </w:r>
      <w:r w:rsidR="0009188E" w:rsidRPr="008A353E">
        <w:t xml:space="preserve">, at regeringen </w:t>
      </w:r>
      <w:r w:rsidR="00FD0FEA" w:rsidRPr="00FD0FEA">
        <w:t xml:space="preserve">i december 2024 forelagde sit udkast til lovgivning </w:t>
      </w:r>
      <w:r w:rsidR="0009188E" w:rsidRPr="008A353E">
        <w:t xml:space="preserve">om reformer af retsvæsenet </w:t>
      </w:r>
      <w:r w:rsidR="00FD0FEA" w:rsidRPr="00FD0FEA">
        <w:t>for Venedigkommissionen, og at den første udtalelse blev afgivet af Venedigkommissionen den 18. marts 2025</w:t>
      </w:r>
      <w:r w:rsidR="0009188E" w:rsidRPr="008A353E">
        <w:t>; opfordrer Kosovo til at sikre, at lovgivningen om retsvæsenets integritet og ansvarlighed er i overensstemmelse med europæiske standarder og Venedigkommissionens anbefalinger; opfordrer Kosovos regering til at afsætte tilstrækkelige midler til retssystemet; glæder sig over oprettelsen af handelsretten og fremskridt med hensyn til rekruttering af dommere og anklagere i en meritbaseret og gennemsigtig proces og en generel øget gennemsigtighed;</w:t>
      </w:r>
    </w:p>
    <w:p w:rsidR="0009188E" w:rsidRPr="008A353E" w:rsidRDefault="00C05ADC" w:rsidP="0009188E">
      <w:pPr>
        <w:pStyle w:val="NormalHanging12a"/>
        <w:rPr>
          <w:szCs w:val="24"/>
        </w:rPr>
      </w:pPr>
      <w:r>
        <w:t>19</w:t>
      </w:r>
      <w:r w:rsidR="0009188E" w:rsidRPr="008A353E">
        <w:t>.</w:t>
      </w:r>
      <w:r w:rsidR="0009188E" w:rsidRPr="008A353E">
        <w:tab/>
        <w:t>glæder sig over kosovoserbernes deltagelse i parlamentsvalget og opfordrer deres folkevalgte repræsentanter til at spille en aktiv rolle inden for Kosovos lovgivningsmæssige ramme til støtte for Kosovos europæiske fremtid; beklager imidlertid boykotten af partier, der repræsenterer kosovoserbere, under lokalvalget i april 2023 og kosovoserbernes tilbagetrækning fra Kosovos institutioner; udtrykker bekymring over Serbiens indblanding i parlamentsvalget gennem Srpska Lista (SL);</w:t>
      </w:r>
    </w:p>
    <w:p w:rsidR="0009188E" w:rsidRPr="008A353E" w:rsidRDefault="00C05ADC" w:rsidP="0009188E">
      <w:pPr>
        <w:pStyle w:val="NormalHanging12a"/>
        <w:rPr>
          <w:b/>
        </w:rPr>
      </w:pPr>
      <w:r>
        <w:t>20</w:t>
      </w:r>
      <w:r w:rsidR="0009188E" w:rsidRPr="008A353E">
        <w:t>.</w:t>
      </w:r>
      <w:r w:rsidR="0009188E" w:rsidRPr="008A353E">
        <w:tab/>
        <w:t>glæder sig over gennemførelsen af forfatningsdomstolens dom fra 2016 om Visoki Dečani/Deçani-klosterets ejendomsret ved i marts 2024 at registrere klosteret som den rette ejer af jorden;</w:t>
      </w:r>
    </w:p>
    <w:p w:rsidR="0009188E" w:rsidRPr="008A353E" w:rsidRDefault="00C05ADC" w:rsidP="0009188E">
      <w:pPr>
        <w:pStyle w:val="NormalHanging12a"/>
      </w:pPr>
      <w:r>
        <w:t>21</w:t>
      </w:r>
      <w:r w:rsidR="0009188E" w:rsidRPr="008A353E">
        <w:t>.</w:t>
      </w:r>
      <w:r w:rsidR="0009188E" w:rsidRPr="008A353E">
        <w:tab/>
        <w:t>bemærker den stadige stigning i antallet af domme for organiseret kriminalitet og den kendsgerning, at den retlige ramme for bekæmpelsen af organiseret kriminalitet er tilpasset gældende EU-ret; understreger behovet for, at anklagemyndigheden og politiet styrker deres fælles indsats mod kriminelle grupper og netværk; udtrykker bekymring over sikkerhedsudfordringerne i det nordlige Kosovo, navnlig efter angrebet i Banjska/Banjskë i september 2023, som krævede betydelige politiressourcer; understreger behovet for at udvide samarbejdet inden for bekæmpelse af narkotikahandel; opfordrer til yderligere tilpasning med hensyn til bekæmpelse af terrorisme;</w:t>
      </w:r>
    </w:p>
    <w:p w:rsidR="0009188E" w:rsidRPr="008A353E" w:rsidRDefault="00C05ADC" w:rsidP="0009188E">
      <w:pPr>
        <w:pStyle w:val="NormalHanging12a"/>
      </w:pPr>
      <w:r>
        <w:t>22</w:t>
      </w:r>
      <w:r w:rsidR="0009188E" w:rsidRPr="008A353E">
        <w:t>.</w:t>
      </w:r>
      <w:r w:rsidR="0009188E" w:rsidRPr="008A353E">
        <w:tab/>
        <w:t xml:space="preserve">glæder sig over vedtagelsen af strategien og handlingsplanen for kontrol med </w:t>
      </w:r>
      <w:r w:rsidR="0009188E" w:rsidRPr="008A353E">
        <w:lastRenderedPageBreak/>
        <w:t>håndvåben og lette våben og sprængstoffer samt den høje grad af overholdelse af reglerne i FN's våbenprotokol;</w:t>
      </w:r>
    </w:p>
    <w:p w:rsidR="0009188E" w:rsidRPr="008A353E" w:rsidRDefault="00C05ADC" w:rsidP="0009188E">
      <w:pPr>
        <w:pStyle w:val="NormalHanging12a"/>
      </w:pPr>
      <w:r>
        <w:t>23</w:t>
      </w:r>
      <w:r w:rsidR="0009188E" w:rsidRPr="008A353E">
        <w:t>.</w:t>
      </w:r>
      <w:r w:rsidR="0009188E" w:rsidRPr="008A353E">
        <w:tab/>
        <w:t>er fortsat bekymret over den langsomme gennemførelse af retsstatsstrategien og -handlingsplanen;</w:t>
      </w:r>
    </w:p>
    <w:p w:rsidR="0009188E" w:rsidRPr="008A353E" w:rsidRDefault="00C05ADC" w:rsidP="0009188E">
      <w:pPr>
        <w:pStyle w:val="NormalHanging12a"/>
      </w:pPr>
      <w:r>
        <w:t>24</w:t>
      </w:r>
      <w:r w:rsidR="0009188E" w:rsidRPr="008A353E">
        <w:t>.</w:t>
      </w:r>
      <w:r w:rsidR="0009188E" w:rsidRPr="008A353E">
        <w:tab/>
        <w:t xml:space="preserve">bekræfter på ny sit tilsagn om at opretholde og styrke sit samarbejde med Kosovos nationalforsamling og dets medlemmer til støtte for demokratiske processer i forbindelse med Kosovos vej mod Europa ved at anvende Parlamentets eksisterende demokratistøtteværktøjer og </w:t>
      </w:r>
      <w:r w:rsidR="0009188E" w:rsidRPr="008A353E">
        <w:noBreakHyphen/>
        <w:t>initiativer; mener, at dette partnerskab kan revitaliseres og styrkes yderligere efter det demokratiske valg den 9. februar 2025;</w:t>
      </w:r>
      <w:r w:rsidR="0009188E" w:rsidRPr="008A353E">
        <w:rPr>
          <w:b/>
          <w:i/>
        </w:rPr>
        <w:t xml:space="preserve"> </w:t>
      </w:r>
      <w:r w:rsidR="0009188E" w:rsidRPr="008A353E">
        <w:t>tilskynder til aktiv inddragelse af og samarbejde med alle valgte medlemmer af Kosovos nydannede nationalforsamling;</w:t>
      </w:r>
    </w:p>
    <w:p w:rsidR="0009188E" w:rsidRPr="008A353E" w:rsidRDefault="00C05ADC" w:rsidP="0009188E">
      <w:pPr>
        <w:pStyle w:val="NormalHanging12a"/>
      </w:pPr>
      <w:r>
        <w:t>25</w:t>
      </w:r>
      <w:r w:rsidR="0009188E" w:rsidRPr="008A353E">
        <w:t>.</w:t>
      </w:r>
      <w:r w:rsidR="0009188E" w:rsidRPr="008A353E">
        <w:tab/>
        <w:t>fordømmer de alvorlige sikkerhedshændelser i det nordlige Kosovo i slutningen af november 2024, hvoraf den alvorligste handling fandt sted i nærheden af landsbyen Vragë i Zubin Potok, hvor eksplosive anordninger beskadigede den kritiske infrastruktur, idet de var målrettet hovedkanalen i Ibër Lepenc-systemet; udtrykker sin støtte til, at Kosovos institutioner gennemfører en fuldstændig efterforskning af disse kriminelle handlinger, så gerningsmændene kan retsforfølges;</w:t>
      </w:r>
    </w:p>
    <w:p w:rsidR="0009188E" w:rsidRPr="008A353E" w:rsidRDefault="00C05ADC" w:rsidP="0009188E">
      <w:pPr>
        <w:pStyle w:val="NormalHanging12a"/>
      </w:pPr>
      <w:r>
        <w:t>26</w:t>
      </w:r>
      <w:r w:rsidR="0009188E" w:rsidRPr="008A353E">
        <w:t>.</w:t>
      </w:r>
      <w:r w:rsidR="0009188E" w:rsidRPr="008A353E">
        <w:tab/>
        <w:t>roser det arbejde, der udføres af EULEX, som har bistået de kosovoske myndigheder med at etablere bæredygtige og uafhængige retsstatsinstitutioner;</w:t>
      </w:r>
    </w:p>
    <w:p w:rsidR="0009188E" w:rsidRPr="008A353E" w:rsidRDefault="0009188E" w:rsidP="0009188E">
      <w:pPr>
        <w:pStyle w:val="NormalHanging12a"/>
      </w:pPr>
      <w:r w:rsidRPr="008A353E">
        <w:rPr>
          <w:b/>
          <w:i/>
        </w:rPr>
        <w:t>Grundlæggende friheds- og menneskerettigheder</w:t>
      </w:r>
    </w:p>
    <w:p w:rsidR="0009188E" w:rsidRPr="008A353E" w:rsidRDefault="00C05ADC" w:rsidP="0009188E">
      <w:pPr>
        <w:pStyle w:val="NormalHanging12a"/>
        <w:rPr>
          <w:szCs w:val="24"/>
        </w:rPr>
      </w:pPr>
      <w:r>
        <w:t>27</w:t>
      </w:r>
      <w:r w:rsidR="0009188E" w:rsidRPr="008A353E">
        <w:t>.</w:t>
      </w:r>
      <w:r w:rsidR="0009188E" w:rsidRPr="008A353E">
        <w:tab/>
        <w:t>bemærker, at Kosovo har den nødvendige institutionelle struktur til fremme og beskyttelse af menneskerettighederne; glæder sig over vedtagelsen af strategien for beskyttelse og fremme af lokalsamfundenes rettigheder; understreger imidlertid, at beskyttelsen af menneskerettighederne fortsat er svag på grund af manglende gennemførelse i lovgivningen og begrænsede menneskelige og finansielle ressourcer og opfordrer til styrkede håndhævelses- og ansvarlighedsmekanismer;</w:t>
      </w:r>
    </w:p>
    <w:p w:rsidR="0009188E" w:rsidRPr="008A353E" w:rsidRDefault="00C05ADC" w:rsidP="0009188E">
      <w:pPr>
        <w:pStyle w:val="NormalHanging12a"/>
        <w:rPr>
          <w:szCs w:val="24"/>
        </w:rPr>
      </w:pPr>
      <w:r>
        <w:t>28</w:t>
      </w:r>
      <w:r w:rsidR="0009188E" w:rsidRPr="008A353E">
        <w:t>.</w:t>
      </w:r>
      <w:r w:rsidR="0009188E" w:rsidRPr="008A353E">
        <w:tab/>
        <w:t>anerkender, at Kosovos forfatning er meget progressiv med hensyn til beskyttelse af minoritetsrettigheder; bemærker i denne forbindelse med beklagelse, at den underskriftsindsamling, der blev underskrevet af næsten 500 personer, der historisk set har identificeret sig som bulgarere, og som blev registreret i Kosovos nationalforsamling i januar 2023, stadig ikke er blevet taget i betragtning, og anbefaler, at disse rettigheder forankres i lovgivningen og sikres i praksis; opfordrer Kosovo til at sikre, at alle minoriteter, der er anerkendt i henhold til loven om beskyttelse af minoritetsrettigheder, og medlemmer af deres samfund indarbejdes fuldt ud i landets forfatning; opfordrer Kosovos myndigheder til at intensivere bestræbelserne på at beskytte rettighederne for alle mindretal, herunder nationale fællesskaber, navnlig sårbare nationale fællesskaber, og til at give dem lige muligheder og passende repræsentation i det politiske og kulturelle liv, i de offentlige medier, i forvaltningen og i retsvæsenet, og til at forhindre deres assimilering og fremme deres integration i Kosovos samfund og styrke indsatsen for at eliminere disse nationale mindretals sociale og økonomiske udfordringer;</w:t>
      </w:r>
    </w:p>
    <w:p w:rsidR="0009188E" w:rsidRPr="008A353E" w:rsidRDefault="00C05ADC" w:rsidP="0009188E">
      <w:pPr>
        <w:pStyle w:val="NormalHanging12a"/>
        <w:rPr>
          <w:szCs w:val="24"/>
        </w:rPr>
      </w:pPr>
      <w:r>
        <w:t>29</w:t>
      </w:r>
      <w:r w:rsidR="0009188E" w:rsidRPr="008A353E">
        <w:t>.</w:t>
      </w:r>
      <w:r w:rsidR="0009188E" w:rsidRPr="008A353E">
        <w:tab/>
        <w:t xml:space="preserve">glæder sig over den øgede finansiering til krisecentre for ofre for vold i hjemmet og menneskehandel; bemærker, at vold i hjemmet fortsat er den mest almindelige form for kønsbaseret vold; udtrykker bekymring over, at systemet fortsat ikke sikrer en effektiv </w:t>
      </w:r>
      <w:r w:rsidR="0009188E" w:rsidRPr="008A353E">
        <w:lastRenderedPageBreak/>
        <w:t>forebyggelse af vold i hjemmet;</w:t>
      </w:r>
    </w:p>
    <w:p w:rsidR="0009188E" w:rsidRPr="008A353E" w:rsidRDefault="00C05ADC" w:rsidP="0009188E">
      <w:pPr>
        <w:pStyle w:val="NormalHanging12a"/>
        <w:rPr>
          <w:szCs w:val="24"/>
        </w:rPr>
      </w:pPr>
      <w:r>
        <w:rPr>
          <w:color w:val="000000" w:themeColor="text1"/>
        </w:rPr>
        <w:t>30</w:t>
      </w:r>
      <w:r w:rsidR="0009188E" w:rsidRPr="008A353E">
        <w:rPr>
          <w:color w:val="000000" w:themeColor="text1"/>
        </w:rPr>
        <w:t>.</w:t>
      </w:r>
      <w:r w:rsidR="0009188E" w:rsidRPr="008A353E">
        <w:rPr>
          <w:color w:val="000000" w:themeColor="text1"/>
        </w:rPr>
        <w:tab/>
      </w:r>
      <w:r w:rsidR="0009188E" w:rsidRPr="008A353E">
        <w:t>beklager, at udkastet til Kosovos civile lovbog endnu ikke er vedtaget; fremhæver, at udkastet til den civile lovbog behandler flere vigtige spørgsmål vedrørende ligestilling mellem kønnene som en grundlæggende EU-værdi, herunder at muliggøre lige andel af ægtepagter blandt kvindelige og mandlige ægtefæller; understreger betydningen af at sikre rettigheder for alle mennesker i Kosovo i den civile lovbog for at sikre respekten for forfatningsmæssige rettigheder og muligheder for LGBTIQ-samfundet; udtrykker bekymring over, at kvinder er underrepræsenteret i ledende politiske stillinger, navnlig i forbindelse med sikkerhed og dialog, og understreger det presserende behov for at de inddrages i fredsskabelses- og forsoningsprocesser i overensstemmelse med FN's Sikkerhedsråds resolution 1325 om kvinder, fred og sikkerhed; opfordrer til, at der gøres en større indsats for at forbedre kvinders plads i samfundet;</w:t>
      </w:r>
    </w:p>
    <w:p w:rsidR="0009188E" w:rsidRPr="008A353E" w:rsidRDefault="00C05ADC" w:rsidP="0009188E">
      <w:pPr>
        <w:pStyle w:val="NormalHanging12a"/>
        <w:rPr>
          <w:szCs w:val="24"/>
        </w:rPr>
      </w:pPr>
      <w:r>
        <w:t>31</w:t>
      </w:r>
      <w:r w:rsidR="0009188E" w:rsidRPr="008A353E">
        <w:t>.</w:t>
      </w:r>
      <w:r w:rsidR="0009188E" w:rsidRPr="008A353E">
        <w:tab/>
        <w:t>bemærker, at fængselssystemet i store træk følger FN's standardminimumsregler, og opfordrer til bedre beskyttelse af fangers rettigheder, navnlig kvindelige fanger, fanger fra minoriteter og psykisk syge fanger; er fortsat bekymret over, at der fortsat forekommer diskriminerende sprogbrug over for kvinder og LGBTIQ-personer, og opfordrer myndighederne til at udarbejde og gennemføre en national kønsstrategi for forskningsområder såsom naturvidenskab, teknologi, ingeniørvirksomhed og matematik; roser kvinders deltagelse i erhvervs- og ledelsesuddannelsesprogrammer af høj kvalitet samt i IKT-relaterede områder, der fremmes af midlerne i instrumentet til førtiltrædelsesbistand; beklager, at kvinder fra minoritetsgrupper, navnlig romaer, ashkalier og egyptere, udsættes for talrige former for forskelsbehandling, navnlig inden for uddannelse, beskæftigelse og adgang til sundhedspleje; udtrykker bekymring over, at centraladministrationen ikke i tilstrækkelig grad repræsenterer minoritetssamfund, og at antallet af kvinder i ledende stillinger er lavt;</w:t>
      </w:r>
    </w:p>
    <w:p w:rsidR="0009188E" w:rsidRPr="008A353E" w:rsidRDefault="00C05ADC" w:rsidP="0009188E">
      <w:pPr>
        <w:pStyle w:val="NormalHanging12a"/>
        <w:rPr>
          <w:szCs w:val="24"/>
        </w:rPr>
      </w:pPr>
      <w:r>
        <w:t>32</w:t>
      </w:r>
      <w:r w:rsidR="0009188E" w:rsidRPr="008A353E">
        <w:t>.</w:t>
      </w:r>
      <w:r w:rsidR="0009188E" w:rsidRPr="008A353E">
        <w:tab/>
        <w:t>beklager, at FN's konvention om rettigheder for personer med handicap endnu ikke er blevet vedtaget; udtrykker bekymring over, at der ikke er tilstrækkelig overensstemmelse mellem Kosovos lovgivning og gældende EU-ret om rettigheder for personer med handicap, som udsættes for forskelsbehandling og hindringer for adgang til sociale tjenesteydelser;</w:t>
      </w:r>
    </w:p>
    <w:p w:rsidR="0009188E" w:rsidRPr="008A353E" w:rsidRDefault="00C05ADC" w:rsidP="0009188E">
      <w:pPr>
        <w:pStyle w:val="NormalHanging12a"/>
        <w:rPr>
          <w:szCs w:val="24"/>
        </w:rPr>
      </w:pPr>
      <w:r>
        <w:t>33</w:t>
      </w:r>
      <w:r w:rsidR="0009188E" w:rsidRPr="008A353E">
        <w:t>.</w:t>
      </w:r>
      <w:r w:rsidR="0009188E" w:rsidRPr="008A353E">
        <w:tab/>
        <w:t>glæder sig over Kosovos konsekvente forbedring af sin position i indekset for liberalt demokrati for 2024 og indekset for demokratiske valg som udarbejdet af Varieties of Democracy Institute (V-Dem), der måler retsstatsprincippet, kontrolforanstaltninger, borgerlige frihedsrettigheder og frie og retfærdige valg;</w:t>
      </w:r>
    </w:p>
    <w:p w:rsidR="0009188E" w:rsidRPr="008A353E" w:rsidRDefault="00C05ADC" w:rsidP="0009188E">
      <w:pPr>
        <w:pStyle w:val="NormalHanging12a"/>
        <w:rPr>
          <w:color w:val="000000" w:themeColor="text1"/>
          <w:szCs w:val="24"/>
        </w:rPr>
      </w:pPr>
      <w:r>
        <w:t>34</w:t>
      </w:r>
      <w:r w:rsidR="0009188E" w:rsidRPr="008A353E">
        <w:t>.</w:t>
      </w:r>
      <w:r w:rsidR="0009188E" w:rsidRPr="008A353E">
        <w:tab/>
        <w:t xml:space="preserve">noterer sig Kosovos pluralistiske medielandskab og afventer forfatningsdomstolens afgørelse om den primære medielov og understreger den rolle, som den uafhængige mediekommission spiller, og at dennes uafhængighed i forbindelse med beslutningstagning nøje skal sikres, og at dens fulde funktion skal genoprettes; beklager imidlertid faldet i Kosovos mediefrihed, som det fremgår af dets fald fra en 56. plads til en 75. plads i det internationale pressefrihedsindeks for 2024; bekræfter på ny, at mediepluralisme og -gennemsigtighed er forudsætninger for EU-tiltrædelse; opfordrer til større gennemsigtighed med hensyn til medieejerskab og </w:t>
      </w:r>
      <w:r w:rsidR="0009188E" w:rsidRPr="008A353E">
        <w:noBreakHyphen/>
        <w:t xml:space="preserve">finansiering med henblik på at øge mediernes uafhængighed og pluralisme; understreger behovet for solide foranstaltninger til at beskytte journalister mod chikane og intimidering og til at sikre medietilsynsmyndighedernes uafhængighed; noterer sig de bekymringer, som civilsamfundet har givet udtryk for med hensyn til det angiveligt politisk motiverede valg af formanden for den uafhængige mediekommission; opfordrer indtrængende </w:t>
      </w:r>
      <w:r w:rsidR="0009188E" w:rsidRPr="008A353E">
        <w:lastRenderedPageBreak/>
        <w:t>Kosovos myndigheder til yderligere at revidere loven om den uafhængige mediekommission med henblik på at medtage Europarådets anbefalinger og dermed tilpasse den nationale lovgivning til EU's standarder og praksis; anbefaler øget støtte til uafhængige medieforetagender og faktatjekkende organisationer i Kosovo i erkendelse af deres afgørende rolle med hensyn til at bekæmpe desinformation og give offentligheden nøjagtige oplysninger; opfordrer EU til at yde teknisk og finansiel bistand til disse enheder; opfordrer Kosovos myndigheder til at anmode om skræddersyede ekspertmissioner vedrørende teknisk bistand og informationsudveksling (TAIEX); opfordrer til vedtagelse af loven om radio- og TV-virksomhed i Kosovo og loven om beskyttelse af journalisters kilder;</w:t>
      </w:r>
    </w:p>
    <w:p w:rsidR="0009188E" w:rsidRPr="008A353E" w:rsidRDefault="00C05ADC" w:rsidP="0009188E">
      <w:pPr>
        <w:pStyle w:val="NormalHanging12a"/>
        <w:rPr>
          <w:szCs w:val="24"/>
        </w:rPr>
      </w:pPr>
      <w:r>
        <w:t>35</w:t>
      </w:r>
      <w:r w:rsidR="0009188E" w:rsidRPr="008A353E">
        <w:t>.</w:t>
      </w:r>
      <w:r w:rsidR="0009188E" w:rsidRPr="008A353E">
        <w:tab/>
        <w:t>udtrykker bekymring over det nylige cyberangreb rettet mod Kosovos digitale infrastruktur; opfordrer indtrængende Kosovos regering til at styrke sin kapacitet til at bekæmpe udenlandsk indblanding og desinformation, navnlig fra serbiske nationalistiske foretagender og Rusland, der har til hensigt at destabilisere regionen og undergrave den europæiske integration af Vestbalkan, ved at udvikle omfattende strategier, der omfatter offentlige oplysningskampagner, der også bekæmper desinformation, der underminerer kvinders deltagelse i det offentlige liv, styrke cybersikkerheden og den tilhørende infrastruktur, fremme samarbejdet med internationale partnere, navnlig Den Europæiske Union, for at beskytte sin digitale økonomi, offentlige tjenester og nationale sikkerhed og imødegå desinformationskampagner og hybride trusler, der har til formål at destabilisere landet og undergrave dets europæiske fremtidsudsigter; tilskynder til integration af mediekendskabsprogrammer i Kosovos uddannelsesprogram for at udstyre borgerne med de færdigheder, der er nødvendige for at afdække og modvirke desinformation;</w:t>
      </w:r>
    </w:p>
    <w:p w:rsidR="0009188E" w:rsidRPr="008A353E" w:rsidRDefault="00C05ADC" w:rsidP="0009188E">
      <w:pPr>
        <w:pStyle w:val="NormalHanging12a"/>
        <w:rPr>
          <w:bCs/>
        </w:rPr>
      </w:pPr>
      <w:r>
        <w:t>36</w:t>
      </w:r>
      <w:r w:rsidR="0009188E" w:rsidRPr="008A353E">
        <w:t>.</w:t>
      </w:r>
      <w:r w:rsidR="0009188E" w:rsidRPr="008A353E">
        <w:tab/>
        <w:t>roser det forhold, at Kosovo har givet husly og asyl til journalister fra Ukraine og Afghanistan;</w:t>
      </w:r>
    </w:p>
    <w:p w:rsidR="0009188E" w:rsidRPr="008A353E" w:rsidRDefault="00C05ADC" w:rsidP="0009188E">
      <w:pPr>
        <w:pStyle w:val="NormalHanging12a"/>
        <w:rPr>
          <w:szCs w:val="24"/>
        </w:rPr>
      </w:pPr>
      <w:r>
        <w:t>37</w:t>
      </w:r>
      <w:r w:rsidR="0009188E" w:rsidRPr="008A353E">
        <w:t>.</w:t>
      </w:r>
      <w:r w:rsidR="0009188E" w:rsidRPr="008A353E">
        <w:tab/>
        <w:t>udtrykker alvorlig bekymring over den betydelige stigning i antallet af angreb på journalister og strategiske retssager mod offentligt engagement (SLAPP-sager), herunder fra regeringsembedsmænds side; opfordrer myndighederne til at fremme deres arbejde med lovgivning til bekæmpelse af SLAPP i overensstem</w:t>
      </w:r>
      <w:r w:rsidR="00DB0CF6">
        <w:t xml:space="preserve">melse med det nye direktiv </w:t>
      </w:r>
      <w:r w:rsidR="0009188E" w:rsidRPr="008A353E">
        <w:t>2024/1069</w:t>
      </w:r>
      <w:r w:rsidR="0009188E" w:rsidRPr="008A353E">
        <w:rPr>
          <w:rStyle w:val="FootnoteReference"/>
          <w:szCs w:val="24"/>
        </w:rPr>
        <w:footnoteReference w:id="7"/>
      </w:r>
      <w:r w:rsidR="0009188E" w:rsidRPr="008A353E">
        <w:t>; opfordrer Kosovo til at arbejde aktivt for at sikre journalisters evne til at udføre deres arbejde og sikre fuld frihed for medierne til at operere uafhængigt; understreger behovet for at standse alle former for vold;</w:t>
      </w:r>
    </w:p>
    <w:p w:rsidR="0009188E" w:rsidRPr="008A353E" w:rsidRDefault="00C05ADC" w:rsidP="0009188E">
      <w:pPr>
        <w:pStyle w:val="NormalHanging12a"/>
      </w:pPr>
      <w:r>
        <w:t>38</w:t>
      </w:r>
      <w:r w:rsidR="0009188E" w:rsidRPr="008A353E">
        <w:t>.</w:t>
      </w:r>
      <w:r w:rsidR="0009188E" w:rsidRPr="008A353E">
        <w:tab/>
        <w:t xml:space="preserve">glæder sig over Kosovos dynamiske og konstruktive civilsamfund, som spiller en meget afgørende og positiv rolle i reformprocessen; opfordrer Kosovos regering til at styrke sit samarbejde med civilsamfundet, navnlig også med kvinderettighedsorganisationer, om beslutningstagning og til i højere grad at gøre brug af regeringsrådet for samarbejde med civilsamfundet til at opbygge samarbejdsrelationer og reelt inddrage civilsamfundet i en gennemsigtig lovgivningsproces fra et tidligt tidspunkt; fremhæver betydningen af at øge ansvarligheden og gennemsigtigheden i forbindelse med offentlig finansiering af civilsamfundsorganisationer; understreger, at civilsamfundet er afgørende for at fremme demokrati og pluralisme samt god forvaltningspraksis og </w:t>
      </w:r>
      <w:r w:rsidR="0009188E" w:rsidRPr="008A353E">
        <w:lastRenderedPageBreak/>
        <w:t>sociale fremskridt;</w:t>
      </w:r>
    </w:p>
    <w:p w:rsidR="0009188E" w:rsidRPr="008A353E" w:rsidRDefault="00C05ADC" w:rsidP="0009188E">
      <w:pPr>
        <w:pStyle w:val="NormalHanging12a"/>
      </w:pPr>
      <w:r>
        <w:t>39</w:t>
      </w:r>
      <w:r w:rsidR="0009188E" w:rsidRPr="008A353E">
        <w:t>.</w:t>
      </w:r>
      <w:r w:rsidR="0009188E" w:rsidRPr="008A353E">
        <w:tab/>
        <w:t>beklager manglen på en klar plan for inddragelse af kosovoserbere i nord, og at initiativerne til inddragelse af det serbiske samfund i Kosovos politiske, sociale og økonomiske strukturer fortsat er meget begrænsede; gentager sin opfordring til at styrke den interne dialog og reelt og direkte samarbejde med uafhængige civilsamfundsorganisationer for kosovoserbere, navnlig i Nordkosovo, med henblik på at opbygge tillid, lette dagligdagen for kosovoserbere og sikre en vellykket integration;</w:t>
      </w:r>
    </w:p>
    <w:p w:rsidR="0009188E" w:rsidRPr="008A353E" w:rsidRDefault="0009188E" w:rsidP="0009188E">
      <w:pPr>
        <w:pStyle w:val="NormalHanging12a"/>
      </w:pPr>
      <w:r w:rsidRPr="008A353E">
        <w:rPr>
          <w:b/>
          <w:i/>
        </w:rPr>
        <w:t>Forsoning og gode naboskabsforbindelser</w:t>
      </w:r>
    </w:p>
    <w:p w:rsidR="0009188E" w:rsidRPr="008A353E" w:rsidRDefault="00C05ADC" w:rsidP="0009188E">
      <w:pPr>
        <w:pStyle w:val="NormalHanging12a"/>
        <w:rPr>
          <w:szCs w:val="24"/>
        </w:rPr>
      </w:pPr>
      <w:r>
        <w:t>40</w:t>
      </w:r>
      <w:r w:rsidR="0009188E" w:rsidRPr="008A353E">
        <w:t>.</w:t>
      </w:r>
      <w:r w:rsidR="0009188E" w:rsidRPr="008A353E">
        <w:tab/>
        <w:t>roser Kosovos engagement i en række regionale samarbejdsinitiativer og opfordrer landet til at intensivere dets forsoningsbestræbelser og gøre en indsats for at finde løsninger på gamle tvister; roser Kosovo for dets konstruktive tilgang og aktive engagement i regionalt samarbejde og handelslettelser, der førte til ophævelse af blokeringen af den centraleuropæiske frihandelsaftale;</w:t>
      </w:r>
    </w:p>
    <w:p w:rsidR="0009188E" w:rsidRPr="008A353E" w:rsidRDefault="00C05ADC" w:rsidP="0009188E">
      <w:pPr>
        <w:pStyle w:val="NormalHanging12a"/>
        <w:rPr>
          <w:szCs w:val="24"/>
        </w:rPr>
      </w:pPr>
      <w:r>
        <w:rPr>
          <w:color w:val="000000" w:themeColor="text1"/>
        </w:rPr>
        <w:t>41</w:t>
      </w:r>
      <w:r w:rsidR="0009188E" w:rsidRPr="008A353E">
        <w:rPr>
          <w:color w:val="000000" w:themeColor="text1"/>
        </w:rPr>
        <w:t>.</w:t>
      </w:r>
      <w:r w:rsidR="0009188E" w:rsidRPr="008A353E">
        <w:rPr>
          <w:color w:val="000000" w:themeColor="text1"/>
        </w:rPr>
        <w:tab/>
      </w:r>
      <w:r w:rsidR="0009188E" w:rsidRPr="008A353E">
        <w:t>opfordrer Serbien til at åbne alle krigstidsarkiver og give adgang til sagsakterne fra den tidligere jugoslaviske efterretningstjeneste (UDBA) og den jugoslaviske folkehærs efterretningstjeneste (KOS) og sikre, at de returneres til de respektive regeringer efter anmodning; understreger behovet for at åbne disse arkiver i hele regionen for at efterforske forbrydelser fra kommunisttiden og styrke demokratiet, ansvarligheden og institutionerne på Vestbalkan;</w:t>
      </w:r>
    </w:p>
    <w:p w:rsidR="0009188E" w:rsidRPr="008A353E" w:rsidRDefault="00C05ADC" w:rsidP="0009188E">
      <w:pPr>
        <w:pStyle w:val="NormalHanging12a"/>
      </w:pPr>
      <w:r>
        <w:t>42</w:t>
      </w:r>
      <w:r w:rsidR="0009188E" w:rsidRPr="008A353E">
        <w:t>.</w:t>
      </w:r>
      <w:r w:rsidR="0009188E" w:rsidRPr="008A353E">
        <w:tab/>
        <w:t>giver endnu engang udtryk for sin fulde støtte til den EU-støttede dialog og glæder sig over udnævnelsen af Peter Sørensen som EU's særlige repræsentant for dialogen mellem Beograd og Pristina;</w:t>
      </w:r>
    </w:p>
    <w:p w:rsidR="0009188E" w:rsidRPr="008A353E" w:rsidRDefault="00C05ADC" w:rsidP="0009188E">
      <w:pPr>
        <w:pStyle w:val="NormalHanging12a"/>
      </w:pPr>
      <w:r>
        <w:t>43</w:t>
      </w:r>
      <w:r w:rsidR="0009188E" w:rsidRPr="008A353E">
        <w:t>.</w:t>
      </w:r>
      <w:r w:rsidR="0009188E" w:rsidRPr="008A353E">
        <w:tab/>
        <w:t xml:space="preserve">gentager betydningen af et konstruktivt engagement fra både Kosovos og Serbiens myndigheders side med henblik på at opnå en omfattende juridisk bindende normaliseringsaftale, der er baseret på gensidig anerkendelse og i overensstemmelse med folkeretten; opfordrer både Kosovo og Serbien til at gennemføre Bruxelles- og Ohrid-aftalerne, herunder oprettelsen af sammenslutningen/fællesskabet af kommuner med serbisk flertal, og til at ophæve Serbiens modstand mod Kosovos medlemskab af regionale og internationale organisationer og til at undgå ensidige handlinger, der kan underminere dialogprocessen; </w:t>
      </w:r>
    </w:p>
    <w:p w:rsidR="0009188E" w:rsidRPr="008A353E" w:rsidRDefault="00C05ADC" w:rsidP="0009188E">
      <w:pPr>
        <w:pStyle w:val="NormalHanging12a"/>
      </w:pPr>
      <w:r>
        <w:t>44</w:t>
      </w:r>
      <w:r w:rsidR="0009188E" w:rsidRPr="008A353E">
        <w:t>.</w:t>
      </w:r>
      <w:r w:rsidR="0009188E" w:rsidRPr="008A353E">
        <w:tab/>
        <w:t>forventer, at Kosovo og Serbien samarbejder fuldt ud og træffer alle nødvendige foranstaltninger til at pågribe gerningsmændene til terrorangrebene i Banjska i 2023 og hurtigt stille dem for en domstol; beklager, at Serbien endnu ikke har retsforfulgt de skyldige, navnlig Milan Radoičić, næstformanden for Srpska Lista; gentager, at gerningsmændene til terrorangrebet i Zubin Potok også skal drages til ansvar og omgående retsforfølges;</w:t>
      </w:r>
    </w:p>
    <w:p w:rsidR="0009188E" w:rsidRPr="008A353E" w:rsidRDefault="00C05ADC" w:rsidP="0009188E">
      <w:pPr>
        <w:pStyle w:val="NormalHanging12a"/>
        <w:rPr>
          <w:rFonts w:eastAsia="Calibri"/>
          <w:color w:val="000000" w:themeColor="text1"/>
          <w:szCs w:val="24"/>
        </w:rPr>
      </w:pPr>
      <w:r>
        <w:t>45</w:t>
      </w:r>
      <w:r w:rsidR="0009188E" w:rsidRPr="008A353E">
        <w:t>.</w:t>
      </w:r>
      <w:r w:rsidR="0009188E" w:rsidRPr="008A353E">
        <w:tab/>
        <w:t>opfordrer næstformanden for Kommissionen/Unionens højtstående repræsentant for udenrigsanliggender og sikkerhedspolitik og Kommissionen til at spille en mere proaktiv rolle i ledelsen af dialogprocessen; opfordrer til, at Europa-Parlamentet får en større rolle med hensyn til at fremme dialogen gennem regelmæssige fælles møder i den parlamentariske forsamling;</w:t>
      </w:r>
    </w:p>
    <w:p w:rsidR="0009188E" w:rsidRPr="008A353E" w:rsidRDefault="00C05ADC" w:rsidP="0009188E">
      <w:pPr>
        <w:pStyle w:val="NormalHanging12a"/>
      </w:pPr>
      <w:r>
        <w:t>46</w:t>
      </w:r>
      <w:r w:rsidR="0009188E" w:rsidRPr="008A353E">
        <w:t>.</w:t>
      </w:r>
      <w:r w:rsidR="0009188E" w:rsidRPr="008A353E">
        <w:tab/>
        <w:t xml:space="preserve">fordømmer alle handlinger, der bringer stabiliteten i fare og udgør en risiko for forsoningsprocessen, herunder spændingerne i det nordlige Kosovo, provokationer fra </w:t>
      </w:r>
      <w:r w:rsidR="0009188E" w:rsidRPr="008A353E">
        <w:lastRenderedPageBreak/>
        <w:t>statsstøttede serbiske grupper og ulovlige væbnede grupperinger, og opfordrer indtrængende EU til at indtage en stærkere holdning mod ekstern indblanding i Kosovos indre anliggender; understreger, at begge parter fuldt ud skal gennemføre alle indgåede aftaler og undgå ensidige handlinger, der kan eskalere spændingerne; opfordrer Kosovos politi til at sikre, at det fuldt ud opfylder alle retsstats- og menneskerettighedskrav, og til at garantere, at der i det nordlige Kosovo indsættes en multietnisk og inklusiv politistyrke i fuld overensstemmelse med de retlige krav; minder om, at alle politiske repræsentanter og alle samfund i Kosovo har et fælles ansvar for at opretholde freden og retsstatsprincippet;</w:t>
      </w:r>
    </w:p>
    <w:p w:rsidR="0009188E" w:rsidRPr="008A353E" w:rsidRDefault="00C05ADC" w:rsidP="0009188E">
      <w:pPr>
        <w:pStyle w:val="NormalHanging12a"/>
        <w:rPr>
          <w:szCs w:val="24"/>
        </w:rPr>
      </w:pPr>
      <w:r>
        <w:rPr>
          <w:color w:val="000000" w:themeColor="text1"/>
        </w:rPr>
        <w:t>47</w:t>
      </w:r>
      <w:r w:rsidR="0009188E" w:rsidRPr="008A353E">
        <w:rPr>
          <w:color w:val="000000" w:themeColor="text1"/>
        </w:rPr>
        <w:t>.</w:t>
      </w:r>
      <w:r w:rsidR="0009188E" w:rsidRPr="008A353E">
        <w:rPr>
          <w:color w:val="000000" w:themeColor="text1"/>
        </w:rPr>
        <w:tab/>
      </w:r>
      <w:r w:rsidR="0009188E" w:rsidRPr="008A353E">
        <w:t>glæder sig over oprettelsen af den fælles kommission for forsvundne personer i december 2024 og opfordrer til hurtige fremskridt med gennemførelsen af den politiske erklæring om forsvundne personer fra maj 2023; opfordrer både Kosovo og Serbien til at afstå fra at politisere dette humanitære spørgsmål og til at intensivere deres bestræbelser på at gennemføre erklæringen som led i dialogen mellem Beograd og Pristina og til at etablere et samarbejde mellem Kosovo og Serbien;</w:t>
      </w:r>
    </w:p>
    <w:p w:rsidR="0009188E" w:rsidRPr="008A353E" w:rsidRDefault="00C05ADC" w:rsidP="0009188E">
      <w:pPr>
        <w:pStyle w:val="NormalHanging12a"/>
      </w:pPr>
      <w:r>
        <w:t>48</w:t>
      </w:r>
      <w:r w:rsidR="0009188E" w:rsidRPr="008A353E">
        <w:t>.</w:t>
      </w:r>
      <w:r w:rsidR="0009188E" w:rsidRPr="008A353E">
        <w:tab/>
        <w:t>glæder sig over de seneste aftaler inden for rammerne af Berlinprocessen;</w:t>
      </w:r>
    </w:p>
    <w:p w:rsidR="0009188E" w:rsidRPr="008A353E" w:rsidRDefault="00C05ADC" w:rsidP="0009188E">
      <w:pPr>
        <w:pStyle w:val="NormalHanging12a"/>
      </w:pPr>
      <w:r>
        <w:t>49</w:t>
      </w:r>
      <w:r w:rsidR="0009188E" w:rsidRPr="008A353E">
        <w:t>.</w:t>
      </w:r>
      <w:r w:rsidR="0009188E" w:rsidRPr="008A353E">
        <w:tab/>
        <w:t>glæder sig over Kosovos beslutning om at fjerne restriktionerne for indførsel af serbiske færdigvarer ved grænseovergangen i Merdare;</w:t>
      </w:r>
    </w:p>
    <w:p w:rsidR="0009188E" w:rsidRPr="008A353E" w:rsidRDefault="00C05ADC" w:rsidP="0009188E">
      <w:pPr>
        <w:pStyle w:val="NormalHanging12a"/>
      </w:pPr>
      <w:r>
        <w:t>50</w:t>
      </w:r>
      <w:r w:rsidR="0009188E" w:rsidRPr="008A353E">
        <w:t>.</w:t>
      </w:r>
      <w:r w:rsidR="0009188E" w:rsidRPr="008A353E">
        <w:tab/>
        <w:t>glæder sig over tilstedeværelsen af Kosovostyrken og dens rolle i opbygningen og opretholdelsen af et sikkert miljø og udviklingen af et stabilt og fredeligt Kosovo på vejen mod euro-atlantisk integration; minder om missionens betydning for den igangværende udvikling af Kosovos sikkerhedsstyrke gennem rådgivning, uddannelse og kapacitetsopbygning;</w:t>
      </w:r>
    </w:p>
    <w:p w:rsidR="0009188E" w:rsidRPr="008A353E" w:rsidRDefault="0009188E" w:rsidP="0009188E">
      <w:pPr>
        <w:pStyle w:val="NormalHanging12a"/>
        <w:rPr>
          <w:b/>
          <w:i/>
        </w:rPr>
      </w:pPr>
      <w:r w:rsidRPr="008A353E">
        <w:rPr>
          <w:b/>
          <w:i/>
        </w:rPr>
        <w:t>Socioøkonomiske reformer</w:t>
      </w:r>
    </w:p>
    <w:p w:rsidR="0009188E" w:rsidRPr="008A353E" w:rsidRDefault="00C05ADC" w:rsidP="0009188E">
      <w:pPr>
        <w:pStyle w:val="NormalHanging12a"/>
      </w:pPr>
      <w:r>
        <w:t>51</w:t>
      </w:r>
      <w:r w:rsidR="0009188E" w:rsidRPr="008A353E">
        <w:t>.</w:t>
      </w:r>
      <w:r w:rsidR="0009188E" w:rsidRPr="008A353E">
        <w:tab/>
        <w:t>glæder sig over Kosovos aktive engagement i gennemførelsen af den nye vækstplan for Vestbalkan, som har til formål at uddybe EU-relaterede reformer og mindske den socioøkonomiske kløft mellem EU-medlemsstaterne og landene på Vestbalkan; glæder sig over vedtagelsen af Kosovos reformdagsorden og minder om, at Kosovo (samt Serbien) skal udvise større engagement i den EU-støttede dialog for at få adgang til ressourcerne;</w:t>
      </w:r>
    </w:p>
    <w:p w:rsidR="0009188E" w:rsidRPr="008A353E" w:rsidRDefault="00C05ADC" w:rsidP="0009188E">
      <w:pPr>
        <w:pStyle w:val="NormalHanging12a"/>
      </w:pPr>
      <w:r>
        <w:t>52</w:t>
      </w:r>
      <w:r w:rsidR="0009188E" w:rsidRPr="008A353E">
        <w:t>.</w:t>
      </w:r>
      <w:r w:rsidR="0009188E" w:rsidRPr="008A353E">
        <w:tab/>
        <w:t>glæder sig over Kosovos fremskridt med hensyn til at udvikle en fungerende markedsøkonomi og opfordrer Kosovo til at gennemføre de strukturreformer, der er nødvendige for at tackle de finanspolitiske udfordringer, samtidig med at der sikres en stærkere beskyttelse af arbejdstagerne, rimelige lønninger og forbedrede arbejdsvilkår i overensstemmelse med EU's standarder;</w:t>
      </w:r>
    </w:p>
    <w:p w:rsidR="0009188E" w:rsidRPr="008A353E" w:rsidRDefault="00C05ADC" w:rsidP="0009188E">
      <w:pPr>
        <w:pStyle w:val="NormalHanging12a"/>
      </w:pPr>
      <w:r>
        <w:t>53</w:t>
      </w:r>
      <w:r w:rsidR="0009188E" w:rsidRPr="008A353E">
        <w:t>.</w:t>
      </w:r>
      <w:r w:rsidR="0009188E" w:rsidRPr="008A353E">
        <w:tab/>
        <w:t>gentager sin opfordring til Kommissionen om at udvikle en regional strategi til bekæmpelse af den vedvarende ungdomsarbejdsløshed og hjerneflugt ved at tackle den manglende kompetencemæssige overensstemmelse mellem uddannelsessystemet og arbejdsmarkedet, forbedre kvaliteten af undervisningen og sikre tilstrækkelig finansiering af aktive arbejdsmarkedsforanstaltninger og erhvervsuddannelsesordninger såvel som tilstrækkelige børnepasningsordninger og dagtilbud;</w:t>
      </w:r>
    </w:p>
    <w:p w:rsidR="0009188E" w:rsidRPr="008A353E" w:rsidRDefault="00C05ADC" w:rsidP="0009188E">
      <w:pPr>
        <w:pStyle w:val="NormalHanging12a"/>
      </w:pPr>
      <w:r>
        <w:t>54</w:t>
      </w:r>
      <w:r w:rsidR="0009188E" w:rsidRPr="008A353E">
        <w:t>.</w:t>
      </w:r>
      <w:r w:rsidR="0009188E" w:rsidRPr="008A353E">
        <w:tab/>
        <w:t xml:space="preserve">glæder sig over, at Kosovos lovgivning om cyberkriminalitet i vid udstrækning er tilpasset gældende EU-ret; bemærker Kosovos begrænsede fremskridt med hensyn til </w:t>
      </w:r>
      <w:r w:rsidR="0009188E" w:rsidRPr="008A353E">
        <w:lastRenderedPageBreak/>
        <w:t>den digitale omstilling af offentlige tjenester; understreger behovet for, at denne bringes i overensstemmelse med EU's lovgivning samt befolkningens behov, navnlig med den europæiske kodeks for elektronisk kommunikation, EU's direktiv om net- og informationssystemers sikkerhed (NIS2)</w:t>
      </w:r>
      <w:r w:rsidR="0009188E" w:rsidRPr="008A353E">
        <w:rPr>
          <w:rStyle w:val="FootnoteReference"/>
        </w:rPr>
        <w:footnoteReference w:id="8"/>
      </w:r>
      <w:r w:rsidR="0009188E" w:rsidRPr="008A353E">
        <w:t>, EU-værktøjskassen til cybersikkerhed i 5G-net og forordningen om digitale tjenester</w:t>
      </w:r>
      <w:r w:rsidR="0009188E" w:rsidRPr="008A353E">
        <w:rPr>
          <w:rStyle w:val="FootnoteReference"/>
        </w:rPr>
        <w:footnoteReference w:id="9"/>
      </w:r>
      <w:r w:rsidR="0009188E" w:rsidRPr="008A353E">
        <w:t xml:space="preserve"> og forordningen om digitale markeder</w:t>
      </w:r>
      <w:r w:rsidR="0009188E" w:rsidRPr="008A353E">
        <w:rPr>
          <w:rStyle w:val="FootnoteReference"/>
        </w:rPr>
        <w:footnoteReference w:id="10"/>
      </w:r>
      <w:r w:rsidR="0009188E" w:rsidRPr="008A353E">
        <w:t>; bemærker, at Kosovos økonomi fortsat er stærkt afhængig af import, og understreger behovet for økonomisk diversificering for at øge konkurrenceevnen og bæredygtigheden, navnlig i forbindelse med en dybere integration i EU's markeder;</w:t>
      </w:r>
    </w:p>
    <w:p w:rsidR="0009188E" w:rsidRPr="008A353E" w:rsidRDefault="00C05ADC" w:rsidP="0009188E">
      <w:pPr>
        <w:pStyle w:val="NormalHanging12a"/>
      </w:pPr>
      <w:r>
        <w:t>55</w:t>
      </w:r>
      <w:r w:rsidR="0009188E" w:rsidRPr="008A353E">
        <w:t>.</w:t>
      </w:r>
      <w:r w:rsidR="0009188E" w:rsidRPr="008A353E">
        <w:tab/>
        <w:t>beklager, at lovforslaget om lærebøger, der blev fremlagt i 2022, stadig afventer endelig vedtagelse i Kosovos parlament; opfordrer Kosovo til at afslutte gennemførelsen af den nye læseplan for grundlæggende uddannelse, afslutte revisionen af de nuværende lærebøger, sørge for bæredygtig uddannelse af lærere og systematisk anvende kvalitetssikringsmekanismer på alle uddannelsesniveauer;</w:t>
      </w:r>
    </w:p>
    <w:p w:rsidR="0009188E" w:rsidRPr="008A353E" w:rsidRDefault="00C05ADC" w:rsidP="0009188E">
      <w:pPr>
        <w:pStyle w:val="NormalHanging12a"/>
        <w:rPr>
          <w:rFonts w:eastAsia="Calibri"/>
          <w:color w:val="000000" w:themeColor="text1"/>
          <w:szCs w:val="24"/>
        </w:rPr>
      </w:pPr>
      <w:r>
        <w:t>56</w:t>
      </w:r>
      <w:r w:rsidR="0009188E" w:rsidRPr="008A353E">
        <w:t>.</w:t>
      </w:r>
      <w:r w:rsidR="0009188E" w:rsidRPr="008A353E">
        <w:tab/>
        <w:t>opfordrer indtrængende Kosovo til at sikre bedre adgang til sundhedsydelser af høj kvalitet; bemærker, at sundhedsudgifterne fortsat er de næstlaveste i regionen, og opfordrer til en omfattende sundhedsreform for at imødekomme alle borgeres behov, navnlig i landdistrikter og underforsynede områder;</w:t>
      </w:r>
    </w:p>
    <w:p w:rsidR="0009188E" w:rsidRPr="008A353E" w:rsidRDefault="00C05ADC" w:rsidP="0009188E">
      <w:pPr>
        <w:pStyle w:val="NormalHanging12a"/>
      </w:pPr>
      <w:r>
        <w:t>57</w:t>
      </w:r>
      <w:r w:rsidR="0009188E" w:rsidRPr="008A353E">
        <w:t>.</w:t>
      </w:r>
      <w:r w:rsidR="0009188E" w:rsidRPr="008A353E">
        <w:tab/>
        <w:t>bemærker med bekymring, at adgangen til sociale tjenesteydelser, navnlig for sårbare grupper, blev forværret med regeringens lukning af ministeriet for arbejde og social velfærd, hvilket skete uden gennemsigtig høring af civilsamfundet og andre interessenter og bidrog til betydelig forvirring; opfordrer til bedre evidensbaseret budgettering for at forbedre de sociale tjenester, navnlig for personer, der har overlevet kønsbaseret vold, i overensstemmelse med den nye retlige ramme;</w:t>
      </w:r>
    </w:p>
    <w:p w:rsidR="0009188E" w:rsidRPr="008A353E" w:rsidRDefault="00C05ADC" w:rsidP="0009188E">
      <w:pPr>
        <w:pStyle w:val="NormalHanging12a"/>
      </w:pPr>
      <w:r>
        <w:t>58</w:t>
      </w:r>
      <w:r w:rsidR="0009188E" w:rsidRPr="008A353E">
        <w:t>.</w:t>
      </w:r>
      <w:r w:rsidR="0009188E" w:rsidRPr="008A353E">
        <w:tab/>
        <w:t>opfordrer Kosovo til at tilbyde lige og ikkediskriminerende statslig uddannelse på minoritetssprog;</w:t>
      </w:r>
    </w:p>
    <w:p w:rsidR="0009188E" w:rsidRPr="008A353E" w:rsidRDefault="00C05ADC" w:rsidP="0009188E">
      <w:pPr>
        <w:pStyle w:val="NormalHanging12a"/>
      </w:pPr>
      <w:r>
        <w:t>59</w:t>
      </w:r>
      <w:r w:rsidR="0009188E" w:rsidRPr="008A353E">
        <w:t>.</w:t>
      </w:r>
      <w:r w:rsidR="0009188E" w:rsidRPr="008A353E">
        <w:tab/>
        <w:t>gentager, at det er nødvendigt at nå ud til unge fra kommuner med serbisk flertal og integrere dem i landets socioøkonomiske strukturer;</w:t>
      </w:r>
    </w:p>
    <w:p w:rsidR="0009188E" w:rsidRPr="008A353E" w:rsidRDefault="0009188E" w:rsidP="0009188E">
      <w:pPr>
        <w:pStyle w:val="NormalHanging12a"/>
      </w:pPr>
      <w:r w:rsidRPr="008A353E">
        <w:rPr>
          <w:b/>
          <w:i/>
        </w:rPr>
        <w:t>Energi, miljø, bæredygtig udvikling og konnektivitet</w:t>
      </w:r>
    </w:p>
    <w:p w:rsidR="0009188E" w:rsidRPr="008A353E" w:rsidRDefault="00C05ADC" w:rsidP="0009188E">
      <w:pPr>
        <w:pStyle w:val="NormalHanging12a"/>
        <w:rPr>
          <w:szCs w:val="24"/>
        </w:rPr>
      </w:pPr>
      <w:r>
        <w:t>60</w:t>
      </w:r>
      <w:r w:rsidR="0009188E" w:rsidRPr="008A353E">
        <w:t>.</w:t>
      </w:r>
      <w:r w:rsidR="0009188E" w:rsidRPr="008A353E">
        <w:tab/>
        <w:t xml:space="preserve">bemærker, at Kosovo har gjort visse fremskridt med hensyn til energiforsyningssikkerheden, men fortsat er dybt afhængig af forældede, stærkt forurenende kraftværker, hvilket udgør en alvorlig sundhedsfare og fare for miljøet; bemærker, at Kosovo er nødt til at sikre en tidseffektiv gennemførelse af landets </w:t>
      </w:r>
      <w:r w:rsidR="0009188E" w:rsidRPr="008A353E">
        <w:lastRenderedPageBreak/>
        <w:t>energiprogram for 2022-2025 for at nå de ambitiøse mål heri og reducere dets afhængighed af fossile brændstoffer; opfordrer EU til at intensivere og prioritere sine bestræbelser på at hjælpe Kosovo med at overvinde sine luftforureningsproblemer;</w:t>
      </w:r>
      <w:r w:rsidR="0009188E" w:rsidRPr="008A353E">
        <w:rPr>
          <w:b/>
        </w:rPr>
        <w:t xml:space="preserve"> </w:t>
      </w:r>
      <w:r w:rsidR="0009188E" w:rsidRPr="008A353E">
        <w:t>bemærker, at Kosovos nye strategi ikke fremmer nye vandkraftværker på grund af deres skadelige indvirkning på miljøet, navnlig i betragtning af vandknapheden i landet;</w:t>
      </w:r>
    </w:p>
    <w:p w:rsidR="0009188E" w:rsidRPr="008A353E" w:rsidRDefault="00C05ADC" w:rsidP="0009188E">
      <w:pPr>
        <w:pStyle w:val="NormalHanging12a"/>
      </w:pPr>
      <w:r>
        <w:t>61</w:t>
      </w:r>
      <w:r w:rsidR="0009188E" w:rsidRPr="008A353E">
        <w:t>.</w:t>
      </w:r>
      <w:r w:rsidR="0009188E" w:rsidRPr="008A353E">
        <w:tab/>
        <w:t>fremhæver behovet for omfattende infrastrukturudvikling i Kosovo for at lette reduktionen af emissioner fra offentlig transport og udvidelsen af elektrificeret transport; understreger, at forbedring af tilgængeligheden og sikring af kompatibilitet med EU's transportnet fortsat skal være en prioritet;</w:t>
      </w:r>
    </w:p>
    <w:p w:rsidR="0009188E" w:rsidRPr="008A353E" w:rsidRDefault="00C05ADC" w:rsidP="0009188E">
      <w:pPr>
        <w:pStyle w:val="NormalHanging12a"/>
      </w:pPr>
      <w:r>
        <w:t>62</w:t>
      </w:r>
      <w:r w:rsidR="0009188E" w:rsidRPr="008A353E">
        <w:t>.</w:t>
      </w:r>
      <w:r w:rsidR="0009188E" w:rsidRPr="008A353E">
        <w:tab/>
        <w:t>glæder sig over aftalen på topmødet i Tirana om reducerede roamingomkostninger; opfordrer i denne forbindelse myndighederne, private aktører og alle interessenter til at gøre det lettere at nå de aftalte mål om at opnå en betydelig reduktion af roamingtaksterne for data og yderligere nedsættelser, der fører til priser tæt på de indenlandske priser mellem Vestbalkan og EU senest i 2027; glæder sig over ikrafttrædelsen af den første fase af gennemførelsen af køreplanen for roaming mellem Vestbalkan og EU;</w:t>
      </w:r>
    </w:p>
    <w:p w:rsidR="0009188E" w:rsidRPr="008A353E" w:rsidRDefault="00C05ADC" w:rsidP="0009188E">
      <w:pPr>
        <w:pStyle w:val="NormalHanging12a"/>
        <w:rPr>
          <w:szCs w:val="24"/>
        </w:rPr>
      </w:pPr>
      <w:r>
        <w:t>63</w:t>
      </w:r>
      <w:r w:rsidR="0009188E" w:rsidRPr="008A353E">
        <w:t>.</w:t>
      </w:r>
      <w:r w:rsidR="0009188E" w:rsidRPr="008A353E">
        <w:tab/>
        <w:t>opfordrer indtrængende Kosovo til i højere grad at overholde emissionslofterne, forbedre integrationen af miljøhensyn i sektorpolitikkerne og vedtage de nødvendige foranstaltninger til forureningskontrol, kontrol med forurening af jord og vand og affaldshåndtering i overensstemmelse med EU-standarder og internationale standarder og forpligtelser; opfordrer indtrængende Kosovo til at forbedre omfattende miljøkonsekvensvurderinger og til at integrere bæredygtighedsforanstaltninger i infrastrukturplanlægningen; opfordrer Kosovo til at øge antallet af beskyttede områder i landet og forbedre instrumenterne og foranstaltningerne til deres beskyttelse med henblik på at beskytte biodiversiteten, herunder vigtige levesteder for den kritisk truede balkanlos; opfordrer Kosovo til at intensivere og fremskynde samarbejdet med sine nabolande om at udpege grænseoverskridende beskyttede områder og udarbejde sammenhængende grænseoverskridende forvaltningsplaner;</w:t>
      </w:r>
    </w:p>
    <w:p w:rsidR="0009188E" w:rsidRPr="008A353E" w:rsidRDefault="0009188E" w:rsidP="0009188E">
      <w:pPr>
        <w:pStyle w:val="NormalHanging12a"/>
        <w:jc w:val="center"/>
      </w:pPr>
      <w:r w:rsidRPr="008A353E">
        <w:t>°</w:t>
      </w:r>
    </w:p>
    <w:p w:rsidR="0009188E" w:rsidRPr="008A353E" w:rsidRDefault="0009188E" w:rsidP="0009188E">
      <w:pPr>
        <w:pStyle w:val="NormalHanging12a"/>
        <w:jc w:val="center"/>
      </w:pPr>
      <w:r w:rsidRPr="008A353E">
        <w:t>°</w:t>
      </w:r>
      <w:r w:rsidRPr="008A353E">
        <w:tab/>
        <w:t>°</w:t>
      </w:r>
    </w:p>
    <w:p w:rsidR="008D68B0" w:rsidRPr="008A353E" w:rsidRDefault="00C05ADC" w:rsidP="008D68B0">
      <w:pPr>
        <w:pStyle w:val="NormalHanging12a"/>
      </w:pPr>
      <w:r>
        <w:t>64</w:t>
      </w:r>
      <w:r w:rsidR="0009188E" w:rsidRPr="008A353E">
        <w:t>.</w:t>
      </w:r>
      <w:r w:rsidR="0009188E" w:rsidRPr="008A353E">
        <w:tab/>
        <w:t>pålægger sin formand at sende denne beslutning til formanden for Det Europæiske Råd, Kommissionen, næstformanden for Kommissionen/Unionens højtstående repræsentant for Udenrigs- og Sikkerhedsanliggender, medlemsstaternes regeringer og parlamenter og Kosovos præsident, regering og nationalforsamling.</w:t>
      </w:r>
    </w:p>
    <w:p w:rsidR="00E365E1" w:rsidRPr="008A353E" w:rsidRDefault="00E365E1" w:rsidP="00872C5B"/>
    <w:sectPr w:rsidR="00E365E1" w:rsidRPr="008A353E" w:rsidSect="008D68B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2C5B" w:rsidRPr="008D68B0" w:rsidRDefault="00872C5B">
      <w:r w:rsidRPr="008D68B0">
        <w:separator/>
      </w:r>
    </w:p>
  </w:endnote>
  <w:endnote w:type="continuationSeparator" w:id="0">
    <w:p w:rsidR="00872C5B" w:rsidRPr="008D68B0" w:rsidRDefault="00872C5B">
      <w:r w:rsidRPr="008D68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2C5B" w:rsidRPr="008D68B0" w:rsidRDefault="00872C5B">
      <w:r w:rsidRPr="008D68B0">
        <w:separator/>
      </w:r>
    </w:p>
  </w:footnote>
  <w:footnote w:type="continuationSeparator" w:id="0">
    <w:p w:rsidR="00872C5B" w:rsidRPr="008D68B0" w:rsidRDefault="00872C5B">
      <w:r w:rsidRPr="008D68B0">
        <w:continuationSeparator/>
      </w:r>
    </w:p>
  </w:footnote>
  <w:footnote w:id="1">
    <w:p w:rsidR="0009188E" w:rsidRPr="008D68B0" w:rsidRDefault="0009188E" w:rsidP="008D68B0">
      <w:pPr>
        <w:pStyle w:val="FootnoteText"/>
        <w:ind w:left="567" w:hanging="567"/>
        <w:rPr>
          <w:color w:val="0000FF"/>
          <w:sz w:val="24"/>
          <w:u w:val="single" w:color="0000FF"/>
          <w:lang w:val="da-DK"/>
        </w:rPr>
      </w:pPr>
      <w:r w:rsidRPr="008D68B0">
        <w:rPr>
          <w:rStyle w:val="FootnoteReference"/>
          <w:sz w:val="24"/>
          <w:lang w:val="da-DK"/>
        </w:rPr>
        <w:footnoteRef/>
      </w:r>
      <w:r w:rsidR="008D68B0" w:rsidRPr="008D68B0">
        <w:rPr>
          <w:sz w:val="24"/>
          <w:lang w:val="da-DK"/>
        </w:rPr>
        <w:t xml:space="preserve"> </w:t>
      </w:r>
      <w:r w:rsidR="008D68B0" w:rsidRPr="008D68B0">
        <w:rPr>
          <w:sz w:val="24"/>
          <w:lang w:val="da-DK"/>
        </w:rPr>
        <w:tab/>
      </w:r>
      <w:r w:rsidRPr="008D68B0">
        <w:rPr>
          <w:sz w:val="24"/>
          <w:lang w:val="da-DK"/>
        </w:rPr>
        <w:t xml:space="preserve">EUT L 71 af 16.3.2016, s. 3, ELI: </w:t>
      </w:r>
      <w:hyperlink r:id="rId1" w:history="1">
        <w:r w:rsidRPr="008D68B0">
          <w:rPr>
            <w:rStyle w:val="Hyperlink"/>
            <w:sz w:val="24"/>
            <w:lang w:val="da-DK"/>
          </w:rPr>
          <w:t>http://data.europa.eu/eli/agree_internation/2016/342/oj</w:t>
        </w:r>
      </w:hyperlink>
      <w:r w:rsidRPr="008D68B0">
        <w:rPr>
          <w:sz w:val="24"/>
          <w:lang w:val="da-DK"/>
        </w:rPr>
        <w:t>.</w:t>
      </w:r>
    </w:p>
  </w:footnote>
  <w:footnote w:id="2">
    <w:p w:rsidR="0009188E" w:rsidRPr="008D68B0" w:rsidRDefault="0009188E" w:rsidP="008D68B0">
      <w:pPr>
        <w:pStyle w:val="FootnoteText"/>
        <w:ind w:left="567" w:hanging="567"/>
        <w:rPr>
          <w:color w:val="0000FF"/>
          <w:sz w:val="24"/>
          <w:u w:val="single" w:color="0000FF"/>
          <w:lang w:val="da-DK"/>
        </w:rPr>
      </w:pPr>
      <w:r w:rsidRPr="008D68B0">
        <w:rPr>
          <w:rStyle w:val="FootnoteReference"/>
          <w:sz w:val="24"/>
          <w:lang w:val="da-DK"/>
        </w:rPr>
        <w:footnoteRef/>
      </w:r>
      <w:r w:rsidR="008D68B0" w:rsidRPr="008D68B0">
        <w:rPr>
          <w:sz w:val="24"/>
          <w:lang w:val="da-DK"/>
        </w:rPr>
        <w:t xml:space="preserve"> </w:t>
      </w:r>
      <w:r w:rsidR="008D68B0" w:rsidRPr="008D68B0">
        <w:rPr>
          <w:sz w:val="24"/>
          <w:lang w:val="da-DK"/>
        </w:rPr>
        <w:tab/>
      </w:r>
      <w:r w:rsidRPr="008D68B0">
        <w:rPr>
          <w:sz w:val="24"/>
          <w:lang w:val="da-DK"/>
        </w:rPr>
        <w:t xml:space="preserve">EUT L 195 af 27.7.2017, s. 3, ELI: </w:t>
      </w:r>
      <w:hyperlink r:id="rId2" w:history="1">
        <w:r w:rsidRPr="008D68B0">
          <w:rPr>
            <w:rStyle w:val="Hyperlink"/>
            <w:sz w:val="24"/>
            <w:lang w:val="da-DK"/>
          </w:rPr>
          <w:t>http://data.europa.eu/eli/agree_internation/2017/1388/oj</w:t>
        </w:r>
      </w:hyperlink>
      <w:r w:rsidRPr="008D68B0">
        <w:rPr>
          <w:sz w:val="24"/>
          <w:lang w:val="da-DK"/>
        </w:rPr>
        <w:t>.</w:t>
      </w:r>
    </w:p>
  </w:footnote>
  <w:footnote w:id="3">
    <w:p w:rsidR="0009188E" w:rsidRPr="008D68B0" w:rsidRDefault="0009188E" w:rsidP="008D68B0">
      <w:pPr>
        <w:pStyle w:val="FootnoteText"/>
        <w:ind w:left="567" w:hanging="567"/>
        <w:rPr>
          <w:color w:val="0000FF"/>
          <w:sz w:val="24"/>
          <w:u w:val="single" w:color="0000FF"/>
          <w:lang w:val="da-DK"/>
        </w:rPr>
      </w:pPr>
      <w:r w:rsidRPr="008D68B0">
        <w:rPr>
          <w:rStyle w:val="FootnoteReference"/>
          <w:sz w:val="24"/>
          <w:lang w:val="da-DK"/>
        </w:rPr>
        <w:footnoteRef/>
      </w:r>
      <w:r w:rsidR="008D68B0" w:rsidRPr="008D68B0">
        <w:rPr>
          <w:sz w:val="24"/>
          <w:lang w:val="da-DK"/>
        </w:rPr>
        <w:t xml:space="preserve"> </w:t>
      </w:r>
      <w:r w:rsidR="008D68B0" w:rsidRPr="008D68B0">
        <w:rPr>
          <w:sz w:val="24"/>
          <w:lang w:val="da-DK"/>
        </w:rPr>
        <w:tab/>
      </w:r>
      <w:r w:rsidRPr="008D68B0">
        <w:rPr>
          <w:sz w:val="24"/>
          <w:lang w:val="da-DK"/>
        </w:rPr>
        <w:t xml:space="preserve">EUT L 330 af 20.9.2021, s. 1, ELI: </w:t>
      </w:r>
      <w:hyperlink r:id="rId3" w:history="1">
        <w:r w:rsidRPr="008D68B0">
          <w:rPr>
            <w:rStyle w:val="Hyperlink"/>
            <w:sz w:val="24"/>
            <w:lang w:val="da-DK"/>
          </w:rPr>
          <w:t>http://data.europa.eu/eli/reg/2021/1529/oj</w:t>
        </w:r>
      </w:hyperlink>
      <w:r w:rsidRPr="008D68B0">
        <w:rPr>
          <w:sz w:val="24"/>
          <w:lang w:val="da-DK"/>
        </w:rPr>
        <w:t>.</w:t>
      </w:r>
    </w:p>
  </w:footnote>
  <w:footnote w:id="4">
    <w:p w:rsidR="0009188E" w:rsidRPr="00521F52" w:rsidRDefault="0009188E" w:rsidP="008D68B0">
      <w:pPr>
        <w:pStyle w:val="FootnoteText"/>
        <w:ind w:left="567" w:hanging="567"/>
        <w:rPr>
          <w:sz w:val="24"/>
        </w:rPr>
      </w:pPr>
      <w:r w:rsidRPr="008D68B0">
        <w:rPr>
          <w:rStyle w:val="FootnoteReference"/>
          <w:sz w:val="24"/>
          <w:lang w:val="da-DK"/>
        </w:rPr>
        <w:footnoteRef/>
      </w:r>
      <w:r w:rsidR="008D68B0" w:rsidRPr="00521F52">
        <w:rPr>
          <w:sz w:val="24"/>
        </w:rPr>
        <w:t xml:space="preserve"> </w:t>
      </w:r>
      <w:r w:rsidR="008D68B0" w:rsidRPr="00521F52">
        <w:rPr>
          <w:sz w:val="24"/>
        </w:rPr>
        <w:tab/>
      </w:r>
      <w:r w:rsidRPr="00521F52">
        <w:rPr>
          <w:sz w:val="24"/>
        </w:rPr>
        <w:t xml:space="preserve">EUT L, 2024/1449, 24.5.2024, </w:t>
      </w:r>
      <w:r w:rsidRPr="00521F52">
        <w:rPr>
          <w:color w:val="333333"/>
          <w:sz w:val="24"/>
          <w:shd w:val="clear" w:color="auto" w:fill="FFFFFF"/>
        </w:rPr>
        <w:t>ELI: </w:t>
      </w:r>
      <w:hyperlink r:id="rId4" w:tooltip="Giver adgang til dokumentet via dets ELI URI." w:history="1">
        <w:r w:rsidRPr="00521F52">
          <w:rPr>
            <w:color w:val="337AB7"/>
            <w:sz w:val="24"/>
            <w:u w:val="single"/>
            <w:shd w:val="clear" w:color="auto" w:fill="FFFFFF"/>
          </w:rPr>
          <w:t>http://data.europa.eu/eli/reg/2024/1449/oj</w:t>
        </w:r>
      </w:hyperlink>
      <w:r w:rsidRPr="00521F52">
        <w:rPr>
          <w:sz w:val="24"/>
        </w:rPr>
        <w:t>.</w:t>
      </w:r>
    </w:p>
  </w:footnote>
  <w:footnote w:id="5">
    <w:p w:rsidR="0009188E" w:rsidRPr="008D68B0" w:rsidRDefault="0009188E" w:rsidP="008D68B0">
      <w:pPr>
        <w:pStyle w:val="FootnoteText"/>
        <w:ind w:left="567" w:hanging="567"/>
        <w:rPr>
          <w:sz w:val="24"/>
          <w:lang w:val="da-DK"/>
        </w:rPr>
      </w:pPr>
      <w:r w:rsidRPr="008D68B0">
        <w:rPr>
          <w:rStyle w:val="FootnoteReference"/>
          <w:sz w:val="24"/>
          <w:lang w:val="da-DK"/>
        </w:rPr>
        <w:footnoteRef/>
      </w:r>
      <w:r w:rsidR="008D68B0" w:rsidRPr="008D68B0">
        <w:rPr>
          <w:sz w:val="24"/>
          <w:lang w:val="da-DK"/>
        </w:rPr>
        <w:t xml:space="preserve"> </w:t>
      </w:r>
      <w:r w:rsidR="008D68B0" w:rsidRPr="008D68B0">
        <w:rPr>
          <w:sz w:val="24"/>
          <w:lang w:val="da-DK"/>
        </w:rPr>
        <w:tab/>
      </w:r>
      <w:r w:rsidRPr="008D68B0">
        <w:rPr>
          <w:sz w:val="24"/>
          <w:lang w:val="da-DK"/>
        </w:rPr>
        <w:t xml:space="preserve">EUT L 146 af 6.6.2023, s. 22, ELI: </w:t>
      </w:r>
      <w:hyperlink r:id="rId5" w:history="1">
        <w:r w:rsidRPr="008D68B0">
          <w:rPr>
            <w:rStyle w:val="Hyperlink"/>
            <w:sz w:val="24"/>
            <w:lang w:val="da-DK"/>
          </w:rPr>
          <w:t>http://data.europa.eu/eli/dec/2023/1095/oj</w:t>
        </w:r>
      </w:hyperlink>
      <w:r w:rsidRPr="008D68B0">
        <w:rPr>
          <w:rStyle w:val="Hyperlink"/>
          <w:sz w:val="24"/>
          <w:lang w:val="da-DK"/>
        </w:rPr>
        <w:t>.</w:t>
      </w:r>
    </w:p>
  </w:footnote>
  <w:footnote w:id="6">
    <w:p w:rsidR="0009188E" w:rsidRPr="008D68B0" w:rsidRDefault="0009188E" w:rsidP="008D68B0">
      <w:pPr>
        <w:pStyle w:val="FootnoteText"/>
        <w:ind w:left="567" w:hanging="567"/>
        <w:rPr>
          <w:sz w:val="24"/>
          <w:lang w:val="da-DK"/>
        </w:rPr>
      </w:pPr>
      <w:r w:rsidRPr="008D68B0">
        <w:rPr>
          <w:rStyle w:val="FootnoteReference"/>
          <w:sz w:val="24"/>
          <w:lang w:val="da-DK"/>
        </w:rPr>
        <w:footnoteRef/>
      </w:r>
      <w:r w:rsidR="008D68B0" w:rsidRPr="008D68B0">
        <w:rPr>
          <w:sz w:val="24"/>
          <w:lang w:val="da-DK"/>
        </w:rPr>
        <w:t xml:space="preserve"> </w:t>
      </w:r>
      <w:r w:rsidR="008D68B0" w:rsidRPr="008D68B0">
        <w:rPr>
          <w:sz w:val="24"/>
          <w:lang w:val="da-DK"/>
        </w:rPr>
        <w:tab/>
      </w:r>
      <w:r w:rsidRPr="008D68B0">
        <w:rPr>
          <w:sz w:val="24"/>
          <w:lang w:val="da-DK"/>
        </w:rPr>
        <w:t xml:space="preserve">EUT L 110 af 25.4.2023, s. 1, ELI: </w:t>
      </w:r>
      <w:hyperlink r:id="rId6" w:history="1">
        <w:r w:rsidRPr="008D68B0">
          <w:rPr>
            <w:rStyle w:val="Hyperlink"/>
            <w:sz w:val="24"/>
            <w:lang w:val="da-DK"/>
          </w:rPr>
          <w:t>http://data.europa.eu/eli/reg/2023/850/oj</w:t>
        </w:r>
      </w:hyperlink>
      <w:r w:rsidRPr="008D68B0">
        <w:rPr>
          <w:sz w:val="24"/>
          <w:lang w:val="da-DK"/>
        </w:rPr>
        <w:t>.</w:t>
      </w:r>
    </w:p>
  </w:footnote>
  <w:footnote w:id="7">
    <w:p w:rsidR="0009188E" w:rsidRPr="008D68B0" w:rsidRDefault="0009188E" w:rsidP="008D68B0">
      <w:pPr>
        <w:pStyle w:val="FootnoteText"/>
        <w:ind w:left="567" w:hanging="567"/>
        <w:rPr>
          <w:sz w:val="24"/>
          <w:lang w:val="da-DK"/>
        </w:rPr>
      </w:pPr>
      <w:r w:rsidRPr="008D68B0">
        <w:rPr>
          <w:rStyle w:val="FootnoteReference"/>
          <w:sz w:val="24"/>
          <w:lang w:val="da-DK"/>
        </w:rPr>
        <w:footnoteRef/>
      </w:r>
      <w:r w:rsidR="008D68B0" w:rsidRPr="008D68B0">
        <w:rPr>
          <w:sz w:val="24"/>
          <w:lang w:val="da-DK"/>
        </w:rPr>
        <w:t xml:space="preserve"> </w:t>
      </w:r>
      <w:r w:rsidR="008D68B0" w:rsidRPr="008D68B0">
        <w:rPr>
          <w:sz w:val="24"/>
          <w:lang w:val="da-DK"/>
        </w:rPr>
        <w:tab/>
      </w:r>
      <w:r w:rsidRPr="008D68B0">
        <w:rPr>
          <w:sz w:val="24"/>
          <w:lang w:val="da-DK"/>
        </w:rPr>
        <w:t>Europa-Parlamentets og Rådets direktiv (EU) 2024/1069 af 11. april 2024 om beskyttelse af personer, der engagerer sig offentligt, mod åbenbart grundløse krav eller urimelige retssager ("strategiske retssager mod offentligt engagement") (EUT L</w:t>
      </w:r>
      <w:r w:rsidR="002843A5">
        <w:rPr>
          <w:sz w:val="24"/>
          <w:lang w:val="da-DK"/>
        </w:rPr>
        <w:t>,</w:t>
      </w:r>
      <w:bookmarkStart w:id="7" w:name="_GoBack"/>
      <w:bookmarkEnd w:id="7"/>
      <w:r w:rsidRPr="008D68B0">
        <w:rPr>
          <w:sz w:val="24"/>
          <w:lang w:val="da-DK"/>
        </w:rPr>
        <w:t xml:space="preserve"> 2024/1069, 16.4.2024, ELI: </w:t>
      </w:r>
      <w:hyperlink r:id="rId7" w:history="1">
        <w:r w:rsidRPr="008D68B0">
          <w:rPr>
            <w:rStyle w:val="Hyperlink"/>
            <w:sz w:val="24"/>
            <w:lang w:val="da-DK"/>
          </w:rPr>
          <w:t>http://data.europa.eu/eli/dir/2024/1069/oj</w:t>
        </w:r>
      </w:hyperlink>
      <w:r w:rsidRPr="008D68B0">
        <w:rPr>
          <w:sz w:val="24"/>
          <w:lang w:val="da-DK"/>
        </w:rPr>
        <w:t>).</w:t>
      </w:r>
    </w:p>
  </w:footnote>
  <w:footnote w:id="8">
    <w:p w:rsidR="0009188E" w:rsidRPr="008D68B0" w:rsidRDefault="0009188E" w:rsidP="008D68B0">
      <w:pPr>
        <w:pStyle w:val="FootnoteText"/>
        <w:ind w:left="567" w:hanging="567"/>
        <w:rPr>
          <w:sz w:val="24"/>
          <w:lang w:val="da-DK"/>
        </w:rPr>
      </w:pPr>
      <w:r w:rsidRPr="008D68B0">
        <w:rPr>
          <w:rStyle w:val="FootnoteReference"/>
          <w:sz w:val="24"/>
          <w:lang w:val="da-DK"/>
        </w:rPr>
        <w:footnoteRef/>
      </w:r>
      <w:r w:rsidR="008D68B0" w:rsidRPr="008D68B0">
        <w:rPr>
          <w:sz w:val="24"/>
          <w:lang w:val="da-DK"/>
        </w:rPr>
        <w:t xml:space="preserve"> </w:t>
      </w:r>
      <w:r w:rsidR="008D68B0" w:rsidRPr="008D68B0">
        <w:rPr>
          <w:sz w:val="24"/>
          <w:lang w:val="da-DK"/>
        </w:rPr>
        <w:tab/>
      </w:r>
      <w:r w:rsidRPr="008D68B0">
        <w:rPr>
          <w:sz w:val="24"/>
          <w:lang w:val="da-DK"/>
        </w:rPr>
        <w:t xml:space="preserve">Europa-Parlamentets og Rådets direktiv (EU) 2022/2555 af 14. december 2022 om foranstaltninger til sikring af et højt fælles cybersikkerhedsniveau i hele Unionen, om ændring af forordning (EU) nr. 910/2014 og direktiv (EU) 2018/1972 og om ophævelse af direktiv (EU) 2016/1148 (NIS 2-direktivet) (EUT L 333 af 27.12.2022, s. 80, ELI: </w:t>
      </w:r>
      <w:hyperlink r:id="rId8" w:history="1">
        <w:r w:rsidRPr="008D68B0">
          <w:rPr>
            <w:rStyle w:val="Hyperlink"/>
            <w:sz w:val="24"/>
            <w:lang w:val="da-DK"/>
          </w:rPr>
          <w:t>http://data.europa.eu/eli/dir/2022/2555/oj</w:t>
        </w:r>
      </w:hyperlink>
      <w:r w:rsidRPr="008D68B0">
        <w:rPr>
          <w:sz w:val="24"/>
          <w:lang w:val="da-DK"/>
        </w:rPr>
        <w:t xml:space="preserve">). </w:t>
      </w:r>
    </w:p>
  </w:footnote>
  <w:footnote w:id="9">
    <w:p w:rsidR="0009188E" w:rsidRPr="008D68B0" w:rsidRDefault="0009188E" w:rsidP="008D68B0">
      <w:pPr>
        <w:pStyle w:val="FootnoteText"/>
        <w:ind w:left="567" w:hanging="567"/>
        <w:rPr>
          <w:sz w:val="24"/>
          <w:lang w:val="da-DK"/>
        </w:rPr>
      </w:pPr>
      <w:r w:rsidRPr="008D68B0">
        <w:rPr>
          <w:rStyle w:val="FootnoteReference"/>
          <w:sz w:val="24"/>
          <w:lang w:val="da-DK"/>
        </w:rPr>
        <w:footnoteRef/>
      </w:r>
      <w:r w:rsidR="008D68B0" w:rsidRPr="008D68B0">
        <w:rPr>
          <w:sz w:val="24"/>
          <w:lang w:val="da-DK"/>
        </w:rPr>
        <w:t xml:space="preserve"> </w:t>
      </w:r>
      <w:r w:rsidR="008D68B0" w:rsidRPr="008D68B0">
        <w:rPr>
          <w:sz w:val="24"/>
          <w:lang w:val="da-DK"/>
        </w:rPr>
        <w:tab/>
      </w:r>
      <w:r w:rsidRPr="008D68B0">
        <w:rPr>
          <w:sz w:val="24"/>
          <w:lang w:val="da-DK"/>
        </w:rPr>
        <w:t xml:space="preserve">Europa-Parlamentets og Rådets forordning (EU) 2022/2065 af 19. oktober 2022 om et indre marked for digitale tjenester og om ændring af direktiv 2000/31/EF (forordning om digitale tjenester), EUT L 277 af 27.10.2022, s. 1, ELI: </w:t>
      </w:r>
      <w:hyperlink r:id="rId9" w:history="1">
        <w:r w:rsidRPr="008D68B0">
          <w:rPr>
            <w:rStyle w:val="Hyperlink"/>
            <w:sz w:val="24"/>
            <w:lang w:val="da-DK"/>
          </w:rPr>
          <w:t>http://data.europa.eu/eli/reg/2022/2065/oj</w:t>
        </w:r>
      </w:hyperlink>
      <w:r w:rsidRPr="008D68B0">
        <w:rPr>
          <w:sz w:val="24"/>
          <w:lang w:val="da-DK"/>
        </w:rPr>
        <w:t xml:space="preserve">). </w:t>
      </w:r>
    </w:p>
  </w:footnote>
  <w:footnote w:id="10">
    <w:p w:rsidR="0009188E" w:rsidRPr="008D68B0" w:rsidRDefault="0009188E" w:rsidP="008D68B0">
      <w:pPr>
        <w:ind w:left="567" w:hanging="567"/>
      </w:pPr>
      <w:r w:rsidRPr="008D68B0">
        <w:rPr>
          <w:rStyle w:val="FootnoteReference"/>
        </w:rPr>
        <w:footnoteRef/>
      </w:r>
      <w:r w:rsidR="008D68B0" w:rsidRPr="008D68B0">
        <w:t xml:space="preserve"> </w:t>
      </w:r>
      <w:r w:rsidR="008D68B0" w:rsidRPr="008D68B0">
        <w:tab/>
      </w:r>
      <w:r w:rsidRPr="008D68B0">
        <w:t xml:space="preserve">Europa-Parlamentets og Rådets forordning (EU) 2022/1925 af 14. september 2022 om åbne og fair markeder i den digitale sektor og om ændring af direktiv (EU) 2019/1937 og (EU) 2020/1828 (forordningen om digitale markeder) (EUT L 265 af 12.10.2022, s. 1, ELI: </w:t>
      </w:r>
      <w:hyperlink r:id="rId10" w:history="1">
        <w:r w:rsidRPr="008D68B0">
          <w:rPr>
            <w:rStyle w:val="Hyperlink"/>
          </w:rPr>
          <w:t>http://data.europa.eu/eli/reg/2022/1925/oj</w:t>
        </w:r>
      </w:hyperlink>
      <w:r w:rsidRPr="008D68B0">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5/2025"/>
    <w:docVar w:name="dvlangue" w:val="DA"/>
    <w:docVar w:name="dvnumam" w:val="0"/>
    <w:docVar w:name="dvpe" w:val="767.973"/>
    <w:docVar w:name="dvrapporteur" w:val="Ordfører: "/>
    <w:docVar w:name="dvtitre" w:val="Europa-Parlamentets beslutning af 7. maj 2025 om Kommissionens rapporter om Kosovo for 2023 og 2024(2025/2019(INI))"/>
  </w:docVars>
  <w:rsids>
    <w:rsidRoot w:val="00872C5B"/>
    <w:rsid w:val="00002272"/>
    <w:rsid w:val="00022405"/>
    <w:rsid w:val="00064002"/>
    <w:rsid w:val="000677B9"/>
    <w:rsid w:val="000831BA"/>
    <w:rsid w:val="0009188E"/>
    <w:rsid w:val="000A42CC"/>
    <w:rsid w:val="000E7DD9"/>
    <w:rsid w:val="0010095E"/>
    <w:rsid w:val="00125B37"/>
    <w:rsid w:val="00187494"/>
    <w:rsid w:val="00190778"/>
    <w:rsid w:val="001F32AE"/>
    <w:rsid w:val="002767FF"/>
    <w:rsid w:val="002843A5"/>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1F52"/>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2C5B"/>
    <w:rsid w:val="00881A7B"/>
    <w:rsid w:val="008840E5"/>
    <w:rsid w:val="00887B3E"/>
    <w:rsid w:val="008A353E"/>
    <w:rsid w:val="008C2AC6"/>
    <w:rsid w:val="008D68B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ADC"/>
    <w:rsid w:val="00C05BFE"/>
    <w:rsid w:val="00C2220A"/>
    <w:rsid w:val="00C23CD4"/>
    <w:rsid w:val="00C61C0C"/>
    <w:rsid w:val="00C941CB"/>
    <w:rsid w:val="00CC2357"/>
    <w:rsid w:val="00CF071A"/>
    <w:rsid w:val="00D058B8"/>
    <w:rsid w:val="00D56C11"/>
    <w:rsid w:val="00D834A0"/>
    <w:rsid w:val="00D872DF"/>
    <w:rsid w:val="00D91E21"/>
    <w:rsid w:val="00DA7FCD"/>
    <w:rsid w:val="00DB0CF6"/>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0FE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B16649"/>
  <w15:chartTrackingRefBased/>
  <w15:docId w15:val="{F85867A2-FCB2-4FD4-93E4-C1286F085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9188E"/>
    <w:pPr>
      <w:spacing w:after="240"/>
      <w:ind w:left="567" w:hanging="567"/>
    </w:pPr>
  </w:style>
  <w:style w:type="paragraph" w:customStyle="1" w:styleId="EPComma">
    <w:name w:val="EPComma"/>
    <w:basedOn w:val="Normal"/>
    <w:rsid w:val="0009188E"/>
    <w:pPr>
      <w:spacing w:before="480" w:after="240"/>
    </w:pPr>
  </w:style>
  <w:style w:type="character" w:customStyle="1" w:styleId="NormalHanging12aChar">
    <w:name w:val="NormalHanging12a Char"/>
    <w:basedOn w:val="DefaultParagraphFont"/>
    <w:link w:val="NormalHanging12a"/>
    <w:locked/>
    <w:rsid w:val="0009188E"/>
    <w:rPr>
      <w:sz w:val="24"/>
      <w:lang w:val="da-DK"/>
    </w:rPr>
  </w:style>
  <w:style w:type="paragraph" w:customStyle="1" w:styleId="Normal12a24b">
    <w:name w:val="Normal12a24b"/>
    <w:basedOn w:val="Normal"/>
    <w:rsid w:val="0009188E"/>
    <w:pPr>
      <w:snapToGrid w:val="0"/>
      <w:spacing w:before="360" w:after="240"/>
    </w:pPr>
    <w:rPr>
      <w:lang w:eastAsia="en-US"/>
    </w:rPr>
  </w:style>
  <w:style w:type="character" w:customStyle="1" w:styleId="BoldItalic">
    <w:name w:val="BoldItalic"/>
    <w:uiPriority w:val="1"/>
    <w:rsid w:val="0009188E"/>
    <w:rPr>
      <w:b/>
      <w:bCs w:val="0"/>
      <w:i/>
      <w:iCs w:val="0"/>
      <w:strike w:val="0"/>
      <w:dstrike w:val="0"/>
      <w:u w:val="none"/>
      <w:effect w:val="none"/>
    </w:rPr>
  </w:style>
  <w:style w:type="character" w:styleId="Hyperlink">
    <w:name w:val="Hyperlink"/>
    <w:basedOn w:val="DefaultParagraphFont"/>
    <w:uiPriority w:val="99"/>
    <w:unhideWhenUsed/>
    <w:rsid w:val="0009188E"/>
    <w:rPr>
      <w:color w:val="0000FF"/>
      <w:u w:val="single"/>
    </w:rPr>
  </w:style>
  <w:style w:type="paragraph" w:styleId="BalloonText">
    <w:name w:val="Balloon Text"/>
    <w:basedOn w:val="Normal"/>
    <w:link w:val="BalloonTextChar"/>
    <w:rsid w:val="00FD0FEA"/>
    <w:rPr>
      <w:rFonts w:ascii="Segoe UI" w:hAnsi="Segoe UI" w:cs="Segoe UI"/>
      <w:sz w:val="18"/>
      <w:szCs w:val="18"/>
    </w:rPr>
  </w:style>
  <w:style w:type="character" w:customStyle="1" w:styleId="BalloonTextChar">
    <w:name w:val="Balloon Text Char"/>
    <w:basedOn w:val="DefaultParagraphFont"/>
    <w:link w:val="BalloonText"/>
    <w:rsid w:val="00FD0FEA"/>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555/oj." TargetMode="External"/><Relationship Id="rId3" Type="http://schemas.openxmlformats.org/officeDocument/2006/relationships/hyperlink" Target="http://data.europa.eu/eli/reg/2021/1529/oj" TargetMode="External"/><Relationship Id="rId7" Type="http://schemas.openxmlformats.org/officeDocument/2006/relationships/hyperlink" Target="http://data.europa.eu/eli/dir/2024/1069/oj" TargetMode="External"/><Relationship Id="rId2" Type="http://schemas.openxmlformats.org/officeDocument/2006/relationships/hyperlink" Target="http://data.europa.eu/eli/agree_internation/2017/1388/oj" TargetMode="External"/><Relationship Id="rId1" Type="http://schemas.openxmlformats.org/officeDocument/2006/relationships/hyperlink" Target="http://data.europa.eu/eli/agree_internation/2016/342/oj" TargetMode="External"/><Relationship Id="rId6" Type="http://schemas.openxmlformats.org/officeDocument/2006/relationships/hyperlink" Target="http://data.europa.eu/eli/reg/2023/850/oj" TargetMode="External"/><Relationship Id="rId5" Type="http://schemas.openxmlformats.org/officeDocument/2006/relationships/hyperlink" Target="http://data.europa.eu/eli/dec/2023/1095/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reg/2024/1449/oj" TargetMode="External"/><Relationship Id="rId9" Type="http://schemas.openxmlformats.org/officeDocument/2006/relationships/hyperlink" Target="http://data.europa.eu/eli/reg/2022/20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71F38A-9EF1-465C-A5DB-62D60B5A5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6309</Words>
  <Characters>35966</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THYBO Anne Fonnesbaek</cp:lastModifiedBy>
  <cp:revision>2</cp:revision>
  <cp:lastPrinted>2004-11-19T15:42:00Z</cp:lastPrinted>
  <dcterms:created xsi:type="dcterms:W3CDTF">2025-06-03T13:54:00Z</dcterms:created>
  <dcterms:modified xsi:type="dcterms:W3CDTF">2025-06-03T13:54:00Z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P10_TA-PROV(2025)0094_A10-0075_2025_</vt:lpwstr>
  </property>
  <property fmtid="{D5CDD505-2E9C-101B-9397-08002B2CF9AE}" pid="4" name="&lt;Type&gt;">
    <vt:lpwstr>RR</vt:lpwstr>
  </property>
</Properties>
</file>