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73BB" w14:paraId="0632682C" w14:textId="77777777" w:rsidTr="0010095E">
        <w:trPr>
          <w:trHeight w:hRule="exact" w:val="1418"/>
        </w:trPr>
        <w:tc>
          <w:tcPr>
            <w:tcW w:w="6804" w:type="dxa"/>
            <w:shd w:val="clear" w:color="auto" w:fill="auto"/>
            <w:vAlign w:val="center"/>
          </w:tcPr>
          <w:p w14:paraId="456C6B54" w14:textId="77777777" w:rsidR="00751A4A" w:rsidRPr="00F173BB" w:rsidRDefault="00FD73F0" w:rsidP="0010095E">
            <w:pPr>
              <w:pStyle w:val="EPName"/>
            </w:pPr>
            <w:bookmarkStart w:id="0" w:name="_GoBack"/>
            <w:bookmarkEnd w:id="0"/>
            <w:r w:rsidRPr="00F173BB">
              <w:t>Parlamento Europeo</w:t>
            </w:r>
          </w:p>
          <w:p w14:paraId="6B5E477C" w14:textId="77777777" w:rsidR="00751A4A" w:rsidRPr="00F173BB" w:rsidRDefault="005F1B17" w:rsidP="005F1B17">
            <w:pPr>
              <w:pStyle w:val="EPTerm"/>
              <w:rPr>
                <w:rStyle w:val="HideTWBExt"/>
                <w:noProof w:val="0"/>
                <w:vanish w:val="0"/>
                <w:color w:val="auto"/>
              </w:rPr>
            </w:pPr>
            <w:r w:rsidRPr="00F173BB">
              <w:t>2024</w:t>
            </w:r>
            <w:r w:rsidR="00817416" w:rsidRPr="00F173BB">
              <w:t>-202</w:t>
            </w:r>
            <w:r w:rsidRPr="00F173BB">
              <w:t>9</w:t>
            </w:r>
          </w:p>
        </w:tc>
        <w:tc>
          <w:tcPr>
            <w:tcW w:w="2268" w:type="dxa"/>
            <w:shd w:val="clear" w:color="auto" w:fill="auto"/>
          </w:tcPr>
          <w:p w14:paraId="1AE960C7" w14:textId="77777777" w:rsidR="00751A4A" w:rsidRPr="00F173BB" w:rsidRDefault="00187494" w:rsidP="0010095E">
            <w:pPr>
              <w:pStyle w:val="EPLogo"/>
            </w:pPr>
            <w:r w:rsidRPr="00F173BB">
              <w:rPr>
                <w:noProof/>
                <w:lang w:val="en-GB"/>
              </w:rPr>
              <w:drawing>
                <wp:inline distT="0" distB="0" distL="0" distR="0" wp14:anchorId="4E92AEC6" wp14:editId="6C47CC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D30419" w14:textId="77777777" w:rsidR="00D058B8" w:rsidRPr="00F173BB" w:rsidRDefault="00D058B8" w:rsidP="004C5D52">
      <w:pPr>
        <w:pStyle w:val="LineTop"/>
      </w:pPr>
    </w:p>
    <w:p w14:paraId="7851220C" w14:textId="77777777" w:rsidR="00680577" w:rsidRPr="00F173BB" w:rsidRDefault="00FD73F0" w:rsidP="00680577">
      <w:pPr>
        <w:pStyle w:val="EPBodyTA1"/>
      </w:pPr>
      <w:r w:rsidRPr="00F173BB">
        <w:t>TEXTOS APROBADOS</w:t>
      </w:r>
    </w:p>
    <w:p w14:paraId="5B9426EF" w14:textId="77777777" w:rsidR="00D058B8" w:rsidRPr="00F173BB" w:rsidRDefault="00D058B8" w:rsidP="00D058B8">
      <w:pPr>
        <w:pStyle w:val="LineBottom"/>
      </w:pPr>
    </w:p>
    <w:p w14:paraId="5DA69356" w14:textId="78CD9EE1" w:rsidR="00FD73F0" w:rsidRPr="00F173BB" w:rsidRDefault="00FD73F0" w:rsidP="00FD73F0">
      <w:pPr>
        <w:pStyle w:val="ATHeading1"/>
      </w:pPr>
      <w:bookmarkStart w:id="1" w:name="TANumber"/>
      <w:r w:rsidRPr="00F173BB">
        <w:t>P10_TA(2025)00</w:t>
      </w:r>
      <w:r w:rsidR="00F24955" w:rsidRPr="00F173BB">
        <w:t>94</w:t>
      </w:r>
      <w:bookmarkEnd w:id="1"/>
    </w:p>
    <w:p w14:paraId="5A6F3563" w14:textId="77777777" w:rsidR="00FD73F0" w:rsidRPr="00F173BB" w:rsidRDefault="00FD73F0" w:rsidP="00FD73F0">
      <w:pPr>
        <w:pStyle w:val="ATHeading2"/>
      </w:pPr>
      <w:bookmarkStart w:id="2" w:name="title"/>
      <w:r w:rsidRPr="00F173BB">
        <w:t>Informes de 2023 y 2024 sobre Kosovo</w:t>
      </w:r>
      <w:bookmarkEnd w:id="2"/>
    </w:p>
    <w:p w14:paraId="77600D6C" w14:textId="77777777" w:rsidR="00FD73F0" w:rsidRPr="00F173BB" w:rsidRDefault="00FD73F0" w:rsidP="00FD73F0">
      <w:pPr>
        <w:rPr>
          <w:i/>
          <w:vanish/>
        </w:rPr>
      </w:pPr>
      <w:r w:rsidRPr="00F173BB">
        <w:rPr>
          <w:i/>
        </w:rPr>
        <w:fldChar w:fldCharType="begin"/>
      </w:r>
      <w:r w:rsidRPr="00F173BB">
        <w:rPr>
          <w:i/>
        </w:rPr>
        <w:instrText xml:space="preserve"> TC"(</w:instrText>
      </w:r>
      <w:bookmarkStart w:id="3" w:name="DocNumber"/>
      <w:r w:rsidRPr="00F173BB">
        <w:rPr>
          <w:i/>
        </w:rPr>
        <w:instrText>A10-0075/2025</w:instrText>
      </w:r>
      <w:bookmarkEnd w:id="3"/>
      <w:r w:rsidRPr="00F173BB">
        <w:rPr>
          <w:i/>
        </w:rPr>
        <w:instrText xml:space="preserve"> - Ponente: Riho Terras)"\l3 \n&gt; \* MERGEFORMAT </w:instrText>
      </w:r>
      <w:r w:rsidRPr="00F173BB">
        <w:rPr>
          <w:i/>
        </w:rPr>
        <w:fldChar w:fldCharType="end"/>
      </w:r>
    </w:p>
    <w:p w14:paraId="3AEFEF1B" w14:textId="77777777" w:rsidR="00FD73F0" w:rsidRPr="00F173BB" w:rsidRDefault="00FD73F0" w:rsidP="00FD73F0">
      <w:pPr>
        <w:rPr>
          <w:vanish/>
        </w:rPr>
      </w:pPr>
      <w:bookmarkStart w:id="4" w:name="Commission"/>
      <w:r w:rsidRPr="00F173BB">
        <w:rPr>
          <w:vanish/>
        </w:rPr>
        <w:t>Comisión de Asuntos Exteriores</w:t>
      </w:r>
      <w:bookmarkEnd w:id="4"/>
    </w:p>
    <w:p w14:paraId="21B4B6DA" w14:textId="77777777" w:rsidR="00FD73F0" w:rsidRPr="00F173BB" w:rsidRDefault="00FD73F0" w:rsidP="00FD73F0">
      <w:pPr>
        <w:rPr>
          <w:vanish/>
        </w:rPr>
      </w:pPr>
      <w:bookmarkStart w:id="5" w:name="PE"/>
      <w:r w:rsidRPr="00F173BB">
        <w:rPr>
          <w:vanish/>
        </w:rPr>
        <w:t>PE767.973</w:t>
      </w:r>
      <w:bookmarkEnd w:id="5"/>
    </w:p>
    <w:p w14:paraId="2CD78D15" w14:textId="77777777" w:rsidR="00FD73F0" w:rsidRPr="00F173BB" w:rsidRDefault="00FD73F0" w:rsidP="00FD73F0">
      <w:pPr>
        <w:pStyle w:val="ATHeading3"/>
      </w:pPr>
      <w:bookmarkStart w:id="6" w:name="Sujet"/>
      <w:r w:rsidRPr="00F173BB">
        <w:t>Resolución del Parlamento Europeo, de 7 de mayo de 2025, sobre los Informes de 2023 y 2024 de la Comisión sobre Kosovo</w:t>
      </w:r>
      <w:bookmarkEnd w:id="6"/>
      <w:r w:rsidRPr="00F173BB">
        <w:t xml:space="preserve"> </w:t>
      </w:r>
      <w:bookmarkStart w:id="7" w:name="References"/>
      <w:r w:rsidRPr="00F173BB">
        <w:t>(2025/2019(INI))</w:t>
      </w:r>
      <w:bookmarkEnd w:id="7"/>
    </w:p>
    <w:p w14:paraId="644C27D5" w14:textId="77777777" w:rsidR="00225D28" w:rsidRPr="00F173BB" w:rsidRDefault="00225D28" w:rsidP="00225D28">
      <w:pPr>
        <w:pStyle w:val="EPComma"/>
        <w:widowControl/>
      </w:pPr>
      <w:r w:rsidRPr="00F173BB">
        <w:rPr>
          <w:i/>
        </w:rPr>
        <w:t>El Parlamento Europeo</w:t>
      </w:r>
      <w:r w:rsidRPr="00F173BB">
        <w:t>,</w:t>
      </w:r>
    </w:p>
    <w:p w14:paraId="58A101FA" w14:textId="77777777" w:rsidR="00225D28" w:rsidRPr="00F173BB" w:rsidRDefault="00225D28" w:rsidP="00A94E61">
      <w:pPr>
        <w:pStyle w:val="NormalHanging12a"/>
        <w:widowControl/>
      </w:pPr>
      <w:r w:rsidRPr="00F173BB">
        <w:t>–</w:t>
      </w:r>
      <w:r w:rsidRPr="00F173BB">
        <w:tab/>
        <w:t>Visto el Acuerdo de Estabilización y Asociación entre la Unión Europea y la Comunidad Europea de la Energía Atómica, por una parte, y Kosovo, por otra</w:t>
      </w:r>
      <w:r w:rsidRPr="00F173BB">
        <w:rPr>
          <w:vertAlign w:val="superscript"/>
        </w:rPr>
        <w:footnoteReference w:id="1"/>
      </w:r>
      <w:r w:rsidRPr="00F173BB">
        <w:t>, que entró en vigor el 1 de abril de 2016,</w:t>
      </w:r>
    </w:p>
    <w:p w14:paraId="33D5A75E" w14:textId="77777777" w:rsidR="00225D28" w:rsidRPr="00F173BB" w:rsidRDefault="00225D28" w:rsidP="00A94E61">
      <w:pPr>
        <w:pStyle w:val="NormalHanging12a"/>
        <w:widowControl/>
      </w:pPr>
      <w:r w:rsidRPr="00F173BB">
        <w:t>–</w:t>
      </w:r>
      <w:r w:rsidRPr="00F173BB">
        <w:tab/>
        <w:t>Vista la solicitud de adhesión a la Unión Europea presentada por Kosovo el 15 de diciembre de 2022,</w:t>
      </w:r>
    </w:p>
    <w:p w14:paraId="268288EE" w14:textId="77777777" w:rsidR="00225D28" w:rsidRPr="00F173BB" w:rsidRDefault="00225D28" w:rsidP="00A94E61">
      <w:pPr>
        <w:pStyle w:val="NormalHanging12a"/>
        <w:widowControl/>
      </w:pPr>
      <w:r w:rsidRPr="00F173BB">
        <w:t>–</w:t>
      </w:r>
      <w:r w:rsidRPr="00F173BB">
        <w:tab/>
        <w:t>Vista la solicitud de adhesión de Kosovo al Consejo de Europa de 12 de mayo de 2022,</w:t>
      </w:r>
    </w:p>
    <w:p w14:paraId="78CBECBF" w14:textId="77777777" w:rsidR="00225D28" w:rsidRPr="00F173BB" w:rsidRDefault="00225D28" w:rsidP="00A94E61">
      <w:pPr>
        <w:pStyle w:val="NormalHanging12a"/>
        <w:widowControl/>
      </w:pPr>
      <w:r w:rsidRPr="00F173BB">
        <w:t>–</w:t>
      </w:r>
      <w:r w:rsidRPr="00F173BB">
        <w:tab/>
        <w:t>Visto el Acuerdo marco entre la Unión Europea y Kosovo sobre los principios generales de la participación de Kosovo en los programas de la Unión</w:t>
      </w:r>
      <w:r w:rsidRPr="00F173BB">
        <w:rPr>
          <w:vertAlign w:val="superscript"/>
        </w:rPr>
        <w:footnoteReference w:id="2"/>
      </w:r>
      <w:r w:rsidRPr="00F173BB">
        <w:t>, en vigor desde el 1 de agosto de 2017,</w:t>
      </w:r>
    </w:p>
    <w:p w14:paraId="424656DE" w14:textId="77777777" w:rsidR="00225D28" w:rsidRPr="00F173BB" w:rsidRDefault="00225D28" w:rsidP="00A94E61">
      <w:pPr>
        <w:pStyle w:val="NormalHanging12a"/>
        <w:widowControl/>
      </w:pPr>
      <w:r w:rsidRPr="00F173BB">
        <w:t>–</w:t>
      </w:r>
      <w:r w:rsidRPr="00F173BB">
        <w:tab/>
        <w:t>Visto el Reglamento (UE) 2021/1529 del Parlamento Europeo y del Consejo, de 15 de septiembre de 2021, por el que se establece el Instrumento de Ayuda Preadhesión (IAP III)</w:t>
      </w:r>
      <w:r w:rsidRPr="00F173BB">
        <w:rPr>
          <w:vertAlign w:val="superscript"/>
        </w:rPr>
        <w:footnoteReference w:id="3"/>
      </w:r>
      <w:r w:rsidRPr="00F173BB">
        <w:t>,</w:t>
      </w:r>
    </w:p>
    <w:p w14:paraId="1F7F69AD" w14:textId="77777777" w:rsidR="00225D28" w:rsidRPr="00F173BB" w:rsidRDefault="00225D28" w:rsidP="00A94E61">
      <w:pPr>
        <w:pStyle w:val="NormalHanging12a"/>
        <w:widowControl/>
      </w:pPr>
      <w:r w:rsidRPr="00F173BB">
        <w:t>–</w:t>
      </w:r>
      <w:r w:rsidRPr="00F173BB">
        <w:tab/>
        <w:t>Visto el Reglamento (UE) 2024/1449 del Parlamento Europeo y del Consejo, de 14 de mayo de 2024, por el que se establece el Mecanismo de Reforma y Crecimiento para los Balcanes Occidentales</w:t>
      </w:r>
      <w:r w:rsidRPr="00F173BB">
        <w:rPr>
          <w:vertAlign w:val="superscript"/>
        </w:rPr>
        <w:footnoteReference w:id="4"/>
      </w:r>
      <w:r w:rsidRPr="00F173BB">
        <w:t>,</w:t>
      </w:r>
    </w:p>
    <w:p w14:paraId="7605E251" w14:textId="77777777" w:rsidR="00225D28" w:rsidRPr="00F173BB" w:rsidRDefault="00225D28" w:rsidP="00A94E61">
      <w:pPr>
        <w:pStyle w:val="NormalHanging12a"/>
        <w:widowControl/>
      </w:pPr>
      <w:r w:rsidRPr="00F173BB">
        <w:t>–</w:t>
      </w:r>
      <w:r w:rsidRPr="00F173BB">
        <w:tab/>
        <w:t>Vistas las Conclusiones de la Presidencia del Consejo Europeo de Salónica, de 19 y 20 de junio de 2003,</w:t>
      </w:r>
    </w:p>
    <w:p w14:paraId="5AC840C6" w14:textId="77777777" w:rsidR="00225D28" w:rsidRPr="00F173BB" w:rsidRDefault="00225D28" w:rsidP="00A94E61">
      <w:pPr>
        <w:pStyle w:val="NormalHanging12a"/>
        <w:widowControl/>
      </w:pPr>
      <w:r w:rsidRPr="00F173BB">
        <w:lastRenderedPageBreak/>
        <w:t>–</w:t>
      </w:r>
      <w:r w:rsidRPr="00F173BB">
        <w:tab/>
        <w:t xml:space="preserve">Vistas las declaraciones de las cumbres UE-Balcanes Occidentales de 17 de mayo de 2018 en Sofía, de 6 de mayo de 2020 en Zagreb, de 6 de octubre de 2021 en Brdo pri Kranju, de 6 de diciembre de 2022 en Tirana, de 13 de diciembre de 2023 en Bruselas y de 18 de diciembre de 2024 en Bruselas, </w:t>
      </w:r>
    </w:p>
    <w:p w14:paraId="4F69D5CE" w14:textId="77777777" w:rsidR="00225D28" w:rsidRPr="00F173BB" w:rsidRDefault="00225D28" w:rsidP="00A94E61">
      <w:pPr>
        <w:pStyle w:val="NormalHanging12a"/>
        <w:widowControl/>
      </w:pPr>
      <w:r w:rsidRPr="00F173BB">
        <w:t>–</w:t>
      </w:r>
      <w:r w:rsidRPr="00F173BB">
        <w:tab/>
        <w:t>Visto el Proceso de Berlín, puesto en marcha el 28 de agosto de 2014,</w:t>
      </w:r>
    </w:p>
    <w:p w14:paraId="2A3C0C90" w14:textId="77777777" w:rsidR="00225D28" w:rsidRPr="00F173BB" w:rsidRDefault="00225D28" w:rsidP="00A94E61">
      <w:pPr>
        <w:pStyle w:val="NormalHanging12a"/>
        <w:widowControl/>
      </w:pPr>
      <w:r w:rsidRPr="00F173BB">
        <w:t>–</w:t>
      </w:r>
      <w:r w:rsidRPr="00F173BB">
        <w:tab/>
        <w:t>Vista la Comunicación de la Comisión, de 5 de febrero de 2020, titulada «Mejorar el proceso de adhesión: una perspectiva creíble de la UE para los Balcanes Occidentales» (COM(2020)0057),</w:t>
      </w:r>
    </w:p>
    <w:p w14:paraId="5CBACA26" w14:textId="77777777" w:rsidR="00225D28" w:rsidRPr="00F173BB" w:rsidRDefault="00225D28" w:rsidP="00A94E61">
      <w:pPr>
        <w:pStyle w:val="NormalHanging12a"/>
        <w:widowControl/>
      </w:pPr>
      <w:r w:rsidRPr="00F173BB">
        <w:t>–</w:t>
      </w:r>
      <w:r w:rsidRPr="00F173BB">
        <w:tab/>
        <w:t>Vista la Comunicación de la Comisión, de 6 de octubre de 2020, titulada «Un Plan Económico y de Inversión para los Balcanes Occidentales» (COM(2020)0641),</w:t>
      </w:r>
    </w:p>
    <w:p w14:paraId="04EA0BD8" w14:textId="77777777" w:rsidR="00225D28" w:rsidRPr="00F173BB" w:rsidRDefault="00225D28" w:rsidP="00A94E61">
      <w:pPr>
        <w:pStyle w:val="NormalHanging12a"/>
        <w:widowControl/>
      </w:pPr>
      <w:r w:rsidRPr="00F173BB">
        <w:t>–</w:t>
      </w:r>
      <w:r w:rsidRPr="00F173BB">
        <w:tab/>
        <w:t>Vista la Comunicación de la Comisión, de 8 de noviembre de 2023, titulada «Comunicación de 2023 sobre la política de ampliación de la UE» (COM(2023)0690), acompañada del documento de trabajo de los servicios de la Comisión titulado «Kosovo 2023 Report» (Informe de 2023 sobre Kosovo) (SWD(2023)0692),</w:t>
      </w:r>
    </w:p>
    <w:p w14:paraId="21D5107F" w14:textId="77777777" w:rsidR="00225D28" w:rsidRPr="00F173BB" w:rsidRDefault="00225D28" w:rsidP="00A94E61">
      <w:pPr>
        <w:pStyle w:val="NormalHanging12a"/>
        <w:widowControl/>
      </w:pPr>
      <w:r w:rsidRPr="00F173BB">
        <w:t>–</w:t>
      </w:r>
      <w:r w:rsidRPr="00F173BB">
        <w:tab/>
        <w:t>Vista la Comunicación de la Comisión, de 8 de noviembre de 2023, titulada «Nuevo plan de crecimiento para los Balcanes Occidentales» (COM(2023)0691),</w:t>
      </w:r>
    </w:p>
    <w:p w14:paraId="05E6A65E" w14:textId="77777777" w:rsidR="00225D28" w:rsidRPr="00F173BB" w:rsidRDefault="00225D28" w:rsidP="00A94E61">
      <w:pPr>
        <w:pStyle w:val="NormalHanging12a"/>
        <w:widowControl/>
      </w:pPr>
      <w:r w:rsidRPr="00F173BB">
        <w:t>–</w:t>
      </w:r>
      <w:r w:rsidRPr="00F173BB">
        <w:tab/>
        <w:t>Vista la Comunicación de la Comisión, de 20 de marzo de 2024, sobre las reformas y las revisiones de las políticas previas a la ampliación (COM(2024)0146),</w:t>
      </w:r>
    </w:p>
    <w:p w14:paraId="7C890989" w14:textId="77777777" w:rsidR="00225D28" w:rsidRPr="00F173BB" w:rsidRDefault="00225D28" w:rsidP="00A94E61">
      <w:pPr>
        <w:pStyle w:val="NormalHanging12a"/>
        <w:widowControl/>
      </w:pPr>
      <w:r w:rsidRPr="00F173BB">
        <w:t>–</w:t>
      </w:r>
      <w:r w:rsidRPr="00F173BB">
        <w:tab/>
        <w:t>Vista la Comunicación de la Comisión, de 30 de octubre de 2024, titulada «Comunicación de 2024 sobre la política de ampliación de la UE» (COM(2024)0690), acompañada del documento de trabajo de los servicios de la Comisión titulado «Kosovo 2024 Report» (Informe de 2024 sobre Kosovo) (SWD(2024)0692),</w:t>
      </w:r>
    </w:p>
    <w:p w14:paraId="303FBF1D" w14:textId="77777777" w:rsidR="00225D28" w:rsidRPr="00F173BB" w:rsidRDefault="00225D28" w:rsidP="00A94E61">
      <w:pPr>
        <w:pStyle w:val="NormalHanging12a"/>
        <w:widowControl/>
      </w:pPr>
      <w:r w:rsidRPr="00F173BB">
        <w:t>–</w:t>
      </w:r>
      <w:r w:rsidRPr="00F173BB">
        <w:tab/>
        <w:t>Vistos el resumen general y las evaluaciones por país de la Comisión, de 31 de mayo de 2023 y de 13 de junio de 2024, sobre el programa de reforma económica de Kosovo,</w:t>
      </w:r>
    </w:p>
    <w:p w14:paraId="18937635" w14:textId="77777777" w:rsidR="00225D28" w:rsidRPr="00F173BB" w:rsidRDefault="00225D28" w:rsidP="00A94E61">
      <w:pPr>
        <w:pStyle w:val="NormalHanging12a"/>
        <w:widowControl/>
      </w:pPr>
      <w:r w:rsidRPr="00F173BB">
        <w:t>–</w:t>
      </w:r>
      <w:r w:rsidRPr="00F173BB">
        <w:tab/>
        <w:t>Vistas las Conclusiones conjuntas del diálogo económico y financiero entre la Unión y los Balcanes Occidentales y Turquía, adoptadas por el Consejo el 16 de mayo de 2023, y las Conclusiones conjuntas del diálogo económico y financiero entre la UE y los socios de los Balcanes Occidentales, Turquía, Georgia, la República de Moldavia y Ucrania, adoptadas por el Consejo el 14 de mayo de 2024,</w:t>
      </w:r>
    </w:p>
    <w:p w14:paraId="6C2A8B58" w14:textId="77777777" w:rsidR="00225D28" w:rsidRPr="00F173BB" w:rsidRDefault="00225D28" w:rsidP="00A94E61">
      <w:pPr>
        <w:pStyle w:val="NormalHanging12a"/>
        <w:widowControl/>
      </w:pPr>
      <w:r w:rsidRPr="00F173BB">
        <w:t>–</w:t>
      </w:r>
      <w:r w:rsidRPr="00F173BB">
        <w:tab/>
        <w:t>Vistas la Resolución 1244 del Consejo de Seguridad de las Naciones Unidas, de 10 de junio de 1999, la opinión consultiva de la Corte Internacional de Justicia (CIJ), de 22 de julio de 2010, sobre la conformidad con el Derecho internacional de la declaración unilateral de independencia relativa a Kosovo, y la Resolución 64/298 de la Asamblea General de las Naciones Unidas, de 9 de septiembre de 2010, en la que se reconoce el contenido de dicha opinión consultiva y se acoge con satisfacción la disposición de la Unión a facilitar el diálogo entre Serbia y Kosovo,</w:t>
      </w:r>
    </w:p>
    <w:p w14:paraId="3730A2BC" w14:textId="77777777" w:rsidR="00225D28" w:rsidRPr="00F173BB" w:rsidRDefault="00225D28" w:rsidP="00A94E61">
      <w:pPr>
        <w:pStyle w:val="NormalHanging12a"/>
        <w:widowControl/>
      </w:pPr>
      <w:r w:rsidRPr="00F173BB">
        <w:t>–</w:t>
      </w:r>
      <w:r w:rsidRPr="00F173BB">
        <w:tab/>
        <w:t>Vistos el primer acuerdo sobre los principios rectores de la normalización de las relaciones entre Serbia y Kosovo, de 19 de abril de 2013, los acuerdos de 25 de agosto de 2015 y el diálogo en curso facilitado por la Unión para la normalización de las relaciones,</w:t>
      </w:r>
    </w:p>
    <w:p w14:paraId="5FDFD233" w14:textId="77777777" w:rsidR="00225D28" w:rsidRPr="00F173BB" w:rsidRDefault="00225D28" w:rsidP="00A94E61">
      <w:pPr>
        <w:pStyle w:val="NormalHanging12a"/>
        <w:widowControl/>
      </w:pPr>
      <w:r w:rsidRPr="00F173BB">
        <w:lastRenderedPageBreak/>
        <w:t>–</w:t>
      </w:r>
      <w:r w:rsidRPr="00F173BB">
        <w:tab/>
        <w:t>Vistos el Acuerdo de Bruselas, de 27 de febrero de 2023, y el Acuerdo de Ohrid, de 18 de marzo de 2023, así como su anexo de aplicación,</w:t>
      </w:r>
    </w:p>
    <w:p w14:paraId="288FC871" w14:textId="77777777" w:rsidR="00225D28" w:rsidRPr="00F173BB" w:rsidRDefault="00225D28" w:rsidP="00A94E61">
      <w:pPr>
        <w:pStyle w:val="NormalHanging12a"/>
        <w:widowControl/>
      </w:pPr>
      <w:r w:rsidRPr="00F173BB">
        <w:t>–</w:t>
      </w:r>
      <w:r w:rsidRPr="00F173BB">
        <w:tab/>
        <w:t>Vista la Decisión (PESC) 2023/1095 del Consejo, de 5 de junio de 2023, por la que se modifica la Acción Común 2008/124/PESC sobre la Misión de la Unión Europea por el Estado de Derecho en Kosovo (EULEX Kosovo)</w:t>
      </w:r>
      <w:r w:rsidRPr="00F173BB">
        <w:rPr>
          <w:vertAlign w:val="superscript"/>
        </w:rPr>
        <w:footnoteReference w:id="5"/>
      </w:r>
      <w:r w:rsidRPr="00F173BB">
        <w:t>, que prorrogó el mandato de la Misión hasta el 14 de junio de 2025,</w:t>
      </w:r>
    </w:p>
    <w:p w14:paraId="2F096FB1" w14:textId="77777777" w:rsidR="00225D28" w:rsidRPr="00F173BB" w:rsidRDefault="00225D28" w:rsidP="00A94E61">
      <w:pPr>
        <w:pStyle w:val="NormalHanging12a"/>
        <w:widowControl/>
      </w:pPr>
      <w:r w:rsidRPr="00F173BB">
        <w:t>–</w:t>
      </w:r>
      <w:r w:rsidRPr="00F173BB">
        <w:tab/>
        <w:t>Visto el Reglamento (UE) 2023/850 del Parlamento Europeo y del Consejo, de 19 de abril de 2023, por el que se modifica el Reglamento (UE) 2018/1806 por el que se establecen la lista de terceros países cuyos nacionales están sometidos a la obligación de visado para cruzar las fronteras exteriores y la lista de terceros países cuyos nacionales están exentos de esa obligación (Kosovo)</w:t>
      </w:r>
      <w:r w:rsidRPr="00F173BB">
        <w:rPr>
          <w:rStyle w:val="FootnoteReference"/>
        </w:rPr>
        <w:footnoteReference w:id="6"/>
      </w:r>
      <w:r w:rsidRPr="00F173BB">
        <w:t>,</w:t>
      </w:r>
    </w:p>
    <w:p w14:paraId="180EAE92" w14:textId="77777777" w:rsidR="00225D28" w:rsidRPr="00F173BB" w:rsidRDefault="00225D28" w:rsidP="00A94E61">
      <w:pPr>
        <w:pStyle w:val="NormalHanging12a"/>
        <w:widowControl/>
      </w:pPr>
      <w:r w:rsidRPr="00F173BB">
        <w:t>–</w:t>
      </w:r>
      <w:r w:rsidRPr="00F173BB">
        <w:tab/>
        <w:t>Visto el informe final de la Misión de Observación Electoral de la Unión Europea sobre las elecciones municipales de 2021 celebradas en Kosovo,</w:t>
      </w:r>
    </w:p>
    <w:p w14:paraId="064BE5A5" w14:textId="77777777" w:rsidR="00225D28" w:rsidRPr="00F173BB" w:rsidRDefault="00225D28" w:rsidP="00A94E61">
      <w:pPr>
        <w:pStyle w:val="NormalHanging12a"/>
        <w:widowControl/>
        <w:rPr>
          <w:b/>
          <w:szCs w:val="24"/>
        </w:rPr>
      </w:pPr>
      <w:r w:rsidRPr="00F173BB">
        <w:t>–</w:t>
      </w:r>
      <w:r w:rsidRPr="00F173BB">
        <w:tab/>
        <w:t>Visto el informe preliminar de la Misión de Observación Electoral de la Unión Europea sobre las elecciones parlamentarias de 2025 en Kosovo,</w:t>
      </w:r>
    </w:p>
    <w:p w14:paraId="28B58CD0" w14:textId="77777777" w:rsidR="00225D28" w:rsidRPr="00F173BB" w:rsidRDefault="00225D28" w:rsidP="00A94E61">
      <w:pPr>
        <w:pStyle w:val="NormalHanging12a"/>
        <w:widowControl/>
      </w:pPr>
      <w:r w:rsidRPr="00F173BB">
        <w:t>–</w:t>
      </w:r>
      <w:r w:rsidRPr="00F173BB">
        <w:tab/>
        <w:t>Vista la cuarta reunión del Consejo de Estabilización y Asociación entre la Unión Europea y Kosovo, celebrada en Bruselas el 7 de diciembre de 2021,</w:t>
      </w:r>
    </w:p>
    <w:p w14:paraId="57E7BEEF" w14:textId="77777777" w:rsidR="00225D28" w:rsidRPr="00F173BB" w:rsidRDefault="00225D28" w:rsidP="00A94E61">
      <w:pPr>
        <w:pStyle w:val="NormalHanging12a"/>
        <w:widowControl/>
      </w:pPr>
      <w:r w:rsidRPr="00F173BB">
        <w:t>–</w:t>
      </w:r>
      <w:r w:rsidRPr="00F173BB">
        <w:tab/>
        <w:t>Vistas sus anteriores Resoluciones sobre Kosovo,</w:t>
      </w:r>
    </w:p>
    <w:p w14:paraId="7094B994" w14:textId="77777777" w:rsidR="00225D28" w:rsidRPr="00F173BB" w:rsidRDefault="00225D28" w:rsidP="00A94E61">
      <w:pPr>
        <w:pStyle w:val="NormalHanging12a"/>
        <w:widowControl/>
      </w:pPr>
      <w:r w:rsidRPr="00F173BB">
        <w:t>–</w:t>
      </w:r>
      <w:r w:rsidRPr="00F173BB">
        <w:tab/>
        <w:t>Vistas las recomendaciones conjuntas adoptadas en la duodécima reunión de la Comisión Parlamentaria de Estabilización y Asociación UE-Kosovo, celebrada el 9 de diciembre de 2024,</w:t>
      </w:r>
    </w:p>
    <w:p w14:paraId="14A04C0B" w14:textId="77777777" w:rsidR="00225D28" w:rsidRPr="00F173BB" w:rsidRDefault="00225D28" w:rsidP="00A94E61">
      <w:pPr>
        <w:pStyle w:val="NormalHanging12a"/>
        <w:widowControl/>
      </w:pPr>
      <w:r w:rsidRPr="00F173BB">
        <w:t>–</w:t>
      </w:r>
      <w:r w:rsidRPr="00F173BB">
        <w:tab/>
        <w:t>Visto el índice de percepción de la corrupción de 2024 de Transparencia International,</w:t>
      </w:r>
    </w:p>
    <w:p w14:paraId="6491FD6A" w14:textId="77777777" w:rsidR="00225D28" w:rsidRPr="00F173BB" w:rsidRDefault="00225D28" w:rsidP="00A94E61">
      <w:pPr>
        <w:pStyle w:val="NormalHanging12a"/>
        <w:widowControl/>
      </w:pPr>
      <w:r w:rsidRPr="00F173BB">
        <w:t>–</w:t>
      </w:r>
      <w:r w:rsidRPr="00F173BB">
        <w:tab/>
        <w:t>Vista la Clasificación Mundial de la Libertad de Prensa de 2024 de Reporteros sin Fronteras,</w:t>
      </w:r>
    </w:p>
    <w:p w14:paraId="4FB3A6EB" w14:textId="77777777" w:rsidR="00225D28" w:rsidRPr="00F173BB" w:rsidRDefault="00225D28" w:rsidP="00A94E61">
      <w:pPr>
        <w:pStyle w:val="NormalHanging12a"/>
        <w:widowControl/>
      </w:pPr>
      <w:r w:rsidRPr="00F173BB">
        <w:t>–</w:t>
      </w:r>
      <w:r w:rsidRPr="00F173BB">
        <w:tab/>
        <w:t>Visto el Informe sobre la democracia de 2024 de marzo de 2024 del Instituto Variedades de la Democracia (VDEM),</w:t>
      </w:r>
    </w:p>
    <w:p w14:paraId="3A17764A" w14:textId="77777777" w:rsidR="00225D28" w:rsidRPr="00F173BB" w:rsidRDefault="00225D28" w:rsidP="00A94E61">
      <w:pPr>
        <w:pStyle w:val="NormalHanging12a"/>
        <w:widowControl/>
      </w:pPr>
      <w:r w:rsidRPr="00F173BB">
        <w:t>–</w:t>
      </w:r>
      <w:r w:rsidRPr="00F173BB">
        <w:tab/>
        <w:t>Visto el artículo 55 de su Reglamento interno,</w:t>
      </w:r>
    </w:p>
    <w:p w14:paraId="3121C475" w14:textId="77777777" w:rsidR="00225D28" w:rsidRPr="00F173BB" w:rsidRDefault="00225D28" w:rsidP="00A94E61">
      <w:pPr>
        <w:pStyle w:val="NormalHanging12a"/>
        <w:widowControl/>
      </w:pPr>
      <w:r w:rsidRPr="00F173BB">
        <w:t>–</w:t>
      </w:r>
      <w:r w:rsidRPr="00F173BB">
        <w:tab/>
        <w:t>Visto el informe de la Comisión de Asuntos Exteriores (A10-0075/2025),</w:t>
      </w:r>
    </w:p>
    <w:p w14:paraId="777A9298" w14:textId="77777777" w:rsidR="00225D28" w:rsidRPr="00F173BB" w:rsidRDefault="00225D28" w:rsidP="00A94E61">
      <w:pPr>
        <w:pStyle w:val="NormalHanging12a"/>
        <w:widowControl/>
      </w:pPr>
      <w:r w:rsidRPr="00F173BB">
        <w:t>A.</w:t>
      </w:r>
      <w:r w:rsidRPr="00F173BB">
        <w:tab/>
        <w:t>Considerando que la política de ampliación es uno de los instrumentos de política exterior de la Unión más eficaces y una de las políticas de mayor éxito para incentivar y promover reformas fundamentales, así como una inversión geoestratégica a largo plazo en paz, democracia, estabilidad y seguridad en todo el continente;</w:t>
      </w:r>
    </w:p>
    <w:p w14:paraId="3456C61C" w14:textId="77777777" w:rsidR="00225D28" w:rsidRPr="00F173BB" w:rsidRDefault="00225D28" w:rsidP="00A94E61">
      <w:pPr>
        <w:pStyle w:val="NormalHanging12a"/>
        <w:widowControl/>
      </w:pPr>
      <w:r w:rsidRPr="00F173BB">
        <w:t>B.</w:t>
      </w:r>
      <w:r w:rsidRPr="00F173BB">
        <w:tab/>
        <w:t>Considerando que la democracia, los derechos humanos y el Estado de Derecho son los valores fundamentales en los que se basa la Unión;</w:t>
      </w:r>
    </w:p>
    <w:p w14:paraId="7FFAE16E" w14:textId="77777777" w:rsidR="00225D28" w:rsidRPr="00F173BB" w:rsidRDefault="00225D28" w:rsidP="00A94E61">
      <w:pPr>
        <w:pStyle w:val="NormalHanging12a"/>
        <w:widowControl/>
      </w:pPr>
      <w:r w:rsidRPr="00F173BB">
        <w:lastRenderedPageBreak/>
        <w:t>C.</w:t>
      </w:r>
      <w:r w:rsidRPr="00F173BB">
        <w:tab/>
        <w:t>Considerando que el proceso de ampliación de la Unión es una herramienta para el refuerzo de la estabilidad, la democracia y el desarrollo económico en Europa, y cada país candidato es juzgado individualmente en función de sus propios méritos y que la aplicación de las reformas necesarias y el cumplimiento de los criterios y valores comunes de la Unión determina el calendario y los avances de su adhesión;</w:t>
      </w:r>
      <w:r w:rsidRPr="00F173BB">
        <w:rPr>
          <w:b/>
        </w:rPr>
        <w:t xml:space="preserve"> </w:t>
      </w:r>
      <w:r w:rsidRPr="00F173BB">
        <w:t>que el camino de Kosovo hacia la adhesión a la Unión depende también de la normalización de las relaciones con Serbia;</w:t>
      </w:r>
    </w:p>
    <w:p w14:paraId="56A7412E" w14:textId="77777777" w:rsidR="00225D28" w:rsidRPr="00F173BB" w:rsidRDefault="00225D28" w:rsidP="00A94E61">
      <w:pPr>
        <w:pStyle w:val="NormalHanging12a"/>
        <w:widowControl/>
      </w:pPr>
      <w:r w:rsidRPr="00F173BB">
        <w:t>D.</w:t>
      </w:r>
      <w:r w:rsidRPr="00F173BB">
        <w:tab/>
        <w:t>Considerando que la Unión es el mayor donante de ayuda financiera a Kosovo;</w:t>
      </w:r>
    </w:p>
    <w:p w14:paraId="697C643D" w14:textId="77777777" w:rsidR="00225D28" w:rsidRPr="00F173BB" w:rsidRDefault="00225D28" w:rsidP="00A94E61">
      <w:pPr>
        <w:pStyle w:val="NormalHanging12a"/>
        <w:widowControl/>
        <w:rPr>
          <w:szCs w:val="24"/>
        </w:rPr>
      </w:pPr>
      <w:r w:rsidRPr="00F173BB">
        <w:t>E.</w:t>
      </w:r>
      <w:r w:rsidRPr="00F173BB">
        <w:tab/>
        <w:t>Considerando que Kosovo ha sido objeto de injerencias extranjeras y campañas de desinformación, en particular de Rusia, especialmente a través de canales nacionalistas serbios, y de China, a través del poder blando con el objetivo de desestabilizar sus instituciones democráticas, poner en peligro la cohesión social e incitar a la violencia étnica; que el ataque de Banjska/Banjskë en septiembre de 2023 dio pie a una propagación masiva de desinformación que exacerbó aún más las tensiones; que las autoridades de Kosovo adoptaron la Ley de la Comisión Independiente de Medios de Comunicación en julio de 2024; que, en mayo de 2024, el Consejo de Europa publicó un dictamen jurídico sobre el proyecto de Ley de la Comisión Independiente de Medios de Comunicación, en el que expresaba su preocupación por determinados aspectos del proyecto de ley propuesto por aquel entonces y formulaba recomendaciones sobre cómo abordar estas preocupaciones; que el texto definitivo de la Ley de la Comisión Independiente de Medios de Comunicación no reflejaba la mayoría de las recomendaciones formuladas;</w:t>
      </w:r>
    </w:p>
    <w:p w14:paraId="641E72E4" w14:textId="77777777" w:rsidR="00225D28" w:rsidRPr="00F173BB" w:rsidRDefault="00225D28" w:rsidP="00A94E61">
      <w:pPr>
        <w:pStyle w:val="NormalHanging12a"/>
        <w:widowControl/>
        <w:rPr>
          <w:b/>
          <w:szCs w:val="24"/>
        </w:rPr>
      </w:pPr>
      <w:r w:rsidRPr="00F173BB">
        <w:t>F.</w:t>
      </w:r>
      <w:r w:rsidRPr="00F173BB">
        <w:tab/>
        <w:t>Considerando que la Misión de la Unión Europea por el Estado de Derecho en Kosovo, también conocida como EULEX, es la mayor misión civil jamás emprendida en el marco de la política común de seguridad y defensa de la Unión Europea;</w:t>
      </w:r>
    </w:p>
    <w:p w14:paraId="7F2A82E5" w14:textId="77777777" w:rsidR="00225D28" w:rsidRPr="00F173BB" w:rsidRDefault="00225D28" w:rsidP="00A94E61">
      <w:pPr>
        <w:pStyle w:val="NormalHanging12a"/>
        <w:widowControl/>
        <w:rPr>
          <w:szCs w:val="24"/>
        </w:rPr>
      </w:pPr>
      <w:r w:rsidRPr="00F173BB">
        <w:t>G.</w:t>
      </w:r>
      <w:r w:rsidRPr="00F173BB">
        <w:tab/>
        <w:t>Considerando que en 2018 y 2023, más de 500 personas que históricamente se autoidentifican como búlgaras firmaron las peticiones;</w:t>
      </w:r>
    </w:p>
    <w:p w14:paraId="1CEC84E1" w14:textId="77777777" w:rsidR="00225D28" w:rsidRPr="00F173BB" w:rsidRDefault="00225D28" w:rsidP="00F24955">
      <w:pPr>
        <w:pStyle w:val="Normal12a24b"/>
        <w:widowControl/>
        <w:spacing w:before="0"/>
      </w:pPr>
      <w:r w:rsidRPr="00F173BB">
        <w:rPr>
          <w:rStyle w:val="BoldItalic"/>
        </w:rPr>
        <w:t>Compromiso con la adhesión a la Unión</w:t>
      </w:r>
    </w:p>
    <w:p w14:paraId="38B25E9E" w14:textId="77777777" w:rsidR="00225D28" w:rsidRPr="00F173BB" w:rsidRDefault="00225D28" w:rsidP="00A94E61">
      <w:pPr>
        <w:pStyle w:val="NormalHanging12a"/>
        <w:widowControl/>
      </w:pPr>
      <w:r w:rsidRPr="00F173BB">
        <w:t>1.</w:t>
      </w:r>
      <w:r w:rsidRPr="00F173BB">
        <w:tab/>
        <w:t>Elogia el compromiso de Kosovo con la adhesión a la Unión, que refleja una clara elección geopolítica estratégica, y el firme y continuado apoyo de sus ciudadanos a la senda europea de Kosovo; reitera que Kosovo ha sido constante en sus esfuerzos por integrarse en la Unión Europea;</w:t>
      </w:r>
    </w:p>
    <w:p w14:paraId="2DE493B0" w14:textId="77777777" w:rsidR="00225D28" w:rsidRPr="00F173BB" w:rsidRDefault="00225D28">
      <w:pPr>
        <w:pStyle w:val="NormalHanging12a"/>
        <w:widowControl/>
      </w:pPr>
      <w:r w:rsidRPr="00F173BB">
        <w:t>2.</w:t>
      </w:r>
      <w:r w:rsidRPr="00F173BB">
        <w:tab/>
        <w:t>Reitera su firme convicción de que el futuro de Kosovo está en la Unión y de que todos los esfuerzos para sacar a Kosovo de la «zona gris» redundan en interés tanto del pueblo de Kosovo como de la Unión, especialmente en el contexto de la actual dinámica geopolítica en la región, los importantes cambios en la política mundial y en la creciente competencia con los regímenes autoritarios;</w:t>
      </w:r>
    </w:p>
    <w:p w14:paraId="35029AEF" w14:textId="77777777" w:rsidR="00225D28" w:rsidRPr="00F173BB" w:rsidRDefault="00225D28">
      <w:pPr>
        <w:pStyle w:val="NormalHanging12a"/>
        <w:widowControl/>
        <w:rPr>
          <w:szCs w:val="24"/>
        </w:rPr>
      </w:pPr>
      <w:r w:rsidRPr="00F173BB">
        <w:t>3.</w:t>
      </w:r>
      <w:r w:rsidRPr="00F173BB">
        <w:tab/>
        <w:t>Apoya la solicitud de adhesión a la Unión presentada por Kosovo, que demuestra el enorme consenso entre los partidos sobre la integración en la Unión, y una decisión estratégica geopolítica clara; reitera su petición a los Estados miembros para que den a la Comisión el mandato de presentar el cuestionario y de emitir un dictamen sobre el fondo de la solicitud del país; insta a los cinco Estados miembros que todavía no han reconocido la independencia de Kosovo, a que lo hagan sin más demora y permitan así que Kosovo avance en su senda hacia la Unión en pie de igualdad con el resto de los países candidatos; recuerda, además, la opinión consultiva de la Corte Internacional de Justicia (CIJ), de 22 de julio de 2010, en la que se afirma que la declaración unilateral de independencia de Kosovo no vulnera el Derecho internacional general;</w:t>
      </w:r>
    </w:p>
    <w:p w14:paraId="3FFE8E0D" w14:textId="77777777" w:rsidR="00225D28" w:rsidRPr="00F173BB" w:rsidRDefault="00225D28">
      <w:pPr>
        <w:pStyle w:val="NormalHanging12a"/>
        <w:widowControl/>
      </w:pPr>
      <w:r w:rsidRPr="00F173BB">
        <w:t>4.</w:t>
      </w:r>
      <w:r w:rsidRPr="00F173BB">
        <w:tab/>
        <w:t>Recuerda que la adhesión a la Unión Europea se apoya en un proceso basado en los méritos, condicionado a la ejecución rigurosa de reformas acordes con las normas europeas más estrictas, en particular el cumplimiento de los criterios de Copenhague y el Estado de Derecho y garantice la aplicación efectiva de la legislación en la práctica; anima a Kosovo a que prosiga sus esfuerzos a este respecto, reforzando más todavía su compromiso con los valores y las normas de la Unión; subraya que la ampliación también implica una preparación exhaustiva de posibles nuevos miembros, respetando al mismo tiempo la estabilidad económica del mercado interior, las normas sociales y medioambientales y el correcto funcionamiento de las instituciones europeas;</w:t>
      </w:r>
    </w:p>
    <w:p w14:paraId="239C70A6" w14:textId="77777777" w:rsidR="00225D28" w:rsidRPr="00F173BB" w:rsidRDefault="00225D28">
      <w:pPr>
        <w:pStyle w:val="NormalHanging12a"/>
        <w:widowControl/>
      </w:pPr>
      <w:r w:rsidRPr="00F173BB">
        <w:t>5.</w:t>
      </w:r>
      <w:r w:rsidRPr="00F173BB">
        <w:tab/>
        <w:t>Acoge con satisfacción la liberalización del régimen de visado, aprobada en diciembre de 2023 y que se halla en vigor desde el 1 de enero de 2024, como consecuencia tangible de que las relaciones entre Kosovo y la Unión son cada vez más cercanas y como prueba de los esfuerzos realizados por Kosovo en su camino hacia la integración europea; acoge con satisfacción la decisión de Kosovo de suprimir de forma unilateral los visados para los ciudadanos de Bosnia y Herzegovina; acoge con satisfacción la decisión de España de reconocer los pasaportes ordinarios expedidos por Kosovo como documentos de viaje válidos desde enero de 2024;</w:t>
      </w:r>
    </w:p>
    <w:p w14:paraId="439A67AC" w14:textId="77777777" w:rsidR="00225D28" w:rsidRPr="00F173BB" w:rsidRDefault="00225D28">
      <w:pPr>
        <w:pStyle w:val="NormalHanging12a"/>
        <w:widowControl/>
      </w:pPr>
      <w:r w:rsidRPr="00F173BB">
        <w:t>6.</w:t>
      </w:r>
      <w:r w:rsidRPr="00F173BB">
        <w:tab/>
        <w:t>Toma nota de los progresos tangibles en los ámbitos de la justicia, la libertad y la seguridad, la lucha contra la delincuencia organizada y una economía de mercado operativa; lamenta los limitados avances y pide que se aceleren las reformas en el ámbito del Estado de Derecho; acoge con satisfacción la ambición de Kosovo de avanzar en la aplicación de reformas que siguen siendo la prioridad del país; lamenta la falta de quórum en la toma de decisiones en la Asamblea Nacional de Kosovo, causada por el boicot de la labor de la Asamblea por parte de los partidos políticos de cara las elecciones parlamentarias;</w:t>
      </w:r>
    </w:p>
    <w:p w14:paraId="15880362" w14:textId="77777777" w:rsidR="00225D28" w:rsidRPr="00F173BB" w:rsidRDefault="00225D28">
      <w:pPr>
        <w:pStyle w:val="NormalHanging12a"/>
        <w:widowControl/>
      </w:pPr>
      <w:r w:rsidRPr="00F173BB">
        <w:t>7.</w:t>
      </w:r>
      <w:r w:rsidRPr="00F173BB">
        <w:tab/>
        <w:t>Lamenta la politización de instituciones como la Comisión Electoral Central y la Comisión Independiente de Medios de Comunicación;</w:t>
      </w:r>
    </w:p>
    <w:p w14:paraId="1DF68E89" w14:textId="77777777" w:rsidR="00225D28" w:rsidRPr="00F173BB" w:rsidRDefault="00225D28">
      <w:pPr>
        <w:pStyle w:val="NormalHanging12a"/>
        <w:widowControl/>
      </w:pPr>
      <w:r w:rsidRPr="00F173BB">
        <w:t>8.</w:t>
      </w:r>
      <w:r w:rsidRPr="00F173BB">
        <w:tab/>
        <w:t>Elogia la adaptación actual de Kosovo a la política exterior y de seguridad de la Unión, en particular su firme condena de la guerra de agresión de Rusia contra Ucrania, y su aplicación de las medidas restrictivas de la Unión contra Rusia y Bielorrusia, en consonancia con la política exterior de la Unión, y su apoyo a Ucrania a través de paquetes de ayuda humanitaria y asistencia militar, que confirman que Kosovo es un socio fiable y valioso comprometido con la integración de la Unión y confirma su clara orientación geopolítica, firmemente anclada en la alianza europea y transatlántica;</w:t>
      </w:r>
    </w:p>
    <w:p w14:paraId="16C6DFA2" w14:textId="77777777" w:rsidR="00225D28" w:rsidRPr="00F173BB" w:rsidRDefault="00225D28">
      <w:pPr>
        <w:pStyle w:val="NormalHanging12a"/>
        <w:widowControl/>
        <w:rPr>
          <w:szCs w:val="24"/>
        </w:rPr>
      </w:pPr>
      <w:r w:rsidRPr="00F173BB">
        <w:t>9.</w:t>
      </w:r>
      <w:r w:rsidRPr="00F173BB">
        <w:tab/>
        <w:t>Pide la retirada inmediata de las medidas de la Unión contra Kosovo, que ya no están justificadas puesto que Kosovo ha cumplido todos los requisitos de la Unión y son contrarias al compromiso demostrado de Kosovo con los valores europeos y la convergencia con las políticas de la Unión, limitando el impacto de la cooperación de la Unión con Kosovo y obstaculizando la reanudación del Diálogo Belgrado-Pristina de buena fe;</w:t>
      </w:r>
    </w:p>
    <w:p w14:paraId="667E16BA" w14:textId="77777777" w:rsidR="00225D28" w:rsidRPr="00F173BB" w:rsidRDefault="00225D28">
      <w:pPr>
        <w:pStyle w:val="NormalHanging12a"/>
        <w:widowControl/>
      </w:pPr>
      <w:r w:rsidRPr="00F173BB">
        <w:t>10.</w:t>
      </w:r>
      <w:r w:rsidRPr="00F173BB">
        <w:tab/>
        <w:t>Reitera su pleno apoyo a la solicitud de adhesión de Kosovo al Consejo de Europa, y a la orientación estratégica del país de adherirse al programa de Asociación para la Paz de la OTAN y a sus esfuerzos por adherirse a otras organizaciones internacionales; pide a las organizaciones correspondientes y a los Estados miembros que apoyen proactivamente estos esfuerzos por parte de Kosovo;</w:t>
      </w:r>
      <w:r w:rsidRPr="00F173BB">
        <w:rPr>
          <w:color w:val="FF0000"/>
        </w:rPr>
        <w:t xml:space="preserve"> </w:t>
      </w:r>
      <w:r w:rsidRPr="00F173BB">
        <w:t>pide a la Comisión y a la Oficina de la Unión en Kosovo que redoblen sus esfuerzos para mejorar su visibilidad y promocionar la función, los esfuerzos y las ventajas de una asociación más estrecha entre la Unión y Kosovo;</w:t>
      </w:r>
    </w:p>
    <w:p w14:paraId="0E3AC559" w14:textId="77777777" w:rsidR="00225D28" w:rsidRPr="00F173BB" w:rsidRDefault="00225D28">
      <w:pPr>
        <w:pStyle w:val="NormalHanging12a"/>
        <w:widowControl/>
        <w:rPr>
          <w:b/>
          <w:i/>
        </w:rPr>
      </w:pPr>
      <w:r w:rsidRPr="00F173BB">
        <w:t>11.</w:t>
      </w:r>
      <w:r w:rsidRPr="00F173BB">
        <w:rPr>
          <w:b/>
          <w:i/>
        </w:rPr>
        <w:tab/>
      </w:r>
      <w:r w:rsidRPr="00F173BB">
        <w:t>Acoge con satisfacción el hecho de que Kosovo haya reducido la carga administrativa al simplificar los procedimientos mediante la aplicación del programa correspondiente para el período 2022-2027; observa que el marco estratégico para la administración pública está en vigor, pero no se aplica de manera eficiente; lamenta que los retrasos en la reforma de la administración pública hayan debilitado la gestión de la financiación de la Unión y que la rendición de cuentas en el sector público sea insuficiente; pide a Kosovo que mejore la administración pública y el sistema de funcionariado público basado en los méritos mediante la modificación y adopción de la Ley sobre los Funcionarios Públicos y la Ley sobre el Consejo de Supervisión Independiente de la Función Pública;</w:t>
      </w:r>
    </w:p>
    <w:p w14:paraId="7FB1B0C2" w14:textId="77777777" w:rsidR="00225D28" w:rsidRPr="00F173BB" w:rsidRDefault="00225D28">
      <w:pPr>
        <w:pStyle w:val="NormalHanging12a"/>
        <w:widowControl/>
      </w:pPr>
      <w:r w:rsidRPr="00F173BB">
        <w:t>12.</w:t>
      </w:r>
      <w:r w:rsidRPr="00F173BB">
        <w:tab/>
        <w:t>Lamenta que la sentencia del Tribunal Constitucional de Kosovo sobre la Ley de Salarios, que unifica el actual sistema de remuneración de los funcionarios públicos, aún no sea funcional; pide al Gobierno de Kosovo que revise su legislación sobre gestión de las finanzas públicas para cumplir las normas internacionales e incorporar la metodología de inversión pública a la legislación revisada;</w:t>
      </w:r>
    </w:p>
    <w:p w14:paraId="5ED702FA" w14:textId="77777777" w:rsidR="00225D28" w:rsidRPr="00F173BB" w:rsidRDefault="00225D28">
      <w:pPr>
        <w:pStyle w:val="NormalHanging12a"/>
        <w:widowControl/>
        <w:rPr>
          <w:b/>
          <w:i/>
        </w:rPr>
      </w:pPr>
      <w:r w:rsidRPr="00F173BB">
        <w:rPr>
          <w:b/>
          <w:i/>
        </w:rPr>
        <w:t>Democracia y Estado de Derecho</w:t>
      </w:r>
    </w:p>
    <w:p w14:paraId="799A1E70" w14:textId="77777777" w:rsidR="00225D28" w:rsidRPr="00F173BB" w:rsidRDefault="00225D28">
      <w:pPr>
        <w:pStyle w:val="NormalHanging12a"/>
        <w:widowControl/>
      </w:pPr>
      <w:r w:rsidRPr="00F173BB">
        <w:t>13.</w:t>
      </w:r>
      <w:r w:rsidRPr="00F173BB">
        <w:tab/>
        <w:t>Acoge favorablemente los importantes y positivos avances en el cumplimiento de la mayoría de las recomendaciones formuladas hace tiempo por la Misión de Observación Electoral de la Unión Europea, así como en la presentación de una ley consensuada sobre las elecciones generales; señala que esto proporciona una base adecuada para la celebración de elecciones democráticas, en consonancia con las normas internacionales y regionales; toma nota de que, en respuesta a la invitación de la presidenta de Kosovo, la Unión Europea envió una Misión de Observación Electoral —que incluía una delegación de observadores compuesta por diputados al Parlamento Europeo— para observar las elecciones legislativas celebradas en Kosovo el 9 de febrero de 2025;</w:t>
      </w:r>
      <w:r w:rsidRPr="00F173BB">
        <w:rPr>
          <w:b/>
        </w:rPr>
        <w:t xml:space="preserve"> </w:t>
      </w:r>
      <w:r w:rsidRPr="00F173BB">
        <w:t>acoge con satisfacción las conclusiones de la MOE UE que confirmaron que las elecciones del 9 de febrero de 2025 fueron en su mayoría pacíficas y competitivas, y contaron con la participación de todas las comunidades de Kosovo; lamenta la dura retórica de los partidos políticos durante la campaña; toma nota de los problemas técnicos encontrados durante el proceso de recuento y anima a las autoridades de Kosovo a que redoblen sus esfuerzos para mejorar la organización de las próximas elecciones; observa la falta de un auténtico pluralismo político dentro de la comunidad serbia de Kosovo en las elecciones parlamentarias, a pesar de las múltiples listas electorales serbias de Kosovo; manifiesta su preocupación por las declaraciones sobre la presión continua que Belgrado ha ejercido sobre los votantes de la comunidad serbia; condena la injerencia reiterada en la campaña electoral por parte del enviado especial de los Estados Unidos Richard Grenell;</w:t>
      </w:r>
    </w:p>
    <w:p w14:paraId="288EA4ED" w14:textId="16104593" w:rsidR="00F24955" w:rsidRPr="00F173BB" w:rsidRDefault="005C7A12">
      <w:pPr>
        <w:pStyle w:val="NormalHanging12a"/>
        <w:widowControl/>
        <w:rPr>
          <w:szCs w:val="24"/>
        </w:rPr>
      </w:pPr>
      <w:r w:rsidRPr="00F173BB">
        <w:t>14</w:t>
      </w:r>
      <w:r w:rsidR="00F24955" w:rsidRPr="00F173BB">
        <w:t>.</w:t>
      </w:r>
      <w:r w:rsidR="00F24955" w:rsidRPr="00F173BB">
        <w:tab/>
        <w:t>Observa con preocupación el bloqueo político causado por la fragmentación del panorama político y por la falta de elección de un presidente del Parlamento hasta la fecha, lo que obstaculiza la formación de un Gobierno tras las elecciones legislativas del 9 de febrero de 2025 y retrasa la lectura parlamentaria de varios textos presupuestarios; anima a los partidos políticos a que colaboren para superar este estancamiento lo antes posible;</w:t>
      </w:r>
    </w:p>
    <w:p w14:paraId="0359E3DB" w14:textId="52A00E1C" w:rsidR="00225D28" w:rsidRPr="00F173BB" w:rsidRDefault="005C7A12">
      <w:pPr>
        <w:pStyle w:val="NormalHanging12a"/>
        <w:widowControl/>
      </w:pPr>
      <w:r w:rsidRPr="00F173BB">
        <w:t>15</w:t>
      </w:r>
      <w:r w:rsidR="00225D28" w:rsidRPr="00F173BB">
        <w:t>.</w:t>
      </w:r>
      <w:r w:rsidR="00225D28" w:rsidRPr="00F173BB">
        <w:tab/>
        <w:t>Observa con preocupación que la Ley de Elecciones Locales y la Ley de Elecciones Generales siguen sin aplicarse ni armonizarse con la Ley de Igualdad de Género, que exige una representación equitativa del 50 % de mujeres y hombres; lamenta que las mujeres sigan estando infrarrepresentadas;</w:t>
      </w:r>
    </w:p>
    <w:p w14:paraId="2A86EE2D" w14:textId="614A3677" w:rsidR="00225D28" w:rsidRPr="00F173BB" w:rsidRDefault="005C7A12">
      <w:pPr>
        <w:pStyle w:val="NormalHanging12a"/>
        <w:widowControl/>
      </w:pPr>
      <w:r w:rsidRPr="00F173BB">
        <w:t>16</w:t>
      </w:r>
      <w:r w:rsidR="00225D28" w:rsidRPr="00F173BB">
        <w:t>.</w:t>
      </w:r>
      <w:r w:rsidR="00225D28" w:rsidRPr="00F173BB">
        <w:tab/>
        <w:t>Acoge con satisfacción la adopción de la Ley sobre la Fiscalía Especial y los avances en la resolución de asuntos relacionados con la corrupción;</w:t>
      </w:r>
      <w:r w:rsidR="00225D28" w:rsidRPr="00F173BB">
        <w:rPr>
          <w:b/>
          <w:i/>
        </w:rPr>
        <w:t xml:space="preserve"> </w:t>
      </w:r>
      <w:r w:rsidR="00225D28" w:rsidRPr="00F173BB">
        <w:t>elogia la labor activa de la Fiscalía Especial para resolver siete asuntos relacionados con crímenes de guerra; pide una mayor aclaración de la división de competencias entre la Fiscalía Especial y la Fiscalía General en la tramitación de las investigaciones y los enjuiciamientos; pide a Kosovo que siga reforzando la Fiscalía Especial mejorando su capacidad para instruir y enjuiciar casos de delincuencia organizada de alto nivel; pide a la Policía y a la Fiscalía Especial que colaboren estrechamente para desarrollar estrategias para llevar a cabo investigaciones de manera más eficaz, con una clara división de responsabilidades;</w:t>
      </w:r>
    </w:p>
    <w:p w14:paraId="156BEEDF" w14:textId="77185B74" w:rsidR="00225D28" w:rsidRPr="00F173BB" w:rsidRDefault="005C7A12">
      <w:pPr>
        <w:pStyle w:val="NormalHanging12a"/>
        <w:widowControl/>
        <w:rPr>
          <w:bCs/>
          <w:iCs/>
        </w:rPr>
      </w:pPr>
      <w:r w:rsidRPr="00F173BB">
        <w:t>17</w:t>
      </w:r>
      <w:r w:rsidR="00225D28" w:rsidRPr="00F173BB">
        <w:t>.</w:t>
      </w:r>
      <w:r w:rsidR="00225D28" w:rsidRPr="00F173BB">
        <w:tab/>
        <w:t>Toma nota de los avances en la clasificación de Kosovo en el Índice de Percepción de la Corrupción, ya que ha subido diez puestos desde el año pasado, considerando que se trata de una evolución positiva, al tiempo que reconoce que esto se debe tanto a la disminución de las puntuaciones de otros países como, de forma más significativa, a la adopción de normativa cualitativa, pero que sigue siendo en gran medida insatisfactoria; insiste en que aumentar la confianza de los ciudadanos no solo requiere reformas legislativas, sino también resultados visibles en la investigación, el enjuiciamiento y la condena de los casos de corrupción a todos los niveles; lamenta que Kosovo carezca de una estrategia de lucha contra la corrupción desde 2019 e insta a que se redoblen los esfuerzos para ultimarla con carácter prioritario; reitera que es necesario un firme compromiso político para establecer un historial sólido en la lucha contra la corrupción de alto nivel; reitera que es necesario un firme compromiso político para establecer un historial sólido en la lucha contra la corrupción de alto nivel;</w:t>
      </w:r>
    </w:p>
    <w:p w14:paraId="68B78F2A" w14:textId="7CF4B3B2" w:rsidR="00225D28" w:rsidRPr="00F173BB" w:rsidRDefault="005C7A12">
      <w:pPr>
        <w:pStyle w:val="NormalHanging12a"/>
        <w:widowControl/>
      </w:pPr>
      <w:r w:rsidRPr="00F173BB">
        <w:t>18</w:t>
      </w:r>
      <w:r w:rsidR="00225D28" w:rsidRPr="00F173BB">
        <w:t>.</w:t>
      </w:r>
      <w:r w:rsidR="00225D28" w:rsidRPr="00F173BB">
        <w:tab/>
        <w:t xml:space="preserve">Expresa su profunda preocupación por las vulnerabilidades sistémicas del poder judicial de Kosovo, particularmente en lo que respecta a la independencia del sistema judicial y al respeto de la separación de poderes; reitera su preocupación por los retrasos en los juicios y las críticas continuadas de los miembros del Gobierno a las decisiones judiciales en determinados casos; </w:t>
      </w:r>
      <w:r w:rsidR="00F24955" w:rsidRPr="00F173BB">
        <w:rPr>
          <w:bCs/>
          <w:iCs/>
        </w:rPr>
        <w:t>celebra que, en diciembre de 2024</w:t>
      </w:r>
      <w:r w:rsidR="00F24955" w:rsidRPr="00F173BB">
        <w:t xml:space="preserve">, el Gobierno </w:t>
      </w:r>
      <w:r w:rsidR="00F24955" w:rsidRPr="00F173BB">
        <w:rPr>
          <w:bCs/>
          <w:iCs/>
        </w:rPr>
        <w:t>presentara su proyecto de ley sobre las reformas judiciales</w:t>
      </w:r>
      <w:r w:rsidR="00F24955" w:rsidRPr="00F173BB">
        <w:t xml:space="preserve"> a la Comisión de Venecia </w:t>
      </w:r>
      <w:r w:rsidR="00F24955" w:rsidRPr="00F173BB">
        <w:rPr>
          <w:bCs/>
          <w:iCs/>
        </w:rPr>
        <w:t>y que el primer dictamen fuera emitido por esta el 18 de marzo de 2025</w:t>
      </w:r>
      <w:r w:rsidR="00225D28" w:rsidRPr="00F173BB">
        <w:t>; pide a Kosovo que garantice que la normativa que rige la integridad y la rendición de cuentas del poder judicial sea coherente con las normas europeas y las recomendaciones de la Comisión de Venecia; pide al Gobierno de Kosovo que asigne un presupuesto adecuado al sistema judicial; acoge con satisfacción la creación de un Tribunal Mercantil, los avances en la contratación de nuevos jueces en un proceso transparente y basado en los méritos, así como un aumento general de la transparencia;</w:t>
      </w:r>
    </w:p>
    <w:p w14:paraId="64FC3A43" w14:textId="529EB2E4" w:rsidR="00225D28" w:rsidRPr="00F173BB" w:rsidRDefault="005C7A12">
      <w:pPr>
        <w:pStyle w:val="NormalHanging12a"/>
        <w:widowControl/>
        <w:rPr>
          <w:szCs w:val="24"/>
        </w:rPr>
      </w:pPr>
      <w:r w:rsidRPr="00F173BB">
        <w:t>19</w:t>
      </w:r>
      <w:r w:rsidR="00225D28" w:rsidRPr="00F173BB">
        <w:t>.</w:t>
      </w:r>
      <w:r w:rsidR="00225D28" w:rsidRPr="00F173BB">
        <w:tab/>
        <w:t>Acoge con satisfacción la participación de la población serbia de Kosovo en las elecciones legislativas y anima a los representantes elegidos a participar activamente en el marco legislativo de Kosovo, en apoyo de un futuro europeo para Kosovo; lamenta, no obstante, el boicot de partidos que representan a los serbios de Kosovo durante las elecciones locales de abril de 2023 y la retirada de los serbios de Kosovo de las instituciones de Kosovo; expresa su preocupación por la injerencia de Serbia en las elecciones parlamentarias a través de Srpska Lista (SL);</w:t>
      </w:r>
    </w:p>
    <w:p w14:paraId="3B540DC8" w14:textId="2D41BF27" w:rsidR="00225D28" w:rsidRPr="00F173BB" w:rsidRDefault="005C7A12">
      <w:pPr>
        <w:pStyle w:val="NormalHanging12a"/>
        <w:widowControl/>
        <w:rPr>
          <w:b/>
        </w:rPr>
      </w:pPr>
      <w:r w:rsidRPr="00F173BB">
        <w:t>20</w:t>
      </w:r>
      <w:r w:rsidR="00225D28" w:rsidRPr="00F173BB">
        <w:t>.</w:t>
      </w:r>
      <w:r w:rsidR="00225D28" w:rsidRPr="00F173BB">
        <w:tab/>
        <w:t>Acoge con satisfacción la aplicación de la sentencia de 2016 del Tribunal Constitucional relativa al Monasterio de Deçani/Dečani, de marzo de 2024, por la que ordenó que el monasterio fuera inscrito como propietario;</w:t>
      </w:r>
    </w:p>
    <w:p w14:paraId="22A18BA6" w14:textId="4E4F0B57" w:rsidR="00225D28" w:rsidRPr="00F173BB" w:rsidRDefault="005C7A12">
      <w:pPr>
        <w:pStyle w:val="NormalHanging12a"/>
        <w:widowControl/>
      </w:pPr>
      <w:r w:rsidRPr="00F173BB">
        <w:t>21</w:t>
      </w:r>
      <w:r w:rsidR="00225D28" w:rsidRPr="00F173BB">
        <w:t>.</w:t>
      </w:r>
      <w:r w:rsidR="00225D28" w:rsidRPr="00F173BB">
        <w:tab/>
        <w:t>Acoge con satisfacción el aumento constante de las condenas por delincuencia organizada y el hecho de que el marco jurídico en materia de lucha contra la delincuencia organizada se ajuste al acervo de la Unión; hace hincapié en la necesidad de que la fiscalía y la policía refuercen su acción conjunta contra grupos y redes delictivos; expresa su preocupación por los retos en materia de seguridad en el norte de Kosovo, en particular tras el atentado de Banjska/Banjskë en septiembre de 2023, que exigió importantes recursos policiales; hace hincapié en la necesidad de intensificar la cooperación en el ámbito del tráfico de drogas; pide una mayor armonización en lo que respecta a la lucha contra el terrorismo;</w:t>
      </w:r>
    </w:p>
    <w:p w14:paraId="2A77188D" w14:textId="4972F015" w:rsidR="00225D28" w:rsidRPr="00F173BB" w:rsidRDefault="005C7A12">
      <w:pPr>
        <w:pStyle w:val="NormalHanging12a"/>
        <w:widowControl/>
      </w:pPr>
      <w:r w:rsidRPr="00F173BB">
        <w:t>22</w:t>
      </w:r>
      <w:r w:rsidR="00225D28" w:rsidRPr="00F173BB">
        <w:t>.</w:t>
      </w:r>
      <w:r w:rsidR="00225D28" w:rsidRPr="00F173BB">
        <w:tab/>
        <w:t>Acoge con satisfacción la adopción de la estrategia y el plan de acción sobre el control de las armas pequeñas y ligeras y los explosivos, así como el alto nivel de cumplimiento de las normas del Protocolo de las Naciones Unidas sobre Armas de Fuego;</w:t>
      </w:r>
    </w:p>
    <w:p w14:paraId="35F5AA5F" w14:textId="5971298C" w:rsidR="00225D28" w:rsidRPr="00F173BB" w:rsidRDefault="005C7A12">
      <w:pPr>
        <w:pStyle w:val="NormalHanging12a"/>
        <w:widowControl/>
      </w:pPr>
      <w:r w:rsidRPr="00F173BB">
        <w:t>23</w:t>
      </w:r>
      <w:r w:rsidR="00225D28" w:rsidRPr="00F173BB">
        <w:t>.</w:t>
      </w:r>
      <w:r w:rsidR="00225D28" w:rsidRPr="00F173BB">
        <w:tab/>
        <w:t>Reitera su preocupación por la lentitud en la aplicación de la estrategia y el plan de acción para el Estado de Derecho;</w:t>
      </w:r>
    </w:p>
    <w:p w14:paraId="2C95CD7D" w14:textId="6553CA7B" w:rsidR="00225D28" w:rsidRPr="00F173BB" w:rsidRDefault="005C7A12">
      <w:pPr>
        <w:pStyle w:val="NormalHanging12a"/>
        <w:widowControl/>
      </w:pPr>
      <w:r w:rsidRPr="00F173BB">
        <w:t>24</w:t>
      </w:r>
      <w:r w:rsidR="00225D28" w:rsidRPr="00F173BB">
        <w:t>.</w:t>
      </w:r>
      <w:r w:rsidR="00225D28" w:rsidRPr="00F173BB">
        <w:tab/>
        <w:t>Reafirma su compromiso de mantener y reforzar su cooperación con la Asamblea de Kosovo y sus miembros en apoyo de los procesos democráticos relacionados con la senda europea de Kosovo utilizando las herramientas e iniciativas de apoyo a la democracia de las que dispone el Parlamento; estima que esta asociación puede revitalizarse y reforzarse tras las elecciones democráticas celebradas el 9 de febrero de 2025;</w:t>
      </w:r>
      <w:r w:rsidR="00225D28" w:rsidRPr="00F173BB">
        <w:rPr>
          <w:b/>
          <w:i/>
        </w:rPr>
        <w:t xml:space="preserve"> </w:t>
      </w:r>
      <w:r w:rsidR="00225D28" w:rsidRPr="00F173BB">
        <w:t>alienta la participación activa y la colaboración de todos los miembros electos de la recién constituida Asamblea de Kosovo;</w:t>
      </w:r>
    </w:p>
    <w:p w14:paraId="09F8F91F" w14:textId="5A8BBCBB" w:rsidR="00225D28" w:rsidRPr="00F173BB" w:rsidRDefault="005C7A12">
      <w:pPr>
        <w:pStyle w:val="NormalHanging12a"/>
        <w:widowControl/>
      </w:pPr>
      <w:r w:rsidRPr="00F173BB">
        <w:t>25</w:t>
      </w:r>
      <w:r w:rsidR="00225D28" w:rsidRPr="00F173BB">
        <w:t>.</w:t>
      </w:r>
      <w:r w:rsidR="00225D28" w:rsidRPr="00F173BB">
        <w:tab/>
        <w:t>Condena los graves incidentes de seguridad ocurridos en el norte de Kosovo en noviembre de 2024, entre los cuales el más grave tuvo lugar en la localidad de Vragë en Zubin Potok, donde unos artefactos explosivos dañaron infraestructuras críticas al tener por objetivo el canal más importante del sistema Ibër Lepenc; expresa su apoyo a las instituciones de Kosovo a la hora de llevar a cabo una investigación completa de estos actos delictivos para que los autores puedan ser llevados ante la justicia;</w:t>
      </w:r>
    </w:p>
    <w:p w14:paraId="2F79E365" w14:textId="3DD428ED" w:rsidR="00225D28" w:rsidRPr="00F173BB" w:rsidRDefault="005C7A12">
      <w:pPr>
        <w:pStyle w:val="NormalHanging12a"/>
        <w:widowControl/>
      </w:pPr>
      <w:r w:rsidRPr="00F173BB">
        <w:t>26</w:t>
      </w:r>
      <w:r w:rsidR="00225D28" w:rsidRPr="00F173BB">
        <w:t>.</w:t>
      </w:r>
      <w:r w:rsidR="00225D28" w:rsidRPr="00F173BB">
        <w:tab/>
        <w:t>Elogia la labor de EULEX, que ha ayudado a las autoridades kosovares a establecer instituciones sostenibles e independientes en materia de Estado de Derecho;</w:t>
      </w:r>
    </w:p>
    <w:p w14:paraId="721557F4" w14:textId="77777777" w:rsidR="00225D28" w:rsidRPr="00F173BB" w:rsidRDefault="00225D28">
      <w:pPr>
        <w:pStyle w:val="NormalHanging12a"/>
        <w:widowControl/>
      </w:pPr>
      <w:r w:rsidRPr="00F173BB">
        <w:rPr>
          <w:b/>
          <w:i/>
        </w:rPr>
        <w:t>Libertades fundamentales y derechos humanos</w:t>
      </w:r>
    </w:p>
    <w:p w14:paraId="37DC29AC" w14:textId="0F32E185" w:rsidR="00225D28" w:rsidRPr="00F173BB" w:rsidRDefault="005C7A12">
      <w:pPr>
        <w:pStyle w:val="NormalHanging12a"/>
        <w:widowControl/>
        <w:rPr>
          <w:szCs w:val="24"/>
        </w:rPr>
      </w:pPr>
      <w:r w:rsidRPr="00F173BB">
        <w:t>27</w:t>
      </w:r>
      <w:r w:rsidR="00225D28" w:rsidRPr="00F173BB">
        <w:t>.</w:t>
      </w:r>
      <w:r w:rsidR="00225D28" w:rsidRPr="00F173BB">
        <w:tab/>
        <w:t>Observa que Kosovo cuenta con el marco institucional necesario para la promoción y la protección de los derechos humanos; acoge con satisfacción la adopción de la estrategia para la protección y promoción de los derechos de las comunidades; subraya, no obstante, que la protección de los derechos humanos sigue siendo débil debido a la falta de ejecución legislativa, de voluntad política y a la escasez de recursos humanos y financieros, y pide unos mecanismos de aplicación y rendición de cuentas reforzados;</w:t>
      </w:r>
    </w:p>
    <w:p w14:paraId="1437730B" w14:textId="2E02617E" w:rsidR="00225D28" w:rsidRPr="00F173BB" w:rsidRDefault="005C7A12">
      <w:pPr>
        <w:pStyle w:val="NormalHanging12a"/>
        <w:widowControl/>
        <w:rPr>
          <w:szCs w:val="24"/>
        </w:rPr>
      </w:pPr>
      <w:r w:rsidRPr="00F173BB">
        <w:t>28</w:t>
      </w:r>
      <w:r w:rsidR="00225D28" w:rsidRPr="00F173BB">
        <w:t>.</w:t>
      </w:r>
      <w:r w:rsidR="00225D28" w:rsidRPr="00F173BB">
        <w:tab/>
        <w:t>Reconoce que la Constitución de Kosovo es muy progresista en lo que respecta a la protección de los derechos de las minorías; lamenta que la petición firmada por casi quinientas personas, que se identificaban históricamente como búlgaras, registrada en la Asamblea de Kosovo en enero de 2023, aún no haya sido examinada, y recomienda que estos derechos se consagren en el Derecho y se garanticen en la práctica; pide a Kosovo que garantice que todas las minorías reconocidas en virtud de la Ley de Protección de los Derechos de las Minorías y los miembros de sus comunidades se incorporen plenamente a la Constitución del país; pide a las autoridades de Kosovo que redoblen sus esfuerzos para proteger los derechos de todas las minorías, incluidas las comunidades nacionales, en particular las comunidades nacionales vulnerables, y que les proporcionen igualdad de oportunidades y una representación adecuada en la vida política y cultural, los medios de comunicación públicos, la administración y el poder judicial, así como que eviten su asimilación y promuevan su integración en la sociedad de Kosovo y refuercen las actividades para eliminar los retos sociales y económicos de estas minorías nacionales;</w:t>
      </w:r>
    </w:p>
    <w:p w14:paraId="2E453262" w14:textId="2C62DEC4" w:rsidR="00225D28" w:rsidRPr="00F173BB" w:rsidRDefault="005C7A12">
      <w:pPr>
        <w:pStyle w:val="NormalHanging12a"/>
        <w:widowControl/>
        <w:rPr>
          <w:szCs w:val="24"/>
        </w:rPr>
      </w:pPr>
      <w:r w:rsidRPr="00F173BB">
        <w:t>29</w:t>
      </w:r>
      <w:r w:rsidR="00225D28" w:rsidRPr="00F173BB">
        <w:t>.</w:t>
      </w:r>
      <w:r w:rsidR="00225D28" w:rsidRPr="00F173BB">
        <w:tab/>
        <w:t>Acoge con satisfacción el aumento de la financiación destinada a centros de acogida para víctimas de violencia doméstica y trata de seres humanos; señala que la violencia doméstica sigue siendo la forma más común de violencia de género; expresa su preocupación por el hecho de que el sistema siga fracasando a la hora de garantizar una prevención eficaz de la violencia doméstica;</w:t>
      </w:r>
    </w:p>
    <w:p w14:paraId="2FAA94B9" w14:textId="6808BD53" w:rsidR="00225D28" w:rsidRPr="00F173BB" w:rsidRDefault="005C7A12">
      <w:pPr>
        <w:pStyle w:val="NormalHanging12a"/>
        <w:widowControl/>
        <w:rPr>
          <w:szCs w:val="24"/>
        </w:rPr>
      </w:pPr>
      <w:r w:rsidRPr="00F173BB">
        <w:rPr>
          <w:color w:val="000000" w:themeColor="text1"/>
        </w:rPr>
        <w:t>30</w:t>
      </w:r>
      <w:r w:rsidR="00225D28" w:rsidRPr="00F173BB">
        <w:rPr>
          <w:color w:val="000000" w:themeColor="text1"/>
        </w:rPr>
        <w:t>.</w:t>
      </w:r>
      <w:r w:rsidR="00225D28" w:rsidRPr="00F173BB">
        <w:rPr>
          <w:color w:val="000000" w:themeColor="text1"/>
        </w:rPr>
        <w:tab/>
      </w:r>
      <w:r w:rsidR="00225D28" w:rsidRPr="00F173BB">
        <w:t>Lamenta que el proyecto de Código Civil de Kosovo siga pendiente de adopción; destaca que el proyecto de Código Civil aborda varias cuestiones importantes relacionadas con la igualdad de género como valor fundamental de la Unión, en particular un reparto equitativo de los bienes matrimoniales conjuntos entre hombres y mujeres cónyuges; destaca la importancia de garantizar los derechos de todas las personas de Kosovo en el Código Civil para salvaguardar el respeto de los derechos constitucionales y las oportunidades para la comunidad LGBTIQ; expresa su preocupación por que las mujeres sigan estando infrarrepresentadas en los altos cargos políticos, específicamente aquellos relacionados con la seguridad y el diálogo, y hace hincapié en la urgente necesidad de su participación en los procesos de paz y reconciliación, en consonancia con la Resolución 1325 del Consejo de Seguridad de las Naciones Unidas sobre Mujeres, Paz y Seguridad; pide que se redoblen los esfuerzos para mejorar el lugar de las mujeres en la sociedad;</w:t>
      </w:r>
    </w:p>
    <w:p w14:paraId="3E183CBF" w14:textId="3253F4DE" w:rsidR="00225D28" w:rsidRPr="00F173BB" w:rsidRDefault="005C7A12">
      <w:pPr>
        <w:pStyle w:val="NormalHanging12a"/>
        <w:widowControl/>
        <w:rPr>
          <w:szCs w:val="24"/>
        </w:rPr>
      </w:pPr>
      <w:r w:rsidRPr="00F173BB">
        <w:t>31</w:t>
      </w:r>
      <w:r w:rsidR="00225D28" w:rsidRPr="00F173BB">
        <w:t>.</w:t>
      </w:r>
      <w:r w:rsidR="00225D28" w:rsidRPr="00F173BB">
        <w:tab/>
        <w:t>Observa que el sistema penitenciario sigue en líneas generales las Reglas Mínimas de las Naciones Unidas y pide una mejor protección de los derechos de los reclusos, en particular de las mujeres, las minorías y aquellos con enfermedades mentales; reitera su preocupación por la persistencia de un lenguaje discriminatorio contra las mujeres y las personas LGBTIQ, y pide a las autoridades que elaboren y apliquen una estrategia nacional de género para ámbitos de investigación como la ciencia, la tecnología, la ingeniería y las matemáticas; elogia la participación de las mujeres en programas de formación empresarial y de gestión de alta calidad, así como en ámbitos relacionados con las TIC, facilitados por los fondos del Instrumento de Ayuda Preadhesión; lamenta que las mujeres pertenecientes a grupos minoritarios, en particular las comunidades gitana, ashkali y egipcia, se enfrenten a numerosas formas de discriminación, en particular en la educación, el empleo y el acceso a la asistencia sanitaria; expresa su preocupación por el hecho de que la administración central no represente adecuadamente a las comunidades minoritarias y por que el número de mujeres en altos cargos sea bajo;</w:t>
      </w:r>
    </w:p>
    <w:p w14:paraId="42DF466D" w14:textId="59E5A8B6" w:rsidR="00225D28" w:rsidRPr="00F173BB" w:rsidRDefault="005C7A12">
      <w:pPr>
        <w:pStyle w:val="NormalHanging12a"/>
        <w:widowControl/>
        <w:rPr>
          <w:szCs w:val="24"/>
        </w:rPr>
      </w:pPr>
      <w:r w:rsidRPr="00F173BB">
        <w:t>32</w:t>
      </w:r>
      <w:r w:rsidR="00225D28" w:rsidRPr="00F173BB">
        <w:t>.</w:t>
      </w:r>
      <w:r w:rsidR="00225D28" w:rsidRPr="00F173BB">
        <w:tab/>
        <w:t>Lamenta que aún no se haya adoptado la Convención de las Naciones Unidas sobre los Derechos de las Personas con Discapacidad; expresa su preocupación por la insuficiente armonización entre la legislación de Kosovo y el acervo de la Unión en materia de derechos de las personas con discapacidad, que se enfrentan a discriminación y obstáculos para acceder a los servicios sociales;</w:t>
      </w:r>
    </w:p>
    <w:p w14:paraId="0A9D91AD" w14:textId="5A863392" w:rsidR="00225D28" w:rsidRPr="00F173BB" w:rsidRDefault="005C7A12">
      <w:pPr>
        <w:pStyle w:val="NormalHanging12a"/>
        <w:widowControl/>
        <w:rPr>
          <w:szCs w:val="24"/>
        </w:rPr>
      </w:pPr>
      <w:r w:rsidRPr="00F173BB">
        <w:t>33</w:t>
      </w:r>
      <w:r w:rsidR="00225D28" w:rsidRPr="00F173BB">
        <w:t>.</w:t>
      </w:r>
      <w:r w:rsidR="00225D28" w:rsidRPr="00F173BB">
        <w:tab/>
        <w:t>Acoge con satisfacción la mejora continuada de Kosovo en su posición en el índice de democracia liberal de 2024 y el índice de democracia electoral, elaborado por el Instituto Variedades de la Democracia, que mide el Estado de Derecho, el sistema de contrapoderes institucionales, las libertades civiles y las elecciones libres y justas;</w:t>
      </w:r>
    </w:p>
    <w:p w14:paraId="59EA57AA" w14:textId="69753FA1" w:rsidR="00225D28" w:rsidRPr="00F173BB" w:rsidRDefault="005C7A12">
      <w:pPr>
        <w:pStyle w:val="NormalHanging12a"/>
        <w:widowControl/>
        <w:rPr>
          <w:color w:val="000000" w:themeColor="text1"/>
          <w:szCs w:val="24"/>
        </w:rPr>
      </w:pPr>
      <w:r w:rsidRPr="00F173BB">
        <w:t>34</w:t>
      </w:r>
      <w:r w:rsidR="00225D28" w:rsidRPr="00F173BB">
        <w:t>.</w:t>
      </w:r>
      <w:r w:rsidR="00225D28" w:rsidRPr="00F173BB">
        <w:tab/>
        <w:t>Toma nota del entorno pluralista de los medios de comunicación de Kosovo a la espera de la sentencia del Tribunal Constitucional sobre la Ley de Medios de Comunicación y subraya el papel de la Comisión Independiente de Medios de Comunicación, cuya independencia en la toma de decisiones debe garantizarse estrictamente y cuyo funcionamiento debe restaurarse plenamente; lamenta, no obstante, la disminución de la libertad de los medios de comunicación de Kosovo, como demuestra su caída del puesto 56 al 75 en la clasificación mundial de la libertad de prensa de 2024; reafirma que el pluralismo de los medios de comunicación y la transparencia son requisitos previos para la adhesión a la Unión; solicita una mayor transparencia en cuanto a la propiedad y la financiación de los medios de comunicación con vistas a reforzar su independencia y pluralismo; hace hincapié en la necesidad de medidas sólidas para proteger a los periodistas del acoso y la intimidación, y para garantizar la independencia de los organismos reguladores de los medios de comunicación; toma nota de las preocupaciones planteadas por la sociedad civil con respecto a la elección del presidente de la Comisión Independiente de Medios de Comunicación, presuntamente motivada por cuestiones políticas; insta a las autoridades de Kosovo a que sigan revisando la Ley sobre la Comisión Independiente de Medios de Comunicación con el fin de incluir las recomendaciones formuladas por el Consejo de Europa y adaptar la legislación nacional a las normas y prácticas de la Unión; recomienda un mayor apoyo a los medios de comunicación independientes y a las organizaciones de verificación de datos en Kosovo, reconociendo su papel crucial en la lucha contra la desinformación y en el suministro de información precisa al público; anima a la Unión a que preste asistencia técnica y financiera a estas entidades; insta a las autoridades de Kosovo a que soliciten misiones de expertos de la Oficina de Asistencia Técnica e Intercambio de Información diseñadas a medida; pide la adopción de la Ley de Radiotelevisión de Kosovo y de la Ley sobre la Protección de las Fuentes de los Periodistas;</w:t>
      </w:r>
    </w:p>
    <w:p w14:paraId="0E31E8FB" w14:textId="5216EA4A" w:rsidR="00225D28" w:rsidRPr="00F173BB" w:rsidRDefault="005C7A12">
      <w:pPr>
        <w:pStyle w:val="NormalHanging12a"/>
        <w:widowControl/>
        <w:rPr>
          <w:szCs w:val="24"/>
        </w:rPr>
      </w:pPr>
      <w:r w:rsidRPr="00F173BB">
        <w:t>35</w:t>
      </w:r>
      <w:r w:rsidR="00225D28" w:rsidRPr="00F173BB">
        <w:t>.</w:t>
      </w:r>
      <w:r w:rsidR="00225D28" w:rsidRPr="00F173BB">
        <w:tab/>
        <w:t>Expresa su preocupación por el reciente ciberataque contra la infraestructura digital de Kosovo; insta al Gobierno de Kosovo a que refuerce sus capacidades para luchar contra las injerencias extranjeras y la desinformación, en particular las procedentes de los medios de comunicación nacionalistas serbios y Rusia, destinadas a desestabilizar la región y socavar la integración europea de los Balcanes Occidentales, mediante el desarrollo de estrategias globales que incluyan campañas de sensibilización pública que también persigan combatir la desinformación que debilita la participación de las mujeres en la vida pública, el refuerzo de la ciberseguridad y las infraestructuras conexas, el fomento de la colaboración con socios internacionales, en particular la Unión Europea, para proteger su economía digital, sus servicios públicos y su seguridad nacional, y la lucha contra las campañas de desinformación y las amenazas híbridas destinadas a desestabilizar el país y minar su perspectiva europea; alienta la integración de programas de alfabetización mediática en el plan de estudios de Kosovo con el fin de dotar a la ciudadanía de las capacidades necesarias para detectar y contrarrestar la desinformación;</w:t>
      </w:r>
    </w:p>
    <w:p w14:paraId="2BC39EF4" w14:textId="5426FAD0" w:rsidR="00225D28" w:rsidRPr="00F173BB" w:rsidRDefault="005C7A12">
      <w:pPr>
        <w:pStyle w:val="NormalHanging12a"/>
        <w:widowControl/>
        <w:rPr>
          <w:bCs/>
        </w:rPr>
      </w:pPr>
      <w:r w:rsidRPr="00F173BB">
        <w:t>36</w:t>
      </w:r>
      <w:r w:rsidR="00225D28" w:rsidRPr="00F173BB">
        <w:t>.</w:t>
      </w:r>
      <w:r w:rsidR="00225D28" w:rsidRPr="00F173BB">
        <w:tab/>
        <w:t>Elogia el hecho de que Kosovo haya proporcionado refugio y asilo a periodistas de Ucrania y Afganistán;</w:t>
      </w:r>
    </w:p>
    <w:p w14:paraId="0AB5D235" w14:textId="7670E6E9" w:rsidR="00225D28" w:rsidRPr="00F173BB" w:rsidRDefault="005C7A12">
      <w:pPr>
        <w:pStyle w:val="NormalHanging12a"/>
        <w:widowControl/>
        <w:rPr>
          <w:szCs w:val="24"/>
        </w:rPr>
      </w:pPr>
      <w:r w:rsidRPr="00F173BB">
        <w:t>37</w:t>
      </w:r>
      <w:r w:rsidR="00225D28" w:rsidRPr="00F173BB">
        <w:t>.</w:t>
      </w:r>
      <w:r w:rsidR="00225D28" w:rsidRPr="00F173BB">
        <w:tab/>
        <w:t>Expresa su profunda preocupación por el considerable aumento de los ataques contra periodistas y las demandas estratégicas contra la participación pública, también por parte de funcionarios gubernamentales; pide a las autoridades que impulsen su trabajo en relación con la legislación contraria a las demandas estratégicas contra la participación pública, en consonancia con la nueva Directiva (UE) 2024/1069</w:t>
      </w:r>
      <w:r w:rsidR="00225D28" w:rsidRPr="00F173BB">
        <w:rPr>
          <w:rStyle w:val="FootnoteReference"/>
          <w:szCs w:val="24"/>
        </w:rPr>
        <w:footnoteReference w:id="7"/>
      </w:r>
      <w:r w:rsidR="00225D28" w:rsidRPr="00F173BB">
        <w:t>; pide a Kosovo que trabaje activamente con vistas a garantizar que los periodistas puedan llevar a cabo su trabajo y a asegurar la plena libertad de los medios de comunicación para operar de forma independiente; subraya la necesidad de poner fin a todas las formas de violencia;</w:t>
      </w:r>
    </w:p>
    <w:p w14:paraId="7C4DED61" w14:textId="64576151" w:rsidR="00225D28" w:rsidRPr="00F173BB" w:rsidRDefault="005C7A12">
      <w:pPr>
        <w:pStyle w:val="NormalHanging12a"/>
        <w:widowControl/>
      </w:pPr>
      <w:r w:rsidRPr="00F173BB">
        <w:t>38</w:t>
      </w:r>
      <w:r w:rsidR="00225D28" w:rsidRPr="00F173BB">
        <w:t>.</w:t>
      </w:r>
      <w:r w:rsidR="00225D28" w:rsidRPr="00F173BB">
        <w:tab/>
        <w:t>Acoge con satisfacción la sociedad civil dinámica y constructiva de Kosovo, que desempeña un papel crucial y muy positivo en el proceso de reforma; anima al Gobierno de Kosovo a que refuerce su cooperación con la sociedad civil, en particular con las organizaciones de defensa de los derechos de la mujer, en la toma de decisiones y a que haga un mayor uso del Consejo Gubernamental de Cooperación con la Sociedad Civil para establecer relaciones de colaboración e implicar realmente a la sociedad civil en un proceso legislativo transparente desde una fase temprana; destaca la importancia de aumentar la rendición de cuentas y la transparencia en relación con la financiación pública de las organizaciones de la sociedad civil; subraya que la sociedad civil es vital para fomentar la democracia y el pluralismo y para promover la buena gobernanza y el progreso social;</w:t>
      </w:r>
    </w:p>
    <w:p w14:paraId="54988FEF" w14:textId="073D5731" w:rsidR="00225D28" w:rsidRPr="00F173BB" w:rsidRDefault="005C7A12">
      <w:pPr>
        <w:pStyle w:val="NormalHanging12a"/>
        <w:widowControl/>
      </w:pPr>
      <w:r w:rsidRPr="00F173BB">
        <w:t>39</w:t>
      </w:r>
      <w:r w:rsidR="00225D28" w:rsidRPr="00F173BB">
        <w:t>.</w:t>
      </w:r>
      <w:r w:rsidR="00225D28" w:rsidRPr="00F173BB">
        <w:tab/>
        <w:t>Lamenta la ausencia de un plan claro para instar a la participación de la población serbia de Kosovo en el norte y que las iniciativas para instar a su participación en las estructuras políticas, sociales y económicas de Kosovo sigan siendo muy limitadas; reitera su llamamiento para que se mejore el diálogo interno y se colabore de manera directa y genuina con las organizaciones independientes de la sociedad civil serbia de Kosovo, en particular en el norte, al objeto de generar confianza, facilitar la vida cotidiana de los serbios de Kosovo e integrarlos satisfactoriamente;</w:t>
      </w:r>
    </w:p>
    <w:p w14:paraId="7BD69AAA" w14:textId="77777777" w:rsidR="00225D28" w:rsidRPr="00F173BB" w:rsidRDefault="00225D28">
      <w:pPr>
        <w:pStyle w:val="NormalHanging12a"/>
        <w:widowControl/>
      </w:pPr>
      <w:r w:rsidRPr="00F173BB">
        <w:rPr>
          <w:b/>
          <w:i/>
        </w:rPr>
        <w:t>Reconciliación y relaciones de buena vecindad</w:t>
      </w:r>
    </w:p>
    <w:p w14:paraId="72F8599A" w14:textId="5746A274" w:rsidR="00225D28" w:rsidRPr="00F173BB" w:rsidRDefault="005C7A12">
      <w:pPr>
        <w:pStyle w:val="NormalHanging12a"/>
        <w:widowControl/>
        <w:rPr>
          <w:szCs w:val="24"/>
        </w:rPr>
      </w:pPr>
      <w:r w:rsidRPr="00F173BB">
        <w:t>40</w:t>
      </w:r>
      <w:r w:rsidR="00225D28" w:rsidRPr="00F173BB">
        <w:t>.</w:t>
      </w:r>
      <w:r w:rsidR="00225D28" w:rsidRPr="00F173BB">
        <w:tab/>
        <w:t>Elogia el compromiso de Kosovo con una serie de iniciativas de cooperación regional y lo anima a redoblar sus esfuerzos de reconciliación y a buscar soluciones a conflictos del pasado; elogia a Kosovo por su enfoque constructivo y su participación activa en la cooperación regional y la facilitación del comercio, lo que dio lugar al desbloqueo del Acuerdo Centroeuropeo de Libre Comercio;</w:t>
      </w:r>
    </w:p>
    <w:p w14:paraId="3C924DE0" w14:textId="4BD32A0F" w:rsidR="00225D28" w:rsidRPr="00F173BB" w:rsidRDefault="005C7A12">
      <w:pPr>
        <w:pStyle w:val="NormalHanging12a"/>
        <w:widowControl/>
        <w:rPr>
          <w:szCs w:val="24"/>
        </w:rPr>
      </w:pPr>
      <w:r w:rsidRPr="00F173BB">
        <w:rPr>
          <w:color w:val="000000" w:themeColor="text1"/>
        </w:rPr>
        <w:t>41</w:t>
      </w:r>
      <w:r w:rsidR="00225D28" w:rsidRPr="00F173BB">
        <w:rPr>
          <w:color w:val="000000" w:themeColor="text1"/>
        </w:rPr>
        <w:t>.</w:t>
      </w:r>
      <w:r w:rsidR="00225D28" w:rsidRPr="00F173BB">
        <w:rPr>
          <w:color w:val="000000" w:themeColor="text1"/>
        </w:rPr>
        <w:tab/>
      </w:r>
      <w:r w:rsidR="00225D28" w:rsidRPr="00F173BB">
        <w:t>Pide a Serbia que abra todos los archivos del período de la guerra y que se permita el acceso a los archivos del servicio secreto de la antigua Yugoslavia (UDBA) y del servicio secreto del Ejército Popular de la Antigua Yugoslavia (KOS), a fin de garantizar su devolución a los Gobiernos respectivos cuando así lo soliciten; hace hincapié en la necesidad de abrir estos archivos en toda la región para investigar los crímenes de la época comunista y reforzar la democracia, la rendición de cuentas y las instituciones en los Balcanes Occidentales;</w:t>
      </w:r>
    </w:p>
    <w:p w14:paraId="53C257A0" w14:textId="7F016D31" w:rsidR="00225D28" w:rsidRPr="00F173BB" w:rsidRDefault="005C7A12">
      <w:pPr>
        <w:pStyle w:val="NormalHanging12a"/>
        <w:widowControl/>
      </w:pPr>
      <w:r w:rsidRPr="00F173BB">
        <w:t>42</w:t>
      </w:r>
      <w:r w:rsidR="00225D28" w:rsidRPr="00F173BB">
        <w:t>.</w:t>
      </w:r>
      <w:r w:rsidR="00225D28" w:rsidRPr="00F173BB">
        <w:tab/>
        <w:t>Reitera su pleno apoyo al diálogo facilitado por la Unión y acoge con satisfacción el nombramiento de Peter Sørensen como representante especial de la Unión Europea para el Diálogo Belgrado-Pristina;</w:t>
      </w:r>
    </w:p>
    <w:p w14:paraId="61A87961" w14:textId="74C6F8A5" w:rsidR="00225D28" w:rsidRPr="00F173BB" w:rsidRDefault="005C7A12">
      <w:pPr>
        <w:pStyle w:val="NormalHanging12a"/>
        <w:widowControl/>
      </w:pPr>
      <w:r w:rsidRPr="00F173BB">
        <w:t>43</w:t>
      </w:r>
      <w:r w:rsidR="00225D28" w:rsidRPr="00F173BB">
        <w:t>.</w:t>
      </w:r>
      <w:r w:rsidR="00225D28" w:rsidRPr="00F173BB">
        <w:tab/>
        <w:t xml:space="preserve">Reitera la importancia de una actitud constructiva por parte de las autoridades tanto de Kosovo como de Serbia para lograr un acuerdo global de normalización jurídicamente vinculante, basado en el mutuo reconocimiento y con arreglo al Derecho internacional; pide tanto a Kosovo como a Serbia que apliquen los Acuerdos de Bruselas y de Ohrid, incluida la creación de la asociación o comunidad de municipios de mayoría serbia, que Serbia permita la adhesión de Kosovo a organizaciones regionales e internacionales y que se eviten acciones unilaterales que puedan socavar el proceso de diálogo; </w:t>
      </w:r>
    </w:p>
    <w:p w14:paraId="1745596E" w14:textId="103DB7EC" w:rsidR="00225D28" w:rsidRPr="00F173BB" w:rsidRDefault="005C7A12">
      <w:pPr>
        <w:pStyle w:val="NormalHanging12a"/>
        <w:widowControl/>
      </w:pPr>
      <w:r w:rsidRPr="00F173BB">
        <w:t>44</w:t>
      </w:r>
      <w:r w:rsidR="00225D28" w:rsidRPr="00F173BB">
        <w:t>.</w:t>
      </w:r>
      <w:r w:rsidR="00225D28" w:rsidRPr="00F173BB">
        <w:tab/>
        <w:t>Espera que Kosovo y Serbia cooperen plenamente y adopten todas las medidas necesarias para detener y llevar rápidamente ante la justicia a los autores de los atentados terroristas perpetrados en Banjska en 2023; lamenta que Serbia siga sin enjuiciar a los culpables, en particular a Milan Radoičić, vicepresidente de Srpska Lista; reitera que los autores del atentado terrorista en Zubin Potok también deben rendir cuentas y comparecer ante la justicia sin demora;</w:t>
      </w:r>
    </w:p>
    <w:p w14:paraId="5A84869C" w14:textId="2AC59474" w:rsidR="00225D28" w:rsidRPr="00F173BB" w:rsidRDefault="005C7A12">
      <w:pPr>
        <w:pStyle w:val="NormalHanging12a"/>
        <w:widowControl/>
        <w:rPr>
          <w:rFonts w:eastAsia="Calibri"/>
          <w:color w:val="000000" w:themeColor="text1"/>
          <w:szCs w:val="24"/>
        </w:rPr>
      </w:pPr>
      <w:r w:rsidRPr="00F173BB">
        <w:t>45</w:t>
      </w:r>
      <w:r w:rsidR="00225D28" w:rsidRPr="00F173BB">
        <w:t>.</w:t>
      </w:r>
      <w:r w:rsidR="00225D28" w:rsidRPr="00F173BB">
        <w:tab/>
        <w:t>Pide a la vicepresidenta de la Comisión / alta representante de la Unión para Asuntos Exteriores y Política de Seguridad y a la Comisión que adopten una actitud más proactiva a la hora de dirigir el proceso de diálogo; pide que se refuerce el papel del Parlamento Europeo en el momento de facilitar el diálogo a través de asambleas parlamentarias paritarias celebradas periódicamente;</w:t>
      </w:r>
    </w:p>
    <w:p w14:paraId="292CEA9C" w14:textId="78DCF70F" w:rsidR="00225D28" w:rsidRPr="00F173BB" w:rsidRDefault="005C7A12">
      <w:pPr>
        <w:pStyle w:val="NormalHanging12a"/>
        <w:widowControl/>
      </w:pPr>
      <w:r w:rsidRPr="00F173BB">
        <w:t>46</w:t>
      </w:r>
      <w:r w:rsidR="00225D28" w:rsidRPr="00F173BB">
        <w:t>.</w:t>
      </w:r>
      <w:r w:rsidR="00225D28" w:rsidRPr="00F173BB">
        <w:tab/>
        <w:t>Condena todas las acciones que ponen en peligro la estabilidad y el proceso de reconciliación, como las tensiones en el norte de Kosovo, las provocaciones de grupos patrocinados por el Estado serbio y las formaciones armadas ilegales, e insta a la Unión Europea a que adopte una posición más firme contra las injerencias externas en los asuntos internos de Kosovo; hace hincapié en que ambas partes deben aplicar plenamente todos los acuerdos alcanzados y evitar acciones unilaterales que puedan agravar las tensiones; pide a la policía de Kosovo que garantice su pleno respeto de todos los requisitos en materia de Estado de Derecho y derechos humanos y que se asegure de desplegar en el norte de Kosovo un cuerpo multiétnico e inclusivo, totalmente acorde con los requisitos legales; recuerda que la defensa de la paz, la seguridad y del Estado de Derecho es una responsabilidad compartida por todos los representantes políticos y todas las comunidades de Kosovo;</w:t>
      </w:r>
    </w:p>
    <w:p w14:paraId="3B3137A4" w14:textId="4FFF013F" w:rsidR="00225D28" w:rsidRPr="00F173BB" w:rsidRDefault="005C7A12">
      <w:pPr>
        <w:pStyle w:val="NormalHanging12a"/>
        <w:widowControl/>
        <w:rPr>
          <w:szCs w:val="24"/>
        </w:rPr>
      </w:pPr>
      <w:r w:rsidRPr="00F173BB">
        <w:rPr>
          <w:color w:val="000000" w:themeColor="text1"/>
        </w:rPr>
        <w:t>47</w:t>
      </w:r>
      <w:r w:rsidR="00225D28" w:rsidRPr="00F173BB">
        <w:rPr>
          <w:color w:val="000000" w:themeColor="text1"/>
        </w:rPr>
        <w:t>.</w:t>
      </w:r>
      <w:r w:rsidR="00225D28" w:rsidRPr="00F173BB">
        <w:rPr>
          <w:color w:val="000000" w:themeColor="text1"/>
        </w:rPr>
        <w:tab/>
      </w:r>
      <w:r w:rsidR="00225D28" w:rsidRPr="00F173BB">
        <w:t>Acoge con satisfacción la creación de la Comisión Conjunta sobre Personas Desaparecidas en diciembre de 2024 y pide que se avance con celeridad en la aplicación de la Declaración política sobre las personas desaparecidas de mayo de 2023; pide tanto a Kosovo como a Serbia que se abstengan de politizar esta cuestión humanitaria, redoblen sus esfuerzos para aplicar la declaración en el marco del Diálogo Belgrado-Pristina y establezcan una cooperación entre Kosovo y Serbia;</w:t>
      </w:r>
    </w:p>
    <w:p w14:paraId="6A3067AA" w14:textId="04DF9F0A" w:rsidR="00225D28" w:rsidRPr="00F173BB" w:rsidRDefault="005C7A12">
      <w:pPr>
        <w:pStyle w:val="NormalHanging12a"/>
        <w:widowControl/>
      </w:pPr>
      <w:r w:rsidRPr="00F173BB">
        <w:t>48</w:t>
      </w:r>
      <w:r w:rsidR="00225D28" w:rsidRPr="00F173BB">
        <w:t>.</w:t>
      </w:r>
      <w:r w:rsidR="00225D28" w:rsidRPr="00F173BB">
        <w:tab/>
        <w:t>Acoge con satisfacción los recientes acuerdos en el marco del Proceso de Berlín;</w:t>
      </w:r>
    </w:p>
    <w:p w14:paraId="5E05E3D6" w14:textId="11E4EB3F" w:rsidR="00225D28" w:rsidRPr="00F173BB" w:rsidRDefault="005C7A12">
      <w:pPr>
        <w:pStyle w:val="NormalHanging12a"/>
        <w:widowControl/>
      </w:pPr>
      <w:r w:rsidRPr="00F173BB">
        <w:t>49</w:t>
      </w:r>
      <w:r w:rsidR="00225D28" w:rsidRPr="00F173BB">
        <w:t>.</w:t>
      </w:r>
      <w:r w:rsidR="00225D28" w:rsidRPr="00F173BB">
        <w:tab/>
        <w:t>Acoge con satisfacción la decisión de Kosovo de suprimir las restricciones a la entrada de productos acabados serbios en el paso fronterizo de Merdare;</w:t>
      </w:r>
    </w:p>
    <w:p w14:paraId="230264FB" w14:textId="16219499" w:rsidR="00225D28" w:rsidRPr="00F173BB" w:rsidRDefault="005C7A12">
      <w:pPr>
        <w:pStyle w:val="NormalHanging12a"/>
        <w:widowControl/>
      </w:pPr>
      <w:r w:rsidRPr="00F173BB">
        <w:t>50</w:t>
      </w:r>
      <w:r w:rsidR="00225D28" w:rsidRPr="00F173BB">
        <w:t>.</w:t>
      </w:r>
      <w:r w:rsidR="00225D28" w:rsidRPr="00F173BB">
        <w:tab/>
        <w:t>Acoge con satisfacción la presencia de la Fuerza de Kosovo y su papel en la construcción y el mantenimiento de un entorno seguro y el desarrollo de un Kosovo estable y pacífico orientado a la integración euroatlántica; recuerda la importancia de la misión para el desarrollo en curso de la Fuerza de Seguridad de Kosovo mediante la prestación de asesoramiento, formación y desarrollo de capacidades;</w:t>
      </w:r>
    </w:p>
    <w:p w14:paraId="2DE8BBAA" w14:textId="77777777" w:rsidR="00225D28" w:rsidRPr="00F173BB" w:rsidRDefault="00225D28">
      <w:pPr>
        <w:pStyle w:val="NormalHanging12a"/>
        <w:widowControl/>
        <w:rPr>
          <w:b/>
          <w:i/>
        </w:rPr>
      </w:pPr>
      <w:r w:rsidRPr="00F173BB">
        <w:rPr>
          <w:b/>
          <w:i/>
        </w:rPr>
        <w:t>Reformas socioeconómicas</w:t>
      </w:r>
    </w:p>
    <w:p w14:paraId="5474315D" w14:textId="214E7AB7" w:rsidR="00225D28" w:rsidRPr="00F173BB" w:rsidRDefault="005C7A12">
      <w:pPr>
        <w:pStyle w:val="NormalHanging12a"/>
        <w:widowControl/>
      </w:pPr>
      <w:r w:rsidRPr="00F173BB">
        <w:t>51</w:t>
      </w:r>
      <w:r w:rsidR="00225D28" w:rsidRPr="00F173BB">
        <w:t>.</w:t>
      </w:r>
      <w:r w:rsidR="00225D28" w:rsidRPr="00F173BB">
        <w:tab/>
        <w:t>Acoge con satisfacción la participación activa de Kosovo en la aplicación del nuevo plan de crecimiento para los Balcanes Occidentales, cuyo objetivo es profundizar las reformas relacionadas con la Unión y reducir la brecha socioeconómica entre los Estados miembros de la Unión y los países de los Balcanes Occidentales; acoge con satisfacción la adopción del programa de reformas de Kosovo y recuerda que Kosovo (así como Serbia) debe mostrar un mayor compromiso con el diálogo facilitado por la Unión para acceder a los recursos;</w:t>
      </w:r>
    </w:p>
    <w:p w14:paraId="08969701" w14:textId="5AC67CBF" w:rsidR="00225D28" w:rsidRPr="00F173BB" w:rsidRDefault="005C7A12">
      <w:pPr>
        <w:pStyle w:val="NormalHanging12a"/>
        <w:widowControl/>
      </w:pPr>
      <w:r w:rsidRPr="00F173BB">
        <w:t>52</w:t>
      </w:r>
      <w:r w:rsidR="00225D28" w:rsidRPr="00F173BB">
        <w:t>.</w:t>
      </w:r>
      <w:r w:rsidR="00225D28" w:rsidRPr="00F173BB">
        <w:tab/>
        <w:t>Celebra los progresos realizados por Kosovo en el desarrollo de una economía de mercado operativa y anima a Kosovo a aplicar las reformas estructurales necesarias para hacer frente a los retos presupuestarios, al tiempo que garantiza una protección laboral adecuada, sueldos justos y unas mejores condiciones de trabajo, en consonancia con la legislación de la Unión;</w:t>
      </w:r>
    </w:p>
    <w:p w14:paraId="142BA927" w14:textId="0BAC830E" w:rsidR="00225D28" w:rsidRPr="00F173BB" w:rsidRDefault="005C7A12">
      <w:pPr>
        <w:pStyle w:val="NormalHanging12a"/>
        <w:widowControl/>
      </w:pPr>
      <w:r w:rsidRPr="00F173BB">
        <w:t>53</w:t>
      </w:r>
      <w:r w:rsidR="00225D28" w:rsidRPr="00F173BB">
        <w:t>.</w:t>
      </w:r>
      <w:r w:rsidR="00225D28" w:rsidRPr="00F173BB">
        <w:tab/>
        <w:t>Reitera su llamamiento a la Comisión para que elabore una estrategia regional con miras a abordar el persistente desempleo juvenil y la fuga de cerebros resolviendo el problema de la inadecuación de las cualificaciones entre el sistema educativo y el mercado laboral, mejorando la calidad de la enseñanza y garantizando suficiente financiación para que haya políticas activas del mercado laboral y programas de formación profesional, así como servicios aceptables de guardería y educación preescolar;</w:t>
      </w:r>
    </w:p>
    <w:p w14:paraId="6A0501F3" w14:textId="742C777D" w:rsidR="00225D28" w:rsidRPr="00F173BB" w:rsidRDefault="005C7A12">
      <w:pPr>
        <w:pStyle w:val="NormalHanging12a"/>
        <w:widowControl/>
      </w:pPr>
      <w:r w:rsidRPr="00F173BB">
        <w:t>54</w:t>
      </w:r>
      <w:r w:rsidR="00225D28" w:rsidRPr="00F173BB">
        <w:t>.</w:t>
      </w:r>
      <w:r w:rsidR="00225D28" w:rsidRPr="00F173BB">
        <w:tab/>
        <w:t>Acoge con satisfacción el hecho de que la legislación de Kosovo en materia de ciberdelincuencia se ajuste en gran medida al acervo de la Unión; observa que los avances de Kosovo en la transformación digital de los servicios públicos son limitados; insiste en la necesidad de ajustarse tanto a las necesidades de sus ciudadanos como a la legislación digital de la Unión, en particular al Código Europeo de las Comunicaciones Electrónicas, la Directiva relativa a las medidas destinadas a garantizar un elevado nivel común de ciberseguridad en toda la Unión (SRI 2)</w:t>
      </w:r>
      <w:r w:rsidR="00225D28" w:rsidRPr="00F173BB">
        <w:rPr>
          <w:rStyle w:val="FootnoteReference"/>
        </w:rPr>
        <w:footnoteReference w:id="8"/>
      </w:r>
      <w:r w:rsidR="00225D28" w:rsidRPr="00F173BB">
        <w:t>, el conjunto de instrumentos de la UE para la seguridad de las redes 5G, el Reglamento de Servicios Digitales</w:t>
      </w:r>
      <w:r w:rsidR="00225D28" w:rsidRPr="00F173BB">
        <w:rPr>
          <w:rStyle w:val="FootnoteReference"/>
        </w:rPr>
        <w:footnoteReference w:id="9"/>
      </w:r>
      <w:r w:rsidR="00225D28" w:rsidRPr="00F173BB">
        <w:t xml:space="preserve"> y el Reglamento de Mercados Digitales</w:t>
      </w:r>
      <w:r w:rsidR="00225D28" w:rsidRPr="00F173BB">
        <w:rPr>
          <w:rStyle w:val="FootnoteReference"/>
        </w:rPr>
        <w:footnoteReference w:id="10"/>
      </w:r>
      <w:r w:rsidR="00225D28" w:rsidRPr="00F173BB">
        <w:t>; observa que la economía de Kosovo sigue dependiendo en gran medida de las importaciones y destaca la necesidad de diversificación económica para mejorar la competitividad y la sostenibilidad, en particular en el contexto de una mayor integración en los mercados de la Unión;</w:t>
      </w:r>
    </w:p>
    <w:p w14:paraId="5D28BDBD" w14:textId="68F0FA95" w:rsidR="00225D28" w:rsidRPr="00F173BB" w:rsidRDefault="005C7A12">
      <w:pPr>
        <w:pStyle w:val="NormalHanging12a"/>
        <w:widowControl/>
      </w:pPr>
      <w:r w:rsidRPr="00F173BB">
        <w:t>55</w:t>
      </w:r>
      <w:r w:rsidR="00225D28" w:rsidRPr="00F173BB">
        <w:t>.</w:t>
      </w:r>
      <w:r w:rsidR="00225D28" w:rsidRPr="00F173BB">
        <w:tab/>
        <w:t>Lamenta que el proyecto de ley sobre libros de texto, presentado en 2022, siga pendiente de aprobación definitiva en la Asamblea de Kosovo; pide a Kosovo que finalice la aplicación del nuevo marco curricular para la educación básica, complete la revisión de los libros de texto actuales, proporcione formación sostenible a los profesores, y aplique sistemáticamente mecanismos de garantía de la calidad en todos los niveles educativos;</w:t>
      </w:r>
    </w:p>
    <w:p w14:paraId="7F03DC2A" w14:textId="7FCA0FD9" w:rsidR="00225D28" w:rsidRPr="00F173BB" w:rsidRDefault="005C7A12">
      <w:pPr>
        <w:pStyle w:val="NormalHanging12a"/>
        <w:widowControl/>
        <w:rPr>
          <w:rFonts w:eastAsia="Calibri"/>
          <w:color w:val="000000" w:themeColor="text1"/>
          <w:szCs w:val="24"/>
        </w:rPr>
      </w:pPr>
      <w:r w:rsidRPr="00F173BB">
        <w:t>56</w:t>
      </w:r>
      <w:r w:rsidR="00225D28" w:rsidRPr="00F173BB">
        <w:t>.</w:t>
      </w:r>
      <w:r w:rsidR="00225D28" w:rsidRPr="00F173BB">
        <w:tab/>
        <w:t>Insta a Kosovo a que garantice un mejor acceso a los servicios sanitarios de calidad; observa que su gasto sanitario sigue siendo el segundo más bajo de la región, y pide una reforma integral de la sanidad para abordar las necesidades de todos los ciudadanos, especialmente en las zonas rurales y desabastecidas;</w:t>
      </w:r>
    </w:p>
    <w:p w14:paraId="522235A9" w14:textId="05CF035A" w:rsidR="00225D28" w:rsidRPr="00F173BB" w:rsidRDefault="005C7A12">
      <w:pPr>
        <w:pStyle w:val="NormalHanging12a"/>
        <w:widowControl/>
      </w:pPr>
      <w:r w:rsidRPr="00F173BB">
        <w:t>57</w:t>
      </w:r>
      <w:r w:rsidR="00225D28" w:rsidRPr="00F173BB">
        <w:t>.</w:t>
      </w:r>
      <w:r w:rsidR="00225D28" w:rsidRPr="00F173BB">
        <w:tab/>
        <w:t>Observa con preocupación que el acceso a los servicios sociales, en particular para los grupos vulnerables, empeoró con el cierre del Ministerio de Trabajo y Bienestar Social por parte del Gobierno, que se llevó a cabo sin una consulta transparente con la sociedad civil y otras partes interesadas y generó una gran confusión; pide una mejor presupuestación basada en pruebas para mejorar los servicios sociales, en particular para las supervivientes de violencia de género, de conformidad con el nuevo marco jurídico;</w:t>
      </w:r>
    </w:p>
    <w:p w14:paraId="05717EB9" w14:textId="71C04F8F" w:rsidR="00225D28" w:rsidRPr="00F173BB" w:rsidRDefault="005C7A12">
      <w:pPr>
        <w:pStyle w:val="NormalHanging12a"/>
        <w:widowControl/>
      </w:pPr>
      <w:r w:rsidRPr="00F173BB">
        <w:t>58</w:t>
      </w:r>
      <w:r w:rsidR="00225D28" w:rsidRPr="00F173BB">
        <w:t>.</w:t>
      </w:r>
      <w:r w:rsidR="00225D28" w:rsidRPr="00F173BB">
        <w:tab/>
        <w:t>Pide a Kosovo que proporcione una educación pública igualitaria y no discriminatoria en lenguas minoritarias;</w:t>
      </w:r>
    </w:p>
    <w:p w14:paraId="6E172904" w14:textId="79B9262B" w:rsidR="00225D28" w:rsidRPr="00F173BB" w:rsidRDefault="005C7A12">
      <w:pPr>
        <w:pStyle w:val="NormalHanging12a"/>
        <w:widowControl/>
      </w:pPr>
      <w:r w:rsidRPr="00F173BB">
        <w:t>59</w:t>
      </w:r>
      <w:r w:rsidR="00225D28" w:rsidRPr="00F173BB">
        <w:t>.</w:t>
      </w:r>
      <w:r w:rsidR="00225D28" w:rsidRPr="00F173BB">
        <w:tab/>
        <w:t>Reitera la necesidad de llegar a los jóvenes de los municipios de mayoría serbia y de integrarlos en las estructuras socioeconómicas del país;</w:t>
      </w:r>
    </w:p>
    <w:p w14:paraId="098D65EF" w14:textId="77777777" w:rsidR="00225D28" w:rsidRPr="00F173BB" w:rsidRDefault="00225D28">
      <w:pPr>
        <w:pStyle w:val="NormalHanging12a"/>
        <w:widowControl/>
      </w:pPr>
      <w:r w:rsidRPr="00F173BB">
        <w:rPr>
          <w:b/>
          <w:i/>
        </w:rPr>
        <w:t>Energía, medio ambiente, desarrollo sostenible y conectividad</w:t>
      </w:r>
    </w:p>
    <w:p w14:paraId="108C2F75" w14:textId="4EFA3E53" w:rsidR="00225D28" w:rsidRPr="00F173BB" w:rsidRDefault="005C7A12">
      <w:pPr>
        <w:pStyle w:val="NormalHanging12a"/>
        <w:widowControl/>
        <w:rPr>
          <w:szCs w:val="24"/>
        </w:rPr>
      </w:pPr>
      <w:r w:rsidRPr="00F173BB">
        <w:t>60</w:t>
      </w:r>
      <w:r w:rsidR="00225D28" w:rsidRPr="00F173BB">
        <w:t>.</w:t>
      </w:r>
      <w:r w:rsidR="00225D28" w:rsidRPr="00F173BB">
        <w:tab/>
        <w:t>Observa que Kosovo ha realizado algunos avances en la seguridad del suministro energético, pero sigue dependiendo en gran medida de centrales eléctricas obsoletas y altamente contaminantes, lo que plantea graves riesgos para la salud y el medio ambiente; señala que Kosovo debe garantizar que su programa energético para el período 2022-2025 se ejecute de manera oportuna para cumplir sus ambiciosos objetivos, y que reduzca su dependencia de combustibles fósiles; pide a la Unión que intensifique y priorice sus esfuerzos para ayudar a Kosovo a superar sus problemas de contaminación atmosférica;</w:t>
      </w:r>
      <w:r w:rsidR="00225D28" w:rsidRPr="00F173BB">
        <w:rPr>
          <w:b/>
        </w:rPr>
        <w:t xml:space="preserve"> </w:t>
      </w:r>
      <w:r w:rsidR="00225D28" w:rsidRPr="00F173BB">
        <w:t>observa que la nueva estrategia en materia de energía de Kosovo no promueve la construcción de centrales hidroelécticas debido a su perjudicial impacto medioambiental, en particular a causa de la escasez de agua del país;</w:t>
      </w:r>
    </w:p>
    <w:p w14:paraId="6D0566BB" w14:textId="7135D5FC" w:rsidR="00225D28" w:rsidRPr="00F173BB" w:rsidRDefault="005C7A12">
      <w:pPr>
        <w:pStyle w:val="NormalHanging12a"/>
        <w:widowControl/>
      </w:pPr>
      <w:r w:rsidRPr="00F173BB">
        <w:t>61</w:t>
      </w:r>
      <w:r w:rsidR="00225D28" w:rsidRPr="00F173BB">
        <w:t>.</w:t>
      </w:r>
      <w:r w:rsidR="00225D28" w:rsidRPr="00F173BB">
        <w:tab/>
        <w:t>Destaca la necesidad de un desarrollo integral de las infraestructuras en Kosovo para facilitar la reducción de las emisiones procedentes del transporte público y la expansión del transporte electrificado; subraya que mejorar la accesibilidad y garantizar la compatibilidad con la red de transporte de la Unión debe seguir siendo una prioridad;</w:t>
      </w:r>
    </w:p>
    <w:p w14:paraId="0342FBDD" w14:textId="395F0A9A" w:rsidR="00225D28" w:rsidRPr="00F173BB" w:rsidRDefault="005C7A12">
      <w:pPr>
        <w:pStyle w:val="NormalHanging12a"/>
        <w:widowControl/>
      </w:pPr>
      <w:r w:rsidRPr="00F173BB">
        <w:t>62</w:t>
      </w:r>
      <w:r w:rsidR="00225D28" w:rsidRPr="00F173BB">
        <w:t>.</w:t>
      </w:r>
      <w:r w:rsidR="00225D28" w:rsidRPr="00F173BB">
        <w:tab/>
        <w:t>Acoge con satisfacción el acuerdo alcanzado en la Cumbre de Tirana sobre la reducción de los costes de itinerancia; pide a las autoridades, a los actores privados y a todas las partes interesadas, a este respecto, que faciliten la consecución de los objetivos acordados para lograr una reducción sustancial de los costes de itinerancia de datos, así como ulteriores reducciones que acerquen los precios a los precios nacionales entre los Balcanes Occidentales y la Unión de aquí a 2027; acoge con satisfacción la entrada en vigor de la primera fase de aplicación de la hoja de ruta para la itinerancia de datos entre los Balcanes Occidentales y la Unión;</w:t>
      </w:r>
    </w:p>
    <w:p w14:paraId="3BC4FE5D" w14:textId="0E2678B6" w:rsidR="00225D28" w:rsidRPr="00F173BB" w:rsidRDefault="005C7A12">
      <w:pPr>
        <w:pStyle w:val="NormalHanging12a"/>
        <w:widowControl/>
        <w:rPr>
          <w:szCs w:val="24"/>
        </w:rPr>
      </w:pPr>
      <w:r w:rsidRPr="00F173BB">
        <w:t>63</w:t>
      </w:r>
      <w:r w:rsidR="00225D28" w:rsidRPr="00F173BB">
        <w:t>.</w:t>
      </w:r>
      <w:r w:rsidR="00225D28" w:rsidRPr="00F173BB">
        <w:tab/>
        <w:t>Insta a Kosovo a que refuerce el cumplimiento de los techos de emisión, mejore la integración de las consideraciones medioambientales en las políticas sectoriales y adopte las medidas necesarias en materia de control de la contaminación del suelo y del agua y gestión de residuos, de conformidad con las normas y compromisos internacionales y de la Unión; insta a Kosovo a que mejore las evaluaciones exhaustivas de impacto ambiental y a que integre medidas de sostenibilidad en la planificación de infraestructuras; pide a Kosovo que aumente las zonas protegidas en el país y que mejore los instrumentos y las medidas para su protección con vistas a salvaguardar la biodiversidad, en particular los hábitats clave del lince balcánico, que se encuentra en peligro crítico de extinción; anima a Kosovo a que intensifique y acelere los esfuerzos de colaboración con sus países vecinos para designar zonas transfronterizas protegidas y establecer planes coherentes de gestión transfronteriza;</w:t>
      </w:r>
    </w:p>
    <w:p w14:paraId="0F5F0EA8" w14:textId="77777777" w:rsidR="00225D28" w:rsidRPr="00F173BB" w:rsidRDefault="00225D28" w:rsidP="00225D28">
      <w:pPr>
        <w:pStyle w:val="NormalHanging12a"/>
        <w:widowControl/>
        <w:jc w:val="center"/>
      </w:pPr>
      <w:r w:rsidRPr="00F173BB">
        <w:t>°</w:t>
      </w:r>
    </w:p>
    <w:p w14:paraId="4CC1F77B" w14:textId="77777777" w:rsidR="00225D28" w:rsidRPr="00F173BB" w:rsidRDefault="00225D28" w:rsidP="00225D28">
      <w:pPr>
        <w:pStyle w:val="NormalHanging12a"/>
        <w:widowControl/>
        <w:jc w:val="center"/>
      </w:pPr>
      <w:r w:rsidRPr="00F173BB">
        <w:t>°</w:t>
      </w:r>
      <w:r w:rsidRPr="00F173BB">
        <w:tab/>
        <w:t>°</w:t>
      </w:r>
    </w:p>
    <w:p w14:paraId="48400938" w14:textId="74F18B85" w:rsidR="00147E4D" w:rsidRPr="00F173BB" w:rsidRDefault="005C7A12" w:rsidP="00147E4D">
      <w:pPr>
        <w:pStyle w:val="NormalHanging12a"/>
        <w:widowControl/>
      </w:pPr>
      <w:r w:rsidRPr="00F173BB">
        <w:t>64</w:t>
      </w:r>
      <w:r w:rsidR="00225D28" w:rsidRPr="00F173BB">
        <w:t>.</w:t>
      </w:r>
      <w:r w:rsidR="00225D28" w:rsidRPr="00F173BB">
        <w:tab/>
        <w:t>Encarga a su presidenta que transmita la presente Resolución al presidente del Consejo Europeo, a la Comisión, a la vicepresidenta de la Comisión / alta representante de la Unión para Asuntos Exteriores y Política de Seguridad, a los Gobiernos y Parlamentos de los Estados miembros y a la presidenta, el Gobierno y la Asamblea Nacional de Kosovo.</w:t>
      </w:r>
    </w:p>
    <w:p w14:paraId="5BAE7385" w14:textId="77777777" w:rsidR="00E365E1" w:rsidRPr="00F173BB" w:rsidRDefault="00E365E1" w:rsidP="00FD73F0"/>
    <w:sectPr w:rsidR="00E365E1" w:rsidRPr="00F173BB" w:rsidSect="00147E4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2F222" w14:textId="77777777" w:rsidR="00FD73F0" w:rsidRPr="00147E4D" w:rsidRDefault="00FD73F0">
      <w:r w:rsidRPr="00147E4D">
        <w:separator/>
      </w:r>
    </w:p>
  </w:endnote>
  <w:endnote w:type="continuationSeparator" w:id="0">
    <w:p w14:paraId="5AFA39AF" w14:textId="77777777" w:rsidR="00FD73F0" w:rsidRPr="00147E4D" w:rsidRDefault="00FD73F0">
      <w:r w:rsidRPr="00147E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DFC806" w14:textId="77777777" w:rsidR="00FD73F0" w:rsidRPr="00147E4D" w:rsidRDefault="00FD73F0">
      <w:r w:rsidRPr="00147E4D">
        <w:separator/>
      </w:r>
    </w:p>
  </w:footnote>
  <w:footnote w:type="continuationSeparator" w:id="0">
    <w:p w14:paraId="2F9B1400" w14:textId="77777777" w:rsidR="00FD73F0" w:rsidRPr="00147E4D" w:rsidRDefault="00FD73F0">
      <w:r w:rsidRPr="00147E4D">
        <w:continuationSeparator/>
      </w:r>
    </w:p>
  </w:footnote>
  <w:footnote w:id="1">
    <w:p w14:paraId="56A30D1E" w14:textId="77777777" w:rsidR="00225D28" w:rsidRPr="00F24955" w:rsidRDefault="00225D28" w:rsidP="00147E4D">
      <w:pPr>
        <w:pStyle w:val="FootnoteText"/>
        <w:ind w:left="567" w:hanging="567"/>
        <w:rPr>
          <w:color w:val="0000FF"/>
          <w:sz w:val="24"/>
          <w:u w:val="single" w:color="0000FF"/>
          <w:lang w:val="pt-PT"/>
        </w:rPr>
      </w:pPr>
      <w:r w:rsidRPr="00147E4D">
        <w:rPr>
          <w:rStyle w:val="FootnoteReference"/>
          <w:sz w:val="24"/>
          <w:lang w:val="es-ES_tradnl"/>
        </w:rPr>
        <w:footnoteRef/>
      </w:r>
      <w:r w:rsidR="00147E4D" w:rsidRPr="00F24955">
        <w:rPr>
          <w:sz w:val="24"/>
          <w:lang w:val="pt-PT"/>
        </w:rPr>
        <w:t xml:space="preserve"> </w:t>
      </w:r>
      <w:r w:rsidR="00147E4D" w:rsidRPr="00F24955">
        <w:rPr>
          <w:sz w:val="24"/>
          <w:lang w:val="pt-PT"/>
        </w:rPr>
        <w:tab/>
      </w:r>
      <w:r w:rsidRPr="00F24955">
        <w:rPr>
          <w:sz w:val="24"/>
          <w:lang w:val="pt-PT"/>
        </w:rPr>
        <w:t xml:space="preserve">DO L 71 de 16.3.2016, p. 3, ELI: </w:t>
      </w:r>
      <w:hyperlink r:id="rId1" w:history="1">
        <w:r w:rsidRPr="00F24955">
          <w:rPr>
            <w:rStyle w:val="Hyperlink"/>
            <w:sz w:val="24"/>
            <w:lang w:val="pt-PT"/>
          </w:rPr>
          <w:t>http://data.europa.eu/eli/agree_internation/2016/342/oj</w:t>
        </w:r>
      </w:hyperlink>
      <w:r w:rsidRPr="00F24955">
        <w:rPr>
          <w:sz w:val="24"/>
          <w:lang w:val="pt-PT"/>
        </w:rPr>
        <w:t>.</w:t>
      </w:r>
    </w:p>
  </w:footnote>
  <w:footnote w:id="2">
    <w:p w14:paraId="483B25E5" w14:textId="77777777" w:rsidR="00225D28" w:rsidRPr="00F24955" w:rsidRDefault="00225D28" w:rsidP="00147E4D">
      <w:pPr>
        <w:pStyle w:val="FootnoteText"/>
        <w:ind w:left="567" w:hanging="567"/>
        <w:rPr>
          <w:color w:val="0000FF"/>
          <w:sz w:val="24"/>
          <w:u w:val="single" w:color="0000FF"/>
          <w:lang w:val="pt-PT"/>
        </w:rPr>
      </w:pPr>
      <w:r w:rsidRPr="00147E4D">
        <w:rPr>
          <w:rStyle w:val="FootnoteReference"/>
          <w:sz w:val="24"/>
          <w:lang w:val="es-ES_tradnl"/>
        </w:rPr>
        <w:footnoteRef/>
      </w:r>
      <w:r w:rsidR="00147E4D" w:rsidRPr="00F24955">
        <w:rPr>
          <w:sz w:val="24"/>
          <w:lang w:val="pt-PT"/>
        </w:rPr>
        <w:t xml:space="preserve"> </w:t>
      </w:r>
      <w:r w:rsidR="00147E4D" w:rsidRPr="00F24955">
        <w:rPr>
          <w:sz w:val="24"/>
          <w:lang w:val="pt-PT"/>
        </w:rPr>
        <w:tab/>
      </w:r>
      <w:r w:rsidRPr="00F24955">
        <w:rPr>
          <w:sz w:val="24"/>
          <w:lang w:val="pt-PT"/>
        </w:rPr>
        <w:t xml:space="preserve">DO L 195 de 27.7.2017, p. 3, ELI: </w:t>
      </w:r>
      <w:hyperlink r:id="rId2" w:history="1">
        <w:r w:rsidRPr="00F24955">
          <w:rPr>
            <w:rStyle w:val="Hyperlink"/>
            <w:sz w:val="24"/>
            <w:lang w:val="pt-PT"/>
          </w:rPr>
          <w:t>http://data.europa.eu/eli/agree_internation/2017/1388/oj</w:t>
        </w:r>
      </w:hyperlink>
      <w:r w:rsidRPr="00F24955">
        <w:rPr>
          <w:sz w:val="24"/>
          <w:lang w:val="pt-PT"/>
        </w:rPr>
        <w:t>.</w:t>
      </w:r>
    </w:p>
  </w:footnote>
  <w:footnote w:id="3">
    <w:p w14:paraId="20298E8C" w14:textId="77777777" w:rsidR="00225D28" w:rsidRPr="00F24955" w:rsidRDefault="00225D28" w:rsidP="00147E4D">
      <w:pPr>
        <w:pStyle w:val="FootnoteText"/>
        <w:ind w:left="567" w:hanging="567"/>
        <w:rPr>
          <w:color w:val="0000FF"/>
          <w:sz w:val="24"/>
          <w:u w:val="single" w:color="0000FF"/>
          <w:lang w:val="pt-PT"/>
        </w:rPr>
      </w:pPr>
      <w:r w:rsidRPr="00147E4D">
        <w:rPr>
          <w:rStyle w:val="FootnoteReference"/>
          <w:sz w:val="24"/>
          <w:lang w:val="es-ES_tradnl"/>
        </w:rPr>
        <w:footnoteRef/>
      </w:r>
      <w:r w:rsidR="00147E4D" w:rsidRPr="00F24955">
        <w:rPr>
          <w:sz w:val="24"/>
          <w:lang w:val="pt-PT"/>
        </w:rPr>
        <w:t xml:space="preserve"> </w:t>
      </w:r>
      <w:r w:rsidR="00147E4D" w:rsidRPr="00F24955">
        <w:rPr>
          <w:sz w:val="24"/>
          <w:lang w:val="pt-PT"/>
        </w:rPr>
        <w:tab/>
      </w:r>
      <w:r w:rsidRPr="00F24955">
        <w:rPr>
          <w:sz w:val="24"/>
          <w:lang w:val="pt-PT"/>
        </w:rPr>
        <w:t xml:space="preserve">DO L 330 de 20.9.2021, p. 1, ELI: </w:t>
      </w:r>
      <w:hyperlink r:id="rId3" w:history="1">
        <w:r w:rsidRPr="00F24955">
          <w:rPr>
            <w:rStyle w:val="Hyperlink"/>
            <w:sz w:val="24"/>
            <w:lang w:val="pt-PT"/>
          </w:rPr>
          <w:t>http://data.europa.eu/eli/reg/2021/1529/oj</w:t>
        </w:r>
      </w:hyperlink>
      <w:r w:rsidRPr="00F24955">
        <w:rPr>
          <w:sz w:val="24"/>
          <w:lang w:val="pt-PT"/>
        </w:rPr>
        <w:t>.</w:t>
      </w:r>
    </w:p>
  </w:footnote>
  <w:footnote w:id="4">
    <w:p w14:paraId="754E47DB" w14:textId="77777777" w:rsidR="00225D28" w:rsidRPr="00F24955" w:rsidRDefault="00225D28" w:rsidP="00147E4D">
      <w:pPr>
        <w:pStyle w:val="FootnoteText"/>
        <w:ind w:left="567" w:hanging="567"/>
        <w:rPr>
          <w:sz w:val="24"/>
          <w:lang w:val="pt-PT"/>
        </w:rPr>
      </w:pPr>
      <w:r w:rsidRPr="00147E4D">
        <w:rPr>
          <w:rStyle w:val="FootnoteReference"/>
          <w:sz w:val="24"/>
          <w:lang w:val="es-ES_tradnl"/>
        </w:rPr>
        <w:footnoteRef/>
      </w:r>
      <w:r w:rsidR="00147E4D" w:rsidRPr="00F24955">
        <w:rPr>
          <w:sz w:val="24"/>
          <w:lang w:val="pt-PT"/>
        </w:rPr>
        <w:t xml:space="preserve"> </w:t>
      </w:r>
      <w:r w:rsidR="00147E4D" w:rsidRPr="00F24955">
        <w:rPr>
          <w:sz w:val="24"/>
          <w:lang w:val="pt-PT"/>
        </w:rPr>
        <w:tab/>
      </w:r>
      <w:r w:rsidRPr="00F24955">
        <w:rPr>
          <w:sz w:val="24"/>
          <w:lang w:val="pt-PT"/>
        </w:rPr>
        <w:t xml:space="preserve">DO L, 2024/1449, 24.5.2024, </w:t>
      </w:r>
      <w:r w:rsidRPr="00F24955">
        <w:rPr>
          <w:color w:val="333333"/>
          <w:sz w:val="24"/>
          <w:shd w:val="clear" w:color="auto" w:fill="FFFFFF"/>
          <w:lang w:val="pt-PT"/>
        </w:rPr>
        <w:t>ELI</w:t>
      </w:r>
      <w:r w:rsidRPr="00F24955">
        <w:rPr>
          <w:sz w:val="24"/>
          <w:lang w:val="pt-PT"/>
        </w:rPr>
        <w:t>:</w:t>
      </w:r>
      <w:r w:rsidRPr="00F24955">
        <w:rPr>
          <w:color w:val="333333"/>
          <w:sz w:val="24"/>
          <w:shd w:val="clear" w:color="auto" w:fill="FFFFFF"/>
          <w:lang w:val="pt-PT"/>
        </w:rPr>
        <w:t> </w:t>
      </w:r>
      <w:hyperlink r:id="rId4" w:tooltip="Da acceso a este documento a través de su URI ELI." w:history="1">
        <w:r w:rsidRPr="00F24955">
          <w:rPr>
            <w:rStyle w:val="Hyperlink"/>
            <w:sz w:val="24"/>
            <w:lang w:val="pt-PT"/>
          </w:rPr>
          <w:t>http://data.europa.eu/eli/reg/2024/1449/oj</w:t>
        </w:r>
      </w:hyperlink>
      <w:r w:rsidRPr="00F24955">
        <w:rPr>
          <w:sz w:val="24"/>
          <w:lang w:val="pt-PT"/>
        </w:rPr>
        <w:t>.</w:t>
      </w:r>
    </w:p>
  </w:footnote>
  <w:footnote w:id="5">
    <w:p w14:paraId="572782D6" w14:textId="77777777" w:rsidR="00225D28" w:rsidRPr="00F24955" w:rsidRDefault="00225D28" w:rsidP="00147E4D">
      <w:pPr>
        <w:pStyle w:val="FootnoteText"/>
        <w:ind w:left="567" w:hanging="567"/>
        <w:rPr>
          <w:sz w:val="24"/>
          <w:lang w:val="pt-PT"/>
        </w:rPr>
      </w:pPr>
      <w:r w:rsidRPr="00147E4D">
        <w:rPr>
          <w:rStyle w:val="FootnoteReference"/>
          <w:sz w:val="24"/>
          <w:lang w:val="es-ES_tradnl"/>
        </w:rPr>
        <w:footnoteRef/>
      </w:r>
      <w:r w:rsidR="00147E4D" w:rsidRPr="00F24955">
        <w:rPr>
          <w:sz w:val="24"/>
          <w:lang w:val="pt-PT"/>
        </w:rPr>
        <w:t xml:space="preserve"> </w:t>
      </w:r>
      <w:r w:rsidR="00147E4D" w:rsidRPr="00F24955">
        <w:rPr>
          <w:sz w:val="24"/>
          <w:lang w:val="pt-PT"/>
        </w:rPr>
        <w:tab/>
      </w:r>
      <w:r w:rsidRPr="00F24955">
        <w:rPr>
          <w:sz w:val="24"/>
          <w:lang w:val="pt-PT"/>
        </w:rPr>
        <w:t xml:space="preserve">DO L 146 de 6.6.2023, p. 22, ELI: </w:t>
      </w:r>
      <w:hyperlink r:id="rId5" w:history="1">
        <w:r w:rsidRPr="00F24955">
          <w:rPr>
            <w:rStyle w:val="Hyperlink"/>
            <w:sz w:val="24"/>
            <w:lang w:val="pt-PT"/>
          </w:rPr>
          <w:t>http://data.europa.eu/eli/dec/2023/1095/oj</w:t>
        </w:r>
      </w:hyperlink>
      <w:r w:rsidRPr="00F24955">
        <w:rPr>
          <w:rStyle w:val="Hyperlink"/>
          <w:sz w:val="24"/>
          <w:lang w:val="pt-PT"/>
        </w:rPr>
        <w:t>.</w:t>
      </w:r>
    </w:p>
  </w:footnote>
  <w:footnote w:id="6">
    <w:p w14:paraId="21D32356" w14:textId="77777777" w:rsidR="00225D28" w:rsidRPr="00F24955" w:rsidRDefault="00225D28" w:rsidP="00147E4D">
      <w:pPr>
        <w:pStyle w:val="FootnoteText"/>
        <w:ind w:left="567" w:hanging="567"/>
        <w:rPr>
          <w:sz w:val="24"/>
          <w:lang w:val="pt-PT"/>
        </w:rPr>
      </w:pPr>
      <w:r w:rsidRPr="00147E4D">
        <w:rPr>
          <w:rStyle w:val="FootnoteReference"/>
          <w:sz w:val="24"/>
          <w:lang w:val="es-ES_tradnl"/>
        </w:rPr>
        <w:footnoteRef/>
      </w:r>
      <w:r w:rsidR="00147E4D" w:rsidRPr="00F24955">
        <w:rPr>
          <w:sz w:val="24"/>
          <w:lang w:val="pt-PT"/>
        </w:rPr>
        <w:t xml:space="preserve"> </w:t>
      </w:r>
      <w:r w:rsidR="00147E4D" w:rsidRPr="00F24955">
        <w:rPr>
          <w:sz w:val="24"/>
          <w:lang w:val="pt-PT"/>
        </w:rPr>
        <w:tab/>
      </w:r>
      <w:r w:rsidRPr="00F24955">
        <w:rPr>
          <w:sz w:val="24"/>
          <w:lang w:val="pt-PT"/>
        </w:rPr>
        <w:t xml:space="preserve">DO L 110 de 25.4.2023, p. 1, ELI: </w:t>
      </w:r>
      <w:hyperlink r:id="rId6" w:history="1">
        <w:r w:rsidRPr="00F24955">
          <w:rPr>
            <w:rStyle w:val="Hyperlink"/>
            <w:sz w:val="24"/>
            <w:lang w:val="pt-PT"/>
          </w:rPr>
          <w:t>http://data.europa.eu/eli/reg/2023/850/oj</w:t>
        </w:r>
      </w:hyperlink>
      <w:r w:rsidRPr="00F24955">
        <w:rPr>
          <w:sz w:val="24"/>
          <w:lang w:val="pt-PT"/>
        </w:rPr>
        <w:t>.</w:t>
      </w:r>
    </w:p>
  </w:footnote>
  <w:footnote w:id="7">
    <w:p w14:paraId="3BFF5AAE" w14:textId="77777777" w:rsidR="00225D28" w:rsidRPr="00147E4D" w:rsidRDefault="00225D28" w:rsidP="00147E4D">
      <w:pPr>
        <w:pStyle w:val="FootnoteText"/>
        <w:ind w:left="567" w:hanging="567"/>
        <w:rPr>
          <w:sz w:val="24"/>
          <w:lang w:val="es-ES_tradnl"/>
        </w:rPr>
      </w:pPr>
      <w:r w:rsidRPr="00147E4D">
        <w:rPr>
          <w:rStyle w:val="FootnoteReference"/>
          <w:sz w:val="24"/>
          <w:lang w:val="es-ES_tradnl"/>
        </w:rPr>
        <w:footnoteRef/>
      </w:r>
      <w:r w:rsidR="00147E4D" w:rsidRPr="00147E4D">
        <w:rPr>
          <w:sz w:val="24"/>
          <w:lang w:val="es-ES_tradnl"/>
        </w:rPr>
        <w:t xml:space="preserve"> </w:t>
      </w:r>
      <w:r w:rsidR="00147E4D" w:rsidRPr="00147E4D">
        <w:rPr>
          <w:sz w:val="24"/>
          <w:lang w:val="es-ES_tradnl"/>
        </w:rPr>
        <w:tab/>
      </w:r>
      <w:r w:rsidRPr="00147E4D">
        <w:rPr>
          <w:sz w:val="24"/>
          <w:lang w:val="es-ES_tradnl"/>
        </w:rPr>
        <w:t xml:space="preserve">Directiva (UE) 2024/1069 del Parlamento Europeo y del Consejo, de 11 de abril de 2024, relativa a la protección de las personas que se implican en la participación pública frente a pretensiones manifiestamente infundadas o acciones judiciales abusivas («demandas estratégicas contra la participación pública») (DO L, 2024/1069, 16.4.2024, ELI: </w:t>
      </w:r>
      <w:hyperlink r:id="rId7" w:history="1">
        <w:r w:rsidRPr="00147E4D">
          <w:rPr>
            <w:rStyle w:val="Hyperlink"/>
            <w:sz w:val="24"/>
            <w:lang w:val="es-ES_tradnl"/>
          </w:rPr>
          <w:t>http://data.europa.eu/eli/dir/2024/1069/oj</w:t>
        </w:r>
      </w:hyperlink>
      <w:r w:rsidRPr="00147E4D">
        <w:rPr>
          <w:sz w:val="24"/>
          <w:lang w:val="es-ES_tradnl"/>
        </w:rPr>
        <w:t>).</w:t>
      </w:r>
    </w:p>
  </w:footnote>
  <w:footnote w:id="8">
    <w:p w14:paraId="4E46A724" w14:textId="77777777" w:rsidR="00225D28" w:rsidRPr="00147E4D" w:rsidRDefault="00225D28" w:rsidP="00147E4D">
      <w:pPr>
        <w:pStyle w:val="FootnoteText"/>
        <w:ind w:left="567" w:hanging="567"/>
        <w:rPr>
          <w:sz w:val="24"/>
          <w:lang w:val="es-ES_tradnl"/>
        </w:rPr>
      </w:pPr>
      <w:r w:rsidRPr="00147E4D">
        <w:rPr>
          <w:rStyle w:val="FootnoteReference"/>
          <w:sz w:val="24"/>
          <w:lang w:val="es-ES_tradnl"/>
        </w:rPr>
        <w:footnoteRef/>
      </w:r>
      <w:r w:rsidR="00147E4D" w:rsidRPr="00147E4D">
        <w:rPr>
          <w:sz w:val="24"/>
          <w:lang w:val="es-ES_tradnl"/>
        </w:rPr>
        <w:t xml:space="preserve"> </w:t>
      </w:r>
      <w:r w:rsidR="00147E4D" w:rsidRPr="00147E4D">
        <w:rPr>
          <w:sz w:val="24"/>
          <w:lang w:val="es-ES_tradnl"/>
        </w:rPr>
        <w:tab/>
      </w:r>
      <w:r w:rsidRPr="00147E4D">
        <w:rPr>
          <w:sz w:val="24"/>
          <w:lang w:val="es-ES_tradnl"/>
        </w:rPr>
        <w:t xml:space="preserve">Directiva (UE) 2022/2555 del Parlamento Europeo y del Consejo, de 14 de diciembre de 2022, relativa a las medidas destinadas a garantizar un elevado nivel común de ciberseguridad en toda la Unión, por la que se modifican el Reglamento (UE) n.º 910/2014 y la Directiva (UE) 2018/1972 y por la que se deroga la Directiva (UE) 2016/1148 (Directiva SRI 2) (DO L 333 de 27.12.2022, p. 80, ELI: </w:t>
      </w:r>
      <w:hyperlink r:id="rId8" w:history="1">
        <w:r w:rsidRPr="00147E4D">
          <w:rPr>
            <w:rStyle w:val="Hyperlink"/>
            <w:sz w:val="24"/>
            <w:lang w:val="es-ES_tradnl"/>
          </w:rPr>
          <w:t>http://data.europa.eu/eli/dir/2022/2555/oj</w:t>
        </w:r>
      </w:hyperlink>
      <w:r w:rsidRPr="00147E4D">
        <w:rPr>
          <w:sz w:val="24"/>
          <w:lang w:val="es-ES_tradnl"/>
        </w:rPr>
        <w:t xml:space="preserve">). </w:t>
      </w:r>
    </w:p>
  </w:footnote>
  <w:footnote w:id="9">
    <w:p w14:paraId="0786F96E" w14:textId="77777777" w:rsidR="00225D28" w:rsidRPr="00147E4D" w:rsidRDefault="00225D28" w:rsidP="00147E4D">
      <w:pPr>
        <w:pStyle w:val="FootnoteText"/>
        <w:ind w:left="567" w:hanging="567"/>
        <w:rPr>
          <w:sz w:val="24"/>
          <w:lang w:val="es-ES_tradnl"/>
        </w:rPr>
      </w:pPr>
      <w:r w:rsidRPr="00147E4D">
        <w:rPr>
          <w:rStyle w:val="FootnoteReference"/>
          <w:sz w:val="24"/>
          <w:lang w:val="es-ES_tradnl"/>
        </w:rPr>
        <w:footnoteRef/>
      </w:r>
      <w:r w:rsidR="00147E4D" w:rsidRPr="00147E4D">
        <w:rPr>
          <w:sz w:val="24"/>
          <w:lang w:val="es-ES_tradnl"/>
        </w:rPr>
        <w:t xml:space="preserve"> </w:t>
      </w:r>
      <w:r w:rsidR="00147E4D" w:rsidRPr="00147E4D">
        <w:rPr>
          <w:sz w:val="24"/>
          <w:lang w:val="es-ES_tradnl"/>
        </w:rPr>
        <w:tab/>
      </w:r>
      <w:r w:rsidRPr="00147E4D">
        <w:rPr>
          <w:sz w:val="24"/>
          <w:lang w:val="es-ES_tradnl"/>
        </w:rPr>
        <w:t xml:space="preserve">Reglamento (UE) 2022/2065 del Parlamento Europeo y del Consejo, de 19 de octubre de 2022, relativo a un mercado único de servicios digitales y por el que se modifica la Directiva 2000/31/CE (Reglamento de Servicios Digitales) (DO L 277 de 27.10.2022, p. 1, ELI: </w:t>
      </w:r>
      <w:hyperlink r:id="rId9" w:history="1">
        <w:r w:rsidRPr="00147E4D">
          <w:rPr>
            <w:rStyle w:val="Hyperlink"/>
            <w:sz w:val="24"/>
            <w:lang w:val="es-ES_tradnl"/>
          </w:rPr>
          <w:t>http://data.europa.eu/eli/reg/2022/2065/oj</w:t>
        </w:r>
      </w:hyperlink>
      <w:r w:rsidRPr="00147E4D">
        <w:rPr>
          <w:sz w:val="24"/>
          <w:lang w:val="es-ES_tradnl"/>
        </w:rPr>
        <w:t xml:space="preserve">). </w:t>
      </w:r>
    </w:p>
  </w:footnote>
  <w:footnote w:id="10">
    <w:p w14:paraId="601BB345" w14:textId="77777777" w:rsidR="00225D28" w:rsidRPr="00147E4D" w:rsidRDefault="00225D28" w:rsidP="00147E4D">
      <w:pPr>
        <w:ind w:left="567" w:hanging="567"/>
      </w:pPr>
      <w:r w:rsidRPr="00147E4D">
        <w:rPr>
          <w:rStyle w:val="FootnoteReference"/>
        </w:rPr>
        <w:footnoteRef/>
      </w:r>
      <w:r w:rsidR="00147E4D" w:rsidRPr="00147E4D">
        <w:t xml:space="preserve"> </w:t>
      </w:r>
      <w:r w:rsidR="00147E4D" w:rsidRPr="00147E4D">
        <w:tab/>
      </w:r>
      <w:r w:rsidRPr="00147E4D">
        <w:t xml:space="preserve">Reglamento (UE) 2022/1925 del Parlamento Europeo y del Consejo, de 14 de septiembre de 2022, sobre mercados disputables y equitativos en el sector digital y por el que se modifican las Directivas (UE) 2019/1937 y (UE) 2020/1828 (Reglamento de Mercados Digitales) (DO L 265 de 12.10.2022, p. 1, ELI: </w:t>
      </w:r>
      <w:hyperlink r:id="rId10" w:history="1">
        <w:r w:rsidRPr="00147E4D">
          <w:rPr>
            <w:rStyle w:val="Hyperlink"/>
          </w:rPr>
          <w:t>http://data.europa.eu/eli/reg/2022/1925/oj</w:t>
        </w:r>
      </w:hyperlink>
      <w:r w:rsidRPr="00147E4D">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5/2025"/>
    <w:docVar w:name="dvlangue" w:val="ES"/>
    <w:docVar w:name="dvnumam" w:val="0"/>
    <w:docVar w:name="dvpe" w:val="767.973"/>
    <w:docVar w:name="dvrapporteur" w:val="Ponente: "/>
    <w:docVar w:name="dvtitre" w:val="Resolución del Parlamento Europeo, de 7 de mayo de 2025, sobre los Informes de 2023 y 2024 de la Comisión sobre Kosovo(2025/2019(INI))"/>
  </w:docVars>
  <w:rsids>
    <w:rsidRoot w:val="00FD73F0"/>
    <w:rsid w:val="00002272"/>
    <w:rsid w:val="00064002"/>
    <w:rsid w:val="000677B9"/>
    <w:rsid w:val="000831BA"/>
    <w:rsid w:val="000A42CC"/>
    <w:rsid w:val="000E7DD9"/>
    <w:rsid w:val="0010095E"/>
    <w:rsid w:val="00125B37"/>
    <w:rsid w:val="00147E4D"/>
    <w:rsid w:val="00187494"/>
    <w:rsid w:val="001F32AE"/>
    <w:rsid w:val="00225D2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7238"/>
    <w:rsid w:val="0050519A"/>
    <w:rsid w:val="005072A1"/>
    <w:rsid w:val="00514517"/>
    <w:rsid w:val="00545827"/>
    <w:rsid w:val="00560270"/>
    <w:rsid w:val="005C2568"/>
    <w:rsid w:val="005C7A12"/>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2FEB"/>
    <w:rsid w:val="00930C23"/>
    <w:rsid w:val="0093193B"/>
    <w:rsid w:val="009509D8"/>
    <w:rsid w:val="00950B64"/>
    <w:rsid w:val="00981893"/>
    <w:rsid w:val="00983ED9"/>
    <w:rsid w:val="00A1687D"/>
    <w:rsid w:val="00A43E52"/>
    <w:rsid w:val="00A4678D"/>
    <w:rsid w:val="00A778C7"/>
    <w:rsid w:val="00A94E6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73BB"/>
    <w:rsid w:val="00F24955"/>
    <w:rsid w:val="00F5134D"/>
    <w:rsid w:val="00F74202"/>
    <w:rsid w:val="00F87713"/>
    <w:rsid w:val="00FB4360"/>
    <w:rsid w:val="00FD0C70"/>
    <w:rsid w:val="00FD73F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84F9F0"/>
  <w15:chartTrackingRefBased/>
  <w15:docId w15:val="{D8CE6A1D-36A8-4369-A089-2B16E3823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25D28"/>
    <w:pPr>
      <w:spacing w:after="240"/>
      <w:ind w:left="567" w:hanging="567"/>
    </w:pPr>
  </w:style>
  <w:style w:type="paragraph" w:customStyle="1" w:styleId="EPComma">
    <w:name w:val="EPComma"/>
    <w:basedOn w:val="Normal"/>
    <w:rsid w:val="00225D28"/>
    <w:pPr>
      <w:spacing w:before="480" w:after="240"/>
    </w:pPr>
  </w:style>
  <w:style w:type="character" w:customStyle="1" w:styleId="NormalHanging12aChar">
    <w:name w:val="NormalHanging12a Char"/>
    <w:basedOn w:val="DefaultParagraphFont"/>
    <w:link w:val="NormalHanging12a"/>
    <w:locked/>
    <w:rsid w:val="00225D28"/>
    <w:rPr>
      <w:sz w:val="24"/>
      <w:lang w:val="es-ES_tradnl"/>
    </w:rPr>
  </w:style>
  <w:style w:type="paragraph" w:customStyle="1" w:styleId="Normal12a24b">
    <w:name w:val="Normal12a24b"/>
    <w:basedOn w:val="Normal"/>
    <w:rsid w:val="00225D28"/>
    <w:pPr>
      <w:snapToGrid w:val="0"/>
      <w:spacing w:before="360" w:after="240"/>
    </w:pPr>
    <w:rPr>
      <w:lang w:eastAsia="en-US"/>
    </w:rPr>
  </w:style>
  <w:style w:type="character" w:customStyle="1" w:styleId="BoldItalic">
    <w:name w:val="BoldItalic"/>
    <w:uiPriority w:val="1"/>
    <w:rsid w:val="00225D28"/>
    <w:rPr>
      <w:b/>
      <w:bCs w:val="0"/>
      <w:i/>
      <w:iCs w:val="0"/>
      <w:strike w:val="0"/>
      <w:dstrike w:val="0"/>
      <w:u w:val="none"/>
      <w:effect w:val="none"/>
    </w:rPr>
  </w:style>
  <w:style w:type="character" w:styleId="Hyperlink">
    <w:name w:val="Hyperlink"/>
    <w:basedOn w:val="DefaultParagraphFont"/>
    <w:uiPriority w:val="99"/>
    <w:unhideWhenUsed/>
    <w:rsid w:val="00225D28"/>
    <w:rPr>
      <w:color w:val="0000FF"/>
      <w:u w:val="single"/>
    </w:rPr>
  </w:style>
  <w:style w:type="paragraph" w:styleId="BalloonText">
    <w:name w:val="Balloon Text"/>
    <w:basedOn w:val="Normal"/>
    <w:link w:val="BalloonTextChar"/>
    <w:rsid w:val="00A94E61"/>
    <w:rPr>
      <w:rFonts w:ascii="Segoe UI" w:hAnsi="Segoe UI" w:cs="Segoe UI"/>
      <w:sz w:val="18"/>
      <w:szCs w:val="18"/>
    </w:rPr>
  </w:style>
  <w:style w:type="character" w:customStyle="1" w:styleId="BalloonTextChar">
    <w:name w:val="Balloon Text Char"/>
    <w:basedOn w:val="DefaultParagraphFont"/>
    <w:link w:val="BalloonText"/>
    <w:rsid w:val="00A94E61"/>
    <w:rPr>
      <w:rFonts w:ascii="Segoe UI" w:hAnsi="Segoe UI" w:cs="Segoe UI"/>
      <w:sz w:val="18"/>
      <w:szCs w:val="18"/>
      <w:lang w:val="es-ES_tradnl"/>
    </w:rPr>
  </w:style>
  <w:style w:type="character" w:styleId="CommentReference">
    <w:name w:val="annotation reference"/>
    <w:basedOn w:val="DefaultParagraphFont"/>
    <w:rsid w:val="00F24955"/>
    <w:rPr>
      <w:sz w:val="16"/>
      <w:szCs w:val="16"/>
    </w:rPr>
  </w:style>
  <w:style w:type="paragraph" w:styleId="CommentText">
    <w:name w:val="annotation text"/>
    <w:basedOn w:val="Normal"/>
    <w:link w:val="CommentTextChar"/>
    <w:rsid w:val="00F24955"/>
    <w:rPr>
      <w:sz w:val="20"/>
    </w:rPr>
  </w:style>
  <w:style w:type="character" w:customStyle="1" w:styleId="CommentTextChar">
    <w:name w:val="Comment Text Char"/>
    <w:basedOn w:val="DefaultParagraphFont"/>
    <w:link w:val="CommentText"/>
    <w:rsid w:val="00F24955"/>
    <w:rPr>
      <w:lang w:val="es-ES_tradnl"/>
    </w:rPr>
  </w:style>
  <w:style w:type="paragraph" w:styleId="CommentSubject">
    <w:name w:val="annotation subject"/>
    <w:basedOn w:val="CommentText"/>
    <w:next w:val="CommentText"/>
    <w:link w:val="CommentSubjectChar"/>
    <w:rsid w:val="00F24955"/>
    <w:rPr>
      <w:b/>
      <w:bCs/>
    </w:rPr>
  </w:style>
  <w:style w:type="character" w:customStyle="1" w:styleId="CommentSubjectChar">
    <w:name w:val="Comment Subject Char"/>
    <w:basedOn w:val="CommentTextChar"/>
    <w:link w:val="CommentSubject"/>
    <w:rsid w:val="00F24955"/>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555/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dir/2024/106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reg/2023/850/oj" TargetMode="External"/><Relationship Id="rId5" Type="http://schemas.openxmlformats.org/officeDocument/2006/relationships/hyperlink" Target="http://data.europa.eu/eli/dec/2023/1095/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reg/2024/1449/oj" TargetMode="External"/><Relationship Id="rId9"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9791E-4981-4F7F-8C98-0C196951B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6968</Words>
  <Characters>39722</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2025-05-07T17:37:00Z</dcterms:created>
  <dcterms:modified xsi:type="dcterms:W3CDTF">2025-05-07T17:37:00Z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A10-0075/2025</vt:lpwstr>
  </property>
  <property fmtid="{D5CDD505-2E9C-101B-9397-08002B2CF9AE}" pid="4" name="&lt;Type&gt;">
    <vt:lpwstr>RR</vt:lpwstr>
  </property>
</Properties>
</file>