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197A" w:rsidTr="0010095E">
        <w:trPr>
          <w:trHeight w:hRule="exact" w:val="1418"/>
        </w:trPr>
        <w:tc>
          <w:tcPr>
            <w:tcW w:w="6804" w:type="dxa"/>
            <w:shd w:val="clear" w:color="auto" w:fill="auto"/>
            <w:vAlign w:val="center"/>
          </w:tcPr>
          <w:p w:rsidR="00751A4A" w:rsidRPr="00FA197A" w:rsidRDefault="00DC3ECA" w:rsidP="0010095E">
            <w:pPr>
              <w:pStyle w:val="EPName"/>
            </w:pPr>
            <w:r w:rsidRPr="00FA197A">
              <w:t>Parlement européen</w:t>
            </w:r>
          </w:p>
          <w:p w:rsidR="00751A4A" w:rsidRPr="00FA197A" w:rsidRDefault="005F1B17" w:rsidP="005F1B17">
            <w:pPr>
              <w:pStyle w:val="EPTerm"/>
              <w:rPr>
                <w:rStyle w:val="HideTWBExt"/>
                <w:noProof w:val="0"/>
                <w:vanish w:val="0"/>
                <w:color w:val="auto"/>
              </w:rPr>
            </w:pPr>
            <w:r w:rsidRPr="00FA197A">
              <w:t>2024</w:t>
            </w:r>
            <w:r w:rsidR="00817416" w:rsidRPr="00FA197A">
              <w:t>-202</w:t>
            </w:r>
            <w:r w:rsidRPr="00FA197A">
              <w:t>9</w:t>
            </w:r>
          </w:p>
        </w:tc>
        <w:tc>
          <w:tcPr>
            <w:tcW w:w="2268" w:type="dxa"/>
            <w:shd w:val="clear" w:color="auto" w:fill="auto"/>
          </w:tcPr>
          <w:p w:rsidR="00751A4A" w:rsidRPr="00FA197A" w:rsidRDefault="00187494" w:rsidP="0010095E">
            <w:pPr>
              <w:pStyle w:val="EPLogo"/>
            </w:pPr>
            <w:r w:rsidRPr="00FA197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197A" w:rsidRDefault="00D058B8" w:rsidP="004C5D52">
      <w:pPr>
        <w:pStyle w:val="LineTop"/>
      </w:pPr>
    </w:p>
    <w:p w:rsidR="00680577" w:rsidRPr="00FA197A" w:rsidRDefault="00DC3ECA" w:rsidP="00680577">
      <w:pPr>
        <w:pStyle w:val="EPBodyTA1"/>
      </w:pPr>
      <w:r w:rsidRPr="00FA197A">
        <w:t>TEXTES ADOPTÉS</w:t>
      </w:r>
    </w:p>
    <w:p w:rsidR="00D058B8" w:rsidRPr="00FA197A" w:rsidRDefault="00D058B8" w:rsidP="00D058B8">
      <w:pPr>
        <w:pStyle w:val="LineBottom"/>
      </w:pPr>
    </w:p>
    <w:p w:rsidR="00DC3ECA" w:rsidRPr="00370E25" w:rsidRDefault="00DC3ECA" w:rsidP="00DC3ECA">
      <w:pPr>
        <w:pStyle w:val="ATHeading1"/>
      </w:pPr>
      <w:bookmarkStart w:id="0" w:name="TANumber"/>
      <w:r w:rsidRPr="00370E25">
        <w:t>P10_TA(2025)00</w:t>
      </w:r>
      <w:r w:rsidR="00624429" w:rsidRPr="00370E25">
        <w:t>94</w:t>
      </w:r>
      <w:bookmarkEnd w:id="0"/>
    </w:p>
    <w:p w:rsidR="00DC3ECA" w:rsidRPr="00370E25" w:rsidRDefault="00DC3ECA" w:rsidP="00DC3ECA">
      <w:pPr>
        <w:pStyle w:val="ATHeading2"/>
      </w:pPr>
      <w:bookmarkStart w:id="1" w:name="title"/>
      <w:r w:rsidRPr="00370E25">
        <w:t>Rapports 2023 et 2024 sur le Kosovo</w:t>
      </w:r>
      <w:bookmarkEnd w:id="1"/>
    </w:p>
    <w:p w:rsidR="00DC3ECA" w:rsidRPr="008F6E13" w:rsidRDefault="00DC3ECA" w:rsidP="00DC3ECA">
      <w:pPr>
        <w:rPr>
          <w:i/>
          <w:vanish/>
        </w:rPr>
      </w:pPr>
      <w:r w:rsidRPr="008F6E13">
        <w:rPr>
          <w:i/>
        </w:rPr>
        <w:fldChar w:fldCharType="begin"/>
      </w:r>
      <w:r w:rsidRPr="008F6E13">
        <w:rPr>
          <w:i/>
        </w:rPr>
        <w:instrText xml:space="preserve"> TC"(</w:instrText>
      </w:r>
      <w:bookmarkStart w:id="2" w:name="DocNumber"/>
      <w:r w:rsidRPr="008F6E13">
        <w:rPr>
          <w:i/>
        </w:rPr>
        <w:instrText>A10-0075/2025</w:instrText>
      </w:r>
      <w:bookmarkEnd w:id="2"/>
      <w:r w:rsidRPr="008F6E13">
        <w:rPr>
          <w:i/>
        </w:rPr>
        <w:instrText xml:space="preserve"> - Rapporteur: Riho Terras)"\l3 \n&gt; \* MERGEFORMAT </w:instrText>
      </w:r>
      <w:r w:rsidRPr="008F6E13">
        <w:rPr>
          <w:i/>
        </w:rPr>
        <w:fldChar w:fldCharType="end"/>
      </w:r>
    </w:p>
    <w:p w:rsidR="00DC3ECA" w:rsidRPr="008F6E13" w:rsidRDefault="00DC3ECA" w:rsidP="00DC3ECA">
      <w:pPr>
        <w:rPr>
          <w:vanish/>
        </w:rPr>
      </w:pPr>
      <w:bookmarkStart w:id="3" w:name="Commission"/>
      <w:r w:rsidRPr="008F6E13">
        <w:rPr>
          <w:vanish/>
        </w:rPr>
        <w:t>Commission des affaires étrangères</w:t>
      </w:r>
      <w:bookmarkEnd w:id="3"/>
    </w:p>
    <w:p w:rsidR="00DC3ECA" w:rsidRPr="008F6E13" w:rsidRDefault="00DC3ECA" w:rsidP="00DC3ECA">
      <w:pPr>
        <w:rPr>
          <w:vanish/>
        </w:rPr>
      </w:pPr>
      <w:bookmarkStart w:id="4" w:name="PE"/>
      <w:r w:rsidRPr="008F6E13">
        <w:rPr>
          <w:vanish/>
        </w:rPr>
        <w:t>PE767.973</w:t>
      </w:r>
      <w:bookmarkEnd w:id="4"/>
    </w:p>
    <w:p w:rsidR="00DC3ECA" w:rsidRPr="00370E25" w:rsidRDefault="00DC3ECA" w:rsidP="00DC3ECA">
      <w:pPr>
        <w:pStyle w:val="ATHeading3"/>
      </w:pPr>
      <w:bookmarkStart w:id="5" w:name="Sujet"/>
      <w:r w:rsidRPr="00370E25">
        <w:t xml:space="preserve">Résolution du Parlement européen du </w:t>
      </w:r>
      <w:r w:rsidR="00FB15BF" w:rsidRPr="00370E25">
        <w:t xml:space="preserve">7 </w:t>
      </w:r>
      <w:r w:rsidRPr="00370E25">
        <w:t>mai 2025 sur les rapports 2023 et 2024 de la Commission sur le Kosovo</w:t>
      </w:r>
      <w:bookmarkEnd w:id="5"/>
      <w:r w:rsidRPr="00370E25">
        <w:t xml:space="preserve"> </w:t>
      </w:r>
      <w:bookmarkStart w:id="6" w:name="References"/>
      <w:r w:rsidRPr="00370E25">
        <w:t>(2025/2019(INI))</w:t>
      </w:r>
      <w:bookmarkEnd w:id="6"/>
    </w:p>
    <w:p w:rsidR="0068535B" w:rsidRPr="00FA197A" w:rsidRDefault="0068535B" w:rsidP="0068535B">
      <w:pPr>
        <w:pStyle w:val="EPComma"/>
      </w:pPr>
      <w:r w:rsidRPr="00FA197A">
        <w:rPr>
          <w:i/>
        </w:rPr>
        <w:t>Le Parlement européen</w:t>
      </w:r>
      <w:r w:rsidRPr="00FA197A">
        <w:t>,</w:t>
      </w:r>
    </w:p>
    <w:p w:rsidR="0068535B" w:rsidRPr="00FA197A" w:rsidRDefault="0068535B" w:rsidP="00FB15BF">
      <w:pPr>
        <w:pStyle w:val="NormalHanging12a"/>
        <w:widowControl/>
      </w:pPr>
      <w:r w:rsidRPr="00FA197A">
        <w:t>–</w:t>
      </w:r>
      <w:r w:rsidRPr="00FA197A">
        <w:tab/>
        <w:t>vu l’accord de stabilisation et d’association entre l’Union européenne et la Communauté européenne de l’énergie atomique, d’une part, et le Kosovo, d’autre part</w:t>
      </w:r>
      <w:r w:rsidRPr="00FA197A">
        <w:rPr>
          <w:vertAlign w:val="superscript"/>
        </w:rPr>
        <w:footnoteReference w:id="1"/>
      </w:r>
      <w:r w:rsidRPr="00FA197A">
        <w:t>, qui est entré en vigueur le 1</w:t>
      </w:r>
      <w:r w:rsidRPr="00FA197A">
        <w:rPr>
          <w:vertAlign w:val="superscript"/>
        </w:rPr>
        <w:t>er</w:t>
      </w:r>
      <w:r w:rsidRPr="00FA197A">
        <w:t> avril 2016,</w:t>
      </w:r>
    </w:p>
    <w:p w:rsidR="0068535B" w:rsidRPr="00FA197A" w:rsidRDefault="0068535B" w:rsidP="00FB15BF">
      <w:pPr>
        <w:pStyle w:val="NormalHanging12a"/>
        <w:widowControl/>
      </w:pPr>
      <w:r w:rsidRPr="00FA197A">
        <w:t>–</w:t>
      </w:r>
      <w:r w:rsidRPr="00FA197A">
        <w:tab/>
        <w:t>vu la demande d’adhésion du Kosovo à l’Union européenne du 15 décembre 2022,</w:t>
      </w:r>
    </w:p>
    <w:p w:rsidR="0068535B" w:rsidRPr="00FA197A" w:rsidRDefault="0068535B" w:rsidP="00FB15BF">
      <w:pPr>
        <w:pStyle w:val="NormalHanging12a"/>
        <w:widowControl/>
      </w:pPr>
      <w:r w:rsidRPr="00FA197A">
        <w:t>–</w:t>
      </w:r>
      <w:r w:rsidRPr="00FA197A">
        <w:tab/>
        <w:t>vu la demande d’adhésion du Kosovo au Conseil de l’Europe du 12 mai 2022,</w:t>
      </w:r>
    </w:p>
    <w:p w:rsidR="0068535B" w:rsidRPr="00FA197A" w:rsidRDefault="0068535B" w:rsidP="00FB15BF">
      <w:pPr>
        <w:pStyle w:val="NormalHanging12a"/>
        <w:widowControl/>
      </w:pPr>
      <w:r w:rsidRPr="00FA197A">
        <w:t>–</w:t>
      </w:r>
      <w:r w:rsidRPr="00FA197A">
        <w:tab/>
        <w:t>vu l’accord-cadre entre l’Union européenne et le Kosovo établissant les principes généraux de la participation du Kosovo aux programmes de l’Union</w:t>
      </w:r>
      <w:r w:rsidRPr="00FA197A">
        <w:rPr>
          <w:vertAlign w:val="superscript"/>
        </w:rPr>
        <w:footnoteReference w:id="2"/>
      </w:r>
      <w:r w:rsidRPr="00FA197A">
        <w:t>, en vigueur depuis le 1</w:t>
      </w:r>
      <w:r w:rsidRPr="00FA197A">
        <w:rPr>
          <w:vertAlign w:val="superscript"/>
        </w:rPr>
        <w:t>er</w:t>
      </w:r>
      <w:r w:rsidRPr="00FA197A">
        <w:t> août 2017,</w:t>
      </w:r>
    </w:p>
    <w:p w:rsidR="0068535B" w:rsidRPr="00FA197A" w:rsidRDefault="0068535B" w:rsidP="00FB15BF">
      <w:pPr>
        <w:pStyle w:val="NormalHanging12a"/>
        <w:widowControl/>
      </w:pPr>
      <w:r w:rsidRPr="00FA197A">
        <w:t>–</w:t>
      </w:r>
      <w:r w:rsidRPr="00FA197A">
        <w:tab/>
        <w:t>vu le règlement (UE) 2021/1529 du Parlement européen et du Conseil du 15 septembre 2021 instituant l’instrument d’aide de préadhésion (IAP III)</w:t>
      </w:r>
      <w:r w:rsidRPr="00FA197A">
        <w:rPr>
          <w:vertAlign w:val="superscript"/>
        </w:rPr>
        <w:footnoteReference w:id="3"/>
      </w:r>
      <w:r w:rsidRPr="00FA197A">
        <w:t>,</w:t>
      </w:r>
    </w:p>
    <w:p w:rsidR="0068535B" w:rsidRPr="00FA197A" w:rsidRDefault="0068535B" w:rsidP="00FB15BF">
      <w:pPr>
        <w:pStyle w:val="NormalHanging12a"/>
        <w:widowControl/>
      </w:pPr>
      <w:r w:rsidRPr="00FA197A">
        <w:t>–</w:t>
      </w:r>
      <w:r w:rsidRPr="00FA197A">
        <w:tab/>
        <w:t>vu le règlement (UE) 2024/1449 du Parlement européen et du Conseil du 14 mai 2024 établissant une facilité pour les réformes et la croissance en faveur des Balkans occidentaux</w:t>
      </w:r>
      <w:r w:rsidRPr="00FA197A">
        <w:rPr>
          <w:vertAlign w:val="superscript"/>
        </w:rPr>
        <w:footnoteReference w:id="4"/>
      </w:r>
      <w:r w:rsidRPr="00FA197A">
        <w:t>,</w:t>
      </w:r>
    </w:p>
    <w:p w:rsidR="0068535B" w:rsidRPr="00FA197A" w:rsidRDefault="0068535B" w:rsidP="00FB15BF">
      <w:pPr>
        <w:pStyle w:val="NormalHanging12a"/>
        <w:widowControl/>
      </w:pPr>
      <w:r w:rsidRPr="00FA197A">
        <w:t>–</w:t>
      </w:r>
      <w:r w:rsidRPr="00FA197A">
        <w:tab/>
        <w:t>vu les conclusions de la présidence à l’issue de la réunion du Conseil européen qui s’est tenue à Thessalonique les 19 et 20 juin 2003,</w:t>
      </w:r>
    </w:p>
    <w:p w:rsidR="0068535B" w:rsidRPr="00FA197A" w:rsidRDefault="0068535B" w:rsidP="00FB15BF">
      <w:pPr>
        <w:pStyle w:val="NormalHanging12a"/>
        <w:widowControl/>
      </w:pPr>
      <w:r w:rsidRPr="00FA197A">
        <w:lastRenderedPageBreak/>
        <w:t>–</w:t>
      </w:r>
      <w:r w:rsidRPr="00FA197A">
        <w:tab/>
        <w:t xml:space="preserve">vu les déclarations des sommets UE-Balkans occidentaux du 17 mai 2018 à Sofia, du 6 mai 2020 à Zagreb, du 6 octobre 2021 à </w:t>
      </w:r>
      <w:proofErr w:type="spellStart"/>
      <w:r w:rsidRPr="00FA197A">
        <w:t>Brdo</w:t>
      </w:r>
      <w:proofErr w:type="spellEnd"/>
      <w:r w:rsidRPr="00FA197A">
        <w:t> </w:t>
      </w:r>
      <w:proofErr w:type="spellStart"/>
      <w:r w:rsidRPr="00FA197A">
        <w:t>pri</w:t>
      </w:r>
      <w:proofErr w:type="spellEnd"/>
      <w:r w:rsidRPr="00FA197A">
        <w:t> </w:t>
      </w:r>
      <w:proofErr w:type="spellStart"/>
      <w:r w:rsidRPr="00FA197A">
        <w:t>Kranju</w:t>
      </w:r>
      <w:proofErr w:type="spellEnd"/>
      <w:r w:rsidRPr="00FA197A">
        <w:t xml:space="preserve">, du 6 décembre 2022 à Tirana, du 13 décembre 2023 à Bruxelles et du 18 décembre 2024 à Bruxelles, </w:t>
      </w:r>
    </w:p>
    <w:p w:rsidR="0068535B" w:rsidRPr="00FA197A" w:rsidRDefault="0068535B" w:rsidP="00FB15BF">
      <w:pPr>
        <w:pStyle w:val="NormalHanging12a"/>
        <w:widowControl/>
      </w:pPr>
      <w:r w:rsidRPr="00FA197A">
        <w:t>–</w:t>
      </w:r>
      <w:r w:rsidRPr="00FA197A">
        <w:tab/>
        <w:t>vu le processus de Berlin lancé le 28 août 2014,</w:t>
      </w:r>
    </w:p>
    <w:p w:rsidR="0068535B" w:rsidRPr="00FA197A" w:rsidRDefault="0068535B" w:rsidP="00FB15BF">
      <w:pPr>
        <w:pStyle w:val="NormalHanging12a"/>
        <w:widowControl/>
      </w:pPr>
      <w:r w:rsidRPr="00FA197A">
        <w:t>–</w:t>
      </w:r>
      <w:r w:rsidRPr="00FA197A">
        <w:tab/>
        <w:t>vu la communication de la Commission du 5 février 2020 intitulée «Renforcer le processus d’adhésion – Une perspective européenne crédible pour les Balkans occidentaux» (COM(2020)0057),</w:t>
      </w:r>
    </w:p>
    <w:p w:rsidR="0068535B" w:rsidRPr="00FA197A" w:rsidRDefault="0068535B" w:rsidP="00FB15BF">
      <w:pPr>
        <w:pStyle w:val="NormalHanging12a"/>
        <w:widowControl/>
      </w:pPr>
      <w:r w:rsidRPr="00FA197A">
        <w:t>–</w:t>
      </w:r>
      <w:r w:rsidRPr="00FA197A">
        <w:tab/>
        <w:t>vu la communication de la Commission du 6 octobre 2020 intitulée «Un plan économique et d’investissement pour les Balkans occidentaux» (COM(2020)0641),</w:t>
      </w:r>
    </w:p>
    <w:p w:rsidR="0068535B" w:rsidRPr="00FA197A" w:rsidRDefault="0068535B" w:rsidP="00FB15BF">
      <w:pPr>
        <w:pStyle w:val="NormalHanging12a"/>
        <w:widowControl/>
      </w:pPr>
      <w:r w:rsidRPr="00FA197A">
        <w:t>–</w:t>
      </w:r>
      <w:r w:rsidRPr="00FA197A">
        <w:tab/>
        <w:t>vu la communication de la Commission du 8 novembre 2023 intitulée «Communication de 2023 sur la politique d’élargissement de l’UE» (COM(2023)0690), accompagnée du document de travail des services de la Commission intitulé «Kosovo 2023 Report» (Rapport 2023 concernant le Kosovo) (SWD(202</w:t>
      </w:r>
      <w:r w:rsidR="00FB15BF">
        <w:t>3</w:t>
      </w:r>
      <w:r w:rsidRPr="00FA197A">
        <w:t>)0692),</w:t>
      </w:r>
    </w:p>
    <w:p w:rsidR="0068535B" w:rsidRPr="00FA197A" w:rsidRDefault="0068535B" w:rsidP="00FB15BF">
      <w:pPr>
        <w:pStyle w:val="NormalHanging12a"/>
        <w:widowControl/>
      </w:pPr>
      <w:r w:rsidRPr="00FA197A">
        <w:t>–</w:t>
      </w:r>
      <w:r w:rsidRPr="00FA197A">
        <w:tab/>
        <w:t>vu la communication de la Commission du 8 novembre 2023 intitulée «Un nouveau plan de croissance pour les Balkans occidentaux» (COM(2023)0691),</w:t>
      </w:r>
    </w:p>
    <w:p w:rsidR="0068535B" w:rsidRPr="00FA197A" w:rsidRDefault="0068535B" w:rsidP="00FB15BF">
      <w:pPr>
        <w:pStyle w:val="NormalHanging12a"/>
        <w:widowControl/>
      </w:pPr>
      <w:r w:rsidRPr="00FA197A">
        <w:t>–</w:t>
      </w:r>
      <w:r w:rsidRPr="00FA197A">
        <w:tab/>
        <w:t>vu la communication de la Commission du 20 mars 2024 sur les réformes et les réexamens des politiques avant élargissement (COM(2024)0146),</w:t>
      </w:r>
    </w:p>
    <w:p w:rsidR="0068535B" w:rsidRPr="00FA197A" w:rsidRDefault="0068535B" w:rsidP="00FB15BF">
      <w:pPr>
        <w:pStyle w:val="NormalHanging12a"/>
        <w:widowControl/>
      </w:pPr>
      <w:r w:rsidRPr="00FA197A">
        <w:t>–</w:t>
      </w:r>
      <w:r w:rsidRPr="00FA197A">
        <w:tab/>
        <w:t>vu la communication de la Commission du 30 octobre 2024 intitulée «Communication de 2024 sur la politique d’élargissement de l’UE» (COM(2024)0690), accompagnée du document de travail des services de la Commission intitulé «Kosovo 2024 Report» (Rapport 2024 concernant le Kosovo) (SWD(202</w:t>
      </w:r>
      <w:r w:rsidR="00FB15BF">
        <w:t>4</w:t>
      </w:r>
      <w:r w:rsidRPr="00FA197A">
        <w:t>)0692),</w:t>
      </w:r>
    </w:p>
    <w:p w:rsidR="0068535B" w:rsidRPr="00FA197A" w:rsidRDefault="0068535B" w:rsidP="00FB15BF">
      <w:pPr>
        <w:pStyle w:val="NormalHanging12a"/>
        <w:widowControl/>
      </w:pPr>
      <w:r w:rsidRPr="00FA197A">
        <w:t>–</w:t>
      </w:r>
      <w:r w:rsidRPr="00FA197A">
        <w:tab/>
        <w:t>vu la synthèse générale et les évaluations par pays de la Commission du 31 mai 2023 et du 13 juin 2024 concernant le programme de réforme économique du Kosovo,</w:t>
      </w:r>
    </w:p>
    <w:p w:rsidR="0068535B" w:rsidRPr="00FA197A" w:rsidRDefault="0068535B" w:rsidP="00FB15BF">
      <w:pPr>
        <w:pStyle w:val="NormalHanging12a"/>
        <w:widowControl/>
      </w:pPr>
      <w:r w:rsidRPr="00FA197A">
        <w:t>–</w:t>
      </w:r>
      <w:r w:rsidRPr="00FA197A">
        <w:tab/>
        <w:t>vu les conclusions communes du dialogue économique et financier entre l’Union européenne et les Balkans occidentaux et la Turquie, adoptées par le Conseil le 16 mai 2023, et les conclusions communes du dialogue économique et financier entre l’Union européenne et les partenaires des Balkans occidentaux, la Turquie, la Géorgie, la République de Moldavie et l’Ukraine, adoptées par le Conseil le 14 mai 2024,</w:t>
      </w:r>
    </w:p>
    <w:p w:rsidR="0068535B" w:rsidRPr="00FA197A" w:rsidRDefault="0068535B" w:rsidP="00FB15BF">
      <w:pPr>
        <w:pStyle w:val="NormalHanging12a"/>
        <w:widowControl/>
      </w:pPr>
      <w:r w:rsidRPr="00FA197A">
        <w:t>–</w:t>
      </w:r>
      <w:r w:rsidRPr="00FA197A">
        <w:tab/>
        <w:t>vu la résolution 1244 du Conseil de sécurité de l’Organisation des Nations unies du 10 juin 1999, l’avis consultatif de la Cour internationale de justice du 22 juillet 2010 sur la conformité de la déclaration d’indépendance unilatérale du Kosovo avec le droit international et la résolution 64/298 de l’Assemblée générale des Nations unies du 9 septembre 2010 reconnaissant la teneur dudit avis et saluant la volonté de l’Union de faciliter le dialogue entre la Serbie et le Kosovo,</w:t>
      </w:r>
    </w:p>
    <w:p w:rsidR="0068535B" w:rsidRPr="00FA197A" w:rsidRDefault="0068535B" w:rsidP="00FB15BF">
      <w:pPr>
        <w:pStyle w:val="NormalHanging12a"/>
        <w:widowControl/>
      </w:pPr>
      <w:r w:rsidRPr="00FA197A">
        <w:t>–</w:t>
      </w:r>
      <w:r w:rsidRPr="00FA197A">
        <w:tab/>
        <w:t>vu le premier accord de principe régissant la normalisation des relations entre la Serbie et le Kosovo, conclu le 19 avril 2013, les accords du 25 août 2015 et le dialogue en cours facilité par l’Union européenne en vue de la normalisation des relations entre la Serbie et le Kosovo,</w:t>
      </w:r>
    </w:p>
    <w:p w:rsidR="0068535B" w:rsidRPr="00FA197A" w:rsidRDefault="0068535B" w:rsidP="00FB15BF">
      <w:pPr>
        <w:pStyle w:val="NormalHanging12a"/>
        <w:widowControl/>
      </w:pPr>
      <w:r w:rsidRPr="00FA197A">
        <w:t>–</w:t>
      </w:r>
      <w:r w:rsidRPr="00FA197A">
        <w:tab/>
        <w:t>vu l’accord de Bruxelles du 27 février 2023 et l’accord d’Ohrid du 18 mars 2023, ainsi que l’annexe relative à sa mise en œuvre,</w:t>
      </w:r>
    </w:p>
    <w:p w:rsidR="0068535B" w:rsidRPr="00FA197A" w:rsidRDefault="0068535B" w:rsidP="00FB15BF">
      <w:pPr>
        <w:pStyle w:val="NormalHanging12a"/>
        <w:widowControl/>
      </w:pPr>
      <w:r w:rsidRPr="00FA197A">
        <w:lastRenderedPageBreak/>
        <w:t>–</w:t>
      </w:r>
      <w:r w:rsidRPr="00FA197A">
        <w:tab/>
        <w:t>vu la décision (PESC) 2023/1095 du Conseil du 5 juin 2023 modifiant l’action commune 2008/124/PESC relative à la mission «État de droit» menée par l’Union européenne au Kosovo (EULEX Kosovo)</w:t>
      </w:r>
      <w:r w:rsidRPr="00FA197A">
        <w:rPr>
          <w:vertAlign w:val="superscript"/>
        </w:rPr>
        <w:footnoteReference w:id="5"/>
      </w:r>
      <w:r w:rsidRPr="00FA197A">
        <w:t>, qui prolongeait le mandat de la mission jusqu’au 14 juin 2025,</w:t>
      </w:r>
    </w:p>
    <w:p w:rsidR="0068535B" w:rsidRPr="00FA197A" w:rsidRDefault="0068535B" w:rsidP="00FB15BF">
      <w:pPr>
        <w:pStyle w:val="NormalHanging12a"/>
        <w:widowControl/>
      </w:pPr>
      <w:r w:rsidRPr="00FA197A">
        <w:t>–</w:t>
      </w:r>
      <w:r w:rsidRPr="00FA197A">
        <w:tab/>
        <w:t>vu le règlement (UE) 2023/850 du Parlement européen et du Conseil du 19 avril 2023 modifiant le règlement (UE) 2018/1806 fixant la liste des pays tiers dont les ressortissants sont soumis à l’obligation de visa pour franchir les frontières extérieures des États membres et la liste de ceux dont les ressortissants sont exemptés de cette obligation (Kosovo)</w:t>
      </w:r>
      <w:r w:rsidRPr="00FA197A">
        <w:rPr>
          <w:rStyle w:val="FootnoteReference"/>
        </w:rPr>
        <w:footnoteReference w:id="6"/>
      </w:r>
      <w:r w:rsidRPr="00FA197A">
        <w:t>,</w:t>
      </w:r>
    </w:p>
    <w:p w:rsidR="0068535B" w:rsidRPr="00FA197A" w:rsidRDefault="0068535B" w:rsidP="00FB15BF">
      <w:pPr>
        <w:pStyle w:val="NormalHanging12a"/>
        <w:widowControl/>
      </w:pPr>
      <w:r w:rsidRPr="00FA197A">
        <w:t>–</w:t>
      </w:r>
      <w:r w:rsidRPr="00FA197A">
        <w:tab/>
        <w:t>vu le rapport final de la mission d’observation électorale de l’Union européenne sur les élections municipales organisées en 2021 au Kosovo,</w:t>
      </w:r>
    </w:p>
    <w:p w:rsidR="0068535B" w:rsidRPr="00FA197A" w:rsidRDefault="0068535B" w:rsidP="00FB15BF">
      <w:pPr>
        <w:pStyle w:val="NormalHanging12a"/>
        <w:widowControl/>
        <w:rPr>
          <w:b/>
          <w:szCs w:val="24"/>
        </w:rPr>
      </w:pPr>
      <w:r w:rsidRPr="00FA197A">
        <w:t>–</w:t>
      </w:r>
      <w:r w:rsidRPr="00FA197A">
        <w:tab/>
        <w:t>vu le rapport préliminaire de la mission d’observation électorale de l’Union européenne sur les élections parlementaires organisées en 2025 au Kosovo,</w:t>
      </w:r>
    </w:p>
    <w:p w:rsidR="0068535B" w:rsidRPr="00FA197A" w:rsidRDefault="0068535B" w:rsidP="00FB15BF">
      <w:pPr>
        <w:pStyle w:val="NormalHanging12a"/>
        <w:widowControl/>
      </w:pPr>
      <w:r w:rsidRPr="00FA197A">
        <w:t>–</w:t>
      </w:r>
      <w:r w:rsidRPr="00FA197A">
        <w:tab/>
        <w:t>vu la quatrième réunion du Conseil de stabilisation et d’association entre l’Union européenne et le Kosovo, qui s’est tenue le 7 décembre 2021 à Bruxelles,</w:t>
      </w:r>
    </w:p>
    <w:p w:rsidR="0068535B" w:rsidRPr="00FA197A" w:rsidRDefault="0068535B" w:rsidP="00FB15BF">
      <w:pPr>
        <w:pStyle w:val="NormalHanging12a"/>
        <w:widowControl/>
      </w:pPr>
      <w:r w:rsidRPr="00FA197A">
        <w:t>–</w:t>
      </w:r>
      <w:r w:rsidRPr="00FA197A">
        <w:tab/>
        <w:t>vu ses résolutions antérieures sur le Kosovo,</w:t>
      </w:r>
    </w:p>
    <w:p w:rsidR="0068535B" w:rsidRPr="00FA197A" w:rsidRDefault="0068535B" w:rsidP="00FB15BF">
      <w:pPr>
        <w:pStyle w:val="NormalHanging12a"/>
        <w:widowControl/>
      </w:pPr>
      <w:r w:rsidRPr="00FA197A">
        <w:t>–</w:t>
      </w:r>
      <w:r w:rsidRPr="00FA197A">
        <w:tab/>
        <w:t>vu les recommandations communes adoptées lors de la douzième réunion de la commission parlementaire de stabilisation et d’association UE-Kosovo, qui s’est tenue le 9 décembre 2024,</w:t>
      </w:r>
    </w:p>
    <w:p w:rsidR="0068535B" w:rsidRPr="00FA197A" w:rsidRDefault="0068535B" w:rsidP="00FB15BF">
      <w:pPr>
        <w:pStyle w:val="NormalHanging12a"/>
        <w:widowControl/>
      </w:pPr>
      <w:r w:rsidRPr="00FA197A">
        <w:t>–</w:t>
      </w:r>
      <w:r w:rsidRPr="00FA197A">
        <w:tab/>
        <w:t xml:space="preserve">vu l’indice de perception de la corruption de 2024 de </w:t>
      </w:r>
      <w:proofErr w:type="spellStart"/>
      <w:r w:rsidRPr="00FA197A">
        <w:t>Transparency</w:t>
      </w:r>
      <w:proofErr w:type="spellEnd"/>
      <w:r w:rsidRPr="00FA197A">
        <w:t xml:space="preserve"> International,</w:t>
      </w:r>
    </w:p>
    <w:p w:rsidR="0068535B" w:rsidRPr="00FA197A" w:rsidRDefault="0068535B" w:rsidP="00FB15BF">
      <w:pPr>
        <w:pStyle w:val="NormalHanging12a"/>
        <w:widowControl/>
      </w:pPr>
      <w:r w:rsidRPr="00FA197A">
        <w:t>–</w:t>
      </w:r>
      <w:r w:rsidRPr="00FA197A">
        <w:tab/>
        <w:t>vu le classement mondial 2024 de la liberté de la presse de Reporters sans frontières,</w:t>
      </w:r>
    </w:p>
    <w:p w:rsidR="0068535B" w:rsidRPr="00FA197A" w:rsidRDefault="0068535B" w:rsidP="00FB15BF">
      <w:pPr>
        <w:pStyle w:val="NormalHanging12a"/>
        <w:widowControl/>
      </w:pPr>
      <w:r w:rsidRPr="00FA197A">
        <w:t>–</w:t>
      </w:r>
      <w:r w:rsidRPr="00FA197A">
        <w:tab/>
        <w:t xml:space="preserve">vu le rapport de mars 2024 sur la démocratie 2024 de l’institut </w:t>
      </w:r>
      <w:proofErr w:type="spellStart"/>
      <w:r w:rsidRPr="00FA197A">
        <w:t>Varieties</w:t>
      </w:r>
      <w:proofErr w:type="spellEnd"/>
      <w:r w:rsidRPr="00FA197A">
        <w:t xml:space="preserve"> of </w:t>
      </w:r>
      <w:proofErr w:type="spellStart"/>
      <w:r w:rsidRPr="00FA197A">
        <w:t>Democracy</w:t>
      </w:r>
      <w:proofErr w:type="spellEnd"/>
      <w:r w:rsidRPr="00FA197A">
        <w:t xml:space="preserve"> (V-</w:t>
      </w:r>
      <w:proofErr w:type="spellStart"/>
      <w:r w:rsidRPr="00FA197A">
        <w:t>Dem</w:t>
      </w:r>
      <w:proofErr w:type="spellEnd"/>
      <w:r w:rsidRPr="00FA197A">
        <w:t>),</w:t>
      </w:r>
    </w:p>
    <w:p w:rsidR="0068535B" w:rsidRPr="00FA197A" w:rsidRDefault="0068535B" w:rsidP="00FB15BF">
      <w:pPr>
        <w:pStyle w:val="NormalHanging12a"/>
        <w:widowControl/>
      </w:pPr>
      <w:r w:rsidRPr="00FA197A">
        <w:t>–</w:t>
      </w:r>
      <w:r w:rsidRPr="00FA197A">
        <w:tab/>
        <w:t>vu l’article 55 de son règlement intérieur,</w:t>
      </w:r>
    </w:p>
    <w:p w:rsidR="0068535B" w:rsidRPr="00FA197A" w:rsidRDefault="0068535B" w:rsidP="00FB15BF">
      <w:pPr>
        <w:pStyle w:val="NormalHanging12a"/>
        <w:widowControl/>
      </w:pPr>
      <w:r w:rsidRPr="00FA197A">
        <w:t>–</w:t>
      </w:r>
      <w:r w:rsidRPr="00FA197A">
        <w:tab/>
        <w:t>vu le rapport de la commission des affaires étrangères (A10-0075/2025),</w:t>
      </w:r>
    </w:p>
    <w:p w:rsidR="0068535B" w:rsidRPr="00FA197A" w:rsidRDefault="0068535B" w:rsidP="00FB15BF">
      <w:pPr>
        <w:pStyle w:val="NormalHanging12a"/>
        <w:widowControl/>
      </w:pPr>
      <w:r w:rsidRPr="00FA197A">
        <w:t>A.</w:t>
      </w:r>
      <w:r w:rsidRPr="00FA197A">
        <w:tab/>
        <w:t>considérant que la politique d’élargissement constitue l’un des instruments de politique étrangère les plus efficaces de l’Union et l’une des politiques qui ont donné le plus de résultats pour ce qui est de favoriser et d’encourager des réformes fondamentales et qu’elle représente un investissement géopolitique stratégique dans la paix, la stabilité et la sécurité à long terme sur l’ensemble du continent;</w:t>
      </w:r>
    </w:p>
    <w:p w:rsidR="0068535B" w:rsidRPr="00FA197A" w:rsidRDefault="0068535B" w:rsidP="00FB15BF">
      <w:pPr>
        <w:pStyle w:val="NormalHanging12a"/>
        <w:widowControl/>
      </w:pPr>
      <w:r w:rsidRPr="00FA197A">
        <w:t>B.</w:t>
      </w:r>
      <w:r w:rsidRPr="00FA197A">
        <w:tab/>
        <w:t>considérant que la démocratie, les droits de l’homme et l’état de droit sont les valeurs fondamentales sur lesquelles repose l’Union;</w:t>
      </w:r>
    </w:p>
    <w:p w:rsidR="0068535B" w:rsidRPr="00FA197A" w:rsidRDefault="0068535B" w:rsidP="00FB15BF">
      <w:pPr>
        <w:pStyle w:val="NormalHanging12a"/>
        <w:widowControl/>
      </w:pPr>
      <w:r w:rsidRPr="00FA197A">
        <w:t>C.</w:t>
      </w:r>
      <w:r w:rsidRPr="00FA197A">
        <w:tab/>
        <w:t xml:space="preserve">considérant que le processus d’élargissement de l’Union est un outil stratégique pour renforcer la stabilité, la démocratie et le développement économique en Europe, que chaque pays concerné par l’élargissement est évalué sur ses mérites propres et que la </w:t>
      </w:r>
      <w:r w:rsidRPr="00FA197A">
        <w:lastRenderedPageBreak/>
        <w:t>mise en œuvre des réformes nécessaires, ainsi que le respect de l’ensemble des critères et des valeurs européennes communes, conditionnent le calendrier et permettent de se prononcer sur les progrès réalisés sur la voie de l’adhésion;</w:t>
      </w:r>
      <w:r w:rsidRPr="00FA197A">
        <w:rPr>
          <w:b/>
        </w:rPr>
        <w:t xml:space="preserve"> </w:t>
      </w:r>
      <w:r w:rsidRPr="00FA197A">
        <w:t>que la voie du Kosovo vers l’adhésion à l’Union dépend également de la normalisation de ses relations avec la Serbie;</w:t>
      </w:r>
    </w:p>
    <w:p w:rsidR="0068535B" w:rsidRPr="00FA197A" w:rsidRDefault="0068535B" w:rsidP="00FB15BF">
      <w:pPr>
        <w:pStyle w:val="NormalHanging12a"/>
        <w:widowControl/>
      </w:pPr>
      <w:r w:rsidRPr="00FA197A">
        <w:t>D.</w:t>
      </w:r>
      <w:r w:rsidRPr="00FA197A">
        <w:tab/>
        <w:t>considérant que l’Union est le principal pourvoyeur de soutien financier au Kosovo;</w:t>
      </w:r>
    </w:p>
    <w:p w:rsidR="0068535B" w:rsidRPr="00FA197A" w:rsidRDefault="0068535B" w:rsidP="00FB15BF">
      <w:pPr>
        <w:pStyle w:val="NormalHanging12a"/>
        <w:widowControl/>
        <w:rPr>
          <w:szCs w:val="24"/>
        </w:rPr>
      </w:pPr>
      <w:r w:rsidRPr="00FA197A">
        <w:t>E.</w:t>
      </w:r>
      <w:r w:rsidRPr="00FA197A">
        <w:tab/>
        <w:t xml:space="preserve">considérant que le Kosovo a fait l’objet d’une ingérence étrangère et de campagnes de désinformation, en particulier de la part de la Russie, notamment par le biais de médias nationalistes serbes, et de la Chine, grâce à son pouvoir d’influence, visant à déstabiliser ses institutions démocratiques, à mettre en péril la cohésion sociale et à inciter à la violence ethnique; que l’attentat de </w:t>
      </w:r>
      <w:proofErr w:type="spellStart"/>
      <w:r w:rsidRPr="00FA197A">
        <w:t>Banjska</w:t>
      </w:r>
      <w:proofErr w:type="spellEnd"/>
      <w:r w:rsidRPr="00FA197A">
        <w:t>/</w:t>
      </w:r>
      <w:proofErr w:type="spellStart"/>
      <w:r w:rsidRPr="00FA197A">
        <w:t>Banjskë</w:t>
      </w:r>
      <w:proofErr w:type="spellEnd"/>
      <w:r w:rsidRPr="00FA197A">
        <w:t xml:space="preserve"> en septembre 2023 a été suivi d’une vaste campagne de désinformation qui a encore exacerbé les tensions; que les autorités du Kosovo ont adopté la loi sur la commission indépendante des médias (IMC) en juillet 2024; qu’en mai 2024, le Conseil de l’Europe a publié un avis juridique sur le projet de loi relatif à l’IMC, exprimant des préoccupations quant à certains aspects de ce texte et formulant des recommandations sur la manière d’y remédier; que le texte final de la loi sur l’IMC n’a pas tenu compte de la plupart des recommandations formulées;</w:t>
      </w:r>
    </w:p>
    <w:p w:rsidR="0068535B" w:rsidRPr="00FA197A" w:rsidRDefault="0068535B" w:rsidP="00FB15BF">
      <w:pPr>
        <w:pStyle w:val="NormalHanging12a"/>
        <w:widowControl/>
        <w:rPr>
          <w:b/>
          <w:szCs w:val="24"/>
        </w:rPr>
      </w:pPr>
      <w:r w:rsidRPr="00FA197A">
        <w:t>F.</w:t>
      </w:r>
      <w:r w:rsidRPr="00FA197A">
        <w:tab/>
        <w:t>considérant que la mission «État de droit» menée par l’Union européenne au Kosovo (EULEX) est la plus grande mission civile jamais déployée dans le cadre de la politique de sécurité et de défense commune de l’Union;</w:t>
      </w:r>
    </w:p>
    <w:p w:rsidR="0068535B" w:rsidRPr="00FA197A" w:rsidRDefault="0068535B" w:rsidP="00FB15BF">
      <w:pPr>
        <w:pStyle w:val="NormalHanging12a"/>
        <w:widowControl/>
        <w:rPr>
          <w:szCs w:val="24"/>
        </w:rPr>
      </w:pPr>
      <w:r w:rsidRPr="00FA197A">
        <w:t>G.</w:t>
      </w:r>
      <w:r w:rsidRPr="00FA197A">
        <w:tab/>
        <w:t>considérant qu’en 2018 et 2023, des pétitions ont été signées par plus de 500 personnes qui se définissent elles-mêmes comme étant historiquement bulgares;</w:t>
      </w:r>
    </w:p>
    <w:p w:rsidR="0068535B" w:rsidRPr="00FA197A" w:rsidRDefault="0068535B" w:rsidP="00FB15BF">
      <w:pPr>
        <w:pStyle w:val="Normal12a24b"/>
        <w:widowControl/>
        <w:spacing w:before="0"/>
        <w:ind w:left="567" w:hanging="567"/>
      </w:pPr>
      <w:r w:rsidRPr="00FA197A">
        <w:rPr>
          <w:rStyle w:val="BoldItalic"/>
        </w:rPr>
        <w:t>Engagement en faveur de l’adhésion à l’Union européenne</w:t>
      </w:r>
    </w:p>
    <w:p w:rsidR="0068535B" w:rsidRPr="00FA197A" w:rsidRDefault="0068535B" w:rsidP="00FB15BF">
      <w:pPr>
        <w:pStyle w:val="NormalHanging12a"/>
        <w:widowControl/>
      </w:pPr>
      <w:r w:rsidRPr="00FA197A">
        <w:t>1.</w:t>
      </w:r>
      <w:r w:rsidRPr="00FA197A">
        <w:tab/>
        <w:t>salue l’engagement du Kosovo en faveur de l’adhésion à l’Union européenne, qui reflète un choix géopolitique stratégique clair, et le soutien constant et résolu de ses citoyens à la trajectoire européenne du Kosovo; réaffirme que le Kosovo a fait preuve de constance dans ses efforts d’intégration à l’Union européenne;</w:t>
      </w:r>
    </w:p>
    <w:p w:rsidR="0068535B" w:rsidRPr="00FA197A" w:rsidRDefault="0068535B" w:rsidP="00FB15BF">
      <w:pPr>
        <w:pStyle w:val="NormalHanging12a"/>
        <w:widowControl/>
      </w:pPr>
      <w:r w:rsidRPr="00FA197A">
        <w:t>2.</w:t>
      </w:r>
      <w:r w:rsidRPr="00FA197A">
        <w:tab/>
        <w:t>se déclare à nouveau fermement convaincu que l’avenir du Kosovo réside dans l’Union et que tous les efforts déployés pour sortir le Kosovo de la «zone grise» sont dans l’intérêt de la population des deux parties, en particulier dans le contexte des dynamiques géopolitiques actuelles dans la région, des bouleversements majeurs rapides dans la politique mondiale et de la rivalité croissante avec les régimes autoritaires;</w:t>
      </w:r>
    </w:p>
    <w:p w:rsidR="0068535B" w:rsidRPr="00FA197A" w:rsidRDefault="0068535B" w:rsidP="00FB15BF">
      <w:pPr>
        <w:pStyle w:val="NormalHanging12a"/>
        <w:widowControl/>
        <w:rPr>
          <w:szCs w:val="24"/>
        </w:rPr>
      </w:pPr>
      <w:r w:rsidRPr="00FA197A">
        <w:t>3.</w:t>
      </w:r>
      <w:r w:rsidRPr="00FA197A">
        <w:tab/>
        <w:t>soutient la demande d’adhésion du Kosovo à l’Union, qui reflète le consensus général entre les partis sur l’intégration européenne et un choix stratégique clair sur le plan géopolitique; réitère son appel aux États membres au sein du Conseil pour qu’ils chargent la Commission de présenter son questionnaire et de soumettre un avis sur le bien-fondé de la demande d’adhésion du pays; demande aux cinq États membres qui n’ont pas encore reconnu l’indépendance du Kosovo de le faire sans délai et de lui permettre ainsi d’avancer sur la voie de l’adhésion à l’Union sur un pied d’égalité avec les autres pays candidats;  rappelle l’avis consultatif de la Cour internationale de justice (CIJ) du 22 juillet 2010, qui stipule que la déclaration unilatérale d’indépendance du Kosovo ne viole pas le droit international général;</w:t>
      </w:r>
    </w:p>
    <w:p w:rsidR="0068535B" w:rsidRPr="00FA197A" w:rsidRDefault="0068535B" w:rsidP="00FB15BF">
      <w:pPr>
        <w:pStyle w:val="NormalHanging12a"/>
        <w:widowControl/>
      </w:pPr>
      <w:r w:rsidRPr="00FA197A">
        <w:lastRenderedPageBreak/>
        <w:t>4.</w:t>
      </w:r>
      <w:r w:rsidRPr="00FA197A">
        <w:tab/>
        <w:t>rappelle que l’adhésion à l’Union européenne repose sur un processus fondé sur le mérite, subordonné à la mise en œuvre rigoureuse de réformes conformes aux normes européennes les plus élevées, notamment aux critères de Copenhague et à l’état de droit, et assure l’application effective des lois dans la pratique; encourage le Kosovo à poursuivre ses efforts à cet égard, en renforçant son engagement en faveur des valeurs et des normes de l’Union; souligne que l’élargissement suppose également une préparation approfondie des nouveaux membres potentiels, dans le respect de la stabilité économique du marché intérieur, des normes sociales et environnementales ainsi que du bon fonctionnement des institutions européennes;</w:t>
      </w:r>
    </w:p>
    <w:p w:rsidR="0068535B" w:rsidRPr="00FA197A" w:rsidRDefault="0068535B" w:rsidP="00FB15BF">
      <w:pPr>
        <w:pStyle w:val="NormalHanging12a"/>
        <w:widowControl/>
      </w:pPr>
      <w:r w:rsidRPr="00FA197A">
        <w:t>5.</w:t>
      </w:r>
      <w:r w:rsidRPr="00FA197A">
        <w:tab/>
        <w:t>se félicite de la libéralisation du régime des visas, adoptée en avril 2023 et en vigueur depuis le 1</w:t>
      </w:r>
      <w:r w:rsidRPr="00FA197A">
        <w:rPr>
          <w:vertAlign w:val="superscript"/>
        </w:rPr>
        <w:t>er</w:t>
      </w:r>
      <w:r w:rsidRPr="00FA197A">
        <w:t> janvier 2024, témoin concret des relations toujours plus étroites du Kosovo avec l’Union européenne et preuve des efforts consentis par le Kosovo sur la voie de l’intégration européenne; se félicite de la décision du Kosovo d’abolir unilatéralement l’obligation de visa pour les citoyens de Bosnie-Herzégovine; se félicite de la décision de l’Espagne de reconnaître les passeports ordinaires délivrés par le Kosovo comme documents de voyage valables depuis janvier 2024;</w:t>
      </w:r>
    </w:p>
    <w:p w:rsidR="0068535B" w:rsidRPr="00FA197A" w:rsidRDefault="0068535B" w:rsidP="00FB15BF">
      <w:pPr>
        <w:pStyle w:val="NormalHanging12a"/>
        <w:widowControl/>
      </w:pPr>
      <w:r w:rsidRPr="00FA197A">
        <w:t>6.</w:t>
      </w:r>
      <w:r w:rsidRPr="00FA197A">
        <w:tab/>
        <w:t>prend acte des progrès tangibles accomplis en ce qui concerne la justice, la liberté et la sécurité, la lutte contre la criminalité organisée et la mise en place d’une économie de marché viable; regrette les progrès limités et appelle à une accélération des réformes dans le domaine de l’état de droit; se félicite de l’ambition du Kosovo de faire avancer la mise en œuvre des réformes, qui restent la priorité du pays; regrette l’absence de quorum décisionnel à l’Assemblée nationale du Kosovo, due au boycott de ses travaux par des partis politiques en amont des élections parlementaires;</w:t>
      </w:r>
    </w:p>
    <w:p w:rsidR="0068535B" w:rsidRPr="00FA197A" w:rsidRDefault="0068535B" w:rsidP="00FB15BF">
      <w:pPr>
        <w:pStyle w:val="NormalHanging12a"/>
        <w:widowControl/>
      </w:pPr>
      <w:r w:rsidRPr="00FA197A">
        <w:t>7.</w:t>
      </w:r>
      <w:r w:rsidRPr="00FA197A">
        <w:tab/>
        <w:t>regrette la politisation d’institutions telles que la Commission électorale centrale et l’IMC;</w:t>
      </w:r>
    </w:p>
    <w:p w:rsidR="0068535B" w:rsidRPr="00FA197A" w:rsidRDefault="0068535B" w:rsidP="00FB15BF">
      <w:pPr>
        <w:pStyle w:val="NormalHanging12a"/>
        <w:widowControl/>
      </w:pPr>
      <w:r w:rsidRPr="00FA197A">
        <w:t>8.</w:t>
      </w:r>
      <w:r w:rsidRPr="00FA197A">
        <w:tab/>
        <w:t>salue l’alignement en cours du Kosovo sur la politique étrangère et de sécurité de l’Union, en particulier sa condamnation ferme de la guerre d’agression menée par la Russie contre l’Ukraine, et sa mise en œuvre des mesures restrictives de l’Union à l’encontre de la Russie et de la Biélorussie, conformément à la politique étrangère de l’Union, ainsi que son soutien à l’Ukraine par le biais de programmes d’aide humanitaire militaire, qui confirment que le Kosovo est un partenaire fiable et précieux, engagé en faveur de l’intégration à l’Union, qui prend une orientation géopolitique claire, fermement ancrée dans l’alliance européenne et transatlantique;</w:t>
      </w:r>
    </w:p>
    <w:p w:rsidR="0068535B" w:rsidRPr="00FA197A" w:rsidRDefault="0068535B" w:rsidP="00FB15BF">
      <w:pPr>
        <w:pStyle w:val="NormalHanging12a"/>
        <w:widowControl/>
        <w:rPr>
          <w:szCs w:val="24"/>
        </w:rPr>
      </w:pPr>
      <w:r w:rsidRPr="00FA197A">
        <w:t>9.</w:t>
      </w:r>
      <w:r w:rsidRPr="00FA197A">
        <w:tab/>
        <w:t>demande la levée immédiate des mesures prises par l’Union à l’encontre du Kosovo, qui ne sont plus justifiées puisque le Kosovo a rempli les exigences de l’Union et puisqu’elles sont en flagrante contradiction avec l’engagement démontré par le Kosovo en faveur des valeurs européennes et de l’alignement sur les politiques de l’Union, ce qui limite l’incidence du partenariat de l’Union avec le Kosovo et entrave la reprise du dialogue de bonne foi entre Belgrade et Pristina;</w:t>
      </w:r>
    </w:p>
    <w:p w:rsidR="0068535B" w:rsidRPr="00FA197A" w:rsidRDefault="0068535B" w:rsidP="00FB15BF">
      <w:pPr>
        <w:pStyle w:val="NormalHanging12a"/>
        <w:widowControl/>
      </w:pPr>
      <w:r w:rsidRPr="00FA197A">
        <w:t>10.</w:t>
      </w:r>
      <w:r w:rsidRPr="00FA197A">
        <w:tab/>
        <w:t>réaffirme son soutien sans faille à la demande d’adhésion du Kosovo au Conseil de l’Europe et à son projet d’orientation stratégique d’adhérer au programme de partenariat pour la paix de l’OTAN, et à ses candidatures à l’adhésion à d’autres organisations internationales; invite les organisations concernées et les États membres à soutenir de manière proactive ces différentes candidatures du Kosovo;</w:t>
      </w:r>
      <w:r w:rsidRPr="00FA197A">
        <w:rPr>
          <w:color w:val="FF0000"/>
        </w:rPr>
        <w:t xml:space="preserve"> </w:t>
      </w:r>
      <w:r w:rsidRPr="00FA197A">
        <w:t xml:space="preserve">invite la Commission et le bureau de l’Union au Kosovo à redoubler d’efforts pour améliorer la visibilité et mieux </w:t>
      </w:r>
      <w:r w:rsidRPr="00FA197A">
        <w:lastRenderedPageBreak/>
        <w:t>faire connaître le rôle, les implications et les bénéfices du partenariat plus étroit entre l’Union et le Kosovo;</w:t>
      </w:r>
    </w:p>
    <w:p w:rsidR="0068535B" w:rsidRPr="00FA197A" w:rsidRDefault="0068535B" w:rsidP="00FB15BF">
      <w:pPr>
        <w:pStyle w:val="NormalHanging12a"/>
        <w:widowControl/>
        <w:rPr>
          <w:b/>
          <w:i/>
        </w:rPr>
      </w:pPr>
      <w:r w:rsidRPr="00FA197A">
        <w:t>11.</w:t>
      </w:r>
      <w:r w:rsidRPr="00FA197A">
        <w:rPr>
          <w:b/>
          <w:i/>
        </w:rPr>
        <w:tab/>
      </w:r>
      <w:r w:rsidRPr="00FA197A">
        <w:t>se félicite que le Kosovo ait réduit la charge administrative en simplifiant les procédures grâce à la mise en œuvre du programme correspondant pour la période 2022-2027; note que le cadre stratégique pour l’administration publique est en place, mais qu’il n’est pas mis en œuvre de manière efficace; regrette que les retards dans la réforme de l’administration publique aient affaibli la gestion des fonds de l’Union et que la responsabilisation du secteur public demeure insuffisante; invite le Kosovo à améliorer l’administration publique et le système de fonction publique fondé sur le mérite en modifiant et en adoptant la loi sur les fonctionnaires et la loi sur le conseil de surveillance indépendant de la fonction publique;</w:t>
      </w:r>
    </w:p>
    <w:p w:rsidR="0068535B" w:rsidRPr="00FA197A" w:rsidRDefault="0068535B" w:rsidP="00FB15BF">
      <w:pPr>
        <w:pStyle w:val="NormalHanging12a"/>
        <w:widowControl/>
      </w:pPr>
      <w:r w:rsidRPr="00FA197A">
        <w:t>12.</w:t>
      </w:r>
      <w:r w:rsidRPr="00FA197A">
        <w:tab/>
        <w:t>regrette que l’arrêt de la Cour constitutionnelle du Kosovo concernant la loi sur les salaires, qui unifie le système actuel de rémunération des fonctionnaires, ne soit pas encore appliqué; invite le gouvernement du Kosovo à réviser sa législation sur la gestion des finances publiques afin de répondre aux normes internationales et d’intégrer la méthodologie des investissements publics dans la législation révisée;</w:t>
      </w:r>
    </w:p>
    <w:p w:rsidR="0068535B" w:rsidRPr="00FA197A" w:rsidRDefault="0068535B" w:rsidP="00FB15BF">
      <w:pPr>
        <w:pStyle w:val="NormalHanging12a"/>
        <w:widowControl/>
        <w:rPr>
          <w:b/>
          <w:i/>
        </w:rPr>
      </w:pPr>
      <w:r w:rsidRPr="00FA197A">
        <w:rPr>
          <w:b/>
          <w:i/>
        </w:rPr>
        <w:t>Démocratie et état de droit</w:t>
      </w:r>
    </w:p>
    <w:p w:rsidR="0068535B" w:rsidRDefault="0068535B" w:rsidP="00FB15BF">
      <w:pPr>
        <w:pStyle w:val="NormalHanging12a"/>
        <w:widowControl/>
      </w:pPr>
      <w:r w:rsidRPr="00FA197A">
        <w:t>13.</w:t>
      </w:r>
      <w:r w:rsidRPr="00FA197A">
        <w:tab/>
        <w:t>se félicite des progrès importants et encourageants accomplis aux fins de donner suite à de nombreuses recommandations de longue date émises par la mission d’observation électorale de l’Union (MOE UE) et de présenter une loi consensuelle sur les élections législatives; note que ces progrès constituent une base adéquate pour la tenue d’élections démocratiques, conformément aux normes internationales et régionales; remarque qu’à la suite d’une invitation de la présidente du Kosovo, l’Union a déployé une mission d’observation électorale, à laquelle a participé une délégation d’observateurs composée de députés au Parlement européen, en vue d’observer les élections législatives organisées au Kosovo le 9 février 2025;</w:t>
      </w:r>
      <w:r w:rsidRPr="00FA197A">
        <w:rPr>
          <w:b/>
        </w:rPr>
        <w:t xml:space="preserve"> </w:t>
      </w:r>
      <w:r w:rsidRPr="00FA197A">
        <w:t>se félicite des conclusions de la mission d’observation électorale de l’Union, qui confirment que les élections du 9 février 2025 se sont déroulées de manière pacifique, libre et équitable, avec la participation de toutes les communautés du Kosovo; regrette la rhétorique virulente des partis politiques pendant la campagne; prend note des problèmes techniques rencontrés lors du dépouillement et encourage les autorités du Kosovo à redoubler d’efforts pour améliorer l’organisation des prochaines élections; note l’absence de véritable pluralisme politique au sein de la communauté serbe du Kosovo lors des élections législatives, malgré la présence de plusieurs listes électorales serbes du Kosovo; se déclare préoccupé par les informations faisant état de pressions continues exercées par Belgrade sur les électeurs de la communauté serbe; condamne l’ingérence répétée de l’envoyé spécial américain Richard </w:t>
      </w:r>
      <w:proofErr w:type="spellStart"/>
      <w:r w:rsidRPr="00FA197A">
        <w:t>Grenell</w:t>
      </w:r>
      <w:proofErr w:type="spellEnd"/>
      <w:r w:rsidRPr="00FA197A">
        <w:t xml:space="preserve"> dans la campagne électorale;</w:t>
      </w:r>
    </w:p>
    <w:p w:rsidR="00942F44" w:rsidRPr="00F04EE7" w:rsidRDefault="00942F44" w:rsidP="00FB15BF">
      <w:pPr>
        <w:pStyle w:val="NormalHanging12a"/>
        <w:widowControl/>
        <w:rPr>
          <w:szCs w:val="24"/>
        </w:rPr>
      </w:pPr>
      <w:r w:rsidRPr="00F04EE7">
        <w:t>14.</w:t>
      </w:r>
      <w:r w:rsidRPr="00AF389F">
        <w:tab/>
      </w:r>
      <w:r w:rsidRPr="00F04EE7">
        <w:t xml:space="preserve">constate avec inquiétude l’impasse politique causée par la fragmentation du paysage politique et la non-élection, à ce jour, d’un président du Parlement, ce qui </w:t>
      </w:r>
      <w:r w:rsidR="00D76AFA">
        <w:t>empêche</w:t>
      </w:r>
      <w:r w:rsidRPr="00F04EE7">
        <w:t xml:space="preserve"> la formation d’un gouvernement à la suite des élections législatives du 9 février 2025 et retarde la lecture parlementaire de plusieurs textes budgétaires; encourage les partis politiques à collaborer pour sortir de cette impasse le plus rapidement possible;</w:t>
      </w:r>
    </w:p>
    <w:p w:rsidR="0068535B" w:rsidRPr="00FA197A" w:rsidRDefault="00942F44" w:rsidP="00FB15BF">
      <w:pPr>
        <w:pStyle w:val="NormalHanging12a"/>
        <w:widowControl/>
      </w:pPr>
      <w:r>
        <w:t>15</w:t>
      </w:r>
      <w:r w:rsidR="0068535B" w:rsidRPr="00FA197A">
        <w:t>.</w:t>
      </w:r>
      <w:r w:rsidR="0068535B" w:rsidRPr="00FA197A">
        <w:tab/>
        <w:t xml:space="preserve">note avec inquiétude que la loi sur les élections locales et la loi sur les élections générales ne sont toujours pas mises en œuvre ni harmonisées avec la loi sur l’égalité de </w:t>
      </w:r>
      <w:r w:rsidR="0068535B" w:rsidRPr="00FA197A">
        <w:lastRenderedPageBreak/>
        <w:t>genre, qui prévoit une représentation égale des hommes et des femmes à hauteur de 50 %; regrette que les femmes continuent d’être sous-représentées;</w:t>
      </w:r>
    </w:p>
    <w:p w:rsidR="0068535B" w:rsidRPr="00FA197A" w:rsidRDefault="00942F44" w:rsidP="00FB15BF">
      <w:pPr>
        <w:pStyle w:val="NormalHanging12a"/>
        <w:widowControl/>
      </w:pPr>
      <w:r>
        <w:t>16</w:t>
      </w:r>
      <w:r w:rsidR="0068535B" w:rsidRPr="00FA197A">
        <w:t>.</w:t>
      </w:r>
      <w:r w:rsidR="0068535B" w:rsidRPr="00FA197A">
        <w:tab/>
        <w:t>se félicite de l’adoption de la loi sur le bureau du procureur spécial et des progrès accomplis en ce qui concerne le jugement des affaires de corruption;</w:t>
      </w:r>
      <w:r w:rsidR="0068535B" w:rsidRPr="00FA197A">
        <w:rPr>
          <w:b/>
          <w:i/>
        </w:rPr>
        <w:t xml:space="preserve"> </w:t>
      </w:r>
      <w:r w:rsidR="0068535B" w:rsidRPr="00FA197A">
        <w:t>salue le travail actif du bureau du procureur spécial dans la résolution de sept affaires de crimes de guerre; demande que soit clarifiée la répartition des compétences entre le bureau du procureur spécial et le parquet ordinaire en matière d’enquêtes et de poursuites; invite le Kosovo à continuer de renforcer le bureau du procureur spécial en améliorant sa capacité à enquêter et à poursuivre les affaires de criminalité organisée les plus médiatisées; invite la police et le bureau du procureur spécial à collaborer étroitement pour élaborer des stratégies permettant d’enquêter plus efficacement, avec une répartition claire des responsabilités;</w:t>
      </w:r>
    </w:p>
    <w:p w:rsidR="0068535B" w:rsidRPr="00FA197A" w:rsidRDefault="00942F44" w:rsidP="00FB15BF">
      <w:pPr>
        <w:pStyle w:val="NormalHanging12a"/>
        <w:widowControl/>
        <w:rPr>
          <w:bCs/>
          <w:iCs/>
        </w:rPr>
      </w:pPr>
      <w:r>
        <w:t>17</w:t>
      </w:r>
      <w:r w:rsidR="0068535B" w:rsidRPr="00FA197A">
        <w:t>.</w:t>
      </w:r>
      <w:r w:rsidR="0068535B" w:rsidRPr="00FA197A">
        <w:tab/>
        <w:t>prend note du fait que le Kosovo a amélioré sa position dans l’indice de perception de la corruption, étant donné qu’il a progressé de 10 places depuis l’année dernière, et considère qu’il s’agit d’une évolution positive, tout en reconnaissant que cette évolution s’explique à la fois par des baisses des scores d’autres pays et, de manière plus significative, par l’adoption d’une législation de qualité, mais que ce score reste toutefois largement insatisfaisant; souligne que, pour gagner la confiance des citoyens, il convient non seulement de mener des réformes législatives, mais également de présenter des résultats visibles en matière d’enquêtes, de poursuites et de condamnations dans les affaires de corruption à tous les niveaux; regrette que le Kosovo ne dispose pas d’une stratégie de lutte contre la corruption depuis 2019 et demande instamment que des efforts supplémentaires soient déployés pour la finaliser en priorité; rappelle qu’un engagement politique fort est nécessaire pour établir un bilan solide en matière de lutte contre la corruption de haut niveau; rappelle qu’un engagement politique fort est nécessaire pour établir un bilan solide en matière de lutte contre la corruption de haut niveau;</w:t>
      </w:r>
    </w:p>
    <w:p w:rsidR="0068535B" w:rsidRPr="00FA197A" w:rsidRDefault="00942F44" w:rsidP="00FB15BF">
      <w:pPr>
        <w:pStyle w:val="NormalHanging12a"/>
        <w:widowControl/>
      </w:pPr>
      <w:r>
        <w:t>18</w:t>
      </w:r>
      <w:r w:rsidR="0068535B" w:rsidRPr="00FA197A">
        <w:t>.</w:t>
      </w:r>
      <w:r w:rsidR="0068535B" w:rsidRPr="00FA197A">
        <w:tab/>
        <w:t>se déclare vivement préoccupé par les vulnérabilités systémiques du système judiciaire kosovar, notamment en ce qui concerne l’indépendance du système judiciaire et le respect de la séparation des pouvoirs; exprime une nouvelle fois son inquiétude en ce qui concerne le retard pris dans des procès et les critiques inc</w:t>
      </w:r>
      <w:r w:rsidR="0068535B" w:rsidRPr="00AF389F">
        <w:t xml:space="preserve">essantes formulées par des représentants gouvernementaux à l’égard de décisions judiciaires spécifiques; </w:t>
      </w:r>
      <w:r w:rsidRPr="00F04EE7">
        <w:t>se félicite qu’en décembre 2024</w:t>
      </w:r>
      <w:r w:rsidR="0068535B" w:rsidRPr="00AF389F">
        <w:t xml:space="preserve">, le gouvernement </w:t>
      </w:r>
      <w:r w:rsidRPr="00F04EE7">
        <w:t>ait présenté son projet de loi</w:t>
      </w:r>
      <w:r w:rsidRPr="00AF389F">
        <w:t xml:space="preserve"> </w:t>
      </w:r>
      <w:r w:rsidR="0068535B" w:rsidRPr="00AF389F">
        <w:t>sur les réformes judiciaires</w:t>
      </w:r>
      <w:r w:rsidRPr="00AF389F">
        <w:t xml:space="preserve"> </w:t>
      </w:r>
      <w:r w:rsidRPr="00F04EE7">
        <w:t>à la Commission de Venise et que le premier avis ait été émis par cette dernière le 18 mars 2025</w:t>
      </w:r>
      <w:r w:rsidR="0068535B" w:rsidRPr="00AF389F">
        <w:t xml:space="preserve">; invite le Kosovo à veiller à ce que la législation régissant l’intégrité et la responsabilité du pouvoir judiciaire soit conforme aux normes </w:t>
      </w:r>
      <w:r w:rsidR="0068535B" w:rsidRPr="00FA197A">
        <w:t>européennes et aux recommandations de la Commission de Venise; appelle le gouvernement du Kosovo à allouer un budget adéquat au système judiciaire; se félicite de la création du tribunal de commerce, des progrès réalisés dans le recrutement de nouveaux juges et procureurs dans le cadre d’un processus transparent et fondé sur le mérite, ainsi que de l’amélioration générale de la transparence;</w:t>
      </w:r>
    </w:p>
    <w:p w:rsidR="0068535B" w:rsidRPr="00FA197A" w:rsidRDefault="00942F44" w:rsidP="00FB15BF">
      <w:pPr>
        <w:pStyle w:val="NormalHanging12a"/>
        <w:widowControl/>
        <w:rPr>
          <w:szCs w:val="24"/>
        </w:rPr>
      </w:pPr>
      <w:r>
        <w:t>19</w:t>
      </w:r>
      <w:r w:rsidR="0068535B" w:rsidRPr="00FA197A">
        <w:t>.</w:t>
      </w:r>
      <w:r w:rsidR="0068535B" w:rsidRPr="00FA197A">
        <w:tab/>
        <w:t xml:space="preserve">se félicite de la participation des Serbes du Kosovo aux élections législatives et encourage leurs représentants élus à jouer un rôle actif dans le cadre législatif du Kosovo, afin de contribuer à l’avenir européen du pays; regrette cependant le boycott des partis représentant les Serbes du Kosovo lors des élections locales d’avril 2023 ainsi que le retrait des Serbes du Kosovo des institutions du pays; se déclare préoccupé par </w:t>
      </w:r>
      <w:r w:rsidR="0068535B" w:rsidRPr="00FA197A">
        <w:lastRenderedPageBreak/>
        <w:t xml:space="preserve">l’ingérence de la Serbie dans les élections législatives par l’intermédiaire de </w:t>
      </w:r>
      <w:proofErr w:type="spellStart"/>
      <w:r w:rsidR="0068535B" w:rsidRPr="00FA197A">
        <w:t>Srpska</w:t>
      </w:r>
      <w:proofErr w:type="spellEnd"/>
      <w:r w:rsidR="0068535B" w:rsidRPr="00FA197A">
        <w:t> Lista (SL);</w:t>
      </w:r>
    </w:p>
    <w:p w:rsidR="0068535B" w:rsidRPr="00FA197A" w:rsidRDefault="00942F44" w:rsidP="00FB15BF">
      <w:pPr>
        <w:pStyle w:val="NormalHanging12a"/>
        <w:widowControl/>
        <w:rPr>
          <w:b/>
        </w:rPr>
      </w:pPr>
      <w:r>
        <w:t>20</w:t>
      </w:r>
      <w:r w:rsidR="0068535B" w:rsidRPr="00FA197A">
        <w:t>.</w:t>
      </w:r>
      <w:r w:rsidR="0068535B" w:rsidRPr="00FA197A">
        <w:tab/>
        <w:t xml:space="preserve">se félicite de la mise en œuvre, en mars 2024, de l’arrêt de 2016 de la Cour constitutionnelle concernant la propriété du terrain du monastère de </w:t>
      </w:r>
      <w:proofErr w:type="spellStart"/>
      <w:r w:rsidR="0068535B" w:rsidRPr="00FA197A">
        <w:t>Visoki</w:t>
      </w:r>
      <w:proofErr w:type="spellEnd"/>
      <w:r w:rsidR="0068535B" w:rsidRPr="00FA197A">
        <w:t> </w:t>
      </w:r>
      <w:proofErr w:type="spellStart"/>
      <w:r w:rsidR="0068535B" w:rsidRPr="00FA197A">
        <w:t>Dečani</w:t>
      </w:r>
      <w:proofErr w:type="spellEnd"/>
      <w:r w:rsidR="0068535B" w:rsidRPr="00FA197A">
        <w:t>/</w:t>
      </w:r>
      <w:proofErr w:type="spellStart"/>
      <w:r w:rsidR="0068535B" w:rsidRPr="00FA197A">
        <w:t>Deçani</w:t>
      </w:r>
      <w:proofErr w:type="spellEnd"/>
      <w:r w:rsidR="0068535B" w:rsidRPr="00FA197A">
        <w:t>, selon lequel le monastère est enregistré comme propriétaire du terrain;</w:t>
      </w:r>
    </w:p>
    <w:p w:rsidR="0068535B" w:rsidRPr="00FA197A" w:rsidRDefault="00942F44" w:rsidP="00FB15BF">
      <w:pPr>
        <w:pStyle w:val="NormalHanging12a"/>
        <w:widowControl/>
      </w:pPr>
      <w:r>
        <w:t>21</w:t>
      </w:r>
      <w:r w:rsidR="0068535B" w:rsidRPr="00FA197A">
        <w:t>.</w:t>
      </w:r>
      <w:r w:rsidR="0068535B" w:rsidRPr="00FA197A">
        <w:tab/>
        <w:t xml:space="preserve">se félicite de l’augmentation constante des condamnations visant la criminalité organisée et du fait que le cadre juridique de la lutte contre la criminalité organisée est aligné sur l’acquis de l’Union européenne; souligne que les parquets et la police doivent renforcer leur action commune contre les groupes et réseaux criminels; se déclare préoccupé par les enjeux en matière de sécurité dans le nord du Kosovo, en particulier à la suite de l’attaque de </w:t>
      </w:r>
      <w:proofErr w:type="spellStart"/>
      <w:r w:rsidR="0068535B" w:rsidRPr="00FA197A">
        <w:t>Banjska</w:t>
      </w:r>
      <w:proofErr w:type="spellEnd"/>
      <w:r w:rsidR="0068535B" w:rsidRPr="00FA197A">
        <w:t>/</w:t>
      </w:r>
      <w:proofErr w:type="spellStart"/>
      <w:r w:rsidR="0068535B" w:rsidRPr="00FA197A">
        <w:t>Banjskë</w:t>
      </w:r>
      <w:proofErr w:type="spellEnd"/>
      <w:r w:rsidR="0068535B" w:rsidRPr="00FA197A">
        <w:t xml:space="preserve"> de septembre 2023, qui a mobilisé d’importantes ressources policières; souligne la nécessité d’approfondir la coopération dans la lutte contre le trafic de stupéfiants; appelle à la poursuite de l’alignement en matière de lutte contre le terrorisme;</w:t>
      </w:r>
    </w:p>
    <w:p w:rsidR="0068535B" w:rsidRPr="00FA197A" w:rsidRDefault="00942F44" w:rsidP="00FB15BF">
      <w:pPr>
        <w:pStyle w:val="NormalHanging12a"/>
        <w:widowControl/>
      </w:pPr>
      <w:r>
        <w:t>22</w:t>
      </w:r>
      <w:r w:rsidR="0068535B" w:rsidRPr="00FA197A">
        <w:t>.</w:t>
      </w:r>
      <w:r w:rsidR="0068535B" w:rsidRPr="00FA197A">
        <w:tab/>
        <w:t>se félicite de l’adoption de la stratégie et du plan d’action sur le contrôle des armes légères et de petit calibre ainsi que des explosifs, et également du niveau élevé de respect des règles du protocole des Nations unies sur les armes à feu;</w:t>
      </w:r>
    </w:p>
    <w:p w:rsidR="0068535B" w:rsidRPr="00FA197A" w:rsidRDefault="00942F44" w:rsidP="00FB15BF">
      <w:pPr>
        <w:pStyle w:val="NormalHanging12a"/>
        <w:widowControl/>
      </w:pPr>
      <w:r>
        <w:t>23</w:t>
      </w:r>
      <w:r w:rsidR="0068535B" w:rsidRPr="00FA197A">
        <w:t>.</w:t>
      </w:r>
      <w:r w:rsidR="0068535B" w:rsidRPr="00FA197A">
        <w:tab/>
        <w:t>reste préoccupé par la lenteur de la mise en œuvre de la stratégie et du plan d’action sur l’état de droit;</w:t>
      </w:r>
    </w:p>
    <w:p w:rsidR="0068535B" w:rsidRPr="00FA197A" w:rsidRDefault="00942F44" w:rsidP="00FB15BF">
      <w:pPr>
        <w:pStyle w:val="NormalHanging12a"/>
        <w:widowControl/>
      </w:pPr>
      <w:r>
        <w:t>24</w:t>
      </w:r>
      <w:r w:rsidR="0068535B" w:rsidRPr="00FA197A">
        <w:t>.</w:t>
      </w:r>
      <w:r w:rsidR="0068535B" w:rsidRPr="00FA197A">
        <w:tab/>
        <w:t>réaffirme son engagement à maintenir et à renforcer sa coopération avec l’Assemblée du Kosovo et ses membres aux fins de promouvoir les processus démocratiques liés à la trajectoire d’adhésion du Kosovo, en utilisant les outils et initiatives de soutien à la démocratie du Parlement; estime que ce partenariat peut être redynamisé et renforcé à la suite des élections démocratiques qui se sont tenues le 9 février 2025;</w:t>
      </w:r>
      <w:r w:rsidR="0068535B" w:rsidRPr="00FA197A">
        <w:rPr>
          <w:b/>
          <w:i/>
        </w:rPr>
        <w:t xml:space="preserve"> </w:t>
      </w:r>
      <w:r w:rsidR="0068535B" w:rsidRPr="00FA197A">
        <w:t>encourage la participation active et la collaboration de tous les membres élus de la nouvelle Assemblée du Kosovo;</w:t>
      </w:r>
    </w:p>
    <w:p w:rsidR="0068535B" w:rsidRPr="00FA197A" w:rsidRDefault="00942F44" w:rsidP="00FB15BF">
      <w:pPr>
        <w:pStyle w:val="NormalHanging12a"/>
        <w:widowControl/>
      </w:pPr>
      <w:r>
        <w:t>25</w:t>
      </w:r>
      <w:r w:rsidR="0068535B" w:rsidRPr="00FA197A">
        <w:t>.</w:t>
      </w:r>
      <w:r w:rsidR="0068535B" w:rsidRPr="00FA197A">
        <w:tab/>
        <w:t xml:space="preserve">condamne les graves incidents liés à la sécurité qui se sont produits dans le nord du Kosovo fin novembre 2024, l’acte le plus grave étant survenu près du village de </w:t>
      </w:r>
      <w:proofErr w:type="spellStart"/>
      <w:r w:rsidR="0068535B" w:rsidRPr="00FA197A">
        <w:t>Varage</w:t>
      </w:r>
      <w:proofErr w:type="spellEnd"/>
      <w:r w:rsidR="0068535B" w:rsidRPr="00FA197A">
        <w:t xml:space="preserve"> à </w:t>
      </w:r>
      <w:proofErr w:type="spellStart"/>
      <w:r w:rsidR="0068535B" w:rsidRPr="00FA197A">
        <w:t>Zubin</w:t>
      </w:r>
      <w:proofErr w:type="spellEnd"/>
      <w:r w:rsidR="0068535B" w:rsidRPr="00FA197A">
        <w:t xml:space="preserve"> </w:t>
      </w:r>
      <w:proofErr w:type="spellStart"/>
      <w:r w:rsidR="0068535B" w:rsidRPr="00FA197A">
        <w:t>Potok</w:t>
      </w:r>
      <w:proofErr w:type="spellEnd"/>
      <w:r w:rsidR="0068535B" w:rsidRPr="00FA197A">
        <w:t xml:space="preserve">, où des engins explosifs ont endommagé l’infrastructure critique en ciblant le canal principal du système </w:t>
      </w:r>
      <w:proofErr w:type="spellStart"/>
      <w:r w:rsidR="0068535B" w:rsidRPr="00FA197A">
        <w:t>Iber-Lepenc</w:t>
      </w:r>
      <w:proofErr w:type="spellEnd"/>
      <w:r w:rsidR="0068535B" w:rsidRPr="00FA197A">
        <w:t>; exprime son soutien aux institutions kosovares en ce qui concerne la conduite d’une enquête exhaustive sur ces actions criminelles afin que les auteurs puissent être traduits en justice;</w:t>
      </w:r>
    </w:p>
    <w:p w:rsidR="0068535B" w:rsidRPr="00FA197A" w:rsidRDefault="00942F44" w:rsidP="00FB15BF">
      <w:pPr>
        <w:pStyle w:val="NormalHanging12a"/>
        <w:widowControl/>
      </w:pPr>
      <w:r>
        <w:t>26</w:t>
      </w:r>
      <w:r w:rsidR="0068535B" w:rsidRPr="00FA197A">
        <w:t>.</w:t>
      </w:r>
      <w:r w:rsidR="0068535B" w:rsidRPr="00FA197A">
        <w:tab/>
        <w:t>salue le travail d’EULEX, qui aide les autorités kosovares à mettre en place des institutions d’état de droit durables et indépendantes;</w:t>
      </w:r>
    </w:p>
    <w:p w:rsidR="0068535B" w:rsidRPr="00FA197A" w:rsidRDefault="0068535B" w:rsidP="00FB15BF">
      <w:pPr>
        <w:pStyle w:val="NormalHanging12a"/>
        <w:widowControl/>
      </w:pPr>
      <w:r w:rsidRPr="00FA197A">
        <w:rPr>
          <w:b/>
          <w:i/>
        </w:rPr>
        <w:t>Libertés fondamentales et droits de l’homme</w:t>
      </w:r>
    </w:p>
    <w:p w:rsidR="0068535B" w:rsidRPr="00FA197A" w:rsidRDefault="00942F44" w:rsidP="00FB15BF">
      <w:pPr>
        <w:pStyle w:val="NormalHanging12a"/>
        <w:widowControl/>
        <w:rPr>
          <w:szCs w:val="24"/>
        </w:rPr>
      </w:pPr>
      <w:r>
        <w:t>27</w:t>
      </w:r>
      <w:r w:rsidR="0068535B" w:rsidRPr="00FA197A">
        <w:t>.</w:t>
      </w:r>
      <w:r w:rsidR="0068535B" w:rsidRPr="00FA197A">
        <w:tab/>
        <w:t xml:space="preserve">note que le Kosovo dispose du cadre institutionnel nécessaire à la promotion et à la protection des droits de l’homme; se félicite de l’adoption de la stratégie pour la protection et la promotion des droits des communautés; souligne toutefois qu’en raison de lacunes dans la mise en œuvre de la législation, d’un manque de volonté politique et de ressources humaines et financières limitées, la protection des droits de l’homme reste </w:t>
      </w:r>
      <w:r w:rsidR="0068535B" w:rsidRPr="00FA197A">
        <w:lastRenderedPageBreak/>
        <w:t>insuffisante, et appelle au renforcement des mécanismes d’application et de responsabilité;</w:t>
      </w:r>
    </w:p>
    <w:p w:rsidR="0068535B" w:rsidRPr="00FA197A" w:rsidRDefault="00942F44" w:rsidP="00FB15BF">
      <w:pPr>
        <w:pStyle w:val="NormalHanging12a"/>
        <w:widowControl/>
        <w:rPr>
          <w:szCs w:val="24"/>
        </w:rPr>
      </w:pPr>
      <w:r>
        <w:t>28</w:t>
      </w:r>
      <w:r w:rsidR="0068535B" w:rsidRPr="00FA197A">
        <w:t>.</w:t>
      </w:r>
      <w:r w:rsidR="0068535B" w:rsidRPr="00FA197A">
        <w:tab/>
        <w:t>reconnaît que la constitution du Kosovo est très progressiste en ce qui concerne la protection des droits des minorités; constate avec regret que la pétition signée par près de 500 personnes qui se définissent elles-mêmes comme étant historiquement bulgares, qui a été déposée auprès de l’Assemblée du Kosovo en janvier 2023, n’a toujours pas été examinée par cette institution, et recommande que ces droits soient inscrits dans la loi et garantis dans la pratique; invite le Kosovo à veiller à ce que toutes les minorités reconnues par la loi sur la protection des droits des minorités et tous les membres de leurs communautés soient pleinement intégrés dans la constitution du pays; demande aux autorités kosovares de redoubler d’efforts pour protéger les droits de toutes les minorités, y compris les communautés nationales, en particulier les communautés nationales vulnérables, et de leur assurer l’égalité des chances et une représentation adéquate dans la vie politique et culturelle, les médias publics, l’administration et le pouvoir judiciaire, ainsi que d’empêcher leur assimilation et de promouvoir leur intégration dans la société kosovare, et de renforcer les mesures visant à résoudre les problèmes sociaux et économiques auxquels sont confrontées ces minorités nationales;</w:t>
      </w:r>
    </w:p>
    <w:p w:rsidR="0068535B" w:rsidRPr="00FA197A" w:rsidRDefault="00942F44" w:rsidP="00FB15BF">
      <w:pPr>
        <w:pStyle w:val="NormalHanging12a"/>
        <w:widowControl/>
        <w:rPr>
          <w:szCs w:val="24"/>
        </w:rPr>
      </w:pPr>
      <w:r>
        <w:t>29</w:t>
      </w:r>
      <w:r w:rsidR="0068535B" w:rsidRPr="00FA197A">
        <w:t>.</w:t>
      </w:r>
      <w:r w:rsidR="0068535B" w:rsidRPr="00FA197A">
        <w:tab/>
        <w:t>se félicite de l’augmentation du financement des refuges pour les victimes de violence domestique et de la traite des êtres humains; note que la violence domestique reste la forme la plus courante de violence sexiste; s’inquiète du fait que le système ne parvient toujours pas à assurer une prévention efficace de la violence domestique;</w:t>
      </w:r>
    </w:p>
    <w:p w:rsidR="0068535B" w:rsidRPr="00FA197A" w:rsidRDefault="00942F44" w:rsidP="00FB15BF">
      <w:pPr>
        <w:pStyle w:val="NormalHanging12a"/>
        <w:widowControl/>
        <w:rPr>
          <w:szCs w:val="24"/>
        </w:rPr>
      </w:pPr>
      <w:r>
        <w:rPr>
          <w:color w:val="000000" w:themeColor="text1"/>
        </w:rPr>
        <w:t>30</w:t>
      </w:r>
      <w:r w:rsidR="0068535B" w:rsidRPr="00FA197A">
        <w:rPr>
          <w:color w:val="000000" w:themeColor="text1"/>
        </w:rPr>
        <w:t>.</w:t>
      </w:r>
      <w:r w:rsidR="0068535B" w:rsidRPr="00FA197A">
        <w:rPr>
          <w:color w:val="000000" w:themeColor="text1"/>
        </w:rPr>
        <w:tab/>
      </w:r>
      <w:r w:rsidR="0068535B" w:rsidRPr="00FA197A">
        <w:t>regrette que l’adoption du projet de code civil du Kosovo reste en suspens; souligne que le projet de code civil aborde plusieurs questions importantes liées à l’égalité de genre en tant que valeur fondamentale de l’Union, y compris le droit de l’époux et de l’épouse à une part égale des biens matrimoniaux communs; souligne qu’il est essentiel de garantir à toutes les personnes au Kosovo les droits prévus par le code civil afin d’assurer le respect des droits constitutionnels et des chances pour la communauté LGBTIQ; se déclare préoccupé par le fait que les femmes restent sous-représentées dans les postes politiques de haut niveau, en particulier dans les domaines de la sécurité et du dialogue, et souligne l’urgence de leur implication dans les processus de rétablissement de la paix et de réconciliation, conformément à la résolution 1325 du Conseil de sécurité des Nations unies sur les femmes, la paix et la sécurité; appelle à redoubler d’efforts pour renforcer la place des femmes dans la société;</w:t>
      </w:r>
    </w:p>
    <w:p w:rsidR="0068535B" w:rsidRPr="00FA197A" w:rsidRDefault="00942F44" w:rsidP="00FB15BF">
      <w:pPr>
        <w:pStyle w:val="NormalHanging12a"/>
        <w:widowControl/>
        <w:rPr>
          <w:szCs w:val="24"/>
        </w:rPr>
      </w:pPr>
      <w:r>
        <w:t>31</w:t>
      </w:r>
      <w:r w:rsidR="0068535B" w:rsidRPr="00FA197A">
        <w:t>.</w:t>
      </w:r>
      <w:r w:rsidR="0068535B" w:rsidRPr="00FA197A">
        <w:tab/>
        <w:t xml:space="preserve">note que le système pénitentiaire respecte pour l’essentiel l’ensemble de règles minima des Nations unies et appelle à une meilleure protection des droits des prisonniers, en particulier des femmes, des personnes appartenant à une minorité et des détenus atteints de troubles mentaux; reste préoccupé par la persistance de propos discriminatoires à l’égard des femmes et des personnes LGBTIQ et invite les autorités à élaborer et à mettre en œuvre une stratégie nationale pour l’égalité de genre dans des domaines de recherche tels que la science, la technologie, l’ingénierie et les mathématiques; salue la participation des femmes à des programmes de formation de grande qualité dans les domaines des affaires et de la gestion, ainsi que dans les secteurs liés aux TIC, grâce aux fonds de l’instrument d’aide de préadhésion; regrette que les femmes issues de groupes minoritaires, en particulier des communautés rom, </w:t>
      </w:r>
      <w:proofErr w:type="spellStart"/>
      <w:r w:rsidR="0068535B" w:rsidRPr="00FA197A">
        <w:t>ashkali</w:t>
      </w:r>
      <w:proofErr w:type="spellEnd"/>
      <w:r w:rsidR="0068535B" w:rsidRPr="00FA197A">
        <w:t xml:space="preserve"> et égyptienne, soient confrontées à de nombreuses formes de discrimination, notamment dans les domaines de l’éducation, de l’emploi et de l’accès aux soins de santé; s’inquiète du fait que </w:t>
      </w:r>
      <w:r w:rsidR="0068535B" w:rsidRPr="00FA197A">
        <w:lastRenderedPageBreak/>
        <w:t>l’administration centrale ne représente pas suffisamment les communautés minoritaires et que le nombre de femmes occupant des postes de haut niveau reste faible;</w:t>
      </w:r>
    </w:p>
    <w:p w:rsidR="0068535B" w:rsidRPr="00FA197A" w:rsidRDefault="00942F44" w:rsidP="00FB15BF">
      <w:pPr>
        <w:pStyle w:val="NormalHanging12a"/>
        <w:widowControl/>
        <w:rPr>
          <w:szCs w:val="24"/>
        </w:rPr>
      </w:pPr>
      <w:r>
        <w:t>32</w:t>
      </w:r>
      <w:r w:rsidR="0068535B" w:rsidRPr="00FA197A">
        <w:t>.</w:t>
      </w:r>
      <w:r w:rsidR="0068535B" w:rsidRPr="00FA197A">
        <w:tab/>
        <w:t>regrette que la Convention des Nations unies sur les droits des personnes handicapées n’ait pas encore été adoptée; s’inquiète de l’insuffisance de l’alignement de la législation du Kosovo sur l’acquis de l’Union en matière de droits des personnes handicapées, qui sont confrontées à des discriminations et à des obstacles dans l’accès aux services sociaux;</w:t>
      </w:r>
    </w:p>
    <w:p w:rsidR="0068535B" w:rsidRPr="00FA197A" w:rsidRDefault="00942F44" w:rsidP="00FB15BF">
      <w:pPr>
        <w:pStyle w:val="NormalHanging12a"/>
        <w:widowControl/>
        <w:rPr>
          <w:szCs w:val="24"/>
        </w:rPr>
      </w:pPr>
      <w:r>
        <w:t>33</w:t>
      </w:r>
      <w:r w:rsidR="0068535B" w:rsidRPr="00FA197A">
        <w:t>.</w:t>
      </w:r>
      <w:r w:rsidR="0068535B" w:rsidRPr="00FA197A">
        <w:tab/>
        <w:t xml:space="preserve">se félicite de l’amélioration constante de la position du Kosovo dans l’indice de démocratie libérale et l’indice de démocratie électorale 2024, établis par l’institut </w:t>
      </w:r>
      <w:proofErr w:type="spellStart"/>
      <w:r w:rsidR="0068535B" w:rsidRPr="00FA197A">
        <w:t>Varieties</w:t>
      </w:r>
      <w:proofErr w:type="spellEnd"/>
      <w:r w:rsidR="0068535B" w:rsidRPr="00FA197A">
        <w:t xml:space="preserve"> of </w:t>
      </w:r>
      <w:proofErr w:type="spellStart"/>
      <w:r w:rsidR="0068535B" w:rsidRPr="00FA197A">
        <w:t>Democracy</w:t>
      </w:r>
      <w:proofErr w:type="spellEnd"/>
      <w:r w:rsidR="0068535B" w:rsidRPr="00FA197A">
        <w:t>, qui mesurent l’état de droit, l’équilibre des pouvoirs, les libertés civiles ainsi que la tenue d’élections libres et équitables;</w:t>
      </w:r>
    </w:p>
    <w:p w:rsidR="0068535B" w:rsidRPr="00FA197A" w:rsidRDefault="00942F44" w:rsidP="00FB15BF">
      <w:pPr>
        <w:pStyle w:val="NormalHanging12a"/>
        <w:widowControl/>
        <w:rPr>
          <w:color w:val="000000" w:themeColor="text1"/>
          <w:szCs w:val="24"/>
        </w:rPr>
      </w:pPr>
      <w:r>
        <w:t>34</w:t>
      </w:r>
      <w:r w:rsidR="0068535B" w:rsidRPr="00FA197A">
        <w:t>.</w:t>
      </w:r>
      <w:r w:rsidR="0068535B" w:rsidRPr="00FA197A">
        <w:tab/>
        <w:t>prend acte de l’environnement médiatique pluraliste du Kosovo dans l’attente de la décision de la Cour constitutionnelle sur la principale loi sur les médias et souligne le rôle de l’IMC, dont l’indépendance décisionnelle doit être strictement garantie et dont le plein fonctionnement doit être rétabli; regrette toutefois le recul de la liberté des médias au Kosovo, comme en témoigne son passage de la 56</w:t>
      </w:r>
      <w:r w:rsidR="0068535B" w:rsidRPr="00FA197A">
        <w:rPr>
          <w:vertAlign w:val="superscript"/>
        </w:rPr>
        <w:t>e</w:t>
      </w:r>
      <w:r w:rsidR="0068535B" w:rsidRPr="00FA197A">
        <w:t xml:space="preserve"> à la 75</w:t>
      </w:r>
      <w:r w:rsidR="0068535B" w:rsidRPr="00FA197A">
        <w:rPr>
          <w:vertAlign w:val="superscript"/>
        </w:rPr>
        <w:t>e</w:t>
      </w:r>
      <w:r w:rsidR="0068535B" w:rsidRPr="00FA197A">
        <w:t> place dans le classement mondial de la liberté de la presse 2024; réaffirme que le pluralisme et la transparence des médias sont des conditions préalables à l’adhésion à l’Union européenne; demande une plus grande transparence en matière de propriété des médias et de leur financement en vue de renforcer l’indépendance et le pluralisme des médias; souligne la nécessité de prendre des mesures énergiques pour protéger les journalistes contre le harcèlement et l’intimidation et pour garantir l’indépendance des organes de régulation des médias; prend note des préoccupations exprimées par la société civile au sujet de l’élection du président de l’IMC, qui aurait été motivée par des considérations politiques; prie instamment les autorités du Kosovo de poursuivre la révision de la loi sur l’IMC afin d’inclure les recommandations formulées par le Conseil de l’Europe, alignant ainsi la législation nationale sur les normes et pratiques de l’Union européenne; recommande un soutien accru aux médias indépendants et aux organisations de vérification des faits au Kosovo, reconnaissant leur rôle crucial dans la lutte contre la désinformation et la fourniture d’informations exactes au public; encourage l’Union européenne à fournir une assistance technique et financière à ces entités; encourage les autorités du Kosovo à demander des missions d’experts sur mesure dans le cadre de l’assistance technique et de l’échange d’informations; demande l’adoption de la loi sur la radiotélévision du Kosovo et de la loi sur la protection des sources journalistiques;</w:t>
      </w:r>
    </w:p>
    <w:p w:rsidR="0068535B" w:rsidRPr="00FA197A" w:rsidRDefault="00942F44" w:rsidP="00FB15BF">
      <w:pPr>
        <w:pStyle w:val="NormalHanging12a"/>
        <w:widowControl/>
        <w:rPr>
          <w:szCs w:val="24"/>
        </w:rPr>
      </w:pPr>
      <w:r>
        <w:t>35</w:t>
      </w:r>
      <w:r w:rsidR="0068535B" w:rsidRPr="00FA197A">
        <w:t>.</w:t>
      </w:r>
      <w:r w:rsidR="0068535B" w:rsidRPr="00FA197A">
        <w:tab/>
        <w:t xml:space="preserve">se déclare préoccupé par la récente cyberattaque visant l’infrastructure numérique du Kosovo; prie instamment le gouvernement du Kosovo de renforcer ses capacités de lutte contre l’ingérence étrangère et la désinformation, en particulier celles émanant de médias nationalistes serbes et de Russie, qui visent à déstabiliser la région et à compromettre l’intégration européenne des Balkans occidentaux, en élaborant des stratégies globales comprenant des campagnes de sensibilisation du public visant également à lutter contre la désinformation qui compromet la participation des femmes à la vie publique, en renforçant la </w:t>
      </w:r>
      <w:proofErr w:type="spellStart"/>
      <w:r w:rsidR="0068535B" w:rsidRPr="00FA197A">
        <w:t>cybersécurité</w:t>
      </w:r>
      <w:proofErr w:type="spellEnd"/>
      <w:r w:rsidR="0068535B" w:rsidRPr="00FA197A">
        <w:t xml:space="preserve"> et les infrastructures connexes, en promouvant la collaboration avec les partenaires internationaux, notamment l’Union européenne, afin de protéger son économie numérique, ses services publics et sa sécurité nationale, et en luttant contre les campagnes de désinformation et les menaces hybrides qui visent à déstabiliser le pays et à affaiblir sa perspective européenne; encourage l’intégration de programmes d’éducation aux médias dans le programme </w:t>
      </w:r>
      <w:r w:rsidR="0068535B" w:rsidRPr="00FA197A">
        <w:lastRenderedPageBreak/>
        <w:t>scolaire du Kosovo afin de doter les citoyens des compétences nécessaires pour identifier et contrer la désinformation;</w:t>
      </w:r>
    </w:p>
    <w:p w:rsidR="0068535B" w:rsidRPr="00FA197A" w:rsidRDefault="00942F44" w:rsidP="00FB15BF">
      <w:pPr>
        <w:pStyle w:val="NormalHanging12a"/>
        <w:widowControl/>
        <w:rPr>
          <w:bCs/>
        </w:rPr>
      </w:pPr>
      <w:r>
        <w:t>36</w:t>
      </w:r>
      <w:r w:rsidR="0068535B" w:rsidRPr="00FA197A">
        <w:t>.</w:t>
      </w:r>
      <w:r w:rsidR="0068535B" w:rsidRPr="00FA197A">
        <w:tab/>
        <w:t>se félicite du fait que le Kosovo ait offert un abri et l’asile à des journalistes ukrainiens et afghans;</w:t>
      </w:r>
    </w:p>
    <w:p w:rsidR="0068535B" w:rsidRPr="00FA197A" w:rsidRDefault="00942F44" w:rsidP="00FB15BF">
      <w:pPr>
        <w:pStyle w:val="NormalHanging12a"/>
        <w:widowControl/>
        <w:rPr>
          <w:szCs w:val="24"/>
        </w:rPr>
      </w:pPr>
      <w:r>
        <w:t>37</w:t>
      </w:r>
      <w:r w:rsidR="0068535B" w:rsidRPr="00FA197A">
        <w:t>.</w:t>
      </w:r>
      <w:r w:rsidR="0068535B" w:rsidRPr="00FA197A">
        <w:tab/>
        <w:t>se déclare vivement préoccupé par l’augmentation significative des attaques contre des journalistes et des poursuites stratégiques altérant le débat public (cas de poursuites-bâillons), y compris de la part de responsables gouvernementaux; invite les autorités à faire avancer leurs travaux sur la législation contre les poursuites stratégiques altérant le débat public conformément à la nouvelle directive (UE) 2024/1069</w:t>
      </w:r>
      <w:r w:rsidR="0068535B" w:rsidRPr="00FA197A">
        <w:rPr>
          <w:rStyle w:val="FootnoteReference"/>
          <w:szCs w:val="24"/>
        </w:rPr>
        <w:footnoteReference w:id="7"/>
      </w:r>
      <w:r w:rsidR="0068535B" w:rsidRPr="00FA197A">
        <w:t>; invite le Kosovo à s’employer activement à faire en sorte que les journalistes puissent exercer leur métier et à garantir la pleine liberté d’action des médias en toute indépendance; souligne la nécessité de mettre un terme à toutes les formes de violence;</w:t>
      </w:r>
    </w:p>
    <w:p w:rsidR="0068535B" w:rsidRPr="00FA197A" w:rsidRDefault="00942F44" w:rsidP="00FB15BF">
      <w:pPr>
        <w:pStyle w:val="NormalHanging12a"/>
        <w:widowControl/>
      </w:pPr>
      <w:r>
        <w:t>38</w:t>
      </w:r>
      <w:r w:rsidR="0068535B" w:rsidRPr="00FA197A">
        <w:t>.</w:t>
      </w:r>
      <w:r w:rsidR="0068535B" w:rsidRPr="00FA197A">
        <w:tab/>
        <w:t>salue la société civile dynamique et constructive du Kosovo, qui joue un rôle crucial et positif dans le processus de réforme; encourage le gouvernement à renforcer sa coopération avec la société civile, en particulier avec les organisations de défense des droits des femmes, dans le processus décisionnel, et à utiliser davantage le Conseil gouvernemental de coopération avec la société civile pour établir des relations de collaboration et impliquer véritablement la société civile dans un processus législatif transparent dès le début; souligne qu’il importe d’accroître la responsabilité et la transparence en ce qui concerne le financement public des organisations de la société civile; souligne que la société civile est essentielle pour favoriser la démocratie et le pluralisme ainsi que pour promouvoir la bonne gouvernance et le progrès social;</w:t>
      </w:r>
    </w:p>
    <w:p w:rsidR="0068535B" w:rsidRPr="00FA197A" w:rsidRDefault="00942F44" w:rsidP="00FB15BF">
      <w:pPr>
        <w:pStyle w:val="NormalHanging12a"/>
        <w:widowControl/>
      </w:pPr>
      <w:r>
        <w:t>39</w:t>
      </w:r>
      <w:r w:rsidR="0068535B" w:rsidRPr="00FA197A">
        <w:t>.</w:t>
      </w:r>
      <w:r w:rsidR="0068535B" w:rsidRPr="00FA197A">
        <w:tab/>
        <w:t>regrette l’absence d’un plan clair pour impliquer les Serbes du Kosovo dans le nord et déplore que les initiatives visant à intégrer la communauté serbe dans les structures politiques, sociales et économiques du Kosovo restent très limitées; demande une nouvelle fois une amélioration du dialogue interne, une véritable collaboration directe avec les organisations de la société civile indépendantes des Serbes du Kosovo, en particulier dans le nord, dans le but de bâtir une relation de confiance, de faciliter le quotidien des Serbes du Kosovo et de réussir à les intégrer;</w:t>
      </w:r>
    </w:p>
    <w:p w:rsidR="0068535B" w:rsidRPr="00FA197A" w:rsidRDefault="0068535B" w:rsidP="00FB15BF">
      <w:pPr>
        <w:pStyle w:val="NormalHanging12a"/>
        <w:widowControl/>
      </w:pPr>
      <w:r w:rsidRPr="00FA197A">
        <w:rPr>
          <w:b/>
          <w:i/>
        </w:rPr>
        <w:t>Réconciliation et relations de bon voisinage</w:t>
      </w:r>
    </w:p>
    <w:p w:rsidR="0068535B" w:rsidRPr="00FA197A" w:rsidRDefault="00942F44" w:rsidP="00FB15BF">
      <w:pPr>
        <w:pStyle w:val="NormalHanging12a"/>
        <w:widowControl/>
        <w:rPr>
          <w:szCs w:val="24"/>
        </w:rPr>
      </w:pPr>
      <w:r>
        <w:t>40</w:t>
      </w:r>
      <w:r w:rsidR="0068535B" w:rsidRPr="00FA197A">
        <w:t>.</w:t>
      </w:r>
      <w:r w:rsidR="0068535B" w:rsidRPr="00FA197A">
        <w:tab/>
        <w:t xml:space="preserve">salue l’engagement du Kosovo dans un certain nombre d’initiatives de coopération régionale et l’encourage à intensifier ses efforts de réconciliation et à rechercher des solutions aux différends passés; félicite le Kosovo pour son approche constructive et son engagement actif en faveur de la coopération régionale et de la facilitation des échanges commerciaux, ayant permis le déblocage de l’accord de libre-échange </w:t>
      </w:r>
      <w:proofErr w:type="spellStart"/>
      <w:r w:rsidR="0068535B" w:rsidRPr="00FA197A">
        <w:t>centre-européen</w:t>
      </w:r>
      <w:proofErr w:type="spellEnd"/>
      <w:r w:rsidR="0068535B" w:rsidRPr="00FA197A">
        <w:t>;</w:t>
      </w:r>
    </w:p>
    <w:p w:rsidR="0068535B" w:rsidRPr="00FA197A" w:rsidRDefault="00942F44" w:rsidP="00FB15BF">
      <w:pPr>
        <w:pStyle w:val="NormalHanging12a"/>
        <w:widowControl/>
        <w:rPr>
          <w:szCs w:val="24"/>
        </w:rPr>
      </w:pPr>
      <w:r>
        <w:rPr>
          <w:color w:val="000000" w:themeColor="text1"/>
        </w:rPr>
        <w:t>41</w:t>
      </w:r>
      <w:r w:rsidR="0068535B" w:rsidRPr="00FA197A">
        <w:rPr>
          <w:color w:val="000000" w:themeColor="text1"/>
        </w:rPr>
        <w:t>.</w:t>
      </w:r>
      <w:r w:rsidR="0068535B" w:rsidRPr="00FA197A">
        <w:rPr>
          <w:color w:val="000000" w:themeColor="text1"/>
        </w:rPr>
        <w:tab/>
      </w:r>
      <w:r w:rsidR="0068535B" w:rsidRPr="00FA197A">
        <w:t xml:space="preserve">demande à la Serbie d’ouvrir toutes les archives de guerre et d’autoriser l’accès aux dossiers des anciens services secrets yougoslaves (UDBA) et des services secrets de </w:t>
      </w:r>
      <w:r w:rsidR="0068535B" w:rsidRPr="00FA197A">
        <w:lastRenderedPageBreak/>
        <w:t>l’Armée populaire yougoslave (KOS), en veillant à ce qu’ils soient restitués aux autorités respectives qui en font la demande; souligne la nécessité d’ouvrir ces archives à l’échelle régionale afin d’enquêter sur les crimes de l’ère communiste et de renforcer la démocratie, la responsabilité et les institutions dans les Balkans occidentaux;</w:t>
      </w:r>
    </w:p>
    <w:p w:rsidR="0068535B" w:rsidRPr="00FA197A" w:rsidRDefault="00942F44" w:rsidP="00FB15BF">
      <w:pPr>
        <w:pStyle w:val="NormalHanging12a"/>
        <w:widowControl/>
      </w:pPr>
      <w:r>
        <w:t>42</w:t>
      </w:r>
      <w:r w:rsidR="0068535B" w:rsidRPr="00FA197A">
        <w:t>.</w:t>
      </w:r>
      <w:r w:rsidR="0068535B" w:rsidRPr="00FA197A">
        <w:tab/>
        <w:t>réaffirme son plein appui au dialogue mené grâce à la médiation de l’Union, et salue la nomination de Peter </w:t>
      </w:r>
      <w:proofErr w:type="spellStart"/>
      <w:r w:rsidR="0068535B" w:rsidRPr="00FA197A">
        <w:t>Sørensen</w:t>
      </w:r>
      <w:proofErr w:type="spellEnd"/>
      <w:r w:rsidR="0068535B" w:rsidRPr="00FA197A">
        <w:t xml:space="preserve"> en tant que représentant spécial de l’Union européenne pour le dialogue entre Belgrade et Pristina;</w:t>
      </w:r>
    </w:p>
    <w:p w:rsidR="0068535B" w:rsidRPr="00FA197A" w:rsidRDefault="00942F44" w:rsidP="00FB15BF">
      <w:pPr>
        <w:pStyle w:val="NormalHanging12a"/>
        <w:widowControl/>
      </w:pPr>
      <w:r>
        <w:t>43</w:t>
      </w:r>
      <w:r w:rsidR="0068535B" w:rsidRPr="00FA197A">
        <w:t>.</w:t>
      </w:r>
      <w:r w:rsidR="0068535B" w:rsidRPr="00FA197A">
        <w:tab/>
        <w:t xml:space="preserve">rappelle l’importance d’un engagement constructif de la part des autorités du Kosovo comme de Serbie afin de parvenir à un accord de normalisation global et juridiquement contraignant, fondé sur la reconnaissance mutuelle, conformément au droit international; invite le Kosovo et la Serbie à mettre en œuvre les accords de Bruxelles et d’Ohrid, y compris la mise en place de l’association/communauté des municipalités à majorité serbe, et la levée de l’opposition de la Serbie à l’adhésion du Kosovo aux organisations régionales et internationales, ainsi qu’à éviter les actions unilatérales susceptibles de nuire au processus de dialogue; </w:t>
      </w:r>
    </w:p>
    <w:p w:rsidR="0068535B" w:rsidRPr="00FA197A" w:rsidRDefault="00942F44" w:rsidP="00FB15BF">
      <w:pPr>
        <w:pStyle w:val="NormalHanging12a"/>
        <w:widowControl/>
      </w:pPr>
      <w:r>
        <w:t>44</w:t>
      </w:r>
      <w:r w:rsidR="0068535B" w:rsidRPr="00FA197A">
        <w:t>.</w:t>
      </w:r>
      <w:r w:rsidR="0068535B" w:rsidRPr="00FA197A">
        <w:tab/>
        <w:t xml:space="preserve">attend du Kosovo et de la Serbie qu’ils coopèrent pleinement et prennent toutes les mesures nécessaires pour appréhender et traduire rapidement en justice les auteurs de l’attaque terroriste de </w:t>
      </w:r>
      <w:proofErr w:type="spellStart"/>
      <w:r w:rsidR="0068535B" w:rsidRPr="00FA197A">
        <w:t>Banjska</w:t>
      </w:r>
      <w:proofErr w:type="spellEnd"/>
      <w:r w:rsidR="0068535B" w:rsidRPr="00FA197A">
        <w:t xml:space="preserve"> en 2023; déplore que la Serbie n’ait toujours pas poursuivi les coupables, en particulier Milan </w:t>
      </w:r>
      <w:proofErr w:type="spellStart"/>
      <w:r w:rsidR="0068535B" w:rsidRPr="00FA197A">
        <w:t>Radoičić</w:t>
      </w:r>
      <w:proofErr w:type="spellEnd"/>
      <w:r w:rsidR="0068535B" w:rsidRPr="00FA197A">
        <w:t xml:space="preserve">, le vice-président du parti </w:t>
      </w:r>
      <w:proofErr w:type="spellStart"/>
      <w:r w:rsidR="0068535B" w:rsidRPr="00FA197A">
        <w:t>Srpska</w:t>
      </w:r>
      <w:proofErr w:type="spellEnd"/>
      <w:r w:rsidR="0068535B" w:rsidRPr="00FA197A">
        <w:t xml:space="preserve"> Lista; réaffirme que les auteurs de l’attaque terroriste de </w:t>
      </w:r>
      <w:proofErr w:type="spellStart"/>
      <w:r w:rsidR="0068535B" w:rsidRPr="00FA197A">
        <w:t>Zubin</w:t>
      </w:r>
      <w:proofErr w:type="spellEnd"/>
      <w:r w:rsidR="0068535B" w:rsidRPr="00FA197A">
        <w:t> </w:t>
      </w:r>
      <w:proofErr w:type="spellStart"/>
      <w:r w:rsidR="0068535B" w:rsidRPr="00FA197A">
        <w:t>Potok</w:t>
      </w:r>
      <w:proofErr w:type="spellEnd"/>
      <w:r w:rsidR="0068535B" w:rsidRPr="00FA197A">
        <w:t xml:space="preserve"> doivent eux aussi répondre de leurs actes et comparaître sans délai devant la justice;</w:t>
      </w:r>
    </w:p>
    <w:p w:rsidR="0068535B" w:rsidRPr="00FA197A" w:rsidRDefault="00942F44" w:rsidP="00FB15BF">
      <w:pPr>
        <w:pStyle w:val="NormalHanging12a"/>
        <w:widowControl/>
        <w:rPr>
          <w:rFonts w:eastAsia="Calibri"/>
          <w:color w:val="000000" w:themeColor="text1"/>
          <w:szCs w:val="24"/>
        </w:rPr>
      </w:pPr>
      <w:r>
        <w:t>45</w:t>
      </w:r>
      <w:r w:rsidR="0068535B" w:rsidRPr="00FA197A">
        <w:t>.</w:t>
      </w:r>
      <w:r w:rsidR="0068535B" w:rsidRPr="00FA197A">
        <w:tab/>
        <w:t>invite la vice-présidente de la Commission et haute représentante de l’Union pour les affaires étrangères et la politique de sécurité, de même que la Commission, à assumer un rôle plus proactif à la tête du processus de dialogue; plaide pour que le Parlement européen se voit confier un rôle accru dans la facilitation du dialogue par le biais de réunions régulières de l’Assemblée parlementaire paritaire;</w:t>
      </w:r>
    </w:p>
    <w:p w:rsidR="0068535B" w:rsidRPr="00FA197A" w:rsidRDefault="00942F44" w:rsidP="00FB15BF">
      <w:pPr>
        <w:pStyle w:val="NormalHanging12a"/>
        <w:widowControl/>
      </w:pPr>
      <w:r>
        <w:t>46</w:t>
      </w:r>
      <w:r w:rsidR="0068535B" w:rsidRPr="00FA197A">
        <w:t>.</w:t>
      </w:r>
      <w:r w:rsidR="0068535B" w:rsidRPr="00FA197A">
        <w:tab/>
        <w:t>condamne toutes les actions qui nuisent à la stabilité et mettent en péril le processus de réconciliation, notamment les tensions dans le nord du Kosovo et les provocations de groupes soutenus par l’État serbe et de formations armées illégales, et invite instamment l’Union européenne à adopter une position plus ferme contre les ingérences extérieures dans les affaires internes du Kosovo; rappelle que les deux parties doivent mettre pleinement en œuvre tous les accords conclus et éviter toute action unilatérale susceptible d’exacerber les tensions; invite la police kosovare à garantir le plein respect de toutes les exigences en matière d’état de droit et de droits de l’homme, et à assurer le déploiement d’une police multiethnique et inclusive, conformément aux exigences légales, dans le nord du Kosovo; rappelle la responsabilité partagée de tous les représentants politiques et de toutes les communautés du Kosovo en ce qui concerne le maintien de la paix, de la sécurité et de l’état de droit;</w:t>
      </w:r>
    </w:p>
    <w:p w:rsidR="0068535B" w:rsidRPr="00FA197A" w:rsidRDefault="00942F44" w:rsidP="00FB15BF">
      <w:pPr>
        <w:pStyle w:val="NormalHanging12a"/>
        <w:widowControl/>
        <w:rPr>
          <w:szCs w:val="24"/>
        </w:rPr>
      </w:pPr>
      <w:r>
        <w:rPr>
          <w:color w:val="000000" w:themeColor="text1"/>
        </w:rPr>
        <w:t>47</w:t>
      </w:r>
      <w:r w:rsidR="0068535B" w:rsidRPr="00FA197A">
        <w:rPr>
          <w:color w:val="000000" w:themeColor="text1"/>
        </w:rPr>
        <w:t>.</w:t>
      </w:r>
      <w:r w:rsidR="0068535B" w:rsidRPr="00FA197A">
        <w:rPr>
          <w:color w:val="000000" w:themeColor="text1"/>
        </w:rPr>
        <w:tab/>
      </w:r>
      <w:r w:rsidR="0068535B" w:rsidRPr="00FA197A">
        <w:t>se félicite de la création de la commission conjointe sur les personnes disparues en décembre 2024 et appelle à des progrès rapides dans la mise en œuvre de la déclaration politique de mai 2023 sur les personnes disparues; invite le Kosovo et la Serbie à s’abstenir de politiser cette question humanitaire et à intensifier leurs efforts pour mettre en œuvre la déclaration dans le cadre du dialogue entre Belgrade et Pristina et à établir une coopération entre le Kosovo et la Serbie;</w:t>
      </w:r>
    </w:p>
    <w:p w:rsidR="0068535B" w:rsidRPr="00FA197A" w:rsidRDefault="00942F44" w:rsidP="00FB15BF">
      <w:pPr>
        <w:pStyle w:val="NormalHanging12a"/>
        <w:widowControl/>
      </w:pPr>
      <w:r>
        <w:lastRenderedPageBreak/>
        <w:t>48</w:t>
      </w:r>
      <w:r w:rsidR="0068535B" w:rsidRPr="00FA197A">
        <w:t>.</w:t>
      </w:r>
      <w:r w:rsidR="0068535B" w:rsidRPr="00FA197A">
        <w:tab/>
        <w:t>se félicite des récents accords conclus dans le cadre du processus de Berlin;</w:t>
      </w:r>
    </w:p>
    <w:p w:rsidR="0068535B" w:rsidRPr="00FA197A" w:rsidRDefault="00942F44" w:rsidP="00FB15BF">
      <w:pPr>
        <w:pStyle w:val="NormalHanging12a"/>
        <w:widowControl/>
      </w:pPr>
      <w:r>
        <w:t>49</w:t>
      </w:r>
      <w:r w:rsidR="0068535B" w:rsidRPr="00FA197A">
        <w:t>.</w:t>
      </w:r>
      <w:r w:rsidR="0068535B" w:rsidRPr="00FA197A">
        <w:tab/>
        <w:t xml:space="preserve">se félicite de la décision du Kosovo de lever les restrictions à l’entrée des produits finis serbes au poste frontière de </w:t>
      </w:r>
      <w:proofErr w:type="spellStart"/>
      <w:r w:rsidR="0068535B" w:rsidRPr="00FA197A">
        <w:t>Merdare</w:t>
      </w:r>
      <w:proofErr w:type="spellEnd"/>
      <w:r w:rsidR="0068535B" w:rsidRPr="00FA197A">
        <w:t>;</w:t>
      </w:r>
    </w:p>
    <w:p w:rsidR="0068535B" w:rsidRPr="00FA197A" w:rsidRDefault="00942F44" w:rsidP="00FB15BF">
      <w:pPr>
        <w:pStyle w:val="NormalHanging12a"/>
        <w:widowControl/>
      </w:pPr>
      <w:r>
        <w:t>50</w:t>
      </w:r>
      <w:r w:rsidR="0068535B" w:rsidRPr="00FA197A">
        <w:t>.</w:t>
      </w:r>
      <w:r w:rsidR="0068535B" w:rsidRPr="00FA197A">
        <w:tab/>
        <w:t>salue la présence de la Force pour le Kosovo et son rôle dans la création et le maintien d’un environnement sûr et pacifique et dans le développement d’un Kosovo stable et en paix en vue de l’intégration du pays à la sphère euro-atlantique; rappelle l’importance de la mission pour le développement actuel de la Force de sécurité kosovare, aux fins duquel la KFOR par le biais de conseils, des formations et un renforcement des capacités;</w:t>
      </w:r>
    </w:p>
    <w:p w:rsidR="0068535B" w:rsidRPr="00FA197A" w:rsidRDefault="0068535B" w:rsidP="00FB15BF">
      <w:pPr>
        <w:pStyle w:val="NormalHanging12a"/>
        <w:widowControl/>
        <w:rPr>
          <w:b/>
          <w:i/>
        </w:rPr>
      </w:pPr>
      <w:r w:rsidRPr="00FA197A">
        <w:rPr>
          <w:b/>
          <w:i/>
        </w:rPr>
        <w:t>Réformes socioéconomiques</w:t>
      </w:r>
    </w:p>
    <w:p w:rsidR="0068535B" w:rsidRPr="00FA197A" w:rsidRDefault="00942F44" w:rsidP="00FB15BF">
      <w:pPr>
        <w:pStyle w:val="NormalHanging12a"/>
        <w:widowControl/>
      </w:pPr>
      <w:r>
        <w:t>51</w:t>
      </w:r>
      <w:r w:rsidR="0068535B" w:rsidRPr="00FA197A">
        <w:t>.</w:t>
      </w:r>
      <w:r w:rsidR="0068535B" w:rsidRPr="00FA197A">
        <w:tab/>
        <w:t>se félicite de la participation active du Kosovo à la mise en œuvre du nouveau plan de croissance pour les Balkans occidentaux, qui vise à approfondir les réformes liées à l’Union et à réduire l’écart socio-économique entre les États membres de l’Union et les pays des Balkans occidentaux; se félicite de l’adoption du programme de réforme du Kosovo et rappelle que le Kosovo, ainsi que la Serbie, doit faire preuve d’un engagement accru dans le dialogue mené grâce à la médiation de l’Union pour accéder aux ressources;</w:t>
      </w:r>
    </w:p>
    <w:p w:rsidR="0068535B" w:rsidRPr="00FA197A" w:rsidRDefault="00942F44" w:rsidP="00FB15BF">
      <w:pPr>
        <w:pStyle w:val="NormalHanging12a"/>
        <w:widowControl/>
      </w:pPr>
      <w:r>
        <w:t>52</w:t>
      </w:r>
      <w:r w:rsidR="0068535B" w:rsidRPr="00FA197A">
        <w:t>.</w:t>
      </w:r>
      <w:r w:rsidR="0068535B" w:rsidRPr="00FA197A">
        <w:tab/>
        <w:t>salue les progrès accomplis par le Kosovo en ce qui concerne l’établissement d’une économie de marché viable et l’encourage à mettre en œuvre les réformes structurelles nécessaires afin de remédier aux problématiques budgétaires, tout en garantissant une protection adéquate des travailleurs, des salaires équitables et des conditions de travail améliorées, conformément à la législation de l’Union;</w:t>
      </w:r>
    </w:p>
    <w:p w:rsidR="0068535B" w:rsidRPr="00FA197A" w:rsidRDefault="00942F44" w:rsidP="00FB15BF">
      <w:pPr>
        <w:pStyle w:val="NormalHanging12a"/>
        <w:widowControl/>
      </w:pPr>
      <w:r>
        <w:t>53</w:t>
      </w:r>
      <w:r w:rsidR="0068535B" w:rsidRPr="00FA197A">
        <w:t>.</w:t>
      </w:r>
      <w:r w:rsidR="0068535B" w:rsidRPr="00FA197A">
        <w:tab/>
        <w:t>demande à nouveau à la Commission de développer une stratégie régionale pour faire face au chômage persistant des jeunes et à la fuite des cerveaux en réduisant l’inadéquation des compétences entre le système éducatif et le marché du travail, en améliorant la qualité de l’enseignement, et en garantissant un financement suffisant pour des mesures actives sur le marché de l’emploi et des régimes de formation professionnelle, ainsi que des infrastructures d’accueil et préscolaires;</w:t>
      </w:r>
    </w:p>
    <w:p w:rsidR="0068535B" w:rsidRPr="00FA197A" w:rsidRDefault="00942F44" w:rsidP="00FB15BF">
      <w:pPr>
        <w:pStyle w:val="NormalHanging12a"/>
        <w:widowControl/>
      </w:pPr>
      <w:r>
        <w:t>54</w:t>
      </w:r>
      <w:r w:rsidR="0068535B" w:rsidRPr="00FA197A">
        <w:t>.</w:t>
      </w:r>
      <w:r w:rsidR="0068535B" w:rsidRPr="00FA197A">
        <w:tab/>
        <w:t>se félicite que la législation du Kosovo en matière de cybercriminalité soit largement alignée sur l’acquis de l’Union; prend acte des progrès limités accomplis par le Kosovo dans la transformation numérique des services publics; souligne que le pays doit s’aligner sur la législation numérique de l’Union et sur les besoins de sa population, en particulier sur le code des communications électroniques européen, la directive sur la sécurité des réseaux et de l’information (NIS2)</w:t>
      </w:r>
      <w:r w:rsidR="0068535B" w:rsidRPr="00FA197A">
        <w:rPr>
          <w:rStyle w:val="FootnoteReference"/>
        </w:rPr>
        <w:footnoteReference w:id="8"/>
      </w:r>
      <w:r w:rsidR="0068535B" w:rsidRPr="00FA197A">
        <w:t>, la boîte à outils de l’UE pour la sécurité des réseaux 5G, la loi sur les services numériques</w:t>
      </w:r>
      <w:r w:rsidR="0068535B" w:rsidRPr="00FA197A">
        <w:rPr>
          <w:rStyle w:val="FootnoteReference"/>
        </w:rPr>
        <w:footnoteReference w:id="9"/>
      </w:r>
      <w:r w:rsidR="0068535B" w:rsidRPr="00FA197A">
        <w:t xml:space="preserve"> et la loi sur les marchés </w:t>
      </w:r>
      <w:r w:rsidR="0068535B" w:rsidRPr="00FA197A">
        <w:lastRenderedPageBreak/>
        <w:t>numériques</w:t>
      </w:r>
      <w:r w:rsidR="0068535B" w:rsidRPr="00FA197A">
        <w:rPr>
          <w:rStyle w:val="FootnoteReference"/>
        </w:rPr>
        <w:footnoteReference w:id="10"/>
      </w:r>
      <w:r w:rsidR="0068535B" w:rsidRPr="00FA197A">
        <w:t>; prend acte du fait que l’économie du Kosovo reste fortement dépendante des importations et souligne la nécessité de diversifier l’économie pour améliorer la compétitivité et la durabilité, en particulier dans le contexte d’une intégration plus poussée aux marchés de l’Union;</w:t>
      </w:r>
    </w:p>
    <w:p w:rsidR="0068535B" w:rsidRPr="00FA197A" w:rsidRDefault="00942F44" w:rsidP="00FB15BF">
      <w:pPr>
        <w:pStyle w:val="NormalHanging12a"/>
        <w:widowControl/>
      </w:pPr>
      <w:r>
        <w:t>55</w:t>
      </w:r>
      <w:r w:rsidR="0068535B" w:rsidRPr="00FA197A">
        <w:t>.</w:t>
      </w:r>
      <w:r w:rsidR="0068535B" w:rsidRPr="00FA197A">
        <w:tab/>
        <w:t>regrette que le projet de loi sur les manuels scolaires, présenté en 2022, soit toujours en attente d’adoption finale par l’Assemblée du Kosovo; invite le Kosovo à finaliser la mise en œuvre du nouveau programme-cadre pour l’enseignement de base, à achever la révision des manuels scolaires actuels, à fournir une formation durable aux enseignants et à appliquer systématiquement des mécanismes d’assurance de la qualité à tous les niveaux d’enseignement;</w:t>
      </w:r>
    </w:p>
    <w:p w:rsidR="0068535B" w:rsidRPr="00FA197A" w:rsidRDefault="00942F44" w:rsidP="00FB15BF">
      <w:pPr>
        <w:pStyle w:val="NormalHanging12a"/>
        <w:widowControl/>
        <w:rPr>
          <w:rFonts w:eastAsia="Calibri"/>
          <w:color w:val="000000" w:themeColor="text1"/>
          <w:szCs w:val="24"/>
        </w:rPr>
      </w:pPr>
      <w:r>
        <w:t>56</w:t>
      </w:r>
      <w:r w:rsidR="0068535B" w:rsidRPr="00FA197A">
        <w:t>.</w:t>
      </w:r>
      <w:r w:rsidR="0068535B" w:rsidRPr="00FA197A">
        <w:tab/>
        <w:t>prie instamment le Kosovo de garantir un meilleur accès à des services de santé de qualité; constate que le Kosovo occupe encore l’avant-dernier rang des pays de la région du point de vue des dépenses de santé et appelle à une réforme globale des soins de santé pour répondre aux besoins de tous les citoyens, en particulier dans les zones rurales et mal desservies;</w:t>
      </w:r>
    </w:p>
    <w:p w:rsidR="0068535B" w:rsidRPr="00FA197A" w:rsidRDefault="00942F44" w:rsidP="00FB15BF">
      <w:pPr>
        <w:pStyle w:val="NormalHanging12a"/>
        <w:widowControl/>
      </w:pPr>
      <w:r>
        <w:t>57</w:t>
      </w:r>
      <w:r w:rsidR="0068535B" w:rsidRPr="00FA197A">
        <w:t>.</w:t>
      </w:r>
      <w:r w:rsidR="0068535B" w:rsidRPr="00FA197A">
        <w:tab/>
        <w:t>constate avec inquiétude que l’accès aux services sociaux, en particulier pour les groupes vulnérables, s’est détérioré avec la fermeture par le gouvernement du ministère du travail et de la protection sociale, décidée sans consultation transparente de la société civile et d’autres parties prenantes, ce qui a entraîné une grande confusion; appelle à une meilleure budgétisation basée sur des données probantes afin d’améliorer les services sociaux, en particulier pour les victimes de violences sexistes, conformément au nouveau cadre juridique;</w:t>
      </w:r>
    </w:p>
    <w:p w:rsidR="0068535B" w:rsidRPr="00FA197A" w:rsidRDefault="00942F44" w:rsidP="00FB15BF">
      <w:pPr>
        <w:pStyle w:val="NormalHanging12a"/>
        <w:widowControl/>
      </w:pPr>
      <w:r>
        <w:t>58</w:t>
      </w:r>
      <w:r w:rsidR="0068535B" w:rsidRPr="00FA197A">
        <w:t>.</w:t>
      </w:r>
      <w:r w:rsidR="0068535B" w:rsidRPr="00FA197A">
        <w:tab/>
        <w:t>demande au Kosovo d’offrir un enseignement public équitable et non discriminatoire dans les langues minoritaires;</w:t>
      </w:r>
    </w:p>
    <w:p w:rsidR="0068535B" w:rsidRPr="00FA197A" w:rsidRDefault="00942F44" w:rsidP="00FB15BF">
      <w:pPr>
        <w:pStyle w:val="NormalHanging12a"/>
        <w:widowControl/>
      </w:pPr>
      <w:r>
        <w:t>59</w:t>
      </w:r>
      <w:r w:rsidR="0068535B" w:rsidRPr="00FA197A">
        <w:t>.</w:t>
      </w:r>
      <w:r w:rsidR="0068535B" w:rsidRPr="00FA197A">
        <w:tab/>
        <w:t>réaffirme qu’il est nécessaire de tendre la main aux jeunes des municipalités à majorité serbe et de les intégrer aux structures socio-économiques du pays;</w:t>
      </w:r>
    </w:p>
    <w:p w:rsidR="0068535B" w:rsidRPr="00FA197A" w:rsidRDefault="0068535B" w:rsidP="00FB15BF">
      <w:pPr>
        <w:pStyle w:val="NormalHanging12a"/>
        <w:widowControl/>
      </w:pPr>
      <w:r w:rsidRPr="00FA197A">
        <w:rPr>
          <w:b/>
          <w:i/>
        </w:rPr>
        <w:t>Énergie, environnement, développement durable et connectivité</w:t>
      </w:r>
    </w:p>
    <w:p w:rsidR="0068535B" w:rsidRPr="00FA197A" w:rsidRDefault="00942F44" w:rsidP="00FB15BF">
      <w:pPr>
        <w:pStyle w:val="NormalHanging12a"/>
        <w:widowControl/>
        <w:rPr>
          <w:szCs w:val="24"/>
        </w:rPr>
      </w:pPr>
      <w:r>
        <w:t>60</w:t>
      </w:r>
      <w:r w:rsidR="0068535B" w:rsidRPr="00FA197A">
        <w:t>.</w:t>
      </w:r>
      <w:r w:rsidR="0068535B" w:rsidRPr="00FA197A">
        <w:tab/>
        <w:t>constate que le Kosovo a accompli certains progrès en matière de sécurité de l’approvisionnement énergétique, mais que le pays reste fortement tributaire de centrales électriques obsolètes et très polluantes, ce qui présente des risques sérieux pour la santé et l’environnement; observe que le Kosovo doit veiller à la mise en œuvre rapide de son programme énergétique pour la période 2022-2025 afin d’atteindre ses objectifs ambitieux et de réduire sa dépendance à l’égard des combustibles fossiles; demande à l’Union d’intensifier et de prioriser ses efforts pour aider le Kosovo à surmonter ses problèmes de pollution atmosphérique;</w:t>
      </w:r>
      <w:r w:rsidR="0068535B" w:rsidRPr="00FA197A">
        <w:rPr>
          <w:b/>
        </w:rPr>
        <w:t xml:space="preserve"> </w:t>
      </w:r>
      <w:r w:rsidR="0068535B" w:rsidRPr="00FA197A">
        <w:t>note que la nouvelle stratégie énergétique du Kosovo n’encourage pas la construction de centrales hydroélectriques en raison de leur incidence néfaste sur l’environnement, notamment en raison de la pénurie d’eau dans le pays;</w:t>
      </w:r>
    </w:p>
    <w:p w:rsidR="0068535B" w:rsidRPr="00FA197A" w:rsidRDefault="00942F44" w:rsidP="00FB15BF">
      <w:pPr>
        <w:pStyle w:val="NormalHanging12a"/>
        <w:widowControl/>
      </w:pPr>
      <w:r>
        <w:lastRenderedPageBreak/>
        <w:t>61</w:t>
      </w:r>
      <w:r w:rsidR="0068535B" w:rsidRPr="00FA197A">
        <w:t>.</w:t>
      </w:r>
      <w:r w:rsidR="0068535B" w:rsidRPr="00FA197A">
        <w:tab/>
        <w:t>souligne la nécessité d’un développement global des infrastructures au Kosovo afin de faciliter la réduction des émissions des transports publics et l’expansion des transports électrifiés; souligne que l’amélioration de l’accessibilité et l’harmonisation avec le réseau de transport de l’Union doivent rester une priorité;</w:t>
      </w:r>
    </w:p>
    <w:p w:rsidR="0068535B" w:rsidRPr="00FA197A" w:rsidRDefault="00942F44" w:rsidP="00FB15BF">
      <w:pPr>
        <w:pStyle w:val="NormalHanging12a"/>
        <w:widowControl/>
      </w:pPr>
      <w:r>
        <w:t>62</w:t>
      </w:r>
      <w:r w:rsidR="0068535B" w:rsidRPr="00FA197A">
        <w:t>.</w:t>
      </w:r>
      <w:r w:rsidR="0068535B" w:rsidRPr="00FA197A">
        <w:tab/>
        <w:t>se félicite de l’accord intervenu lors du sommet de Tirana sur la réduction des frais d’itinérance; invite à cet égard les autorités, les acteurs privés et toutes les parties prenantes à faciliter la réalisation des objectifs convenus pour parvenir à une réduction notable des frais d’itinérance pour les données ainsi qu’à de nouvelles réductions conduisant à des prix proches des prix nationaux entre les Balkans occidentaux et l’Union européenne d’ici 2027; se félicite de l’entrée en vigueur de la première phase de mise en œuvre de la feuille de route sur l’itinérance entre les Balkans occidentaux et l’Union européenne;</w:t>
      </w:r>
    </w:p>
    <w:p w:rsidR="0068535B" w:rsidRPr="00FA197A" w:rsidRDefault="00942F44" w:rsidP="00FB15BF">
      <w:pPr>
        <w:pStyle w:val="NormalHanging12a"/>
        <w:widowControl/>
        <w:rPr>
          <w:szCs w:val="24"/>
        </w:rPr>
      </w:pPr>
      <w:r>
        <w:t>63</w:t>
      </w:r>
      <w:r w:rsidR="0068535B" w:rsidRPr="00FA197A">
        <w:t>.</w:t>
      </w:r>
      <w:r w:rsidR="0068535B" w:rsidRPr="00FA197A">
        <w:tab/>
        <w:t>prie instamment le Kosovo de renforcer le respect des plafonds d’émission, d’améliorer l’intégration des considérations environnementales dans les politiques sectorielles et d’adopter les mesures nécessaires pour prévenir la pollution, la contamination des sols et de l’eau et pour gérer les déchets, conformément aux normes et engagements internationaux et de l’Union européenne; prie instamment le Kosovo d’améliorer les évaluations globales de l’impact environnemental et d’intégrer des mesures de durabilité dans la planification des infrastructures; invite le Kosovo à accroître le nombre de zones protégées dans le pays et à améliorer les instruments et mesures de protection afin de préserver la biodiversité, y compris les habitats clés du lynx des Balkans, espèce en danger critique d’extinction; encourage les efforts de collaboration avec ses pays voisins afin de désigner des zones protégées transfrontalières et d’établir des plans de gestion transfrontaliers cohérents;</w:t>
      </w:r>
      <w:bookmarkStart w:id="7" w:name="_GoBack"/>
      <w:bookmarkEnd w:id="7"/>
    </w:p>
    <w:p w:rsidR="0068535B" w:rsidRPr="00FA197A" w:rsidRDefault="0068535B" w:rsidP="00FB15BF">
      <w:pPr>
        <w:pStyle w:val="NormalHanging12a"/>
        <w:widowControl/>
        <w:jc w:val="center"/>
      </w:pPr>
      <w:r w:rsidRPr="00FA197A">
        <w:t>°</w:t>
      </w:r>
    </w:p>
    <w:p w:rsidR="0068535B" w:rsidRPr="00FA197A" w:rsidRDefault="0068535B" w:rsidP="00FB15BF">
      <w:pPr>
        <w:pStyle w:val="NormalHanging12a"/>
        <w:widowControl/>
        <w:jc w:val="center"/>
      </w:pPr>
      <w:r w:rsidRPr="00FA197A">
        <w:t>°</w:t>
      </w:r>
      <w:r w:rsidRPr="00FA197A">
        <w:tab/>
        <w:t>°</w:t>
      </w:r>
    </w:p>
    <w:p w:rsidR="00FA197A" w:rsidRPr="00FA197A" w:rsidRDefault="00942F44" w:rsidP="00FB15BF">
      <w:pPr>
        <w:pStyle w:val="NormalHanging12a"/>
        <w:widowControl/>
      </w:pPr>
      <w:r>
        <w:t>64</w:t>
      </w:r>
      <w:r w:rsidR="0068535B" w:rsidRPr="00FA197A">
        <w:t>.</w:t>
      </w:r>
      <w:r w:rsidR="0068535B" w:rsidRPr="00FA197A">
        <w:tab/>
        <w:t>charge sa Présidente de transmettre la présente résolution au président du Conseil européen, à la Commission, à la vice-présidente de la Commission/haute représentante de l’Union pour les affaires étrangères et la politique de sécurité, aux gouvernements et aux parlements des États membres, ainsi qu’à la présidente, au gouvernement et à l’Assemblée nationale du Kosovo.</w:t>
      </w:r>
    </w:p>
    <w:sectPr w:rsidR="00FA197A" w:rsidRPr="00FA197A" w:rsidSect="00FA197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ECA" w:rsidRPr="00FA197A" w:rsidRDefault="00DC3ECA">
      <w:r w:rsidRPr="00FA197A">
        <w:separator/>
      </w:r>
    </w:p>
  </w:endnote>
  <w:endnote w:type="continuationSeparator" w:id="0">
    <w:p w:rsidR="00DC3ECA" w:rsidRPr="00FA197A" w:rsidRDefault="00DC3ECA">
      <w:r w:rsidRPr="00FA19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197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197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19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ECA" w:rsidRPr="00FA197A" w:rsidRDefault="00DC3ECA">
      <w:r w:rsidRPr="00FA197A">
        <w:separator/>
      </w:r>
    </w:p>
  </w:footnote>
  <w:footnote w:type="continuationSeparator" w:id="0">
    <w:p w:rsidR="00DC3ECA" w:rsidRPr="00FA197A" w:rsidRDefault="00DC3ECA">
      <w:r w:rsidRPr="00FA197A">
        <w:continuationSeparator/>
      </w:r>
    </w:p>
  </w:footnote>
  <w:footnote w:id="1">
    <w:p w:rsidR="0068535B" w:rsidRPr="00F04EE7" w:rsidRDefault="0068535B" w:rsidP="00FA197A">
      <w:pPr>
        <w:pStyle w:val="FootnoteText"/>
        <w:ind w:left="567" w:hanging="567"/>
        <w:rPr>
          <w:color w:val="0000FF"/>
          <w:sz w:val="24"/>
          <w:u w:val="single" w:color="0000FF"/>
          <w:lang w:val="fi-FI"/>
        </w:rPr>
      </w:pPr>
      <w:r w:rsidRPr="00FA197A">
        <w:rPr>
          <w:rStyle w:val="FootnoteReference"/>
          <w:sz w:val="24"/>
        </w:rPr>
        <w:footnoteRef/>
      </w:r>
      <w:r w:rsidR="00FA197A" w:rsidRPr="00F04EE7">
        <w:rPr>
          <w:sz w:val="24"/>
          <w:lang w:val="fi-FI"/>
        </w:rPr>
        <w:t xml:space="preserve"> </w:t>
      </w:r>
      <w:r w:rsidR="00FA197A" w:rsidRPr="00F04EE7">
        <w:rPr>
          <w:sz w:val="24"/>
          <w:lang w:val="fi-FI"/>
        </w:rPr>
        <w:tab/>
      </w:r>
      <w:r w:rsidR="00D76AFA">
        <w:rPr>
          <w:sz w:val="24"/>
          <w:lang w:val="fi-FI"/>
        </w:rPr>
        <w:t>JO L 71</w:t>
      </w:r>
      <w:r w:rsidRPr="00F04EE7">
        <w:rPr>
          <w:sz w:val="24"/>
          <w:lang w:val="fi-FI"/>
        </w:rPr>
        <w:t xml:space="preserve"> du 16.3.2016, p. 3, ELI: </w:t>
      </w:r>
      <w:hyperlink r:id="rId1" w:history="1">
        <w:r w:rsidRPr="00F04EE7">
          <w:rPr>
            <w:rStyle w:val="Hyperlink"/>
            <w:sz w:val="24"/>
            <w:lang w:val="fi-FI"/>
          </w:rPr>
          <w:t>http://data.europa.eu/eli/agree_internation/2016/342/oj</w:t>
        </w:r>
      </w:hyperlink>
      <w:r w:rsidRPr="00F04EE7">
        <w:rPr>
          <w:sz w:val="24"/>
          <w:lang w:val="fi-FI"/>
        </w:rPr>
        <w:t>.</w:t>
      </w:r>
    </w:p>
  </w:footnote>
  <w:footnote w:id="2">
    <w:p w:rsidR="0068535B" w:rsidRPr="00F04EE7" w:rsidRDefault="0068535B" w:rsidP="00FA197A">
      <w:pPr>
        <w:pStyle w:val="FootnoteText"/>
        <w:ind w:left="567" w:hanging="567"/>
        <w:rPr>
          <w:color w:val="0000FF"/>
          <w:sz w:val="24"/>
          <w:u w:val="single" w:color="0000FF"/>
          <w:lang w:val="fi-FI"/>
        </w:rPr>
      </w:pPr>
      <w:r w:rsidRPr="00FA197A">
        <w:rPr>
          <w:rStyle w:val="FootnoteReference"/>
          <w:sz w:val="24"/>
        </w:rPr>
        <w:footnoteRef/>
      </w:r>
      <w:r w:rsidR="00FA197A" w:rsidRPr="00F04EE7">
        <w:rPr>
          <w:sz w:val="24"/>
          <w:lang w:val="fi-FI"/>
        </w:rPr>
        <w:t xml:space="preserve"> </w:t>
      </w:r>
      <w:r w:rsidR="00FA197A" w:rsidRPr="00F04EE7">
        <w:rPr>
          <w:sz w:val="24"/>
          <w:lang w:val="fi-FI"/>
        </w:rPr>
        <w:tab/>
      </w:r>
      <w:r w:rsidRPr="00F04EE7">
        <w:rPr>
          <w:sz w:val="24"/>
          <w:lang w:val="fi-FI"/>
        </w:rPr>
        <w:t xml:space="preserve">JO L 195 du 27.7.2017, p. 3, ELI: </w:t>
      </w:r>
      <w:hyperlink r:id="rId2" w:history="1">
        <w:r w:rsidRPr="00F04EE7">
          <w:rPr>
            <w:rStyle w:val="Hyperlink"/>
            <w:sz w:val="24"/>
            <w:lang w:val="fi-FI"/>
          </w:rPr>
          <w:t>http://data.europa.eu/eli/agree_internation/2017/1388/oj</w:t>
        </w:r>
      </w:hyperlink>
      <w:r w:rsidRPr="00F04EE7">
        <w:rPr>
          <w:sz w:val="24"/>
          <w:lang w:val="fi-FI"/>
        </w:rPr>
        <w:t>.</w:t>
      </w:r>
    </w:p>
  </w:footnote>
  <w:footnote w:id="3">
    <w:p w:rsidR="0068535B" w:rsidRPr="00F04EE7" w:rsidRDefault="0068535B" w:rsidP="00FA197A">
      <w:pPr>
        <w:pStyle w:val="FootnoteText"/>
        <w:ind w:left="567" w:hanging="567"/>
        <w:rPr>
          <w:color w:val="0000FF"/>
          <w:sz w:val="24"/>
          <w:u w:val="single" w:color="0000FF"/>
          <w:lang w:val="fi-FI"/>
        </w:rPr>
      </w:pPr>
      <w:r w:rsidRPr="00FA197A">
        <w:rPr>
          <w:rStyle w:val="FootnoteReference"/>
          <w:sz w:val="24"/>
        </w:rPr>
        <w:footnoteRef/>
      </w:r>
      <w:r w:rsidR="00FA197A" w:rsidRPr="00F04EE7">
        <w:rPr>
          <w:sz w:val="24"/>
          <w:lang w:val="fi-FI"/>
        </w:rPr>
        <w:t xml:space="preserve"> </w:t>
      </w:r>
      <w:r w:rsidR="00FA197A" w:rsidRPr="00F04EE7">
        <w:rPr>
          <w:sz w:val="24"/>
          <w:lang w:val="fi-FI"/>
        </w:rPr>
        <w:tab/>
      </w:r>
      <w:r w:rsidRPr="00F04EE7">
        <w:rPr>
          <w:sz w:val="24"/>
          <w:lang w:val="fi-FI"/>
        </w:rPr>
        <w:t xml:space="preserve">JO L 330 du 20.9.2021, p. 1, ELI: </w:t>
      </w:r>
      <w:hyperlink r:id="rId3" w:history="1">
        <w:r w:rsidRPr="00F04EE7">
          <w:rPr>
            <w:rStyle w:val="Hyperlink"/>
            <w:sz w:val="24"/>
            <w:lang w:val="fi-FI"/>
          </w:rPr>
          <w:t>http://data.europa.eu/eli/reg/2021/1529/oj</w:t>
        </w:r>
      </w:hyperlink>
      <w:r w:rsidRPr="00F04EE7">
        <w:rPr>
          <w:sz w:val="24"/>
          <w:lang w:val="fi-FI"/>
        </w:rPr>
        <w:t>.</w:t>
      </w:r>
    </w:p>
  </w:footnote>
  <w:footnote w:id="4">
    <w:p w:rsidR="0068535B" w:rsidRPr="00F04EE7" w:rsidRDefault="0068535B" w:rsidP="00FA197A">
      <w:pPr>
        <w:pStyle w:val="FootnoteText"/>
        <w:ind w:left="567" w:hanging="567"/>
        <w:rPr>
          <w:sz w:val="24"/>
          <w:lang w:val="fi-FI"/>
        </w:rPr>
      </w:pPr>
      <w:r w:rsidRPr="00FA197A">
        <w:rPr>
          <w:rStyle w:val="FootnoteReference"/>
          <w:sz w:val="24"/>
        </w:rPr>
        <w:footnoteRef/>
      </w:r>
      <w:r w:rsidR="00FA197A" w:rsidRPr="00F04EE7">
        <w:rPr>
          <w:sz w:val="24"/>
          <w:lang w:val="fi-FI"/>
        </w:rPr>
        <w:t xml:space="preserve"> </w:t>
      </w:r>
      <w:r w:rsidR="00FA197A" w:rsidRPr="00F04EE7">
        <w:rPr>
          <w:sz w:val="24"/>
          <w:lang w:val="fi-FI"/>
        </w:rPr>
        <w:tab/>
      </w:r>
      <w:r w:rsidRPr="00F04EE7">
        <w:rPr>
          <w:sz w:val="24"/>
          <w:lang w:val="fi-FI"/>
        </w:rPr>
        <w:t>JO L, 2024/1449</w:t>
      </w:r>
      <w:r w:rsidR="00D76AFA" w:rsidRPr="00F04EE7">
        <w:rPr>
          <w:sz w:val="24"/>
          <w:lang w:val="fi-FI"/>
        </w:rPr>
        <w:t>,</w:t>
      </w:r>
      <w:r w:rsidRPr="00F04EE7">
        <w:rPr>
          <w:sz w:val="24"/>
          <w:lang w:val="fi-FI"/>
        </w:rPr>
        <w:t xml:space="preserve"> 24.5.2024, </w:t>
      </w:r>
      <w:r w:rsidRPr="00F04EE7">
        <w:rPr>
          <w:color w:val="333333"/>
          <w:sz w:val="24"/>
          <w:shd w:val="clear" w:color="auto" w:fill="FFFFFF"/>
          <w:lang w:val="fi-FI"/>
        </w:rPr>
        <w:t>ELI: </w:t>
      </w:r>
      <w:hyperlink r:id="rId4" w:tooltip="Permet d’accéder à ce document par l’intermédiaire de son URI ELI." w:history="1">
        <w:r w:rsidRPr="00F04EE7">
          <w:rPr>
            <w:color w:val="337AB7"/>
            <w:sz w:val="24"/>
            <w:u w:val="single"/>
            <w:shd w:val="clear" w:color="auto" w:fill="FFFFFF"/>
            <w:lang w:val="fi-FI"/>
          </w:rPr>
          <w:t>http://data.europa.eu/eli/reg/2024/1449/oj</w:t>
        </w:r>
      </w:hyperlink>
      <w:r w:rsidRPr="00F04EE7">
        <w:rPr>
          <w:sz w:val="24"/>
          <w:lang w:val="fi-FI"/>
        </w:rPr>
        <w:t>.</w:t>
      </w:r>
    </w:p>
  </w:footnote>
  <w:footnote w:id="5">
    <w:p w:rsidR="0068535B" w:rsidRPr="00F04EE7" w:rsidRDefault="0068535B" w:rsidP="00FA197A">
      <w:pPr>
        <w:pStyle w:val="FootnoteText"/>
        <w:ind w:left="567" w:hanging="567"/>
        <w:rPr>
          <w:sz w:val="24"/>
          <w:lang w:val="fi-FI"/>
        </w:rPr>
      </w:pPr>
      <w:r w:rsidRPr="00FA197A">
        <w:rPr>
          <w:rStyle w:val="FootnoteReference"/>
          <w:sz w:val="24"/>
        </w:rPr>
        <w:footnoteRef/>
      </w:r>
      <w:r w:rsidR="00FA197A" w:rsidRPr="00F04EE7">
        <w:rPr>
          <w:sz w:val="24"/>
          <w:lang w:val="fi-FI"/>
        </w:rPr>
        <w:t xml:space="preserve"> </w:t>
      </w:r>
      <w:r w:rsidR="00FA197A" w:rsidRPr="00F04EE7">
        <w:rPr>
          <w:sz w:val="24"/>
          <w:lang w:val="fi-FI"/>
        </w:rPr>
        <w:tab/>
      </w:r>
      <w:r w:rsidRPr="00F04EE7">
        <w:rPr>
          <w:sz w:val="24"/>
          <w:lang w:val="fi-FI"/>
        </w:rPr>
        <w:t xml:space="preserve">JO L 146 du 6.6.2023, p. 22, ELI: </w:t>
      </w:r>
      <w:hyperlink r:id="rId5" w:history="1">
        <w:r w:rsidRPr="00F04EE7">
          <w:rPr>
            <w:rStyle w:val="Hyperlink"/>
            <w:sz w:val="24"/>
            <w:lang w:val="fi-FI"/>
          </w:rPr>
          <w:t>http://data.europa.eu/eli/dec/2023/1095/oj</w:t>
        </w:r>
      </w:hyperlink>
      <w:r w:rsidRPr="00F04EE7">
        <w:rPr>
          <w:rStyle w:val="Hyperlink"/>
          <w:sz w:val="24"/>
          <w:lang w:val="fi-FI"/>
        </w:rPr>
        <w:t>.</w:t>
      </w:r>
    </w:p>
  </w:footnote>
  <w:footnote w:id="6">
    <w:p w:rsidR="0068535B" w:rsidRPr="00F04EE7" w:rsidRDefault="0068535B" w:rsidP="00FA197A">
      <w:pPr>
        <w:pStyle w:val="FootnoteText"/>
        <w:ind w:left="567" w:hanging="567"/>
        <w:rPr>
          <w:sz w:val="24"/>
          <w:lang w:val="fi-FI"/>
        </w:rPr>
      </w:pPr>
      <w:r w:rsidRPr="00FA197A">
        <w:rPr>
          <w:rStyle w:val="FootnoteReference"/>
          <w:sz w:val="24"/>
        </w:rPr>
        <w:footnoteRef/>
      </w:r>
      <w:r w:rsidR="00FA197A" w:rsidRPr="00F04EE7">
        <w:rPr>
          <w:sz w:val="24"/>
          <w:lang w:val="fi-FI"/>
        </w:rPr>
        <w:t xml:space="preserve"> </w:t>
      </w:r>
      <w:r w:rsidR="00FA197A" w:rsidRPr="00F04EE7">
        <w:rPr>
          <w:sz w:val="24"/>
          <w:lang w:val="fi-FI"/>
        </w:rPr>
        <w:tab/>
      </w:r>
      <w:r w:rsidRPr="00F04EE7">
        <w:rPr>
          <w:sz w:val="24"/>
          <w:lang w:val="fi-FI"/>
        </w:rPr>
        <w:t xml:space="preserve">JO L 110 du 25.4.2023, p. 1, ELI: </w:t>
      </w:r>
      <w:hyperlink r:id="rId6" w:history="1">
        <w:r w:rsidRPr="00F04EE7">
          <w:rPr>
            <w:rStyle w:val="Hyperlink"/>
            <w:sz w:val="24"/>
            <w:lang w:val="fi-FI"/>
          </w:rPr>
          <w:t>http://data.europa.eu/eli/reg/2023/850/oj</w:t>
        </w:r>
      </w:hyperlink>
      <w:r w:rsidRPr="00F04EE7">
        <w:rPr>
          <w:sz w:val="24"/>
          <w:lang w:val="fi-FI"/>
        </w:rPr>
        <w:t>.</w:t>
      </w:r>
    </w:p>
  </w:footnote>
  <w:footnote w:id="7">
    <w:p w:rsidR="0068535B" w:rsidRPr="00FA197A" w:rsidRDefault="0068535B" w:rsidP="00FA197A">
      <w:pPr>
        <w:pStyle w:val="FootnoteText"/>
        <w:ind w:left="567" w:hanging="567"/>
        <w:rPr>
          <w:sz w:val="24"/>
        </w:rPr>
      </w:pPr>
      <w:r w:rsidRPr="00FA197A">
        <w:rPr>
          <w:rStyle w:val="FootnoteReference"/>
          <w:sz w:val="24"/>
        </w:rPr>
        <w:footnoteRef/>
      </w:r>
      <w:r w:rsidR="00FA197A" w:rsidRPr="00FA197A">
        <w:rPr>
          <w:sz w:val="24"/>
        </w:rPr>
        <w:t xml:space="preserve"> </w:t>
      </w:r>
      <w:r w:rsidR="00FA197A" w:rsidRPr="00FA197A">
        <w:rPr>
          <w:sz w:val="24"/>
        </w:rPr>
        <w:tab/>
      </w:r>
      <w:r w:rsidRPr="00FA197A">
        <w:rPr>
          <w:sz w:val="24"/>
        </w:rPr>
        <w:t xml:space="preserve">Directive (UE) 2024/1069 du Parlement européen et du Conseil du 11 avril 2024 sur la protection des personnes qui participent au débat public contre les demandes en justice manifestement infondées ou les procédures judiciaires abusives («poursuites stratégiques altérant le débat public») (JO L, 2024/1069, 16.4.2024, ELI: </w:t>
      </w:r>
      <w:hyperlink r:id="rId7" w:history="1">
        <w:r w:rsidRPr="00FA197A">
          <w:rPr>
            <w:rStyle w:val="Hyperlink"/>
            <w:sz w:val="24"/>
          </w:rPr>
          <w:t>http://data.europa.eu/eli/dir/2024/1069/oj</w:t>
        </w:r>
      </w:hyperlink>
      <w:r w:rsidRPr="00FA197A">
        <w:rPr>
          <w:sz w:val="24"/>
        </w:rPr>
        <w:t>).</w:t>
      </w:r>
    </w:p>
  </w:footnote>
  <w:footnote w:id="8">
    <w:p w:rsidR="0068535B" w:rsidRPr="00FA197A" w:rsidRDefault="0068535B" w:rsidP="00FA197A">
      <w:pPr>
        <w:pStyle w:val="FootnoteText"/>
        <w:ind w:left="567" w:hanging="567"/>
        <w:rPr>
          <w:sz w:val="24"/>
        </w:rPr>
      </w:pPr>
      <w:r w:rsidRPr="00FA197A">
        <w:rPr>
          <w:rStyle w:val="FootnoteReference"/>
          <w:sz w:val="24"/>
        </w:rPr>
        <w:footnoteRef/>
      </w:r>
      <w:r w:rsidR="00FA197A" w:rsidRPr="00FA197A">
        <w:rPr>
          <w:sz w:val="24"/>
        </w:rPr>
        <w:t xml:space="preserve"> </w:t>
      </w:r>
      <w:r w:rsidR="00FA197A" w:rsidRPr="00FA197A">
        <w:rPr>
          <w:sz w:val="24"/>
        </w:rPr>
        <w:tab/>
      </w:r>
      <w:r w:rsidRPr="00FA197A">
        <w:rPr>
          <w:sz w:val="24"/>
        </w:rPr>
        <w:t xml:space="preserve">Directive (UE) 2022/2555 du Parlement européen et du Conseil du 14 décembre 2022 concernant des mesures destinées à assurer un niveau élevé commun de </w:t>
      </w:r>
      <w:proofErr w:type="spellStart"/>
      <w:r w:rsidRPr="00FA197A">
        <w:rPr>
          <w:sz w:val="24"/>
        </w:rPr>
        <w:t>cybersécurité</w:t>
      </w:r>
      <w:proofErr w:type="spellEnd"/>
      <w:r w:rsidRPr="00FA197A">
        <w:rPr>
          <w:sz w:val="24"/>
        </w:rPr>
        <w:t xml:space="preserve"> dans l’ensemble de l’Union, modifiant le règlement (UE) nº 910/2014 et la directive (UE) 2018/1972, et abrogeant la directive (UE) 2016/1148 (directive SRI 2) (JO L 333 du 27.12.2022, p. 80, ELI: </w:t>
      </w:r>
      <w:hyperlink r:id="rId8" w:history="1">
        <w:r w:rsidRPr="00FA197A">
          <w:rPr>
            <w:rStyle w:val="Hyperlink"/>
            <w:sz w:val="24"/>
          </w:rPr>
          <w:t>http://data.europa.eu/eli/dir/2022/2555/oj</w:t>
        </w:r>
      </w:hyperlink>
      <w:r w:rsidRPr="00FA197A">
        <w:rPr>
          <w:sz w:val="24"/>
        </w:rPr>
        <w:t xml:space="preserve">). </w:t>
      </w:r>
    </w:p>
  </w:footnote>
  <w:footnote w:id="9">
    <w:p w:rsidR="0068535B" w:rsidRPr="00FA197A" w:rsidRDefault="0068535B" w:rsidP="00FA197A">
      <w:pPr>
        <w:pStyle w:val="FootnoteText"/>
        <w:ind w:left="567" w:hanging="567"/>
        <w:rPr>
          <w:sz w:val="24"/>
        </w:rPr>
      </w:pPr>
      <w:r w:rsidRPr="00FA197A">
        <w:rPr>
          <w:rStyle w:val="FootnoteReference"/>
          <w:sz w:val="24"/>
        </w:rPr>
        <w:footnoteRef/>
      </w:r>
      <w:r w:rsidR="00FA197A" w:rsidRPr="00FA197A">
        <w:rPr>
          <w:sz w:val="24"/>
        </w:rPr>
        <w:t xml:space="preserve"> </w:t>
      </w:r>
      <w:r w:rsidR="00FA197A" w:rsidRPr="00FA197A">
        <w:rPr>
          <w:sz w:val="24"/>
        </w:rPr>
        <w:tab/>
      </w:r>
      <w:r w:rsidRPr="00FA197A">
        <w:rPr>
          <w:sz w:val="24"/>
        </w:rPr>
        <w:t xml:space="preserve">Règlement (UE) 2022/2065 du Parlement européen et du Conseil du 19 octobre 2022 relatif à un marché unique des services numériques et modifiant la directive 2000/31/CE (règlement sur les services numériques) (JO L 277 du 27.10.2022, p. 1, ELI: </w:t>
      </w:r>
      <w:hyperlink r:id="rId9" w:history="1">
        <w:r w:rsidRPr="00FA197A">
          <w:rPr>
            <w:rStyle w:val="Hyperlink"/>
            <w:sz w:val="24"/>
          </w:rPr>
          <w:t>http://data.europa.eu/eli/reg/2022/2065/oj</w:t>
        </w:r>
      </w:hyperlink>
      <w:r w:rsidRPr="00FA197A">
        <w:rPr>
          <w:sz w:val="24"/>
        </w:rPr>
        <w:t xml:space="preserve">). </w:t>
      </w:r>
    </w:p>
  </w:footnote>
  <w:footnote w:id="10">
    <w:p w:rsidR="0068535B" w:rsidRPr="00FA197A" w:rsidRDefault="0068535B" w:rsidP="00FA197A">
      <w:pPr>
        <w:ind w:left="567" w:hanging="567"/>
      </w:pPr>
      <w:r w:rsidRPr="00FA197A">
        <w:rPr>
          <w:rStyle w:val="FootnoteReference"/>
        </w:rPr>
        <w:footnoteRef/>
      </w:r>
      <w:r w:rsidR="00FA197A" w:rsidRPr="00FA197A">
        <w:t xml:space="preserve"> </w:t>
      </w:r>
      <w:r w:rsidR="00FA197A" w:rsidRPr="00FA197A">
        <w:tab/>
      </w:r>
      <w:r w:rsidRPr="00FA197A">
        <w:t xml:space="preserve">Règlement (UE) 2022/1925 du Parlement européen et du Conseil du 14 septembre 2022 relatif aux marchés contestables et équitables dans le secteur numérique et modifiant les directives (UE) 2019/1937 et (UE) 2020/1828 (règlement sur les marchés numériques) (JO L 265 du 12.10.2022, p. 1, ELI: </w:t>
      </w:r>
      <w:hyperlink r:id="rId10" w:history="1">
        <w:r w:rsidRPr="00FA197A">
          <w:rPr>
            <w:rStyle w:val="Hyperlink"/>
          </w:rPr>
          <w:t>http://data.europa.eu/eli/reg/2022/1925/oj</w:t>
        </w:r>
      </w:hyperlink>
      <w:r w:rsidRPr="00FA197A">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197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197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19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5/2025"/>
    <w:docVar w:name="dvlangue" w:val="FR"/>
    <w:docVar w:name="dvnumam" w:val="0"/>
    <w:docVar w:name="dvpe" w:val="767.973"/>
    <w:docVar w:name="dvrapporteur" w:val="Rapporteur: "/>
    <w:docVar w:name="dvtitre" w:val="Résolution du Parlement européen du ... mai 2025 sur les rapports 2023 et 2024 de la Commission sur le Kosovo(2025/2019(INI))"/>
  </w:docVars>
  <w:rsids>
    <w:rsidRoot w:val="00DC3EC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0E2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4429"/>
    <w:rsid w:val="006631B6"/>
    <w:rsid w:val="00680577"/>
    <w:rsid w:val="0068535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E13"/>
    <w:rsid w:val="00930C23"/>
    <w:rsid w:val="0093193B"/>
    <w:rsid w:val="00942F44"/>
    <w:rsid w:val="009509D8"/>
    <w:rsid w:val="00950B64"/>
    <w:rsid w:val="00981893"/>
    <w:rsid w:val="00A1687D"/>
    <w:rsid w:val="00A43E52"/>
    <w:rsid w:val="00A4678D"/>
    <w:rsid w:val="00A778C7"/>
    <w:rsid w:val="00AB441E"/>
    <w:rsid w:val="00AB6293"/>
    <w:rsid w:val="00AE0928"/>
    <w:rsid w:val="00AF389F"/>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6AFA"/>
    <w:rsid w:val="00D834A0"/>
    <w:rsid w:val="00D872DF"/>
    <w:rsid w:val="00D91E21"/>
    <w:rsid w:val="00DA7FCD"/>
    <w:rsid w:val="00DC3ECA"/>
    <w:rsid w:val="00E365E1"/>
    <w:rsid w:val="00E820A4"/>
    <w:rsid w:val="00EB006A"/>
    <w:rsid w:val="00EB4772"/>
    <w:rsid w:val="00ED169E"/>
    <w:rsid w:val="00ED4235"/>
    <w:rsid w:val="00F04346"/>
    <w:rsid w:val="00F04EE7"/>
    <w:rsid w:val="00F075DC"/>
    <w:rsid w:val="00F149E9"/>
    <w:rsid w:val="00F5134D"/>
    <w:rsid w:val="00F74202"/>
    <w:rsid w:val="00F87713"/>
    <w:rsid w:val="00FA197A"/>
    <w:rsid w:val="00FB15B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8B9FCD-276E-4AD8-A77E-4A9F702E4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8535B"/>
    <w:pPr>
      <w:spacing w:after="240"/>
      <w:ind w:left="567" w:hanging="567"/>
    </w:pPr>
  </w:style>
  <w:style w:type="paragraph" w:customStyle="1" w:styleId="EPComma">
    <w:name w:val="EPComma"/>
    <w:basedOn w:val="Normal"/>
    <w:rsid w:val="0068535B"/>
    <w:pPr>
      <w:spacing w:before="480" w:after="240"/>
    </w:pPr>
  </w:style>
  <w:style w:type="character" w:customStyle="1" w:styleId="NormalHanging12aChar">
    <w:name w:val="NormalHanging12a Char"/>
    <w:basedOn w:val="DefaultParagraphFont"/>
    <w:link w:val="NormalHanging12a"/>
    <w:locked/>
    <w:rsid w:val="0068535B"/>
    <w:rPr>
      <w:sz w:val="24"/>
      <w:lang w:val="fr-FR"/>
    </w:rPr>
  </w:style>
  <w:style w:type="paragraph" w:customStyle="1" w:styleId="Normal12a24b">
    <w:name w:val="Normal12a24b"/>
    <w:basedOn w:val="Normal"/>
    <w:rsid w:val="0068535B"/>
    <w:pPr>
      <w:snapToGrid w:val="0"/>
      <w:spacing w:before="360" w:after="240"/>
    </w:pPr>
    <w:rPr>
      <w:lang w:eastAsia="en-US"/>
    </w:rPr>
  </w:style>
  <w:style w:type="character" w:customStyle="1" w:styleId="BoldItalic">
    <w:name w:val="BoldItalic"/>
    <w:uiPriority w:val="1"/>
    <w:rsid w:val="0068535B"/>
    <w:rPr>
      <w:b/>
      <w:bCs w:val="0"/>
      <w:i/>
      <w:iCs w:val="0"/>
      <w:strike w:val="0"/>
      <w:dstrike w:val="0"/>
      <w:u w:val="none"/>
      <w:effect w:val="none"/>
    </w:rPr>
  </w:style>
  <w:style w:type="character" w:styleId="Hyperlink">
    <w:name w:val="Hyperlink"/>
    <w:basedOn w:val="DefaultParagraphFont"/>
    <w:uiPriority w:val="99"/>
    <w:unhideWhenUsed/>
    <w:rsid w:val="0068535B"/>
    <w:rPr>
      <w:color w:val="0000FF"/>
      <w:u w:val="single"/>
    </w:rPr>
  </w:style>
  <w:style w:type="paragraph" w:styleId="BalloonText">
    <w:name w:val="Balloon Text"/>
    <w:basedOn w:val="Normal"/>
    <w:link w:val="BalloonTextChar"/>
    <w:rsid w:val="00FB15BF"/>
    <w:rPr>
      <w:rFonts w:ascii="Segoe UI" w:hAnsi="Segoe UI" w:cs="Segoe UI"/>
      <w:sz w:val="18"/>
      <w:szCs w:val="18"/>
    </w:rPr>
  </w:style>
  <w:style w:type="character" w:customStyle="1" w:styleId="BalloonTextChar">
    <w:name w:val="Balloon Text Char"/>
    <w:basedOn w:val="DefaultParagraphFont"/>
    <w:link w:val="BalloonText"/>
    <w:rsid w:val="00FB15BF"/>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555/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dir/2024/106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reg/2023/850/oj" TargetMode="External"/><Relationship Id="rId5" Type="http://schemas.openxmlformats.org/officeDocument/2006/relationships/hyperlink" Target="http://data.europa.eu/eli/dec/2023/1095/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reg/2024/1449/oj" TargetMode="External"/><Relationship Id="rId9"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CB57D-90CD-4308-BC6F-76E712476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6978</Words>
  <Characters>39775</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DELECROIX Dorothee</cp:lastModifiedBy>
  <cp:revision>2</cp:revision>
  <cp:lastPrinted>2004-11-19T15:42:00Z</cp:lastPrinted>
  <dcterms:created xsi:type="dcterms:W3CDTF">2025-05-07T16:29:00Z</dcterms:created>
  <dcterms:modified xsi:type="dcterms:W3CDTF">2025-05-07T16:29:00Z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A10-0075/2025</vt:lpwstr>
  </property>
  <property fmtid="{D5CDD505-2E9C-101B-9397-08002B2CF9AE}" pid="4" name="&lt;Type&gt;">
    <vt:lpwstr>RR</vt:lpwstr>
  </property>
</Properties>
</file>