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775A" w:rsidTr="0010095E">
        <w:trPr>
          <w:trHeight w:hRule="exact" w:val="1418"/>
        </w:trPr>
        <w:tc>
          <w:tcPr>
            <w:tcW w:w="6804" w:type="dxa"/>
            <w:shd w:val="clear" w:color="auto" w:fill="auto"/>
            <w:vAlign w:val="center"/>
          </w:tcPr>
          <w:p w:rsidR="00751A4A" w:rsidRPr="0077775A" w:rsidRDefault="00B37849" w:rsidP="0010095E">
            <w:pPr>
              <w:pStyle w:val="EPName"/>
            </w:pPr>
            <w:r w:rsidRPr="0077775A">
              <w:t>Europos Parlamentas</w:t>
            </w:r>
          </w:p>
          <w:p w:rsidR="00751A4A" w:rsidRPr="0077775A" w:rsidRDefault="005F1B17" w:rsidP="005F1B17">
            <w:pPr>
              <w:pStyle w:val="EPTerm"/>
              <w:rPr>
                <w:rStyle w:val="HideTWBExt"/>
                <w:noProof w:val="0"/>
                <w:vanish w:val="0"/>
                <w:color w:val="auto"/>
              </w:rPr>
            </w:pPr>
            <w:r w:rsidRPr="0077775A">
              <w:t>2024</w:t>
            </w:r>
            <w:r w:rsidR="00817416" w:rsidRPr="0077775A">
              <w:t>-202</w:t>
            </w:r>
            <w:r w:rsidRPr="0077775A">
              <w:t>9</w:t>
            </w:r>
          </w:p>
        </w:tc>
        <w:tc>
          <w:tcPr>
            <w:tcW w:w="2268" w:type="dxa"/>
            <w:shd w:val="clear" w:color="auto" w:fill="auto"/>
          </w:tcPr>
          <w:p w:rsidR="00751A4A" w:rsidRPr="0077775A" w:rsidRDefault="00187494" w:rsidP="0010095E">
            <w:pPr>
              <w:pStyle w:val="EPLogo"/>
            </w:pPr>
            <w:r w:rsidRPr="007777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775A" w:rsidRDefault="00D058B8" w:rsidP="004C5D52">
      <w:pPr>
        <w:pStyle w:val="LineTop"/>
      </w:pPr>
    </w:p>
    <w:p w:rsidR="00680577" w:rsidRPr="0077775A" w:rsidRDefault="00B37849" w:rsidP="00680577">
      <w:pPr>
        <w:pStyle w:val="EPBodyTA1"/>
      </w:pPr>
      <w:r w:rsidRPr="0077775A">
        <w:t>PRIIMTI TEKSTAI</w:t>
      </w:r>
    </w:p>
    <w:p w:rsidR="00D058B8" w:rsidRPr="0077775A" w:rsidRDefault="00D058B8" w:rsidP="00D058B8">
      <w:pPr>
        <w:pStyle w:val="LineBottom"/>
      </w:pPr>
    </w:p>
    <w:p w:rsidR="00B37849" w:rsidRPr="0077775A" w:rsidRDefault="00B37849" w:rsidP="00B37849">
      <w:pPr>
        <w:pStyle w:val="ATHeading1"/>
      </w:pPr>
      <w:bookmarkStart w:id="0" w:name="TANumber"/>
      <w:r w:rsidRPr="0077775A">
        <w:t>P10_TA(2025)00</w:t>
      </w:r>
      <w:r w:rsidR="00672C97">
        <w:t>94</w:t>
      </w:r>
      <w:bookmarkEnd w:id="0"/>
    </w:p>
    <w:p w:rsidR="00B37849" w:rsidRPr="0077775A" w:rsidRDefault="00B37849" w:rsidP="00B37849">
      <w:pPr>
        <w:pStyle w:val="ATHeading2"/>
      </w:pPr>
      <w:bookmarkStart w:id="1" w:name="title"/>
      <w:r w:rsidRPr="0077775A">
        <w:t>2023 ir 2024 m. ataskaitos dėl Kosovo</w:t>
      </w:r>
      <w:bookmarkEnd w:id="1"/>
    </w:p>
    <w:p w:rsidR="00B37849" w:rsidRPr="0077775A" w:rsidRDefault="00B37849" w:rsidP="00B37849">
      <w:pPr>
        <w:rPr>
          <w:i/>
          <w:vanish/>
        </w:rPr>
      </w:pPr>
      <w:r w:rsidRPr="0077775A">
        <w:rPr>
          <w:i/>
        </w:rPr>
        <w:fldChar w:fldCharType="begin"/>
      </w:r>
      <w:r w:rsidRPr="0077775A">
        <w:rPr>
          <w:i/>
        </w:rPr>
        <w:instrText xml:space="preserve"> TC"(</w:instrText>
      </w:r>
      <w:bookmarkStart w:id="2" w:name="DocNumber"/>
      <w:r w:rsidRPr="0077775A">
        <w:rPr>
          <w:i/>
        </w:rPr>
        <w:instrText>A10-0075/2025</w:instrText>
      </w:r>
      <w:bookmarkEnd w:id="2"/>
      <w:r w:rsidRPr="0077775A">
        <w:rPr>
          <w:i/>
        </w:rPr>
        <w:instrText xml:space="preserve"> - Pranešėjas: Riho Terras)"\l3 \n&gt; \* MERGEFORMAT </w:instrText>
      </w:r>
      <w:r w:rsidRPr="0077775A">
        <w:rPr>
          <w:i/>
        </w:rPr>
        <w:fldChar w:fldCharType="end"/>
      </w:r>
    </w:p>
    <w:p w:rsidR="00B37849" w:rsidRPr="0077775A" w:rsidRDefault="00B37849" w:rsidP="00B37849">
      <w:pPr>
        <w:rPr>
          <w:vanish/>
        </w:rPr>
      </w:pPr>
      <w:bookmarkStart w:id="3" w:name="Commission"/>
      <w:r w:rsidRPr="0077775A">
        <w:rPr>
          <w:vanish/>
        </w:rPr>
        <w:t>Užsienio reikalų komitetas</w:t>
      </w:r>
      <w:bookmarkEnd w:id="3"/>
    </w:p>
    <w:p w:rsidR="00B37849" w:rsidRPr="0077775A" w:rsidRDefault="00B37849" w:rsidP="00B37849">
      <w:pPr>
        <w:rPr>
          <w:vanish/>
        </w:rPr>
      </w:pPr>
      <w:bookmarkStart w:id="4" w:name="PE"/>
      <w:r w:rsidRPr="0077775A">
        <w:rPr>
          <w:vanish/>
        </w:rPr>
        <w:t>PE767.973</w:t>
      </w:r>
      <w:bookmarkEnd w:id="4"/>
    </w:p>
    <w:p w:rsidR="00B37849" w:rsidRPr="0077775A" w:rsidRDefault="00753A3B" w:rsidP="00B37849">
      <w:pPr>
        <w:pStyle w:val="ATHeading3"/>
      </w:pPr>
      <w:bookmarkStart w:id="5" w:name="Sujet"/>
      <w:r>
        <w:t>2025 m. gegužės 7 d. E</w:t>
      </w:r>
      <w:r w:rsidR="00B37849" w:rsidRPr="0077775A">
        <w:t>uropos Parlamento rezoliucija dėl 2023 ir 2024 m. Komisijos ataskaitų dėl Kosovo</w:t>
      </w:r>
      <w:bookmarkEnd w:id="5"/>
      <w:r w:rsidR="00B37849" w:rsidRPr="0077775A">
        <w:t xml:space="preserve"> </w:t>
      </w:r>
      <w:bookmarkStart w:id="6" w:name="References"/>
      <w:r w:rsidR="00B37849" w:rsidRPr="0077775A">
        <w:t>(2025/2019(INI))</w:t>
      </w:r>
      <w:bookmarkEnd w:id="6"/>
    </w:p>
    <w:p w:rsidR="00C21F23" w:rsidRPr="0077775A" w:rsidRDefault="00C21F23" w:rsidP="00C21F23">
      <w:pPr>
        <w:pStyle w:val="EPComma"/>
      </w:pPr>
      <w:r w:rsidRPr="0077775A">
        <w:rPr>
          <w:i/>
        </w:rPr>
        <w:t>Europos Parlamentas</w:t>
      </w:r>
      <w:r w:rsidRPr="0077775A">
        <w:t>,</w:t>
      </w:r>
    </w:p>
    <w:p w:rsidR="00C21F23" w:rsidRPr="0077775A" w:rsidRDefault="00C21F23" w:rsidP="00C21F23">
      <w:pPr>
        <w:pStyle w:val="NormalHanging12a"/>
      </w:pPr>
      <w:r w:rsidRPr="0077775A">
        <w:t>–</w:t>
      </w:r>
      <w:r w:rsidRPr="0077775A">
        <w:tab/>
        <w:t>atsižvelgdamas į Europos Sąjungos bei Europos atominės energijos bendrijos ir Kosovo stabilizacijos ir asociacijos susitarimą (SAS)</w:t>
      </w:r>
      <w:r w:rsidRPr="0077775A">
        <w:rPr>
          <w:vertAlign w:val="superscript"/>
        </w:rPr>
        <w:footnoteReference w:id="1"/>
      </w:r>
      <w:r w:rsidRPr="0077775A">
        <w:t>, kuris įsigaliojo 2016 m. balandžio 1 d.,</w:t>
      </w:r>
    </w:p>
    <w:p w:rsidR="00C21F23" w:rsidRPr="0077775A" w:rsidRDefault="00C21F23" w:rsidP="00C21F23">
      <w:pPr>
        <w:pStyle w:val="NormalHanging12a"/>
      </w:pPr>
      <w:r w:rsidRPr="0077775A">
        <w:t>–</w:t>
      </w:r>
      <w:r w:rsidRPr="0077775A">
        <w:tab/>
        <w:t>atsižvelgdamas į 2022 m. gruodžio 15 d. Kosovo narystės Europos Sąjungoje prašymą,</w:t>
      </w:r>
    </w:p>
    <w:p w:rsidR="00C21F23" w:rsidRPr="0077775A" w:rsidRDefault="00C21F23" w:rsidP="00C21F23">
      <w:pPr>
        <w:pStyle w:val="NormalHanging12a"/>
      </w:pPr>
      <w:r w:rsidRPr="0077775A">
        <w:t>–</w:t>
      </w:r>
      <w:r w:rsidRPr="0077775A">
        <w:tab/>
        <w:t>atsižvelgdamas į 2022 m. gegužės 12 d. Kosovo paraišką dėl narystės Europos Taryboje,</w:t>
      </w:r>
    </w:p>
    <w:p w:rsidR="00C21F23" w:rsidRPr="0077775A" w:rsidRDefault="00C21F23" w:rsidP="00C21F23">
      <w:pPr>
        <w:pStyle w:val="NormalHanging12a"/>
      </w:pPr>
      <w:r w:rsidRPr="0077775A">
        <w:t>–</w:t>
      </w:r>
      <w:r w:rsidRPr="0077775A">
        <w:tab/>
        <w:t>atsižvelgdamas į Europos Sąjungos ir Kosovo bendrąjį susitarimą dėl Kosovo dalyvavimo Sąjungos programose bendrųjų principų</w:t>
      </w:r>
      <w:r w:rsidRPr="0077775A">
        <w:rPr>
          <w:vertAlign w:val="superscript"/>
        </w:rPr>
        <w:footnoteReference w:id="2"/>
      </w:r>
      <w:r w:rsidRPr="0077775A">
        <w:t>, kuris galioja nuo 2017 m. rugpjūčio 1 d.,</w:t>
      </w:r>
    </w:p>
    <w:p w:rsidR="00C21F23" w:rsidRPr="0077775A" w:rsidRDefault="00C21F23" w:rsidP="00C21F23">
      <w:pPr>
        <w:pStyle w:val="NormalHanging12a"/>
      </w:pPr>
      <w:r w:rsidRPr="0077775A">
        <w:t>–</w:t>
      </w:r>
      <w:r w:rsidRPr="0077775A">
        <w:tab/>
        <w:t>atsižvelgdamas į 2021 m. rugsėjo 15 d. Europos Parlamento ir Tarybos reglamentą (ES) 2021/1529</w:t>
      </w:r>
      <w:r w:rsidR="00C62C81" w:rsidRPr="0077775A">
        <w:rPr>
          <w:vertAlign w:val="superscript"/>
        </w:rPr>
        <w:footnoteReference w:id="3"/>
      </w:r>
      <w:r w:rsidRPr="0077775A">
        <w:t>, kuriuo nustatoma Pasirengimo narystei paramos priemonė (PNPP III),</w:t>
      </w:r>
    </w:p>
    <w:p w:rsidR="00C21F23" w:rsidRPr="0077775A" w:rsidRDefault="00C21F23" w:rsidP="00C21F23">
      <w:pPr>
        <w:pStyle w:val="NormalHanging12a"/>
      </w:pPr>
      <w:r w:rsidRPr="0077775A">
        <w:t>–</w:t>
      </w:r>
      <w:r w:rsidRPr="0077775A">
        <w:tab/>
        <w:t>atsižvelgdamas į 2024 m. gegužės 14 d. Europos Parlamento ir Tarybos reglamentą (ES) 2024/1449</w:t>
      </w:r>
      <w:r w:rsidR="00C62C81" w:rsidRPr="0077775A">
        <w:rPr>
          <w:vertAlign w:val="superscript"/>
        </w:rPr>
        <w:footnoteReference w:id="4"/>
      </w:r>
      <w:r w:rsidRPr="0077775A">
        <w:t>, kuriuo nustatoma Vakarų Balkanų reformų ir ekonomikos augimo priemonė,</w:t>
      </w:r>
    </w:p>
    <w:p w:rsidR="00C21F23" w:rsidRPr="0077775A" w:rsidRDefault="00C21F23" w:rsidP="00C21F23">
      <w:pPr>
        <w:pStyle w:val="NormalHanging12a"/>
      </w:pPr>
      <w:r w:rsidRPr="0077775A">
        <w:lastRenderedPageBreak/>
        <w:t>–</w:t>
      </w:r>
      <w:r w:rsidRPr="0077775A">
        <w:tab/>
        <w:t>atsižvelgdamas į 2003 m. birželio 19–20 d. Salonikuose vykusiame Europos Vadovų Tarybos susitikime pateiktas pirmininkavusios valstybės narės išvadas,</w:t>
      </w:r>
    </w:p>
    <w:p w:rsidR="00C21F23" w:rsidRPr="0077775A" w:rsidRDefault="00C21F23" w:rsidP="00C21F23">
      <w:pPr>
        <w:pStyle w:val="NormalHanging12a"/>
      </w:pPr>
      <w:r w:rsidRPr="0077775A">
        <w:t>–</w:t>
      </w:r>
      <w:r w:rsidRPr="0077775A">
        <w:tab/>
        <w:t xml:space="preserve">atsižvelgdamas į 2018 m. gegužės 17 d. Sofijoje, 2020 m. gegužės 6 d. Zagrebe, 2021 m. spalio 6 d. Brdo pri Kranju, 2022 m. gruodžio 6 d. Tiranoje, 2023 m. gruodžio 13 d. Briuselyje ir 2024 m. gruodžio 18 d. Briuselyje vykusių ES ir Vakarų Balkanų aukščiausiojo lygio susitikimų deklaracijas, </w:t>
      </w:r>
    </w:p>
    <w:p w:rsidR="00C21F23" w:rsidRPr="0077775A" w:rsidRDefault="00C21F23" w:rsidP="00C21F23">
      <w:pPr>
        <w:pStyle w:val="NormalHanging12a"/>
      </w:pPr>
      <w:r w:rsidRPr="0077775A">
        <w:t>–</w:t>
      </w:r>
      <w:r w:rsidRPr="0077775A">
        <w:tab/>
        <w:t>atsižvelgdamas į 2014 m. rugpjūčio 28 d. pradėtą Berlyno procesą,</w:t>
      </w:r>
    </w:p>
    <w:p w:rsidR="00C21F23" w:rsidRPr="0077775A" w:rsidRDefault="00C21F23" w:rsidP="00C21F23">
      <w:pPr>
        <w:pStyle w:val="NormalHanging12a"/>
      </w:pPr>
      <w:r w:rsidRPr="0077775A">
        <w:t>–</w:t>
      </w:r>
      <w:r w:rsidRPr="0077775A">
        <w:tab/>
        <w:t>atsižvelgdamas į 2020 m. vasario 5 d. Komisijos komunikatą „Stojimo proceso stiprinimas. Įtikima ES perspektyva Vakarų Balkanų šalims“ (COM(2020)0057),</w:t>
      </w:r>
    </w:p>
    <w:p w:rsidR="00C21F23" w:rsidRPr="0077775A" w:rsidRDefault="00C21F23" w:rsidP="00C21F23">
      <w:pPr>
        <w:pStyle w:val="NormalHanging12a"/>
      </w:pPr>
      <w:r w:rsidRPr="0077775A">
        <w:t>–</w:t>
      </w:r>
      <w:r w:rsidRPr="0077775A">
        <w:tab/>
        <w:t>atsižvelgdamas į 2020 m. spalio 6 d. Komisijos komunikatą „Vakarų Balkanų ekonomikos ir investicijų planas“ (COM(2020)0641),</w:t>
      </w:r>
    </w:p>
    <w:p w:rsidR="00C21F23" w:rsidRPr="0077775A" w:rsidRDefault="00C21F23" w:rsidP="00C21F23">
      <w:pPr>
        <w:pStyle w:val="NormalHanging12a"/>
      </w:pPr>
      <w:r w:rsidRPr="0077775A">
        <w:t>–</w:t>
      </w:r>
      <w:r w:rsidRPr="0077775A">
        <w:tab/>
        <w:t>atsižvelgdamas į 2023 m. lapkričio 8 d. Komisijos komunikatą „2023 m. komunikatas dėl ES plėtros politikos“ (COM(2023)0690) ir prie jo pridėtą Komisijos tarnybų darbinį dokumentą „2023 m. ataskaita dėl Kosovo“ (SWD(2023)0692),</w:t>
      </w:r>
    </w:p>
    <w:p w:rsidR="00C21F23" w:rsidRPr="0077775A" w:rsidRDefault="00C21F23" w:rsidP="00C21F23">
      <w:pPr>
        <w:pStyle w:val="NormalHanging12a"/>
      </w:pPr>
      <w:r w:rsidRPr="0077775A">
        <w:t>–</w:t>
      </w:r>
      <w:r w:rsidRPr="0077775A">
        <w:tab/>
        <w:t>atsižvelgdamas į 2023 m. lapkričio 8 d. Komisijos komunikatą „Naujas Vakarų Balkanų ekonomikos augimo planas“ (COM(2023)0691),</w:t>
      </w:r>
    </w:p>
    <w:p w:rsidR="00C21F23" w:rsidRPr="0077775A" w:rsidRDefault="00C21F23" w:rsidP="00C21F23">
      <w:pPr>
        <w:pStyle w:val="NormalHanging12a"/>
      </w:pPr>
      <w:r w:rsidRPr="0077775A">
        <w:t>–</w:t>
      </w:r>
      <w:r w:rsidRPr="0077775A">
        <w:tab/>
        <w:t>atsižvelgdamas į 2024 m. kovo 20 d. Komisijos komunikatą dėl plėtrai pasirengti skirtų reformų ir politikos peržiūrų (COM(2024)0146),</w:t>
      </w:r>
    </w:p>
    <w:p w:rsidR="00C21F23" w:rsidRPr="0077775A" w:rsidRDefault="00C21F23" w:rsidP="00C21F23">
      <w:pPr>
        <w:pStyle w:val="NormalHanging12a"/>
      </w:pPr>
      <w:r w:rsidRPr="0077775A">
        <w:t>–</w:t>
      </w:r>
      <w:r w:rsidRPr="0077775A">
        <w:tab/>
        <w:t>atsižvelgdamas į 2024 m. spalio 30 d. Komisijos komunikatą „2024 m. komunikatas dėl ES plėtros politikos“ (COM(2024)0690) ir prie jo pridėtą Komisijos tarnybų darbinį dokumentą „2024 m. ataskaita dėl Kosovo“ (SWD(2024)0692),</w:t>
      </w:r>
    </w:p>
    <w:p w:rsidR="00C21F23" w:rsidRPr="0077775A" w:rsidRDefault="00C21F23" w:rsidP="00C21F23">
      <w:pPr>
        <w:pStyle w:val="NormalHanging12a"/>
      </w:pPr>
      <w:r w:rsidRPr="0077775A">
        <w:t>–</w:t>
      </w:r>
      <w:r w:rsidRPr="0077775A">
        <w:tab/>
        <w:t>atsižvelgdamas į 2023 m. gegužės 31 d. ir 2024 m. birželio 13 d. Komisijos pateiktus bendrą Kosovo ekonominių reformų programos santrauką ir šalių vertinimus,</w:t>
      </w:r>
    </w:p>
    <w:p w:rsidR="00C21F23" w:rsidRPr="0077775A" w:rsidRDefault="00C21F23" w:rsidP="00C21F23">
      <w:pPr>
        <w:pStyle w:val="NormalHanging12a"/>
      </w:pPr>
      <w:r w:rsidRPr="0077775A">
        <w:t>–</w:t>
      </w:r>
      <w:r w:rsidRPr="0077775A">
        <w:tab/>
        <w:t>atsižvelgdamas į 2023 m. gegužės 16 d. Tarybos priimtas ES, Vakarų Balkanų ir Turkijos dialogo ekonomikos ir finansų klausimais bendras išvadas ir 2024 m. gegužės 14 d. Tarybos priimtas ES, Vakarų Balkanų partnerių ir Turkijos, Sakartvelo, Moldovos Respublikos ir Ukrainos dialogo ekonomikos ir finansų klausimais bendras išvadas,</w:t>
      </w:r>
    </w:p>
    <w:p w:rsidR="00C21F23" w:rsidRPr="0077775A" w:rsidRDefault="00C21F23" w:rsidP="00C21F23">
      <w:pPr>
        <w:pStyle w:val="NormalHanging12a"/>
      </w:pPr>
      <w:r w:rsidRPr="0077775A">
        <w:t>–</w:t>
      </w:r>
      <w:r w:rsidRPr="0077775A">
        <w:tab/>
        <w:t xml:space="preserve">atsižvelgdamas į 1999 m. birželio 10 d. JT Saugumo Tarybos rezoliuciją Nr. 1244, 2010 m. liepos 22 d. Tarptautinio Teisingumo Teismo patariamąją nuomonę dėl vienašališko Kosovo nepriklausomybės paskelbimo suderinamumo su tarptautine teise ir </w:t>
      </w:r>
      <w:r w:rsidRPr="0077775A">
        <w:lastRenderedPageBreak/>
        <w:t>2010 m. rugsėjo 9 d. JT Generalinės Asamblėjos rezoliuciją Nr. 64/298, kuria pripažįstamas Tarptautinio Teisingumo Teismo nuomonės turinys ir kurioje teigiamai vertinamas ES pasirengimas sudaryti geresnes sąlygas Serbijos ir Kosovo dialogui,</w:t>
      </w:r>
    </w:p>
    <w:p w:rsidR="00C21F23" w:rsidRPr="0077775A" w:rsidRDefault="00C21F23" w:rsidP="00C21F23">
      <w:pPr>
        <w:pStyle w:val="NormalHanging12a"/>
      </w:pPr>
      <w:r w:rsidRPr="0077775A">
        <w:t>–</w:t>
      </w:r>
      <w:r w:rsidRPr="0077775A">
        <w:tab/>
        <w:t>atsižvelgdamas į 2013 m. balandžio 19 d. pirmąjį susitarimą dėl Serbijos ir Kosovo santykių normalizavimo principų ir 2015 m. rugpjūčio 25 d. susitarimus, taip pat į vykstantį ES tarpininkaujamą dialogą dėl santykių normalizavimo,</w:t>
      </w:r>
    </w:p>
    <w:p w:rsidR="00C21F23" w:rsidRPr="0077775A" w:rsidRDefault="00C21F23" w:rsidP="00C21F23">
      <w:pPr>
        <w:pStyle w:val="NormalHanging12a"/>
      </w:pPr>
      <w:r w:rsidRPr="0077775A">
        <w:t>–</w:t>
      </w:r>
      <w:r w:rsidRPr="0077775A">
        <w:tab/>
        <w:t>atsižvelgdamas į 2023 m. vasario 27 d. Briuselio susitarimą ir 2023 m. kovo 18 d. Ochrido pagrindų susitarimą bei jo įgyvendinimo priedą,</w:t>
      </w:r>
    </w:p>
    <w:p w:rsidR="00C21F23" w:rsidRPr="0077775A" w:rsidRDefault="00C21F23" w:rsidP="00C21F23">
      <w:pPr>
        <w:pStyle w:val="NormalHanging12a"/>
      </w:pPr>
      <w:r w:rsidRPr="0077775A">
        <w:t>–</w:t>
      </w:r>
      <w:r w:rsidRPr="0077775A">
        <w:tab/>
        <w:t>atsižvelgdamas į 2023 m. birželio 5 d. Tarybos sprendimą (BUSP) 2023/1095, kuriuo iš dalies keičiami Bendrieji veiksmai 2008/124/BUSP</w:t>
      </w:r>
      <w:r w:rsidR="00C62C81" w:rsidRPr="0077775A">
        <w:rPr>
          <w:vertAlign w:val="superscript"/>
        </w:rPr>
        <w:footnoteReference w:id="5"/>
      </w:r>
      <w:r w:rsidRPr="0077775A">
        <w:t xml:space="preserve"> dėl Europos Sąjungos teisinės valstybės misijos Kosove (EULEX KOSOVO), ir kuriuo misijos trukmė buvo pratęsta iki 2025 m. birželio 14 d.,</w:t>
      </w:r>
    </w:p>
    <w:p w:rsidR="00C21F23" w:rsidRPr="0077775A" w:rsidRDefault="00C21F23" w:rsidP="00C21F23">
      <w:pPr>
        <w:pStyle w:val="NormalHanging12a"/>
      </w:pPr>
      <w:r w:rsidRPr="0077775A">
        <w:t>–</w:t>
      </w:r>
      <w:r w:rsidRPr="0077775A">
        <w:tab/>
        <w:t>atsižvelgdamas į 2023 m. balandžio 19 d. Europos Parlamento ir Tarybos reglamento (ES) 2023/850</w:t>
      </w:r>
      <w:r w:rsidR="00C62C81" w:rsidRPr="0077775A">
        <w:rPr>
          <w:rStyle w:val="FootnoteReference"/>
        </w:rPr>
        <w:footnoteReference w:id="6"/>
      </w:r>
      <w:r w:rsidRPr="0077775A">
        <w:t>, kuriuo iš dalies keičiamas Reglamentas (ES) 2018/1806, nustatantis trečiųjų šalių, kurių piliečiai, kirsdami išorės sienas, privalo turėti vizas, ir trečiųjų šalių, kurių piliečiams toks reikalavimas netaikomas, sąrašus (Kosovas),</w:t>
      </w:r>
    </w:p>
    <w:p w:rsidR="00C21F23" w:rsidRPr="0077775A" w:rsidRDefault="00C21F23" w:rsidP="00C21F23">
      <w:pPr>
        <w:pStyle w:val="NormalHanging12a"/>
      </w:pPr>
      <w:r w:rsidRPr="0077775A">
        <w:t>–</w:t>
      </w:r>
      <w:r w:rsidRPr="0077775A">
        <w:tab/>
        <w:t>atsižvelgdamas į Europos Sąjungos rinkimų stebėjimo misijos galutinę ataskaitą dėl 2021 m. Kosovo vietos savivaldos rinkimų,</w:t>
      </w:r>
    </w:p>
    <w:p w:rsidR="00C21F23" w:rsidRPr="0077775A" w:rsidRDefault="00C21F23" w:rsidP="00C21F23">
      <w:pPr>
        <w:pStyle w:val="NormalHanging12a"/>
        <w:rPr>
          <w:b/>
          <w:szCs w:val="24"/>
        </w:rPr>
      </w:pPr>
      <w:r w:rsidRPr="0077775A">
        <w:t>–</w:t>
      </w:r>
      <w:r w:rsidRPr="0077775A">
        <w:tab/>
        <w:t>atsižvelgdamas į Europos Sąjungos rinkimų stebėjimo misijos preliminarią ataskaitą dėl 2025 m. Kosovo parlamento rinkimų,</w:t>
      </w:r>
    </w:p>
    <w:p w:rsidR="00C21F23" w:rsidRPr="0077775A" w:rsidRDefault="00C21F23" w:rsidP="00C21F23">
      <w:pPr>
        <w:pStyle w:val="NormalHanging12a"/>
      </w:pPr>
      <w:r w:rsidRPr="0077775A">
        <w:t>–</w:t>
      </w:r>
      <w:r w:rsidRPr="0077775A">
        <w:tab/>
        <w:t>atsižvelgdamas į ketvirtąjį Europos Sąjungos ir Kosovo stabilizacijos ir asociacijos tarybos susitikimą, surengtą 2021 m. gruodžio 7 d. Briuselyje,</w:t>
      </w:r>
    </w:p>
    <w:p w:rsidR="00C21F23" w:rsidRPr="0077775A" w:rsidRDefault="00C21F23" w:rsidP="00C21F23">
      <w:pPr>
        <w:pStyle w:val="NormalHanging12a"/>
      </w:pPr>
      <w:r w:rsidRPr="0077775A">
        <w:t>–</w:t>
      </w:r>
      <w:r w:rsidRPr="0077775A">
        <w:tab/>
        <w:t>atsižvelgdamas į ankstesnes EP rezoliucijas dėl Kosovo,</w:t>
      </w:r>
    </w:p>
    <w:p w:rsidR="00C21F23" w:rsidRPr="0077775A" w:rsidRDefault="00C21F23" w:rsidP="00C21F23">
      <w:pPr>
        <w:pStyle w:val="NormalHanging12a"/>
      </w:pPr>
      <w:r w:rsidRPr="0077775A">
        <w:t>–</w:t>
      </w:r>
      <w:r w:rsidRPr="0077775A">
        <w:tab/>
        <w:t>atsižvelgdamas į 2024 m. gruodžio 9 d. vykusiame ES ir Kosovo stabilizacijos ir asociacijos parlamentinio komiteto 12-ajame posėdyje priimtas bendras rekomendacijas,</w:t>
      </w:r>
    </w:p>
    <w:p w:rsidR="00C21F23" w:rsidRPr="0077775A" w:rsidRDefault="00C21F23" w:rsidP="00C21F23">
      <w:pPr>
        <w:pStyle w:val="NormalHanging12a"/>
      </w:pPr>
      <w:r w:rsidRPr="0077775A">
        <w:t>–</w:t>
      </w:r>
      <w:r w:rsidRPr="0077775A">
        <w:tab/>
        <w:t>atsižvelgdamas į organizacijos „Transparency International“ 2024 m. korupcijos suvokimo indeksą,</w:t>
      </w:r>
    </w:p>
    <w:p w:rsidR="00C21F23" w:rsidRPr="0077775A" w:rsidRDefault="00C21F23" w:rsidP="00C21F23">
      <w:pPr>
        <w:pStyle w:val="NormalHanging12a"/>
      </w:pPr>
      <w:r w:rsidRPr="0077775A">
        <w:t>–</w:t>
      </w:r>
      <w:r w:rsidRPr="0077775A">
        <w:tab/>
        <w:t xml:space="preserve">atsižvelgdamas į organizacijos „Žurnalistai be sienų“ 2024 m. pasaulio spaudos laisvės </w:t>
      </w:r>
      <w:r w:rsidRPr="0077775A">
        <w:lastRenderedPageBreak/>
        <w:t>indeksą,</w:t>
      </w:r>
    </w:p>
    <w:p w:rsidR="00C21F23" w:rsidRPr="0077775A" w:rsidRDefault="00C21F23" w:rsidP="00C21F23">
      <w:pPr>
        <w:pStyle w:val="NormalHanging12a"/>
      </w:pPr>
      <w:r w:rsidRPr="0077775A">
        <w:t>–</w:t>
      </w:r>
      <w:r w:rsidRPr="0077775A">
        <w:tab/>
        <w:t>atsižvelgdamas į 2024 m. kovo mėn. 2024 m. demokratijos ataskaitą, kurią paskelbė Demokratijos įvairovės institutas (angl. „Varieties of Democracy Institute“ – „V-Dem“),</w:t>
      </w:r>
    </w:p>
    <w:p w:rsidR="00C21F23" w:rsidRPr="0077775A" w:rsidRDefault="00C21F23" w:rsidP="00C21F23">
      <w:pPr>
        <w:pStyle w:val="NormalHanging12a"/>
      </w:pPr>
      <w:r w:rsidRPr="0077775A">
        <w:t>–</w:t>
      </w:r>
      <w:r w:rsidRPr="0077775A">
        <w:tab/>
        <w:t>atsižvelgdamas į Darbo tvarkos taisyklių 55 straipsnį,</w:t>
      </w:r>
    </w:p>
    <w:p w:rsidR="00C21F23" w:rsidRPr="0077775A" w:rsidRDefault="00C21F23" w:rsidP="00C21F23">
      <w:pPr>
        <w:pStyle w:val="NormalHanging12a"/>
      </w:pPr>
      <w:r w:rsidRPr="0077775A">
        <w:t>–</w:t>
      </w:r>
      <w:r w:rsidRPr="0077775A">
        <w:tab/>
        <w:t>atsižvelgdamas į Užsienio reikalų komiteto pranešimą (A10-0075/2025),</w:t>
      </w:r>
    </w:p>
    <w:p w:rsidR="00C21F23" w:rsidRPr="0077775A" w:rsidRDefault="00C21F23" w:rsidP="00C21F23">
      <w:pPr>
        <w:pStyle w:val="NormalHanging12a"/>
      </w:pPr>
      <w:r w:rsidRPr="0077775A">
        <w:t>A.</w:t>
      </w:r>
      <w:r w:rsidRPr="0077775A">
        <w:tab/>
        <w:t>kadangi plėtros politika yra viena iš veiksmingiausių ES užsienio politikos priemonių ir viena iš sėkmingiausių politikos priemonių, kuriomis skatinamos ir remiamos esminės reformos, taip pat strateginės geopolitinės investicijos į ilgalaikę taiką, stabilumą ir saugumą visame žemyne;</w:t>
      </w:r>
    </w:p>
    <w:p w:rsidR="00C21F23" w:rsidRPr="0077775A" w:rsidRDefault="00C21F23" w:rsidP="00C21F23">
      <w:pPr>
        <w:pStyle w:val="NormalHanging12a"/>
      </w:pPr>
      <w:r w:rsidRPr="0077775A">
        <w:t>B.</w:t>
      </w:r>
      <w:r w:rsidRPr="0077775A">
        <w:tab/>
        <w:t>kadangi demokratija, žmogaus teisės ir teisinė valstybė yra pagrindinės vertybės, kuriomis grindžiama ES;</w:t>
      </w:r>
    </w:p>
    <w:p w:rsidR="00C21F23" w:rsidRPr="0077775A" w:rsidRDefault="00C21F23" w:rsidP="00C21F23">
      <w:pPr>
        <w:pStyle w:val="NormalHanging12a"/>
      </w:pPr>
      <w:r w:rsidRPr="0077775A">
        <w:t>C.</w:t>
      </w:r>
      <w:r w:rsidRPr="0077775A">
        <w:tab/>
        <w:t>kadangi ES plėtros procesas yra strateginė priemonė stabilumui, demokratijai ir ekonominei plėtrai Europoje stiprinti ir kiekviena plėtros šalis vertinama pagal jos nuopelnus, o stojimo tvarkaraštį ir pažangą lemia būtinų reformų įgyvendinimas bei nustatytų kriterijų ir bendrų Europos vertybių laikymasis;</w:t>
      </w:r>
      <w:r w:rsidRPr="0077775A">
        <w:rPr>
          <w:b/>
        </w:rPr>
        <w:t xml:space="preserve"> </w:t>
      </w:r>
      <w:r w:rsidRPr="0077775A">
        <w:t>kadangi Kosovo kelias siekiant ES narystės priklauso ir nuo santykių normalizavimo su Serbija;</w:t>
      </w:r>
    </w:p>
    <w:p w:rsidR="00C21F23" w:rsidRPr="0077775A" w:rsidRDefault="00C21F23" w:rsidP="00C21F23">
      <w:pPr>
        <w:pStyle w:val="NormalHanging12a"/>
      </w:pPr>
      <w:r w:rsidRPr="0077775A">
        <w:t>D.</w:t>
      </w:r>
      <w:r w:rsidRPr="0077775A">
        <w:tab/>
        <w:t>kadangi ES yra didžiausia finansinės paramos Kosovui teikėja;</w:t>
      </w:r>
    </w:p>
    <w:p w:rsidR="00C21F23" w:rsidRPr="0077775A" w:rsidRDefault="00C21F23" w:rsidP="00C21F23">
      <w:pPr>
        <w:pStyle w:val="NormalHanging12a"/>
        <w:rPr>
          <w:szCs w:val="24"/>
        </w:rPr>
      </w:pPr>
      <w:r w:rsidRPr="0077775A">
        <w:t>E.</w:t>
      </w:r>
      <w:r w:rsidRPr="0077775A">
        <w:tab/>
        <w:t>kadangi Kosovas patyrė užsienio valstybių kišimąsi ir dezinformacijos kampanijas, ypač iš Rusijos pusės, visų pirma per serbų nacionalistines žiniasklaidos priemones, ir iš Kinijos pusės, kuri pasitelkė švelniąją galią, siekdama destabilizuoti jo demokratines institucijas, kelti pavojų visuomenės sanglaudai ir kurstyti etninį smurtą; kadangi po 2023 m. rugsėjo mėn. įvykusio išpuolio Banjskoje buvo masiškai skleidžiama dezinformacija, kuri dar labiau padidino įtampą; kadangi Kosovo valdžios institucijos 2024 m. liepos mėn. priėmė Nepriklausomos žiniasklaidos komisijos įstatymą; kadangi 2024 m. gegužės mėn. Europos Taryba paskelbė teisinę nuomonę dėl Nepriklausomos žiniasklaidos komisijos įstatymo projekto, kurioje išreiškė susirūpinimą dėl tam tikrų tuometinio įstatymo projekto aspektų ir pateikė rekomendacijų, kaip spręsti šias problemas; kadangi į galutinį Nepriklausomos žiniasklaidos komisijos įstatymo tekstą nebuvo įtraukta dauguma pateiktų rekomendacijų;</w:t>
      </w:r>
    </w:p>
    <w:p w:rsidR="00C21F23" w:rsidRPr="0077775A" w:rsidRDefault="00C21F23" w:rsidP="00C21F23">
      <w:pPr>
        <w:pStyle w:val="NormalHanging12a"/>
        <w:rPr>
          <w:b/>
          <w:szCs w:val="24"/>
        </w:rPr>
      </w:pPr>
      <w:r w:rsidRPr="0077775A">
        <w:t>F.</w:t>
      </w:r>
      <w:r w:rsidRPr="0077775A">
        <w:tab/>
        <w:t>kadangi Europos Sąjungos teisinės valstybės misija Kosove, dar vadinama EULEX, yra didžiausia kada nors pradėta civilinė misija pagal Europos Sąjungos bendrą saugumo ir gynybos politiką;</w:t>
      </w:r>
    </w:p>
    <w:p w:rsidR="00C21F23" w:rsidRPr="0077775A" w:rsidRDefault="00C21F23" w:rsidP="00C21F23">
      <w:pPr>
        <w:pStyle w:val="NormalHanging12a"/>
        <w:rPr>
          <w:szCs w:val="24"/>
        </w:rPr>
      </w:pPr>
      <w:r w:rsidRPr="0077775A">
        <w:lastRenderedPageBreak/>
        <w:t>G.</w:t>
      </w:r>
      <w:r w:rsidRPr="0077775A">
        <w:tab/>
        <w:t>kadangi 2018 ir 2023 m. daugiau kaip 500 žmonių, kurie istoriškai save laiko bulgarais, pasirašė peticijas;</w:t>
      </w:r>
    </w:p>
    <w:p w:rsidR="00C21F23" w:rsidRPr="0077775A" w:rsidRDefault="00C21F23" w:rsidP="00C21F23">
      <w:pPr>
        <w:pStyle w:val="Normal12a24b"/>
      </w:pPr>
      <w:r w:rsidRPr="0077775A">
        <w:rPr>
          <w:rStyle w:val="BoldItalic"/>
        </w:rPr>
        <w:t>Įsipareigojimas siekti narystės ES</w:t>
      </w:r>
    </w:p>
    <w:p w:rsidR="00C21F23" w:rsidRPr="0077775A" w:rsidRDefault="00C21F23" w:rsidP="00C21F23">
      <w:pPr>
        <w:pStyle w:val="NormalHanging12a"/>
      </w:pPr>
      <w:r w:rsidRPr="0077775A">
        <w:t>1.</w:t>
      </w:r>
      <w:r w:rsidRPr="0077775A">
        <w:tab/>
        <w:t>palankiai vertina Kosovo įsipareigojimą siekti narystės ES, atspindintį aiškų strateginį geopolitinį pasirinkimą, ir nuolatinę</w:t>
      </w:r>
      <w:r w:rsidRPr="0077775A">
        <w:rPr>
          <w:i/>
        </w:rPr>
        <w:t xml:space="preserve"> </w:t>
      </w:r>
      <w:r w:rsidRPr="0077775A">
        <w:t>tvirtą jo piliečių paramą europiniam Kosovo keliui; pakartoja, kad Kosovas nuosekliai siekė integruotis į Europos Sąjungą;</w:t>
      </w:r>
    </w:p>
    <w:p w:rsidR="00C21F23" w:rsidRPr="0077775A" w:rsidRDefault="00C21F23" w:rsidP="00C21F23">
      <w:pPr>
        <w:pStyle w:val="NormalHanging12a"/>
      </w:pPr>
      <w:r w:rsidRPr="0077775A">
        <w:t>2.</w:t>
      </w:r>
      <w:r w:rsidRPr="0077775A">
        <w:tab/>
        <w:t>pakartoja esąs tvirtai įsitikinęs, kad Kosovo ateitis yra ES ir kad visos pastangos išvesti Kosovą iš vadinamosios pilkosios zonos yra naudingos tiek Kosovo, tiek ES žmonėms, ypač atsižvelgiant į dabartinę geopolitinę dinamiką regione, sparčius geopolitinius pokyčius pasaulio politikoje ir didėjančią konkurenciją su autoritariniais režimais;</w:t>
      </w:r>
    </w:p>
    <w:p w:rsidR="00C21F23" w:rsidRPr="0077775A" w:rsidRDefault="00C21F23" w:rsidP="00C21F23">
      <w:pPr>
        <w:pStyle w:val="NormalHanging12a"/>
        <w:rPr>
          <w:szCs w:val="24"/>
        </w:rPr>
      </w:pPr>
      <w:r w:rsidRPr="0077775A">
        <w:t>3.</w:t>
      </w:r>
      <w:r w:rsidRPr="0077775A">
        <w:tab/>
        <w:t>remia Kosovo paraišką dėl narystės ES, kuri atspindi didžiulį bendrą įvairių partijų sutarimą dėl integracijos į ES ir aiškų geopolitinį strateginį pasirinkimą; pakartotinai ragina valstybes nares Taryboje suteikti Komisijai įgaliojimus pateikti klausimyną ir parengti nuomonę dėl nuopelnų vertinant šalies paraišką; ragina penkias valstybes nares, kurios dar nepripažino Kosovo nepriklausomybės, nedelsiant tai padaryti ir taip suteikti Kosovui galimybę daryti pažangą kelyje į ES lygiomis teisėmis su kitomis šalimis kandidatėmis; primena 2010 m. liepos 22 d. Tarptautinio Teisingumo Teismo patariamąją nuomonę, kurioje teigiama, kad vienašališkas Kosovo nepriklausomybės paskelbimas nepažeidžia bendrosios tarptautinės teisės;</w:t>
      </w:r>
    </w:p>
    <w:p w:rsidR="00C21F23" w:rsidRPr="0077775A" w:rsidRDefault="00C21F23" w:rsidP="00C21F23">
      <w:pPr>
        <w:pStyle w:val="NormalHanging12a"/>
      </w:pPr>
      <w:r w:rsidRPr="0077775A">
        <w:t>4.</w:t>
      </w:r>
      <w:r w:rsidRPr="0077775A">
        <w:tab/>
        <w:t>primena, kad narystė Europos Sąjungoje grindžiama nuopelnais pagrįstu procesu, kuris priklauso nuo griežto reformų, suderintų su aukščiausiais Europos standartais, įgyvendinimo, visų pirma Kopenhagos kriterijų ir teisinės valstybės principo laikymosi, ir kuriuo užtikrinamas veiksmingas įstatymų taikymas praktikoje; ragina Kosovą ir toliau dėti pastangas šioje srityje, toliau stiprinant savo įsipareigojimą laikytis Sąjungos vertybių ir standartų; pabrėžia, kad plėtra taip pat reiškia kruopštų potencialių narių pasirengimą, sykiu paisant vidaus rinkos ekonominio stabilumo, socialinių ir aplinkosaugos standartų bei tinkamo Europos institucijų veikimo;</w:t>
      </w:r>
    </w:p>
    <w:p w:rsidR="00C21F23" w:rsidRPr="0077775A" w:rsidRDefault="00C21F23" w:rsidP="00C21F23">
      <w:pPr>
        <w:pStyle w:val="NormalHanging12a"/>
      </w:pPr>
      <w:r w:rsidRPr="0077775A">
        <w:t>5.</w:t>
      </w:r>
      <w:r w:rsidRPr="0077775A">
        <w:tab/>
        <w:t>palankiai vertina vizų režimo liberalizavimą, dėl kurio susitarta 2023 m. balandžio mėn. ir kuris taikomas nuo 2024 m. sausio 1 d., kaip apčiuopiamą vis glaudesnių Kosovo santykių su ES rezultatą ir kaip Kosovo pastangų siekiant Europos integracijos įrodymą; palankiai vertina Kosovo sprendimą vienašališkai panaikinti vizos reikalavimus Bosnijos ir Hercegovinos piliečiams; palankiai vertina Ispanijos sprendimą nuo 2024 m. sausio mėn. pripažinti Kosovo išduotus įprastinius pasus kaip galiojančius kelionės dokumentus;</w:t>
      </w:r>
    </w:p>
    <w:p w:rsidR="00C21F23" w:rsidRPr="0077775A" w:rsidRDefault="00C21F23" w:rsidP="00C21F23">
      <w:pPr>
        <w:pStyle w:val="NormalHanging12a"/>
      </w:pPr>
      <w:r w:rsidRPr="0077775A">
        <w:lastRenderedPageBreak/>
        <w:t>6.</w:t>
      </w:r>
      <w:r w:rsidRPr="0077775A">
        <w:tab/>
        <w:t>atkreipia dėmesį į apčiuopiamą pažangą teisingumo, laisvės ir saugumo, kovos su organizuotu nusikalstamumu ir veikiančios rinkos ekonomikos srityse; apgailestauja dėl ribotos pažangos ir ragina paspartinti reformas</w:t>
      </w:r>
      <w:r w:rsidRPr="0077775A">
        <w:rPr>
          <w:i/>
        </w:rPr>
        <w:t xml:space="preserve"> </w:t>
      </w:r>
      <w:r w:rsidRPr="0077775A">
        <w:t>teisinės valstybės srityje; palankiai vertina Kosovo siekį paspartinti reformų įgyvendinimą, nes tai ir toliau yra šalies prioritetas; apgailestauja dėl to, kad Kosovo Nacionalinėje Asamblėjoje nėra sprendimų priėmimo kvorumo, nes politinės partijos boikotuoja Asamblėjos darbą prieš parlamento rinkimus;</w:t>
      </w:r>
    </w:p>
    <w:p w:rsidR="00C21F23" w:rsidRPr="0077775A" w:rsidRDefault="00C21F23" w:rsidP="00C21F23">
      <w:pPr>
        <w:pStyle w:val="NormalHanging12a"/>
      </w:pPr>
      <w:r w:rsidRPr="0077775A">
        <w:t>7.</w:t>
      </w:r>
      <w:r w:rsidRPr="0077775A">
        <w:tab/>
        <w:t>apgailestauja dėl tokių institucijų kaip Centrinė rinkimų komisija ir Nepriklausoma žiniasklaidos komisija politizavimo;</w:t>
      </w:r>
    </w:p>
    <w:p w:rsidR="00C21F23" w:rsidRPr="0077775A" w:rsidRDefault="00C21F23" w:rsidP="00C21F23">
      <w:pPr>
        <w:pStyle w:val="NormalHanging12a"/>
      </w:pPr>
      <w:r w:rsidRPr="0077775A">
        <w:t>8.</w:t>
      </w:r>
      <w:r w:rsidRPr="0077775A">
        <w:tab/>
        <w:t>palankiai vertina Kosovo vykdomą suderinimą su ES užsienio ir saugumo politika, ypač jo griežtą Rusijos agresijos karo prieš Ukrainą pasmerkimą ir ES ribojamųjų priemonių Rusijai ir Baltarusijai įgyvendinimą, laikantis Sąjungos užsienio politikos, taip pat paramą Ukrainai teikiant humanitarinę pagalbą ir karinės pagalbos paketus, kas patvirtina, kad Kosovas yra patikimas ir vertingas partneris, siekiantis integracijos į ES, ir laikosi aiškios geopolitinės orientacijos, turinčios tvirtą pagrindą Europos ir transatlantiniame aljanse;</w:t>
      </w:r>
    </w:p>
    <w:p w:rsidR="00C21F23" w:rsidRPr="0077775A" w:rsidRDefault="00C21F23" w:rsidP="00C21F23">
      <w:pPr>
        <w:pStyle w:val="NormalHanging12a"/>
        <w:rPr>
          <w:szCs w:val="24"/>
        </w:rPr>
      </w:pPr>
      <w:r w:rsidRPr="0077775A">
        <w:t>9.</w:t>
      </w:r>
      <w:r w:rsidRPr="0077775A">
        <w:tab/>
        <w:t>ragina nedelsiant panaikinti ES priemones prieš Kosovą, kurios nebėra pagrįstos, nes Kosovas įvykdė ES reikalavimus, ir, be to, visai neatitinka pademonstruoto Kosovo įsipareigojimo puoselėti Europos vertybes ir derinti savo politiką su ES politika, todėl riboja ES ir Kosovo partnerystės poveikį ir trukdo atnaujinti Belgrado ir Prištinos dialogą gera valia;</w:t>
      </w:r>
    </w:p>
    <w:p w:rsidR="00C21F23" w:rsidRPr="0077775A" w:rsidRDefault="00C21F23" w:rsidP="00C21F23">
      <w:pPr>
        <w:pStyle w:val="NormalHanging12a"/>
      </w:pPr>
      <w:r w:rsidRPr="0077775A">
        <w:t>10.</w:t>
      </w:r>
      <w:r w:rsidRPr="0077775A">
        <w:tab/>
        <w:t>pakartoja, kad visapusiškai remia Kosovo paraišką dėl narystės Europos Taryboje, šalies strateginės orientacijos planą prisijungti prie NATO partnerystės taikos labui programos ir siekius prisijungti prie kitų tarptautinių organizacijų; ragina atitinkamas organizacijas ir valstybes nares aktyviai remti atitinkamus Kosovo siekius;</w:t>
      </w:r>
      <w:r w:rsidRPr="0077775A">
        <w:rPr>
          <w:color w:val="FF0000"/>
        </w:rPr>
        <w:t xml:space="preserve"> </w:t>
      </w:r>
      <w:r w:rsidRPr="0077775A">
        <w:t>ragina Komisiją ir ES biurą Kosove labiau stengtis didinti matomumą ir propaguoti glaudesnės ES ir Kosovo partnerystės vaidmenį, pastangas ir naudą;</w:t>
      </w:r>
    </w:p>
    <w:p w:rsidR="00C21F23" w:rsidRPr="0077775A" w:rsidRDefault="00C21F23" w:rsidP="00C21F23">
      <w:pPr>
        <w:pStyle w:val="NormalHanging12a"/>
        <w:rPr>
          <w:b/>
          <w:i/>
        </w:rPr>
      </w:pPr>
      <w:r w:rsidRPr="0077775A">
        <w:t>11.</w:t>
      </w:r>
      <w:r w:rsidRPr="0077775A">
        <w:rPr>
          <w:b/>
          <w:i/>
        </w:rPr>
        <w:tab/>
      </w:r>
      <w:r w:rsidRPr="0077775A">
        <w:t>palankiai vertina tai, kad Kosovas, įgyvendindamas susijusią 2022–2027 m. programą, sumažino administracinę naštą supaprastindamas procedūras; pažymi, kad viešojo administravimo strateginė sistema yra sukurta, tačiau nėra veiksmingai įgyvendinama; apgailestauja, kad dėl vėlavimo vykdyti viešojo administravimo reformą susilpnėjo ES lėšų valdymas ir kad atskaitomybė viešajame sektoriuje nepakankama; ragina Kosovą gerinti viešąjį administravimą ir nuopelnais grindžiamą valstybės tarnybos sistemą iš dalies keičiant ir priimant valstybės pareigūnų įstatymą ir nepriklausomos valstybės tarnybos priežiūros tarybos įstatymą;</w:t>
      </w:r>
    </w:p>
    <w:p w:rsidR="00C21F23" w:rsidRPr="0077775A" w:rsidRDefault="00C21F23" w:rsidP="00C21F23">
      <w:pPr>
        <w:pStyle w:val="NormalHanging12a"/>
      </w:pPr>
      <w:r w:rsidRPr="0077775A">
        <w:t>12.</w:t>
      </w:r>
      <w:r w:rsidRPr="0077775A">
        <w:tab/>
        <w:t xml:space="preserve">apgailestauja dėl to, kad vis dar neveikia Kosovo Konstitucinio Teismo sprendimas dėl </w:t>
      </w:r>
      <w:r w:rsidRPr="0077775A">
        <w:lastRenderedPageBreak/>
        <w:t>darbo užmokesčio įstatymo, kuriuo suvienodinama dabartinė valstybės pareigūnų atlyginimų sistema; ragina Kosovo vyriausybę persvarstyti teisės aktus dėl viešųjų finansų valdymo, kad jie atitiktų tarptautinius standartus, ir į persvarstytus teisės aktus įtraukti viešųjų investicijų metodiką;</w:t>
      </w:r>
    </w:p>
    <w:p w:rsidR="00C21F23" w:rsidRPr="0077775A" w:rsidRDefault="00C21F23" w:rsidP="00823808">
      <w:pPr>
        <w:pStyle w:val="NormalHanging12a"/>
        <w:ind w:left="0" w:firstLine="0"/>
        <w:rPr>
          <w:b/>
          <w:i/>
        </w:rPr>
      </w:pPr>
      <w:r w:rsidRPr="0077775A">
        <w:rPr>
          <w:b/>
          <w:i/>
        </w:rPr>
        <w:t>Demokratija ir teisinė valstybė</w:t>
      </w:r>
    </w:p>
    <w:p w:rsidR="00C21F23" w:rsidRDefault="00C21F23" w:rsidP="00C21F23">
      <w:pPr>
        <w:pStyle w:val="NormalHanging12a"/>
      </w:pPr>
      <w:r w:rsidRPr="0077775A">
        <w:t>13.</w:t>
      </w:r>
      <w:r w:rsidRPr="0077775A">
        <w:tab/>
        <w:t>palankiai vertina didelę ir teigiamą pažangą įgyvendinant daugelį ES rinkimų stebėjimo misijos ilgalaikių rekomendacijų ir pateikiant konsensusu grindžiamą įstatymą dėl visuotinių rinkimų; pažymi, kad tai yra tinkamas pagrindas surengti demokratinius rinkimus laikantis tarptautinių ir regioninių standartų; pažymi, kad, reaguodama į Kosovo prezidento kvietimą, Europos Sąjunga išsiuntė ES rinkimų stebėjimo misiją, įskaitant Europos Parlamento narių stebėtojų delegaciją, stebėti 2025 m. vasario 9 d. Kosovo parlamento rinkimų;</w:t>
      </w:r>
      <w:r w:rsidRPr="0077775A">
        <w:rPr>
          <w:b/>
        </w:rPr>
        <w:t xml:space="preserve"> </w:t>
      </w:r>
      <w:r w:rsidRPr="0077775A">
        <w:t>pritaria ES rinkimų stebėjimo misijos išvadoms, kad 2025 m. vasario 9 d. rinkimai b</w:t>
      </w:r>
      <w:bookmarkStart w:id="7" w:name="_GoBack"/>
      <w:bookmarkEnd w:id="7"/>
      <w:r w:rsidRPr="0077775A">
        <w:t>uvo taikūs, laisvi ir sąžiningi ir juose dalyvavo visos Kosovo bendruomenės; apgailestauja dėl kampanijos metu politinių partijų naudotos šiurkščios retorikos; atkreipia dėmesį į technines problemas, su kuriomis susidurta skaičiuojant balsus, ir ragina Kosovo valdžios institucijas dėti daugiau pastangų siekiant pagerinti kitų rinkimų organizavimą; atkreipia dėmesį į tai, kad per parlamento rinkimus Kosovo serbų bendruomenėje nebuvo tikro politinio pliuralizmo, nepaisant to, kad buvo keli Kosovo serbų rinkimų sąrašai; yra susirūpinęs dėl pranešimų apie nuolatinį Belgrado daromą spaudimą serbų bendruomenės rinkėjams; smerkia pakartotinį JAV specialiojo pasiuntinio Richardo Grenello kišimąsi į rinkimų kampaniją;</w:t>
      </w:r>
    </w:p>
    <w:p w:rsidR="00DA3E50" w:rsidRPr="00823808" w:rsidRDefault="00823808" w:rsidP="00C21F23">
      <w:pPr>
        <w:pStyle w:val="NormalHanging12a"/>
        <w:rPr>
          <w:szCs w:val="24"/>
        </w:rPr>
      </w:pPr>
      <w:r>
        <w:rPr>
          <w:szCs w:val="24"/>
        </w:rPr>
        <w:t>14</w:t>
      </w:r>
      <w:r w:rsidR="00DA3E50" w:rsidRPr="00823808">
        <w:rPr>
          <w:szCs w:val="24"/>
        </w:rPr>
        <w:t>.</w:t>
      </w:r>
      <w:r w:rsidR="00DA3E50" w:rsidRPr="00823808">
        <w:rPr>
          <w:szCs w:val="24"/>
        </w:rPr>
        <w:tab/>
        <w:t>susirūpinęs atkreipia dėmesį į politinę aklavietę, į kurią atvedė susiskaidžiusi politinė aplinka ir parlamento nesugebėjimas iki šiol išrinkti ministro pirmininko – tai neleidžia suformuoti vyriausybės po 2025 m. vasario 9 d. įvykusių parlamento rinkimų ir uždelsia kelių biudžeto tekstų svarstymą parlamente; ragina politines partijas bendradarbiauti siekiant kuo greičiau išeiti iš šios aklavietės;</w:t>
      </w:r>
    </w:p>
    <w:p w:rsidR="00C21F23" w:rsidRPr="0077775A" w:rsidRDefault="00BC0759" w:rsidP="00C21F23">
      <w:pPr>
        <w:pStyle w:val="NormalHanging12a"/>
      </w:pPr>
      <w:r>
        <w:t>15</w:t>
      </w:r>
      <w:r w:rsidR="00C21F23" w:rsidRPr="0077775A">
        <w:t>.</w:t>
      </w:r>
      <w:r w:rsidR="00C21F23" w:rsidRPr="0077775A">
        <w:tab/>
        <w:t>susirūpinęs pažymi, kad Vietos savivaldos rinkimų įstatymas ir Bendrųjų rinkimų įstatymas vis dar neįgyvendinti ir nesuderinti su Lyčių lygybės įstatymu, pagal kurį reikalaujama, kad moterims ir vyrams būtų atstovaujama vienodai – po 50 proc.; apgailestauja dėl to, kad moterims vis dar atstovaujama nepakankamai;</w:t>
      </w:r>
    </w:p>
    <w:p w:rsidR="00C21F23" w:rsidRPr="0077775A" w:rsidRDefault="00BC0759" w:rsidP="00C21F23">
      <w:pPr>
        <w:pStyle w:val="NormalHanging12a"/>
      </w:pPr>
      <w:r>
        <w:t>16</w:t>
      </w:r>
      <w:r w:rsidR="00C21F23" w:rsidRPr="0077775A">
        <w:t>.</w:t>
      </w:r>
      <w:r w:rsidR="00C21F23" w:rsidRPr="0077775A">
        <w:tab/>
        <w:t>palankiai vertina tai, kad priimtas įstatymas dėl Specialiosios prokuratūros, ir pažangą nagrinėjant korupcijos bylas;</w:t>
      </w:r>
      <w:r w:rsidR="00C21F23" w:rsidRPr="0077775A">
        <w:rPr>
          <w:b/>
          <w:i/>
        </w:rPr>
        <w:t xml:space="preserve"> </w:t>
      </w:r>
      <w:r w:rsidR="00C21F23" w:rsidRPr="0077775A">
        <w:t xml:space="preserve">palankiai vertina aktyvų Specialiosios prokuratūros darbą sprendžiant septynias karo nusikaltimų bylas; ragina išsamiau apibrėžti Specialiosios prokuratūros ir Pagrindinės prokuratūros jurisdikcijos pasidalijimą vykdant tyrimus ir baudžiamąjį persekiojimą; ragina Kosovą toliau stiprinti Specialiąją prokuratūrą didinant </w:t>
      </w:r>
      <w:r w:rsidR="00C21F23" w:rsidRPr="0077775A">
        <w:lastRenderedPageBreak/>
        <w:t>jos gebėjimus tirti aukšto rango organizuoto nusikalstamumo bylas ir vykdyti baudžiamąjį persekiojimą; ragina policiją ir Specialiąją prokuratūrą glaudžiai bendradarbiauti, kad būtų parengtos efektyvesnio tyrimų vykdymo strategijos, aiškiai paskirstant atsakomybę;</w:t>
      </w:r>
    </w:p>
    <w:p w:rsidR="00C21F23" w:rsidRPr="0077775A" w:rsidRDefault="00BC0759" w:rsidP="00C21F23">
      <w:pPr>
        <w:pStyle w:val="NormalHanging12a"/>
        <w:rPr>
          <w:bCs/>
          <w:iCs/>
        </w:rPr>
      </w:pPr>
      <w:r>
        <w:t>17</w:t>
      </w:r>
      <w:r w:rsidR="00C21F23" w:rsidRPr="0077775A">
        <w:t>.</w:t>
      </w:r>
      <w:r w:rsidR="00C21F23" w:rsidRPr="0077775A">
        <w:tab/>
        <w:t>atkreipia dėmesį į Kosovo pažangą, susijusią su korupcijos suvokimo indeksu, nes nuo praėjusių metų jis pakilo 10 vietų, ir mano, kad tai teigiamas pokytis, tačiau pripažįsta, kad taip yra ir dėl to, kad sumažėjo kitų šalių balai, ir, dar svarbiau, dėl to, kad buvo priimti aukštos kokybės teisės aktai, ir kad šis reitingas vis dėlto iš esmės yra nepatenkinamas; pabrėžia, kad norint įgyti žmonių pasitikėjimą reikia ne tik teisėkūros reformų, bet ir akivaizdžių rezultatų tiriant korupcijos atvejus, vykdant baudžiamąjį persekiojimą ir nuteisiant už juos visais lygmenimis; vis dėlto apgailestauja, kad Kosovas nuo 2019 m. neturi kovos su korupcija strategijos, ir primygtinai ragina dėti daugiau pastangų, kad ji būtų baigta rengti prioriteto tvarka; pakartoja, kad, norint pasiekti gerų rezultatų kovoje su aukšto lygio korupcija, būtinas tvirtas politinis įsipareigojimas;</w:t>
      </w:r>
    </w:p>
    <w:p w:rsidR="00C21F23" w:rsidRPr="0077775A" w:rsidRDefault="00BC0759" w:rsidP="00C21F23">
      <w:pPr>
        <w:pStyle w:val="NormalHanging12a"/>
      </w:pPr>
      <w:r>
        <w:t>18</w:t>
      </w:r>
      <w:r w:rsidR="00C21F23" w:rsidRPr="0077775A">
        <w:t>.</w:t>
      </w:r>
      <w:r w:rsidR="00C21F23" w:rsidRPr="0077775A">
        <w:tab/>
        <w:t xml:space="preserve">reiškia didelį susirūpinimą dėl sisteminio Kosovo teisminių institucijų pažeidžiamumo, visų pirma susijusio su teisingumo sistemos nepriklausomumu ir valdžios padalijimo principo laikymusi; pakartoja, kad yra susirūpinęs dėl vėlavimų teismo procesuose ir nuolatinės vyriausybės pareigūnų reiškiamos kritikos dėl teismo sprendimų pavienėse bylose; </w:t>
      </w:r>
      <w:r w:rsidR="00DA3E50" w:rsidRPr="00DA3E50">
        <w:t>palankiai vertina tai</w:t>
      </w:r>
      <w:r w:rsidR="00C21F23" w:rsidRPr="0077775A">
        <w:t xml:space="preserve">, kad </w:t>
      </w:r>
      <w:r w:rsidR="00DA3E50" w:rsidRPr="00DA3E50">
        <w:t xml:space="preserve">2024 m. gruodžio mėn. </w:t>
      </w:r>
      <w:r w:rsidR="00C21F23" w:rsidRPr="0077775A">
        <w:t xml:space="preserve">vyriausybė </w:t>
      </w:r>
      <w:r w:rsidR="00DA3E50" w:rsidRPr="00DA3E50">
        <w:t>Venecijos komisijai pateikė teisės akto</w:t>
      </w:r>
      <w:r w:rsidR="00DA3E50">
        <w:t xml:space="preserve"> </w:t>
      </w:r>
      <w:r w:rsidR="00C21F23" w:rsidRPr="0077775A">
        <w:t>dėl teismų reformų</w:t>
      </w:r>
      <w:r w:rsidR="00DA3E50">
        <w:t xml:space="preserve"> </w:t>
      </w:r>
      <w:r w:rsidR="00DA3E50" w:rsidRPr="00DA3E50">
        <w:t>projektą ir kad pirmąją nuomonę ši komisija pateikė 2025 m. kovo 18 d.</w:t>
      </w:r>
      <w:r w:rsidR="00C21F23" w:rsidRPr="0077775A">
        <w:t>; ragina Kosovą užtikrinti, kad teisės aktai, kuriais reglamentuojamas teisminių institucijų sąžiningumas ir atskaitomybė, atitiktų Europos standartus ir Venecijos komisijos rekomendacijas; ragina Kosovo vyriausybę skirti pakankamą biudžetą teisminių institucijų sistemai; palankiai vertina tai, kad buvo įsteigtas Komercinis teismas, pažangą įdarbinant naujus teisėjus ir prokurorus pagal nuopelnais pagrįstą ir skaidrų procesą ir bendrą skaidrumo padidėjimą;</w:t>
      </w:r>
    </w:p>
    <w:p w:rsidR="00C21F23" w:rsidRPr="0077775A" w:rsidRDefault="00942B2A" w:rsidP="00C21F23">
      <w:pPr>
        <w:pStyle w:val="NormalHanging12a"/>
        <w:rPr>
          <w:szCs w:val="24"/>
        </w:rPr>
      </w:pPr>
      <w:r>
        <w:t>19</w:t>
      </w:r>
      <w:r w:rsidR="00C21F23" w:rsidRPr="0077775A">
        <w:t>.</w:t>
      </w:r>
      <w:r w:rsidR="00C21F23" w:rsidRPr="0077775A">
        <w:tab/>
        <w:t>palankiai vertina Kosovo serbų dalyvavimą parlamento rinkimuose ir ragina jų išrinktus atstovus aktyviai dalyvauti Kosovo teisėkūros sistemoje, siekiant užtikrinti Kosovo ateitį Europoje; tačiau apgailestauja dėl Kosovo serbams atstovaujančių partijų boikoto per 2023 m. balandžio mėn. vykusius vietos rinkimus ir Kosovo serbų pasitraukimo iš Kosovo institucijų; reiškia susirūpinimą dėl Serbijos kišimosi į parlamento rinkimus pasinaudojant partija „Srpska Lista“;</w:t>
      </w:r>
    </w:p>
    <w:p w:rsidR="00C21F23" w:rsidRPr="0077775A" w:rsidRDefault="00942B2A" w:rsidP="00C21F23">
      <w:pPr>
        <w:pStyle w:val="NormalHanging12a"/>
        <w:rPr>
          <w:b/>
        </w:rPr>
      </w:pPr>
      <w:r>
        <w:t>20</w:t>
      </w:r>
      <w:r w:rsidR="00C21F23" w:rsidRPr="0077775A">
        <w:t>.</w:t>
      </w:r>
      <w:r w:rsidR="00C21F23" w:rsidRPr="0077775A">
        <w:tab/>
        <w:t>palankiai vertina tai, kad 2024 m. kovo mėn. buvo įgyvendintas 2016 m. Konstitucinio Teismo sprendimas dėl Visoki Dečanų vienuolyno, kuriuo vienuolynas buvo įregistruotas kaip žemės savininkas;</w:t>
      </w:r>
    </w:p>
    <w:p w:rsidR="00C21F23" w:rsidRPr="0077775A" w:rsidRDefault="00942B2A" w:rsidP="00C21F23">
      <w:pPr>
        <w:pStyle w:val="NormalHanging12a"/>
      </w:pPr>
      <w:r>
        <w:t>21</w:t>
      </w:r>
      <w:r w:rsidR="00C21F23" w:rsidRPr="0077775A">
        <w:t>.</w:t>
      </w:r>
      <w:r w:rsidR="00C21F23" w:rsidRPr="0077775A">
        <w:tab/>
        <w:t xml:space="preserve">palankiai vertina tai, kad nuolat didėja su organizuotu nusikalstamumu susijusių </w:t>
      </w:r>
      <w:r w:rsidR="00C21F23" w:rsidRPr="0077775A">
        <w:lastRenderedPageBreak/>
        <w:t xml:space="preserve">nuosprendžių skaičius ir kad kovos su organizuotu nusikalstamumu teisinė sistema suderinta su ES </w:t>
      </w:r>
      <w:r w:rsidR="00C21F23" w:rsidRPr="0077775A">
        <w:rPr>
          <w:i/>
          <w:iCs/>
        </w:rPr>
        <w:t>acquis</w:t>
      </w:r>
      <w:r w:rsidR="00C21F23" w:rsidRPr="0077775A">
        <w:t>; pabrėžia, kad prokuratūra ir policija turi stiprinti bendrus veiksmus prieš nusikalstamas grupuotes ir tinklus; reiškia susirūpinimą dėl saugumo problemų Kosovo šiaurėje, ypač po 2023 m. rugsėjo mėn. išpuolio Banjskoje, dėl kurio reikėjo didelių policijos išteklių; pabrėžia, kad reikia stiprinti bendradarbiavimą kovos su narkotikais srityje; ragina vykdyti tolesnį derinimą kovos su terorizmu srityje;</w:t>
      </w:r>
    </w:p>
    <w:p w:rsidR="00C21F23" w:rsidRPr="0077775A" w:rsidRDefault="00942B2A" w:rsidP="00C21F23">
      <w:pPr>
        <w:pStyle w:val="NormalHanging12a"/>
      </w:pPr>
      <w:r>
        <w:t>22</w:t>
      </w:r>
      <w:r w:rsidR="00C21F23" w:rsidRPr="0077775A">
        <w:t>.</w:t>
      </w:r>
      <w:r w:rsidR="00C21F23" w:rsidRPr="0077775A">
        <w:tab/>
        <w:t>palankiai vertina tai, kad priimta strategija ir veiksmų planas dėl šaulių ir lengvųjų ginklų bei sprogmenų kontrolės, taip pat tai, kad itin dideliu mastu laikomasi JT šaunamųjų ginklų protokolo taisyklių;</w:t>
      </w:r>
    </w:p>
    <w:p w:rsidR="00C21F23" w:rsidRPr="0077775A" w:rsidRDefault="00942B2A" w:rsidP="00C21F23">
      <w:pPr>
        <w:pStyle w:val="NormalHanging12a"/>
      </w:pPr>
      <w:r>
        <w:t>23</w:t>
      </w:r>
      <w:r w:rsidR="00C21F23" w:rsidRPr="0077775A">
        <w:t>.</w:t>
      </w:r>
      <w:r w:rsidR="00C21F23" w:rsidRPr="0077775A">
        <w:tab/>
        <w:t>tebėra susirūpinęs dėl lėto teisinės valstybės strategijos ir veiksmų plano įgyvendinimo;</w:t>
      </w:r>
    </w:p>
    <w:p w:rsidR="00C21F23" w:rsidRPr="0077775A" w:rsidRDefault="00942B2A" w:rsidP="00C21F23">
      <w:pPr>
        <w:pStyle w:val="NormalHanging12a"/>
      </w:pPr>
      <w:r>
        <w:t>24</w:t>
      </w:r>
      <w:r w:rsidR="00C21F23" w:rsidRPr="0077775A">
        <w:t>.</w:t>
      </w:r>
      <w:r w:rsidR="00C21F23" w:rsidRPr="0077775A">
        <w:tab/>
        <w:t>dar kartą patvirtina savo įsipareigojimą išlaikyti ir stiprinti bendradarbiavimą su Kosovo Asamblėja ir jos nariais remiant demokratinius procesus, susijusius su Kosovo europiniu keliu, naudojantis esamomis Parlamento paramos demokratijai priemonėmis ir iniciatyvomis; mano, kad ši partnerystė gali būti atgaivinta ir toliau stiprinama po 2025 m. vasario 9 d. surengtų demokratinių rinkimų;</w:t>
      </w:r>
      <w:r w:rsidR="00C21F23" w:rsidRPr="0077775A">
        <w:rPr>
          <w:b/>
          <w:i/>
        </w:rPr>
        <w:t xml:space="preserve"> </w:t>
      </w:r>
      <w:r w:rsidR="00C21F23" w:rsidRPr="0077775A">
        <w:t>ragina visus išrinktus naujai suformuotos Kosovo Asamblėjos narius aktyviai dalyvauti ir bendradarbiauti;</w:t>
      </w:r>
    </w:p>
    <w:p w:rsidR="00C21F23" w:rsidRPr="0077775A" w:rsidRDefault="00942B2A" w:rsidP="00C21F23">
      <w:pPr>
        <w:pStyle w:val="NormalHanging12a"/>
      </w:pPr>
      <w:r>
        <w:t>25</w:t>
      </w:r>
      <w:r w:rsidR="00C21F23" w:rsidRPr="0077775A">
        <w:t>.</w:t>
      </w:r>
      <w:r w:rsidR="00C21F23" w:rsidRPr="0077775A">
        <w:tab/>
        <w:t>smerkia 2024 m. lapkričio mėn. pabaigoje Kosovo šiaurėje įvykusius rimtus saugumo incidentus; rimčiausias iš jų įvyko netoli Vragės gyvenvietės Zubin Potoke, kur sprogstamieji įtaisai padarė žalą ypatingos svarbos infrastruktūros objektui – pagrindiniam Ibero-Lepenco sistemos kanalui; reiškia paramą Kosovo institucijoms atliekant išsamų šių nusikalstamų veikų tyrimą, kad kaltininkai būtų patraukti baudžiamojon atsakomybėn;</w:t>
      </w:r>
    </w:p>
    <w:p w:rsidR="00C21F23" w:rsidRPr="0077775A" w:rsidRDefault="00942B2A" w:rsidP="00C21F23">
      <w:pPr>
        <w:pStyle w:val="NormalHanging12a"/>
      </w:pPr>
      <w:r>
        <w:t>26</w:t>
      </w:r>
      <w:r w:rsidR="00C21F23" w:rsidRPr="0077775A">
        <w:t>.</w:t>
      </w:r>
      <w:r w:rsidR="00C21F23" w:rsidRPr="0077775A">
        <w:tab/>
        <w:t>palankiai vertina EULEX darbą, nes ji padėjo Kosovo valdžios institucijoms kurti tvarias ir nepriklausomas teisinės valstybės institucijas;</w:t>
      </w:r>
    </w:p>
    <w:p w:rsidR="00C21F23" w:rsidRPr="0077775A" w:rsidRDefault="00C21F23" w:rsidP="00942B2A">
      <w:pPr>
        <w:pStyle w:val="NormalHanging12a"/>
        <w:ind w:left="0" w:firstLine="0"/>
      </w:pPr>
      <w:r w:rsidRPr="0077775A">
        <w:rPr>
          <w:b/>
          <w:i/>
        </w:rPr>
        <w:t>Pagrindinės laisvės ir žmogaus teisės</w:t>
      </w:r>
    </w:p>
    <w:p w:rsidR="00C21F23" w:rsidRPr="0077775A" w:rsidRDefault="00942B2A" w:rsidP="00C21F23">
      <w:pPr>
        <w:pStyle w:val="NormalHanging12a"/>
        <w:rPr>
          <w:szCs w:val="24"/>
        </w:rPr>
      </w:pPr>
      <w:r>
        <w:t>27</w:t>
      </w:r>
      <w:r w:rsidR="00C21F23" w:rsidRPr="0077775A">
        <w:t>.</w:t>
      </w:r>
      <w:r w:rsidR="00C21F23" w:rsidRPr="0077775A">
        <w:tab/>
        <w:t>pažymi, kad Kosovas turi reikiamą institucinę struktūrą žmogaus teisėms skatinti ir apsaugoti; palankiai vertina bendruomenių teisių apsaugos ir skatinimo strategijos priėmimą; vis dėlto pabrėžia, kad žmogaus teisių apsauga tebėra silpna dėl to, kad neįgyvendinami teisės aktai ir trūksta politinės valios, taip pat dėl ribotų žmogiškųjų ir finansinių išteklių, ir ragina stiprinti vykdymo užtikrinimo ir atskaitomybės mechanizmus;</w:t>
      </w:r>
    </w:p>
    <w:p w:rsidR="00C21F23" w:rsidRPr="0077775A" w:rsidRDefault="00942B2A" w:rsidP="00C21F23">
      <w:pPr>
        <w:pStyle w:val="NormalHanging12a"/>
        <w:rPr>
          <w:szCs w:val="24"/>
        </w:rPr>
      </w:pPr>
      <w:r>
        <w:t>28</w:t>
      </w:r>
      <w:r w:rsidR="00C21F23" w:rsidRPr="0077775A">
        <w:t>.</w:t>
      </w:r>
      <w:r w:rsidR="00C21F23" w:rsidRPr="0077775A">
        <w:tab/>
        <w:t xml:space="preserve">pripažįsta, kad Kosovo konstitucija yra labai pažangi mažumų teisių apsaugos požiūriu; apgailestaudamas pažymi, kad vis dar nebuvo apsvarstyta peticija, kurią pasirašė beveik </w:t>
      </w:r>
      <w:r w:rsidR="00C21F23" w:rsidRPr="0077775A">
        <w:lastRenderedPageBreak/>
        <w:t>500 žmonių, istoriškai save laikančių bulgarais, ir kuri buvo įregistruota 2023 m. sausio mėn. Kosovo Asamblėjoje, ir rekomenduoja tas teises įtvirtinti įstatymais ir užtikrinti jas praktikoje; ragina Kosovą užtikrinti, kad visos pagal Mažumų teisių apsaugos įstatymą pripažintos mažumos ir jų bendruomenių nariai būtų visiškai įtraukti į šalies Konstituciją; ragina Kosovo valdžios institucijas dėti daugiau pastangų siekiant apsaugoti visų mažumų, įskaitant nacionalines bendruomenes, visų pirma pažeidžiamas nacionalines bendruomenes, teises ir suteikti joms lygias galimybes bei užtikrinti tinkamą atstovavimą politiniame ir kultūriniame gyvenime, visuomeninėje žiniasklaidoje, administracijoje ir teisminėse institucijose, taip pat užkirsti kelią jų asimiliacijai ir skatinti jų integraciją į Kosovo visuomenę, ir stiprinti veiklą, kuria siekiama pašalinti šių tautinių mažumų socialines ir ekonomines problemas;</w:t>
      </w:r>
    </w:p>
    <w:p w:rsidR="00C21F23" w:rsidRPr="0077775A" w:rsidRDefault="00942B2A" w:rsidP="00C21F23">
      <w:pPr>
        <w:pStyle w:val="NormalHanging12a"/>
        <w:rPr>
          <w:szCs w:val="24"/>
        </w:rPr>
      </w:pPr>
      <w:r>
        <w:t>29</w:t>
      </w:r>
      <w:r w:rsidR="00C21F23" w:rsidRPr="0077775A">
        <w:t>.</w:t>
      </w:r>
      <w:r w:rsidR="00C21F23" w:rsidRPr="0077775A">
        <w:tab/>
        <w:t>palankiai vertina tai, kad padidintas finansavimas smurto šeimoje ir prekybos žmonėmis aukų prieglaudoms; pažymi, kad smurtas šeimoje tebėra labiausiai paplitusi smurto dėl lyties forma; yra susirūpinęs dėl to, kad ši sistema ir toliau neužtikrina veiksmingos smurto šeimoje prevencijos;</w:t>
      </w:r>
    </w:p>
    <w:p w:rsidR="00C21F23" w:rsidRPr="0077775A" w:rsidRDefault="00942B2A" w:rsidP="00C21F23">
      <w:pPr>
        <w:pStyle w:val="NormalHanging12a"/>
        <w:rPr>
          <w:szCs w:val="24"/>
        </w:rPr>
      </w:pPr>
      <w:r>
        <w:rPr>
          <w:color w:val="000000" w:themeColor="text1"/>
        </w:rPr>
        <w:t>30</w:t>
      </w:r>
      <w:r w:rsidR="00C21F23" w:rsidRPr="0077775A">
        <w:rPr>
          <w:color w:val="000000" w:themeColor="text1"/>
        </w:rPr>
        <w:t>.</w:t>
      </w:r>
      <w:r w:rsidR="00C21F23" w:rsidRPr="0077775A">
        <w:rPr>
          <w:color w:val="000000" w:themeColor="text1"/>
        </w:rPr>
        <w:tab/>
      </w:r>
      <w:r w:rsidR="00C21F23" w:rsidRPr="0077775A">
        <w:t>apgailestauja dėl to, kad vis dar nepriimtas Kosovo civilinio kodekso projektas; pabrėžia, kad Civilinio kodekso projekte sprendžiami keli svarbūs klausimai, susiję su lyčių lygybe kaip pagrindine ES vertybe, įskaitant galimybę sutuoktiniams moterims ir vyrams gauti vienodą bendro sutuoktinių turto dalį; pabrėžia, kad Civiliniame kodekse svarbu užtikrinti visų Kosovo gyventojų teises, kad būtų užtikrinta pagarba LGBTIQ bendruomenės konstitucinėms teisėms ir galimybėms; yra susirūpinęs dėl to, kad moterims vis dar nepakankamai atstovaujama aukštose politinėse pareigose, visų pirma susijusiose su saugumu ir dialogu, ir pabrėžia, kad būtina skubiai įtraukti jas į taikdarystės ir susitaikymo procesus, kaip numatyta Jungtinių Tautų Saugumo Tarybos rezoliucijoje Nr. 1325 dėl moterų, taikos ir saugumo; ragina dėti daugiau pastangų, kad būtų pagerinta moterų padėtis visuomenėje;</w:t>
      </w:r>
    </w:p>
    <w:p w:rsidR="00C21F23" w:rsidRPr="0077775A" w:rsidRDefault="00942B2A" w:rsidP="00C21F23">
      <w:pPr>
        <w:pStyle w:val="NormalHanging12a"/>
        <w:rPr>
          <w:szCs w:val="24"/>
        </w:rPr>
      </w:pPr>
      <w:r>
        <w:t>31</w:t>
      </w:r>
      <w:r w:rsidR="00C21F23" w:rsidRPr="0077775A">
        <w:t>.</w:t>
      </w:r>
      <w:r w:rsidR="00C21F23" w:rsidRPr="0077775A">
        <w:tab/>
        <w:t xml:space="preserve">pažymi, kad kalėjimų sistemoje iš esmės laikomasi JT standartinių minimalių taisyklių, ir ragina geriau ginti kalinių, visų pirma moterų, mažumų ir psichikos ligonių, teises; tebėra susirūpinęs dėl to, kad vis dar pasitaiko diskriminuojančių kalbų moterų ir LGBTIQ asmenų atžvilgiu, ir ragina valdžios institucijas sukurti ir įgyvendinti nacionalinę lyčių lygybės strategiją tokiose mokslinių tyrimų srityse kaip mokslas, technologijos, inžinerija ir matematika; palankiai vertina moterų dalyvavimą kokybiškose verslo ir vadybos mokymo programose, taip pat su IRT susijusiose srityse, kurioms skiriamos Pasirengimo narystei paramos priemonės lėšos; apgailestauja dėl to, kad mažumoms priklausančios moterys, visų pirma iš romų, aškalių ir egiptiečių bendruomenių, susiduria su įvairiomis diskriminacijos formomis, ypač švietimo, užimtumo ir galimybės naudotis sveikatos </w:t>
      </w:r>
      <w:r w:rsidR="00C21F23" w:rsidRPr="0077775A">
        <w:lastRenderedPageBreak/>
        <w:t>priežiūros paslaugomis srityse; yra susirūpinęs dėl to, kad centrinėje administracijoje nepakankamai atstovaujama mažumų bendruomenėms ir yra nedaug moterų, užimančių aukštas pareigas;</w:t>
      </w:r>
    </w:p>
    <w:p w:rsidR="00C21F23" w:rsidRPr="0077775A" w:rsidRDefault="00942B2A" w:rsidP="00C21F23">
      <w:pPr>
        <w:pStyle w:val="NormalHanging12a"/>
        <w:rPr>
          <w:szCs w:val="24"/>
        </w:rPr>
      </w:pPr>
      <w:r>
        <w:t>32</w:t>
      </w:r>
      <w:r w:rsidR="00C21F23" w:rsidRPr="0077775A">
        <w:t>.</w:t>
      </w:r>
      <w:r w:rsidR="00C21F23" w:rsidRPr="0077775A">
        <w:tab/>
        <w:t xml:space="preserve">apgailestauja dėl to, kad vis dar nepatvirtinta JT asmenų su negalia teisių konvencija; yra susirūpinęs dėl to, kad Kosovo teisės aktai nepakankamai suderinti su ES </w:t>
      </w:r>
      <w:r w:rsidR="00C21F23" w:rsidRPr="0077775A">
        <w:rPr>
          <w:i/>
        </w:rPr>
        <w:t>acquis</w:t>
      </w:r>
      <w:r w:rsidR="00C21F23" w:rsidRPr="0077775A">
        <w:t xml:space="preserve"> asmenų su negalia, kurie, norėdami gauti socialines paslaugas, susiduria su diskriminacija ir kliūtimis, teisių srityje;</w:t>
      </w:r>
    </w:p>
    <w:p w:rsidR="00C21F23" w:rsidRPr="0077775A" w:rsidRDefault="00942B2A" w:rsidP="00C21F23">
      <w:pPr>
        <w:pStyle w:val="NormalHanging12a"/>
        <w:rPr>
          <w:szCs w:val="24"/>
        </w:rPr>
      </w:pPr>
      <w:r>
        <w:t>33</w:t>
      </w:r>
      <w:r w:rsidR="00C21F23" w:rsidRPr="0077775A">
        <w:t>.</w:t>
      </w:r>
      <w:r w:rsidR="00C21F23" w:rsidRPr="0077775A">
        <w:tab/>
        <w:t>palankiai vertina nuosekliai gerėjančią Kosovo padėtį 2024 m. Liberalios demokratijos indekse ir Rinkimų demokratijos indekse, kuriuos parengė Demokratijos įvairovės („Varieties of Democracy“) institutas ir kuriais vertinama teisinė valstybė, stabdžių ir atsvarų sistema, pilietinės laisvės ir laisvi bei sąžiningi rinkimai;</w:t>
      </w:r>
    </w:p>
    <w:p w:rsidR="00C21F23" w:rsidRPr="0077775A" w:rsidRDefault="00942B2A" w:rsidP="00C21F23">
      <w:pPr>
        <w:pStyle w:val="NormalHanging12a"/>
        <w:rPr>
          <w:color w:val="000000" w:themeColor="text1"/>
          <w:szCs w:val="24"/>
        </w:rPr>
      </w:pPr>
      <w:r>
        <w:t>34</w:t>
      </w:r>
      <w:r w:rsidR="00C21F23" w:rsidRPr="0077775A">
        <w:t>.</w:t>
      </w:r>
      <w:r w:rsidR="00C21F23" w:rsidRPr="0077775A">
        <w:tab/>
        <w:t>atkreipia dėmesį į pliuralistinę Kosovo žiniasklaidos aplinką, laukia Konstitucinio Teismo sprendimo dėl pagrindinio žiniasklaidos įstatymo ir pabrėžia Nepriklausomos žiniasklaidos komisijos, kurios nepriklausomumas priimant sprendimus turi būti visiškai užtikrintas, o veikimas visiškai atkurtas, vaidmenį; tačiau apgailestauja dėl to, kad ribojama Kosovo žiniasklaidos laisvė, nes 2024 m. pasaulio spaudos laisvės indekse jis nukrito iš 56-osios į 75-ąją vietą; dar kartą patvirtina, kad žiniasklaidos pliuralizmas ir skaidrumas yra būtinos stojimo į ES sąlygos; ragina užtikrinti didesnį skaidrumą žiniasklaidos nuosavybės ir finansavimo srityje, siekiant padidinti žiniasklaidos nepriklausomumą ir pliuralizmą; pabrėžia, jog reikia imtis griežtų priemonių, kad žurnalistai būtų apsaugoti nuo priekabiavimo ir bauginimo, ir užtikrinti žiniasklaidos reguliavimo institucijų nepriklausomumą; atkreipia dėmesį į pilietinės visuomenės susirūpinimą dėl tariamai politiškai motyvuotų Nepriklausomos žiniasklaidos komisijos pirmininko rinkimų; primygtinai ragina Kosovo valdžios institucijas tęsti Nepriklausomos žiniasklaidos komisijos įstatymo peržiūrą, kad į jį būtų įtrauktos Europos Tarybos rekomendacijos ir taip nacionalinė teisė būtų suderinta su ES standartais ir praktika; rekomenduoja didinti paramą nepriklausomoms žiniasklaidos priemonėms ir faktų tikrinimo organizacijoms Kosove ir taip pripažinti esminį jų vaidmenį kovojant su dezinformacija ir teikiant tikslią informaciją visuomenei; ragina ES teikti šiems subjektams techninę ir finansinę pagalbą; ragina Kosovo valdžios institucijas prašyti, kad būtų vykdomos konkretiems poreikiams pritaikytos Techninės pagalbos ir informacijos mainų programos ekspertų misijos; ragina priimti Kosovo radijo ir televizijos įstatymą ir žurnalistų šaltinių apsaugos įstatymą;</w:t>
      </w:r>
    </w:p>
    <w:p w:rsidR="00C21F23" w:rsidRPr="0077775A" w:rsidRDefault="00942B2A" w:rsidP="00C21F23">
      <w:pPr>
        <w:pStyle w:val="NormalHanging12a"/>
        <w:rPr>
          <w:szCs w:val="24"/>
        </w:rPr>
      </w:pPr>
      <w:r>
        <w:t>35</w:t>
      </w:r>
      <w:r w:rsidR="00C21F23" w:rsidRPr="0077775A">
        <w:t>.</w:t>
      </w:r>
      <w:r w:rsidR="00C21F23" w:rsidRPr="0077775A">
        <w:tab/>
        <w:t>reiškia susirūpinimą dėl pastarojo meto kibernetinio išpuolio, nukreipto prieš Kosovo skaitmeninę infrastruktūrą; primygtinai ragina Kosovo vyriausybę stiprinti savo gebėjimus kovoti su užsienio šalių kišimusi ir dezinformacija, visų pirma Serbijos nacionalistinių žiniasklaidos priemonių ir Rusijos, kuriais siekiama destabilizuoti regioną ir pa</w:t>
      </w:r>
      <w:r w:rsidR="00C21F23" w:rsidRPr="0077775A">
        <w:lastRenderedPageBreak/>
        <w:t>kenkti Vakarų Balkanų europinei integracijai, parengiant visapusiškas strategijas, apimančias visuomenės informuotumo didinimo kampanijas, taip pat kovą su dezinformacija, keliančia grėsmę moterų dalyvavimui viešajame gyvenime, stiprinant kibernetinį saugumą ir susijusią infrastruktūrą, skatinant bendradarbiavimą su tarptautiniais partneriais, visų pirma su Europos Sąjunga, kad būtų apsaugota Kosovo skaitmeninė ekonomika, viešosios paslaugos ir nacionalinis saugumas, taip pat kovojant su dezinformacijos kampanijomis ir hibridinėmis grėsmėmis, kuriomis siekiama destabilizuoti šalį ir pakenkti jos europinei perspektyvai; skatina į Kosovo švietimo programą įtraukti žiniasklaidos priemonių naudojimo raštingumo programas, kad piliečiai įgytų įgūdžių, reikalingų dezinformacijai atpažinti ir su ja kovoti;</w:t>
      </w:r>
    </w:p>
    <w:p w:rsidR="00C21F23" w:rsidRPr="0077775A" w:rsidRDefault="00942B2A" w:rsidP="00C21F23">
      <w:pPr>
        <w:pStyle w:val="NormalHanging12a"/>
        <w:rPr>
          <w:bCs/>
        </w:rPr>
      </w:pPr>
      <w:r>
        <w:t>36</w:t>
      </w:r>
      <w:r w:rsidR="00C21F23" w:rsidRPr="0077775A">
        <w:t>.</w:t>
      </w:r>
      <w:r w:rsidR="00C21F23" w:rsidRPr="0077775A">
        <w:tab/>
        <w:t>palankiai vertina tai, kad Kosovas suteikė prieglobstį žurnalistams iš Ukrainos ir Afganistano;</w:t>
      </w:r>
    </w:p>
    <w:p w:rsidR="00C21F23" w:rsidRPr="0077775A" w:rsidRDefault="00942B2A" w:rsidP="00C21F23">
      <w:pPr>
        <w:pStyle w:val="NormalHanging12a"/>
        <w:rPr>
          <w:szCs w:val="24"/>
        </w:rPr>
      </w:pPr>
      <w:r>
        <w:t>37</w:t>
      </w:r>
      <w:r w:rsidR="00C21F23" w:rsidRPr="0077775A">
        <w:t>.</w:t>
      </w:r>
      <w:r w:rsidR="00C21F23" w:rsidRPr="0077775A">
        <w:tab/>
        <w:t>reiškia didelį susirūpinimą dėl to, kad labai padaugėjo išpuolių prieš žurnalistus ir strateginių ieškinių dėl visuomenės dalyvavimo (SLAPP bylos), be kita ko, teikiamų vyriausybės pareigūnų; ragina valdžios institucijas paspartinti darbą rengiant kovos su SLAPP teisės aktus pagal naująją ES direktyvą (ES) 2024/1069</w:t>
      </w:r>
      <w:r w:rsidR="00C21F23" w:rsidRPr="0077775A">
        <w:rPr>
          <w:rStyle w:val="FootnoteReference"/>
          <w:szCs w:val="24"/>
        </w:rPr>
        <w:footnoteReference w:id="7"/>
      </w:r>
      <w:r w:rsidR="00C21F23" w:rsidRPr="0077775A">
        <w:t>; ragina Kosovą aktyviai dirbti siekiant užtikrinti, kad žurnalistai galėtų atlikti savo darbą, ir užtikrinti visišką žiniasklaidos laisvę veikti nepriklausomai; pabrėžia, kad reikia nutraukti visų formų smurtą;</w:t>
      </w:r>
    </w:p>
    <w:p w:rsidR="00C21F23" w:rsidRPr="0077775A" w:rsidRDefault="00942B2A" w:rsidP="00C21F23">
      <w:pPr>
        <w:pStyle w:val="NormalHanging12a"/>
      </w:pPr>
      <w:r>
        <w:t>38</w:t>
      </w:r>
      <w:r w:rsidR="00C21F23" w:rsidRPr="0077775A">
        <w:t>.</w:t>
      </w:r>
      <w:r w:rsidR="00C21F23" w:rsidRPr="0077775A">
        <w:tab/>
        <w:t>palankiai vertina gyvybingą ir konstruktyvią Kosovo pilietinę visuomenę, kuri atlieka labai svarbų ir teigiamą vaidmenį reformų procese; ragina Kosovo vyriausybę stiprinti bendradarbiavimą su pilietine visuomene, visų pirma su moterų teisių organizacijomis, sprendimų priėmimo srityje ir labiau išnaudoti Vyriausybės bendradarbiavimo su pilietine visuomene tarybą, kad būtų užmegzti bendradarbiavimu grindžiami santykiai ir visuomenė nuo pat ankstyvo etapo būtų iš tikrųjų įtraukta į skaidrų teisėkūros procesą; pabrėžia, kad svarbu didinti atskaitomybę ir skaidrumą, susijusius su pilietinės visuomenės organizacijų viešuoju finansavimu; pabrėžia, kad pilietinė visuomenė yra labai svarbi skatinant demokratiją ir pliuralizmą bei propaguojant gerą valdymą ir socialinę pažangą;</w:t>
      </w:r>
    </w:p>
    <w:p w:rsidR="00C21F23" w:rsidRPr="0077775A" w:rsidRDefault="00942B2A" w:rsidP="00C21F23">
      <w:pPr>
        <w:pStyle w:val="NormalHanging12a"/>
      </w:pPr>
      <w:r>
        <w:t>39</w:t>
      </w:r>
      <w:r w:rsidR="00C21F23" w:rsidRPr="0077775A">
        <w:t>.</w:t>
      </w:r>
      <w:r w:rsidR="00C21F23" w:rsidRPr="0077775A">
        <w:tab/>
        <w:t xml:space="preserve">apgailestauja dėl to, kad nėra aiškaus plano, kaip įtraukti Kosovo šiaurėje gyvenančius serbus, ir kad iniciatyvos įtraukti serbų bendruomenę į Kosovo politines, socialines ir ekonomines struktūras tebėra labai ribotos; dar kartą ragina pagerinti vidinį dialogą ir iš </w:t>
      </w:r>
      <w:r w:rsidR="00C21F23" w:rsidRPr="0077775A">
        <w:lastRenderedPageBreak/>
        <w:t>tikrųjų bei tiesiogiai bendradarbiauti su nepriklausomomis Kosovo serbų pilietinės visuomenės organizacijomis, visų pirma šiaurėje, siekiant didinti pasitikėjimą, palengvinti kasdienį Kosovo serbų gyvenimą ir sėkmingai juos integruoti;</w:t>
      </w:r>
    </w:p>
    <w:p w:rsidR="00C21F23" w:rsidRPr="0077775A" w:rsidRDefault="00C21F23" w:rsidP="00942B2A">
      <w:pPr>
        <w:pStyle w:val="NormalHanging12a"/>
        <w:ind w:left="0" w:firstLine="0"/>
      </w:pPr>
      <w:r w:rsidRPr="0077775A">
        <w:rPr>
          <w:b/>
          <w:i/>
        </w:rPr>
        <w:t>Susitaikymas ir geri kaimyniniai santykiai</w:t>
      </w:r>
    </w:p>
    <w:p w:rsidR="00C21F23" w:rsidRPr="0077775A" w:rsidRDefault="00942B2A" w:rsidP="00C21F23">
      <w:pPr>
        <w:pStyle w:val="NormalHanging12a"/>
        <w:rPr>
          <w:szCs w:val="24"/>
        </w:rPr>
      </w:pPr>
      <w:r>
        <w:t>40</w:t>
      </w:r>
      <w:r w:rsidR="00C21F23" w:rsidRPr="0077775A">
        <w:t>.</w:t>
      </w:r>
      <w:r w:rsidR="00C21F23" w:rsidRPr="0077775A">
        <w:tab/>
        <w:t>palankiai vertina Kosovo dalyvavimą keliose regioninio bendradarbiavimo iniciatyvose ir ragina jį dėti daugiau pastangų susitaikymo srityje ir ieškoti ankstesnių ginčų sprendimų; giria Kosovą už konstruktyvų požiūrį ir aktyvų dalyvavimą regioniniame bendradarbiavime ir siekiant sudaryti palankesnes sąlygas prekybai, nes tai padėjo atblokuoti Vidurio Europos laisvosios prekybos susitarimą;</w:t>
      </w:r>
    </w:p>
    <w:p w:rsidR="00C21F23" w:rsidRPr="0077775A" w:rsidRDefault="00942B2A" w:rsidP="00C21F23">
      <w:pPr>
        <w:pStyle w:val="NormalHanging12a"/>
        <w:rPr>
          <w:szCs w:val="24"/>
        </w:rPr>
      </w:pPr>
      <w:r>
        <w:rPr>
          <w:color w:val="000000" w:themeColor="text1"/>
        </w:rPr>
        <w:t>41</w:t>
      </w:r>
      <w:r w:rsidR="00C21F23" w:rsidRPr="0077775A">
        <w:rPr>
          <w:color w:val="000000" w:themeColor="text1"/>
        </w:rPr>
        <w:t>.</w:t>
      </w:r>
      <w:r w:rsidR="00C21F23" w:rsidRPr="0077775A">
        <w:rPr>
          <w:color w:val="000000" w:themeColor="text1"/>
        </w:rPr>
        <w:tab/>
      </w:r>
      <w:r w:rsidR="00C21F23" w:rsidRPr="0077775A">
        <w:t>ragina Serbiją atverti visus karo laiko archyvus ir suteikti galimybę susipažinti su buvusiosios Jugoslavijos slaptosios tarnybos (UDBA) ir Jugoslavijos liaudies armijos slaptosios tarnybos (KOS) bylomis bei užtikrinti, kad gavus prašymą jie būtų grąžinti atitinkamoms vyriausybėms; pabrėžia, kad šiuos archyvus reikia atverti visam regionui, siekiant ištirti komunistinių laikų nusikaltimus ir stiprinti demokratiją, atskaitomybę ir institucijas Vakarų Balkanuose;</w:t>
      </w:r>
    </w:p>
    <w:p w:rsidR="00C21F23" w:rsidRPr="0077775A" w:rsidRDefault="00942B2A" w:rsidP="00C21F23">
      <w:pPr>
        <w:pStyle w:val="NormalHanging12a"/>
      </w:pPr>
      <w:r>
        <w:t>42</w:t>
      </w:r>
      <w:r w:rsidR="00C21F23" w:rsidRPr="0077775A">
        <w:t>.</w:t>
      </w:r>
      <w:r w:rsidR="00C21F23" w:rsidRPr="0077775A">
        <w:tab/>
        <w:t>pakartoja, kad visapusiškai palaiko ES tarpininkaujamą dialogą, ir palankiai vertina Peterio Sørenseno paskyrimą ES specialiuoju įgaliotiniu Belgrado ir Prištinos dialogui;</w:t>
      </w:r>
    </w:p>
    <w:p w:rsidR="00C21F23" w:rsidRPr="0077775A" w:rsidRDefault="00942B2A" w:rsidP="00C21F23">
      <w:pPr>
        <w:pStyle w:val="NormalHanging12a"/>
      </w:pPr>
      <w:r>
        <w:t>43</w:t>
      </w:r>
      <w:r w:rsidR="00C21F23" w:rsidRPr="0077775A">
        <w:t>.</w:t>
      </w:r>
      <w:r w:rsidR="00C21F23" w:rsidRPr="0077775A">
        <w:tab/>
        <w:t xml:space="preserve">pakartoja, kad svarbu, jog Kosovo ir Serbijos valdžios institucijos konstruktyviai bendradarbiautų, kad būtų pasiektas išsamus teisiškai privalomas santykių normalizavimo susitarimas, grindžiamas abipusiu pripažinimu ir laikantis tarptautinės teisės;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 </w:t>
      </w:r>
    </w:p>
    <w:p w:rsidR="00C21F23" w:rsidRPr="0077775A" w:rsidRDefault="00942B2A" w:rsidP="00C21F23">
      <w:pPr>
        <w:pStyle w:val="NormalHanging12a"/>
      </w:pPr>
      <w:r>
        <w:t>44</w:t>
      </w:r>
      <w:r w:rsidR="00C21F23" w:rsidRPr="0077775A">
        <w:t>.</w:t>
      </w:r>
      <w:r w:rsidR="00C21F23" w:rsidRPr="0077775A">
        <w:tab/>
        <w:t>tikisi, kad Kosovas ir Serbija visapusiškai bendradarbiaus ir imsis visų būtinų priemonių, kad 2023 m. teroristinio išpuolio Banjskoje vykdytojai būtų sulaikyti ir greitai patraukti baudžiamojon atsakomybėn; apgailestauja dėl to, kad Serbija iki šiol nepatraukė baudžiamojon atsakomybėn kaltininkų, visų pirma partijos „Srpska Lista“ pirmininko pavaduotojo Milano Radoičićiaus; pabrėžia, kad teroristinio išpuolio Zubin Potoke kaltininkai taip pat turi būti nedelsiant patraukti atsakomybėn ir stoti prieš teismą;</w:t>
      </w:r>
    </w:p>
    <w:p w:rsidR="00C21F23" w:rsidRPr="0077775A" w:rsidRDefault="00942B2A" w:rsidP="00C21F23">
      <w:pPr>
        <w:pStyle w:val="NormalHanging12a"/>
        <w:rPr>
          <w:rFonts w:eastAsia="Calibri"/>
          <w:color w:val="000000" w:themeColor="text1"/>
          <w:szCs w:val="24"/>
        </w:rPr>
      </w:pPr>
      <w:r>
        <w:t>45</w:t>
      </w:r>
      <w:r w:rsidR="00C21F23" w:rsidRPr="0077775A">
        <w:t>.</w:t>
      </w:r>
      <w:r w:rsidR="00C21F23" w:rsidRPr="0077775A">
        <w:tab/>
        <w:t>ragina Komisijos pirmininko pavaduotoją ir Sąjungos vyriausiąją įgaliotinę užsienio reikalams ir saugumo politikai ir Komisiją imtis aktyvesnio vaidmens vadovaujant dialogo procesui; ragina stiprinti Europos Parlamento vaidmenį tarpininkavimo dialogui srityje rengiant reguliarius jungtinės parlamentinės asamblėjos posėdžius;</w:t>
      </w:r>
    </w:p>
    <w:p w:rsidR="00C21F23" w:rsidRPr="0077775A" w:rsidRDefault="00942B2A" w:rsidP="00C21F23">
      <w:pPr>
        <w:pStyle w:val="NormalHanging12a"/>
      </w:pPr>
      <w:r>
        <w:lastRenderedPageBreak/>
        <w:t>46</w:t>
      </w:r>
      <w:r w:rsidR="00C21F23" w:rsidRPr="0077775A">
        <w:t>.</w:t>
      </w:r>
      <w:r w:rsidR="00C21F23" w:rsidRPr="0077775A">
        <w:tab/>
        <w:t>smerkia visus veiksmus, kurie kelia pavojų stabilumui ir susitaikymo procesui, įskaitant įtampą Kosovo šiaurėje, ir Serbijos valstybės finansuojamų grupuočių ir neteisėtų ginkluotų darinių provokacijas, ir primygtinai ragina ES laikytis griežtesnės pozicijos dėl išorės kišimosi į Kosovo vidaus reikalus; pabrėžia, kad abi šalys turi visapusiškai įgyvendinti visus pasiektus susitarimus ir vengti vienašalių veiksmų, kurie galėtų eskaluoti įtampą; ragina Kosovo policiją užtikrinti, kad ji visapusiškai laikysis visų teisinės valstybės ir žmogaus teisių reikalavimų, ir užtikrinti, kad Kosovo šiaurėje būtų dislokuotos etniniu požiūriu įvairios ir įtraukios policijos pajėgos, visiškai atitinkančios teisinius reikalavimus; primena bendrą visų politinių atstovų ir visų Kosovo bendruomenių atsakomybę už taikos išlaikymą, saugumą ir teisinės valstybės principų laikymąsi;</w:t>
      </w:r>
    </w:p>
    <w:p w:rsidR="00C21F23" w:rsidRPr="0077775A" w:rsidRDefault="00942B2A" w:rsidP="00C21F23">
      <w:pPr>
        <w:pStyle w:val="NormalHanging12a"/>
        <w:rPr>
          <w:szCs w:val="24"/>
        </w:rPr>
      </w:pPr>
      <w:r>
        <w:rPr>
          <w:color w:val="000000" w:themeColor="text1"/>
        </w:rPr>
        <w:t>47</w:t>
      </w:r>
      <w:r w:rsidR="00C21F23" w:rsidRPr="0077775A">
        <w:rPr>
          <w:color w:val="000000" w:themeColor="text1"/>
        </w:rPr>
        <w:t>.</w:t>
      </w:r>
      <w:r w:rsidR="00C21F23" w:rsidRPr="0077775A">
        <w:rPr>
          <w:color w:val="000000" w:themeColor="text1"/>
        </w:rPr>
        <w:tab/>
      </w:r>
      <w:r w:rsidR="00C21F23" w:rsidRPr="0077775A">
        <w:t>palankiai vertina tai, kad 2024 m. gruodžio mėn. įsteigta Jungtinė komisija dingusių asmenų klausimais, ir ragina skubiai daryti pažangą įgyvendinant 2023 m. gegužės mėn. Politinę deklaraciją dėl dingusių asmenų; ragina Kosovą ir Serbiją susilaikyti nuo šio humanitarinio klausimo politizavimo ir dėti daugiau pastangų įgyvendinant deklaraciją, kuri yra Belgrado ir Prištinos dialogo dalis, ir užmegzti Kosovo ir Serbijos bendradarbiavimą;</w:t>
      </w:r>
    </w:p>
    <w:p w:rsidR="00C21F23" w:rsidRPr="0077775A" w:rsidRDefault="00942B2A" w:rsidP="00C21F23">
      <w:pPr>
        <w:pStyle w:val="NormalHanging12a"/>
      </w:pPr>
      <w:r>
        <w:t>48</w:t>
      </w:r>
      <w:r w:rsidR="00C21F23" w:rsidRPr="0077775A">
        <w:t>.</w:t>
      </w:r>
      <w:r w:rsidR="00C21F23" w:rsidRPr="0077775A">
        <w:tab/>
        <w:t>palankiai vertina vykstant Berlyno procesui neseniai sudarytus susitarimus;</w:t>
      </w:r>
    </w:p>
    <w:p w:rsidR="00C21F23" w:rsidRPr="0077775A" w:rsidRDefault="00942B2A" w:rsidP="00C21F23">
      <w:pPr>
        <w:pStyle w:val="NormalHanging12a"/>
      </w:pPr>
      <w:r>
        <w:t>49</w:t>
      </w:r>
      <w:r w:rsidR="00C21F23" w:rsidRPr="0077775A">
        <w:t>.</w:t>
      </w:r>
      <w:r w:rsidR="00C21F23" w:rsidRPr="0077775A">
        <w:tab/>
        <w:t>palankiai vertina Kosovo sprendimą panaikinti apribojimus įvežti Serbijos galutinius produktus per Merdarės sienos perėjimo punktą;</w:t>
      </w:r>
    </w:p>
    <w:p w:rsidR="00C21F23" w:rsidRPr="0077775A" w:rsidRDefault="00942B2A" w:rsidP="00C21F23">
      <w:pPr>
        <w:pStyle w:val="NormalHanging12a"/>
      </w:pPr>
      <w:r>
        <w:t>50</w:t>
      </w:r>
      <w:r w:rsidR="00C21F23" w:rsidRPr="0077775A">
        <w:t>.</w:t>
      </w:r>
      <w:r w:rsidR="00C21F23" w:rsidRPr="0077775A">
        <w:tab/>
        <w:t>palankiai vertina Taikos palaikymo pajėgų Kosove buvimą ir jų vaidmenį kuriant ir palaikant saugią aplinką ir plėtojant stabilų bei taikų Kosovą, siekiantį euroatlantinės integracijos; primena, kad misija, teikiant konsultacijas, mokymus ir stiprinant gebėjimus, svarbi nuolatiniam Kosovo saugumo pajėgų vystymui;</w:t>
      </w:r>
    </w:p>
    <w:p w:rsidR="00C21F23" w:rsidRPr="0077775A" w:rsidRDefault="00C21F23" w:rsidP="00942B2A">
      <w:pPr>
        <w:pStyle w:val="NormalHanging12a"/>
        <w:ind w:left="0" w:firstLine="0"/>
        <w:rPr>
          <w:b/>
          <w:i/>
        </w:rPr>
      </w:pPr>
      <w:r w:rsidRPr="0077775A">
        <w:rPr>
          <w:b/>
          <w:i/>
        </w:rPr>
        <w:t>Socialinės ir ekonominės reformos</w:t>
      </w:r>
    </w:p>
    <w:p w:rsidR="00C21F23" w:rsidRPr="0077775A" w:rsidRDefault="00942B2A" w:rsidP="00C21F23">
      <w:pPr>
        <w:pStyle w:val="NormalHanging12a"/>
      </w:pPr>
      <w:r>
        <w:t>51</w:t>
      </w:r>
      <w:r w:rsidR="00C21F23" w:rsidRPr="0077775A">
        <w:t>.</w:t>
      </w:r>
      <w:r w:rsidR="00C21F23" w:rsidRPr="0077775A">
        <w:tab/>
        <w:t>palankiai vertina aktyvų Kosovo dalyvavimą įgyvendinant naują Vakarų Balkanų ekonomikos augimo planą, kuriuo siekiama stiprinti su ES susijusias reformas ir sumažinti socialinį ir ekonominį atotrūkį tarp ES valstybių narių ir Vakarų Balkanų šalių; palankiai vertina Kosovo reformų darbotvarkės priėmimą ir primena, kad Kosovas (kaip ir Serbija) turi pademonstruoti didesnį įsipareigojimą dalyvauti ES tarpininkaujamame dialoge, kad galėtų gauti išteklių;</w:t>
      </w:r>
    </w:p>
    <w:p w:rsidR="00C21F23" w:rsidRPr="0077775A" w:rsidRDefault="00942B2A" w:rsidP="00C21F23">
      <w:pPr>
        <w:pStyle w:val="NormalHanging12a"/>
      </w:pPr>
      <w:r>
        <w:t>52</w:t>
      </w:r>
      <w:r w:rsidR="00C21F23" w:rsidRPr="0077775A">
        <w:t>.</w:t>
      </w:r>
      <w:r w:rsidR="00C21F23" w:rsidRPr="0077775A">
        <w:tab/>
        <w:t>palankiai vertina Kosovo padarytą pažangą kuriant veikiančią rinkos ekonomiką ir ragina Kosovą įgyvendinti fiskaliniams uždaviniams spręsti būtinas struktūrines reformas, kartu užtikrinant tinkamą darbuotojų apsaugą, teisingą darbo užmokestį ir geresnes darbo sąlygas, atitinkančias ES standartus;</w:t>
      </w:r>
    </w:p>
    <w:p w:rsidR="00C21F23" w:rsidRPr="0077775A" w:rsidRDefault="00942B2A" w:rsidP="00C21F23">
      <w:pPr>
        <w:pStyle w:val="NormalHanging12a"/>
      </w:pPr>
      <w:r>
        <w:lastRenderedPageBreak/>
        <w:t>53</w:t>
      </w:r>
      <w:r w:rsidR="00C21F23" w:rsidRPr="0077775A">
        <w:t>.</w:t>
      </w:r>
      <w:r w:rsidR="00C21F23" w:rsidRPr="0077775A">
        <w:tab/>
        <w:t>pakartotinai ragina Komisija parengti regioninę strategiją, skirtą nemažėjančio jaunimo nedarbo ir protų nutekėjimo problemoms spręsti, šalinant įgūdžių pasiūlos ir paklausos neatitiktį tarp švietimo sistemos ir darbo rinkos, gerinant mokymo kokybę ir užtikrinant pakankamą finansavimą aktyvioms darbo rinkos priemonėms ir profesinio rengimo programoms, kartu teikiant pakankamas vaikų priežiūros ir ikimokyklinio ugdymo paslaugas;</w:t>
      </w:r>
    </w:p>
    <w:p w:rsidR="00C21F23" w:rsidRPr="0077775A" w:rsidRDefault="00942B2A" w:rsidP="00C21F23">
      <w:pPr>
        <w:pStyle w:val="NormalHanging12a"/>
      </w:pPr>
      <w:r>
        <w:t>54</w:t>
      </w:r>
      <w:r w:rsidR="00C21F23" w:rsidRPr="0077775A">
        <w:t>.</w:t>
      </w:r>
      <w:r w:rsidR="00C21F23" w:rsidRPr="0077775A">
        <w:tab/>
        <w:t xml:space="preserve">palankiai vertina tai, kad Kosovo teisės aktai dėl kibernetinių nusikaltimų iš esmės atitinka ES </w:t>
      </w:r>
      <w:r w:rsidR="00C21F23" w:rsidRPr="0077775A">
        <w:rPr>
          <w:i/>
        </w:rPr>
        <w:t>acquis</w:t>
      </w:r>
      <w:r w:rsidR="00C21F23" w:rsidRPr="0077775A">
        <w:t>; atkreipia dėmesį į ribotą Kosovo pažangą viešųjų paslaugų skaitmeninės transformacijos srityje; pabrėžia, kad ji turi būti suderinta su ES skaitmeninės srities teisės aktais, visų pirma su Europos elektroninių ryšių kodeksu, ES tinklų ir informacijos saugumo direktyva (TIS 2)</w:t>
      </w:r>
      <w:r w:rsidR="00C21F23" w:rsidRPr="0077775A">
        <w:rPr>
          <w:rStyle w:val="FootnoteReference"/>
        </w:rPr>
        <w:footnoteReference w:id="8"/>
      </w:r>
      <w:r w:rsidR="00C21F23" w:rsidRPr="0077775A">
        <w:t>, ES 5G kibernetinio saugumo priemonių rinkiniu, Skaitmeninių paslaugų aktu</w:t>
      </w:r>
      <w:r w:rsidR="00C21F23" w:rsidRPr="0077775A">
        <w:rPr>
          <w:rStyle w:val="FootnoteReference"/>
        </w:rPr>
        <w:footnoteReference w:id="9"/>
      </w:r>
      <w:r w:rsidR="00C21F23" w:rsidRPr="0077775A">
        <w:t xml:space="preserve"> ir Skaitmeninių rinkų aktu</w:t>
      </w:r>
      <w:r w:rsidR="00C21F23" w:rsidRPr="0077775A">
        <w:rPr>
          <w:rStyle w:val="FootnoteReference"/>
        </w:rPr>
        <w:footnoteReference w:id="10"/>
      </w:r>
      <w:r w:rsidR="00C21F23" w:rsidRPr="0077775A">
        <w:t>; atkreipia dėmesį į tai, kad Kosovo ekonomika tebėra labai priklausoma nuo importo, ir pabrėžia, jog reikia įvairinti ekonomiką, kad būtų padidintas konkurencingumas ir tvarumas, visų pirma atsižvelgiant į glaudesnę integraciją į ES rinkas;</w:t>
      </w:r>
    </w:p>
    <w:p w:rsidR="00C21F23" w:rsidRPr="0077775A" w:rsidRDefault="00942B2A" w:rsidP="00C21F23">
      <w:pPr>
        <w:pStyle w:val="NormalHanging12a"/>
      </w:pPr>
      <w:r>
        <w:t>55</w:t>
      </w:r>
      <w:r w:rsidR="00C21F23" w:rsidRPr="0077775A">
        <w:t>.</w:t>
      </w:r>
      <w:r w:rsidR="00C21F23" w:rsidRPr="0077775A">
        <w:tab/>
        <w:t>apgailestauja dėl to, kad 2022 m. pateiktas įstatymo dėl vadovėlių projektas vis dar nėra galutinai priimtas Kosovo Asamblėjoje; ragina Kosovą baigti įgyvendinti naują pagrindinio ugdymo mokymo programą, baigti dabartinių vadovėlių peržiūrą, užtikrinti tvarų mokytojų mokymą ir sistemingai taikyti kokybės užtikrinimo mechanizmus visais švietimo lygmenimis;</w:t>
      </w:r>
    </w:p>
    <w:p w:rsidR="00C21F23" w:rsidRPr="0077775A" w:rsidRDefault="00942B2A" w:rsidP="00C21F23">
      <w:pPr>
        <w:pStyle w:val="NormalHanging12a"/>
        <w:rPr>
          <w:rFonts w:eastAsia="Calibri"/>
          <w:color w:val="000000" w:themeColor="text1"/>
          <w:szCs w:val="24"/>
        </w:rPr>
      </w:pPr>
      <w:r>
        <w:t>56</w:t>
      </w:r>
      <w:r w:rsidR="00C21F23" w:rsidRPr="0077775A">
        <w:t>.</w:t>
      </w:r>
      <w:r w:rsidR="00C21F23" w:rsidRPr="0077775A">
        <w:tab/>
        <w:t xml:space="preserve">primygtinai Kosovą užtikrinti geresnes galimybes naudotis kokybiškomis sveikatos priežiūros paslaugomis; pažymi, kad sveikatos priežiūros išlaidos tebėra antros nuo galo regione, ir ragina vykdyti visapusišką sveikatos priežiūros reformą, kad būtų patenkinti </w:t>
      </w:r>
      <w:r w:rsidR="00C21F23" w:rsidRPr="0077775A">
        <w:lastRenderedPageBreak/>
        <w:t>visų piliečių, ypač kaimo ir nepakankamai išvystytų vietovių, poreikiai;</w:t>
      </w:r>
    </w:p>
    <w:p w:rsidR="00C21F23" w:rsidRPr="0077775A" w:rsidRDefault="00942B2A" w:rsidP="00C21F23">
      <w:pPr>
        <w:pStyle w:val="NormalHanging12a"/>
      </w:pPr>
      <w:r>
        <w:t>57</w:t>
      </w:r>
      <w:r w:rsidR="00C21F23" w:rsidRPr="0077775A">
        <w:t>.</w:t>
      </w:r>
      <w:r w:rsidR="00C21F23" w:rsidRPr="0077775A">
        <w:tab/>
        <w:t>susirūpinęs pažymi, kad, vyriausybei uždarius Darbo ir socialinės gerovės ministeriją, kuri buvo panaikinta be skaidrių konsultacijų su pilietine visuomene ir kitais suinteresuotaisiais subjektais ir sukėlė nemažai painiavos, pablogėjo socialinių paslaugų prieinamumas, visų pirma pažeidžiamoms grupėms; ragina sudaryti geresnį, faktais pagrįstą biudžetą, kad būtų pagerintos socialinės paslaugos, ypač smurtą dėl lyties patyrusiems asmenims, laikantis naujos teisinės sistemos;</w:t>
      </w:r>
    </w:p>
    <w:p w:rsidR="00C21F23" w:rsidRPr="0077775A" w:rsidRDefault="00942B2A" w:rsidP="00C21F23">
      <w:pPr>
        <w:pStyle w:val="NormalHanging12a"/>
      </w:pPr>
      <w:r>
        <w:t>58</w:t>
      </w:r>
      <w:r w:rsidR="00C21F23" w:rsidRPr="0077775A">
        <w:t>.</w:t>
      </w:r>
      <w:r w:rsidR="00C21F23" w:rsidRPr="0077775A">
        <w:tab/>
        <w:t>ragina Kosovą teikti vienodą ir nediskriminacinį valstybinį švietimą mažumų kalbomis;</w:t>
      </w:r>
    </w:p>
    <w:p w:rsidR="00C21F23" w:rsidRPr="0077775A" w:rsidRDefault="00942B2A" w:rsidP="00C21F23">
      <w:pPr>
        <w:pStyle w:val="NormalHanging12a"/>
      </w:pPr>
      <w:r>
        <w:t>59</w:t>
      </w:r>
      <w:r w:rsidR="00C21F23" w:rsidRPr="0077775A">
        <w:t>.</w:t>
      </w:r>
      <w:r w:rsidR="00C21F23" w:rsidRPr="0077775A">
        <w:tab/>
        <w:t>pakartoja, kad reikia užmegzti ryšius su savivaldybių, kuriose dauguma gyventojų yra serbai, jaunimu ir integruoti jį į socialines bei ekonomines šalies struktūras;</w:t>
      </w:r>
    </w:p>
    <w:p w:rsidR="00C21F23" w:rsidRPr="0077775A" w:rsidRDefault="00C21F23" w:rsidP="00942B2A">
      <w:pPr>
        <w:pStyle w:val="NormalHanging12a"/>
        <w:ind w:left="0" w:firstLine="0"/>
      </w:pPr>
      <w:r w:rsidRPr="0077775A">
        <w:rPr>
          <w:b/>
          <w:i/>
        </w:rPr>
        <w:t>Energetika, aplinka, darnus vystymasis ir junglumas</w:t>
      </w:r>
    </w:p>
    <w:p w:rsidR="00C21F23" w:rsidRPr="0077775A" w:rsidRDefault="00942B2A" w:rsidP="00C21F23">
      <w:pPr>
        <w:pStyle w:val="NormalHanging12a"/>
        <w:rPr>
          <w:szCs w:val="24"/>
        </w:rPr>
      </w:pPr>
      <w:r>
        <w:t>60</w:t>
      </w:r>
      <w:r w:rsidR="00C21F23" w:rsidRPr="0077775A">
        <w:t>.</w:t>
      </w:r>
      <w:r w:rsidR="00C21F23" w:rsidRPr="0077775A">
        <w:tab/>
        <w:t>pažymi, kad Kosovas padarė tam tikrą pažangą energijos tiekimo saugumo srityje, tačiau tebėra labai priklausomas nuo pasenusių, labai taršių elektrinių, kurios kelia didelį pavojų sveikatai ir aplinkai; pažymi, kad Kosovas turi užtikrinti laiko požiūriu efektyvų 2022–2025 m. energetikos programos įgyvendinimą, kad būtų pasiekti jo plataus užmojo tikslai ir sumažinta jo priklausomybė nuo iškastinio kuro; ragina ES dėti daugiau pastangų ir teikti pirmenybę pastangoms padėti Kosovui įveikti oro taršos problemas;</w:t>
      </w:r>
      <w:r w:rsidR="00C21F23" w:rsidRPr="0077775A">
        <w:rPr>
          <w:b/>
        </w:rPr>
        <w:t xml:space="preserve"> </w:t>
      </w:r>
      <w:r w:rsidR="00C21F23" w:rsidRPr="0077775A">
        <w:t>atkreipia dėmesį į tai, kad nauja Kosovo energetikos strategija neskatinama naujų hidroelektrinių statyba, nes jos žalingai veikia aplinką, visų pirma atsižvelgiant į vandens trūkumą šalyje;</w:t>
      </w:r>
    </w:p>
    <w:p w:rsidR="00C21F23" w:rsidRPr="0077775A" w:rsidRDefault="00942B2A" w:rsidP="00C21F23">
      <w:pPr>
        <w:pStyle w:val="NormalHanging12a"/>
      </w:pPr>
      <w:r>
        <w:t>61</w:t>
      </w:r>
      <w:r w:rsidR="00C21F23" w:rsidRPr="0077775A">
        <w:t>.</w:t>
      </w:r>
      <w:r w:rsidR="00C21F23" w:rsidRPr="0077775A">
        <w:tab/>
        <w:t>pabrėžia, kad Kosove reikia visapusiškai plėtoti infrastruktūrą, kad būtų sudarytos palankesnės sąlygos mažinti viešojo transporto išmetamų teršalų kiekį ir plėtoti elektrifikuotą transportą; pabrėžia, kad pirmenybė ir toliau turi būti teikiama prieinamumo gerinimui ir suderinamumo su ES transporto tinklu užtikrinimui;</w:t>
      </w:r>
    </w:p>
    <w:p w:rsidR="00C21F23" w:rsidRPr="0077775A" w:rsidRDefault="00942B2A" w:rsidP="00C21F23">
      <w:pPr>
        <w:pStyle w:val="NormalHanging12a"/>
      </w:pPr>
      <w:r>
        <w:t>62</w:t>
      </w:r>
      <w:r w:rsidR="00C21F23" w:rsidRPr="0077775A">
        <w:t>.</w:t>
      </w:r>
      <w:r w:rsidR="00C21F23" w:rsidRPr="0077775A">
        <w:tab/>
        <w:t>palankiai vertina Tiranos aukščiausiojo lygio susitikime pasiektą susitarimą dėl tarptinklinio ryšio kainų mažinimo; šiuo atžvilgiu ragina valdžios institucijas, privačiojo sektoriaus subjektus ir visus suinteresuotuosius subjektus sudaryti palankesnes sąlygas sutartiems tikslams pasiekti, kad būtų gerokai sumažinti ir toliau mažinami tarptinklinio ryšio mokesčiai siekiant, kad ne vėliau kaip 2027 m. tarptinklinio ES ir Vakarų Balkanų ryšio kainos priartėtų prie vidaus kainų; palankiai vertina tai, kad įsigaliojo pirmasis tarptinklinio ryšio tarp Vakarų Balkanų ir ES veiksmų plano įgyvendinimo etapas;</w:t>
      </w:r>
    </w:p>
    <w:p w:rsidR="00C21F23" w:rsidRPr="0077775A" w:rsidRDefault="00942B2A" w:rsidP="00C21F23">
      <w:pPr>
        <w:pStyle w:val="NormalHanging12a"/>
        <w:rPr>
          <w:szCs w:val="24"/>
        </w:rPr>
      </w:pPr>
      <w:r>
        <w:t>63</w:t>
      </w:r>
      <w:r w:rsidR="00C21F23" w:rsidRPr="0077775A">
        <w:t>.</w:t>
      </w:r>
      <w:r w:rsidR="00C21F23" w:rsidRPr="0077775A">
        <w:tab/>
        <w:t>primygtinai ragina Kosovą labiau laikytis išmetamų teršalų ribų, geriau integruoti aplin</w:t>
      </w:r>
      <w:r w:rsidR="00C21F23" w:rsidRPr="0077775A">
        <w:lastRenderedPageBreak/>
        <w:t xml:space="preserve">kosaugos aspektus į sektorių politiką ir priimti būtinas taršos, dirvožemio ir vandens taršos kontrolės ir atliekų tvarkymo priemones, atitinkančias ES ir tarptautinius standartus bei įsipareigojimus; primygtinai ragina Kosovą tobulinti išsamius poveikio aplinkai vertinimus ir įtraukti tvarumo priemones į infrastruktūros planavimą; ragina Kosovą didinti saugomų teritorijų skaičių šalyje ir tobulinti jų apsaugos priemones, kad būtų išsaugota biologinė įvairovė, įskaitant pagrindines sparčiai nykstančių Balkanų lūšių buveines; ragina Kosovą suintensyvinti ir paspartinti bendradarbiavimo su kaimyninėmis šalimis pastangas, kad būtų nustatytos tarpvalstybinės saugomos teritorijos ir parengti nuoseklūs </w:t>
      </w:r>
      <w:r w:rsidR="00212824">
        <w:t>tarpvalstybiniai valdymo planai;</w:t>
      </w:r>
    </w:p>
    <w:p w:rsidR="00C21F23" w:rsidRPr="0077775A" w:rsidRDefault="00C21F23" w:rsidP="00C21F23">
      <w:pPr>
        <w:pStyle w:val="NormalHanging12a"/>
        <w:jc w:val="center"/>
      </w:pPr>
      <w:r w:rsidRPr="0077775A">
        <w:t>°</w:t>
      </w:r>
    </w:p>
    <w:p w:rsidR="00C21F23" w:rsidRPr="0077775A" w:rsidRDefault="00C21F23" w:rsidP="00C21F23">
      <w:pPr>
        <w:pStyle w:val="NormalHanging12a"/>
        <w:jc w:val="center"/>
      </w:pPr>
      <w:r w:rsidRPr="0077775A">
        <w:t>°</w:t>
      </w:r>
      <w:r w:rsidRPr="0077775A">
        <w:tab/>
        <w:t>°</w:t>
      </w:r>
    </w:p>
    <w:p w:rsidR="00E365E1" w:rsidRPr="0077775A" w:rsidRDefault="00942B2A" w:rsidP="006078AF">
      <w:pPr>
        <w:pStyle w:val="NormalHanging12a"/>
      </w:pPr>
      <w:r>
        <w:t>64</w:t>
      </w:r>
      <w:r w:rsidR="00C21F23" w:rsidRPr="0077775A">
        <w:t>.</w:t>
      </w:r>
      <w:r w:rsidR="00C21F23" w:rsidRPr="0077775A">
        <w:tab/>
        <w:t>paveda Pirmininkei perduoti šią rezoliuciją Europos Vadovų Tarybos pirmininkui, Komisijai, Komisijos pirmininko pavaduotojai ir Sąjungos vyriausiajai įgaliotinei užsienio reikalams ir saugumo politikai, valstybių narių vyriausybėms ir parlamentams bei Kosovo prezidentui, vyriausybei ir Nacionalinei Asamblėjai.</w:t>
      </w:r>
    </w:p>
    <w:sectPr w:rsidR="00E365E1" w:rsidRPr="0077775A" w:rsidSect="007777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849" w:rsidRPr="0077775A" w:rsidRDefault="00B37849">
      <w:r w:rsidRPr="0077775A">
        <w:separator/>
      </w:r>
    </w:p>
  </w:endnote>
  <w:endnote w:type="continuationSeparator" w:id="0">
    <w:p w:rsidR="00B37849" w:rsidRPr="0077775A" w:rsidRDefault="00B37849">
      <w:r w:rsidRPr="007777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849" w:rsidRPr="0077775A" w:rsidRDefault="00B37849">
      <w:r w:rsidRPr="0077775A">
        <w:separator/>
      </w:r>
    </w:p>
  </w:footnote>
  <w:footnote w:type="continuationSeparator" w:id="0">
    <w:p w:rsidR="00B37849" w:rsidRPr="0077775A" w:rsidRDefault="00B37849">
      <w:r w:rsidRPr="0077775A">
        <w:continuationSeparator/>
      </w:r>
    </w:p>
  </w:footnote>
  <w:footnote w:id="1">
    <w:p w:rsidR="00C21F23" w:rsidRPr="0077775A" w:rsidRDefault="00C21F23" w:rsidP="0077775A">
      <w:pPr>
        <w:pStyle w:val="FootnoteText"/>
        <w:ind w:left="567" w:hanging="567"/>
        <w:rPr>
          <w:color w:val="0000FF"/>
          <w:sz w:val="24"/>
          <w:u w:val="single" w:color="0000FF"/>
          <w:lang w:val="lt-LT"/>
        </w:rPr>
      </w:pPr>
      <w:r w:rsidRPr="0077775A">
        <w:rPr>
          <w:rStyle w:val="FootnoteReference"/>
          <w:sz w:val="24"/>
          <w:lang w:val="lt-LT"/>
        </w:rPr>
        <w:footnoteRef/>
      </w:r>
      <w:r w:rsidR="0077775A" w:rsidRPr="0077775A">
        <w:rPr>
          <w:sz w:val="24"/>
          <w:lang w:val="lt-LT"/>
        </w:rPr>
        <w:t xml:space="preserve"> </w:t>
      </w:r>
      <w:r w:rsidR="0077775A" w:rsidRPr="0077775A">
        <w:rPr>
          <w:sz w:val="24"/>
          <w:lang w:val="lt-LT"/>
        </w:rPr>
        <w:tab/>
      </w:r>
      <w:r w:rsidRPr="0077775A">
        <w:rPr>
          <w:sz w:val="24"/>
          <w:lang w:val="lt-LT"/>
        </w:rPr>
        <w:t xml:space="preserve">OL L 71, 2016 3 16, p. 3, ELI: </w:t>
      </w:r>
      <w:hyperlink r:id="rId1" w:history="1">
        <w:r w:rsidRPr="0077775A">
          <w:rPr>
            <w:rStyle w:val="Hyperlink"/>
            <w:sz w:val="24"/>
            <w:lang w:val="lt-LT"/>
          </w:rPr>
          <w:t>http://data.europa.eu/eli/agree_internation/2016/342/oj</w:t>
        </w:r>
      </w:hyperlink>
      <w:r w:rsidRPr="0077775A">
        <w:rPr>
          <w:sz w:val="24"/>
          <w:lang w:val="lt-LT"/>
        </w:rPr>
        <w:t>.</w:t>
      </w:r>
    </w:p>
  </w:footnote>
  <w:footnote w:id="2">
    <w:p w:rsidR="00C21F23" w:rsidRPr="0077775A" w:rsidRDefault="00C21F23" w:rsidP="0077775A">
      <w:pPr>
        <w:pStyle w:val="FootnoteText"/>
        <w:ind w:left="567" w:hanging="567"/>
        <w:rPr>
          <w:color w:val="0000FF"/>
          <w:sz w:val="24"/>
          <w:u w:val="single" w:color="0000FF"/>
          <w:lang w:val="lt-LT"/>
        </w:rPr>
      </w:pPr>
      <w:r w:rsidRPr="0077775A">
        <w:rPr>
          <w:rStyle w:val="FootnoteReference"/>
          <w:sz w:val="24"/>
          <w:lang w:val="lt-LT"/>
        </w:rPr>
        <w:footnoteRef/>
      </w:r>
      <w:r w:rsidR="0077775A" w:rsidRPr="0077775A">
        <w:rPr>
          <w:sz w:val="24"/>
          <w:lang w:val="lt-LT"/>
        </w:rPr>
        <w:t xml:space="preserve"> </w:t>
      </w:r>
      <w:r w:rsidR="0077775A" w:rsidRPr="0077775A">
        <w:rPr>
          <w:sz w:val="24"/>
          <w:lang w:val="lt-LT"/>
        </w:rPr>
        <w:tab/>
      </w:r>
      <w:r w:rsidRPr="0077775A">
        <w:rPr>
          <w:sz w:val="24"/>
          <w:lang w:val="lt-LT"/>
        </w:rPr>
        <w:t>OL L 195, 2017 7 27, p. </w:t>
      </w:r>
      <w:r w:rsidRPr="0077775A">
        <w:rPr>
          <w:sz w:val="24"/>
          <w:lang w:val="lt-LT"/>
        </w:rPr>
        <w:t xml:space="preserve">3, ELI: </w:t>
      </w:r>
      <w:hyperlink r:id="rId2" w:history="1">
        <w:r w:rsidRPr="0077775A">
          <w:rPr>
            <w:rStyle w:val="Hyperlink"/>
            <w:sz w:val="24"/>
            <w:lang w:val="lt-LT"/>
          </w:rPr>
          <w:t>http://data.europa.eu/eli/agree_internation/2017/1388/oj</w:t>
        </w:r>
      </w:hyperlink>
      <w:r w:rsidRPr="0077775A">
        <w:rPr>
          <w:sz w:val="24"/>
          <w:lang w:val="lt-LT"/>
        </w:rPr>
        <w:t>.</w:t>
      </w:r>
    </w:p>
  </w:footnote>
  <w:footnote w:id="3">
    <w:p w:rsidR="00C62C81" w:rsidRPr="0077775A" w:rsidRDefault="00C62C81" w:rsidP="00C62C81">
      <w:pPr>
        <w:pStyle w:val="FootnoteText"/>
        <w:ind w:left="567" w:hanging="567"/>
        <w:rPr>
          <w:color w:val="0000FF"/>
          <w:sz w:val="24"/>
          <w:u w:val="single" w:color="0000FF"/>
          <w:lang w:val="lt-LT"/>
        </w:rPr>
      </w:pPr>
      <w:r w:rsidRPr="0077775A">
        <w:rPr>
          <w:rStyle w:val="FootnoteReference"/>
          <w:sz w:val="24"/>
          <w:lang w:val="lt-LT"/>
        </w:rPr>
        <w:footnoteRef/>
      </w:r>
      <w:r w:rsidRPr="0077775A">
        <w:rPr>
          <w:sz w:val="24"/>
          <w:lang w:val="lt-LT"/>
        </w:rPr>
        <w:t xml:space="preserve"> </w:t>
      </w:r>
      <w:r w:rsidRPr="0077775A">
        <w:rPr>
          <w:sz w:val="24"/>
          <w:lang w:val="lt-LT"/>
        </w:rPr>
        <w:tab/>
        <w:t>OL L 330, 2021 9 20, p. </w:t>
      </w:r>
      <w:r w:rsidRPr="0077775A">
        <w:rPr>
          <w:sz w:val="24"/>
          <w:lang w:val="lt-LT"/>
        </w:rPr>
        <w:t xml:space="preserve">1, ELI: </w:t>
      </w:r>
      <w:hyperlink r:id="rId3" w:history="1">
        <w:r w:rsidRPr="0077775A">
          <w:rPr>
            <w:rStyle w:val="Hyperlink"/>
            <w:sz w:val="24"/>
            <w:lang w:val="lt-LT"/>
          </w:rPr>
          <w:t>http://data.europa.eu/eli/reg/2021/1529/oj</w:t>
        </w:r>
      </w:hyperlink>
      <w:r w:rsidRPr="0077775A">
        <w:rPr>
          <w:sz w:val="24"/>
          <w:lang w:val="lt-LT"/>
        </w:rPr>
        <w:t>.</w:t>
      </w:r>
    </w:p>
  </w:footnote>
  <w:footnote w:id="4">
    <w:p w:rsidR="00C62C81" w:rsidRPr="0077775A" w:rsidRDefault="00C62C81" w:rsidP="00C62C81">
      <w:pPr>
        <w:pStyle w:val="FootnoteText"/>
        <w:ind w:left="567" w:hanging="567"/>
        <w:rPr>
          <w:sz w:val="24"/>
          <w:lang w:val="lt-LT"/>
        </w:rPr>
      </w:pPr>
      <w:r w:rsidRPr="0077775A">
        <w:rPr>
          <w:rStyle w:val="FootnoteReference"/>
          <w:sz w:val="24"/>
          <w:lang w:val="lt-LT"/>
        </w:rPr>
        <w:footnoteRef/>
      </w:r>
      <w:r w:rsidRPr="0077775A">
        <w:rPr>
          <w:sz w:val="24"/>
          <w:lang w:val="lt-LT"/>
        </w:rPr>
        <w:t xml:space="preserve"> </w:t>
      </w:r>
      <w:r w:rsidRPr="0077775A">
        <w:rPr>
          <w:sz w:val="24"/>
          <w:lang w:val="lt-LT"/>
        </w:rPr>
        <w:tab/>
      </w:r>
      <w:r w:rsidRPr="0077775A">
        <w:rPr>
          <w:sz w:val="24"/>
          <w:lang w:val="lt-LT"/>
        </w:rPr>
        <w:t xml:space="preserve">OL L, 2024/1449, 2024 5 24, </w:t>
      </w:r>
      <w:r w:rsidRPr="0077775A">
        <w:rPr>
          <w:color w:val="333333"/>
          <w:sz w:val="24"/>
          <w:shd w:val="clear" w:color="auto" w:fill="FFFFFF"/>
          <w:lang w:val="lt-LT"/>
        </w:rPr>
        <w:t>ELI</w:t>
      </w:r>
      <w:r w:rsidRPr="0077775A">
        <w:rPr>
          <w:sz w:val="24"/>
          <w:lang w:val="lt-LT"/>
        </w:rPr>
        <w:t>:</w:t>
      </w:r>
      <w:r>
        <w:rPr>
          <w:sz w:val="24"/>
          <w:lang w:val="lt-LT"/>
        </w:rPr>
        <w:t xml:space="preserve"> </w:t>
      </w:r>
      <w:hyperlink r:id="rId4" w:tooltip="Prieiga prie šio dokumento suteikiama per jo ELI URI." w:history="1">
        <w:r w:rsidRPr="00034A22">
          <w:rPr>
            <w:rStyle w:val="Hyperlink"/>
            <w:lang w:val="fi-FI"/>
          </w:rPr>
          <w:t>http://data.europa.eu/eli/reg/2024/1449/oj</w:t>
        </w:r>
      </w:hyperlink>
      <w:r w:rsidRPr="0077775A">
        <w:rPr>
          <w:sz w:val="24"/>
          <w:lang w:val="lt-LT"/>
        </w:rPr>
        <w:t>.</w:t>
      </w:r>
    </w:p>
  </w:footnote>
  <w:footnote w:id="5">
    <w:p w:rsidR="00C62C81" w:rsidRPr="0077775A" w:rsidRDefault="00C62C81" w:rsidP="00C62C81">
      <w:pPr>
        <w:pStyle w:val="FootnoteText"/>
        <w:ind w:left="567" w:hanging="567"/>
        <w:rPr>
          <w:sz w:val="24"/>
          <w:lang w:val="lt-LT"/>
        </w:rPr>
      </w:pPr>
      <w:r w:rsidRPr="0077775A">
        <w:rPr>
          <w:rStyle w:val="FootnoteReference"/>
          <w:sz w:val="24"/>
          <w:lang w:val="lt-LT"/>
        </w:rPr>
        <w:footnoteRef/>
      </w:r>
      <w:r w:rsidRPr="0077775A">
        <w:rPr>
          <w:sz w:val="24"/>
          <w:lang w:val="lt-LT"/>
        </w:rPr>
        <w:t xml:space="preserve"> </w:t>
      </w:r>
      <w:r w:rsidRPr="0077775A">
        <w:rPr>
          <w:sz w:val="24"/>
          <w:lang w:val="lt-LT"/>
        </w:rPr>
        <w:tab/>
      </w:r>
      <w:r w:rsidRPr="0077775A">
        <w:rPr>
          <w:sz w:val="24"/>
          <w:lang w:val="lt-LT"/>
        </w:rPr>
        <w:t xml:space="preserve">OL L 146, 2023 6 6, p. 22, ELI: </w:t>
      </w:r>
      <w:hyperlink r:id="rId5" w:history="1">
        <w:r w:rsidRPr="0077775A">
          <w:rPr>
            <w:rStyle w:val="Hyperlink"/>
            <w:sz w:val="24"/>
            <w:lang w:val="lt-LT"/>
          </w:rPr>
          <w:t>http://data.europa.eu/eli/dec/2023/1095/oj</w:t>
        </w:r>
      </w:hyperlink>
      <w:r w:rsidRPr="0077775A">
        <w:rPr>
          <w:rStyle w:val="Hyperlink"/>
          <w:sz w:val="24"/>
          <w:lang w:val="lt-LT"/>
        </w:rPr>
        <w:t>.</w:t>
      </w:r>
    </w:p>
  </w:footnote>
  <w:footnote w:id="6">
    <w:p w:rsidR="00C62C81" w:rsidRPr="0077775A" w:rsidRDefault="00C62C81" w:rsidP="00C62C81">
      <w:pPr>
        <w:pStyle w:val="FootnoteText"/>
        <w:ind w:left="567" w:hanging="567"/>
        <w:rPr>
          <w:sz w:val="24"/>
          <w:lang w:val="lt-LT"/>
        </w:rPr>
      </w:pPr>
      <w:r w:rsidRPr="0077775A">
        <w:rPr>
          <w:rStyle w:val="FootnoteReference"/>
          <w:sz w:val="24"/>
          <w:lang w:val="lt-LT"/>
        </w:rPr>
        <w:footnoteRef/>
      </w:r>
      <w:r w:rsidRPr="0077775A">
        <w:rPr>
          <w:sz w:val="24"/>
          <w:lang w:val="lt-LT"/>
        </w:rPr>
        <w:t xml:space="preserve"> </w:t>
      </w:r>
      <w:r w:rsidRPr="0077775A">
        <w:rPr>
          <w:sz w:val="24"/>
          <w:lang w:val="lt-LT"/>
        </w:rPr>
        <w:tab/>
      </w:r>
      <w:r w:rsidRPr="0077775A">
        <w:rPr>
          <w:sz w:val="24"/>
          <w:lang w:val="lt-LT"/>
        </w:rPr>
        <w:t xml:space="preserve">OL L 110, 2023 4 25, p. 1, ELI: </w:t>
      </w:r>
      <w:hyperlink r:id="rId6" w:history="1">
        <w:r w:rsidRPr="0077775A">
          <w:rPr>
            <w:rStyle w:val="Hyperlink"/>
            <w:sz w:val="24"/>
            <w:lang w:val="lt-LT"/>
          </w:rPr>
          <w:t>http://data.europa.eu/eli/reg/2023/850/oj</w:t>
        </w:r>
      </w:hyperlink>
      <w:r w:rsidRPr="0077775A">
        <w:rPr>
          <w:sz w:val="24"/>
          <w:lang w:val="lt-LT"/>
        </w:rPr>
        <w:t>.</w:t>
      </w:r>
    </w:p>
  </w:footnote>
  <w:footnote w:id="7">
    <w:p w:rsidR="00C21F23" w:rsidRPr="0077775A" w:rsidRDefault="00C21F23" w:rsidP="0077775A">
      <w:pPr>
        <w:pStyle w:val="FootnoteText"/>
        <w:ind w:left="567" w:hanging="567"/>
        <w:rPr>
          <w:sz w:val="24"/>
          <w:lang w:val="lt-LT"/>
        </w:rPr>
      </w:pPr>
      <w:r w:rsidRPr="0077775A">
        <w:rPr>
          <w:rStyle w:val="FootnoteReference"/>
          <w:sz w:val="24"/>
          <w:lang w:val="lt-LT"/>
        </w:rPr>
        <w:footnoteRef/>
      </w:r>
      <w:r w:rsidR="0077775A" w:rsidRPr="0077775A">
        <w:rPr>
          <w:sz w:val="24"/>
          <w:lang w:val="lt-LT"/>
        </w:rPr>
        <w:t xml:space="preserve"> </w:t>
      </w:r>
      <w:r w:rsidR="0077775A" w:rsidRPr="0077775A">
        <w:rPr>
          <w:sz w:val="24"/>
          <w:lang w:val="lt-LT"/>
        </w:rPr>
        <w:tab/>
      </w:r>
      <w:r w:rsidRPr="0077775A">
        <w:rPr>
          <w:sz w:val="24"/>
          <w:lang w:val="lt-LT"/>
        </w:rPr>
        <w:t xml:space="preserve">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7" w:history="1">
        <w:r w:rsidRPr="0077775A">
          <w:rPr>
            <w:rStyle w:val="Hyperlink"/>
            <w:sz w:val="24"/>
            <w:lang w:val="lt-LT"/>
          </w:rPr>
          <w:t>http://data.europa.eu/eli/dir/2024/1069/oj</w:t>
        </w:r>
      </w:hyperlink>
      <w:r w:rsidRPr="0077775A">
        <w:rPr>
          <w:sz w:val="24"/>
          <w:lang w:val="lt-LT"/>
        </w:rPr>
        <w:t>).</w:t>
      </w:r>
    </w:p>
  </w:footnote>
  <w:footnote w:id="8">
    <w:p w:rsidR="00C21F23" w:rsidRPr="0077775A" w:rsidRDefault="00C21F23" w:rsidP="0077775A">
      <w:pPr>
        <w:pStyle w:val="FootnoteText"/>
        <w:ind w:left="567" w:hanging="567"/>
        <w:rPr>
          <w:sz w:val="24"/>
          <w:lang w:val="lt-LT"/>
        </w:rPr>
      </w:pPr>
      <w:r w:rsidRPr="0077775A">
        <w:rPr>
          <w:rStyle w:val="FootnoteReference"/>
          <w:sz w:val="24"/>
          <w:lang w:val="lt-LT"/>
        </w:rPr>
        <w:footnoteRef/>
      </w:r>
      <w:r w:rsidR="0077775A" w:rsidRPr="0077775A">
        <w:rPr>
          <w:sz w:val="24"/>
          <w:lang w:val="lt-LT"/>
        </w:rPr>
        <w:t xml:space="preserve"> </w:t>
      </w:r>
      <w:r w:rsidR="0077775A" w:rsidRPr="0077775A">
        <w:rPr>
          <w:sz w:val="24"/>
          <w:lang w:val="lt-LT"/>
        </w:rPr>
        <w:tab/>
      </w:r>
      <w:r w:rsidRPr="0077775A">
        <w:rPr>
          <w:sz w:val="24"/>
          <w:lang w:val="lt-LT"/>
        </w:rPr>
        <w:t>2022 m. gruodžio 14 d. Europos Parlamento ir Tarybos direktyva (ES) 2022/2555 dėl priemonių aukštam bendram kibernetinio saugumo lygiui visoje Sąjungoje užtikrinti, kuria iš dalies keičiamas Reglamentas (ES) Nr. 910/2014 ir Direktyva (ES) 2018/1972 ir panaikinama Direktyva (ES) 2016/1148, (TIS 2 direktyva) (OL L 333, 2022 12 27, p. </w:t>
      </w:r>
      <w:r w:rsidRPr="0077775A">
        <w:rPr>
          <w:sz w:val="24"/>
          <w:lang w:val="lt-LT"/>
        </w:rPr>
        <w:t xml:space="preserve">80, ELI: </w:t>
      </w:r>
      <w:hyperlink r:id="rId8" w:history="1">
        <w:r w:rsidRPr="0077775A">
          <w:rPr>
            <w:rStyle w:val="Hyperlink"/>
            <w:sz w:val="24"/>
            <w:lang w:val="lt-LT"/>
          </w:rPr>
          <w:t>http://data.europa.eu/eli/dir/2022/2555/oj</w:t>
        </w:r>
      </w:hyperlink>
      <w:r w:rsidRPr="0077775A">
        <w:rPr>
          <w:sz w:val="24"/>
          <w:lang w:val="lt-LT"/>
        </w:rPr>
        <w:t xml:space="preserve">). </w:t>
      </w:r>
    </w:p>
  </w:footnote>
  <w:footnote w:id="9">
    <w:p w:rsidR="00C21F23" w:rsidRPr="0077775A" w:rsidRDefault="00C21F23" w:rsidP="0077775A">
      <w:pPr>
        <w:pStyle w:val="FootnoteText"/>
        <w:ind w:left="567" w:hanging="567"/>
        <w:rPr>
          <w:sz w:val="24"/>
          <w:lang w:val="lt-LT"/>
        </w:rPr>
      </w:pPr>
      <w:r w:rsidRPr="0077775A">
        <w:rPr>
          <w:rStyle w:val="FootnoteReference"/>
          <w:sz w:val="24"/>
          <w:lang w:val="lt-LT"/>
        </w:rPr>
        <w:footnoteRef/>
      </w:r>
      <w:r w:rsidR="0077775A" w:rsidRPr="0077775A">
        <w:rPr>
          <w:sz w:val="24"/>
          <w:lang w:val="lt-LT"/>
        </w:rPr>
        <w:t xml:space="preserve"> </w:t>
      </w:r>
      <w:r w:rsidR="0077775A" w:rsidRPr="0077775A">
        <w:rPr>
          <w:sz w:val="24"/>
          <w:lang w:val="lt-LT"/>
        </w:rPr>
        <w:tab/>
      </w:r>
      <w:r w:rsidRPr="0077775A">
        <w:rPr>
          <w:sz w:val="24"/>
          <w:lang w:val="lt-LT"/>
        </w:rPr>
        <w:t>2022 m. spalio 19 d. Europos Parlamento ir Tarybos reglamentas (ES) 2022/2065 dėl bendrosios skaitmeninių paslaugų rinkos, kuriuo iš dalies keičiama Direktyva 2000/31/EB (Skaitmeninių paslaugų aktas), (OL L 277, 2022 10 27, p. </w:t>
      </w:r>
      <w:r w:rsidRPr="0077775A">
        <w:rPr>
          <w:sz w:val="24"/>
          <w:lang w:val="lt-LT"/>
        </w:rPr>
        <w:t xml:space="preserve">1, ELI: </w:t>
      </w:r>
      <w:hyperlink r:id="rId9" w:history="1">
        <w:r w:rsidRPr="0077775A">
          <w:rPr>
            <w:rStyle w:val="Hyperlink"/>
            <w:sz w:val="24"/>
            <w:lang w:val="lt-LT"/>
          </w:rPr>
          <w:t>http://data.europa.eu/eli/reg/2022/2065/oj</w:t>
        </w:r>
      </w:hyperlink>
      <w:r w:rsidRPr="0077775A">
        <w:rPr>
          <w:sz w:val="24"/>
          <w:lang w:val="lt-LT"/>
        </w:rPr>
        <w:t xml:space="preserve">). </w:t>
      </w:r>
    </w:p>
  </w:footnote>
  <w:footnote w:id="10">
    <w:p w:rsidR="00C21F23" w:rsidRPr="0077775A" w:rsidRDefault="00C21F23" w:rsidP="0077775A">
      <w:pPr>
        <w:ind w:left="567" w:hanging="567"/>
      </w:pPr>
      <w:r w:rsidRPr="0077775A">
        <w:rPr>
          <w:rStyle w:val="FootnoteReference"/>
        </w:rPr>
        <w:footnoteRef/>
      </w:r>
      <w:r w:rsidR="0077775A" w:rsidRPr="0077775A">
        <w:t xml:space="preserve"> </w:t>
      </w:r>
      <w:r w:rsidR="0077775A" w:rsidRPr="0077775A">
        <w:tab/>
      </w:r>
      <w:r w:rsidRPr="0077775A">
        <w:t xml:space="preserve">2022 m. rugsėjo 14 d. Europos Parlamento ir Tarybos reglamentas (ES) 2022/1925 dėl atvirų konkurencijai ir sąžiningų skaitmeninio sektoriaus rinkų, kuriuo iš dalies keičiamos direktyvos (ES) 2019/1937 ir (ES) 2020/1828 (Skaitmeninių rinkų aktas) (OL L 265, 2022 10 12, p. 1, ELI: </w:t>
      </w:r>
      <w:hyperlink r:id="rId10" w:history="1">
        <w:r w:rsidRPr="0077775A">
          <w:rPr>
            <w:rStyle w:val="Hyperlink"/>
          </w:rPr>
          <w:t>http://data.europa.eu/eli/reg/2022/1925/oj</w:t>
        </w:r>
      </w:hyperlink>
      <w:r w:rsidRPr="0077775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LT"/>
    <w:docVar w:name="dvnumam" w:val="0"/>
    <w:docVar w:name="dvpe" w:val="767.973"/>
    <w:docVar w:name="dvrapporteur" w:val="Pranešėjas: "/>
    <w:docVar w:name="dvtitre" w:val="Europos Parlamento rezoliucija dėl 2023 ir 2024 m. Komisijos ataskaitų dėl Kosovo(2025/2019(INI))"/>
  </w:docVars>
  <w:rsids>
    <w:rsidRoot w:val="00B37849"/>
    <w:rsid w:val="00002272"/>
    <w:rsid w:val="00034A22"/>
    <w:rsid w:val="00064002"/>
    <w:rsid w:val="000677B9"/>
    <w:rsid w:val="000831BA"/>
    <w:rsid w:val="000A42CC"/>
    <w:rsid w:val="000E7DD9"/>
    <w:rsid w:val="0010095E"/>
    <w:rsid w:val="00110534"/>
    <w:rsid w:val="00125B37"/>
    <w:rsid w:val="00187494"/>
    <w:rsid w:val="001F32AE"/>
    <w:rsid w:val="00212824"/>
    <w:rsid w:val="002513C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8AF"/>
    <w:rsid w:val="006631B6"/>
    <w:rsid w:val="00664839"/>
    <w:rsid w:val="00672C97"/>
    <w:rsid w:val="00680577"/>
    <w:rsid w:val="006F74FA"/>
    <w:rsid w:val="00731ADD"/>
    <w:rsid w:val="00734777"/>
    <w:rsid w:val="00747932"/>
    <w:rsid w:val="00751A4A"/>
    <w:rsid w:val="00753A3B"/>
    <w:rsid w:val="00756632"/>
    <w:rsid w:val="00762C74"/>
    <w:rsid w:val="0077775A"/>
    <w:rsid w:val="00786EC0"/>
    <w:rsid w:val="007A3D3F"/>
    <w:rsid w:val="007D1690"/>
    <w:rsid w:val="007E22AD"/>
    <w:rsid w:val="007F70E7"/>
    <w:rsid w:val="00817416"/>
    <w:rsid w:val="00823808"/>
    <w:rsid w:val="00842779"/>
    <w:rsid w:val="00865F67"/>
    <w:rsid w:val="00881A7B"/>
    <w:rsid w:val="008840E5"/>
    <w:rsid w:val="00887B3E"/>
    <w:rsid w:val="008C2AC6"/>
    <w:rsid w:val="00930C23"/>
    <w:rsid w:val="0093193B"/>
    <w:rsid w:val="00942B2A"/>
    <w:rsid w:val="009509D8"/>
    <w:rsid w:val="00950B64"/>
    <w:rsid w:val="00981893"/>
    <w:rsid w:val="00A1687D"/>
    <w:rsid w:val="00A418F2"/>
    <w:rsid w:val="00A43E52"/>
    <w:rsid w:val="00A4678D"/>
    <w:rsid w:val="00A778C7"/>
    <w:rsid w:val="00AB441E"/>
    <w:rsid w:val="00AB6293"/>
    <w:rsid w:val="00AE0928"/>
    <w:rsid w:val="00AF3B82"/>
    <w:rsid w:val="00B12E95"/>
    <w:rsid w:val="00B22876"/>
    <w:rsid w:val="00B37849"/>
    <w:rsid w:val="00B558F0"/>
    <w:rsid w:val="00BC0759"/>
    <w:rsid w:val="00BD48FE"/>
    <w:rsid w:val="00BD7BD8"/>
    <w:rsid w:val="00BE6ADC"/>
    <w:rsid w:val="00C05BFE"/>
    <w:rsid w:val="00C21F23"/>
    <w:rsid w:val="00C23CD4"/>
    <w:rsid w:val="00C61C0C"/>
    <w:rsid w:val="00C62C81"/>
    <w:rsid w:val="00C941CB"/>
    <w:rsid w:val="00CC2357"/>
    <w:rsid w:val="00CF071A"/>
    <w:rsid w:val="00D058B8"/>
    <w:rsid w:val="00D56C11"/>
    <w:rsid w:val="00D834A0"/>
    <w:rsid w:val="00D872DF"/>
    <w:rsid w:val="00D91E21"/>
    <w:rsid w:val="00DA3E5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4AD49"/>
  <w15:chartTrackingRefBased/>
  <w15:docId w15:val="{DA0B47F3-7F2C-4708-8BF1-648013229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21F23"/>
    <w:pPr>
      <w:spacing w:after="240"/>
      <w:ind w:left="567" w:hanging="567"/>
    </w:pPr>
  </w:style>
  <w:style w:type="paragraph" w:customStyle="1" w:styleId="EPComma">
    <w:name w:val="EPComma"/>
    <w:basedOn w:val="Normal"/>
    <w:rsid w:val="00C21F23"/>
    <w:pPr>
      <w:spacing w:before="480" w:after="240"/>
    </w:pPr>
  </w:style>
  <w:style w:type="character" w:customStyle="1" w:styleId="NormalHanging12aChar">
    <w:name w:val="NormalHanging12a Char"/>
    <w:basedOn w:val="DefaultParagraphFont"/>
    <w:link w:val="NormalHanging12a"/>
    <w:locked/>
    <w:rsid w:val="00C21F23"/>
    <w:rPr>
      <w:sz w:val="24"/>
      <w:lang w:val="lt-LT"/>
    </w:rPr>
  </w:style>
  <w:style w:type="paragraph" w:customStyle="1" w:styleId="Normal12a24b">
    <w:name w:val="Normal12a24b"/>
    <w:basedOn w:val="Normal"/>
    <w:rsid w:val="00C21F23"/>
    <w:pPr>
      <w:snapToGrid w:val="0"/>
      <w:spacing w:before="360" w:after="240"/>
    </w:pPr>
    <w:rPr>
      <w:lang w:eastAsia="en-US"/>
    </w:rPr>
  </w:style>
  <w:style w:type="character" w:customStyle="1" w:styleId="BoldItalic">
    <w:name w:val="BoldItalic"/>
    <w:uiPriority w:val="1"/>
    <w:rsid w:val="00C21F23"/>
    <w:rPr>
      <w:b/>
      <w:bCs w:val="0"/>
      <w:i/>
      <w:iCs w:val="0"/>
      <w:strike w:val="0"/>
      <w:dstrike w:val="0"/>
      <w:u w:val="none"/>
      <w:effect w:val="none"/>
    </w:rPr>
  </w:style>
  <w:style w:type="character" w:styleId="Hyperlink">
    <w:name w:val="Hyperlink"/>
    <w:basedOn w:val="DefaultParagraphFont"/>
    <w:uiPriority w:val="99"/>
    <w:unhideWhenUsed/>
    <w:rsid w:val="00C21F23"/>
    <w:rPr>
      <w:color w:val="0000FF"/>
      <w:u w:val="single"/>
    </w:rPr>
  </w:style>
  <w:style w:type="paragraph" w:styleId="BalloonText">
    <w:name w:val="Balloon Text"/>
    <w:basedOn w:val="Normal"/>
    <w:link w:val="BalloonTextChar"/>
    <w:rsid w:val="002513C8"/>
    <w:rPr>
      <w:rFonts w:ascii="Segoe UI" w:hAnsi="Segoe UI" w:cs="Segoe UI"/>
      <w:sz w:val="18"/>
      <w:szCs w:val="18"/>
    </w:rPr>
  </w:style>
  <w:style w:type="character" w:customStyle="1" w:styleId="BalloonTextChar">
    <w:name w:val="Balloon Text Char"/>
    <w:basedOn w:val="DefaultParagraphFont"/>
    <w:link w:val="BalloonText"/>
    <w:rsid w:val="002513C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80B28-6CCA-4240-95EA-B3B9AD910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5158</Words>
  <Characters>35686</Characters>
  <Application>Microsoft Office Word</Application>
  <DocSecurity>0</DocSecurity>
  <Lines>297</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2025-05-07T18:37:00Z</dcterms:created>
  <dcterms:modified xsi:type="dcterms:W3CDTF">2025-05-07T18:37:00Z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A10-0075/2025</vt:lpwstr>
  </property>
  <property fmtid="{D5CDD505-2E9C-101B-9397-08002B2CF9AE}" pid="4" name="&lt;Type&gt;">
    <vt:lpwstr>RR</vt:lpwstr>
  </property>
</Properties>
</file>