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277A0" w14:paraId="20D2D50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B38B8C1" w14:textId="77777777" w:rsidR="00751A4A" w:rsidRPr="00E277A0" w:rsidRDefault="004F6B29" w:rsidP="0010095E">
            <w:pPr>
              <w:pStyle w:val="EPName"/>
            </w:pPr>
            <w:r w:rsidRPr="00E277A0">
              <w:t>Parlament Europejski</w:t>
            </w:r>
          </w:p>
          <w:p w14:paraId="1A1473C5" w14:textId="77777777" w:rsidR="00751A4A" w:rsidRPr="00E277A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277A0">
              <w:t>2024</w:t>
            </w:r>
            <w:r w:rsidR="00817416" w:rsidRPr="00E277A0">
              <w:t>-202</w:t>
            </w:r>
            <w:r w:rsidRPr="00E277A0">
              <w:t>9</w:t>
            </w:r>
          </w:p>
        </w:tc>
        <w:tc>
          <w:tcPr>
            <w:tcW w:w="2268" w:type="dxa"/>
            <w:shd w:val="clear" w:color="auto" w:fill="auto"/>
          </w:tcPr>
          <w:p w14:paraId="1DAA1420" w14:textId="77777777" w:rsidR="00751A4A" w:rsidRPr="00E277A0" w:rsidRDefault="00187494" w:rsidP="0010095E">
            <w:pPr>
              <w:pStyle w:val="EPLogo"/>
            </w:pPr>
            <w:r w:rsidRPr="00E277A0">
              <w:rPr>
                <w:noProof/>
                <w:lang w:eastAsia="pl-PL"/>
              </w:rPr>
              <w:drawing>
                <wp:inline distT="0" distB="0" distL="0" distR="0" wp14:anchorId="57893B56" wp14:editId="46B624A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3428F35" w14:textId="77777777" w:rsidR="00D058B8" w:rsidRPr="00E277A0" w:rsidRDefault="00D058B8" w:rsidP="004C5D52">
      <w:pPr>
        <w:pStyle w:val="LineTop"/>
      </w:pPr>
    </w:p>
    <w:p w14:paraId="3B7CCA28" w14:textId="77777777" w:rsidR="00680577" w:rsidRPr="00E277A0" w:rsidRDefault="004F6B29" w:rsidP="00680577">
      <w:pPr>
        <w:pStyle w:val="EPBodyTA1"/>
      </w:pPr>
      <w:r w:rsidRPr="00E277A0">
        <w:t>TEKSTY PRZYJĘTE</w:t>
      </w:r>
    </w:p>
    <w:p w14:paraId="3D643B92" w14:textId="77777777" w:rsidR="00D058B8" w:rsidRPr="00E277A0" w:rsidRDefault="00D058B8" w:rsidP="00D058B8">
      <w:pPr>
        <w:pStyle w:val="LineBottom"/>
      </w:pPr>
    </w:p>
    <w:p w14:paraId="494E1E1D" w14:textId="77777777" w:rsidR="004F6B29" w:rsidRPr="00E277A0" w:rsidRDefault="004F6B29" w:rsidP="004F6B29">
      <w:pPr>
        <w:pStyle w:val="ATHeading1"/>
      </w:pPr>
      <w:bookmarkStart w:id="0" w:name="TANumber"/>
      <w:r w:rsidRPr="00E277A0">
        <w:t>P10_TA(2025)00</w:t>
      </w:r>
      <w:bookmarkEnd w:id="0"/>
      <w:r w:rsidR="005C6A88">
        <w:t>94</w:t>
      </w:r>
    </w:p>
    <w:p w14:paraId="54E622B7" w14:textId="77777777" w:rsidR="004F6B29" w:rsidRPr="00705931" w:rsidRDefault="00705931" w:rsidP="004F6B29">
      <w:pPr>
        <w:pStyle w:val="ATHeading2"/>
      </w:pPr>
      <w:r w:rsidRPr="00705931">
        <w:rPr>
          <w:bCs/>
        </w:rPr>
        <w:t>Sprawozdania Komisji w sprawie Kosowa za lata 2023 i 2024</w:t>
      </w:r>
    </w:p>
    <w:p w14:paraId="1BCE9AB4" w14:textId="77777777" w:rsidR="004F6B29" w:rsidRPr="00E277A0" w:rsidRDefault="004F6B29" w:rsidP="004F6B29">
      <w:pPr>
        <w:rPr>
          <w:i/>
          <w:vanish/>
        </w:rPr>
      </w:pPr>
      <w:r w:rsidRPr="00E277A0">
        <w:rPr>
          <w:i/>
        </w:rPr>
        <w:fldChar w:fldCharType="begin"/>
      </w:r>
      <w:r w:rsidRPr="00E277A0">
        <w:rPr>
          <w:i/>
        </w:rPr>
        <w:instrText xml:space="preserve"> TC"(</w:instrText>
      </w:r>
      <w:bookmarkStart w:id="1" w:name="DocNumber"/>
      <w:r w:rsidRPr="00E277A0">
        <w:rPr>
          <w:i/>
        </w:rPr>
        <w:instrText>A10-0075/2025</w:instrText>
      </w:r>
      <w:bookmarkEnd w:id="1"/>
      <w:r w:rsidRPr="00E277A0">
        <w:rPr>
          <w:i/>
        </w:rPr>
        <w:instrText xml:space="preserve"> - Sprawozdawca: Riho Terras)"\l3 \n&gt; \* MERGEFORMAT </w:instrText>
      </w:r>
      <w:r w:rsidRPr="00E277A0">
        <w:rPr>
          <w:i/>
        </w:rPr>
        <w:fldChar w:fldCharType="end"/>
      </w:r>
    </w:p>
    <w:p w14:paraId="6011A529" w14:textId="77777777" w:rsidR="004F6B29" w:rsidRPr="00E277A0" w:rsidRDefault="004F6B29" w:rsidP="004F6B29">
      <w:pPr>
        <w:rPr>
          <w:vanish/>
        </w:rPr>
      </w:pPr>
      <w:bookmarkStart w:id="2" w:name="Commission"/>
      <w:r w:rsidRPr="00E277A0">
        <w:rPr>
          <w:vanish/>
        </w:rPr>
        <w:t>Komisja Spraw Zagranicznych</w:t>
      </w:r>
      <w:bookmarkEnd w:id="2"/>
    </w:p>
    <w:p w14:paraId="1FF9F176" w14:textId="77777777" w:rsidR="004F6B29" w:rsidRPr="00E277A0" w:rsidRDefault="004F6B29" w:rsidP="004F6B29">
      <w:pPr>
        <w:rPr>
          <w:vanish/>
        </w:rPr>
      </w:pPr>
      <w:bookmarkStart w:id="3" w:name="PE"/>
      <w:r w:rsidRPr="00E277A0">
        <w:rPr>
          <w:vanish/>
        </w:rPr>
        <w:t>PE767.973</w:t>
      </w:r>
      <w:bookmarkEnd w:id="3"/>
    </w:p>
    <w:p w14:paraId="52B0EDFE" w14:textId="77777777" w:rsidR="004F6B29" w:rsidRPr="00E277A0" w:rsidRDefault="004F6B29" w:rsidP="004F6B29">
      <w:pPr>
        <w:pStyle w:val="ATHeading3"/>
      </w:pPr>
      <w:bookmarkStart w:id="4" w:name="Sujet"/>
      <w:r w:rsidRPr="00E277A0">
        <w:t xml:space="preserve">Rezolucja Parlamentu Europejskiego z dnia </w:t>
      </w:r>
      <w:r w:rsidR="00705931">
        <w:t>7 maja</w:t>
      </w:r>
      <w:r w:rsidRPr="00E277A0">
        <w:t xml:space="preserve"> 2025 r. w sprawie sprawozdań Komisji dotyczących Kosowa za lata 2023 i 2024</w:t>
      </w:r>
      <w:bookmarkEnd w:id="4"/>
      <w:r w:rsidRPr="00E277A0">
        <w:t xml:space="preserve"> </w:t>
      </w:r>
      <w:bookmarkStart w:id="5" w:name="References"/>
      <w:r w:rsidRPr="00E277A0">
        <w:t>(2025/2019(INI))</w:t>
      </w:r>
      <w:bookmarkEnd w:id="5"/>
    </w:p>
    <w:p w14:paraId="68A716F7" w14:textId="77777777" w:rsidR="006B08FA" w:rsidRPr="00E277A0" w:rsidRDefault="006B08FA" w:rsidP="006B08FA">
      <w:pPr>
        <w:pStyle w:val="EPComma"/>
      </w:pPr>
      <w:r w:rsidRPr="00E277A0">
        <w:rPr>
          <w:i/>
        </w:rPr>
        <w:t>Parlament Europejski</w:t>
      </w:r>
      <w:r w:rsidRPr="00E277A0">
        <w:t>,</w:t>
      </w:r>
    </w:p>
    <w:p w14:paraId="6D28FEEF" w14:textId="77777777" w:rsidR="006B08FA" w:rsidRPr="00E277A0" w:rsidRDefault="006B08FA" w:rsidP="006B08FA">
      <w:pPr>
        <w:pStyle w:val="NormalHanging12a"/>
      </w:pPr>
      <w:r w:rsidRPr="00E277A0">
        <w:t>–</w:t>
      </w:r>
      <w:r w:rsidRPr="00E277A0">
        <w:tab/>
        <w:t>uwzględniając Układ o stabilizacji i stowarzyszeniu między Unią Europejską i Europejską Wspólnotą Energii Atomowej, z jednej strony, a Kosowem, z drugiej strony</w:t>
      </w:r>
      <w:r w:rsidRPr="00E277A0">
        <w:rPr>
          <w:vertAlign w:val="superscript"/>
        </w:rPr>
        <w:footnoteReference w:id="1"/>
      </w:r>
      <w:r w:rsidRPr="00E277A0">
        <w:t>, który wszedł w życie 1 kwietnia 2016 r.,</w:t>
      </w:r>
    </w:p>
    <w:p w14:paraId="58C904AB" w14:textId="77777777" w:rsidR="006B08FA" w:rsidRPr="00E277A0" w:rsidRDefault="006B08FA" w:rsidP="006B08FA">
      <w:pPr>
        <w:pStyle w:val="NormalHanging12a"/>
      </w:pPr>
      <w:r w:rsidRPr="00E277A0">
        <w:t>–</w:t>
      </w:r>
      <w:r w:rsidRPr="00E277A0">
        <w:tab/>
        <w:t>uwzględniając złożony 15 grudnia 2022 r. wniosek Kosowa o członkostwo w Unii Europejskiej,</w:t>
      </w:r>
    </w:p>
    <w:p w14:paraId="32C4F90D" w14:textId="77777777" w:rsidR="006B08FA" w:rsidRPr="00E277A0" w:rsidRDefault="006B08FA" w:rsidP="006B08FA">
      <w:pPr>
        <w:pStyle w:val="NormalHanging12a"/>
      </w:pPr>
      <w:r w:rsidRPr="00E277A0">
        <w:t>–</w:t>
      </w:r>
      <w:r w:rsidRPr="00E277A0">
        <w:tab/>
        <w:t>uwzględniając złożony 12 maja 2022 r. wniosek Kosowa o członkostwo w Radzie Europy,</w:t>
      </w:r>
    </w:p>
    <w:p w14:paraId="499334E6" w14:textId="77777777" w:rsidR="006B08FA" w:rsidRPr="00E277A0" w:rsidRDefault="006B08FA" w:rsidP="006B08FA">
      <w:pPr>
        <w:pStyle w:val="NormalHanging12a"/>
      </w:pPr>
      <w:r w:rsidRPr="00E277A0">
        <w:t>–</w:t>
      </w:r>
      <w:r w:rsidRPr="00E277A0">
        <w:tab/>
        <w:t>uwzględniając Umowę ramową między Unią Europejską a Kosowem dotyczącą ogólnych zasad uczestnictwa Kosowa w programach unijnych</w:t>
      </w:r>
      <w:r w:rsidRPr="00E277A0">
        <w:rPr>
          <w:vertAlign w:val="superscript"/>
        </w:rPr>
        <w:footnoteReference w:id="2"/>
      </w:r>
      <w:r w:rsidRPr="00E277A0">
        <w:t>, która obowiązuje od 1 sierpnia 2017 r.,</w:t>
      </w:r>
    </w:p>
    <w:p w14:paraId="2F6138D7" w14:textId="77777777" w:rsidR="006B08FA" w:rsidRPr="00E277A0" w:rsidRDefault="006B08FA" w:rsidP="006B08FA">
      <w:pPr>
        <w:pStyle w:val="NormalHanging12a"/>
      </w:pPr>
      <w:r w:rsidRPr="00E277A0">
        <w:t>–</w:t>
      </w:r>
      <w:r w:rsidRPr="00E277A0">
        <w:tab/>
        <w:t>uwzględniając rozporządzenie Parlamentu Europejskiego i Rady (UE) 2021/1529 z dnia 15 września 2021 r. ustanawiające Instrument Pomocy Przedakcesyjnej (IPA III)</w:t>
      </w:r>
      <w:r w:rsidRPr="00E277A0">
        <w:rPr>
          <w:vertAlign w:val="superscript"/>
        </w:rPr>
        <w:footnoteReference w:id="3"/>
      </w:r>
      <w:r w:rsidRPr="00E277A0">
        <w:t>,</w:t>
      </w:r>
    </w:p>
    <w:p w14:paraId="3FCE6F6A" w14:textId="77777777" w:rsidR="006B08FA" w:rsidRPr="00E277A0" w:rsidRDefault="006B08FA" w:rsidP="006B08FA">
      <w:pPr>
        <w:pStyle w:val="NormalHanging12a"/>
      </w:pPr>
      <w:r w:rsidRPr="00E277A0">
        <w:t>–</w:t>
      </w:r>
      <w:r w:rsidRPr="00E277A0">
        <w:tab/>
        <w:t>uwzględniając rozporządzenie Parlamentu Europejskiego i Rady (UE) 2024/1449 z dnia 14 maja 2024 r. w sprawie ustanowienia Instrumentu Wsparcia Reform i Wzrostu Gospodarczego na Bałkanach Zachodnich</w:t>
      </w:r>
      <w:r w:rsidRPr="00E277A0">
        <w:rPr>
          <w:vertAlign w:val="superscript"/>
        </w:rPr>
        <w:footnoteReference w:id="4"/>
      </w:r>
      <w:r w:rsidRPr="00E277A0">
        <w:t>,</w:t>
      </w:r>
    </w:p>
    <w:p w14:paraId="6D951125" w14:textId="77777777" w:rsidR="006B08FA" w:rsidRPr="00E277A0" w:rsidRDefault="006B08FA" w:rsidP="006B08FA">
      <w:pPr>
        <w:pStyle w:val="NormalHanging12a"/>
      </w:pPr>
      <w:r w:rsidRPr="00E277A0">
        <w:t>–</w:t>
      </w:r>
      <w:r w:rsidRPr="00E277A0">
        <w:tab/>
        <w:t>uwzględniając konkluzje prezydencji z posiedzenia Rady Europejskiej w Salonikach 19–20 czerwca 2003 r.,</w:t>
      </w:r>
    </w:p>
    <w:p w14:paraId="0ABF97E7" w14:textId="77777777" w:rsidR="006B08FA" w:rsidRPr="00E277A0" w:rsidRDefault="006B08FA" w:rsidP="006B08FA">
      <w:pPr>
        <w:pStyle w:val="NormalHanging12a"/>
      </w:pPr>
      <w:r w:rsidRPr="00E277A0">
        <w:lastRenderedPageBreak/>
        <w:t>–</w:t>
      </w:r>
      <w:r w:rsidRPr="00E277A0">
        <w:tab/>
        <w:t>uwzględniając oświadczenia ze szczytów UE–Bałkany Zachodnie z 17 maja 2018</w:t>
      </w:r>
      <w:r w:rsidR="00904D9C">
        <w:t xml:space="preserve"> r.</w:t>
      </w:r>
      <w:r w:rsidRPr="00E277A0">
        <w:t xml:space="preserve"> w Sofii, z 6 maja 2020 r. w Zagrzebiu, z 6 października 2021 r. w Brdzie pri Kranju, z 6 grudnia 2022 r. w Tiranie, z 13 grudnia 2023 r. w Brukseli i z 18 grudnia 2024 r. w Brukseli, </w:t>
      </w:r>
    </w:p>
    <w:p w14:paraId="73333C47" w14:textId="77777777" w:rsidR="006B08FA" w:rsidRPr="00E277A0" w:rsidRDefault="006B08FA" w:rsidP="006B08FA">
      <w:pPr>
        <w:pStyle w:val="NormalHanging12a"/>
      </w:pPr>
      <w:r w:rsidRPr="00E277A0">
        <w:t>–</w:t>
      </w:r>
      <w:r w:rsidRPr="00E277A0">
        <w:tab/>
        <w:t>uwzględniając proces berliński zapoczątkowany 28 sierpnia 2014 r.,</w:t>
      </w:r>
    </w:p>
    <w:p w14:paraId="0F9C54F3" w14:textId="77777777" w:rsidR="006B08FA" w:rsidRPr="00E277A0" w:rsidRDefault="006B08FA" w:rsidP="006B08FA">
      <w:pPr>
        <w:pStyle w:val="NormalHanging12a"/>
      </w:pPr>
      <w:r w:rsidRPr="00E277A0">
        <w:t>–</w:t>
      </w:r>
      <w:r w:rsidRPr="00E277A0">
        <w:tab/>
        <w:t>uwzględniając komunikat Komisji z 5 lutego 2020 r. pt. „Usprawnienie procesu akcesyjnego – wiarygodna perspektywa członkostwa w UE dla państw regionu Bałkanów Zachodnich” (COM(2020)0057),</w:t>
      </w:r>
    </w:p>
    <w:p w14:paraId="7B73AA24" w14:textId="77777777" w:rsidR="006B08FA" w:rsidRPr="00E277A0" w:rsidRDefault="006B08FA" w:rsidP="006B08FA">
      <w:pPr>
        <w:pStyle w:val="NormalHanging12a"/>
      </w:pPr>
      <w:r w:rsidRPr="00E277A0">
        <w:t>–</w:t>
      </w:r>
      <w:r w:rsidRPr="00E277A0">
        <w:tab/>
        <w:t>uwzględniając komunikat Komisji z 6 października 2020 r. pt. „Plan gospodarczo-inwestycyjny dla Bałkanów Zachodnich” (COM(2020)0641),</w:t>
      </w:r>
    </w:p>
    <w:p w14:paraId="1F532C4E" w14:textId="77777777" w:rsidR="006B08FA" w:rsidRPr="00E277A0" w:rsidRDefault="006B08FA" w:rsidP="006B08FA">
      <w:pPr>
        <w:pStyle w:val="NormalHanging12a"/>
      </w:pPr>
      <w:r w:rsidRPr="00E277A0">
        <w:t>–</w:t>
      </w:r>
      <w:r w:rsidRPr="00E277A0">
        <w:tab/>
        <w:t>uwzględniając komunikat Komisji z 8 listopada 2023 r. pt. „Komunikat z 2023 r. w sprawie polityki rozszerzenia UE” (COM(2023)0690), któremu towarzyszy dokument roboczy służb Komisji pt. „Sprawozdanie za rok 2023 dotyczące Kosowa” (SWD(2023)0692),</w:t>
      </w:r>
    </w:p>
    <w:p w14:paraId="54D75E50" w14:textId="77777777" w:rsidR="006B08FA" w:rsidRPr="00E277A0" w:rsidRDefault="006B08FA" w:rsidP="006B08FA">
      <w:pPr>
        <w:pStyle w:val="NormalHanging12a"/>
      </w:pPr>
      <w:r w:rsidRPr="00E277A0">
        <w:t>–</w:t>
      </w:r>
      <w:r w:rsidRPr="00E277A0">
        <w:tab/>
        <w:t>uwzględniając komunikat Komisji z 8 listopada 2023 r. pt. „Nowy plan wzrostu gospodarczego dla Bałkanów Zachodnich” (COM(2023)0691),</w:t>
      </w:r>
    </w:p>
    <w:p w14:paraId="654A02D2" w14:textId="77777777" w:rsidR="006B08FA" w:rsidRPr="00E277A0" w:rsidRDefault="006B08FA" w:rsidP="006B08FA">
      <w:pPr>
        <w:pStyle w:val="NormalHanging12a"/>
      </w:pPr>
      <w:r w:rsidRPr="00E277A0">
        <w:t>–</w:t>
      </w:r>
      <w:r w:rsidRPr="00E277A0">
        <w:tab/>
        <w:t>uwzględniając komunikat Komisji z 20 marca 2024 r. w sprawie reform poprzedzających rozszerzenie oraz przeglądów polityki (COM(2024)0146),</w:t>
      </w:r>
    </w:p>
    <w:p w14:paraId="635B115F" w14:textId="77777777" w:rsidR="006B08FA" w:rsidRPr="00E277A0" w:rsidRDefault="006B08FA" w:rsidP="006B08FA">
      <w:pPr>
        <w:pStyle w:val="NormalHanging12a"/>
      </w:pPr>
      <w:r w:rsidRPr="00E277A0">
        <w:t>–</w:t>
      </w:r>
      <w:r w:rsidRPr="00E277A0">
        <w:tab/>
        <w:t>uwzględniając komunikat Komisji z 30 października 2024 r. pt. „Komunikat z 2024 r. w sprawie polityki rozszerzenia UE” (COM(2024)0690), któremu towarzyszy dokument roboczy służb Komisji pt. „Sprawozdanie za rok 2024 dotyczące Kosowa” (SWD(2024)0692),</w:t>
      </w:r>
    </w:p>
    <w:p w14:paraId="37B6569C" w14:textId="77777777" w:rsidR="006B08FA" w:rsidRPr="00E277A0" w:rsidRDefault="006B08FA" w:rsidP="006B08FA">
      <w:pPr>
        <w:pStyle w:val="NormalHanging12a"/>
      </w:pPr>
      <w:r w:rsidRPr="00E277A0">
        <w:t>–</w:t>
      </w:r>
      <w:r w:rsidRPr="00E277A0">
        <w:tab/>
        <w:t>uwzględniając przeprowadzone przez Komisję ogólne podsumowanie i oceny kraju z 31 maja 2023 r. i 13 czerwca 2024 r. dotyczące programu reform gospodarczych Kosowa,</w:t>
      </w:r>
    </w:p>
    <w:p w14:paraId="69256421" w14:textId="77777777" w:rsidR="006B08FA" w:rsidRPr="00E277A0" w:rsidRDefault="006B08FA" w:rsidP="006B08FA">
      <w:pPr>
        <w:pStyle w:val="NormalHanging12a"/>
      </w:pPr>
      <w:r w:rsidRPr="00E277A0">
        <w:t>–</w:t>
      </w:r>
      <w:r w:rsidRPr="00E277A0">
        <w:tab/>
        <w:t>uwzględniając przyjęte przez Radę 16 maja 2023 r. wspólne wnioski z dialogu gospodarczo-finansowego między UE a Bałkanami Zachodnimi i Turcją oraz przyjęte przez Radę 14 maja 2024 r. wspólne wnioski z dialogu gospodarczo-finansowego między UE a partnerami z Bałkanów Zachodnich, Turcją, Gruzją, Republiką Mołdawii i Ukrainą,</w:t>
      </w:r>
    </w:p>
    <w:p w14:paraId="5A7F2E70" w14:textId="77777777" w:rsidR="006B08FA" w:rsidRPr="00E277A0" w:rsidRDefault="006B08FA" w:rsidP="006B08FA">
      <w:pPr>
        <w:pStyle w:val="NormalHanging12a"/>
      </w:pPr>
      <w:r w:rsidRPr="00E277A0">
        <w:t>–</w:t>
      </w:r>
      <w:r w:rsidRPr="00E277A0">
        <w:tab/>
        <w:t>uwzględniając rezolucję Rady Bezpieczeństwa ONZ nr 1244 z dnia 10 czerwca 1999 r., opinię doradczą Międzynarodowego Trybunału Sprawiedliwości (MTS) z dnia 22 lipca 2010 r. w sprawie kwestii zgodności jednostronnej deklaracji niepodległości Kosowa z prawem międzynarodowym oraz rezolucję Zgromadzenia Ogólnego ONZ nr 64/298 z dnia 9 września 2010 r., w której uznano treść opinii MTS i z zadowoleniem przyjęto gotowość UE do ułatwienia dialogu między Serbią a Kosowem,</w:t>
      </w:r>
    </w:p>
    <w:p w14:paraId="5C256078" w14:textId="77777777" w:rsidR="006B08FA" w:rsidRPr="00E277A0" w:rsidRDefault="006B08FA" w:rsidP="006B08FA">
      <w:pPr>
        <w:pStyle w:val="NormalHanging12a"/>
      </w:pPr>
      <w:r w:rsidRPr="00E277A0">
        <w:t>–</w:t>
      </w:r>
      <w:r w:rsidRPr="00E277A0">
        <w:tab/>
        <w:t>uwzględniając pierwsze porozumienie w sprawie zasad dotyczących normalizacji stosunków między Serbią i Kosowem z 19 kwietnia 2013 r., porozumienia z 25 sierpnia 2015 r. oraz bieżący dialog wspierany przez UE, który ma na celu normalizację stosunków,</w:t>
      </w:r>
    </w:p>
    <w:p w14:paraId="20F2B702" w14:textId="77777777" w:rsidR="006B08FA" w:rsidRPr="00E277A0" w:rsidRDefault="006B08FA" w:rsidP="006B08FA">
      <w:pPr>
        <w:pStyle w:val="NormalHanging12a"/>
      </w:pPr>
      <w:r w:rsidRPr="00E277A0">
        <w:t>–</w:t>
      </w:r>
      <w:r w:rsidRPr="00E277A0">
        <w:tab/>
        <w:t>uwzględniając porozumienie brukselskie z 27 lutego 2023 r. i umowę z Ochrydy z 18 marca 2023 r. oraz załącznik realizacyjny do niej,</w:t>
      </w:r>
    </w:p>
    <w:p w14:paraId="1A639248" w14:textId="77777777" w:rsidR="006B08FA" w:rsidRPr="00E277A0" w:rsidRDefault="006B08FA" w:rsidP="006B08FA">
      <w:pPr>
        <w:pStyle w:val="NormalHanging12a"/>
      </w:pPr>
      <w:r w:rsidRPr="00E277A0">
        <w:lastRenderedPageBreak/>
        <w:t>–</w:t>
      </w:r>
      <w:r w:rsidRPr="00E277A0">
        <w:tab/>
        <w:t>uwzględniając decyzję Rady (WPZiB) 2023/1095 z dnia 5 czerwca 2023 r. zmieniającą wspólne działanie 2008/124/WPZiB w sprawie misji Unii Europejskiej w zakresie praworządności w Kosowie (EULEX Kosowo)</w:t>
      </w:r>
      <w:r w:rsidRPr="00E277A0">
        <w:rPr>
          <w:vertAlign w:val="superscript"/>
        </w:rPr>
        <w:footnoteReference w:id="5"/>
      </w:r>
      <w:r w:rsidRPr="00E277A0">
        <w:t>, która wydłużyła mandat misji do 14 czerwca 2025 r.,</w:t>
      </w:r>
    </w:p>
    <w:p w14:paraId="78EFA3BA" w14:textId="77777777" w:rsidR="006B08FA" w:rsidRPr="00E277A0" w:rsidRDefault="006B08FA" w:rsidP="006B08FA">
      <w:pPr>
        <w:pStyle w:val="NormalHanging12a"/>
      </w:pPr>
      <w:r w:rsidRPr="00E277A0">
        <w:t>–</w:t>
      </w:r>
      <w:r w:rsidRPr="00E277A0">
        <w:tab/>
        <w:t>uwzględniając rozporządzenie Parlamentu Europejskiego i Rady (UE) 2023/850 z dnia 19 kwietnia 2023 r. w sprawie zmiany rozporządzenia (UE) 2018/1806 wymieniającego państwa trzecie, których obywatele muszą posiadać wizy podczas przekraczania granic zewnętrznych, oraz te, których obywatele są zwolnieni z tego wymogu (Kosowo)</w:t>
      </w:r>
      <w:r w:rsidRPr="00E277A0">
        <w:rPr>
          <w:rStyle w:val="FootnoteReference"/>
        </w:rPr>
        <w:footnoteReference w:id="6"/>
      </w:r>
      <w:r w:rsidRPr="00E277A0">
        <w:t>,</w:t>
      </w:r>
    </w:p>
    <w:p w14:paraId="1C691307" w14:textId="77777777" w:rsidR="006B08FA" w:rsidRPr="00E277A0" w:rsidRDefault="006B08FA" w:rsidP="006B08FA">
      <w:pPr>
        <w:pStyle w:val="NormalHanging12a"/>
      </w:pPr>
      <w:r w:rsidRPr="00E277A0">
        <w:t>–</w:t>
      </w:r>
      <w:r w:rsidRPr="00E277A0">
        <w:tab/>
        <w:t>uwzględniając sprawozdanie końcowe misji obserwacji wyborów z ramienia Unii Europejskiej w sprawie wyborów samorządowych, które odbyły się w Kosowie w 2021 r.,</w:t>
      </w:r>
    </w:p>
    <w:p w14:paraId="060BC226" w14:textId="77777777" w:rsidR="006B08FA" w:rsidRPr="00E277A0" w:rsidRDefault="006B08FA" w:rsidP="006B08FA">
      <w:pPr>
        <w:pStyle w:val="NormalHanging12a"/>
        <w:rPr>
          <w:b/>
          <w:szCs w:val="24"/>
        </w:rPr>
      </w:pPr>
      <w:r w:rsidRPr="00E277A0">
        <w:t>–</w:t>
      </w:r>
      <w:r w:rsidRPr="00E277A0">
        <w:tab/>
        <w:t>uwzględniając sprawozdanie wstępne misji obserwacji wyborów z ramienia Unii Europejskiej w sprawie wyborów parlamentarnych, które odbyły się w Kosowie w 2025 r.,</w:t>
      </w:r>
    </w:p>
    <w:p w14:paraId="0C23CDAD" w14:textId="77777777" w:rsidR="006B08FA" w:rsidRPr="00E277A0" w:rsidRDefault="006B08FA" w:rsidP="006B08FA">
      <w:pPr>
        <w:pStyle w:val="NormalHanging12a"/>
      </w:pPr>
      <w:r w:rsidRPr="00E277A0">
        <w:t>–</w:t>
      </w:r>
      <w:r w:rsidRPr="00E277A0">
        <w:tab/>
        <w:t>uwzględniając czwarte posiedzenie Rady Stabilizacji i Stowarzyszenia Unia Europejska–Kosowo, które odbyło się w Brukseli 7 grudnia 2021 r.,</w:t>
      </w:r>
    </w:p>
    <w:p w14:paraId="54961D38" w14:textId="77777777" w:rsidR="006B08FA" w:rsidRPr="00E277A0" w:rsidRDefault="006B08FA" w:rsidP="006B08FA">
      <w:pPr>
        <w:pStyle w:val="NormalHanging12a"/>
      </w:pPr>
      <w:r w:rsidRPr="00E277A0">
        <w:t>–</w:t>
      </w:r>
      <w:r w:rsidRPr="00E277A0">
        <w:tab/>
        <w:t>uwzględniając swoje poprzednie rezolucje w sprawie Kosowa,</w:t>
      </w:r>
    </w:p>
    <w:p w14:paraId="1DEBD01A" w14:textId="77777777" w:rsidR="006B08FA" w:rsidRPr="00E277A0" w:rsidRDefault="006B08FA" w:rsidP="006B08FA">
      <w:pPr>
        <w:pStyle w:val="NormalHanging12a"/>
      </w:pPr>
      <w:r w:rsidRPr="00E277A0">
        <w:t>–</w:t>
      </w:r>
      <w:r w:rsidRPr="00E277A0">
        <w:tab/>
        <w:t>uwzględniając wspólne rekomendacje przyjęte na 12. posiedzeniu Parlamentarnego Komitetu Stabilizacji i Stowarzyszenia UE–Kosowo, które odbyło się 9 grudnia 2024 r.,</w:t>
      </w:r>
    </w:p>
    <w:p w14:paraId="7A9B385A" w14:textId="77777777" w:rsidR="006B08FA" w:rsidRPr="00E277A0" w:rsidRDefault="006B08FA" w:rsidP="006B08FA">
      <w:pPr>
        <w:pStyle w:val="NormalHanging12a"/>
      </w:pPr>
      <w:r w:rsidRPr="00E277A0">
        <w:t>–</w:t>
      </w:r>
      <w:r w:rsidRPr="00E277A0">
        <w:tab/>
        <w:t>uwzględniając wskaźnik postrzegania korupcji z 2024 r. opublikowany przez Transparency International,</w:t>
      </w:r>
    </w:p>
    <w:p w14:paraId="2FCDDCC4" w14:textId="77777777" w:rsidR="006B08FA" w:rsidRPr="00E277A0" w:rsidRDefault="006B08FA" w:rsidP="006B08FA">
      <w:pPr>
        <w:pStyle w:val="NormalHanging12a"/>
      </w:pPr>
      <w:r w:rsidRPr="00E277A0">
        <w:t>–</w:t>
      </w:r>
      <w:r w:rsidRPr="00E277A0">
        <w:tab/>
        <w:t>uwzględniając światowy ranking wolności prasy za 2024 r. przygotowany przez Reporterów bez Granic,</w:t>
      </w:r>
    </w:p>
    <w:p w14:paraId="079B1FA7" w14:textId="77777777" w:rsidR="006B08FA" w:rsidRPr="00E277A0" w:rsidRDefault="006B08FA" w:rsidP="006B08FA">
      <w:pPr>
        <w:pStyle w:val="NormalHanging12a"/>
      </w:pPr>
      <w:r w:rsidRPr="00E277A0">
        <w:t>–</w:t>
      </w:r>
      <w:r w:rsidRPr="00E277A0">
        <w:tab/>
        <w:t>uwzględniając sprawozdanie na temat demokracji na rok 2024 z marca 2024 r. opublikowane przez Varieties of Democracy (V-Dem) Institute,</w:t>
      </w:r>
    </w:p>
    <w:p w14:paraId="6519F1FA" w14:textId="77777777" w:rsidR="006B08FA" w:rsidRPr="00E277A0" w:rsidRDefault="006B08FA" w:rsidP="006B08FA">
      <w:pPr>
        <w:pStyle w:val="NormalHanging12a"/>
      </w:pPr>
      <w:r w:rsidRPr="00E277A0">
        <w:t>–</w:t>
      </w:r>
      <w:r w:rsidRPr="00E277A0">
        <w:tab/>
        <w:t>uwzględniając art. 55 Regulaminu,</w:t>
      </w:r>
    </w:p>
    <w:p w14:paraId="2F64F962" w14:textId="77777777" w:rsidR="006B08FA" w:rsidRPr="00E277A0" w:rsidRDefault="006B08FA" w:rsidP="006B08FA">
      <w:pPr>
        <w:pStyle w:val="NormalHanging12a"/>
      </w:pPr>
      <w:r w:rsidRPr="00E277A0">
        <w:t>–</w:t>
      </w:r>
      <w:r w:rsidRPr="00E277A0">
        <w:tab/>
        <w:t>uwzględniając sprawozdanie Komisji Spraw Zagranicznych (A10-0075/2025),</w:t>
      </w:r>
    </w:p>
    <w:p w14:paraId="4FBFFE37" w14:textId="77777777" w:rsidR="006B08FA" w:rsidRPr="00E277A0" w:rsidRDefault="006B08FA" w:rsidP="006B08FA">
      <w:pPr>
        <w:pStyle w:val="NormalHanging12a"/>
      </w:pPr>
      <w:r w:rsidRPr="00E277A0">
        <w:t>A.</w:t>
      </w:r>
      <w:r w:rsidRPr="00E277A0">
        <w:tab/>
        <w:t>mając na uwadze, że polityka rozszerzenia jest jednym z najskuteczniejszych instrumentów polityki zagranicznej UE i jedną z najbardziej udanych strategii politycznych zachęcających do podstawowych reform i wspierających je, a także strategiczną inwestycją geopolityczną w długotrwały pokój, stabilność i bezpieczeństwo na kontynencie;</w:t>
      </w:r>
    </w:p>
    <w:p w14:paraId="1388671D" w14:textId="77777777" w:rsidR="006B08FA" w:rsidRPr="00E277A0" w:rsidRDefault="006B08FA" w:rsidP="006B08FA">
      <w:pPr>
        <w:pStyle w:val="NormalHanging12a"/>
      </w:pPr>
      <w:r w:rsidRPr="00E277A0">
        <w:t>B.</w:t>
      </w:r>
      <w:r w:rsidRPr="00E277A0">
        <w:tab/>
        <w:t>mając na uwadze, że demokracja, prawa człowieka i praworządność są podstawowymi wartościami, na których opiera się UE;</w:t>
      </w:r>
    </w:p>
    <w:p w14:paraId="72E882EC" w14:textId="77777777" w:rsidR="006B08FA" w:rsidRPr="00E277A0" w:rsidRDefault="006B08FA" w:rsidP="006B08FA">
      <w:pPr>
        <w:pStyle w:val="NormalHanging12a"/>
      </w:pPr>
      <w:r w:rsidRPr="00E277A0">
        <w:t>C.</w:t>
      </w:r>
      <w:r w:rsidRPr="00E277A0">
        <w:tab/>
        <w:t xml:space="preserve">mając na uwadze, że proces rozszerzenia UE jest strategicznym narzędziem wzmacniania stabilności, demokracji i rozwoju gospodarczego w Europie, a każdy kraj </w:t>
      </w:r>
      <w:r w:rsidRPr="00E277A0">
        <w:lastRenderedPageBreak/>
        <w:t>objęty procesem rozszerzenia jest oceniany na podstawie własnych osiągnięć oraz że o harmonogramie i postępie na drodze do przystąpienia decyduje wdrożenie niezbędnych reform i zgodność z zestawem kryteriów i wspólnych wartości europejskich;</w:t>
      </w:r>
      <w:r w:rsidRPr="00E277A0">
        <w:rPr>
          <w:b/>
        </w:rPr>
        <w:t xml:space="preserve"> </w:t>
      </w:r>
      <w:r w:rsidRPr="00E277A0">
        <w:t>mając na uwadze, że droga Kosowa do członkostwa w UE zależy także od normalizacji stosunków z Serbią;</w:t>
      </w:r>
    </w:p>
    <w:p w14:paraId="5CF38B33" w14:textId="77777777" w:rsidR="006B08FA" w:rsidRPr="00E277A0" w:rsidRDefault="006B08FA" w:rsidP="006B08FA">
      <w:pPr>
        <w:pStyle w:val="NormalHanging12a"/>
      </w:pPr>
      <w:r w:rsidRPr="00E277A0">
        <w:t>D.</w:t>
      </w:r>
      <w:r w:rsidRPr="00E277A0">
        <w:tab/>
        <w:t>mając na uwadze, że UE jest największym źródłem wsparcia finansowego dla Kosowa;</w:t>
      </w:r>
    </w:p>
    <w:p w14:paraId="062FF9EC" w14:textId="77777777" w:rsidR="006B08FA" w:rsidRPr="00E277A0" w:rsidRDefault="006B08FA" w:rsidP="006B08FA">
      <w:pPr>
        <w:pStyle w:val="NormalHanging12a"/>
        <w:rPr>
          <w:szCs w:val="24"/>
        </w:rPr>
      </w:pPr>
      <w:r w:rsidRPr="00E277A0">
        <w:t>E.</w:t>
      </w:r>
      <w:r w:rsidRPr="00E277A0">
        <w:tab/>
        <w:t>mając na uwadze, że Kosowo było przedmiotem zagranicznych ingerencji i kampanii dezinformacyjnych, w szczególności ze strony Rosji, zwłaszcza za pośrednictwem serbskich nacjonalistycznych mediów, oraz Chin, za pomocą miękkiej siły (soft power), zmierzających do destabilizacji instytucji demokratycznych, naruszenia spójności społecznej i podżegania do przemocy na tle etnicznym; mając na uwadze, że po ataku w Banjskiej we wrześniu 2023 r. nastąpiło masowe rozpowszechnianie dezinformacji, które jeszcze bardziej zaostrzyło napięcia; mając na uwadze, że w lipcu 2024 r. władze Kosowa przyjęły ustawę o niezależnej komisji ds. mediów; mając na uwadze, że w maju 2024 r. Rada Europy opublikowała opinię prawną w sprawie projektu ustawy o niezależnej komisji ds. mediów, w której wyraziła obawy związane z niektórymi aspektami ówczesnego projektu ustawy i przedstawiła zalecenia, w jaki sposób rozwiązać te wzbudzające obawy kwestie; mając na uwadze, że ostateczny tekst ustawy o Niezależnej Komisji ds. Mediów nie odzwierciedlał większości przedstawionych zaleceń;</w:t>
      </w:r>
    </w:p>
    <w:p w14:paraId="799396C4" w14:textId="77777777" w:rsidR="006B08FA" w:rsidRPr="00E277A0" w:rsidRDefault="006B08FA" w:rsidP="006B08FA">
      <w:pPr>
        <w:pStyle w:val="NormalHanging12a"/>
        <w:rPr>
          <w:b/>
          <w:szCs w:val="24"/>
        </w:rPr>
      </w:pPr>
      <w:r w:rsidRPr="00E277A0">
        <w:t>F.</w:t>
      </w:r>
      <w:r w:rsidRPr="00E277A0">
        <w:tab/>
        <w:t>mając na uwadze, że misja Unii Europejskiej w zakresie praworządności w Kosowie, znana również jako EULEX, jest największą misją cywilną, jaką kiedykolwiek podjęto w ramach wspólnej polityki bezpieczeństwa i obrony Unii Europejskiej;</w:t>
      </w:r>
    </w:p>
    <w:p w14:paraId="2E0BDAB6" w14:textId="77777777" w:rsidR="006B08FA" w:rsidRPr="00E277A0" w:rsidRDefault="006B08FA" w:rsidP="006B08FA">
      <w:pPr>
        <w:pStyle w:val="NormalHanging12a"/>
        <w:rPr>
          <w:szCs w:val="24"/>
        </w:rPr>
      </w:pPr>
      <w:r w:rsidRPr="00E277A0">
        <w:t>G.</w:t>
      </w:r>
      <w:r w:rsidRPr="00E277A0">
        <w:tab/>
        <w:t>mając na uwadze, że w 2018 i 2023 r. petycje podpisało ponad 500 osób, które historycznie identyfikują się jako Bułgarzy;</w:t>
      </w:r>
    </w:p>
    <w:p w14:paraId="17D23530" w14:textId="77777777" w:rsidR="006B08FA" w:rsidRPr="00E277A0" w:rsidRDefault="006B08FA" w:rsidP="006B08FA">
      <w:pPr>
        <w:pStyle w:val="Normal12a24b"/>
      </w:pPr>
      <w:r w:rsidRPr="00E277A0">
        <w:rPr>
          <w:rStyle w:val="BoldItalic"/>
        </w:rPr>
        <w:t>Zaangażowanie na rzecz przystąpienia do UE</w:t>
      </w:r>
    </w:p>
    <w:p w14:paraId="764F2755" w14:textId="77777777" w:rsidR="006B08FA" w:rsidRPr="00E277A0" w:rsidRDefault="006B08FA" w:rsidP="006B08FA">
      <w:pPr>
        <w:pStyle w:val="NormalHanging12a"/>
      </w:pPr>
      <w:r w:rsidRPr="00E277A0">
        <w:t>1.</w:t>
      </w:r>
      <w:r w:rsidRPr="00E277A0">
        <w:tab/>
        <w:t>pochwala zaangażowanie Kosowa na rzecz przystąpienia do UE, które odzwierciedla wyraźny strategiczny wybór geopolityczny, oraz stałe, zdecydowane poparcie obywateli Kosowa dla proeuropejskiego kursu tego kraju; powtarza, że Kosowo konsekwentnie dąży do integracji z Unią Europejską;</w:t>
      </w:r>
    </w:p>
    <w:p w14:paraId="55A4F139" w14:textId="77777777" w:rsidR="006B08FA" w:rsidRPr="00E277A0" w:rsidRDefault="006B08FA" w:rsidP="006B08FA">
      <w:pPr>
        <w:pStyle w:val="NormalHanging12a"/>
      </w:pPr>
      <w:r w:rsidRPr="00E277A0">
        <w:t>2.</w:t>
      </w:r>
      <w:r w:rsidRPr="00E277A0">
        <w:tab/>
        <w:t>ponownie wyraża głębokie przekonanie, że przyszłość Kosowa wiąże się z UE oraz że wszelkie wysiłki na rzecz wyprowadzenia Kosowa z „szarej strefy” leżą w interesie zarówno obywateli Kosowa, jak i UE, zwłaszcza w kontekście obecnej dynamiki geopolitycznej w regionie, szybkich, istotnych zmian w polityce światowej i rosnącej konkurencji z reżimami autorytarnymi;</w:t>
      </w:r>
    </w:p>
    <w:p w14:paraId="33C6EF99" w14:textId="77777777" w:rsidR="006B08FA" w:rsidRPr="00E277A0" w:rsidRDefault="006B08FA" w:rsidP="006B08FA">
      <w:pPr>
        <w:pStyle w:val="NormalHanging12a"/>
        <w:rPr>
          <w:szCs w:val="24"/>
        </w:rPr>
      </w:pPr>
      <w:r w:rsidRPr="00E277A0">
        <w:t>3.</w:t>
      </w:r>
      <w:r w:rsidRPr="00E277A0">
        <w:tab/>
        <w:t>wspiera wniosek Kosowa o członkostwo w UE, który odzwierciedla znaczący konsensus międzypartyjny w sprawie integracji z UE oraz wyraźny geopolityczny wybór strategiczny; ponownie wzywa państwa członkowskie w Radzie, by upoważniły Komisję do przedstawienia kwestionariusza oraz przedłożenia opinii na temat zasadności wniosku tego kraju; wzywa pięć państw członkowskich, które jeszcze nie uznały niepodległości Kosowa, aby uczyniły to bez dalszej zwłoki i w ten sposób umożliwiły Kosowu poczynienie postępów na drodze do członkostwa w UE na równi z innymi krajami kandydujący</w:t>
      </w:r>
      <w:r w:rsidR="00EB7A2B">
        <w:t xml:space="preserve">mi; </w:t>
      </w:r>
      <w:r w:rsidRPr="00E277A0">
        <w:t xml:space="preserve">przypomina opinię doradczą MTS z 22 lipca 2010 r., w której stwierdzono, że jednostronna deklaracja niepodległości Kosowa nie narusza </w:t>
      </w:r>
      <w:r w:rsidRPr="00E277A0">
        <w:lastRenderedPageBreak/>
        <w:t>ogólnego prawa międzynarodowego;</w:t>
      </w:r>
    </w:p>
    <w:p w14:paraId="71E29CE4" w14:textId="77777777" w:rsidR="006B08FA" w:rsidRPr="00E277A0" w:rsidRDefault="006B08FA" w:rsidP="006B08FA">
      <w:pPr>
        <w:pStyle w:val="NormalHanging12a"/>
      </w:pPr>
      <w:r w:rsidRPr="00E277A0">
        <w:t>4.</w:t>
      </w:r>
      <w:r w:rsidRPr="00E277A0">
        <w:tab/>
        <w:t>przypomina, że członkostwo w Unii Europejskiej opiera się na procesie opartym na osiągnięciach, uwarunkowanym rygorystycznym wdrażaniem reform dostosowanych do najwyższych standardów europejskich, w szczególności zgodności z kryteriami kopenhaskimi i praworządnością, oraz zapewnia skuteczne stosowanie przepisów w praktyce; zachęca Kosowo do kontynuowania wysiłków w tym zakresie poprzez dalsze wzmocnienie jego zaangażowania na rzecz wartości i standardów Unii; podkreśla, że rozszerzenie oznacza również gruntowne przygotowanie potencjalnych nowych członków, przy jednoczesnym poszanowaniu stabilności gospodarczej rynku wewnętrznego, standardów społecznych i środowiskowych oraz właściwego funkcjonowania instytucji europejskich;</w:t>
      </w:r>
    </w:p>
    <w:p w14:paraId="1DA9CEA4" w14:textId="77777777" w:rsidR="006B08FA" w:rsidRPr="00E277A0" w:rsidRDefault="006B08FA" w:rsidP="006B08FA">
      <w:pPr>
        <w:pStyle w:val="NormalHanging12a"/>
      </w:pPr>
      <w:r w:rsidRPr="00E277A0">
        <w:t>5.</w:t>
      </w:r>
      <w:r w:rsidRPr="00E277A0">
        <w:tab/>
        <w:t>z zadowoleniem przyjmuje liberalizację systemu wizowego, którą przyjęto w kwietniu 2023 r. i która obowiązuje od 1 stycznia 2024 r., jako namacalny wynik coraz ściślejszych stosunków Kosowa z UE oraz jako dowód wysiłków podjętych przez Kosowo w procesie integracji z Europą; z zadowoleniem przyjmuje decyzję Kosowa o jednostronnym zniesieniu obowiązku wizowego dla obywateli Bośni i Hercegowiny; z zadowoleniem przyjmuje decyzję Hiszpanii o uznaniu paszportów zwykłych wydanych przez Kosowo za ważne dokumenty podróży począwszy od stycznia 2024 r.;</w:t>
      </w:r>
    </w:p>
    <w:p w14:paraId="16692E24" w14:textId="77777777" w:rsidR="006B08FA" w:rsidRPr="00E277A0" w:rsidRDefault="006B08FA" w:rsidP="006B08FA">
      <w:pPr>
        <w:pStyle w:val="NormalHanging12a"/>
      </w:pPr>
      <w:r w:rsidRPr="00E277A0">
        <w:t>6.</w:t>
      </w:r>
      <w:r w:rsidRPr="00E277A0">
        <w:tab/>
        <w:t>odnotowuje wymierne postępy w dziedzinie wymiaru sprawiedliwości, wolności i bezpieczeństwa, walki z przestępczością zorganizowaną i funkcjonującej gospodarki rynkowej; ubolewa z powodu ograniczonych postępów i wzywa do przyspieszenia reform w dziedzinie praworządności; z zadowoleniem przyjmuje ambitny cel Kosowa, aby przyspieszyć wdrażanie reform, co pozostaje priorytetem kraju; ubolewa nad brakiem w Zgromadzeniu Narodowym Kosowa kworum niezbędnego do podejmowania decyzji, spowodowanym bojkotem prac Zgromadzenia przez partie polityczne przed wyborami parlamentarnymi;</w:t>
      </w:r>
    </w:p>
    <w:p w14:paraId="5C1BD645" w14:textId="77777777" w:rsidR="006B08FA" w:rsidRPr="00E277A0" w:rsidRDefault="006B08FA" w:rsidP="006B08FA">
      <w:pPr>
        <w:pStyle w:val="NormalHanging12a"/>
      </w:pPr>
      <w:r w:rsidRPr="00E277A0">
        <w:t>7.</w:t>
      </w:r>
      <w:r w:rsidRPr="00E277A0">
        <w:tab/>
        <w:t>wyraża ubolewanie z powodu upolitycznienia instytucji takich jak Centralna Komisja Wyborcza i niezależna komisja ds. mediów;</w:t>
      </w:r>
    </w:p>
    <w:p w14:paraId="32F801F0" w14:textId="77777777" w:rsidR="006B08FA" w:rsidRPr="00E277A0" w:rsidRDefault="006B08FA" w:rsidP="006B08FA">
      <w:pPr>
        <w:pStyle w:val="NormalHanging12a"/>
      </w:pPr>
      <w:r w:rsidRPr="00E277A0">
        <w:t>8.</w:t>
      </w:r>
      <w:r w:rsidRPr="00E277A0">
        <w:tab/>
        <w:t>wyraża uznanie dla Kosowa za bieżące dostosowanie się do polityki zagranicznej i bezpieczeństwa UE, w szczególności za zdecydowane potępienie rosyjskiej wojny napastniczej przeciwko Ukrainie oraz wdrożenie unijnych środków ograniczających wobec Rosji i Białorusi, zgodnie z polityką zagraniczną Unii, a także za jego wsparcie dla Ukrainy za pośrednictwem pakietów pomocy humanitarnej i wojskowej, co potwierdza, że Kosowo jest wiarygodnym i cennym partnerem zaangażowanym w integrację z UE, o wyraźnej orientacji geopolitycznej, i głęboko zakorzenia ten kraj w sojuszu europejskim i transatlantyckim;</w:t>
      </w:r>
    </w:p>
    <w:p w14:paraId="6F6F2B1A" w14:textId="77777777" w:rsidR="006B08FA" w:rsidRPr="00E277A0" w:rsidRDefault="006B08FA" w:rsidP="006B08FA">
      <w:pPr>
        <w:pStyle w:val="NormalHanging12a"/>
        <w:rPr>
          <w:szCs w:val="24"/>
        </w:rPr>
      </w:pPr>
      <w:r w:rsidRPr="00E277A0">
        <w:t>9.</w:t>
      </w:r>
      <w:r w:rsidRPr="00E277A0">
        <w:tab/>
        <w:t>wzywa do natychmiastowego zniesienia środków UE wobec Kosowa, które nie są już uzasadnione, ponieważ Kosowo spełniło wymogi UE, a środki te stoją ponadto w wyraźnej sprzeczności z wykazanym przez Kosowo zaangażowaniem na rzecz wartości europejskich i dostosowaniem do polityki UE, a także ograniczają wpływ partnerstwa UE z Kosowem i utrudniają wznowienie dialogu między Belgradem a Prisztiną w dobrej wierze;</w:t>
      </w:r>
    </w:p>
    <w:p w14:paraId="16D57943" w14:textId="77777777" w:rsidR="006B08FA" w:rsidRPr="00E277A0" w:rsidRDefault="006B08FA" w:rsidP="006B08FA">
      <w:pPr>
        <w:pStyle w:val="NormalHanging12a"/>
      </w:pPr>
      <w:r w:rsidRPr="00E277A0">
        <w:t>10.</w:t>
      </w:r>
      <w:r w:rsidRPr="00E277A0">
        <w:tab/>
        <w:t xml:space="preserve">ponownie wyraża pełne poparcie dla wniosku Kosowa o członkostwo w Radzie Europy i dla jego planu orientacji strategicznej zakładającego przystąpienie do programu NATO „Partnerstwo dla pokoju” oraz dla jego starań o przystąpienie do innych </w:t>
      </w:r>
      <w:r w:rsidRPr="00E277A0">
        <w:lastRenderedPageBreak/>
        <w:t>organizacji międzynarodowych; wzywa odpowiednie organizacje i państwa członkowskie, by proaktywnie popierały odnośne wnioski Kosowa;</w:t>
      </w:r>
      <w:r w:rsidRPr="00E277A0">
        <w:rPr>
          <w:color w:val="FF0000"/>
        </w:rPr>
        <w:t xml:space="preserve"> </w:t>
      </w:r>
      <w:r w:rsidRPr="00E277A0">
        <w:t>wzywa Komisję i Biuro UE w Kosowie do wzmożenia starań o zwiększenie widoczności i promowania roli bliższego partnerstwa między UE a Kosowem, wysiłków w tym zakresie oraz wynikających z niego korzyści;</w:t>
      </w:r>
    </w:p>
    <w:p w14:paraId="1699B9B6" w14:textId="77777777" w:rsidR="006B08FA" w:rsidRPr="00E277A0" w:rsidRDefault="006B08FA" w:rsidP="006B08FA">
      <w:pPr>
        <w:pStyle w:val="NormalHanging12a"/>
        <w:rPr>
          <w:b/>
          <w:i/>
        </w:rPr>
      </w:pPr>
      <w:r w:rsidRPr="00E277A0">
        <w:t>11.</w:t>
      </w:r>
      <w:r w:rsidRPr="00E277A0">
        <w:rPr>
          <w:b/>
          <w:i/>
        </w:rPr>
        <w:tab/>
      </w:r>
      <w:r w:rsidRPr="00E277A0">
        <w:t>z zadowoleniem przyjmuje fakt, że Kosowo zmniejszyło obciążenia administracyjne poprzez uproszczenie procedur dzięki wdrożeniu powiązanego programu na lata 2022–2027; zauważa, że ramy strategiczne na rzecz administracji publicznej istnieją, ale nie są skutecznie wdrażane; ubolewa nad faktem, że opóźnienia w reformie administracji publicznej sprawiły, iż zarządzanie funduszami UE jest słabe, a rozliczalność w sektorze publicznym jest niewystarczająca; wzywa Kosowo do usprawnienia administracji publicznej i systemu służby cywilnej opartego na osiągnięciach poprzez zmianę i przyjęcie ustawy o urzędnikach publicznych oraz ustawy o niezależnej radzie ds. nadzoru służby cywilnej;</w:t>
      </w:r>
    </w:p>
    <w:p w14:paraId="227641B4" w14:textId="77777777" w:rsidR="006B08FA" w:rsidRPr="00E277A0" w:rsidRDefault="006B08FA" w:rsidP="006B08FA">
      <w:pPr>
        <w:pStyle w:val="NormalHanging12a"/>
      </w:pPr>
      <w:r w:rsidRPr="00E277A0">
        <w:t>12.</w:t>
      </w:r>
      <w:r w:rsidRPr="00E277A0">
        <w:tab/>
        <w:t>wyraża ubolewanie, że orzeczenie Trybunału Konstytucyjnego Kosowa w sprawie ustawy o wynagrodzeniach, która ujednolica obecny system wynagrodzeń urzędników publicznych, nie zostało jeszcze zastosowane; wzywa rząd Kosowa do zmiany przepisów dotyczących zarządzania finansami publicznymi w celu spełnienia międzynarodowych standardów oraz do włączenia metodologii inwestycji publicznych do zmienionych przepisów;</w:t>
      </w:r>
    </w:p>
    <w:p w14:paraId="2DC34DEA" w14:textId="77777777" w:rsidR="006B08FA" w:rsidRPr="00E277A0" w:rsidRDefault="006B08FA" w:rsidP="006B08FA">
      <w:pPr>
        <w:pStyle w:val="NormalHanging12a"/>
        <w:rPr>
          <w:b/>
          <w:i/>
        </w:rPr>
      </w:pPr>
      <w:r w:rsidRPr="00E277A0">
        <w:rPr>
          <w:b/>
          <w:i/>
        </w:rPr>
        <w:t>Demokracja i praworządność</w:t>
      </w:r>
    </w:p>
    <w:p w14:paraId="3890D456" w14:textId="77777777" w:rsidR="006B08FA" w:rsidRDefault="006B08FA" w:rsidP="006B08FA">
      <w:pPr>
        <w:pStyle w:val="NormalHanging12a"/>
      </w:pPr>
      <w:r w:rsidRPr="00E277A0">
        <w:t>13.</w:t>
      </w:r>
      <w:r w:rsidRPr="00E277A0">
        <w:tab/>
        <w:t>z zadowoleniem przyjmuje istotne i pozytywne postępy w realizacji wielu długoletnich zaleceń unijnej misji obserwacji wyborów oraz w zakresie przedstawienia przyjętych w drodze konsensusu przepisów prawa dotyczących wyborów powszechnych; zauważa, że stanowi to odpowiednią podstawę do przeprowadzenia demokratycznych wyborów, zgodnie ze standardami międzynarodowymi i regionalnymi; zauważa, że w odpowiedzi na zaproszenie prezydentki Kosowa Unia Europejska wysłała unijną misję obserwacji wyborów, w tym delegację złożoną z posłów do Parlamentu Europejskiego, w celu obserwacji wyborów w Kosowie 9 lutego 2025 r.;</w:t>
      </w:r>
      <w:r w:rsidRPr="00E277A0">
        <w:rPr>
          <w:b/>
        </w:rPr>
        <w:t xml:space="preserve"> </w:t>
      </w:r>
      <w:r w:rsidRPr="00E277A0">
        <w:t>z zadowoleniem przyjmuje wnioski z unijnej misji obserwacji wyborów potwierdzające przeprowadzenie 9 lutego 2025 r. pokojowych, wolnych i uczciwych wyborów, w których udział wzięły wszystkie społeczności w Kosowie; wyraża ubolewanie z powodu ostrej retoryki partii politycznych podczas kampanii; odnotowuje problemy techniczne, jakie wystąpiły podczas procesu liczenia głosów, i zachęca władze Kosowa do zwiększenia wysiłków na rzecz poprawy organizacji następnych wyborów; odnotowuje brak prawdziwego pluralizmu politycznego w społeczności kosowskich Serbów podczas wyborów parlamentarnych, pomimo wielu list wyborczych kosowskich Serbów; jest zaniepokojony doniesieniami o ciągłej presji, jaką Belgrad wywiera na wyborców ze społeczności serbskiej; potępia wielokrotne ingerowanie w kampanię wyborczą przez specjalnego wysłannika USA Richarda Grenella;</w:t>
      </w:r>
    </w:p>
    <w:p w14:paraId="272EC847" w14:textId="77777777" w:rsidR="005C6A88" w:rsidRPr="00F32719" w:rsidRDefault="005B3EA3" w:rsidP="006B08FA">
      <w:pPr>
        <w:pStyle w:val="NormalHanging12a"/>
        <w:rPr>
          <w:szCs w:val="24"/>
        </w:rPr>
      </w:pPr>
      <w:r w:rsidRPr="005B3EA3">
        <w:t>1</w:t>
      </w:r>
      <w:r>
        <w:t>4</w:t>
      </w:r>
      <w:r w:rsidR="005C6A88" w:rsidRPr="00F32719">
        <w:t>.</w:t>
      </w:r>
      <w:r w:rsidR="005C6A88" w:rsidRPr="005C6A88">
        <w:tab/>
      </w:r>
      <w:r w:rsidR="005C6A88" w:rsidRPr="00F32719">
        <w:t>z zaniepokojeniem odnotowuje impas polityczny spowodowany rozdrobnionym krajobrazem politycznym i dotychczasowym niepowodzeniem w wyborze przewodniczącego parlamentu, utrudniającym utworzenie rządu po wyborach parlamentarnych z 9 lutego 2025 r. i opóźniającym czytanie w parlamencie szeregu ustaw budżetowych; zachęca partie polityczne do współpracy w celu jak najszybszego przezwyciężenia tego impasu;</w:t>
      </w:r>
    </w:p>
    <w:p w14:paraId="48C607E3" w14:textId="77777777" w:rsidR="006B08FA" w:rsidRPr="00E277A0" w:rsidRDefault="006B08FA" w:rsidP="006B08FA">
      <w:pPr>
        <w:pStyle w:val="NormalHanging12a"/>
      </w:pPr>
      <w:r w:rsidRPr="00E277A0">
        <w:lastRenderedPageBreak/>
        <w:t>1</w:t>
      </w:r>
      <w:r w:rsidR="005B3EA3">
        <w:t>5</w:t>
      </w:r>
      <w:r w:rsidRPr="00E277A0">
        <w:t>.</w:t>
      </w:r>
      <w:r w:rsidRPr="00E277A0">
        <w:tab/>
        <w:t>z zaniepokojeniem zauważa, że ustawa o wyborach lokalnych i ustawa o wyborach powszechnych nadal nie zostały wdrożone ani zharmonizowane z ustawą o równości płci, która nakazuje równą reprezentację kobiet i mężczyzn na poziomie 50 %; ubolewa, że kobiety są nadal niedostatecznie reprezentowane;</w:t>
      </w:r>
    </w:p>
    <w:p w14:paraId="70295CDD" w14:textId="77777777" w:rsidR="006B08FA" w:rsidRPr="00E277A0" w:rsidRDefault="006B08FA" w:rsidP="006B08FA">
      <w:pPr>
        <w:pStyle w:val="NormalHanging12a"/>
      </w:pPr>
      <w:r w:rsidRPr="00E277A0">
        <w:t>1</w:t>
      </w:r>
      <w:r w:rsidR="005B3EA3">
        <w:t>6</w:t>
      </w:r>
      <w:r w:rsidRPr="00E277A0">
        <w:t>.</w:t>
      </w:r>
      <w:r w:rsidRPr="00E277A0">
        <w:tab/>
        <w:t>wyraża zadowolenie z przyjęcia ustawy o prokuraturze specjalnej oraz z postępów w orzekaniu w sprawach dotyczących korupcji;</w:t>
      </w:r>
      <w:r w:rsidRPr="00E277A0">
        <w:rPr>
          <w:b/>
          <w:i/>
        </w:rPr>
        <w:t xml:space="preserve"> </w:t>
      </w:r>
      <w:r w:rsidRPr="00E277A0">
        <w:t>pochwala aktywną pracę prokuratury specjalnej w rozwiązaniu siedmiu spraw dotyczących zbrodni wojennych; wzywa do dalszego doprecyzowania podziału kompetencji między prokuraturą specjalną a prokuraturą zwykłą w zakresie prowadzenia dochodzeń i ścigania; wzywa Kosowo do dalszego wzmacniania prokuratury specjalnej poprzez zwiększanie jej zdolności do prowadzenia dochodzeń i ścigania sprawców głośnych spraw dotyczących przestępczości zorganizowanej; wzywa policję i prokuraturę specjalną do ścisłej współpracy w celu opracowania strategii skuteczniejszego prowadzenia dochodzeń, z wyraźnym podziałem odpowiedzialności;</w:t>
      </w:r>
    </w:p>
    <w:p w14:paraId="7DDC7C79" w14:textId="77777777" w:rsidR="006B08FA" w:rsidRPr="00E277A0" w:rsidRDefault="006B08FA" w:rsidP="006B08FA">
      <w:pPr>
        <w:pStyle w:val="NormalHanging12a"/>
        <w:rPr>
          <w:bCs/>
          <w:iCs/>
        </w:rPr>
      </w:pPr>
      <w:r w:rsidRPr="00E277A0">
        <w:t>1</w:t>
      </w:r>
      <w:r w:rsidR="005B3EA3">
        <w:t>7</w:t>
      </w:r>
      <w:r w:rsidRPr="00E277A0">
        <w:t>.</w:t>
      </w:r>
      <w:r w:rsidRPr="00E277A0">
        <w:tab/>
        <w:t>odnotowuje postępy Kosowa w rankingu ustanowionym według wskaźnika postrzegania korupcji, ponieważ od zeszłego roku Kosowo znalazło się 10 miejsc wyżej, i uznaje, że jest to pozytywna zmiana, a jednocześnie przyznaje, że można to przypisać zarówno spadkom wyników innych krajów, jak i, co ważniejsze, przyjęciu przepisów jakościowych; niemniej pozycja Kosowa nadal pozostaje w dużej mierze niezadowalająca; podkreśla, że zdobycie zaufania obywateli wymaga nie tylko reform legislacyjnych, ale również widocznych wyników w zakresie prowadzenia dochodzeń, ścigania i skazywania w sprawach dotyczących korupcji na wszystkich szczeblach; ubolewa, że od 2019 r. Kosowo nie ma strategii antykorupcyjnej, i wzywa do zwiększenia wysiłków w celu jej sfinalizowania jako kwestii priorytetowej; powtarza, że silne zaangażowanie polityczne jest niezbędne do osiągnięcia wymiernych rezultatów w walce z korupcją na wysokim szczeblu; powtarza, że silne zaangażowanie polityczne jest niezbędne do osiągnięcia wymiernych rezultatów w walce z korupcją na wysokim szczeblu;</w:t>
      </w:r>
    </w:p>
    <w:p w14:paraId="0EA02745" w14:textId="77777777" w:rsidR="006B08FA" w:rsidRPr="00E277A0" w:rsidRDefault="006B08FA" w:rsidP="006B08FA">
      <w:pPr>
        <w:pStyle w:val="NormalHanging12a"/>
      </w:pPr>
      <w:r w:rsidRPr="00E277A0">
        <w:t>1</w:t>
      </w:r>
      <w:r w:rsidR="005B3EA3">
        <w:t>8</w:t>
      </w:r>
      <w:r w:rsidRPr="00E277A0">
        <w:t>.</w:t>
      </w:r>
      <w:r w:rsidRPr="00E277A0">
        <w:tab/>
        <w:t xml:space="preserve">wyraża poważne zaniepokojenie słabościami systemowymi w sądownictwie Kosowa, w szczególności w odniesieniu do niezależności systemu wymiaru sprawiedliwości i przestrzegania podziału władzy; ponownie wyraża zaniepokojenie opóźnieniami w procesach sądowych i ciągłym krytykowaniem orzeczeń sądowych w sprawach indywidualnych przez urzędników rządowych; </w:t>
      </w:r>
      <w:r w:rsidR="005C6A88" w:rsidRPr="005C6A88">
        <w:t xml:space="preserve">z </w:t>
      </w:r>
      <w:r w:rsidR="005C6A88" w:rsidRPr="00F32719">
        <w:t>zadowoleniem przyjmuje fakt</w:t>
      </w:r>
      <w:r w:rsidR="005C6A88" w:rsidRPr="005C6A88">
        <w:t xml:space="preserve">, że </w:t>
      </w:r>
      <w:r w:rsidR="005C6A88" w:rsidRPr="00F32719">
        <w:t>w grudniu 2024 r. rząd przedłożył Komisji Weneckiej projekt ustawy o reformach</w:t>
      </w:r>
      <w:r w:rsidR="005C6A88" w:rsidRPr="005C6A88">
        <w:t xml:space="preserve"> sądownictwa, </w:t>
      </w:r>
      <w:r w:rsidR="005C6A88" w:rsidRPr="00F32719">
        <w:t>a Komisja Wenecka wydała pierwszą opinię 18 marca 2025 r</w:t>
      </w:r>
      <w:r w:rsidR="005C6A88">
        <w:t>.</w:t>
      </w:r>
      <w:r w:rsidRPr="00E277A0">
        <w:t>; wzywa Kosowo do zapewnienia, że ustawodawstwo regulujące integralność i odpowiedzialność sądownictwa jest zgodne ze standardami europejskimi i zaleceniami Komisji Weneckiej; wzywa rząd Kosowa, aby przeznaczył odpowiedni budżet na system sądowy; z zadowoleniem przyjmuje ustanowienie sądu gospodarczego, postępy w rekrutacji nowych sędziów i prokuratorów w przejrzystym procesie opartym na osiągnięciach oraz ogólny wzrost przejrzystości;</w:t>
      </w:r>
    </w:p>
    <w:p w14:paraId="310F388A" w14:textId="77777777" w:rsidR="006B08FA" w:rsidRPr="00E277A0" w:rsidRDefault="00F32719" w:rsidP="006B08FA">
      <w:pPr>
        <w:pStyle w:val="NormalHanging12a"/>
        <w:rPr>
          <w:szCs w:val="24"/>
        </w:rPr>
      </w:pPr>
      <w:r>
        <w:t>19</w:t>
      </w:r>
      <w:r w:rsidR="006B08FA" w:rsidRPr="00E277A0">
        <w:t>.</w:t>
      </w:r>
      <w:r w:rsidR="006B08FA" w:rsidRPr="00E277A0">
        <w:tab/>
        <w:t>z zadowoleniem przyjmuje udział kosowskich Serbów w wyborach parlamentarnych i zachęca ich wybranych przedstawicieli, aby odgrywali aktywną rolę w ramach prawnych Kosowa i wspierali europejską przyszłość Kosowa; ubolewa jednak nad bojkotem partii reprezentujących kosowskich Serbów podczas wyborów lokalnych w kwietniu 2023 r. oraz nad wycofaniem się kosowskich Serbów z kosowskich instytucji; wyraża zaniepokojenie ingerencją Serbii w wybory parlamentarne za pośrednictwem Serbskiej Listy (SL);</w:t>
      </w:r>
    </w:p>
    <w:p w14:paraId="2FF8E1FF" w14:textId="77777777" w:rsidR="006B08FA" w:rsidRPr="00E277A0" w:rsidRDefault="00F32719" w:rsidP="006B08FA">
      <w:pPr>
        <w:pStyle w:val="NormalHanging12a"/>
        <w:rPr>
          <w:b/>
        </w:rPr>
      </w:pPr>
      <w:r>
        <w:lastRenderedPageBreak/>
        <w:t>20</w:t>
      </w:r>
      <w:r w:rsidR="006B08FA" w:rsidRPr="00E277A0">
        <w:t>.</w:t>
      </w:r>
      <w:r w:rsidR="006B08FA" w:rsidRPr="00E277A0">
        <w:tab/>
        <w:t>z zadowoleniem przyjmuje wdrożenie wyroku Trybunału Konstytucyjnego z 2016 r. w sprawie własności gruntów klasztoru Visoki Dečani/Deçani poprzez zarejestrowanie klasztoru jako właściciela w marcu 2024 r.;</w:t>
      </w:r>
    </w:p>
    <w:p w14:paraId="7A02C1A2" w14:textId="77777777" w:rsidR="006B08FA" w:rsidRPr="00E277A0" w:rsidRDefault="00F32719" w:rsidP="006B08FA">
      <w:pPr>
        <w:pStyle w:val="NormalHanging12a"/>
      </w:pPr>
      <w:r>
        <w:t>21</w:t>
      </w:r>
      <w:r w:rsidR="006B08FA" w:rsidRPr="00E277A0">
        <w:t>.</w:t>
      </w:r>
      <w:r w:rsidR="006B08FA" w:rsidRPr="00E277A0">
        <w:tab/>
        <w:t>odnotowuje stały wzrost liczby wyroków dotyczących przestępczości zorganizowanej oraz fakt, że ramy prawne dotyczące zwalczania przestępczości zorganizowanej są dostosowane do dorobku prawnego UE; podkreśla potrzebę wzmocnienia przez prokuraturę i policję wspólnych działań prowadzonych przeciwko grupom i siatkom przestępczym; wyraża zaniepokojenie wyzwaniami w zakresie bezpieczeństwa na północy Kosowa, w szczególności po ataku w Banjskiej we wrześniu 2023 r., który wymagał zaangażowania znacznych zasobów policji; podkreśla potrzebę pogłębienia współpracy w zakresie walki z handlem narkotykami; wzywa do dalszego dostosowania w zakresie zwalczania terroryzmu;</w:t>
      </w:r>
    </w:p>
    <w:p w14:paraId="56CB676D" w14:textId="77777777" w:rsidR="006B08FA" w:rsidRPr="00E277A0" w:rsidRDefault="00F32719" w:rsidP="006B08FA">
      <w:pPr>
        <w:pStyle w:val="NormalHanging12a"/>
      </w:pPr>
      <w:r>
        <w:t>22</w:t>
      </w:r>
      <w:r w:rsidR="006B08FA" w:rsidRPr="00E277A0">
        <w:t>.</w:t>
      </w:r>
      <w:r w:rsidR="006B08FA" w:rsidRPr="00E277A0">
        <w:tab/>
        <w:t>wyraża zadowolenie z przyjęcia strategii i planu działania w sprawie kontroli broni strzeleckiej i lekkiej oraz materiałów wybuchowych, a także z wysokiego poziomu zgodności z zasadami protokołu Narodów Zjednoczonych w sprawie broni palnej;</w:t>
      </w:r>
    </w:p>
    <w:p w14:paraId="544B98F0" w14:textId="77777777" w:rsidR="006B08FA" w:rsidRPr="00E277A0" w:rsidRDefault="00F32719" w:rsidP="006B08FA">
      <w:pPr>
        <w:pStyle w:val="NormalHanging12a"/>
      </w:pPr>
      <w:r>
        <w:t>23</w:t>
      </w:r>
      <w:r w:rsidR="006B08FA" w:rsidRPr="00E277A0">
        <w:t>.</w:t>
      </w:r>
      <w:r w:rsidR="006B08FA" w:rsidRPr="00E277A0">
        <w:tab/>
        <w:t>pozostaje zaniepokojony powolnym wdrażaniem strategii dotyczącej praworządności i odnośnego planu działania;</w:t>
      </w:r>
    </w:p>
    <w:p w14:paraId="73370EF1" w14:textId="77777777" w:rsidR="006B08FA" w:rsidRPr="00E277A0" w:rsidRDefault="00F32719" w:rsidP="006B08FA">
      <w:pPr>
        <w:pStyle w:val="NormalHanging12a"/>
      </w:pPr>
      <w:r>
        <w:t>24</w:t>
      </w:r>
      <w:r w:rsidR="006B08FA" w:rsidRPr="00E277A0">
        <w:t>.</w:t>
      </w:r>
      <w:r w:rsidR="006B08FA" w:rsidRPr="00E277A0">
        <w:tab/>
        <w:t>potwierdza swoje zobowiązanie do utrzymania i zacieśnienia współpracy ze Zgromadzeniem Kosowa i jego członkami na rzecz wspierania procesów demokratycznych związanych z proeuropejskim kursem Kosowa przez wykorzystanie istniejących narzędzi i inicjatyw Parlamentu na rzecz wspierania demokracji; uważa, że partnerstwo to można ożywić i wzmocnić po demokratycznych wyborach, które odbyły się 9 lutego 2025 r.;</w:t>
      </w:r>
      <w:r w:rsidR="006B08FA" w:rsidRPr="00E277A0">
        <w:rPr>
          <w:b/>
          <w:i/>
        </w:rPr>
        <w:t xml:space="preserve"> </w:t>
      </w:r>
      <w:r w:rsidR="006B08FA" w:rsidRPr="00E277A0">
        <w:t>zachęca do aktywnego zaangażowania i współpracy wszystkich wybranych członków nowo utworzonego Zgromadzenia Kosowa;</w:t>
      </w:r>
    </w:p>
    <w:p w14:paraId="22453900" w14:textId="77777777" w:rsidR="006B08FA" w:rsidRPr="00E277A0" w:rsidRDefault="00F32719" w:rsidP="006B08FA">
      <w:pPr>
        <w:pStyle w:val="NormalHanging12a"/>
      </w:pPr>
      <w:r>
        <w:t>25</w:t>
      </w:r>
      <w:r w:rsidR="006B08FA" w:rsidRPr="00E277A0">
        <w:t>.</w:t>
      </w:r>
      <w:r w:rsidR="006B08FA" w:rsidRPr="00E277A0">
        <w:tab/>
        <w:t>potępia poważne incydenty związane z bezpieczeństwem, do których doszło na północy Kosowa pod koniec listopada 2024 r., przy czym najpoważniejsze działania miały miejsce w pobliżu wioski Vragë w Zubinie Potoku, gdzie przy użyciu materiałów wybuchowych uszkodzono infrastrukturę krytyczną, ponieważ za cel obrano główny kanał systemu Ibër Lepenc; wyraża poparcie dla instytucji Kosowa w prowadzeniu pełnego śledztwa w sprawie tych czynów przestępczych, tak aby sprawcy zostali pociągnięci do odpowiedzialności;</w:t>
      </w:r>
    </w:p>
    <w:p w14:paraId="54A87BCE" w14:textId="77777777" w:rsidR="006B08FA" w:rsidRPr="00E277A0" w:rsidRDefault="00F32719" w:rsidP="006B08FA">
      <w:pPr>
        <w:pStyle w:val="NormalHanging12a"/>
      </w:pPr>
      <w:r>
        <w:t>26</w:t>
      </w:r>
      <w:r w:rsidR="006B08FA" w:rsidRPr="00E277A0">
        <w:t>.</w:t>
      </w:r>
      <w:r w:rsidR="006B08FA" w:rsidRPr="00E277A0">
        <w:tab/>
        <w:t>wyraża uznanie dla pracy misji EULEX, która wspiera władze Kosowa w ustanowieniu stabilnych i niezależnych instytucji państwa prawa;</w:t>
      </w:r>
    </w:p>
    <w:p w14:paraId="5EA280A0" w14:textId="77777777" w:rsidR="006B08FA" w:rsidRPr="00E277A0" w:rsidRDefault="006B08FA" w:rsidP="006B08FA">
      <w:pPr>
        <w:pStyle w:val="NormalHanging12a"/>
      </w:pPr>
      <w:r w:rsidRPr="00E277A0">
        <w:rPr>
          <w:b/>
          <w:i/>
        </w:rPr>
        <w:t>Podstawowe wolności i prawa człowieka</w:t>
      </w:r>
    </w:p>
    <w:p w14:paraId="1B2D5E75" w14:textId="77777777" w:rsidR="006B08FA" w:rsidRPr="00E277A0" w:rsidRDefault="00F32719" w:rsidP="006B08FA">
      <w:pPr>
        <w:pStyle w:val="NormalHanging12a"/>
        <w:rPr>
          <w:szCs w:val="24"/>
        </w:rPr>
      </w:pPr>
      <w:r>
        <w:t>27</w:t>
      </w:r>
      <w:r w:rsidR="006B08FA" w:rsidRPr="00E277A0">
        <w:t>.</w:t>
      </w:r>
      <w:r w:rsidR="006B08FA" w:rsidRPr="00E277A0">
        <w:tab/>
        <w:t>zauważa, że Kosowo posiada niezbędną strukturę instytucjonalną w celu propagowania i ochrony praw człowieka; wyraża zadowolenie z przyjęcia strategii na rzecz ochrony i propagowania praw społeczności; podkreśla jednak, że ochrona praw człowieka jest nadal słaba ze względu na niewdrożenie przepisów, brak woli politycznej oraz ograniczone zasoby ludzkie i finansowe, a także wzywa do wzmocnienia mechanizmów egzekwowania i rozliczalności;</w:t>
      </w:r>
    </w:p>
    <w:p w14:paraId="368D6A4C" w14:textId="77777777" w:rsidR="006B08FA" w:rsidRPr="00E277A0" w:rsidRDefault="00F32719" w:rsidP="006B08FA">
      <w:pPr>
        <w:pStyle w:val="NormalHanging12a"/>
        <w:rPr>
          <w:szCs w:val="24"/>
        </w:rPr>
      </w:pPr>
      <w:r>
        <w:t>28</w:t>
      </w:r>
      <w:r w:rsidR="006B08FA" w:rsidRPr="00E277A0">
        <w:t>.</w:t>
      </w:r>
      <w:r w:rsidR="006B08FA" w:rsidRPr="00E277A0">
        <w:tab/>
        <w:t xml:space="preserve">zauważa, że konstytucja Kosowa jest bardzo postępowa pod względem ochrony praw mniejszości; z ubolewaniem odnotowuje, że petycja podpisana przez prawie 500 osób, które historycznie identyfikują się jako Bułgarzy, zarejestrowana na posiedzeniu </w:t>
      </w:r>
      <w:r w:rsidR="006B08FA" w:rsidRPr="00E277A0">
        <w:lastRenderedPageBreak/>
        <w:t>Zgromadzenia Kosowa w styczniu 2023 r., w dalszym ciągu nie została rozpatrzona, i zaleca ustanowienie przedmiotowych praw w przepisach i zagwarantowanie ich w praktyce; wzywa Kosowo do zapewnienia, że wszystkie mniejszości uznane na mocy ustawy o ochronie praw mniejszości i członkowie ich społeczności są w pełni objęci jego konstytucją; wzywa władze Kosowa do wzmożenia wysiłków na rzecz ochrony praw wszystkich mniejszości, w tym społeczności narodowych, w szczególności społeczności narodowych znajdujących się w trudnej sytuacji, oraz do zapewnienia im równych szans i odpowiedniej reprezentacji w życiu politycznym i kulturalnym, mediach publicznych, administracji i wymiarze sprawiedliwości, a także do zapobiegania ich asymilacji i promowania ich integracji ze społeczeństwem Kosowa oraz do intensyfikacji działań na rzecz wyeliminowania trudności społecznych i ekonomicznych, z jakimi te mniejszości narodowe się zmagają;</w:t>
      </w:r>
    </w:p>
    <w:p w14:paraId="6A33BD7F" w14:textId="77777777" w:rsidR="006B08FA" w:rsidRPr="00E277A0" w:rsidRDefault="00F32719" w:rsidP="006B08FA">
      <w:pPr>
        <w:pStyle w:val="NormalHanging12a"/>
        <w:rPr>
          <w:szCs w:val="24"/>
        </w:rPr>
      </w:pPr>
      <w:r>
        <w:t>29</w:t>
      </w:r>
      <w:r w:rsidR="006B08FA" w:rsidRPr="00E277A0">
        <w:t>.</w:t>
      </w:r>
      <w:r w:rsidR="006B08FA" w:rsidRPr="00E277A0">
        <w:tab/>
        <w:t>z zadowoleniem przyjmuje zwiększenie finansowania schronisk dla ofiar przemocy domowej i handlu ludźmi; zauważa, że przemoc domowa pozostaje najczęstszą formą przemocy ze względu na płeć; wyraża obawy, że system nadal nie zapewnia skutecznego zapobiegania przemocy domowej;</w:t>
      </w:r>
    </w:p>
    <w:p w14:paraId="5DF9B3CF" w14:textId="77777777" w:rsidR="006B08FA" w:rsidRPr="00E277A0" w:rsidRDefault="00F32719" w:rsidP="006B08FA">
      <w:pPr>
        <w:pStyle w:val="NormalHanging12a"/>
        <w:rPr>
          <w:szCs w:val="24"/>
        </w:rPr>
      </w:pPr>
      <w:r>
        <w:rPr>
          <w:color w:val="000000" w:themeColor="text1"/>
        </w:rPr>
        <w:t>30</w:t>
      </w:r>
      <w:r w:rsidR="006B08FA" w:rsidRPr="00E277A0">
        <w:rPr>
          <w:color w:val="000000" w:themeColor="text1"/>
        </w:rPr>
        <w:t>.</w:t>
      </w:r>
      <w:r w:rsidR="006B08FA" w:rsidRPr="00E277A0">
        <w:rPr>
          <w:color w:val="000000" w:themeColor="text1"/>
        </w:rPr>
        <w:tab/>
      </w:r>
      <w:r w:rsidR="006B08FA" w:rsidRPr="00E277A0">
        <w:t>ubolewa, że projekt kodeksu cywilnego Kosowa nie został jeszcze przyjęty; podkreśla, że projekt kodeksu cywilnego dotyczy kilku ważnych kwestii związanych z równością płci jako podstawową wartością UE, w tym umożliwienia równego podziału wspólnego majątku małżeńskiego między kobietami i mężczyznami; podkreśla znaczenie zapewnienia w kodeksie cywilnym praw wszystkim osobom w Kosowie w celu zagwarantowania poszanowania praw konstytucyjnych i możliwości dla społeczności LGBTIQ; wyraża zaniepokojenie faktem, że kobiety nadal są niedostatecznie reprezentowane na wysokich stanowiskach politycznych, w szczególności związanych z bezpieczeństwem i dialogiem, oraz podkreśla pilną potrzebę ich zaangażowania w procesy pokojowe i pojednawcze, zgodnie z rezolucją Rady Bezpieczeństwa ONZ nr 1325 w sprawie kobiet, pokoju i bezpieczeństwa; wzywa do zwiększenia wysiłków na rzecz poprawy miejsca kobiet w społeczeństwie;</w:t>
      </w:r>
    </w:p>
    <w:p w14:paraId="4F740402" w14:textId="77777777" w:rsidR="006B08FA" w:rsidRPr="00E277A0" w:rsidRDefault="00F32719" w:rsidP="006B08FA">
      <w:pPr>
        <w:pStyle w:val="NormalHanging12a"/>
        <w:rPr>
          <w:szCs w:val="24"/>
        </w:rPr>
      </w:pPr>
      <w:r>
        <w:t>31</w:t>
      </w:r>
      <w:r w:rsidR="006B08FA" w:rsidRPr="00E277A0">
        <w:t>.</w:t>
      </w:r>
      <w:r w:rsidR="006B08FA" w:rsidRPr="00E277A0">
        <w:tab/>
        <w:t>zauważa, że system więziennictwa jest zasadniczo zgodny ze Wzorcowymi regułami minimalnymi ONZ, i wzywa do lepszej ochrony praw więźniów, w szczególności kobiet, mniejszości i osób chorych psychicznie; wyraża zaniepokojenie utrzymywaniem się języka dyskryminującego wobec kobiet i osób LGBTIQ oraz wzywa władze do stworzenia i wdrożenia krajowej strategii na rzecz równouprawnienia płci w dziedzinach badawczych, takich jak nauki ścisłe, technologia, inżynieria i matematyka; wyraża uznanie dla udziału kobiet w wysokiej jakości programach szkoleniowych w zakresie biznesu i zarządzania, a także w dziedzinach związanych z technologiami ICT, co ułatwiły fundusze instrumentu pomocy przedakcesyjnej; ubolewa, że kobiety z grup mniejszościowych, zwłaszcza społeczności Romów, Aszkali i Egipcjan, spotykają się z licznymi formami dyskryminacji, zwłaszcza w edukacji, zatrudnieniu i dostępie do opieki zdrowotnej; wyraża obawy, że administracja centralna nie reprezentuje odpowiednio społeczności mniejszościowych, a liczba kobiet na wyższych stanowiskach jest niska;</w:t>
      </w:r>
    </w:p>
    <w:p w14:paraId="30CAAB93" w14:textId="77777777" w:rsidR="006B08FA" w:rsidRPr="00E277A0" w:rsidRDefault="00F32719" w:rsidP="006B08FA">
      <w:pPr>
        <w:pStyle w:val="NormalHanging12a"/>
        <w:rPr>
          <w:szCs w:val="24"/>
        </w:rPr>
      </w:pPr>
      <w:r>
        <w:t>32</w:t>
      </w:r>
      <w:r w:rsidR="006B08FA" w:rsidRPr="00E277A0">
        <w:t>.</w:t>
      </w:r>
      <w:r w:rsidR="006B08FA" w:rsidRPr="00E277A0">
        <w:tab/>
        <w:t>ubolewa, że Konwencja ONZ o prawach osób niepełnosprawnych nie została jeszcze przyjęta. wyraża zaniepokojenie niewystarczającym dostosowaniem prawodawstwa Kosowa do dorobku prawnego UE w zakresie praw osób z niepełnosprawnościami, które doświadczają dyskryminacji i napotykają przeszkody, jeśli chodzi o dostęp do usług społecznych;</w:t>
      </w:r>
    </w:p>
    <w:p w14:paraId="6A2500FD" w14:textId="77777777" w:rsidR="006B08FA" w:rsidRPr="00E277A0" w:rsidRDefault="00F32719" w:rsidP="006B08FA">
      <w:pPr>
        <w:pStyle w:val="NormalHanging12a"/>
        <w:rPr>
          <w:szCs w:val="24"/>
        </w:rPr>
      </w:pPr>
      <w:r>
        <w:lastRenderedPageBreak/>
        <w:t>33</w:t>
      </w:r>
      <w:r w:rsidR="006B08FA" w:rsidRPr="00E277A0">
        <w:t>.</w:t>
      </w:r>
      <w:r w:rsidR="006B08FA" w:rsidRPr="00E277A0">
        <w:tab/>
        <w:t>z zadowoleniem przyjmuje stałą poprawę pozycji Kosowa w rankingu demokracji liberalnej i rankingu demokracji wyborczej z 2024 r., przygotowanym przez Varieties of Democracy Institute, który ocenia praworządność, mechanizmy kontroli i równowagi, wolności obywatelskie oraz wolne i uczciwe wybory;</w:t>
      </w:r>
    </w:p>
    <w:p w14:paraId="28A3DAE7" w14:textId="77777777" w:rsidR="006B08FA" w:rsidRPr="00E277A0" w:rsidRDefault="00F32719" w:rsidP="006B08FA">
      <w:pPr>
        <w:pStyle w:val="NormalHanging12a"/>
        <w:rPr>
          <w:color w:val="000000" w:themeColor="text1"/>
          <w:szCs w:val="24"/>
        </w:rPr>
      </w:pPr>
      <w:r>
        <w:t>34</w:t>
      </w:r>
      <w:r w:rsidR="006B08FA" w:rsidRPr="00E277A0">
        <w:t>.</w:t>
      </w:r>
      <w:r w:rsidR="006B08FA" w:rsidRPr="00E277A0">
        <w:tab/>
        <w:t>odnotowuje pluralistyczne środowisko medialne Kosowa, oczekuje na orzeczenie Trybunału Konstytucyjnego w sprawie głównej ustawy medialnej i podkreśla rolę niezależnej komisji ds. mediów, której niezależność w podejmowaniu decyzji należy bezwzględnie zagwarantować i przywrócić jej pełne funkcjonowanie; ubolewa jednak nad ograniczeniem wolności mediów w Kosowie, o czym świadczy spadek z 56. na 75. miejsce w światowym rankingu wolności prasy za 2024 r.; potwierdza, że pluralizm mediów i przejrzystość są warunkami wstępnymi przystąpienia do UE; apeluje o większą przejrzystość w zakresie własności i finansowania mediów, aby zwiększyć ich niezależność i pluralizm; podkreśla potrzebę podjęcia zdecydowanych środków, aby chronić dziennikarzy przed nękaniem i zastraszaniem oraz zapewnić niezależność organów regulacyjnych ds. mediów; odnotowuje obawy wyrażane przez społeczeństwo obywatelskie w związku z rzekomo umotywowanym politycznie wyborem przewodniczącego niezależnej komisji ds. mediów; wzywa władze Kosowa do dalszego przeglądu ustawy o niezależnej komisji ds. mediów w celu uwzględnienia zaleceń Rady Europy, aby dostosować w ten sposób prawo krajowe do standardów i praktyk UE; zaleca zwiększenie wsparcia dla niezależnych mediów i organizacji weryfikujących fakty w Kosowie, uznając ich kluczową rolę w przeciwdziałaniu dezinformacji i dostarczaniu społeczeństwu dokładnych informacji; zachęca UE, aby zapewniła tym podmiotom pomoc techniczną i finansową; zachęca władze Kosowa, aby ubiegały się o dostosowane do potrzeb misje ekspertów ds. instrumentu pomocy technicznej i wymiany informacji; wzywa do przyjęcia ustawy o radiu i telewizji Kosowa oraz ustawy o ochronie źródeł dziennikarskich;</w:t>
      </w:r>
    </w:p>
    <w:p w14:paraId="3111A676" w14:textId="77777777" w:rsidR="006B08FA" w:rsidRPr="00E277A0" w:rsidRDefault="00F32719" w:rsidP="006B08FA">
      <w:pPr>
        <w:pStyle w:val="NormalHanging12a"/>
        <w:rPr>
          <w:szCs w:val="24"/>
        </w:rPr>
      </w:pPr>
      <w:r>
        <w:t>35</w:t>
      </w:r>
      <w:r w:rsidR="006B08FA" w:rsidRPr="00E277A0">
        <w:t>.</w:t>
      </w:r>
      <w:r w:rsidR="006B08FA" w:rsidRPr="00E277A0">
        <w:tab/>
        <w:t>wyraża zaniepokojenie niedawnym cyberatakiem na infrastrukturę cyfrową Kosowa; wzywa rząd Kosowa do wzmocnienia zdolności zwalczania zagranicznych ingerencji i dezinformacji, zwłaszcza tych pochodzących z serbskich nacjonalistycznych mediów i Rosji, które mają na celu destabilizację regionu i podważanie integracji europejskiej Bałkanów Zachodnich, poprzez opracowanie kompleksowych strategii obejmujących kampanie uświadamiające społeczeństwo, które również zwalczają dezinformację podważającą udział kobiet w życiu publicznym, wzmocnienie cyberbezpieczeństwa i powiązanej infrastruktury, wspieranie współpracy z partnerami międzynarodowymi, w szczególności z Unią Europejską, aby chronić gospodarkę cyfrową, usługi publiczne i bezpieczeństwo narodowe, oraz przeciwdziałanie kampaniom dezinformacyjnym i zagrożeniom hybrydowym, których celem jest destabilizacja kraju i zaszkodzenie jego integracji z UE; zachęca do włączenia programów dotyczących umiejętności korzystania z mediów do programu nauczania w Kosowie, aby wyposażyć obywateli w umiejętności niezbędne do identyfikowania i przeciwdziałania dezinformacji;</w:t>
      </w:r>
    </w:p>
    <w:p w14:paraId="0D2BCED8" w14:textId="77777777" w:rsidR="006B08FA" w:rsidRPr="00E277A0" w:rsidRDefault="00F32719" w:rsidP="006B08FA">
      <w:pPr>
        <w:pStyle w:val="NormalHanging12a"/>
        <w:rPr>
          <w:bCs/>
        </w:rPr>
      </w:pPr>
      <w:r>
        <w:t>36</w:t>
      </w:r>
      <w:r w:rsidR="006B08FA" w:rsidRPr="00E277A0">
        <w:t>.</w:t>
      </w:r>
      <w:r w:rsidR="006B08FA" w:rsidRPr="00E277A0">
        <w:tab/>
        <w:t>wyraża uznanie dla faktu, że Kosowo zapewniło schronienie i azyl dziennikarzom z Ukrainy i Afganistanu;</w:t>
      </w:r>
    </w:p>
    <w:p w14:paraId="64AADD01" w14:textId="5B969180" w:rsidR="006B08FA" w:rsidRPr="00E277A0" w:rsidRDefault="00F32719" w:rsidP="006B08FA">
      <w:pPr>
        <w:pStyle w:val="NormalHanging12a"/>
        <w:rPr>
          <w:szCs w:val="24"/>
        </w:rPr>
      </w:pPr>
      <w:r>
        <w:t>37</w:t>
      </w:r>
      <w:r w:rsidR="006B08FA" w:rsidRPr="00E277A0">
        <w:t>.</w:t>
      </w:r>
      <w:r w:rsidR="006B08FA" w:rsidRPr="00E277A0">
        <w:tab/>
        <w:t xml:space="preserve">wyraża poważne zaniepokojenie znacznym wzrostem liczby ataków na dziennikarzy i strategicznych powództw zmierzających do stłumienia debaty publicznej (powództw typu SLAPP), w tym ze strony urzędników rządowych; wzywa władze do przyspieszenia prac nad przepisami przeciwko powództwom typu SLAPP zgodnie z </w:t>
      </w:r>
      <w:r w:rsidR="006B08FA" w:rsidRPr="00E277A0">
        <w:lastRenderedPageBreak/>
        <w:t xml:space="preserve">nową dyrektywą </w:t>
      </w:r>
      <w:r w:rsidR="00FC26B4">
        <w:t>(</w:t>
      </w:r>
      <w:r w:rsidR="006B08FA" w:rsidRPr="00E277A0">
        <w:t>UE</w:t>
      </w:r>
      <w:r w:rsidR="00FC26B4">
        <w:t>)</w:t>
      </w:r>
      <w:r w:rsidR="006B08FA" w:rsidRPr="00E277A0">
        <w:t xml:space="preserve"> 2024/1069</w:t>
      </w:r>
      <w:r w:rsidR="006B08FA" w:rsidRPr="00E277A0">
        <w:rPr>
          <w:rStyle w:val="FootnoteReference"/>
          <w:szCs w:val="24"/>
        </w:rPr>
        <w:footnoteReference w:id="7"/>
      </w:r>
      <w:r w:rsidR="006B08FA" w:rsidRPr="00E277A0">
        <w:t>; wzywa Kosowo do podjęcia aktywnych starań, aby umożliwić dziennikarzom wykonywanie ich pracy oraz zapewnić mediom pełną wolność pozwalającą na niezależne działanie; podkreśla konieczność zaprzestania wszelkich form przemocy;</w:t>
      </w:r>
    </w:p>
    <w:p w14:paraId="09ED5379" w14:textId="77777777" w:rsidR="006B08FA" w:rsidRPr="00E277A0" w:rsidRDefault="00F32719" w:rsidP="006B08FA">
      <w:pPr>
        <w:pStyle w:val="NormalHanging12a"/>
      </w:pPr>
      <w:r>
        <w:t>38</w:t>
      </w:r>
      <w:r w:rsidR="006B08FA" w:rsidRPr="00E277A0">
        <w:t>.</w:t>
      </w:r>
      <w:r w:rsidR="006B08FA" w:rsidRPr="00E277A0">
        <w:tab/>
        <w:t>z zadowoleniem przyjmuje aktywne i konstruktywne społeczeństwo obywatelskie Kosowa, które odgrywa bardzo istotną i pozytywną rolę w procesie reform; zachęca rząd Kosowa do zacieśnienia współpracy ze społeczeństwem obywatelskim, w szczególności z organizacjami zajmującymi się prawami kobiet, w zakresie podejmowania decyzji oraz do częstszego angażowania rządowej rady ds. współpracy ze społeczeństwem obywatelskim, aby zbudować relacje oparte na współpracy i rzeczywiście włączyć społeczeństwo obywatelskie w przejrzysty proces legislacyjny już od pierwszych etapów; podkreśla znaczenie zwiększenia odpowiedzialności i przejrzystości w odniesieniu do finansowania publicznego organizacji społeczeństwa obywatelskiego; podkreśla, że społeczeństwo obywatelskie ma podstawowe znaczenie dla wspierania demokracji i pluralizmu oraz promowania dobrych rządów i postępu społecznego;</w:t>
      </w:r>
    </w:p>
    <w:p w14:paraId="70A7EFD8" w14:textId="77777777" w:rsidR="006B08FA" w:rsidRPr="00E277A0" w:rsidRDefault="00F32719" w:rsidP="006B08FA">
      <w:pPr>
        <w:pStyle w:val="NormalHanging12a"/>
      </w:pPr>
      <w:r>
        <w:t>39</w:t>
      </w:r>
      <w:r w:rsidR="006B08FA" w:rsidRPr="00E277A0">
        <w:t>.</w:t>
      </w:r>
      <w:r w:rsidR="006B08FA" w:rsidRPr="00E277A0">
        <w:tab/>
        <w:t>ubolewa nad brakiem jasnego planu zaangażowania kosowskich Serbów na północy oraz nad tym, że inicjatywy mające na celu włączenie społeczności serbskiej w struktury polityczne, społeczne i gospodarcze Kosowa są nadal bardzo ograniczone; ponownie apeluje o poprawę dialogu wewnętrznego i rzeczywistą, bezpośrednią współpracę z niezależnymi organizacjami społeczeństwa obywatelskiego kosowskich Serbów, w szczególności na północy kraju, w celu budowania zaufania, ułatwienia codziennego życia kosowskich Serbów i ich skutecznej integracji;</w:t>
      </w:r>
    </w:p>
    <w:p w14:paraId="75A915B8" w14:textId="77777777" w:rsidR="006B08FA" w:rsidRPr="00E277A0" w:rsidRDefault="006B08FA" w:rsidP="006B08FA">
      <w:pPr>
        <w:pStyle w:val="NormalHanging12a"/>
      </w:pPr>
      <w:r w:rsidRPr="00E277A0">
        <w:rPr>
          <w:b/>
          <w:i/>
        </w:rPr>
        <w:t>Pojednanie i stosunki dobrosąsiedzkie</w:t>
      </w:r>
    </w:p>
    <w:p w14:paraId="72B3358B" w14:textId="77777777" w:rsidR="006B08FA" w:rsidRPr="00E277A0" w:rsidRDefault="00F32719" w:rsidP="006B08FA">
      <w:pPr>
        <w:pStyle w:val="NormalHanging12a"/>
        <w:rPr>
          <w:szCs w:val="24"/>
        </w:rPr>
      </w:pPr>
      <w:r>
        <w:t>40</w:t>
      </w:r>
      <w:r w:rsidR="006B08FA" w:rsidRPr="00E277A0">
        <w:t>.</w:t>
      </w:r>
      <w:r w:rsidR="006B08FA" w:rsidRPr="00E277A0">
        <w:tab/>
        <w:t>pochwala zaangażowanie Kosowa w szereg inicjatyw współpracy regionalnej i zachęca władze Kosowa do wzmożenia wysiłków na rzecz pojednania i poszukiwania rozwiązań przeszłych sporów; wyraża uznanie dla Kosowa za konstruktywne podejście i aktywne zaangażowanie we współpracę regionalną i ułatwienia w handlu, które doprowadziły do odblokowania Środkowoeuropejskiej umowy o wolnym handlu;</w:t>
      </w:r>
    </w:p>
    <w:p w14:paraId="6019FF85" w14:textId="77777777" w:rsidR="006B08FA" w:rsidRPr="00E277A0" w:rsidRDefault="00F32719" w:rsidP="006B08FA">
      <w:pPr>
        <w:pStyle w:val="NormalHanging12a"/>
        <w:rPr>
          <w:szCs w:val="24"/>
        </w:rPr>
      </w:pPr>
      <w:r>
        <w:rPr>
          <w:color w:val="000000" w:themeColor="text1"/>
        </w:rPr>
        <w:t>41</w:t>
      </w:r>
      <w:r w:rsidR="006B08FA" w:rsidRPr="00E277A0">
        <w:rPr>
          <w:color w:val="000000" w:themeColor="text1"/>
        </w:rPr>
        <w:t>.</w:t>
      </w:r>
      <w:r w:rsidR="006B08FA" w:rsidRPr="00E277A0">
        <w:rPr>
          <w:color w:val="000000" w:themeColor="text1"/>
        </w:rPr>
        <w:tab/>
      </w:r>
      <w:r w:rsidR="006B08FA" w:rsidRPr="00E277A0">
        <w:t>wzywa Serbię do otwarcia wszystkich archiwów wojennych i zapewnienia dostępu do akt byłych jugosłowiańskich służb specjalnych (UDBA) i tajnych służby Jugosłowiańskiej Armii Ludowej (KOS), gwarantując ich zwrot odpowiednim rządom na ich wniosek; podkreśla potrzebę otwarcia tych archiwów w całym regionie, aby umożliwić zbadanie zbrodni z czasów komunizmu oraz wzmocnić demokrację, rozliczalność i instytucje na Bałkanach Zachodnich;</w:t>
      </w:r>
    </w:p>
    <w:p w14:paraId="606C6C0E" w14:textId="77777777" w:rsidR="006B08FA" w:rsidRPr="00E277A0" w:rsidRDefault="00F32719" w:rsidP="006B08FA">
      <w:pPr>
        <w:pStyle w:val="NormalHanging12a"/>
      </w:pPr>
      <w:r>
        <w:t>42</w:t>
      </w:r>
      <w:r w:rsidR="006B08FA" w:rsidRPr="00E277A0">
        <w:t>.</w:t>
      </w:r>
      <w:r w:rsidR="006B08FA" w:rsidRPr="00E277A0">
        <w:tab/>
        <w:t>ponownie wyraża pełne poparcie dla wspieranego przez UE dialogu i z zadowoleniem przyjmuje mianowanie Petera Sørensena na stanowisko specjalnego przedstawiciela UE ds. dialogu między Belgradem a Prisztiną;</w:t>
      </w:r>
    </w:p>
    <w:p w14:paraId="3A7A2DA7" w14:textId="77777777" w:rsidR="006B08FA" w:rsidRPr="00E277A0" w:rsidRDefault="00F32719" w:rsidP="006B08FA">
      <w:pPr>
        <w:pStyle w:val="NormalHanging12a"/>
      </w:pPr>
      <w:r>
        <w:t>43</w:t>
      </w:r>
      <w:r w:rsidR="006B08FA" w:rsidRPr="00E277A0">
        <w:t>.</w:t>
      </w:r>
      <w:r w:rsidR="006B08FA" w:rsidRPr="00E277A0">
        <w:tab/>
        <w:t xml:space="preserve">ponownie podkreśla, jak ważne jest, by władze Kosowa i Serbii konstruktywnie </w:t>
      </w:r>
      <w:r w:rsidR="006B08FA" w:rsidRPr="00E277A0">
        <w:lastRenderedPageBreak/>
        <w:t xml:space="preserve">zaangażowały się w osiągnięcie kompleksowego, prawnie wiążącego porozumienia w sprawie normalizacji stosunków w oparciu o wzajemne uznawanie i zgodnie z prawem międzynarodowym; wzywa zarówno Kosowo, jak i Serbię do wdrożenia porozumienia brukselskiego i umowy z Ochrydy, w tym do ustanowienia stowarzyszenia/wspólnoty gmin zamieszkanych w większości przez Serbów oraz zniesienia sprzeciwu Serbii wobec członkostwa Kosowa w organizacjach regionalnych i międzynarodowych, a także do unikania jednostronnych działań, które mogłyby zagrozić procesowi dialogu; </w:t>
      </w:r>
    </w:p>
    <w:p w14:paraId="7C362DF7" w14:textId="77777777" w:rsidR="006B08FA" w:rsidRPr="00E277A0" w:rsidRDefault="00F32719" w:rsidP="006B08FA">
      <w:pPr>
        <w:pStyle w:val="NormalHanging12a"/>
      </w:pPr>
      <w:r>
        <w:t>44</w:t>
      </w:r>
      <w:r w:rsidR="006B08FA" w:rsidRPr="00E277A0">
        <w:t>.</w:t>
      </w:r>
      <w:r w:rsidR="006B08FA" w:rsidRPr="00E277A0">
        <w:tab/>
        <w:t>oczekuje, że Kosowo i Serbia będą w pełni współpracować i podejmą wszelkie niezbędne środki, aby ująć sprawców ataku terrorystycznego w Banjskiej z 2023 r. i szybko postawić ich przed sądem; ubolewa, że Serbia nadal nie pociągnęła sprawców do odpowiedzialności, a zwłaszcza Milana Radoičicia, wiceprzewodniczącego Serbskiej Listy; przypomina, że sprawcy ataku terrorystycznego w Zubinie Potoku muszą również zostać bezzwłocznie pociągnięci do odpowiedzialności i postawieni przed sądem;</w:t>
      </w:r>
    </w:p>
    <w:p w14:paraId="458E55D1" w14:textId="77777777" w:rsidR="006B08FA" w:rsidRPr="00E277A0" w:rsidRDefault="00F32719" w:rsidP="006B08FA">
      <w:pPr>
        <w:pStyle w:val="NormalHanging12a"/>
        <w:rPr>
          <w:rFonts w:eastAsia="Calibri"/>
          <w:color w:val="000000" w:themeColor="text1"/>
          <w:szCs w:val="24"/>
        </w:rPr>
      </w:pPr>
      <w:r>
        <w:t>45</w:t>
      </w:r>
      <w:r w:rsidR="006B08FA" w:rsidRPr="00E277A0">
        <w:t>.</w:t>
      </w:r>
      <w:r w:rsidR="006B08FA" w:rsidRPr="00E277A0">
        <w:tab/>
        <w:t>wzywa wiceprzewodniczącą Komisji / wysoką przedstawicielkę Unii do spraw zagranicznych i polityki bezpieczeństwa oraz Komisję, by z większym zaangażowaniem wspierały dialog między Belgradem a Prisztiną; apeluje o zwiększenie roli Parlamentu Europejskiego w ułatwianiu tego dialogu poprzez regularne posiedzenia wspólnego zgromadzenia parlamentarnego;</w:t>
      </w:r>
    </w:p>
    <w:p w14:paraId="007EFAC9" w14:textId="77777777" w:rsidR="006B08FA" w:rsidRPr="00E277A0" w:rsidRDefault="00F32719" w:rsidP="006B08FA">
      <w:pPr>
        <w:pStyle w:val="NormalHanging12a"/>
      </w:pPr>
      <w:r>
        <w:t>46</w:t>
      </w:r>
      <w:r w:rsidR="006B08FA" w:rsidRPr="00E277A0">
        <w:t>.</w:t>
      </w:r>
      <w:r w:rsidR="006B08FA" w:rsidRPr="00E277A0">
        <w:tab/>
        <w:t>potępia wszelkie działania zagrażające stabilności i procesowi pojednania, w tym niedawne napięcia na północy Kosowa oraz prowokacje ze strony serbskich grup sponsorowanych przez państwo i nielegalnych ugrupowań zbrojnych, a także wzywa Unię Europejską do zajęcia bardziej zdecydowanego stanowiska wobec zewnętrznej ingerencji w wewnętrzne sprawy Kosowa; podkreśla, że obie strony muszą w pełni realizować wszystkie osiągnięte porozumienia i unikać jednostronnych działań, które mogłyby doprowadzić do eskalacji napięć; wzywa kosowską policję, by w pełni przestrzegała wszystkich wymogów dotyczących praworządności i praw człowieka oraz zagwarantowała rozmieszczenie na północy Kosowa wieloetnicznych sił policyjnych sprzyjających włączeniu społecznemu, zgodnie z wymogami prawnymi; przypomina o wspólnej odpowiedzialności wszystkich przedstawicieli politycznych i wszystkich społeczności Kosowa za utrzymanie pokoju, bezpieczeństwa i praworządności;</w:t>
      </w:r>
    </w:p>
    <w:p w14:paraId="2267ABEA" w14:textId="77777777" w:rsidR="006B08FA" w:rsidRPr="00E277A0" w:rsidRDefault="00F32719" w:rsidP="006B08FA">
      <w:pPr>
        <w:pStyle w:val="NormalHanging12a"/>
        <w:rPr>
          <w:szCs w:val="24"/>
        </w:rPr>
      </w:pPr>
      <w:r>
        <w:rPr>
          <w:color w:val="000000" w:themeColor="text1"/>
        </w:rPr>
        <w:t>47</w:t>
      </w:r>
      <w:r w:rsidR="006B08FA" w:rsidRPr="00E277A0">
        <w:rPr>
          <w:color w:val="000000" w:themeColor="text1"/>
        </w:rPr>
        <w:t>.</w:t>
      </w:r>
      <w:r w:rsidR="006B08FA" w:rsidRPr="00E277A0">
        <w:rPr>
          <w:color w:val="000000" w:themeColor="text1"/>
        </w:rPr>
        <w:tab/>
      </w:r>
      <w:r w:rsidR="006B08FA" w:rsidRPr="00E277A0">
        <w:t>z zadowoleniem przyjmuje utworzenie w grudniu 2024 r. wspólnej komisji ds. osób zaginionych i wzywa do szybkich postępów we wdrażaniu deklaracji politycznej z maja 2023 r. w sprawie osób zaginionych; wzywa zarówno Kosowo, jak i Serbię do powstrzymania się od upolitycznienia tej kwestii humanitarnej oraz do wzmożenia wysiłków na rzecz wdrożenia deklaracji w ramach dialogu między Belgradem a Prisztiną oraz do nawiązania współpracy między Kosowem a Serbią;</w:t>
      </w:r>
    </w:p>
    <w:p w14:paraId="7E3B0101" w14:textId="77777777" w:rsidR="006B08FA" w:rsidRPr="00E277A0" w:rsidRDefault="00F32719" w:rsidP="006B08FA">
      <w:pPr>
        <w:pStyle w:val="NormalHanging12a"/>
      </w:pPr>
      <w:r>
        <w:t>48</w:t>
      </w:r>
      <w:r w:rsidR="006B08FA" w:rsidRPr="00E277A0">
        <w:t>.</w:t>
      </w:r>
      <w:r w:rsidR="006B08FA" w:rsidRPr="00E277A0">
        <w:tab/>
        <w:t>z zadowoleniem przyjmuje niedawne porozumienia w ramach procesu berlińskiego;</w:t>
      </w:r>
    </w:p>
    <w:p w14:paraId="38A27644" w14:textId="77777777" w:rsidR="006B08FA" w:rsidRPr="00E277A0" w:rsidRDefault="00F32719" w:rsidP="006B08FA">
      <w:pPr>
        <w:pStyle w:val="NormalHanging12a"/>
      </w:pPr>
      <w:r>
        <w:t>49</w:t>
      </w:r>
      <w:r w:rsidR="006B08FA" w:rsidRPr="00E277A0">
        <w:t>.</w:t>
      </w:r>
      <w:r w:rsidR="006B08FA" w:rsidRPr="00E277A0">
        <w:tab/>
        <w:t>z zadowoleniem przyjmuje decyzję Kosowa o zniesieniu ograniczeń co do wprowadzania serbskich produktów gotowych na przejściu granicznym Merdare;</w:t>
      </w:r>
    </w:p>
    <w:p w14:paraId="4B9FEA57" w14:textId="77777777" w:rsidR="006B08FA" w:rsidRPr="00E277A0" w:rsidRDefault="00F32719" w:rsidP="006B08FA">
      <w:pPr>
        <w:pStyle w:val="NormalHanging12a"/>
      </w:pPr>
      <w:r>
        <w:t>50</w:t>
      </w:r>
      <w:r w:rsidR="006B08FA" w:rsidRPr="00E277A0">
        <w:t>.</w:t>
      </w:r>
      <w:r w:rsidR="006B08FA" w:rsidRPr="00E277A0">
        <w:tab/>
        <w:t>z zadowoleniem przyjmuje obecność międzynarodowych sił pokojowych Kosovo Force i ich rolę w budowaniu i utrzymywaniu bezpiecznego i zabezpieczonego środowiska oraz rozwoju stabilnego i pokojowego Kosowa na drodze do integracji euroatlantyckiej; przypomina o znaczeniu tej misji dla trwającego rozwoju kosowskich sił bezpieczeństwa dzięki doradztwu, szkoleniom oraz budowaniu zdolności;</w:t>
      </w:r>
    </w:p>
    <w:p w14:paraId="50EDEB10" w14:textId="77777777" w:rsidR="006B08FA" w:rsidRPr="00E277A0" w:rsidRDefault="006B08FA" w:rsidP="006B08FA">
      <w:pPr>
        <w:pStyle w:val="NormalHanging12a"/>
        <w:rPr>
          <w:b/>
          <w:i/>
        </w:rPr>
      </w:pPr>
      <w:r w:rsidRPr="00E277A0">
        <w:rPr>
          <w:b/>
          <w:i/>
        </w:rPr>
        <w:lastRenderedPageBreak/>
        <w:t>Reformy społeczno-gospodarcze</w:t>
      </w:r>
    </w:p>
    <w:p w14:paraId="525FAE63" w14:textId="77777777" w:rsidR="006B08FA" w:rsidRPr="00E277A0" w:rsidRDefault="00F32719" w:rsidP="006B08FA">
      <w:pPr>
        <w:pStyle w:val="NormalHanging12a"/>
      </w:pPr>
      <w:r>
        <w:t>51</w:t>
      </w:r>
      <w:r w:rsidR="006B08FA" w:rsidRPr="00E277A0">
        <w:t>.</w:t>
      </w:r>
      <w:r w:rsidR="006B08FA" w:rsidRPr="00E277A0">
        <w:tab/>
        <w:t>z zadowoleniem przyjmuje aktywne zaangażowanie Kosowa we wdrażanie nowego planu wzrostu gospodarczego dla Bałkanów Zachodnich, którego celem jest pogłębienie reform związanych z UE i zmniejszenie różnic społeczno-gospodarczych między państwami członkowskimi UE a krajami Bałkanów Zachodnich; wyraża zadowolenie z przyjęcia programu reform Kosowa i przypomina, że Kosowo (podobnie jak Serbia) musi wykazać większe zaangażowanie w dialog wspierany przez UE, aby uzyskać dostęp do zasobów;</w:t>
      </w:r>
    </w:p>
    <w:p w14:paraId="3BB1E32F" w14:textId="77777777" w:rsidR="006B08FA" w:rsidRPr="00E277A0" w:rsidRDefault="00F32719" w:rsidP="006B08FA">
      <w:pPr>
        <w:pStyle w:val="NormalHanging12a"/>
      </w:pPr>
      <w:r>
        <w:t>52</w:t>
      </w:r>
      <w:r w:rsidR="006B08FA" w:rsidRPr="00E277A0">
        <w:t>.</w:t>
      </w:r>
      <w:r w:rsidR="006B08FA" w:rsidRPr="00E277A0">
        <w:tab/>
        <w:t>z zadowoleniem przyjmuje postępy poczynione przez Kosowo w rozwijaniu funkcjonującej gospodarki rynkowej i zachęca Kosowo do wdrożenia niezbędnych reform strukturalnych, aby sprostać wyzwaniom fiskalnym, przy jednoczesnym zapewnieniu odpowiedniej ochrony pracy, sprawiedliwych płac i lepszych warunków pracy zgodnie ze prawem UE;</w:t>
      </w:r>
    </w:p>
    <w:p w14:paraId="32654609" w14:textId="77777777" w:rsidR="006B08FA" w:rsidRPr="00E277A0" w:rsidRDefault="00F32719" w:rsidP="006B08FA">
      <w:pPr>
        <w:pStyle w:val="NormalHanging12a"/>
      </w:pPr>
      <w:r>
        <w:t>53</w:t>
      </w:r>
      <w:r w:rsidR="006B08FA" w:rsidRPr="00E277A0">
        <w:t>.</w:t>
      </w:r>
      <w:r w:rsidR="006B08FA" w:rsidRPr="00E277A0">
        <w:tab/>
        <w:t>ponownie wzywa Komisję do opracowania strategii regionalnej, by zaradzić utrzymującemu się bezrobociu młodzieży i drenażowi mózgów przez rozwiązanie problemu niedopasowania umiejętności między systemem kształcenia a rynkiem pracy, poprawę jakości nauczania oraz zapewnienie odpowiedniego finansowania aktywnych instrumentów rynku pracy i programów szkoleń zawodowych, a także odpowiednich placówek opieki nad dziećmi i edukacji przedszkolnej;</w:t>
      </w:r>
    </w:p>
    <w:p w14:paraId="723C9771" w14:textId="77777777" w:rsidR="006B08FA" w:rsidRPr="00E277A0" w:rsidRDefault="00F32719" w:rsidP="006B08FA">
      <w:pPr>
        <w:pStyle w:val="NormalHanging12a"/>
      </w:pPr>
      <w:r>
        <w:t>54</w:t>
      </w:r>
      <w:r w:rsidR="006B08FA" w:rsidRPr="00E277A0">
        <w:t>.</w:t>
      </w:r>
      <w:r w:rsidR="006B08FA" w:rsidRPr="00E277A0">
        <w:tab/>
        <w:t>z zadowoleniem przyjmuje fakt, że przepisy Kosowa dotyczące cyberprzestępczości są zasadniczo zgodne z dorobkiem prawnym UE; odnotowuje ograniczone postępy Kosowa w transformacji cyfrowej usług publicznych; podkreśla potrzebę dostosowania się Kosowa do unijnego prawodawstwa cyfrowego oraz do potrzeb obywateli, w szczególności do Europejskiego kodeksu łączności elektronicznej, dyrektywy UE w sprawie bezpieczeństwa sieci i informacji (NIS 2)</w:t>
      </w:r>
      <w:r w:rsidR="006B08FA" w:rsidRPr="00E277A0">
        <w:rPr>
          <w:rStyle w:val="FootnoteReference"/>
        </w:rPr>
        <w:footnoteReference w:id="8"/>
      </w:r>
      <w:r w:rsidR="006B08FA" w:rsidRPr="00E277A0">
        <w:t>, unijnego zestawu narzędzi na potrzeby cyberbezpieczeństwa sieci 5G oraz aktu o usługach cyfrowych</w:t>
      </w:r>
      <w:r w:rsidR="006B08FA" w:rsidRPr="00E277A0">
        <w:rPr>
          <w:rStyle w:val="FootnoteReference"/>
        </w:rPr>
        <w:footnoteReference w:id="9"/>
      </w:r>
      <w:r w:rsidR="006B08FA" w:rsidRPr="00E277A0">
        <w:t xml:space="preserve"> i aktu o rynkach cyfrowych</w:t>
      </w:r>
      <w:r w:rsidR="006B08FA" w:rsidRPr="00E277A0">
        <w:rPr>
          <w:rStyle w:val="FootnoteReference"/>
        </w:rPr>
        <w:footnoteReference w:id="10"/>
      </w:r>
      <w:r w:rsidR="006B08FA" w:rsidRPr="00E277A0">
        <w:t>; odnotowuje, że gospodarka Kosowa pozostaje w dużym stopniu zależna od przywozu i podkreśla potrzebę dywersyfikacji gospodarczej w celu zwiększenia konkurencyjności i zrównoważonego rozwoju, zwłaszcza w kontekście głębszej integracji z rynkami UE;</w:t>
      </w:r>
    </w:p>
    <w:p w14:paraId="198AB188" w14:textId="77777777" w:rsidR="006B08FA" w:rsidRPr="00E277A0" w:rsidRDefault="00F32719" w:rsidP="006B08FA">
      <w:pPr>
        <w:pStyle w:val="NormalHanging12a"/>
      </w:pPr>
      <w:r>
        <w:t>55</w:t>
      </w:r>
      <w:r w:rsidR="006B08FA" w:rsidRPr="00E277A0">
        <w:t>.</w:t>
      </w:r>
      <w:r w:rsidR="006B08FA" w:rsidRPr="00E277A0">
        <w:tab/>
        <w:t xml:space="preserve">ubolewa, że projekt ustawy o podręcznikach, przedstawiony w 2022 r., nadal nie został ostatecznie przyjęty przez Zgromadzenie Kosowa; wzywa Kosowo do sfinalizowania wdrażania nowych ram programowych dla kształcenia podstawowego, zakończenia </w:t>
      </w:r>
      <w:r w:rsidR="006B08FA" w:rsidRPr="00E277A0">
        <w:lastRenderedPageBreak/>
        <w:t>przeglądu obecnych podręczników, zapewnienia nauczycielom trwałych szkoleń oraz systematycznego stosowania mechanizmów zapewniania jakości na wszystkich poziomach kształcenia;</w:t>
      </w:r>
    </w:p>
    <w:p w14:paraId="78C95C09" w14:textId="77777777" w:rsidR="006B08FA" w:rsidRPr="00E277A0" w:rsidRDefault="00F32719" w:rsidP="006B08FA">
      <w:pPr>
        <w:pStyle w:val="NormalHanging12a"/>
        <w:rPr>
          <w:rFonts w:eastAsia="Calibri"/>
          <w:color w:val="000000" w:themeColor="text1"/>
          <w:szCs w:val="24"/>
        </w:rPr>
      </w:pPr>
      <w:r>
        <w:t>56</w:t>
      </w:r>
      <w:r w:rsidR="006B08FA" w:rsidRPr="00E277A0">
        <w:t>.</w:t>
      </w:r>
      <w:r w:rsidR="006B08FA" w:rsidRPr="00E277A0">
        <w:tab/>
        <w:t>wzywa Kosowo do zapewnienia lepszego dostępu do wysokiej jakości usług opieki zdrowotnej; zauważa, że wydatki na opiekę zdrowotną utrzymują się na drugim najniższym poziomie w regionie, i wzywa do kompleksowej reformy opieki zdrowotnej, aby zaspokoić potrzeby wszystkich obywateli, zwłaszcza na obszarach wiejskich i obszarach o niedostatecznym zasięgu usług;</w:t>
      </w:r>
    </w:p>
    <w:p w14:paraId="5FDCB6DC" w14:textId="77777777" w:rsidR="006B08FA" w:rsidRPr="00E277A0" w:rsidRDefault="00F32719" w:rsidP="006B08FA">
      <w:pPr>
        <w:pStyle w:val="NormalHanging12a"/>
      </w:pPr>
      <w:r>
        <w:t>57</w:t>
      </w:r>
      <w:r w:rsidR="006B08FA" w:rsidRPr="00E277A0">
        <w:t>.</w:t>
      </w:r>
      <w:r w:rsidR="006B08FA" w:rsidRPr="00E277A0">
        <w:tab/>
        <w:t>zauważa z zaniepokojeniem, że dostęp do usług społecznych, szczególnie dla wrażliwych grup osób, pogorszył się wraz z zamknięciem przez rząd Ministerstwa Pracy i Opieki Społecznej, co odbyło się bez przejrzystych konsultacji ze społeczeństwem obywatelskim i innymi zainteresowanymi stronami oraz przyczyniło się do znacznych zakłóceń; wzywa do lepszego, opartego na dowodach budżetowania w celu poprawy usług społecznych, w szczególności dla osób, które doświadczyły przemocy ze względu na płeć, zgodnie z nowymi ramami prawnymi;</w:t>
      </w:r>
    </w:p>
    <w:p w14:paraId="315FFDD9" w14:textId="77777777" w:rsidR="006B08FA" w:rsidRPr="00E277A0" w:rsidRDefault="00F32719" w:rsidP="006B08FA">
      <w:pPr>
        <w:pStyle w:val="NormalHanging12a"/>
      </w:pPr>
      <w:r>
        <w:t>58</w:t>
      </w:r>
      <w:r w:rsidR="006B08FA" w:rsidRPr="00E277A0">
        <w:t>.</w:t>
      </w:r>
      <w:r w:rsidR="006B08FA" w:rsidRPr="00E277A0">
        <w:tab/>
        <w:t>wzywa Kosowo do zapewnienia równej i niedyskryminującej edukacji państwowej w językach mniejszości;</w:t>
      </w:r>
    </w:p>
    <w:p w14:paraId="4A9A4533" w14:textId="77777777" w:rsidR="006B08FA" w:rsidRPr="00E277A0" w:rsidRDefault="00F32719" w:rsidP="006B08FA">
      <w:pPr>
        <w:pStyle w:val="NormalHanging12a"/>
      </w:pPr>
      <w:r>
        <w:t>59</w:t>
      </w:r>
      <w:r w:rsidR="006B08FA" w:rsidRPr="00E277A0">
        <w:t>.</w:t>
      </w:r>
      <w:r w:rsidR="006B08FA" w:rsidRPr="00E277A0">
        <w:tab/>
        <w:t>przypomina o konieczności dotarcia do młodych ludzi z gmin zamieszkiwanych w większości przez Serbów i włączenia ich w struktury społeczno-gospodarcze kraju;</w:t>
      </w:r>
    </w:p>
    <w:p w14:paraId="1B5D876D" w14:textId="77777777" w:rsidR="006B08FA" w:rsidRPr="00E277A0" w:rsidRDefault="006B08FA" w:rsidP="006B08FA">
      <w:pPr>
        <w:pStyle w:val="NormalHanging12a"/>
      </w:pPr>
      <w:r w:rsidRPr="00E277A0">
        <w:rPr>
          <w:b/>
          <w:i/>
        </w:rPr>
        <w:t>Energia, środowisko, zrównoważony rozwój i łączność</w:t>
      </w:r>
    </w:p>
    <w:p w14:paraId="6E212887" w14:textId="77777777" w:rsidR="006B08FA" w:rsidRPr="00E277A0" w:rsidRDefault="00F32719" w:rsidP="006B08FA">
      <w:pPr>
        <w:pStyle w:val="NormalHanging12a"/>
        <w:rPr>
          <w:szCs w:val="24"/>
        </w:rPr>
      </w:pPr>
      <w:r>
        <w:t>60</w:t>
      </w:r>
      <w:r w:rsidR="006B08FA" w:rsidRPr="00E277A0">
        <w:t>.</w:t>
      </w:r>
      <w:r w:rsidR="006B08FA" w:rsidRPr="00E277A0">
        <w:tab/>
        <w:t>zauważa, że Kosowo poczyniło pewne postępy w zakresie bezpieczeństwa dostaw energii, ale nadal jest w dużym stopniu uzależnione od przestarzałych, wysoce zanieczyszczających elektrowni, co stwarza poważne zagrożenia dla zdrowia i środowiska; zauważa, że aby osiągnąć ambitne cele i zmniejszyć zależność od paliw kopalnych, Kosowo musi zapewnić terminową realizację programu energetycznego na lata 2022–2025; wzywa UE do zintensyfikowania i priorytetowego potraktowania wysiłków na rzecz pomocy Kosowu w przezwyciężeniu problemów związanych z zanieczyszczeniem powietrza;</w:t>
      </w:r>
      <w:r w:rsidR="006B08FA" w:rsidRPr="00E277A0">
        <w:rPr>
          <w:b/>
        </w:rPr>
        <w:t xml:space="preserve"> </w:t>
      </w:r>
      <w:r w:rsidR="006B08FA" w:rsidRPr="00E277A0">
        <w:t>z zadowoleniem przyjmuje fakt, że nowa strategia energetyczna Kosowa nie promuje budowy elektrowni wodnych ze względu na ich szkodliwy wpływ na środowisko, w szczególności biorąc pod uwagę niedobór wody w kraju;</w:t>
      </w:r>
    </w:p>
    <w:p w14:paraId="091CAB46" w14:textId="77777777" w:rsidR="006B08FA" w:rsidRPr="00E277A0" w:rsidRDefault="00F32719" w:rsidP="006B08FA">
      <w:pPr>
        <w:pStyle w:val="NormalHanging12a"/>
      </w:pPr>
      <w:r>
        <w:t>61</w:t>
      </w:r>
      <w:r w:rsidR="006B08FA" w:rsidRPr="00E277A0">
        <w:t>.</w:t>
      </w:r>
      <w:r w:rsidR="006B08FA" w:rsidRPr="00E277A0">
        <w:tab/>
        <w:t>podkreśla potrzebę kompleksowego rozwoju infrastruktury w Kosowie, aby ułatwić redukcję emisji z transportu publicznego i rozwój transportu zelektryfikowanego; podkreśla, że priorytetem musi pozostać poprawa dostępności i zapewnienie zgodności z siecią transportową UE;</w:t>
      </w:r>
    </w:p>
    <w:p w14:paraId="2BE34305" w14:textId="77777777" w:rsidR="006B08FA" w:rsidRPr="00E277A0" w:rsidRDefault="00F32719" w:rsidP="006B08FA">
      <w:pPr>
        <w:pStyle w:val="NormalHanging12a"/>
      </w:pPr>
      <w:r>
        <w:t>62</w:t>
      </w:r>
      <w:r w:rsidR="006B08FA" w:rsidRPr="00E277A0">
        <w:t>.</w:t>
      </w:r>
      <w:r w:rsidR="006B08FA" w:rsidRPr="00E277A0">
        <w:tab/>
        <w:t>z zadowoleniem przyjmuje porozumienie w sprawie obniżenia kosztów roamingu, osiągnięte na szczycie w Tiranie; w tym kontekście wzywa władze, podmioty prywatne i wszystkie zainteresowane strony, aby ułatwiły osiągnięcie uzgodnionych celów, co pozwoli na znaczne obniżenie opłat roamingowych za transfer danych między Bałkanami Zachodnimi a UE i kolejne obniżki umożliwiające osiągnięcie do 2027 r. cen zbliżonych do cen krajowych; z zadowoleniem przyjmuje wejście w życie pierwszego etapu wdrażania planu działania dotyczącego roamingu między Bałkanami Zachodnimi a UE;</w:t>
      </w:r>
    </w:p>
    <w:p w14:paraId="488EDF32" w14:textId="77777777" w:rsidR="006B08FA" w:rsidRPr="00E277A0" w:rsidRDefault="00F32719" w:rsidP="006B08FA">
      <w:pPr>
        <w:pStyle w:val="NormalHanging12a"/>
        <w:rPr>
          <w:szCs w:val="24"/>
        </w:rPr>
      </w:pPr>
      <w:r>
        <w:lastRenderedPageBreak/>
        <w:t>63</w:t>
      </w:r>
      <w:r w:rsidR="006B08FA" w:rsidRPr="00E277A0">
        <w:t>.</w:t>
      </w:r>
      <w:r w:rsidR="006B08FA" w:rsidRPr="00E277A0">
        <w:tab/>
        <w:t>wzywa Kosowo, aby w większym stopniu przestrzegało pułapów emisji, lepiej uwzględniało kwestie środowiskowe w politykach sektorowych oraz przyjęło niezbędne środki w zakresie kontroli zanieczyszczeń, skażenia gleby i wody oraz gospodarowania odpadami, zgodnie z normami i zobowiązaniami unijnymi i międzynarodowymi; wzywa Kosowo do poprawy kompleksowych ocen oddziaływania na środowisko oraz do włączenia środków zrównoważonego rozwoju do planowania infrastruktury; wzywa Kosowo do zwiększenia liczby obszarów chronionych w kraju oraz do ulepszenia instrumentów i środków ich ochrony w celu zachowania różnorodności biologicznej, w tym kluczowych siedlisk krytycznie zagrożonego rysia bałkańskiego; zachęca Kosowo do zintensyfikowania i przyspieszenia wspólnych działań z krajami sąsiadującymi, aby wyznaczyć transgraniczne obszary chronione i ustanowić spójne transgraniczne plany zarządzania.</w:t>
      </w:r>
    </w:p>
    <w:p w14:paraId="2C156CD6" w14:textId="77777777" w:rsidR="006B08FA" w:rsidRPr="00E277A0" w:rsidRDefault="006B08FA" w:rsidP="006B08FA">
      <w:pPr>
        <w:pStyle w:val="NormalHanging12a"/>
        <w:jc w:val="center"/>
      </w:pPr>
      <w:r w:rsidRPr="00E277A0">
        <w:t>°</w:t>
      </w:r>
    </w:p>
    <w:p w14:paraId="4CFD2841" w14:textId="77777777" w:rsidR="006B08FA" w:rsidRPr="00E277A0" w:rsidRDefault="006B08FA" w:rsidP="006B08FA">
      <w:pPr>
        <w:pStyle w:val="NormalHanging12a"/>
        <w:jc w:val="center"/>
      </w:pPr>
      <w:r w:rsidRPr="00E277A0">
        <w:t>°</w:t>
      </w:r>
      <w:r w:rsidRPr="00E277A0">
        <w:tab/>
        <w:t>°</w:t>
      </w:r>
    </w:p>
    <w:p w14:paraId="26FE2FA3" w14:textId="77777777" w:rsidR="00E277A0" w:rsidRPr="00E277A0" w:rsidRDefault="00F32719" w:rsidP="00E277A0">
      <w:pPr>
        <w:pStyle w:val="NormalHanging12a"/>
      </w:pPr>
      <w:r>
        <w:t>64</w:t>
      </w:r>
      <w:r w:rsidR="006B08FA" w:rsidRPr="00E277A0">
        <w:t>.</w:t>
      </w:r>
      <w:r w:rsidR="006B08FA" w:rsidRPr="00E277A0">
        <w:tab/>
        <w:t>zobowiązuje swoją przewodniczącą do przekazania niniejszej rezolucji przewodniczącemu Rady Europejskiej, Komisji, wiceprzewodniczącej Komisji / wysokiej przedstawicielce Unii do spraw zagranicznych i polityki bezpieczeństwa, rządom i parlamentom państw członkowskich oraz prezydentce, rządowi i Zgromadzeniu Narodowemu Kosowa.</w:t>
      </w:r>
    </w:p>
    <w:p w14:paraId="00765AE2" w14:textId="77777777" w:rsidR="00E365E1" w:rsidRPr="00E277A0" w:rsidRDefault="00E365E1" w:rsidP="004F6B29"/>
    <w:sectPr w:rsidR="00E365E1" w:rsidRPr="00E277A0" w:rsidSect="00E277A0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E18BFC" w14:textId="77777777" w:rsidR="004F6B29" w:rsidRPr="00E277A0" w:rsidRDefault="004F6B29">
      <w:r w:rsidRPr="00E277A0">
        <w:separator/>
      </w:r>
    </w:p>
  </w:endnote>
  <w:endnote w:type="continuationSeparator" w:id="0">
    <w:p w14:paraId="5F10DF21" w14:textId="77777777" w:rsidR="004F6B29" w:rsidRPr="00E277A0" w:rsidRDefault="004F6B29">
      <w:r w:rsidRPr="00E277A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908367" w14:textId="77777777" w:rsidR="004F6B29" w:rsidRPr="00E277A0" w:rsidRDefault="004F6B29">
      <w:r w:rsidRPr="00E277A0">
        <w:separator/>
      </w:r>
    </w:p>
  </w:footnote>
  <w:footnote w:type="continuationSeparator" w:id="0">
    <w:p w14:paraId="14536457" w14:textId="77777777" w:rsidR="004F6B29" w:rsidRPr="00E277A0" w:rsidRDefault="004F6B29">
      <w:r w:rsidRPr="00E277A0">
        <w:continuationSeparator/>
      </w:r>
    </w:p>
  </w:footnote>
  <w:footnote w:id="1">
    <w:p w14:paraId="7CD0E055" w14:textId="77777777" w:rsidR="006B08FA" w:rsidRPr="00E277A0" w:rsidRDefault="006B08FA" w:rsidP="00E277A0">
      <w:pPr>
        <w:pStyle w:val="FootnoteText"/>
        <w:ind w:left="567" w:hanging="567"/>
        <w:rPr>
          <w:color w:val="0000FF"/>
          <w:sz w:val="24"/>
          <w:u w:val="single" w:color="0000FF"/>
          <w:lang w:val="pl-PL"/>
        </w:rPr>
      </w:pPr>
      <w:r w:rsidRPr="00E277A0">
        <w:rPr>
          <w:rStyle w:val="FootnoteReference"/>
          <w:sz w:val="24"/>
          <w:lang w:val="pl-PL"/>
        </w:rPr>
        <w:footnoteRef/>
      </w:r>
      <w:r w:rsidR="00E277A0" w:rsidRPr="00E277A0">
        <w:rPr>
          <w:sz w:val="24"/>
          <w:lang w:val="pl-PL"/>
        </w:rPr>
        <w:t xml:space="preserve"> </w:t>
      </w:r>
      <w:r w:rsidR="00E277A0" w:rsidRPr="00E277A0">
        <w:rPr>
          <w:sz w:val="24"/>
          <w:lang w:val="pl-PL"/>
        </w:rPr>
        <w:tab/>
      </w:r>
      <w:r w:rsidRPr="00E277A0">
        <w:rPr>
          <w:sz w:val="24"/>
          <w:lang w:val="pl-PL"/>
        </w:rPr>
        <w:t xml:space="preserve">Dz.U. L 71 z 16.3.2016, s. 3, ELI: </w:t>
      </w:r>
      <w:hyperlink r:id="rId1" w:history="1">
        <w:r w:rsidRPr="00E277A0">
          <w:rPr>
            <w:rStyle w:val="Hyperlink"/>
            <w:sz w:val="24"/>
            <w:lang w:val="pl-PL"/>
          </w:rPr>
          <w:t>http://data.europa.eu/eli/agree_internation/2016/342/oj</w:t>
        </w:r>
      </w:hyperlink>
      <w:r w:rsidRPr="00E277A0">
        <w:rPr>
          <w:sz w:val="24"/>
          <w:lang w:val="pl-PL"/>
        </w:rPr>
        <w:t>.</w:t>
      </w:r>
    </w:p>
  </w:footnote>
  <w:footnote w:id="2">
    <w:p w14:paraId="743B0CAB" w14:textId="77777777" w:rsidR="006B08FA" w:rsidRPr="00E277A0" w:rsidRDefault="006B08FA" w:rsidP="00E277A0">
      <w:pPr>
        <w:pStyle w:val="FootnoteText"/>
        <w:ind w:left="567" w:hanging="567"/>
        <w:rPr>
          <w:color w:val="0000FF"/>
          <w:sz w:val="24"/>
          <w:u w:val="single" w:color="0000FF"/>
          <w:lang w:val="pl-PL"/>
        </w:rPr>
      </w:pPr>
      <w:r w:rsidRPr="00E277A0">
        <w:rPr>
          <w:rStyle w:val="FootnoteReference"/>
          <w:sz w:val="24"/>
          <w:lang w:val="pl-PL"/>
        </w:rPr>
        <w:footnoteRef/>
      </w:r>
      <w:r w:rsidR="00E277A0" w:rsidRPr="00E277A0">
        <w:rPr>
          <w:sz w:val="24"/>
          <w:lang w:val="pl-PL"/>
        </w:rPr>
        <w:t xml:space="preserve"> </w:t>
      </w:r>
      <w:r w:rsidR="00E277A0" w:rsidRPr="00E277A0">
        <w:rPr>
          <w:sz w:val="24"/>
          <w:lang w:val="pl-PL"/>
        </w:rPr>
        <w:tab/>
      </w:r>
      <w:r w:rsidRPr="00E277A0">
        <w:rPr>
          <w:sz w:val="24"/>
          <w:lang w:val="pl-PL"/>
        </w:rPr>
        <w:t xml:space="preserve">Dz.U. L 195 z 27.7.2017, s. 3, ELI: </w:t>
      </w:r>
      <w:hyperlink r:id="rId2" w:history="1">
        <w:r w:rsidRPr="00E277A0">
          <w:rPr>
            <w:rStyle w:val="Hyperlink"/>
            <w:sz w:val="24"/>
            <w:lang w:val="pl-PL"/>
          </w:rPr>
          <w:t>http://data.europa.eu/eli/agree_internation/2017/1388/oj</w:t>
        </w:r>
      </w:hyperlink>
      <w:r w:rsidRPr="00E277A0">
        <w:rPr>
          <w:sz w:val="24"/>
          <w:lang w:val="pl-PL"/>
        </w:rPr>
        <w:t>.</w:t>
      </w:r>
    </w:p>
  </w:footnote>
  <w:footnote w:id="3">
    <w:p w14:paraId="1861FCA0" w14:textId="77777777" w:rsidR="006B08FA" w:rsidRPr="00E277A0" w:rsidRDefault="006B08FA" w:rsidP="00E277A0">
      <w:pPr>
        <w:pStyle w:val="FootnoteText"/>
        <w:ind w:left="567" w:hanging="567"/>
        <w:rPr>
          <w:color w:val="0000FF"/>
          <w:sz w:val="24"/>
          <w:u w:val="single" w:color="0000FF"/>
          <w:lang w:val="pl-PL"/>
        </w:rPr>
      </w:pPr>
      <w:r w:rsidRPr="00E277A0">
        <w:rPr>
          <w:rStyle w:val="FootnoteReference"/>
          <w:sz w:val="24"/>
          <w:lang w:val="pl-PL"/>
        </w:rPr>
        <w:footnoteRef/>
      </w:r>
      <w:r w:rsidR="00E277A0" w:rsidRPr="00E277A0">
        <w:rPr>
          <w:sz w:val="24"/>
          <w:lang w:val="pl-PL"/>
        </w:rPr>
        <w:t xml:space="preserve"> </w:t>
      </w:r>
      <w:r w:rsidR="00E277A0" w:rsidRPr="00E277A0">
        <w:rPr>
          <w:sz w:val="24"/>
          <w:lang w:val="pl-PL"/>
        </w:rPr>
        <w:tab/>
      </w:r>
      <w:r w:rsidRPr="00E277A0">
        <w:rPr>
          <w:sz w:val="24"/>
          <w:lang w:val="pl-PL"/>
        </w:rPr>
        <w:t xml:space="preserve">Dz.U. L 330 z 20.9.2021, s. 1, ELI: </w:t>
      </w:r>
      <w:hyperlink r:id="rId3" w:history="1">
        <w:r w:rsidRPr="00E277A0">
          <w:rPr>
            <w:rStyle w:val="Hyperlink"/>
            <w:sz w:val="24"/>
            <w:lang w:val="pl-PL"/>
          </w:rPr>
          <w:t>http://data.europa.eu/eli/reg/2021/1529/oj</w:t>
        </w:r>
      </w:hyperlink>
      <w:r w:rsidRPr="00E277A0">
        <w:rPr>
          <w:sz w:val="24"/>
          <w:lang w:val="pl-PL"/>
        </w:rPr>
        <w:t>.</w:t>
      </w:r>
    </w:p>
  </w:footnote>
  <w:footnote w:id="4">
    <w:p w14:paraId="02254D63" w14:textId="77777777" w:rsidR="006B08FA" w:rsidRPr="00E277A0" w:rsidRDefault="006B08FA" w:rsidP="00E277A0">
      <w:pPr>
        <w:pStyle w:val="FootnoteText"/>
        <w:ind w:left="567" w:hanging="567"/>
        <w:rPr>
          <w:sz w:val="24"/>
          <w:lang w:val="pl-PL"/>
        </w:rPr>
      </w:pPr>
      <w:r w:rsidRPr="00E277A0">
        <w:rPr>
          <w:rStyle w:val="FootnoteReference"/>
          <w:sz w:val="24"/>
          <w:lang w:val="pl-PL"/>
        </w:rPr>
        <w:footnoteRef/>
      </w:r>
      <w:r w:rsidR="00E277A0" w:rsidRPr="00E277A0">
        <w:rPr>
          <w:sz w:val="24"/>
          <w:lang w:val="pl-PL"/>
        </w:rPr>
        <w:t xml:space="preserve"> </w:t>
      </w:r>
      <w:r w:rsidR="00E277A0" w:rsidRPr="00E277A0">
        <w:rPr>
          <w:sz w:val="24"/>
          <w:lang w:val="pl-PL"/>
        </w:rPr>
        <w:tab/>
      </w:r>
      <w:r w:rsidRPr="00E277A0">
        <w:rPr>
          <w:sz w:val="24"/>
          <w:lang w:val="pl-PL"/>
        </w:rPr>
        <w:t xml:space="preserve">Dz.U. L, 2024/1449, 24.5.2024, </w:t>
      </w:r>
      <w:r w:rsidRPr="00E277A0">
        <w:rPr>
          <w:color w:val="333333"/>
          <w:sz w:val="24"/>
          <w:shd w:val="clear" w:color="auto" w:fill="FFFFFF"/>
          <w:lang w:val="pl-PL"/>
        </w:rPr>
        <w:t>ELI: </w:t>
      </w:r>
      <w:hyperlink r:id="rId4" w:tooltip="Dostęp do tego dokumentu za pośrednictwem jego ELI URI." w:history="1">
        <w:r w:rsidRPr="00E277A0">
          <w:rPr>
            <w:color w:val="337AB7"/>
            <w:sz w:val="24"/>
            <w:u w:val="single"/>
            <w:shd w:val="clear" w:color="auto" w:fill="FFFFFF"/>
            <w:lang w:val="pl-PL"/>
          </w:rPr>
          <w:t>http://data.europa.eu/eli/reg/2024/1449/oj</w:t>
        </w:r>
      </w:hyperlink>
      <w:r w:rsidRPr="00E277A0">
        <w:rPr>
          <w:sz w:val="24"/>
          <w:lang w:val="pl-PL"/>
        </w:rPr>
        <w:t>.</w:t>
      </w:r>
    </w:p>
  </w:footnote>
  <w:footnote w:id="5">
    <w:p w14:paraId="6C167879" w14:textId="77777777" w:rsidR="006B08FA" w:rsidRPr="00E277A0" w:rsidRDefault="006B08FA" w:rsidP="00E277A0">
      <w:pPr>
        <w:pStyle w:val="FootnoteText"/>
        <w:ind w:left="567" w:hanging="567"/>
        <w:rPr>
          <w:sz w:val="24"/>
          <w:lang w:val="pl-PL"/>
        </w:rPr>
      </w:pPr>
      <w:r w:rsidRPr="00E277A0">
        <w:rPr>
          <w:rStyle w:val="FootnoteReference"/>
          <w:sz w:val="24"/>
          <w:lang w:val="pl-PL"/>
        </w:rPr>
        <w:footnoteRef/>
      </w:r>
      <w:r w:rsidR="00E277A0" w:rsidRPr="00E277A0">
        <w:rPr>
          <w:sz w:val="24"/>
          <w:lang w:val="pl-PL"/>
        </w:rPr>
        <w:t xml:space="preserve"> </w:t>
      </w:r>
      <w:r w:rsidR="00E277A0" w:rsidRPr="00E277A0">
        <w:rPr>
          <w:sz w:val="24"/>
          <w:lang w:val="pl-PL"/>
        </w:rPr>
        <w:tab/>
      </w:r>
      <w:r w:rsidRPr="00E277A0">
        <w:rPr>
          <w:sz w:val="24"/>
          <w:lang w:val="pl-PL"/>
        </w:rPr>
        <w:t xml:space="preserve">Dz.U. L 146 z 6.6.2023, s. 22, ELI: </w:t>
      </w:r>
      <w:hyperlink r:id="rId5" w:history="1">
        <w:r w:rsidRPr="00E277A0">
          <w:rPr>
            <w:rStyle w:val="Hyperlink"/>
            <w:sz w:val="24"/>
            <w:lang w:val="pl-PL"/>
          </w:rPr>
          <w:t>http://data.europa.eu/eli/dec/2023/1095/oj</w:t>
        </w:r>
      </w:hyperlink>
      <w:r w:rsidRPr="00E277A0">
        <w:rPr>
          <w:rStyle w:val="Hyperlink"/>
          <w:sz w:val="24"/>
          <w:lang w:val="pl-PL"/>
        </w:rPr>
        <w:t>.</w:t>
      </w:r>
    </w:p>
  </w:footnote>
  <w:footnote w:id="6">
    <w:p w14:paraId="3518ABED" w14:textId="77777777" w:rsidR="006B08FA" w:rsidRPr="00E277A0" w:rsidRDefault="006B08FA" w:rsidP="00E277A0">
      <w:pPr>
        <w:pStyle w:val="FootnoteText"/>
        <w:ind w:left="567" w:hanging="567"/>
        <w:rPr>
          <w:sz w:val="24"/>
          <w:lang w:val="pl-PL"/>
        </w:rPr>
      </w:pPr>
      <w:r w:rsidRPr="00E277A0">
        <w:rPr>
          <w:rStyle w:val="FootnoteReference"/>
          <w:sz w:val="24"/>
          <w:lang w:val="pl-PL"/>
        </w:rPr>
        <w:footnoteRef/>
      </w:r>
      <w:r w:rsidR="00E277A0" w:rsidRPr="00E277A0">
        <w:rPr>
          <w:sz w:val="24"/>
          <w:lang w:val="pl-PL"/>
        </w:rPr>
        <w:t xml:space="preserve"> </w:t>
      </w:r>
      <w:r w:rsidR="00E277A0" w:rsidRPr="00E277A0">
        <w:rPr>
          <w:sz w:val="24"/>
          <w:lang w:val="pl-PL"/>
        </w:rPr>
        <w:tab/>
      </w:r>
      <w:r w:rsidRPr="00E277A0">
        <w:rPr>
          <w:sz w:val="24"/>
          <w:lang w:val="pl-PL"/>
        </w:rPr>
        <w:t xml:space="preserve">Dz.U. L 110 z 25.4.2023, s. 1, ELI: </w:t>
      </w:r>
      <w:hyperlink r:id="rId6" w:history="1">
        <w:r w:rsidRPr="00E277A0">
          <w:rPr>
            <w:rStyle w:val="Hyperlink"/>
            <w:sz w:val="24"/>
            <w:lang w:val="pl-PL"/>
          </w:rPr>
          <w:t>http://data.europa.eu/eli/reg/2023/850/oj</w:t>
        </w:r>
      </w:hyperlink>
      <w:r w:rsidRPr="00E277A0">
        <w:rPr>
          <w:sz w:val="24"/>
          <w:lang w:val="pl-PL"/>
        </w:rPr>
        <w:t>.</w:t>
      </w:r>
    </w:p>
  </w:footnote>
  <w:footnote w:id="7">
    <w:p w14:paraId="0E887825" w14:textId="77777777" w:rsidR="006B08FA" w:rsidRPr="00E277A0" w:rsidRDefault="006B08FA" w:rsidP="00E277A0">
      <w:pPr>
        <w:pStyle w:val="FootnoteText"/>
        <w:ind w:left="567" w:hanging="567"/>
        <w:rPr>
          <w:sz w:val="24"/>
          <w:lang w:val="pl-PL"/>
        </w:rPr>
      </w:pPr>
      <w:r w:rsidRPr="00E277A0">
        <w:rPr>
          <w:rStyle w:val="FootnoteReference"/>
          <w:sz w:val="24"/>
          <w:lang w:val="pl-PL"/>
        </w:rPr>
        <w:footnoteRef/>
      </w:r>
      <w:r w:rsidR="00E277A0" w:rsidRPr="00E277A0">
        <w:rPr>
          <w:sz w:val="24"/>
          <w:lang w:val="pl-PL"/>
        </w:rPr>
        <w:t xml:space="preserve"> </w:t>
      </w:r>
      <w:r w:rsidR="00E277A0" w:rsidRPr="00E277A0">
        <w:rPr>
          <w:sz w:val="24"/>
          <w:lang w:val="pl-PL"/>
        </w:rPr>
        <w:tab/>
      </w:r>
      <w:r w:rsidRPr="00E277A0">
        <w:rPr>
          <w:sz w:val="24"/>
          <w:lang w:val="pl-PL"/>
        </w:rPr>
        <w:t xml:space="preserve">Dyrektywa Parlamentu Europejskiego i Rady (UE) 2024/1069 z dnia 11 kwietnia 2024 r. w sprawie ochrony osób, które angażują się w debatę publiczną, przed oczywiście bezzasadnymi roszczeniami lub stanowiącymi nadużycie postępowaniami sądowymi („strategiczne powództwa zmierzające do stłumienia debaty publicznej”) (Dz.U. L, 2024/1069, 16.4.2024, ELI: </w:t>
      </w:r>
      <w:hyperlink r:id="rId7" w:history="1">
        <w:r w:rsidRPr="00E277A0">
          <w:rPr>
            <w:rStyle w:val="Hyperlink"/>
            <w:sz w:val="24"/>
            <w:lang w:val="pl-PL"/>
          </w:rPr>
          <w:t>http://data.europa.eu/eli/dir/2024/1069/oj</w:t>
        </w:r>
      </w:hyperlink>
      <w:r w:rsidRPr="00E277A0">
        <w:rPr>
          <w:sz w:val="24"/>
          <w:lang w:val="pl-PL"/>
        </w:rPr>
        <w:t>).</w:t>
      </w:r>
    </w:p>
  </w:footnote>
  <w:footnote w:id="8">
    <w:p w14:paraId="2475DD23" w14:textId="77777777" w:rsidR="006B08FA" w:rsidRPr="00E277A0" w:rsidRDefault="006B08FA" w:rsidP="00E277A0">
      <w:pPr>
        <w:pStyle w:val="FootnoteText"/>
        <w:ind w:left="567" w:hanging="567"/>
        <w:rPr>
          <w:sz w:val="24"/>
          <w:lang w:val="pl-PL"/>
        </w:rPr>
      </w:pPr>
      <w:r w:rsidRPr="00E277A0">
        <w:rPr>
          <w:rStyle w:val="FootnoteReference"/>
          <w:sz w:val="24"/>
          <w:lang w:val="pl-PL"/>
        </w:rPr>
        <w:footnoteRef/>
      </w:r>
      <w:r w:rsidR="00E277A0" w:rsidRPr="00E277A0">
        <w:rPr>
          <w:sz w:val="24"/>
          <w:lang w:val="pl-PL"/>
        </w:rPr>
        <w:t xml:space="preserve"> </w:t>
      </w:r>
      <w:r w:rsidR="00E277A0" w:rsidRPr="00E277A0">
        <w:rPr>
          <w:sz w:val="24"/>
          <w:lang w:val="pl-PL"/>
        </w:rPr>
        <w:tab/>
      </w:r>
      <w:r w:rsidRPr="00E277A0">
        <w:rPr>
          <w:sz w:val="24"/>
          <w:lang w:val="pl-PL"/>
        </w:rPr>
        <w:t xml:space="preserve">Dyrektywa Parlamentu Europejskiego i Rady (UE) 2022/2555 z dnia 14 grudnia 2022 r. w sprawie środków na rzecz wysokiego wspólnego poziomu cyberbezpieczeństwa na terytorium Unii, zmieniająca rozporządzenie (UE) nr 910/2014 i dyrektywę (UE) 2018/1972 oraz uchylająca dyrektywę (UE) 2016/1148 (dyrektywa NIS 2) (Dz.U. L 333 z 27.12.2022, s. 80, ELI: </w:t>
      </w:r>
      <w:hyperlink r:id="rId8" w:history="1">
        <w:r w:rsidRPr="00E277A0">
          <w:rPr>
            <w:rStyle w:val="Hyperlink"/>
            <w:sz w:val="24"/>
            <w:lang w:val="pl-PL"/>
          </w:rPr>
          <w:t>http://data.europa.eu/eli/dir/2022/2555/oj</w:t>
        </w:r>
      </w:hyperlink>
      <w:r w:rsidRPr="00E277A0">
        <w:rPr>
          <w:sz w:val="24"/>
          <w:lang w:val="pl-PL"/>
        </w:rPr>
        <w:t xml:space="preserve">). </w:t>
      </w:r>
    </w:p>
  </w:footnote>
  <w:footnote w:id="9">
    <w:p w14:paraId="58B15C4F" w14:textId="77777777" w:rsidR="006B08FA" w:rsidRPr="00E277A0" w:rsidRDefault="006B08FA" w:rsidP="00E277A0">
      <w:pPr>
        <w:pStyle w:val="FootnoteText"/>
        <w:ind w:left="567" w:hanging="567"/>
        <w:rPr>
          <w:sz w:val="24"/>
          <w:lang w:val="pl-PL"/>
        </w:rPr>
      </w:pPr>
      <w:r w:rsidRPr="00E277A0">
        <w:rPr>
          <w:rStyle w:val="FootnoteReference"/>
          <w:sz w:val="24"/>
          <w:lang w:val="pl-PL"/>
        </w:rPr>
        <w:footnoteRef/>
      </w:r>
      <w:r w:rsidR="00E277A0" w:rsidRPr="00E277A0">
        <w:rPr>
          <w:sz w:val="24"/>
          <w:lang w:val="pl-PL"/>
        </w:rPr>
        <w:t xml:space="preserve"> </w:t>
      </w:r>
      <w:r w:rsidR="00E277A0" w:rsidRPr="00E277A0">
        <w:rPr>
          <w:sz w:val="24"/>
          <w:lang w:val="pl-PL"/>
        </w:rPr>
        <w:tab/>
      </w:r>
      <w:r w:rsidRPr="00E277A0">
        <w:rPr>
          <w:sz w:val="24"/>
          <w:lang w:val="pl-PL"/>
        </w:rPr>
        <w:t xml:space="preserve">Rozporządzenie Parlamentu Europejskiego i Rady (UE) 2022/2065 z dnia 19 października 2022 r. w sprawie jednolitego rynku usług cyfrowych oraz zmiany dyrektywy 2000/31/WE (akt o usługach cyfrowych) (Dz.U. L 277 z 27.10.2022, s. 1, ELI: </w:t>
      </w:r>
      <w:hyperlink r:id="rId9" w:history="1">
        <w:r w:rsidRPr="00E277A0">
          <w:rPr>
            <w:rStyle w:val="Hyperlink"/>
            <w:sz w:val="24"/>
            <w:lang w:val="pl-PL"/>
          </w:rPr>
          <w:t>http://data.europa.eu/eli/reg/2022/2065/oj</w:t>
        </w:r>
      </w:hyperlink>
      <w:r w:rsidRPr="00E277A0">
        <w:rPr>
          <w:sz w:val="24"/>
          <w:lang w:val="pl-PL"/>
        </w:rPr>
        <w:t xml:space="preserve">). </w:t>
      </w:r>
    </w:p>
  </w:footnote>
  <w:footnote w:id="10">
    <w:p w14:paraId="272F1F50" w14:textId="77777777" w:rsidR="006B08FA" w:rsidRPr="00E277A0" w:rsidRDefault="006B08FA" w:rsidP="00E277A0">
      <w:pPr>
        <w:ind w:left="567" w:hanging="567"/>
      </w:pPr>
      <w:r w:rsidRPr="00E277A0">
        <w:rPr>
          <w:rStyle w:val="FootnoteReference"/>
        </w:rPr>
        <w:footnoteRef/>
      </w:r>
      <w:r w:rsidR="00E277A0" w:rsidRPr="00E277A0">
        <w:t xml:space="preserve"> </w:t>
      </w:r>
      <w:r w:rsidR="00E277A0" w:rsidRPr="00E277A0">
        <w:tab/>
      </w:r>
      <w:r w:rsidRPr="00E277A0">
        <w:t xml:space="preserve">Rozporządzenie Parlamentu Europejskiego i Rady (UE) 2022/1925 z dnia 14 września 2022 r. w sprawie kontestowalnych i uczciwych rynków w sektorze cyfrowym oraz zmiany dyrektyw (UE) 2019/1937 i (UE) 2020/1828 (akt o rynkach cyfrowych) (Dz.U. L 265 z 12.10.2022, s. 1, ELI: </w:t>
      </w:r>
      <w:hyperlink r:id="rId10" w:history="1">
        <w:r w:rsidRPr="00E277A0">
          <w:rPr>
            <w:rStyle w:val="Hyperlink"/>
          </w:rPr>
          <w:t>http://data.europa.eu/eli/reg/2022/1925/oj</w:t>
        </w:r>
      </w:hyperlink>
      <w:r w:rsidRPr="00E277A0"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22322865">
    <w:abstractNumId w:val="9"/>
  </w:num>
  <w:num w:numId="2" w16cid:durableId="221865517">
    <w:abstractNumId w:val="9"/>
  </w:num>
  <w:num w:numId="3" w16cid:durableId="350647389">
    <w:abstractNumId w:val="7"/>
  </w:num>
  <w:num w:numId="4" w16cid:durableId="1020158687">
    <w:abstractNumId w:val="7"/>
  </w:num>
  <w:num w:numId="5" w16cid:durableId="384138447">
    <w:abstractNumId w:val="6"/>
  </w:num>
  <w:num w:numId="6" w16cid:durableId="480272500">
    <w:abstractNumId w:val="6"/>
  </w:num>
  <w:num w:numId="7" w16cid:durableId="1985233317">
    <w:abstractNumId w:val="5"/>
  </w:num>
  <w:num w:numId="8" w16cid:durableId="1723288121">
    <w:abstractNumId w:val="5"/>
  </w:num>
  <w:num w:numId="9" w16cid:durableId="1484733754">
    <w:abstractNumId w:val="4"/>
  </w:num>
  <w:num w:numId="10" w16cid:durableId="1455489997">
    <w:abstractNumId w:val="4"/>
  </w:num>
  <w:num w:numId="11" w16cid:durableId="1313873218">
    <w:abstractNumId w:val="8"/>
  </w:num>
  <w:num w:numId="12" w16cid:durableId="2058553070">
    <w:abstractNumId w:val="8"/>
  </w:num>
  <w:num w:numId="13" w16cid:durableId="1049525089">
    <w:abstractNumId w:val="3"/>
  </w:num>
  <w:num w:numId="14" w16cid:durableId="860045008">
    <w:abstractNumId w:val="3"/>
  </w:num>
  <w:num w:numId="15" w16cid:durableId="1158376172">
    <w:abstractNumId w:val="2"/>
  </w:num>
  <w:num w:numId="16" w16cid:durableId="1188835839">
    <w:abstractNumId w:val="2"/>
  </w:num>
  <w:num w:numId="17" w16cid:durableId="62261014">
    <w:abstractNumId w:val="1"/>
  </w:num>
  <w:num w:numId="18" w16cid:durableId="1782147727">
    <w:abstractNumId w:val="1"/>
  </w:num>
  <w:num w:numId="19" w16cid:durableId="359596307">
    <w:abstractNumId w:val="0"/>
  </w:num>
  <w:num w:numId="20" w16cid:durableId="297803896">
    <w:abstractNumId w:val="0"/>
  </w:num>
  <w:num w:numId="21" w16cid:durableId="1000157976">
    <w:abstractNumId w:val="9"/>
  </w:num>
  <w:num w:numId="22" w16cid:durableId="326591963">
    <w:abstractNumId w:val="7"/>
  </w:num>
  <w:num w:numId="23" w16cid:durableId="1909995360">
    <w:abstractNumId w:val="6"/>
  </w:num>
  <w:num w:numId="24" w16cid:durableId="287472666">
    <w:abstractNumId w:val="5"/>
  </w:num>
  <w:num w:numId="25" w16cid:durableId="1353217266">
    <w:abstractNumId w:val="4"/>
  </w:num>
  <w:num w:numId="26" w16cid:durableId="159472067">
    <w:abstractNumId w:val="8"/>
  </w:num>
  <w:num w:numId="27" w16cid:durableId="470487936">
    <w:abstractNumId w:val="3"/>
  </w:num>
  <w:num w:numId="28" w16cid:durableId="2090149689">
    <w:abstractNumId w:val="2"/>
  </w:num>
  <w:num w:numId="29" w16cid:durableId="178471318">
    <w:abstractNumId w:val="1"/>
  </w:num>
  <w:num w:numId="30" w16cid:durableId="17201317">
    <w:abstractNumId w:val="0"/>
  </w:num>
  <w:num w:numId="31" w16cid:durableId="1648045160">
    <w:abstractNumId w:val="9"/>
  </w:num>
  <w:num w:numId="32" w16cid:durableId="1150555047">
    <w:abstractNumId w:val="7"/>
  </w:num>
  <w:num w:numId="33" w16cid:durableId="1446466402">
    <w:abstractNumId w:val="6"/>
  </w:num>
  <w:num w:numId="34" w16cid:durableId="373193246">
    <w:abstractNumId w:val="5"/>
  </w:num>
  <w:num w:numId="35" w16cid:durableId="494342654">
    <w:abstractNumId w:val="4"/>
  </w:num>
  <w:num w:numId="36" w16cid:durableId="1155299536">
    <w:abstractNumId w:val="8"/>
  </w:num>
  <w:num w:numId="37" w16cid:durableId="735476805">
    <w:abstractNumId w:val="3"/>
  </w:num>
  <w:num w:numId="38" w16cid:durableId="1225293172">
    <w:abstractNumId w:val="2"/>
  </w:num>
  <w:num w:numId="39" w16cid:durableId="90979015">
    <w:abstractNumId w:val="1"/>
  </w:num>
  <w:num w:numId="40" w16cid:durableId="869073160">
    <w:abstractNumId w:val="0"/>
  </w:num>
  <w:num w:numId="41" w16cid:durableId="1713650915">
    <w:abstractNumId w:val="10"/>
  </w:num>
  <w:num w:numId="42" w16cid:durableId="2125465069">
    <w:abstractNumId w:val="10"/>
  </w:num>
  <w:num w:numId="43" w16cid:durableId="1485389192">
    <w:abstractNumId w:val="10"/>
  </w:num>
  <w:num w:numId="44" w16cid:durableId="9104737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75/2025"/>
    <w:docVar w:name="dvlangue" w:val="PL"/>
    <w:docVar w:name="dvnumam" w:val="0"/>
    <w:docVar w:name="dvpe" w:val="767.973"/>
    <w:docVar w:name="dvrapporteur" w:val="Sprawozdawca: "/>
    <w:docVar w:name="dvstar" w:val="??"/>
    <w:docVar w:name="dvtitre" w:val="Rezolucja Parlamentu Europejskiego z dnia  2025 r. w sprawie sprawozdań Komisji dotyczących Kosowa za lata 2023 i 2024(2025/2019(INI))"/>
  </w:docVars>
  <w:rsids>
    <w:rsidRoot w:val="004F6B2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F6B29"/>
    <w:rsid w:val="0050519A"/>
    <w:rsid w:val="005072A1"/>
    <w:rsid w:val="00514517"/>
    <w:rsid w:val="00545827"/>
    <w:rsid w:val="00560270"/>
    <w:rsid w:val="005B3EA3"/>
    <w:rsid w:val="005C2568"/>
    <w:rsid w:val="005C6A88"/>
    <w:rsid w:val="005F1B17"/>
    <w:rsid w:val="006037C0"/>
    <w:rsid w:val="006631B6"/>
    <w:rsid w:val="00680577"/>
    <w:rsid w:val="006B08FA"/>
    <w:rsid w:val="006F74FA"/>
    <w:rsid w:val="00705931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04D9C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C0F3B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277A0"/>
    <w:rsid w:val="00E365E1"/>
    <w:rsid w:val="00E820A4"/>
    <w:rsid w:val="00EB006A"/>
    <w:rsid w:val="00EB4772"/>
    <w:rsid w:val="00EB7A2B"/>
    <w:rsid w:val="00ED169E"/>
    <w:rsid w:val="00ED4235"/>
    <w:rsid w:val="00F04346"/>
    <w:rsid w:val="00F075DC"/>
    <w:rsid w:val="00F149E9"/>
    <w:rsid w:val="00F32719"/>
    <w:rsid w:val="00F5134D"/>
    <w:rsid w:val="00F74202"/>
    <w:rsid w:val="00F87713"/>
    <w:rsid w:val="00FB4360"/>
    <w:rsid w:val="00FC26B4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2A31CC"/>
  <w15:chartTrackingRefBased/>
  <w15:docId w15:val="{892D8147-40C4-4F66-85EC-E265FC6A0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6B08FA"/>
    <w:pPr>
      <w:spacing w:after="240"/>
      <w:ind w:left="567" w:hanging="567"/>
    </w:pPr>
  </w:style>
  <w:style w:type="paragraph" w:customStyle="1" w:styleId="EPComma">
    <w:name w:val="EPComma"/>
    <w:basedOn w:val="Normal"/>
    <w:rsid w:val="006B08FA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6B08FA"/>
    <w:rPr>
      <w:sz w:val="24"/>
      <w:lang w:val="pl-PL"/>
    </w:rPr>
  </w:style>
  <w:style w:type="paragraph" w:customStyle="1" w:styleId="Normal12a24b">
    <w:name w:val="Normal12a24b"/>
    <w:basedOn w:val="Normal"/>
    <w:rsid w:val="006B08FA"/>
    <w:pPr>
      <w:snapToGrid w:val="0"/>
      <w:spacing w:before="360" w:after="240"/>
    </w:pPr>
    <w:rPr>
      <w:lang w:eastAsia="en-US"/>
    </w:rPr>
  </w:style>
  <w:style w:type="character" w:customStyle="1" w:styleId="BoldItalic">
    <w:name w:val="BoldItalic"/>
    <w:uiPriority w:val="1"/>
    <w:rsid w:val="006B08FA"/>
    <w:rPr>
      <w:b/>
      <w:bCs w:val="0"/>
      <w:i/>
      <w:iCs w:val="0"/>
      <w:strike w:val="0"/>
      <w:dstrike w:val="0"/>
      <w:u w:val="none"/>
      <w:effect w:val="none"/>
    </w:rPr>
  </w:style>
  <w:style w:type="character" w:styleId="Hyperlink">
    <w:name w:val="Hyperlink"/>
    <w:basedOn w:val="DefaultParagraphFont"/>
    <w:uiPriority w:val="99"/>
    <w:unhideWhenUsed/>
    <w:rsid w:val="006B08FA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5C6A8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C6A88"/>
    <w:rPr>
      <w:rFonts w:ascii="Segoe UI" w:hAnsi="Segoe UI" w:cs="Segoe UI"/>
      <w:sz w:val="18"/>
      <w:szCs w:val="18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dir/2022/2555/oj" TargetMode="External"/><Relationship Id="rId3" Type="http://schemas.openxmlformats.org/officeDocument/2006/relationships/hyperlink" Target="http://data.europa.eu/eli/reg/2021/1529/oj" TargetMode="External"/><Relationship Id="rId7" Type="http://schemas.openxmlformats.org/officeDocument/2006/relationships/hyperlink" Target="http://data.europa.eu/eli/dir/2024/1069/oj" TargetMode="External"/><Relationship Id="rId2" Type="http://schemas.openxmlformats.org/officeDocument/2006/relationships/hyperlink" Target="http://data.europa.eu/eli/agree_internation/2017/1388/oj" TargetMode="External"/><Relationship Id="rId1" Type="http://schemas.openxmlformats.org/officeDocument/2006/relationships/hyperlink" Target="http://data.europa.eu/eli/agree_internation/2016/342/oj" TargetMode="External"/><Relationship Id="rId6" Type="http://schemas.openxmlformats.org/officeDocument/2006/relationships/hyperlink" Target="http://data.europa.eu/eli/reg/2023/850/oj" TargetMode="External"/><Relationship Id="rId5" Type="http://schemas.openxmlformats.org/officeDocument/2006/relationships/hyperlink" Target="http://data.europa.eu/eli/dec/2023/1095/oj" TargetMode="External"/><Relationship Id="rId10" Type="http://schemas.openxmlformats.org/officeDocument/2006/relationships/hyperlink" Target="http://data.europa.eu/eli/reg/2022/1925/oj" TargetMode="External"/><Relationship Id="rId4" Type="http://schemas.openxmlformats.org/officeDocument/2006/relationships/hyperlink" Target="http://data.europa.eu/eli/reg/2024/1449/oj" TargetMode="External"/><Relationship Id="rId9" Type="http://schemas.openxmlformats.org/officeDocument/2006/relationships/hyperlink" Target="http://data.europa.eu/eli/reg/2022/206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88E7A8-2E1B-4028-8BCB-C33FE4A259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15</Pages>
  <Words>5582</Words>
  <Characters>37617</Characters>
  <Application>Microsoft Office Word</Application>
  <DocSecurity>0</DocSecurity>
  <Lines>313</Lines>
  <Paragraphs>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43113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PESA Karina</cp:lastModifiedBy>
  <cp:revision>3</cp:revision>
  <cp:lastPrinted>2004-11-19T15:42:00Z</cp:lastPrinted>
  <dcterms:created xsi:type="dcterms:W3CDTF">2025-06-03T15:24:00Z</dcterms:created>
  <dcterms:modified xsi:type="dcterms:W3CDTF">2025-10-13T13:27:00Z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A10-0075/2025</vt:lpwstr>
  </property>
  <property fmtid="{D5CDD505-2E9C-101B-9397-08002B2CF9AE}" pid="4" name="&lt;Type&gt;">
    <vt:lpwstr>RR</vt:lpwstr>
  </property>
</Properties>
</file>