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3B22" w14:paraId="0B3CBA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499448" w14:textId="77777777" w:rsidR="00751A4A" w:rsidRPr="008F3B22" w:rsidRDefault="00672B66" w:rsidP="0010095E">
            <w:pPr>
              <w:pStyle w:val="EPName"/>
            </w:pPr>
            <w:r w:rsidRPr="008F3B22">
              <w:t>Parlamento Europeu</w:t>
            </w:r>
          </w:p>
          <w:p w14:paraId="1CCA6DD8" w14:textId="77777777" w:rsidR="00751A4A" w:rsidRPr="008F3B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3B22">
              <w:t>2024</w:t>
            </w:r>
            <w:r w:rsidR="00817416" w:rsidRPr="008F3B22">
              <w:t>-202</w:t>
            </w:r>
            <w:r w:rsidRPr="008F3B22">
              <w:t>9</w:t>
            </w:r>
          </w:p>
        </w:tc>
        <w:tc>
          <w:tcPr>
            <w:tcW w:w="2268" w:type="dxa"/>
            <w:shd w:val="clear" w:color="auto" w:fill="auto"/>
          </w:tcPr>
          <w:p w14:paraId="1CE4A939" w14:textId="77777777" w:rsidR="00751A4A" w:rsidRPr="008F3B22" w:rsidRDefault="00187494" w:rsidP="0010095E">
            <w:pPr>
              <w:pStyle w:val="EPLogo"/>
            </w:pPr>
            <w:r w:rsidRPr="008F3B22">
              <w:rPr>
                <w:noProof/>
                <w:lang w:val="en-GB"/>
              </w:rPr>
              <w:drawing>
                <wp:inline distT="0" distB="0" distL="0" distR="0" wp14:anchorId="1BB485F5" wp14:editId="7783B5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CDEB66" w14:textId="77777777" w:rsidR="00D058B8" w:rsidRPr="008F3B22" w:rsidRDefault="00D058B8" w:rsidP="004C5D52">
      <w:pPr>
        <w:pStyle w:val="LineTop"/>
      </w:pPr>
    </w:p>
    <w:p w14:paraId="7DCC6DA9" w14:textId="77777777" w:rsidR="00680577" w:rsidRPr="008F3B22" w:rsidRDefault="00672B66" w:rsidP="00680577">
      <w:pPr>
        <w:pStyle w:val="EPBodyTA1"/>
      </w:pPr>
      <w:r w:rsidRPr="008F3B22">
        <w:t>TEXTOS APROVADOS</w:t>
      </w:r>
    </w:p>
    <w:p w14:paraId="2697E2C8" w14:textId="77777777" w:rsidR="00D058B8" w:rsidRPr="008F3B22" w:rsidRDefault="00D058B8" w:rsidP="00D058B8">
      <w:pPr>
        <w:pStyle w:val="LineBottom"/>
      </w:pPr>
    </w:p>
    <w:p w14:paraId="2BE3EC32" w14:textId="6927DE21" w:rsidR="00672B66" w:rsidRPr="008F3B22" w:rsidRDefault="00672B66" w:rsidP="00672B66">
      <w:pPr>
        <w:pStyle w:val="ATHeading1"/>
      </w:pPr>
      <w:bookmarkStart w:id="0" w:name="TANumber"/>
      <w:r w:rsidRPr="008F3B22">
        <w:t>P10_TA(2025)00</w:t>
      </w:r>
      <w:r w:rsidR="000D4CFE" w:rsidRPr="008F3B22">
        <w:t>94</w:t>
      </w:r>
      <w:bookmarkEnd w:id="0"/>
    </w:p>
    <w:p w14:paraId="61E91653" w14:textId="77777777" w:rsidR="00672B66" w:rsidRPr="008F3B22" w:rsidRDefault="00672B66" w:rsidP="00672B66">
      <w:pPr>
        <w:pStyle w:val="ATHeading2"/>
      </w:pPr>
      <w:bookmarkStart w:id="1" w:name="title"/>
      <w:r w:rsidRPr="008F3B22">
        <w:t>Relatórios de 2023 e 2024 relativos ao Kosovo</w:t>
      </w:r>
      <w:bookmarkEnd w:id="1"/>
    </w:p>
    <w:p w14:paraId="460A5807" w14:textId="77777777" w:rsidR="00672B66" w:rsidRPr="008F3B22" w:rsidRDefault="00672B66" w:rsidP="00672B66">
      <w:pPr>
        <w:rPr>
          <w:i/>
          <w:vanish/>
        </w:rPr>
      </w:pPr>
      <w:r w:rsidRPr="008F3B22">
        <w:rPr>
          <w:i/>
        </w:rPr>
        <w:fldChar w:fldCharType="begin"/>
      </w:r>
      <w:r w:rsidRPr="008F3B22">
        <w:rPr>
          <w:i/>
        </w:rPr>
        <w:instrText xml:space="preserve"> TC"(</w:instrText>
      </w:r>
      <w:bookmarkStart w:id="2" w:name="DocNumber"/>
      <w:r w:rsidRPr="008F3B22">
        <w:rPr>
          <w:i/>
        </w:rPr>
        <w:instrText>A10-0075/2025</w:instrText>
      </w:r>
      <w:bookmarkEnd w:id="2"/>
      <w:r w:rsidRPr="008F3B22">
        <w:rPr>
          <w:i/>
        </w:rPr>
        <w:instrText xml:space="preserve"> - Relator: </w:instrText>
      </w:r>
      <w:proofErr w:type="spellStart"/>
      <w:r w:rsidRPr="008F3B22">
        <w:rPr>
          <w:i/>
        </w:rPr>
        <w:instrText>Riho</w:instrText>
      </w:r>
      <w:proofErr w:type="spellEnd"/>
      <w:r w:rsidRPr="008F3B22">
        <w:rPr>
          <w:i/>
        </w:rPr>
        <w:instrText xml:space="preserve"> Terras)"\l3 \n&gt; \* MERGEFORMAT </w:instrText>
      </w:r>
      <w:r w:rsidRPr="008F3B22">
        <w:rPr>
          <w:i/>
        </w:rPr>
        <w:fldChar w:fldCharType="end"/>
      </w:r>
    </w:p>
    <w:p w14:paraId="15DFD146" w14:textId="77777777" w:rsidR="00672B66" w:rsidRPr="008F3B22" w:rsidRDefault="00672B66" w:rsidP="00672B66">
      <w:pPr>
        <w:rPr>
          <w:vanish/>
        </w:rPr>
      </w:pPr>
      <w:bookmarkStart w:id="3" w:name="Commission"/>
      <w:r w:rsidRPr="008F3B22">
        <w:rPr>
          <w:vanish/>
        </w:rPr>
        <w:t>Comissão dos Assuntos Externos</w:t>
      </w:r>
      <w:bookmarkEnd w:id="3"/>
    </w:p>
    <w:p w14:paraId="466C1DE8" w14:textId="77777777" w:rsidR="00672B66" w:rsidRPr="008F3B22" w:rsidRDefault="00672B66" w:rsidP="00672B66">
      <w:pPr>
        <w:rPr>
          <w:vanish/>
        </w:rPr>
      </w:pPr>
      <w:bookmarkStart w:id="4" w:name="PE"/>
      <w:r w:rsidRPr="008F3B22">
        <w:rPr>
          <w:vanish/>
        </w:rPr>
        <w:t>PE767.973</w:t>
      </w:r>
      <w:bookmarkEnd w:id="4"/>
    </w:p>
    <w:p w14:paraId="3CC41EF4" w14:textId="77777777" w:rsidR="00672B66" w:rsidRPr="008F3B22" w:rsidRDefault="00672B66" w:rsidP="00672B66">
      <w:pPr>
        <w:pStyle w:val="ATHeading3"/>
      </w:pPr>
      <w:bookmarkStart w:id="5" w:name="Sujet"/>
      <w:r w:rsidRPr="008F3B22">
        <w:t xml:space="preserve">Resolução do Parlamento Europeu, de </w:t>
      </w:r>
      <w:r w:rsidR="0056039A" w:rsidRPr="008F3B22">
        <w:t xml:space="preserve">7 </w:t>
      </w:r>
      <w:r w:rsidRPr="008F3B22">
        <w:t xml:space="preserve">de </w:t>
      </w:r>
      <w:r w:rsidR="0056039A" w:rsidRPr="008F3B22">
        <w:t xml:space="preserve">maio </w:t>
      </w:r>
      <w:r w:rsidRPr="008F3B22">
        <w:t>de 2025, sobre os relatórios de 2023 e 2024 da Comissão relativos ao Kosovo</w:t>
      </w:r>
      <w:bookmarkEnd w:id="5"/>
      <w:r w:rsidRPr="008F3B22">
        <w:t xml:space="preserve"> </w:t>
      </w:r>
      <w:bookmarkStart w:id="6" w:name="References"/>
      <w:r w:rsidRPr="008F3B22">
        <w:t>(2025/2019(INI))</w:t>
      </w:r>
      <w:bookmarkEnd w:id="6"/>
    </w:p>
    <w:p w14:paraId="4AE45008" w14:textId="77777777" w:rsidR="00D039ED" w:rsidRPr="008F3B22" w:rsidRDefault="00D039ED" w:rsidP="00D039ED">
      <w:pPr>
        <w:pStyle w:val="EPComma"/>
      </w:pPr>
      <w:r w:rsidRPr="008F3B22">
        <w:rPr>
          <w:i/>
        </w:rPr>
        <w:t>O Parlamento Europeu</w:t>
      </w:r>
      <w:r w:rsidRPr="008F3B22">
        <w:t>,</w:t>
      </w:r>
    </w:p>
    <w:p w14:paraId="33DF1122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Acordo de Estabilização e de Associação entre a União Europeia e a Comunidade Europeia da Energia Atómica, por um lado, e o Kosovo, por outro</w:t>
      </w:r>
      <w:r w:rsidRPr="008F3B22">
        <w:rPr>
          <w:vertAlign w:val="superscript"/>
        </w:rPr>
        <w:footnoteReference w:id="1"/>
      </w:r>
      <w:r w:rsidRPr="008F3B22">
        <w:t>, que entrou em vigor em 1 de abril de 2016,</w:t>
      </w:r>
    </w:p>
    <w:p w14:paraId="0FA1111B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pedido de adesão do Kosovo à União Europeia, de 15 de dezembro de 2022,</w:t>
      </w:r>
    </w:p>
    <w:p w14:paraId="311A04CA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pedido de adesão do Kosovo ao Conselho da Europa, de 12 de maio de 2022,</w:t>
      </w:r>
    </w:p>
    <w:p w14:paraId="4E3673E7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acordo-quadro entre a União Europeia e o Kosovo relativo aos princípios gerais da participação do Kosovo em programas da União</w:t>
      </w:r>
      <w:r w:rsidRPr="008F3B22">
        <w:rPr>
          <w:vertAlign w:val="superscript"/>
        </w:rPr>
        <w:footnoteReference w:id="2"/>
      </w:r>
      <w:r w:rsidRPr="008F3B22">
        <w:t>, em vigor desde 1</w:t>
      </w:r>
      <w:r w:rsidR="0098438D" w:rsidRPr="008F3B22">
        <w:t> </w:t>
      </w:r>
      <w:r w:rsidRPr="008F3B22">
        <w:t>de agosto de 2017,</w:t>
      </w:r>
    </w:p>
    <w:p w14:paraId="1A093971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Regulamento (UE) 2021/1529 do Parlamento Europeu e do Conselho de 15 de setembro de 2021 que cria o Instrumento de Assistência de Pré-Adesão (IPA III)</w:t>
      </w:r>
      <w:r w:rsidRPr="008F3B22">
        <w:rPr>
          <w:vertAlign w:val="superscript"/>
        </w:rPr>
        <w:footnoteReference w:id="3"/>
      </w:r>
      <w:r w:rsidRPr="008F3B22">
        <w:t>,</w:t>
      </w:r>
    </w:p>
    <w:p w14:paraId="6EED5354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Regulamento (UE) 2024/1449 do Parlamento Europeu e do Conselho, de 14 de maio de 2024, que cria o Mecanismo para as Reformas e o Crescimento nos Balcãs Ocidentais</w:t>
      </w:r>
      <w:r w:rsidRPr="008F3B22">
        <w:rPr>
          <w:vertAlign w:val="superscript"/>
        </w:rPr>
        <w:footnoteReference w:id="4"/>
      </w:r>
      <w:r w:rsidRPr="008F3B22">
        <w:t>,</w:t>
      </w:r>
    </w:p>
    <w:p w14:paraId="21A2AEF6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as conclusões da Presidência por ocasião da reunião do Conselho Europeu realizada em Salónica, em 19 e 20 de junho de 2003,</w:t>
      </w:r>
    </w:p>
    <w:p w14:paraId="791EC724" w14:textId="77777777" w:rsidR="00D039ED" w:rsidRPr="008F3B22" w:rsidRDefault="00D039ED" w:rsidP="00D039ED">
      <w:pPr>
        <w:pStyle w:val="NormalHanging12a"/>
      </w:pPr>
      <w:r w:rsidRPr="008F3B22">
        <w:lastRenderedPageBreak/>
        <w:t>–</w:t>
      </w:r>
      <w:r w:rsidRPr="008F3B22">
        <w:tab/>
        <w:t xml:space="preserve">Tendo em conta as declarações das cimeiras UE-Balcãs Ocidentais, de 17 de maio de 2018, em Sófia, de 6 de maio de 2020, em </w:t>
      </w:r>
      <w:proofErr w:type="spellStart"/>
      <w:r w:rsidRPr="008F3B22">
        <w:t>Zagrebe</w:t>
      </w:r>
      <w:proofErr w:type="spellEnd"/>
      <w:r w:rsidRPr="008F3B22">
        <w:t xml:space="preserve">, de 6 de outubro de 2021, em </w:t>
      </w:r>
      <w:proofErr w:type="spellStart"/>
      <w:r w:rsidRPr="008F3B22">
        <w:t>Brdo</w:t>
      </w:r>
      <w:proofErr w:type="spellEnd"/>
      <w:r w:rsidRPr="008F3B22">
        <w:t xml:space="preserve"> </w:t>
      </w:r>
      <w:proofErr w:type="spellStart"/>
      <w:r w:rsidRPr="008F3B22">
        <w:t>pri</w:t>
      </w:r>
      <w:proofErr w:type="spellEnd"/>
      <w:r w:rsidRPr="008F3B22">
        <w:t xml:space="preserve"> </w:t>
      </w:r>
      <w:proofErr w:type="spellStart"/>
      <w:r w:rsidRPr="008F3B22">
        <w:t>Kranju</w:t>
      </w:r>
      <w:proofErr w:type="spellEnd"/>
      <w:r w:rsidRPr="008F3B22">
        <w:t xml:space="preserve">, de 6 de dezembro de 2022, em Tirana, de 13 de dezembro de 2023, em Bruxelas, e de 18 de dezembro de 2024, em Bruxelas, </w:t>
      </w:r>
    </w:p>
    <w:p w14:paraId="2CCA9DA0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Processo de Berlim, iniciado em 28 de agosto de 2014,</w:t>
      </w:r>
    </w:p>
    <w:p w14:paraId="740DCC2D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Comunicação da Comissão, de 5 de fevereiro de 2020, intitulada «Reforçar o processo de adesão – Uma perspetiva credível de adesão à UE para os Balcãs Ocidentais» (COM(2020)0057),</w:t>
      </w:r>
    </w:p>
    <w:p w14:paraId="505EDE5F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Comunicação da Comissão, de 6 de outubro de 2020, intitulada «Um Plano Económico e de Investimento para os Balcãs Ocidentais» (COM(2020)0641),</w:t>
      </w:r>
    </w:p>
    <w:p w14:paraId="6285BE72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Comunicação da Comissão, de 8 de novembro de 2023, intitulada «Comunicação de 2023 sobre a política de alargamento da UE» (COM(2023)0690), acompanhada do documento de trabalho dos serviços da Comissão intitulado «Relatório de 2023 relativo ao Kosovo» (SWD(2023)0692),</w:t>
      </w:r>
    </w:p>
    <w:p w14:paraId="3FE816BF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Comunicação da Comissão, de 8 de novembro de 2023, intitulada «Novo plano de crescimento para os Balcãs Ocidentais» (COM(2023)0691),</w:t>
      </w:r>
    </w:p>
    <w:p w14:paraId="45BD767A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Comunicação da Comissão, de 20 de março de 2024, sobre reformas e revisões das políticas antes do alargamento (COM(2024)0146),</w:t>
      </w:r>
    </w:p>
    <w:p w14:paraId="1076FF0A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Comunicação da Comissão, de 30 de outubro de 2024, intitulada «Comunicação de 2024 sobre a política de alargamento da UE» (COM(2024)0690), acompanhada do documento de trabalho dos serviços da Comissão intitulado «Relatório de 2024 relativo ao Kosovo» (SWD(2024)0692),</w:t>
      </w:r>
    </w:p>
    <w:p w14:paraId="4022D882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síntese geral e as avaliações por país da Comissão, de 31 de maio de 2023 e de 13 de junho de 2024, no que respeita ao programa de reforma económica do Kosovo,</w:t>
      </w:r>
    </w:p>
    <w:p w14:paraId="13D8BDB5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as conclusões conjuntas do diálogo económico e financeiro entre a UE e os Balcãs Ocidentais e a Turquia, adotadas pelo Conselho em 16 de maio de 2023, e as conclusões conjuntas do diálogo económico e financeiro entre a UE e os parceiros dos Balcãs Ocidentais, a Turquia, a Geórgia, a República da Moldávia e a Ucrânia, adotadas pelo Conselho em 14 de maio de 2024,</w:t>
      </w:r>
    </w:p>
    <w:p w14:paraId="7CF2915B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Resolução 1244 do Conselho de Segurança das Nações Unidas, de 10 de junho de 1999, o Parecer Consultivo do Tribunal Internacional de Justiça (TIJ), de 22 de julho de 2010, sobre a conformidade da declaração unilateral de independência do Kosovo com o direito internacional, e a Resolução 64/298 da Assembleia Geral das Nações Unidas, de 9 de setembro de 2010, que reconheceu o teor do parecer do TIJ e se congratulou com a disponibilidade da UE para facilitar o diálogo entre a Sérvia e o Kosovo,</w:t>
      </w:r>
    </w:p>
    <w:p w14:paraId="00BF50A4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primeiro acordo sobre os princípios que regem a normalização das relações entre a Sérvia e o Kosovo, de 19 de abril de 2013, e os acordos de 25 de agosto de 2015, bem como o diálogo em curso promovido pela UE em prol da normalização das relações,</w:t>
      </w:r>
    </w:p>
    <w:p w14:paraId="46854B5D" w14:textId="77777777" w:rsidR="00D039ED" w:rsidRPr="008F3B22" w:rsidRDefault="00D039ED" w:rsidP="00D039ED">
      <w:pPr>
        <w:pStyle w:val="NormalHanging12a"/>
      </w:pPr>
      <w:r w:rsidRPr="008F3B22">
        <w:lastRenderedPageBreak/>
        <w:t>–</w:t>
      </w:r>
      <w:r w:rsidRPr="008F3B22">
        <w:tab/>
        <w:t xml:space="preserve">Tendo em conta o Acordo de Bruxelas, de 27 de fevereiro de 2023, e o Acordo de </w:t>
      </w:r>
      <w:proofErr w:type="spellStart"/>
      <w:r w:rsidRPr="008F3B22">
        <w:t>Ohrid</w:t>
      </w:r>
      <w:proofErr w:type="spellEnd"/>
      <w:r w:rsidRPr="008F3B22">
        <w:t>, de 18 de março de 2023, bem como o respetivo anexo de aplicação,</w:t>
      </w:r>
    </w:p>
    <w:p w14:paraId="02A919F0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Decisão (PESC) 2023/1095 do Conselho, de 5 de junho de 2023, que altera a Ação Comum 2008/124/PESC sobre a Missão da União Europeia para o Estado de Direito no Kosovo (EULEX Kosovo)</w:t>
      </w:r>
      <w:r w:rsidRPr="008F3B22">
        <w:rPr>
          <w:vertAlign w:val="superscript"/>
        </w:rPr>
        <w:footnoteReference w:id="5"/>
      </w:r>
      <w:r w:rsidRPr="008F3B22">
        <w:t>, que prorrogou a duração do mandato da missão até 14 de junho de 2025,</w:t>
      </w:r>
    </w:p>
    <w:p w14:paraId="2C54C163" w14:textId="793E80F6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Regulamento (UE) 2023/850 do Parlamento Europeu e do Conselho, de 19 de abril de 2023, que altera o Regulamento (CE)  2018/1806 que fixa a lista dos países terceiros cujos nacionais estão sujeitos à obrigação de visto para transporem as fronteiras externas e a lista dos países terceiros cujos nacionais estão isentos dessa obrigação (Kosovo)</w:t>
      </w:r>
      <w:r w:rsidRPr="008F3B22">
        <w:rPr>
          <w:rStyle w:val="FootnoteReference"/>
        </w:rPr>
        <w:footnoteReference w:id="6"/>
      </w:r>
      <w:r w:rsidRPr="008F3B22">
        <w:t>,</w:t>
      </w:r>
    </w:p>
    <w:p w14:paraId="4A8BCB75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relatório final da Missão de Observação Eleitoral da União Europeia sobre as eleições autárquicas de 2021 realizadas no Kosovo,</w:t>
      </w:r>
    </w:p>
    <w:p w14:paraId="700925D6" w14:textId="77777777" w:rsidR="00D039ED" w:rsidRPr="008F3B22" w:rsidRDefault="00D039ED" w:rsidP="00D039ED">
      <w:pPr>
        <w:pStyle w:val="NormalHanging12a"/>
        <w:rPr>
          <w:b/>
          <w:szCs w:val="24"/>
        </w:rPr>
      </w:pPr>
      <w:r w:rsidRPr="008F3B22">
        <w:t>–</w:t>
      </w:r>
      <w:r w:rsidRPr="008F3B22">
        <w:tab/>
        <w:t>Tendo em conta o relatório preliminar da Missão de Observação Eleitoral da União Europeia sobre as eleições legislativas realizadas no Kosovo em 2025,</w:t>
      </w:r>
    </w:p>
    <w:p w14:paraId="29FD76E2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 4.ª reunião do Conselho de Estabilização e de Associação entre a União Europeia e o Kosovo, realizada em Bruxelas, em 7 de dezembro de 2021,</w:t>
      </w:r>
    </w:p>
    <w:p w14:paraId="7BC6848E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as suas anteriores resoluções sobre o Kosovo,</w:t>
      </w:r>
    </w:p>
    <w:p w14:paraId="09D82E3B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as recomendações conjuntas adotadas na 12.ª reunião da Comissão Parlamentar de Estabilização e de Associação UE-Kosovo, realizada em 9 de dezembro de 2024,</w:t>
      </w:r>
    </w:p>
    <w:p w14:paraId="45723D9D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Índice de Perceção da Corrupção 2024 da Transparência Internacional,</w:t>
      </w:r>
    </w:p>
    <w:p w14:paraId="4AB28202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Índice Mundial da Liberdade de Imprensa de 2024 dos Repórteres Sem Fronteiras,</w:t>
      </w:r>
    </w:p>
    <w:p w14:paraId="3D3255A0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 xml:space="preserve">Tendo em conta o relatório de março de 2024 sobre a democracia 2024 do instituto </w:t>
      </w:r>
      <w:proofErr w:type="spellStart"/>
      <w:r w:rsidRPr="008F3B22">
        <w:t>Varieties</w:t>
      </w:r>
      <w:proofErr w:type="spellEnd"/>
      <w:r w:rsidRPr="008F3B22">
        <w:t xml:space="preserve"> </w:t>
      </w:r>
      <w:proofErr w:type="spellStart"/>
      <w:r w:rsidRPr="008F3B22">
        <w:t>of</w:t>
      </w:r>
      <w:proofErr w:type="spellEnd"/>
      <w:r w:rsidRPr="008F3B22">
        <w:t xml:space="preserve"> </w:t>
      </w:r>
      <w:proofErr w:type="spellStart"/>
      <w:r w:rsidRPr="008F3B22">
        <w:t>Democracy</w:t>
      </w:r>
      <w:proofErr w:type="spellEnd"/>
      <w:r w:rsidRPr="008F3B22">
        <w:t xml:space="preserve"> (V-Dem),</w:t>
      </w:r>
    </w:p>
    <w:p w14:paraId="4F0BBF3B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artigo 55.º do seu Regimento,</w:t>
      </w:r>
    </w:p>
    <w:p w14:paraId="10B407B0" w14:textId="77777777" w:rsidR="00D039ED" w:rsidRPr="008F3B22" w:rsidRDefault="00D039ED" w:rsidP="00D039ED">
      <w:pPr>
        <w:pStyle w:val="NormalHanging12a"/>
      </w:pPr>
      <w:r w:rsidRPr="008F3B22">
        <w:t>–</w:t>
      </w:r>
      <w:r w:rsidRPr="008F3B22">
        <w:tab/>
        <w:t>Tendo em conta o relatório da Comissão dos Assuntos Externos (A10-0075/2025),</w:t>
      </w:r>
    </w:p>
    <w:p w14:paraId="6597A8D4" w14:textId="77777777" w:rsidR="00D039ED" w:rsidRPr="008F3B22" w:rsidRDefault="00D039ED" w:rsidP="00D039ED">
      <w:pPr>
        <w:pStyle w:val="NormalHanging12a"/>
      </w:pPr>
      <w:r w:rsidRPr="008F3B22">
        <w:t>A.</w:t>
      </w:r>
      <w:r w:rsidRPr="008F3B22">
        <w:tab/>
        <w:t>Considerando que a política de alargamento é um dos instrumentos mais eficazes de política externa da UE e uma das políticas mais bem-sucedidas para favorecer e incentivar reformas fundamentais e representa um investimento geoestratégico na paz, democracia, estabilidade e segurança a longo prazo em todo o continente;</w:t>
      </w:r>
    </w:p>
    <w:p w14:paraId="0634A835" w14:textId="77777777" w:rsidR="00D039ED" w:rsidRPr="008F3B22" w:rsidRDefault="00D039ED" w:rsidP="00D039ED">
      <w:pPr>
        <w:pStyle w:val="NormalHanging12a"/>
      </w:pPr>
      <w:r w:rsidRPr="008F3B22">
        <w:t>B.</w:t>
      </w:r>
      <w:r w:rsidRPr="008F3B22">
        <w:tab/>
        <w:t>Considerando que a democracia, o respeito pelos direitos humanos e o Estado de direito são os valores fundamentais em que a UE se alicerça;</w:t>
      </w:r>
    </w:p>
    <w:p w14:paraId="2D25AEE7" w14:textId="77777777" w:rsidR="00D039ED" w:rsidRPr="008F3B22" w:rsidRDefault="00D039ED" w:rsidP="00D039ED">
      <w:pPr>
        <w:pStyle w:val="NormalHanging12a"/>
      </w:pPr>
      <w:r w:rsidRPr="008F3B22">
        <w:lastRenderedPageBreak/>
        <w:t>C.</w:t>
      </w:r>
      <w:r w:rsidRPr="008F3B22">
        <w:tab/>
        <w:t>Considerando que o processo de alargamento da UE é um instrumento estratégico para reforçar a estabilidade, a democracia e o desenvolvimento económico na Europa e que cada país candidato é avaliado com base nos seus próprios méritos e que é a execução das reformas necessárias e o cumprimento do conjunto de critérios e valores europeus comuns que determinam o calendário e os progressos na via da adesão;</w:t>
      </w:r>
      <w:r w:rsidRPr="008F3B22">
        <w:rPr>
          <w:b/>
        </w:rPr>
        <w:t xml:space="preserve"> </w:t>
      </w:r>
      <w:r w:rsidRPr="008F3B22">
        <w:t>que a trajetória do Kosovo rumo à adesão à UE depende também da normalização das suas relações com a Sérvia;</w:t>
      </w:r>
    </w:p>
    <w:p w14:paraId="19B3AFDC" w14:textId="77777777" w:rsidR="00D039ED" w:rsidRPr="008F3B22" w:rsidRDefault="00D039ED" w:rsidP="00D039ED">
      <w:pPr>
        <w:pStyle w:val="NormalHanging12a"/>
      </w:pPr>
      <w:r w:rsidRPr="008F3B22">
        <w:t>D.</w:t>
      </w:r>
      <w:r w:rsidRPr="008F3B22">
        <w:tab/>
        <w:t>Considerando que a UE é o maior dador de apoio financeiro ao Kosovo;</w:t>
      </w:r>
    </w:p>
    <w:p w14:paraId="1D6E3988" w14:textId="77777777" w:rsidR="00D039ED" w:rsidRPr="008F3B22" w:rsidRDefault="00D039ED" w:rsidP="00D039ED">
      <w:pPr>
        <w:pStyle w:val="NormalHanging12a"/>
        <w:rPr>
          <w:szCs w:val="24"/>
        </w:rPr>
      </w:pPr>
      <w:r w:rsidRPr="008F3B22">
        <w:t>E.</w:t>
      </w:r>
      <w:r w:rsidRPr="008F3B22">
        <w:tab/>
        <w:t xml:space="preserve">Considerando que o Kosovo tem sido sujeito a ingerências estrangeiras e campanhas de desinformação, em particular da Rússia, designadamente através de meios de comunicação nacionalistas sérvios, e da China, graças ao poder de influência («soft </w:t>
      </w:r>
      <w:proofErr w:type="spellStart"/>
      <w:r w:rsidRPr="008F3B22">
        <w:t>power</w:t>
      </w:r>
      <w:proofErr w:type="spellEnd"/>
      <w:r w:rsidRPr="008F3B22">
        <w:t xml:space="preserve">»), com o objetivo de desestabilizar as suas instituições democráticas, comprometer a coesão social e incitar à violência étnica; que o ataque de </w:t>
      </w:r>
      <w:proofErr w:type="spellStart"/>
      <w:r w:rsidRPr="008F3B22">
        <w:t>Banjska</w:t>
      </w:r>
      <w:proofErr w:type="spellEnd"/>
      <w:r w:rsidRPr="008F3B22">
        <w:t>/</w:t>
      </w:r>
      <w:proofErr w:type="spellStart"/>
      <w:r w:rsidRPr="008F3B22">
        <w:t>Banjskë</w:t>
      </w:r>
      <w:proofErr w:type="spellEnd"/>
      <w:r w:rsidRPr="008F3B22">
        <w:t>, em setembro de 2023, foi seguido de uma propagação em larga escala de desinformação que exacerbou ainda mais as tensões; que as autoridades do Kosovo adotaram a Lei relativa à comissão independente para os meios de comunicação social em julho de 2024; que, em maio de 2024, o Conselho da Europa publicou um parecer jurídico sobre o projeto de lei relativo à comissão independente para os meios de comunicação social, manifestando preocupações relacionadas com determinados aspetos deste projeto de lei e formulando recomendações sobre a forma de dar resposta a estas preocupações; que o texto final da Lei relativa à comissão independente para os meios de comunicação social não acautelou a maioria das recomendações formuladas;</w:t>
      </w:r>
    </w:p>
    <w:p w14:paraId="28A1C922" w14:textId="77777777" w:rsidR="00D039ED" w:rsidRPr="008F3B22" w:rsidRDefault="00D039ED" w:rsidP="00D039ED">
      <w:pPr>
        <w:pStyle w:val="NormalHanging12a"/>
        <w:rPr>
          <w:b/>
          <w:szCs w:val="24"/>
        </w:rPr>
      </w:pPr>
      <w:r w:rsidRPr="008F3B22">
        <w:t>F.</w:t>
      </w:r>
      <w:r w:rsidRPr="008F3B22">
        <w:tab/>
        <w:t>Considerando que a Missão da União Europeia para o Estado de Direito no Kosovo, também conhecida por EULEX, é a maior missão civil jamais lançada no âmbito da política comum de segurança e defesa da União Europeia;</w:t>
      </w:r>
    </w:p>
    <w:p w14:paraId="61ADF611" w14:textId="77777777" w:rsidR="00D039ED" w:rsidRPr="008F3B22" w:rsidRDefault="00D039ED" w:rsidP="00D039ED">
      <w:pPr>
        <w:pStyle w:val="NormalHanging12a"/>
        <w:rPr>
          <w:szCs w:val="24"/>
        </w:rPr>
      </w:pPr>
      <w:r w:rsidRPr="008F3B22">
        <w:t>G.</w:t>
      </w:r>
      <w:r w:rsidRPr="008F3B22">
        <w:tab/>
        <w:t>Considerando que, em 2018 e 2023, foram assinadas petições por mais de 500 pessoas que, historicamente, se identificam como búlgaras;</w:t>
      </w:r>
    </w:p>
    <w:p w14:paraId="69C5C669" w14:textId="77777777" w:rsidR="00D039ED" w:rsidRPr="008F3B22" w:rsidRDefault="00D039ED" w:rsidP="00D039ED">
      <w:pPr>
        <w:pStyle w:val="Normal12a24b"/>
      </w:pPr>
      <w:r w:rsidRPr="008F3B22">
        <w:rPr>
          <w:rStyle w:val="BoldItalic"/>
        </w:rPr>
        <w:t>Empenho na adesão à UE</w:t>
      </w:r>
    </w:p>
    <w:p w14:paraId="63599AFC" w14:textId="77777777" w:rsidR="00D039ED" w:rsidRPr="008F3B22" w:rsidRDefault="00D039ED" w:rsidP="00D039ED">
      <w:pPr>
        <w:pStyle w:val="NormalHanging12a"/>
      </w:pPr>
      <w:r w:rsidRPr="008F3B22">
        <w:t>1.</w:t>
      </w:r>
      <w:r w:rsidRPr="008F3B22">
        <w:tab/>
        <w:t>Louva o empenho do Kosovo na via da adesão à UE, que reflete uma clara escolha geopolítica estratégica, e congratula-se com o apoio firme e constante dos seus cidadãos à trajetória europeia do Kosovo; reafirma que o Kosovo tem dado provas de persistência nos seus esforços de integração na União Europeia;</w:t>
      </w:r>
    </w:p>
    <w:p w14:paraId="7F9BA483" w14:textId="77777777" w:rsidR="00D039ED" w:rsidRPr="008F3B22" w:rsidRDefault="00D039ED" w:rsidP="00D039ED">
      <w:pPr>
        <w:pStyle w:val="NormalHanging12a"/>
      </w:pPr>
      <w:r w:rsidRPr="008F3B22">
        <w:t>2.</w:t>
      </w:r>
      <w:r w:rsidRPr="008F3B22">
        <w:tab/>
        <w:t>Reitera a sua firme convicção de que o futuro do Kosovo reside na UE e que todos os esforços para retirar o Kosovo da «zona cinzenta» são do interesse tanto da população do Kosovo como da UE, designadamente no contexto das atuais dinâmicas geopolíticas na região, de mudanças rápidas e profundas na política mundial e da crescente rivalidade com regimes autoritários;</w:t>
      </w:r>
    </w:p>
    <w:p w14:paraId="1103362C" w14:textId="77777777" w:rsidR="00D039ED" w:rsidRPr="008F3B22" w:rsidRDefault="00D039ED" w:rsidP="00D039ED">
      <w:pPr>
        <w:pStyle w:val="NormalHanging12a"/>
        <w:rPr>
          <w:szCs w:val="24"/>
        </w:rPr>
      </w:pPr>
      <w:r w:rsidRPr="008F3B22">
        <w:t>3.</w:t>
      </w:r>
      <w:r w:rsidRPr="008F3B22">
        <w:tab/>
        <w:t xml:space="preserve">Apoia o pedido de adesão do Kosovo à UE, que reflete o consenso esmagador entre os partidos quanto à integração europeia e que constitui uma clara escolha estratégica no plano geopolítico; reitera o seu apelo aos Estados-Membros reunidos no Conselho para que encarreguem a Comissão de apresentar o seu questionário e de elaborar um parecer sobre o mérito da candidatura do país; exorta os cinco Estados-Membros que ainda não reconheceram a independência do Kosovo a fazê-lo sem demora, permitindo-lhe assim avançar na sua trajetória europeia em pé de igualdade com os demais países candidatos;  </w:t>
      </w:r>
      <w:r w:rsidRPr="008F3B22">
        <w:lastRenderedPageBreak/>
        <w:t>recorda, além disso, o parecer consultivo do TIJ, de 22 de julho de 2010, segundo o qual a declaração unilateral de independência do Kosovo não viola o direito internacional geral;</w:t>
      </w:r>
    </w:p>
    <w:p w14:paraId="4341DDC5" w14:textId="77777777" w:rsidR="00D039ED" w:rsidRPr="008F3B22" w:rsidRDefault="00D039ED" w:rsidP="00D039ED">
      <w:pPr>
        <w:pStyle w:val="NormalHanging12a"/>
      </w:pPr>
      <w:r w:rsidRPr="008F3B22">
        <w:t>4.</w:t>
      </w:r>
      <w:r w:rsidRPr="008F3B22">
        <w:tab/>
        <w:t>Recorda que a adesão à União Europeia se baseia num processo baseado no mérito, subordinado à aplicação rigorosa de reformas alinhadas com as mais elevadas normas europeias, em particular a conformidade com os critérios de Copenhaga e o Estado de direito, e assegura a aplicação efetiva da legislação na prática; incentiva o Kosovo a prosseguir os seus esforços a este respeito, reforçando ulteriormente o seu compromisso com os valores e as normas da União; salienta que o alargamento implica também uma preparação exaustiva de potenciais novos membros, a par do respeito pela estabilidade económica do mercado interno, pelas normas sociais e ambientais e pelo bom funcionamento das instituições europeias;</w:t>
      </w:r>
    </w:p>
    <w:p w14:paraId="50E5B9B7" w14:textId="77777777" w:rsidR="00D039ED" w:rsidRPr="008F3B22" w:rsidRDefault="00D039ED" w:rsidP="00D039ED">
      <w:pPr>
        <w:pStyle w:val="NormalHanging12a"/>
      </w:pPr>
      <w:r w:rsidRPr="008F3B22">
        <w:t>5.</w:t>
      </w:r>
      <w:r w:rsidRPr="008F3B22">
        <w:tab/>
        <w:t>Congratula-se com a liberalização do regime de vistos, adotada em abril de 2023 e em vigor desde 1 de janeiro de 2024, como resultado tangível das relações cada vez mais estreitas entre o Kosovo e a UE e prova dos esforços daquele país na trajetória de integração europeia; congratula-se com a decisão do Kosovo de abolir unilateralmente os requisitos de visto aplicáveis aos cidadãos da Bósnia-Herzegovina; congratula-se com a decisão de Espanha de reconhecer os passaportes comuns emitidos pelo Kosovo como documentos de viagem válidos desde janeiro de 2024;</w:t>
      </w:r>
    </w:p>
    <w:p w14:paraId="18127195" w14:textId="77777777" w:rsidR="00D039ED" w:rsidRPr="008F3B22" w:rsidRDefault="00D039ED" w:rsidP="00D039ED">
      <w:pPr>
        <w:pStyle w:val="NormalHanging12a"/>
      </w:pPr>
      <w:r w:rsidRPr="008F3B22">
        <w:t>6.</w:t>
      </w:r>
      <w:r w:rsidRPr="008F3B22">
        <w:tab/>
        <w:t>Regista os progressos concretos alcançados nos domínios da justiça, liberdade e segurança, da luta contra a criminalidade organizada e de uma economia de mercado viável; lamenta os progressos limitados e advoga a aceleração das reformas no domínio do Estado de direito; congratula-se com a ambição do Kosovo de fazer avançar a execução das reformas, que continua a ser a prioridade do país; lamenta a ausência de quórum para a tomada de decisões na Assembleia Nacional do Kosovo, causada pelo boicote dos partidos políticos aos trabalhos da assembleia antes das eleições legislativas;</w:t>
      </w:r>
    </w:p>
    <w:p w14:paraId="169C1B47" w14:textId="77777777" w:rsidR="00D039ED" w:rsidRPr="008F3B22" w:rsidRDefault="00D039ED" w:rsidP="00D039ED">
      <w:pPr>
        <w:pStyle w:val="NormalHanging12a"/>
      </w:pPr>
      <w:r w:rsidRPr="008F3B22">
        <w:t>7.</w:t>
      </w:r>
      <w:r w:rsidRPr="008F3B22">
        <w:tab/>
        <w:t>Lamenta a politização de instituições como a comissão central de eleições e a comissão independente para os meios de comunicação social;</w:t>
      </w:r>
    </w:p>
    <w:p w14:paraId="7DCF2478" w14:textId="77777777" w:rsidR="00D039ED" w:rsidRPr="008F3B22" w:rsidRDefault="00D039ED" w:rsidP="00D039ED">
      <w:pPr>
        <w:pStyle w:val="NormalHanging12a"/>
      </w:pPr>
      <w:r w:rsidRPr="008F3B22">
        <w:t>8.</w:t>
      </w:r>
      <w:r w:rsidRPr="008F3B22">
        <w:tab/>
        <w:t>Saúda o atual alinhamento do Kosovo pela política externa e de segurança da UE, em particular a sua firme condenação da guerra de agressão da Rússia contra a Ucrânia, e a sua aplicação das medidas restritivas da UE contra a Rússia e a Bielorrússia, em consonância com a política externa da União, bem como o seu apoio através de pacotes de ajuda humanitária e de assistência militar à Ucrânia, que confirmam que o Kosovo é um parceiro fiável e valioso empenhado na integração na UE e a sua clara orientação geopolítica, firmemente ancorada na aliança europeia e transatlântica;</w:t>
      </w:r>
    </w:p>
    <w:p w14:paraId="0EB6F9D8" w14:textId="77777777" w:rsidR="00D039ED" w:rsidRPr="008F3B22" w:rsidRDefault="00D039ED" w:rsidP="00D039ED">
      <w:pPr>
        <w:pStyle w:val="NormalHanging12a"/>
        <w:rPr>
          <w:szCs w:val="24"/>
        </w:rPr>
      </w:pPr>
      <w:r w:rsidRPr="008F3B22">
        <w:t>9.</w:t>
      </w:r>
      <w:r w:rsidRPr="008F3B22">
        <w:tab/>
        <w:t>Preconiza o levantamento imediato das medidas da UE contra o Kosovo, que já não se justificam, uma vez que o Kosovo cumpriu as exigências impostas pela UE e uma vez que as medidas estão também em flagrante contradição com o apego demonstrado pelo Kosovo em relação aos valores europeus e o alinhamento pelas políticas da UE, o que circunscreve o impacto da parceria da UE com o Kosovo e dificulta o reatamento do diálogo de boa-fé entre Belgrado e Pristina;</w:t>
      </w:r>
    </w:p>
    <w:p w14:paraId="1C9B9CD3" w14:textId="77777777" w:rsidR="00D039ED" w:rsidRPr="008F3B22" w:rsidRDefault="00D039ED" w:rsidP="00D039ED">
      <w:pPr>
        <w:pStyle w:val="NormalHanging12a"/>
      </w:pPr>
      <w:r w:rsidRPr="008F3B22">
        <w:t>10.</w:t>
      </w:r>
      <w:r w:rsidRPr="008F3B22">
        <w:tab/>
        <w:t xml:space="preserve">Reitera o seu total apoio ao pedido de adesão do Kosovo ao Conselho da Europa, ao plano de orientação estratégica do país de aderir ao programa «Parceria para a Paz» da NATO e aos pedidos de adesão a outras organizações internacionais; insta as </w:t>
      </w:r>
      <w:r w:rsidRPr="008F3B22">
        <w:lastRenderedPageBreak/>
        <w:t>organizações pertinentes e os Estados-Membros a apoiarem de forma pró-ativa os diferentes pedidos de adesão apresentados pelo Kosovo;</w:t>
      </w:r>
      <w:r w:rsidRPr="008F3B22">
        <w:rPr>
          <w:color w:val="FF0000"/>
        </w:rPr>
        <w:t xml:space="preserve"> </w:t>
      </w:r>
      <w:r w:rsidRPr="008F3B22">
        <w:t>insta a Comissão e o Gabinete da UE no Kosovo a intensificarem os seus esforços para melhorar a visibilidade e promover o papel, os esforços e os benefícios de uma parceria mais estreita entre a UE e o Kosovo;</w:t>
      </w:r>
    </w:p>
    <w:p w14:paraId="18DC1DD3" w14:textId="77777777" w:rsidR="00D039ED" w:rsidRPr="008F3B22" w:rsidRDefault="00D039ED" w:rsidP="00D039ED">
      <w:pPr>
        <w:pStyle w:val="NormalHanging12a"/>
        <w:rPr>
          <w:b/>
          <w:i/>
        </w:rPr>
      </w:pPr>
      <w:r w:rsidRPr="008F3B22">
        <w:t>11.</w:t>
      </w:r>
      <w:r w:rsidRPr="008F3B22">
        <w:rPr>
          <w:b/>
          <w:i/>
        </w:rPr>
        <w:tab/>
      </w:r>
      <w:r w:rsidRPr="008F3B22">
        <w:t>Congratula-se com o facto de o Kosovo ter reduzido o ónus administrativo através da simplificação dos procedimentos, mormente da execução do programa conexo para 2022-2027; observa que o quadro estratégico para a administração pública está em vigor, mas não é aplicado de forma eficiente; lamenta que os atrasos na reforma da administração pública tenham enfraquecido a gestão do financiamento da UE e que a prestação de contas no setor público seja insuficiente; insta o Kosovo a melhorar a administração pública e o sistema da função pública com base no mérito, alterando e adotando a Lei relativa à função pública e a Lei relativa ao conselho independente de supervisão da função pública;</w:t>
      </w:r>
    </w:p>
    <w:p w14:paraId="4F70F2F4" w14:textId="77777777" w:rsidR="00D039ED" w:rsidRPr="008F3B22" w:rsidRDefault="00D039ED" w:rsidP="00D039ED">
      <w:pPr>
        <w:pStyle w:val="NormalHanging12a"/>
      </w:pPr>
      <w:r w:rsidRPr="008F3B22">
        <w:t>12.</w:t>
      </w:r>
      <w:r w:rsidRPr="008F3B22">
        <w:tab/>
        <w:t>Lamenta que o acórdão do Tribunal Constitucional do Kosovo sobre a Lei relativa aos salários, que unifica o atual sistema de remuneração dos funcionários públicos, ainda não esteja operacional; insta o Governo do Kosovo a rever a sua legislação em matéria de gestão das finanças públicas, a fim de cumprir as normas internacionais e incorporar a metodologia de investimento público na legislação revista;</w:t>
      </w:r>
    </w:p>
    <w:p w14:paraId="3B256989" w14:textId="77777777" w:rsidR="00D039ED" w:rsidRPr="008F3B22" w:rsidRDefault="00D039ED" w:rsidP="00D039ED">
      <w:pPr>
        <w:pStyle w:val="NormalHanging12a"/>
        <w:rPr>
          <w:b/>
          <w:i/>
        </w:rPr>
      </w:pPr>
      <w:r w:rsidRPr="008F3B22">
        <w:rPr>
          <w:b/>
          <w:i/>
        </w:rPr>
        <w:t>Democracia e Estado de direito</w:t>
      </w:r>
    </w:p>
    <w:p w14:paraId="254E8004" w14:textId="77777777" w:rsidR="00D039ED" w:rsidRPr="008F3B22" w:rsidRDefault="00D039ED" w:rsidP="00D039ED">
      <w:pPr>
        <w:pStyle w:val="NormalHanging12a"/>
      </w:pPr>
      <w:r w:rsidRPr="008F3B22">
        <w:t>13.</w:t>
      </w:r>
      <w:r w:rsidRPr="008F3B22">
        <w:tab/>
        <w:t>Congratula-se com os progressos importantes e positivos realizados tendo em vista dar seguimento a muitas das recomendações de longa data da Missão de Observação Eleitoral da UE e propor uma lei consensual em matéria de eleições legislativas; observa que estes progressos proporcionam uma base adequada para a realização de eleições democráticas, em conformidade com as normas internacionais e regionais; assinala que, em resposta a um convite da presidente do Kosovo, a União Europeia enviou uma missão de observação eleitoral, incluindo uma delegação de observadores composta por deputados ao Parlamento Europeu, para observar as eleições legislativas organizadas no Kosovo, em 9 de fevereiro de 2025;</w:t>
      </w:r>
      <w:r w:rsidRPr="008F3B22">
        <w:rPr>
          <w:b/>
        </w:rPr>
        <w:t xml:space="preserve"> </w:t>
      </w:r>
      <w:r w:rsidRPr="008F3B22">
        <w:t xml:space="preserve">congratula-se com as conclusões da Missão de Observação Eleitoral da UE, que confirmam que as eleições de 9 de fevereiro de 2025 se desenrolaram de forma pacífica, livre e justa, com a participação de todas as comunidades do Kosovo; lamenta a retórica agressiva dos partidos políticos durante a campanha; regista os problemas técnicos encontrados durante o processo de contagem e incentiva as autoridades do Kosovo a redobrarem os seus esforços para melhorar a organização das próximas eleições; regista a inexistência de um verdadeiro pluralismo político na comunidade sérvia do Kosovo no contexto das eleições legislativas, apesar das múltiplas listas eleitorais sérvias do Kosovo; manifesta preocupação com os relatos de pressões constantes exercidas por Belgrado sobre os eleitores da comunidade sérvia; condena a ingerência repetida na campanha eleitoral por parte do enviado especial dos EUA, Richard </w:t>
      </w:r>
      <w:proofErr w:type="spellStart"/>
      <w:r w:rsidRPr="008F3B22">
        <w:t>Grenell</w:t>
      </w:r>
      <w:proofErr w:type="spellEnd"/>
      <w:r w:rsidRPr="008F3B22">
        <w:t>;</w:t>
      </w:r>
    </w:p>
    <w:p w14:paraId="4F91EBB9" w14:textId="36669531" w:rsidR="000D4CFE" w:rsidRPr="008F3B22" w:rsidRDefault="00E607C9" w:rsidP="00D039ED">
      <w:pPr>
        <w:pStyle w:val="NormalHanging12a"/>
        <w:rPr>
          <w:i/>
          <w:szCs w:val="24"/>
        </w:rPr>
      </w:pPr>
      <w:r w:rsidRPr="008F3B22">
        <w:t>14.</w:t>
      </w:r>
      <w:r w:rsidR="000D4CFE" w:rsidRPr="008F3B22">
        <w:tab/>
        <w:t>Regista com preocupação o impasse político resultante da fragmentação do panorama político e da incapacidade, até à data, de eleger um presidente do Parlamento, o que obsta à formação de um governo na sequência das eleições legislativas de 9 de fevereiro de 2025 e atrasa a apreciação parlamentar de vários textos orçamentais; incentiva os partidos políticos a trabalharem em conjunto para superar este impasse o mais rapidamente possível;</w:t>
      </w:r>
    </w:p>
    <w:p w14:paraId="2C0D02FB" w14:textId="1CE588C6" w:rsidR="00D039ED" w:rsidRPr="008F3B22" w:rsidRDefault="00E607C9" w:rsidP="00D039ED">
      <w:pPr>
        <w:pStyle w:val="NormalHanging12a"/>
      </w:pPr>
      <w:r w:rsidRPr="008F3B22">
        <w:lastRenderedPageBreak/>
        <w:t>15</w:t>
      </w:r>
      <w:r w:rsidR="00D039ED" w:rsidRPr="008F3B22">
        <w:t>.</w:t>
      </w:r>
      <w:r w:rsidR="00D039ED" w:rsidRPr="008F3B22">
        <w:tab/>
        <w:t>Observa com preocupação que a Lei relativa às eleições municipais e a Lei das eleições legislativas ainda não foram aplicadas nem harmonizadas com a Lei sobre a igualdade de género, que impõe uma representação paritária de 50 % de mulheres e homens; lamenta que as mulheres continuem a estar sub-representadas;</w:t>
      </w:r>
    </w:p>
    <w:p w14:paraId="0A382ACF" w14:textId="2CBCD9FD" w:rsidR="00D039ED" w:rsidRPr="008F3B22" w:rsidRDefault="00E607C9" w:rsidP="00D039ED">
      <w:pPr>
        <w:pStyle w:val="NormalHanging12a"/>
      </w:pPr>
      <w:r w:rsidRPr="008F3B22">
        <w:t>16</w:t>
      </w:r>
      <w:r w:rsidR="00D039ED" w:rsidRPr="008F3B22">
        <w:t>.</w:t>
      </w:r>
      <w:r w:rsidR="00D039ED" w:rsidRPr="008F3B22">
        <w:tab/>
        <w:t>Congratula-se com a adoção da Lei relativa ao gabinete especial do Ministério Público e com os progressos realizados no julgamento de casos de corrupção;</w:t>
      </w:r>
      <w:r w:rsidR="00D039ED" w:rsidRPr="008F3B22">
        <w:rPr>
          <w:b/>
          <w:i/>
        </w:rPr>
        <w:t xml:space="preserve"> </w:t>
      </w:r>
      <w:r w:rsidR="00D039ED" w:rsidRPr="008F3B22">
        <w:t>louva o trabalho ativo do gabinete especial do Ministério Público na resolução de sete processos de crimes de guerra; solicita que seja clarificada a repartição de competências entre o gabinete especial do Ministério Público e o Ministério Público em matéria de investigação e ação penal; insta o Kosovo a continuar a reforçar o gabinete especial do Ministério Público, reforçando a sua capacidade para investigar e julgar processos de criminalidade organizada de grande visibilidade; solicita à polícia e ao gabinete especial do Ministério Público que colaborem estreitamente para gizar estratégias que permitam levar a cabo uma atividade de investigação mais eficaz, com uma clara divisão de responsabilidades;</w:t>
      </w:r>
    </w:p>
    <w:p w14:paraId="27CEEF96" w14:textId="64039261" w:rsidR="00D039ED" w:rsidRPr="008F3B22" w:rsidRDefault="00E607C9" w:rsidP="00D039ED">
      <w:pPr>
        <w:pStyle w:val="NormalHanging12a"/>
        <w:rPr>
          <w:bCs/>
          <w:iCs/>
        </w:rPr>
      </w:pPr>
      <w:r w:rsidRPr="008F3B22">
        <w:t>17</w:t>
      </w:r>
      <w:r w:rsidR="00D039ED" w:rsidRPr="008F3B22">
        <w:t>.</w:t>
      </w:r>
      <w:r w:rsidR="00D039ED" w:rsidRPr="008F3B22">
        <w:tab/>
        <w:t>Toma nota dos progressos alcançados pelo Kosovo na classificação do Índice de Perceção da Corrupção, uma vez que este país subiu 10 posições desde o ano passado; considera que se trata de uma evolução positiva, embora reconheça que tal se deve tanto a diminuições nas classificações de outros países como, de forma mais significativa, à adoção de legislação qualitativa, mas constata que a posição do Kosovo continua a ser amplamente insatisfatória; salienta que, para granjear a confiança das pessoas, é necessário não apenas proceder a reformas legislativas, mas também obter resultados visíveis no que toca à investigação, à ação penal e à condenação nos casos de corrupção a todos os níveis; lamenta que o Kosovo não disponha de uma estratégia de luta contra a corrupção desde 2019 e insta a que sejam envidados mais esforços para ultimar uma estratégia deste tipo com caráter prioritário; reitera que é necessário um forte empenho político para obter resultados sólidos na luta contra a corrupção de alto nível; reitera que é necessário um forte empenho político para obter resultados sólidos na luta contra a corrupção de alto nível;</w:t>
      </w:r>
    </w:p>
    <w:p w14:paraId="48CA23A9" w14:textId="1E4C12EB" w:rsidR="00D039ED" w:rsidRPr="008F3B22" w:rsidRDefault="00E607C9" w:rsidP="00D039ED">
      <w:pPr>
        <w:pStyle w:val="NormalHanging12a"/>
      </w:pPr>
      <w:r w:rsidRPr="008F3B22">
        <w:t>18</w:t>
      </w:r>
      <w:r w:rsidR="00D039ED" w:rsidRPr="008F3B22">
        <w:t>.</w:t>
      </w:r>
      <w:r w:rsidR="00D039ED" w:rsidRPr="008F3B22">
        <w:tab/>
        <w:t xml:space="preserve">Manifesta viva preocupação com as vulnerabilidades sistémicas do sistema judicial do Kosovo, em particular no concernente à independência do sistema judicial e ao respeito pela separação de poderes; reitera a sua preocupação com os atrasos nos julgamentos e as críticas incessantes formuladas por funcionários governamentais em relação às decisões judiciais em casos individuais; </w:t>
      </w:r>
      <w:r w:rsidR="000D4CFE" w:rsidRPr="008F3B22">
        <w:t>congratula-se com o facto de, em dezembro de 2024, o governo ter apresentado o seu projeto de lei sobre reformas judiciais à Comissão de Veneza e de esta ter emitido, em 18 de março de 2025, o seu primeiro parecer</w:t>
      </w:r>
      <w:r w:rsidR="00D039ED" w:rsidRPr="008F3B22">
        <w:t>; insta o Kosovo a velar por que a legislação que rege a integridade e a responsabilização do poder judicial esteja em conformidade com as normas europeias e as recomendações da Comissão de Veneza; insta o Governo do Kosovo a atribuir um orçamento adequado ao sistema judicial; congratula-se com a criação do tribunal de comércio, com os progressos registados no recrutamento de novos juízes e procuradores mediante um processo transparente e baseado no mérito e com uma melhoria geral da transparência;</w:t>
      </w:r>
    </w:p>
    <w:p w14:paraId="0DC6DFE4" w14:textId="677E961D" w:rsidR="00D039ED" w:rsidRPr="008F3B22" w:rsidRDefault="00E607C9" w:rsidP="00D039ED">
      <w:pPr>
        <w:pStyle w:val="NormalHanging12a"/>
        <w:rPr>
          <w:szCs w:val="24"/>
        </w:rPr>
      </w:pPr>
      <w:r w:rsidRPr="008F3B22">
        <w:t>19</w:t>
      </w:r>
      <w:r w:rsidR="00D039ED" w:rsidRPr="008F3B22">
        <w:t>.</w:t>
      </w:r>
      <w:r w:rsidR="00D039ED" w:rsidRPr="008F3B22">
        <w:tab/>
        <w:t xml:space="preserve">Congratula-se com a participação dos sérvios do Kosovo nas eleições legislativas e incentiva os seus representantes eleitos a desempenharem um papel ativo no quadro legislativo do Kosovo, em apoio de um futuro europeu neste país; lamenta, no entanto, o boicote de partidos que representam os sérvios do Kosovo durante as eleições municipais de abril de 2023 e o afastamento dos sérvios do Kosovo das instituições do </w:t>
      </w:r>
      <w:r w:rsidR="00D039ED" w:rsidRPr="008F3B22">
        <w:lastRenderedPageBreak/>
        <w:t>país; manifesta preocupação com a ingerência da Sérvia nas eleições legislativas através da «</w:t>
      </w:r>
      <w:proofErr w:type="spellStart"/>
      <w:r w:rsidR="00D039ED" w:rsidRPr="008F3B22">
        <w:t>Srpska</w:t>
      </w:r>
      <w:proofErr w:type="spellEnd"/>
      <w:r w:rsidR="00D039ED" w:rsidRPr="008F3B22">
        <w:t xml:space="preserve"> Lista» (SL);</w:t>
      </w:r>
    </w:p>
    <w:p w14:paraId="2187EAF9" w14:textId="7E51C114" w:rsidR="00D039ED" w:rsidRPr="008F3B22" w:rsidRDefault="00E607C9" w:rsidP="00D039ED">
      <w:pPr>
        <w:pStyle w:val="NormalHanging12a"/>
        <w:rPr>
          <w:b/>
        </w:rPr>
      </w:pPr>
      <w:r w:rsidRPr="008F3B22">
        <w:t>20</w:t>
      </w:r>
      <w:r w:rsidR="00D039ED" w:rsidRPr="008F3B22">
        <w:t>.</w:t>
      </w:r>
      <w:r w:rsidR="00D039ED" w:rsidRPr="008F3B22">
        <w:tab/>
        <w:t xml:space="preserve">Congratula-se com a execução, em março de 2024, do acórdão de 2016 do Tribunal Constitucional relativo à propriedade do terreno no qual está situado o mosteiro de </w:t>
      </w:r>
      <w:proofErr w:type="spellStart"/>
      <w:r w:rsidR="00D039ED" w:rsidRPr="008F3B22">
        <w:t>Visoki</w:t>
      </w:r>
      <w:proofErr w:type="spellEnd"/>
      <w:r w:rsidR="00D039ED" w:rsidRPr="008F3B22">
        <w:t xml:space="preserve"> </w:t>
      </w:r>
      <w:proofErr w:type="spellStart"/>
      <w:r w:rsidR="00D039ED" w:rsidRPr="008F3B22">
        <w:t>Deçani</w:t>
      </w:r>
      <w:proofErr w:type="spellEnd"/>
      <w:r w:rsidR="00D039ED" w:rsidRPr="008F3B22">
        <w:t>/</w:t>
      </w:r>
      <w:proofErr w:type="spellStart"/>
      <w:r w:rsidR="00D039ED" w:rsidRPr="008F3B22">
        <w:t>Dečani</w:t>
      </w:r>
      <w:proofErr w:type="spellEnd"/>
      <w:r w:rsidR="00D039ED" w:rsidRPr="008F3B22">
        <w:t>, segundo o qual o mosteiro está registado como proprietário do terreno;</w:t>
      </w:r>
    </w:p>
    <w:p w14:paraId="764E0E52" w14:textId="216927B6" w:rsidR="00D039ED" w:rsidRPr="008F3B22" w:rsidRDefault="00E607C9" w:rsidP="00D039ED">
      <w:pPr>
        <w:pStyle w:val="NormalHanging12a"/>
      </w:pPr>
      <w:r w:rsidRPr="008F3B22">
        <w:t>21</w:t>
      </w:r>
      <w:r w:rsidR="00D039ED" w:rsidRPr="008F3B22">
        <w:t>.</w:t>
      </w:r>
      <w:r w:rsidR="00D039ED" w:rsidRPr="008F3B22">
        <w:tab/>
        <w:t xml:space="preserve">Congratula-se com o aumento constante das condenações no domínio da criminalidade organizada e com o facto de o quadro jurídico em matéria de luta contra a criminalidade organizada estar alinhado pelo acervo da UE; salienta a necessidade de as autoridades judiciárias e a polícia reforçarem a sua ação conjunta contra grupos e redes criminosas; manifesta preocupação com os desafios em matéria de segurança no norte do Kosovo, em particular na sequência do ataque de </w:t>
      </w:r>
      <w:proofErr w:type="spellStart"/>
      <w:r w:rsidR="00D039ED" w:rsidRPr="008F3B22">
        <w:t>Banjska</w:t>
      </w:r>
      <w:proofErr w:type="spellEnd"/>
      <w:r w:rsidR="00D039ED" w:rsidRPr="008F3B22">
        <w:t>/</w:t>
      </w:r>
      <w:proofErr w:type="spellStart"/>
      <w:r w:rsidR="00D039ED" w:rsidRPr="008F3B22">
        <w:t>Banjskë</w:t>
      </w:r>
      <w:proofErr w:type="spellEnd"/>
      <w:r w:rsidR="00D039ED" w:rsidRPr="008F3B22">
        <w:t>, em setembro de 2023, que exigiu importantes recursos policiais; destaca a necessidade de aprofundar a cooperação no domínio da luta contra o tráfico de estupefacientes; preconiza um maior alinhamento no que diz respeito à luta contra o terrorismo;</w:t>
      </w:r>
    </w:p>
    <w:p w14:paraId="2B886503" w14:textId="5A2525F1" w:rsidR="00D039ED" w:rsidRPr="008F3B22" w:rsidRDefault="00E607C9" w:rsidP="00D039ED">
      <w:pPr>
        <w:pStyle w:val="NormalHanging12a"/>
      </w:pPr>
      <w:r w:rsidRPr="008F3B22">
        <w:t>22</w:t>
      </w:r>
      <w:r w:rsidR="00D039ED" w:rsidRPr="008F3B22">
        <w:t>.</w:t>
      </w:r>
      <w:r w:rsidR="00D039ED" w:rsidRPr="008F3B22">
        <w:tab/>
        <w:t>Congratula-se com a adoção da estratégia e do plano de ação em matéria de controlo de armas ligeiras e de pequeno calibre e explosivos, bem como com o elevado nível de cumprimento das regras do Protocolo das Nações Unidas sobre armas de fogo;</w:t>
      </w:r>
    </w:p>
    <w:p w14:paraId="2A97FC6F" w14:textId="5E2D6A90" w:rsidR="00D039ED" w:rsidRPr="008F3B22" w:rsidRDefault="00E607C9" w:rsidP="00D039ED">
      <w:pPr>
        <w:pStyle w:val="NormalHanging12a"/>
      </w:pPr>
      <w:r w:rsidRPr="008F3B22">
        <w:t>23</w:t>
      </w:r>
      <w:r w:rsidR="00D039ED" w:rsidRPr="008F3B22">
        <w:t>.</w:t>
      </w:r>
      <w:r w:rsidR="00D039ED" w:rsidRPr="008F3B22">
        <w:tab/>
        <w:t>Continua preocupado com a lentidão observada na aplicação da estratégia e do plano de ação para o Estado de direito;</w:t>
      </w:r>
    </w:p>
    <w:p w14:paraId="23BBE7B9" w14:textId="0F5DF241" w:rsidR="00D039ED" w:rsidRPr="008F3B22" w:rsidRDefault="00E607C9" w:rsidP="00D039ED">
      <w:pPr>
        <w:pStyle w:val="NormalHanging12a"/>
      </w:pPr>
      <w:r w:rsidRPr="008F3B22">
        <w:t>24</w:t>
      </w:r>
      <w:r w:rsidR="00D039ED" w:rsidRPr="008F3B22">
        <w:t>.</w:t>
      </w:r>
      <w:r w:rsidR="00D039ED" w:rsidRPr="008F3B22">
        <w:tab/>
        <w:t>Reafirma o seu compromisso de manter e reforçar a sua cooperação com o parlamento do Kosovo e os seus membros, em apoio dos processos democráticos relacionados com a trajetória europeia deste país, lançando mão dos instrumentos e das iniciativas de apoio à democracia existentes no Parlamento; considera que esta parceria pode ser revitalizada e ulteriormente reforçada na sequência das eleições democráticas de 9 de fevereiro de 2025;</w:t>
      </w:r>
      <w:r w:rsidR="00D039ED" w:rsidRPr="008F3B22">
        <w:rPr>
          <w:b/>
          <w:i/>
        </w:rPr>
        <w:t xml:space="preserve"> </w:t>
      </w:r>
      <w:r w:rsidR="00D039ED" w:rsidRPr="008F3B22">
        <w:t>incentiva a participação ativa e a colaboração de todos os membros eleitos da nova Assembleia do Kosovo;</w:t>
      </w:r>
    </w:p>
    <w:p w14:paraId="7AB55CED" w14:textId="22235639" w:rsidR="00D039ED" w:rsidRPr="008F3B22" w:rsidRDefault="00E607C9" w:rsidP="00D039ED">
      <w:pPr>
        <w:pStyle w:val="NormalHanging12a"/>
      </w:pPr>
      <w:r w:rsidRPr="008F3B22">
        <w:t>25</w:t>
      </w:r>
      <w:r w:rsidR="00D039ED" w:rsidRPr="008F3B22">
        <w:t>.</w:t>
      </w:r>
      <w:r w:rsidR="00D039ED" w:rsidRPr="008F3B22">
        <w:tab/>
        <w:t xml:space="preserve">Condena os graves incidentes de segurança ocorridos no norte do Kosovo no final de novembro de 2024, tendo o incidente mais grave ocorrido perto da aldeia de </w:t>
      </w:r>
      <w:proofErr w:type="spellStart"/>
      <w:r w:rsidR="00D039ED" w:rsidRPr="008F3B22">
        <w:t>Vragë</w:t>
      </w:r>
      <w:proofErr w:type="spellEnd"/>
      <w:r w:rsidR="00D039ED" w:rsidRPr="008F3B22">
        <w:t xml:space="preserve">, no município de </w:t>
      </w:r>
      <w:proofErr w:type="spellStart"/>
      <w:r w:rsidR="00D039ED" w:rsidRPr="008F3B22">
        <w:t>Zubin</w:t>
      </w:r>
      <w:proofErr w:type="spellEnd"/>
      <w:r w:rsidR="00D039ED" w:rsidRPr="008F3B22">
        <w:t xml:space="preserve"> </w:t>
      </w:r>
      <w:proofErr w:type="spellStart"/>
      <w:r w:rsidR="00D039ED" w:rsidRPr="008F3B22">
        <w:t>Potok</w:t>
      </w:r>
      <w:proofErr w:type="spellEnd"/>
      <w:r w:rsidR="00D039ED" w:rsidRPr="008F3B22">
        <w:t xml:space="preserve">, onde engenhos explosivos danificaram infraestruturas críticas, nomeadamente o canal vital do sistema hídrico </w:t>
      </w:r>
      <w:proofErr w:type="spellStart"/>
      <w:r w:rsidR="00D039ED" w:rsidRPr="008F3B22">
        <w:t>Ibër</w:t>
      </w:r>
      <w:proofErr w:type="spellEnd"/>
      <w:r w:rsidR="00D039ED" w:rsidRPr="008F3B22">
        <w:t xml:space="preserve"> </w:t>
      </w:r>
      <w:proofErr w:type="spellStart"/>
      <w:r w:rsidR="00D039ED" w:rsidRPr="008F3B22">
        <w:t>Lepenc</w:t>
      </w:r>
      <w:proofErr w:type="spellEnd"/>
      <w:r w:rsidR="00D039ED" w:rsidRPr="008F3B22">
        <w:t>; manifesta o seu apoio às instituições do Kosovo na realização de uma investigação exaustiva destas ações criminosas, para que os responsáveis possam ser julgados;</w:t>
      </w:r>
    </w:p>
    <w:p w14:paraId="1ABADD32" w14:textId="40AF7B6F" w:rsidR="00D039ED" w:rsidRPr="008F3B22" w:rsidRDefault="00E607C9" w:rsidP="00D039ED">
      <w:pPr>
        <w:pStyle w:val="NormalHanging12a"/>
      </w:pPr>
      <w:r w:rsidRPr="008F3B22">
        <w:t>26</w:t>
      </w:r>
      <w:r w:rsidR="00D039ED" w:rsidRPr="008F3B22">
        <w:t>.</w:t>
      </w:r>
      <w:r w:rsidR="00D039ED" w:rsidRPr="008F3B22">
        <w:tab/>
        <w:t>Louva o trabalho da EULEX, que tem ajudado as autoridades do Kosovo a criar instituições duradouras e independentes no domínio do Estado de direito;</w:t>
      </w:r>
    </w:p>
    <w:p w14:paraId="0DC48CA0" w14:textId="77777777" w:rsidR="00D039ED" w:rsidRPr="008F3B22" w:rsidRDefault="00D039ED" w:rsidP="00D039ED">
      <w:pPr>
        <w:pStyle w:val="NormalHanging12a"/>
      </w:pPr>
      <w:r w:rsidRPr="008F3B22">
        <w:rPr>
          <w:b/>
          <w:i/>
        </w:rPr>
        <w:t>Liberdades fundamentais e direitos humanos</w:t>
      </w:r>
    </w:p>
    <w:p w14:paraId="48539836" w14:textId="271F2A0B" w:rsidR="00D039ED" w:rsidRPr="008F3B22" w:rsidRDefault="00E607C9" w:rsidP="00D039ED">
      <w:pPr>
        <w:pStyle w:val="NormalHanging12a"/>
        <w:rPr>
          <w:szCs w:val="24"/>
        </w:rPr>
      </w:pPr>
      <w:r w:rsidRPr="008F3B22">
        <w:t>27</w:t>
      </w:r>
      <w:r w:rsidR="00D039ED" w:rsidRPr="008F3B22">
        <w:t>.</w:t>
      </w:r>
      <w:r w:rsidR="00D039ED" w:rsidRPr="008F3B22">
        <w:tab/>
        <w:t>Observa que o Kosovo dispõe do quadro institucional necessário para a promoção e a proteção dos direitos humanos; congratula-se com a adoção da estratégia para a proteção e a promoção dos direitos das comunidades; salienta, no entanto, que a proteção dos direitos humanos continua a ser frágil devido à não aplicação da legislação, à falta de vontade política e a recursos humanos e financeiros limitados e preconiza o reforço dos mecanismos de execução e responsabilização;</w:t>
      </w:r>
    </w:p>
    <w:p w14:paraId="4A033166" w14:textId="719C9DDE" w:rsidR="00D039ED" w:rsidRPr="008F3B22" w:rsidRDefault="00E607C9" w:rsidP="00D039ED">
      <w:pPr>
        <w:pStyle w:val="NormalHanging12a"/>
        <w:rPr>
          <w:szCs w:val="24"/>
        </w:rPr>
      </w:pPr>
      <w:r w:rsidRPr="008F3B22">
        <w:t>28</w:t>
      </w:r>
      <w:r w:rsidR="00D039ED" w:rsidRPr="008F3B22">
        <w:t>.</w:t>
      </w:r>
      <w:r w:rsidR="00D039ED" w:rsidRPr="008F3B22">
        <w:tab/>
        <w:t xml:space="preserve">Reconhece que a Constituição do Kosovo é muito progressista em termos de proteção </w:t>
      </w:r>
      <w:r w:rsidR="00D039ED" w:rsidRPr="008F3B22">
        <w:lastRenderedPageBreak/>
        <w:t>dos direitos das minorias; observa, com pesar, que a petição assinada por quase 500 pessoas, que, do ponto de vista histórico, se identificam como búlgaras, depositada na Assembleia do Kosovo em maio de 2023, ainda não foi analisada, e recomenda que esses direitos sejam consagrados na lei e garantidos na prática; insta o Kosovo a velar por que todas as minorias reconhecidas ao abrigo da Lei relativa à proteção dos direitos das minorias e membros das suas comunidades sejam integralmente incorporadas na Constituição do país; insta as autoridades do Kosovo a intensificarem os esforços para proteger os direitos de todas as minorias, incluindo as comunidades nacionais, em particular as comunidades nacionais vulneráveis, e a proporcionar-lhes igualdade de oportunidades e representação adequada na vida política e cultural, nos meios de comunicação social públicos, na administração e no sistema judicial, bem como a impedirem a sua assimilação, a promoverem a sua integração na sociedade do Kosovo e a reforçarem as medidas destinadas a superar os desafios sociais e económicos enfrentados por estas minorias nacionais;</w:t>
      </w:r>
    </w:p>
    <w:p w14:paraId="778AF177" w14:textId="20613E7E" w:rsidR="00D039ED" w:rsidRPr="008F3B22" w:rsidRDefault="00E607C9" w:rsidP="00D039ED">
      <w:pPr>
        <w:pStyle w:val="NormalHanging12a"/>
        <w:rPr>
          <w:szCs w:val="24"/>
        </w:rPr>
      </w:pPr>
      <w:r w:rsidRPr="008F3B22">
        <w:t>29</w:t>
      </w:r>
      <w:r w:rsidR="00D039ED" w:rsidRPr="008F3B22">
        <w:t>.</w:t>
      </w:r>
      <w:r w:rsidR="00D039ED" w:rsidRPr="008F3B22">
        <w:tab/>
        <w:t>Congratula-se com o reforço do financiamento destinado a abrigos para vítimas de violência doméstica e de tráfico; observa que a violência doméstica continua a ser a forma mais comum de violência de género; manifesta preocupação pelo facto de o sistema continuar a não garantir uma prevenção eficaz da violência doméstica;</w:t>
      </w:r>
    </w:p>
    <w:p w14:paraId="285E5326" w14:textId="4DA73087" w:rsidR="00D039ED" w:rsidRPr="008F3B22" w:rsidRDefault="00E607C9" w:rsidP="00D039ED">
      <w:pPr>
        <w:pStyle w:val="NormalHanging12a"/>
        <w:rPr>
          <w:szCs w:val="24"/>
        </w:rPr>
      </w:pPr>
      <w:r w:rsidRPr="008F3B22">
        <w:rPr>
          <w:color w:val="000000" w:themeColor="text1"/>
        </w:rPr>
        <w:t>30</w:t>
      </w:r>
      <w:r w:rsidR="00D039ED" w:rsidRPr="008F3B22">
        <w:rPr>
          <w:color w:val="000000" w:themeColor="text1"/>
        </w:rPr>
        <w:t>.</w:t>
      </w:r>
      <w:r w:rsidR="00D039ED" w:rsidRPr="008F3B22">
        <w:rPr>
          <w:color w:val="000000" w:themeColor="text1"/>
        </w:rPr>
        <w:tab/>
      </w:r>
      <w:r w:rsidR="00D039ED" w:rsidRPr="008F3B22">
        <w:t>Lamenta que a adoção do projeto de Código Civil do Kosovo continue pendente; salienta que o projeto de Código Civil acautela várias questões importantes relacionadas com a igualdade de género enquanto valor fundamental da UE, nomeadamente a partilha equitativa de bens matrimoniais comuns entre mulheres e homens; salienta a importância de consagrar no Código Civil os direitos de todas as pessoas no Kosovo, de modo que os direitos constitucionais e as oportunidades da comunidade LGBTIQ sejam respeitados; manifesta preocupação pelo facto de as mulheres continuarem a estar sub-representadas nos altos cargos políticos, especificamente relacionados com a segurança e o diálogo, e salienta a necessidade urgente da sua participação nos processos de restabelecimento da paz e de reconciliação, em conformidade com a Resolução 1325 do Conselho de Segurança das Nações Unidas sobre as mulheres, a paz e a segurança; solicita que sejam envidados mais esforços para melhorar o estatuto das mulheres na sociedade;</w:t>
      </w:r>
    </w:p>
    <w:p w14:paraId="45A8A874" w14:textId="21FD9332" w:rsidR="00D039ED" w:rsidRPr="008F3B22" w:rsidRDefault="00E607C9" w:rsidP="00D039ED">
      <w:pPr>
        <w:pStyle w:val="NormalHanging12a"/>
        <w:rPr>
          <w:szCs w:val="24"/>
        </w:rPr>
      </w:pPr>
      <w:r w:rsidRPr="008F3B22">
        <w:t>31</w:t>
      </w:r>
      <w:r w:rsidR="00D039ED" w:rsidRPr="008F3B22">
        <w:t>.</w:t>
      </w:r>
      <w:r w:rsidR="00D039ED" w:rsidRPr="008F3B22">
        <w:tab/>
        <w:t xml:space="preserve">Observa que o sistema prisional segue, de um modo geral, as Regras Mínimas das Nações Unidas e solicita uma melhor proteção dos direitos dos reclusos, em particular das mulheres, das minorias e daqueles que padeçam de doenças do foro mental; continua preocupado com a persistência de uma linguagem discriminatória contra as mulheres e as pessoas LGBTIQ e insta as autoridades a criarem e aplicarem uma estratégia nacional em matéria de género para domínios de investigação como a ciência, a tecnologia, a engenharia e a matemática; louva a participação das mulheres em programas de formação empresarial e de gestão de elevada qualidade, bem como em domínios relacionados com as TIC, facilitados pelos fundos do Instrumentos de Assistência de Pré-Adesão; lamenta que as mulheres pertencentes a grupos minoritários, em particular as comunidades cigana, </w:t>
      </w:r>
      <w:proofErr w:type="spellStart"/>
      <w:r w:rsidR="00D039ED" w:rsidRPr="008F3B22">
        <w:t>ascáli</w:t>
      </w:r>
      <w:proofErr w:type="spellEnd"/>
      <w:r w:rsidR="00D039ED" w:rsidRPr="008F3B22">
        <w:t xml:space="preserve"> e egípcia, enfrentem numerosas formas de discriminação, nomeadamente na educação, no emprego e no acesso aos cuidados de saúde; manifesta preocupação pelo facto de a administração central não representar adequadamente as comunidades minoritárias e de o número de mulheres em cargos superiores ser reduzido;</w:t>
      </w:r>
    </w:p>
    <w:p w14:paraId="72534733" w14:textId="1804AB13" w:rsidR="00D039ED" w:rsidRPr="008F3B22" w:rsidRDefault="00E607C9" w:rsidP="00D039ED">
      <w:pPr>
        <w:pStyle w:val="NormalHanging12a"/>
        <w:rPr>
          <w:szCs w:val="24"/>
        </w:rPr>
      </w:pPr>
      <w:r w:rsidRPr="008F3B22">
        <w:t>32</w:t>
      </w:r>
      <w:r w:rsidR="00D039ED" w:rsidRPr="008F3B22">
        <w:t>.</w:t>
      </w:r>
      <w:r w:rsidR="00D039ED" w:rsidRPr="008F3B22">
        <w:tab/>
        <w:t xml:space="preserve">Lamenta que a Convenção das Nações Unidas sobre os Direitos das Pessoas com Deficiência ainda não tenha sido adotada; manifesta preocupação pelo facto de existir </w:t>
      </w:r>
      <w:r w:rsidR="00D039ED" w:rsidRPr="008F3B22">
        <w:lastRenderedPageBreak/>
        <w:t>um alinhamento insuficiente entre a legislação do Kosovo e o acervo da UE em matéria de direitos das pessoas com deficiência, que enfrentam discriminação e obstáculos no acesso aos serviços sociais;</w:t>
      </w:r>
    </w:p>
    <w:p w14:paraId="7FDF604A" w14:textId="0623BD71" w:rsidR="00D039ED" w:rsidRPr="008F3B22" w:rsidRDefault="00E607C9" w:rsidP="00D039ED">
      <w:pPr>
        <w:pStyle w:val="NormalHanging12a"/>
        <w:rPr>
          <w:szCs w:val="24"/>
        </w:rPr>
      </w:pPr>
      <w:r w:rsidRPr="008F3B22">
        <w:t>33</w:t>
      </w:r>
      <w:r w:rsidR="00D039ED" w:rsidRPr="008F3B22">
        <w:t>.</w:t>
      </w:r>
      <w:r w:rsidR="00D039ED" w:rsidRPr="008F3B22">
        <w:tab/>
        <w:t xml:space="preserve">Congratula-se com a constante melhoria da posição do Kosovo no Índice de Democracia Liberal e no Índice de Democracia Eleitoral de 2024, elaborados pelo instituto </w:t>
      </w:r>
      <w:proofErr w:type="spellStart"/>
      <w:r w:rsidR="00D039ED" w:rsidRPr="008F3B22">
        <w:t>Varieties</w:t>
      </w:r>
      <w:proofErr w:type="spellEnd"/>
      <w:r w:rsidR="00D039ED" w:rsidRPr="008F3B22">
        <w:t xml:space="preserve"> </w:t>
      </w:r>
      <w:proofErr w:type="spellStart"/>
      <w:r w:rsidR="00D039ED" w:rsidRPr="008F3B22">
        <w:t>of</w:t>
      </w:r>
      <w:proofErr w:type="spellEnd"/>
      <w:r w:rsidR="00D039ED" w:rsidRPr="008F3B22">
        <w:t xml:space="preserve"> </w:t>
      </w:r>
      <w:proofErr w:type="spellStart"/>
      <w:r w:rsidR="00D039ED" w:rsidRPr="008F3B22">
        <w:t>Democracy</w:t>
      </w:r>
      <w:proofErr w:type="spellEnd"/>
      <w:r w:rsidR="00D039ED" w:rsidRPr="008F3B22">
        <w:t>, que medem o Estado de direito, o equilíbrio de poderes, as liberdades cívicas e a realização de eleições livres e justas;</w:t>
      </w:r>
    </w:p>
    <w:p w14:paraId="377E0553" w14:textId="24273ABF" w:rsidR="00D039ED" w:rsidRPr="008F3B22" w:rsidRDefault="00E607C9" w:rsidP="00D039ED">
      <w:pPr>
        <w:pStyle w:val="NormalHanging12a"/>
        <w:rPr>
          <w:color w:val="000000" w:themeColor="text1"/>
          <w:szCs w:val="24"/>
        </w:rPr>
      </w:pPr>
      <w:r w:rsidRPr="008F3B22">
        <w:t>34</w:t>
      </w:r>
      <w:r w:rsidR="00D039ED" w:rsidRPr="008F3B22">
        <w:t>.</w:t>
      </w:r>
      <w:r w:rsidR="00D039ED" w:rsidRPr="008F3B22">
        <w:tab/>
        <w:t>Toma nota do ambiente mediático pluralista do Kosovo enquanto se aguarda o acórdão do Tribunal Constitucional sobre a principal lei relativa aos meios de comunicação social, cuja independência decisória deve ser rigorosamente garantida e cujo funcionamento deve ser plenamente reposto; lamenta, no entanto, o declínio no tocante à liberdade dos meios de comunicação social do Kosovo, tal como demonstrado pela queda do país do 56.º para o 75.º lugar no Índice Mundial da Liberdade de Imprensa de 2024; reafirma que o pluralismo e a transparência dos meios de comunicação social são pré-requisitos para a adesão à UE; preconiza uma maior transparência quanto à propriedade e ao financiamento dos meios de comunicação social, de modo a reforçar a sua independência e pluralismo; salienta a necessidade de medidas rigorosas para proteger os jornalistas do assédio e da intimidação e para assegurar a independência dos organismos reguladores dos meios de comunicação social; regista as preocupações manifestadas pela sociedade civil relativamente à eleição, alegadamente por motivos políticos, do presidente da comissão independente para os meios de comunicação social; insta as autoridades do Kosovo a aprofundarem a revisão da Lei relativa à comissão independente para os meios de comunicação social, a fim de incluir as recomendações formuladas pelo Conselho da Europa, alinhando assim a legislação nacional pelas normas e práticas da UE; recomenda um maior apoio aos meios de comunicação social independentes e às organizações de verificação de factos no Kosovo, reconhecendo o seu papel crucial na luta contra a desinformação e na prestação de informações fidedignas ao público; incentiva a UE a prestar assistência técnica e financeira a estas entidades; encoraja as autoridades do Kosovo a solicitarem missões específicas de peritos no quadro da assistência técnica e de intercâmbio de informações; preconiza a adoção da Lei sobre a radiotelevisão do Kosovo e da Lei relativa à proteção das fontes jornalísticas;</w:t>
      </w:r>
    </w:p>
    <w:p w14:paraId="789F002A" w14:textId="100568B0" w:rsidR="00D039ED" w:rsidRPr="008F3B22" w:rsidRDefault="00E607C9" w:rsidP="00D039ED">
      <w:pPr>
        <w:pStyle w:val="NormalHanging12a"/>
        <w:rPr>
          <w:szCs w:val="24"/>
        </w:rPr>
      </w:pPr>
      <w:r w:rsidRPr="008F3B22">
        <w:t>35</w:t>
      </w:r>
      <w:r w:rsidR="00D039ED" w:rsidRPr="008F3B22">
        <w:t>.</w:t>
      </w:r>
      <w:r w:rsidR="00D039ED" w:rsidRPr="008F3B22">
        <w:tab/>
        <w:t xml:space="preserve">Manifesta preocupação com o recente ciberataque contra as infraestruturas digitais do Kosovo; insta o Governo do Kosovo a reforçar as suas capacidades para combater a ingerência estrangeira e a desinformação, em particular as provenientes de meios de comunicação nacionalistas sérvios e da Rússia, destinadas a desestabilizar a região e a comprometer a integração europeia dos Balcãs Ocidentais, mediante o desenvolvimento de estratégias globais que integrem campanhas de sensibilização do público que também permitam lutar contra a desinformação que compromete a participação das mulheres na vida pública, mediante o reforço da </w:t>
      </w:r>
      <w:proofErr w:type="spellStart"/>
      <w:r w:rsidR="00D039ED" w:rsidRPr="008F3B22">
        <w:t>cibersegurança</w:t>
      </w:r>
      <w:proofErr w:type="spellEnd"/>
      <w:r w:rsidR="00D039ED" w:rsidRPr="008F3B22">
        <w:t xml:space="preserve"> e das infraestruturas conexas, a promoção da colaboração com parceiros internacionais, nomeadamente a União Europeia, para proteger a sua economia digital, os seus serviços públicos e a sua segurança nacional, e mediante o combate às campanhas de desinformação e às ameaças híbridas que visam desestabilizar o país e comprometer a sua perspetiva europeia; incentiva a integração de programas de literacia mediática nos programas de ensino do Kosovo, a fim de dotar os cidadãos das competências necessárias para identificar e combater a desinformação;</w:t>
      </w:r>
    </w:p>
    <w:p w14:paraId="06D6423F" w14:textId="3A8DDD5D" w:rsidR="00D039ED" w:rsidRPr="008F3B22" w:rsidRDefault="00E607C9" w:rsidP="00D039ED">
      <w:pPr>
        <w:pStyle w:val="NormalHanging12a"/>
        <w:rPr>
          <w:bCs/>
        </w:rPr>
      </w:pPr>
      <w:r w:rsidRPr="008F3B22">
        <w:t>36</w:t>
      </w:r>
      <w:r w:rsidR="00D039ED" w:rsidRPr="008F3B22">
        <w:t>.</w:t>
      </w:r>
      <w:r w:rsidR="00D039ED" w:rsidRPr="008F3B22">
        <w:tab/>
        <w:t xml:space="preserve">Louva o facto de o Kosovo ter oferecido abrigo e asilo a jornalistas da Ucrânia e do </w:t>
      </w:r>
      <w:r w:rsidR="00D039ED" w:rsidRPr="008F3B22">
        <w:lastRenderedPageBreak/>
        <w:t>Afeganistão;</w:t>
      </w:r>
    </w:p>
    <w:p w14:paraId="64B82F72" w14:textId="6F71FFD1" w:rsidR="00D039ED" w:rsidRPr="008F3B22" w:rsidRDefault="00E607C9" w:rsidP="00D039ED">
      <w:pPr>
        <w:pStyle w:val="NormalHanging12a"/>
        <w:rPr>
          <w:szCs w:val="24"/>
        </w:rPr>
      </w:pPr>
      <w:r w:rsidRPr="008F3B22">
        <w:t>37</w:t>
      </w:r>
      <w:r w:rsidR="00D039ED" w:rsidRPr="008F3B22">
        <w:t>.</w:t>
      </w:r>
      <w:r w:rsidR="00D039ED" w:rsidRPr="008F3B22">
        <w:tab/>
        <w:t xml:space="preserve">Manifesta viva preocupação com o aumento significativo dos ataques contra jornalistas e das ações judiciais estratégicas contra a participação pública (processos SLAPP), inclusive por parte de funcionários governamentais; insta as autoridades a efetuarem progressos no que toca aos trabalhos sobre a legislação contra as ações judiciais estratégicas contra a participação pública, em conformidade com a nova Diretiva </w:t>
      </w:r>
      <w:r w:rsidR="00B16C90" w:rsidRPr="008F3B22">
        <w:t xml:space="preserve">(UE) </w:t>
      </w:r>
      <w:r w:rsidR="00D039ED" w:rsidRPr="008F3B22">
        <w:t>2024/1069</w:t>
      </w:r>
      <w:r w:rsidR="00D039ED" w:rsidRPr="008F3B22">
        <w:rPr>
          <w:rStyle w:val="FootnoteReference"/>
          <w:szCs w:val="24"/>
        </w:rPr>
        <w:footnoteReference w:id="7"/>
      </w:r>
      <w:r w:rsidR="00D039ED" w:rsidRPr="008F3B22">
        <w:t>; insta o Kosovo a empreender esforços ativos para garantir que os jornalistas sejam capazes de realizar o seu trabalho e para salvaguardar a plena liberdade dos meios de comunicação social que lhes permita operar de forma totalmente independente; sublinha a necessidade de pôr termo a todas as formas de violência;</w:t>
      </w:r>
    </w:p>
    <w:p w14:paraId="090109F9" w14:textId="036FD643" w:rsidR="00D039ED" w:rsidRPr="008F3B22" w:rsidRDefault="00E607C9" w:rsidP="00D039ED">
      <w:pPr>
        <w:pStyle w:val="NormalHanging12a"/>
      </w:pPr>
      <w:r w:rsidRPr="008F3B22">
        <w:t>38</w:t>
      </w:r>
      <w:r w:rsidR="00D039ED" w:rsidRPr="008F3B22">
        <w:t>.</w:t>
      </w:r>
      <w:r w:rsidR="00D039ED" w:rsidRPr="008F3B22">
        <w:tab/>
        <w:t>Congratula-se com a existência de uma sociedade civil dinâmica e construtiva do Kosovo, a qual desempenha um papel assaz crucial e positivo no processo de reforma; incentiva o Governo do Kosovo a reforçar a sua cooperação com a sociedade civil, em particular com as organizações de defesa dos direitos das mulheres, no processo decisório, e a recorrer mais ao Conselho governamental para a cooperação com a sociedade civil para estabelecer relações de colaboração e associar verdadeiramente a sociedade civil a um processo legislativo transparente desde uma fase precoce; salienta a importância de melhorar a responsabilização e a transparência em relação ao financiamento público das organizações da sociedade civil; sublinha que a sociedade civil é fundamental para promover a democracia e o pluralismo e para promover a boa governação e o progresso social;</w:t>
      </w:r>
    </w:p>
    <w:p w14:paraId="07E85BF8" w14:textId="747B7A04" w:rsidR="00D039ED" w:rsidRPr="008F3B22" w:rsidRDefault="00E607C9" w:rsidP="00D039ED">
      <w:pPr>
        <w:pStyle w:val="NormalHanging12a"/>
      </w:pPr>
      <w:r w:rsidRPr="008F3B22">
        <w:t>39</w:t>
      </w:r>
      <w:r w:rsidR="00D039ED" w:rsidRPr="008F3B22">
        <w:t>.</w:t>
      </w:r>
      <w:r w:rsidR="00D039ED" w:rsidRPr="008F3B22">
        <w:tab/>
        <w:t>Lamenta a falta de um plano claro para associar ao processo os sérvios do Kosovo no norte do país e deplora que as iniciativas para associar a comunidade sérvia às estruturas políticas, sociais e económicas do Kosovo continuem a ser muito limitadas; reitera o seu apelo a uma melhoria do diálogo interno e a uma genuína colaboração direta com as organizações independentes da sociedade civil dos sérvios do Kosovo, em particular no norte do país, com o objetivo de criar uma relação de confiança, facilitar a vida quotidiana dos sérvios do Kosovo e lograr a sua integração;</w:t>
      </w:r>
    </w:p>
    <w:p w14:paraId="781CE9A5" w14:textId="77777777" w:rsidR="00D039ED" w:rsidRPr="008F3B22" w:rsidRDefault="00D039ED" w:rsidP="00D039ED">
      <w:pPr>
        <w:pStyle w:val="NormalHanging12a"/>
      </w:pPr>
      <w:r w:rsidRPr="008F3B22">
        <w:rPr>
          <w:b/>
          <w:i/>
        </w:rPr>
        <w:t>Reconciliação e relações de boa vizinhança</w:t>
      </w:r>
    </w:p>
    <w:p w14:paraId="083C53C2" w14:textId="4004D5B4" w:rsidR="00D039ED" w:rsidRPr="008F3B22" w:rsidRDefault="00E607C9" w:rsidP="00D039ED">
      <w:pPr>
        <w:pStyle w:val="NormalHanging12a"/>
        <w:rPr>
          <w:szCs w:val="24"/>
        </w:rPr>
      </w:pPr>
      <w:r w:rsidRPr="008F3B22">
        <w:t>40</w:t>
      </w:r>
      <w:r w:rsidR="00D039ED" w:rsidRPr="008F3B22">
        <w:t>.</w:t>
      </w:r>
      <w:r w:rsidR="00D039ED" w:rsidRPr="008F3B22">
        <w:tab/>
        <w:t>Felicita o Kosovo pelo seu empenho numa série de iniciativas de cooperação regional e incentiva o país a intensificar os seus esforços de reconciliação e a procurar soluções para conflitos antigos; congratula o Kosovo pela sua abordagem construtiva e pelo seu empenho ativo a favor da cooperação regional e da facilitação do comércio, que permitiram conduzir ao desbloqueio do Acordo Centro-Europeu de Comércio Livre;</w:t>
      </w:r>
    </w:p>
    <w:p w14:paraId="0D65F3D9" w14:textId="148723C0" w:rsidR="00D039ED" w:rsidRPr="008F3B22" w:rsidRDefault="00E607C9" w:rsidP="00D039ED">
      <w:pPr>
        <w:pStyle w:val="NormalHanging12a"/>
        <w:rPr>
          <w:szCs w:val="24"/>
        </w:rPr>
      </w:pPr>
      <w:r w:rsidRPr="008F3B22">
        <w:rPr>
          <w:color w:val="000000" w:themeColor="text1"/>
        </w:rPr>
        <w:t>41</w:t>
      </w:r>
      <w:r w:rsidR="00D039ED" w:rsidRPr="008F3B22">
        <w:rPr>
          <w:color w:val="000000" w:themeColor="text1"/>
        </w:rPr>
        <w:t>.</w:t>
      </w:r>
      <w:r w:rsidR="00D039ED" w:rsidRPr="008F3B22">
        <w:rPr>
          <w:color w:val="000000" w:themeColor="text1"/>
        </w:rPr>
        <w:tab/>
      </w:r>
      <w:r w:rsidR="00D039ED" w:rsidRPr="008F3B22">
        <w:t xml:space="preserve">Exorta a Sérvia a abrir todos os arquivos de guerra e a viabilizar o acesso aos documentos dos antigos serviços secretos jugoslavos (UDBA) e dos serviços secretos do Exército Popular Jugoslavo (KOS), velando por que sejam restituídos às autoridades respetivas mediante pedido; salienta a necessidade de abrir estes arquivos à escala regional para investigar os crimes da era comunista e reforçar a democracia, a </w:t>
      </w:r>
      <w:r w:rsidR="00D039ED" w:rsidRPr="008F3B22">
        <w:lastRenderedPageBreak/>
        <w:t>responsabilização e as instituições nos Balcãs Ocidentais;</w:t>
      </w:r>
    </w:p>
    <w:p w14:paraId="1B48926B" w14:textId="1F73298F" w:rsidR="00D039ED" w:rsidRPr="008F3B22" w:rsidRDefault="00E607C9" w:rsidP="00D039ED">
      <w:pPr>
        <w:pStyle w:val="NormalHanging12a"/>
      </w:pPr>
      <w:r w:rsidRPr="008F3B22">
        <w:t>42</w:t>
      </w:r>
      <w:r w:rsidR="00D039ED" w:rsidRPr="008F3B22">
        <w:t>.</w:t>
      </w:r>
      <w:r w:rsidR="00D039ED" w:rsidRPr="008F3B22">
        <w:tab/>
        <w:t xml:space="preserve">Reitera o seu apoio incondicional ao diálogo facilitado pela UE e saúda a nomeação de Peter </w:t>
      </w:r>
      <w:proofErr w:type="spellStart"/>
      <w:r w:rsidR="00D039ED" w:rsidRPr="008F3B22">
        <w:t>Sørensen</w:t>
      </w:r>
      <w:proofErr w:type="spellEnd"/>
      <w:r w:rsidR="00D039ED" w:rsidRPr="008F3B22">
        <w:t xml:space="preserve"> enquanto representante especial da UE para o Diálogo entre Belgrado e Pristina;</w:t>
      </w:r>
    </w:p>
    <w:p w14:paraId="4A25CA65" w14:textId="200E1E41" w:rsidR="00D039ED" w:rsidRPr="008F3B22" w:rsidRDefault="00E607C9" w:rsidP="00D039ED">
      <w:pPr>
        <w:pStyle w:val="NormalHanging12a"/>
      </w:pPr>
      <w:r w:rsidRPr="008F3B22">
        <w:t>43</w:t>
      </w:r>
      <w:r w:rsidR="00D039ED" w:rsidRPr="008F3B22">
        <w:t>.</w:t>
      </w:r>
      <w:r w:rsidR="00D039ED" w:rsidRPr="008F3B22">
        <w:tab/>
        <w:t xml:space="preserve">Reitera a importância de as autoridades do Kosovo e da Sérvia cooperarem de modo construtivo tendo em vista a consecução de um acordo de normalização abrangente e juridicamente vinculativo, com base no reconhecimento mútuo e em conformidade com o direito internacional; insta o Kosovo e a Sérvia a aplicarem os Acordos de Bruxelas e de </w:t>
      </w:r>
      <w:proofErr w:type="spellStart"/>
      <w:r w:rsidR="00D039ED" w:rsidRPr="008F3B22">
        <w:t>Ohrid</w:t>
      </w:r>
      <w:proofErr w:type="spellEnd"/>
      <w:r w:rsidR="00D039ED" w:rsidRPr="008F3B22">
        <w:t xml:space="preserve">, designadamente a criação da associação/comunidade de municípios de maioria sérvia, e o levantamento da oposição da Sérvia à adesão do Kosovo a organizações regionais e internacionais, e a absterem-se de ações unilaterais suscetíveis de comprometer o processo de diálogo; </w:t>
      </w:r>
    </w:p>
    <w:p w14:paraId="26D24F06" w14:textId="58AB6C25" w:rsidR="00D039ED" w:rsidRPr="008F3B22" w:rsidRDefault="00E607C9" w:rsidP="00D039ED">
      <w:pPr>
        <w:pStyle w:val="NormalHanging12a"/>
      </w:pPr>
      <w:r w:rsidRPr="008F3B22">
        <w:t>44</w:t>
      </w:r>
      <w:r w:rsidR="00D039ED" w:rsidRPr="008F3B22">
        <w:t>.</w:t>
      </w:r>
      <w:r w:rsidR="00D039ED" w:rsidRPr="008F3B22">
        <w:tab/>
        <w:t xml:space="preserve">Espera que o Kosovo e a Sérvia cooperem plenamente e tomem todas as medidas necessárias para deter e levar rapidamente a julgamento os autores dos ataques terroristas perpetrados em 2023 em </w:t>
      </w:r>
      <w:proofErr w:type="spellStart"/>
      <w:r w:rsidR="00D039ED" w:rsidRPr="008F3B22">
        <w:t>Banjska</w:t>
      </w:r>
      <w:proofErr w:type="spellEnd"/>
      <w:r w:rsidR="00D039ED" w:rsidRPr="008F3B22">
        <w:t xml:space="preserve">; lamenta que a Sérvia ainda não tenha julgado os culpados, nomeadamente Milan </w:t>
      </w:r>
      <w:proofErr w:type="spellStart"/>
      <w:r w:rsidR="00D039ED" w:rsidRPr="008F3B22">
        <w:t>Radoičić</w:t>
      </w:r>
      <w:proofErr w:type="spellEnd"/>
      <w:r w:rsidR="00D039ED" w:rsidRPr="008F3B22">
        <w:t xml:space="preserve">, vice-presidente da </w:t>
      </w:r>
      <w:proofErr w:type="spellStart"/>
      <w:r w:rsidR="00D039ED" w:rsidRPr="008F3B22">
        <w:t>Srpska</w:t>
      </w:r>
      <w:proofErr w:type="spellEnd"/>
      <w:r w:rsidR="00D039ED" w:rsidRPr="008F3B22">
        <w:t xml:space="preserve"> Lista; reafirma que os autores do ataque terrorista em </w:t>
      </w:r>
      <w:proofErr w:type="spellStart"/>
      <w:r w:rsidR="00D039ED" w:rsidRPr="008F3B22">
        <w:t>Zubin</w:t>
      </w:r>
      <w:proofErr w:type="spellEnd"/>
      <w:r w:rsidR="00D039ED" w:rsidRPr="008F3B22">
        <w:t xml:space="preserve"> </w:t>
      </w:r>
      <w:proofErr w:type="spellStart"/>
      <w:r w:rsidR="00D039ED" w:rsidRPr="008F3B22">
        <w:t>Potok</w:t>
      </w:r>
      <w:proofErr w:type="spellEnd"/>
      <w:r w:rsidR="00D039ED" w:rsidRPr="008F3B22">
        <w:t xml:space="preserve"> devem responder pelos seus atos e ser julgados sem demora;</w:t>
      </w:r>
    </w:p>
    <w:p w14:paraId="6D2E53D9" w14:textId="43609AB0" w:rsidR="00D039ED" w:rsidRPr="008F3B22" w:rsidRDefault="00E607C9" w:rsidP="00D039ED">
      <w:pPr>
        <w:pStyle w:val="NormalHanging12a"/>
        <w:rPr>
          <w:rFonts w:eastAsia="Calibri"/>
          <w:color w:val="000000" w:themeColor="text1"/>
          <w:szCs w:val="24"/>
        </w:rPr>
      </w:pPr>
      <w:r w:rsidRPr="008F3B22">
        <w:t>45</w:t>
      </w:r>
      <w:r w:rsidR="00D039ED" w:rsidRPr="008F3B22">
        <w:t>.</w:t>
      </w:r>
      <w:r w:rsidR="00D039ED" w:rsidRPr="008F3B22">
        <w:tab/>
        <w:t>Exorta a vice-presidente da Comissão/alta representante para os Negócios Estrangeiros e a Política de Segurança e a Comissão a assumir um papel mais interventivo na condução do processo de diálogo; solicita o reforço do papel do Parlamento Europeu na facilitação do diálogo através de reuniões regulares da assembleia parlamentar paritária;</w:t>
      </w:r>
    </w:p>
    <w:p w14:paraId="25538E4A" w14:textId="6C1B2435" w:rsidR="00D039ED" w:rsidRPr="008F3B22" w:rsidRDefault="00E607C9" w:rsidP="00D039ED">
      <w:pPr>
        <w:pStyle w:val="NormalHanging12a"/>
      </w:pPr>
      <w:r w:rsidRPr="008F3B22">
        <w:t>46</w:t>
      </w:r>
      <w:r w:rsidR="00D039ED" w:rsidRPr="008F3B22">
        <w:t>.</w:t>
      </w:r>
      <w:r w:rsidR="00D039ED" w:rsidRPr="008F3B22">
        <w:tab/>
        <w:t>Condena todas as ações que ponham em risco a estabilidade e o processo de reconciliação, nomeadamente as tensões ocorridas no norte do Kosovo e as provocações emanadas de grupos apoiados pelo Estado sérvio e de formações armadas ilegais, e insta a UE a adotar uma posição mais firme contra a interferência externa nos assuntos internos do Kosovo; salienta que ambas as partes devem aplicar plenamente todos os acordos alcançados e evitar ações unilaterais suscetíveis de agravar as tensões; insta as forças policiais do Kosovo a velarem pelo pleno respeito de todos os requisitos em matéria de Estado de direito e de direitos humanos, bem como a garantirem o destacamento, no norte do Kosovo, de uma força policial multiétnica e inclusiva, em plena conformidade com os requisitos legais; recorda a responsabilidade partilhada de todos os representantes políticos e de todas as comunidades do Kosovo no que toca à manutenção da paz, da segurança e do Estado de direito;</w:t>
      </w:r>
    </w:p>
    <w:p w14:paraId="11867A70" w14:textId="6848F006" w:rsidR="00D039ED" w:rsidRPr="008F3B22" w:rsidRDefault="00E607C9" w:rsidP="00D039ED">
      <w:pPr>
        <w:pStyle w:val="NormalHanging12a"/>
        <w:rPr>
          <w:szCs w:val="24"/>
        </w:rPr>
      </w:pPr>
      <w:r w:rsidRPr="008F3B22">
        <w:rPr>
          <w:color w:val="000000" w:themeColor="text1"/>
        </w:rPr>
        <w:t>47</w:t>
      </w:r>
      <w:r w:rsidR="00D039ED" w:rsidRPr="008F3B22">
        <w:rPr>
          <w:color w:val="000000" w:themeColor="text1"/>
        </w:rPr>
        <w:t>.</w:t>
      </w:r>
      <w:r w:rsidR="00D039ED" w:rsidRPr="008F3B22">
        <w:rPr>
          <w:color w:val="000000" w:themeColor="text1"/>
        </w:rPr>
        <w:tab/>
      </w:r>
      <w:r w:rsidR="00D039ED" w:rsidRPr="008F3B22">
        <w:t>Congratula-se com a criação da comissão conjunta sobre as pessoas desaparecidas, em dezembro de 2024, e apela à realização de progressos rápidos na aplicação da declaração política, de maio de 2023, sobre as pessoas desaparecidas; exorta o Kosovo e a Sérvia a absterem-se de politizar esta questão humanitária e a intensificarem os seus esforços para pôr em marcha a declaração no quadro do diálogo entre Belgrado e Pristina e a estabelecerem uma cooperação entre o Kosovo e a Sérvia;</w:t>
      </w:r>
    </w:p>
    <w:p w14:paraId="6F13CE16" w14:textId="512D103D" w:rsidR="00D039ED" w:rsidRPr="008F3B22" w:rsidRDefault="00E607C9" w:rsidP="00D039ED">
      <w:pPr>
        <w:pStyle w:val="NormalHanging12a"/>
      </w:pPr>
      <w:r w:rsidRPr="008F3B22">
        <w:t>48</w:t>
      </w:r>
      <w:r w:rsidR="00D039ED" w:rsidRPr="008F3B22">
        <w:t>.</w:t>
      </w:r>
      <w:r w:rsidR="00D039ED" w:rsidRPr="008F3B22">
        <w:tab/>
        <w:t>Congratula-se com os recentes acordos no âmbito do Processo de Berlim;</w:t>
      </w:r>
    </w:p>
    <w:p w14:paraId="65D6130F" w14:textId="48D4C9E1" w:rsidR="00D039ED" w:rsidRPr="008F3B22" w:rsidRDefault="00E607C9" w:rsidP="00D039ED">
      <w:pPr>
        <w:pStyle w:val="NormalHanging12a"/>
      </w:pPr>
      <w:r w:rsidRPr="008F3B22">
        <w:t>49</w:t>
      </w:r>
      <w:r w:rsidR="00D039ED" w:rsidRPr="008F3B22">
        <w:t>.</w:t>
      </w:r>
      <w:r w:rsidR="00D039ED" w:rsidRPr="008F3B22">
        <w:tab/>
        <w:t xml:space="preserve">Congratula-se com a decisão do Kosovo de eliminar as restrições à entrada de produtos acabados sérvios no posto fronteiriço de </w:t>
      </w:r>
      <w:proofErr w:type="spellStart"/>
      <w:r w:rsidR="00D039ED" w:rsidRPr="008F3B22">
        <w:t>Merdare</w:t>
      </w:r>
      <w:proofErr w:type="spellEnd"/>
      <w:r w:rsidR="00D039ED" w:rsidRPr="008F3B22">
        <w:t>;</w:t>
      </w:r>
    </w:p>
    <w:p w14:paraId="60A60408" w14:textId="26518EC9" w:rsidR="00D039ED" w:rsidRPr="008F3B22" w:rsidRDefault="00E607C9" w:rsidP="00D039ED">
      <w:pPr>
        <w:pStyle w:val="NormalHanging12a"/>
      </w:pPr>
      <w:r w:rsidRPr="008F3B22">
        <w:lastRenderedPageBreak/>
        <w:t>50</w:t>
      </w:r>
      <w:r w:rsidR="00D039ED" w:rsidRPr="008F3B22">
        <w:t>.</w:t>
      </w:r>
      <w:r w:rsidR="00D039ED" w:rsidRPr="008F3B22">
        <w:tab/>
        <w:t>Congratula-se com a presença da Força do Kosovo e o seu papel na criação e manutenção de um ambiente seguro e protegido e no desenvolvimento de um Kosovo estável e pacífico rumo à integração euro-atlântica; recorda a importância da missão para o desenvolvimento em curso da Força de Segurança do Kosovo através da prestação de assessoria, formação e reforço das capacidades;</w:t>
      </w:r>
    </w:p>
    <w:p w14:paraId="5BF5A216" w14:textId="77777777" w:rsidR="00D039ED" w:rsidRPr="008F3B22" w:rsidRDefault="00D039ED" w:rsidP="00D039ED">
      <w:pPr>
        <w:pStyle w:val="NormalHanging12a"/>
        <w:rPr>
          <w:b/>
          <w:i/>
        </w:rPr>
      </w:pPr>
      <w:r w:rsidRPr="008F3B22">
        <w:rPr>
          <w:b/>
          <w:i/>
        </w:rPr>
        <w:t>Reformas socioeconómicas</w:t>
      </w:r>
    </w:p>
    <w:p w14:paraId="79581781" w14:textId="21DF8AE4" w:rsidR="00D039ED" w:rsidRPr="008F3B22" w:rsidRDefault="00E607C9" w:rsidP="00D039ED">
      <w:pPr>
        <w:pStyle w:val="NormalHanging12a"/>
      </w:pPr>
      <w:r w:rsidRPr="008F3B22">
        <w:t>51</w:t>
      </w:r>
      <w:r w:rsidR="00D039ED" w:rsidRPr="008F3B22">
        <w:t>.</w:t>
      </w:r>
      <w:r w:rsidR="00D039ED" w:rsidRPr="008F3B22">
        <w:tab/>
        <w:t>Congratula-se com o empenho ativo do Kosovo na execução do novo plano de crescimento para os Balcãs Ocidentais, que visa aprofundar as reformas relacionadas com a UE e reduzir o fosso socioeconómico entre os Estados-Membros da UE e os países dos Balcãs Ocidentais; regozija-se com a adoção do programa de reformas do Kosovo e recorda que o Kosovo (bem como a Sérvia) deve dar provas de um maior empenho no diálogo facilitado pela UE para aceder aos recursos;</w:t>
      </w:r>
    </w:p>
    <w:p w14:paraId="438AB72F" w14:textId="17E00673" w:rsidR="00D039ED" w:rsidRPr="008F3B22" w:rsidRDefault="00E607C9" w:rsidP="00D039ED">
      <w:pPr>
        <w:pStyle w:val="NormalHanging12a"/>
      </w:pPr>
      <w:r w:rsidRPr="008F3B22">
        <w:t>52</w:t>
      </w:r>
      <w:r w:rsidR="00D039ED" w:rsidRPr="008F3B22">
        <w:t>.</w:t>
      </w:r>
      <w:r w:rsidR="00D039ED" w:rsidRPr="008F3B22">
        <w:tab/>
        <w:t>Congratula-se com os progressos alcançados pelo Kosovo no desenvolvimento de uma economia de mercado viável e incentiva este país a levar a cabo as reformas estruturais necessárias para fazer face aos desafios orçamentais, garantindo paralelamente uma proteção laboral adequada, salários justos e melhores condições de trabalho, em consonância com a legislação da UE;</w:t>
      </w:r>
    </w:p>
    <w:p w14:paraId="3BA261B6" w14:textId="08643768" w:rsidR="00D039ED" w:rsidRPr="008F3B22" w:rsidRDefault="00E607C9" w:rsidP="00D039ED">
      <w:pPr>
        <w:pStyle w:val="NormalHanging12a"/>
      </w:pPr>
      <w:r w:rsidRPr="008F3B22">
        <w:t>53</w:t>
      </w:r>
      <w:r w:rsidR="00D039ED" w:rsidRPr="008F3B22">
        <w:t>.</w:t>
      </w:r>
      <w:r w:rsidR="00D039ED" w:rsidRPr="008F3B22">
        <w:tab/>
        <w:t>Reitera o apelo à Comissão para que desenvolva uma estratégia regional destinada a fazer face à persistência do desemprego dos jovens e à fuga de cérebros, procurando soluções para a inadequação de competências entre o sistema de ensino e o mercado de trabalho, melhorando a qualidade do ensino e assegurando um financiamento adequado para medidas ativas do mercado de trabalho e sistemas de formação profissional, a par de infraestruturas adequadas de acolhimento de crianças e de ensino pré-escolar;</w:t>
      </w:r>
    </w:p>
    <w:p w14:paraId="5F8B6293" w14:textId="07AE4B27" w:rsidR="00D039ED" w:rsidRPr="008F3B22" w:rsidRDefault="00E607C9" w:rsidP="00D039ED">
      <w:pPr>
        <w:pStyle w:val="NormalHanging12a"/>
      </w:pPr>
      <w:r w:rsidRPr="008F3B22">
        <w:t>54</w:t>
      </w:r>
      <w:r w:rsidR="00D039ED" w:rsidRPr="008F3B22">
        <w:t>.</w:t>
      </w:r>
      <w:r w:rsidR="00D039ED" w:rsidRPr="008F3B22">
        <w:tab/>
        <w:t>Congratula-se com o facto de a legislação do Kosovo em matéria de cibercriminalidade estar amplamente alinhada pelo acervo da UE; regista os progressos limitados do Kosovo na transformação digital dos serviços públicos; salienta a conveniência de o país acautelar as necessidades dos seus cidadãos e de se alinhar pela legislação digital da UE, em particular o Código Europeu das Comunicações Eletrónicas, a Diretiva Segurança das Redes e da Informação da UE (SRI 2)</w:t>
      </w:r>
      <w:r w:rsidR="00D039ED" w:rsidRPr="008F3B22">
        <w:rPr>
          <w:rStyle w:val="FootnoteReference"/>
        </w:rPr>
        <w:footnoteReference w:id="8"/>
      </w:r>
      <w:r w:rsidR="00D039ED" w:rsidRPr="008F3B22">
        <w:t xml:space="preserve">, o conjunto de instrumentos da UE para a </w:t>
      </w:r>
      <w:proofErr w:type="spellStart"/>
      <w:r w:rsidR="00D039ED" w:rsidRPr="008F3B22">
        <w:t>cibersegurança</w:t>
      </w:r>
      <w:proofErr w:type="spellEnd"/>
      <w:r w:rsidR="00D039ED" w:rsidRPr="008F3B22">
        <w:t xml:space="preserve"> das redes 5G, o Regulamento Serviços Digitais</w:t>
      </w:r>
      <w:r w:rsidR="00D039ED" w:rsidRPr="008F3B22">
        <w:rPr>
          <w:rStyle w:val="FootnoteReference"/>
        </w:rPr>
        <w:footnoteReference w:id="9"/>
      </w:r>
      <w:r w:rsidR="00D039ED" w:rsidRPr="008F3B22">
        <w:t xml:space="preserve"> e o Regulamento Mercados Digitais</w:t>
      </w:r>
      <w:r w:rsidR="00D039ED" w:rsidRPr="008F3B22">
        <w:rPr>
          <w:rStyle w:val="FootnoteReference"/>
        </w:rPr>
        <w:footnoteReference w:id="10"/>
      </w:r>
      <w:r w:rsidR="00D039ED" w:rsidRPr="008F3B22">
        <w:t xml:space="preserve">; faz notar que a economia do Kosovo continua a ser altamente dependente de importações e salienta a necessidade de diversificação </w:t>
      </w:r>
      <w:r w:rsidR="00D039ED" w:rsidRPr="008F3B22">
        <w:lastRenderedPageBreak/>
        <w:t>económica para reforçar a competitividade e a sustentabilidade, nomeadamente no contexto de uma integração mais aprofundada nos mercados da UE;</w:t>
      </w:r>
    </w:p>
    <w:p w14:paraId="01518AFB" w14:textId="4485DDC0" w:rsidR="00D039ED" w:rsidRPr="008F3B22" w:rsidRDefault="00E607C9" w:rsidP="00D039ED">
      <w:pPr>
        <w:pStyle w:val="NormalHanging12a"/>
      </w:pPr>
      <w:r w:rsidRPr="008F3B22">
        <w:t>55</w:t>
      </w:r>
      <w:r w:rsidR="00D039ED" w:rsidRPr="008F3B22">
        <w:t>.</w:t>
      </w:r>
      <w:r w:rsidR="00D039ED" w:rsidRPr="008F3B22">
        <w:tab/>
        <w:t>Lamenta que o projeto de lei sobre manuais escolares, apresentado em 2022, ainda esteja pendente de adoção final no parlamento do Kosovo; insta o Kosovo a finalizar a aplicação do novo quadro curricular para o ensino básico, a concluir a revisão dos atuais manuais escolares, a proporcionar formação sustentável aos professores e a aplicar sistematicamente mecanismos de garantia da qualidade a todos os níveis de ensino;</w:t>
      </w:r>
    </w:p>
    <w:p w14:paraId="304D700A" w14:textId="5E98ECA2" w:rsidR="00D039ED" w:rsidRPr="008F3B22" w:rsidRDefault="00E607C9" w:rsidP="00D039ED">
      <w:pPr>
        <w:pStyle w:val="NormalHanging12a"/>
        <w:rPr>
          <w:rFonts w:eastAsia="Calibri"/>
          <w:color w:val="000000" w:themeColor="text1"/>
          <w:szCs w:val="24"/>
        </w:rPr>
      </w:pPr>
      <w:r w:rsidRPr="008F3B22">
        <w:t>56</w:t>
      </w:r>
      <w:r w:rsidR="00D039ED" w:rsidRPr="008F3B22">
        <w:t>.</w:t>
      </w:r>
      <w:r w:rsidR="00D039ED" w:rsidRPr="008F3B22">
        <w:tab/>
        <w:t>Insta o Kosovo a garantir um melhor acesso a serviços de saúde de qualidade; observa que as despesas consagradas ao domínio da saúde continuam a ser as segundas mais baixas da região e preconiza a realização de uma reforma abrangente dos cuidados de saúde para dar resposta às necessidades de todos os cidadãos, especialmente nas zonas rurais e nas zonas com carências a este nível;</w:t>
      </w:r>
    </w:p>
    <w:p w14:paraId="25CFF399" w14:textId="2BBAF38C" w:rsidR="00D039ED" w:rsidRPr="008F3B22" w:rsidRDefault="00E607C9" w:rsidP="00D039ED">
      <w:pPr>
        <w:pStyle w:val="NormalHanging12a"/>
      </w:pPr>
      <w:r w:rsidRPr="008F3B22">
        <w:t>57</w:t>
      </w:r>
      <w:r w:rsidR="00D039ED" w:rsidRPr="008F3B22">
        <w:t>.</w:t>
      </w:r>
      <w:r w:rsidR="00D039ED" w:rsidRPr="008F3B22">
        <w:tab/>
        <w:t>Observa com preocupação que o acesso a serviços sociais, em particular para os grupos vulneráveis, se agravou com o encerramento, pelo governo, do Ministério do Trabalho e da Segurança Social, decidido sem consulta transparente da sociedade civil e de outras partes interessadas, o que gerou grande agitação; pugna por uma melhor orçamentação baseada em dados concretos, a fim de melhorar os serviços sociais, em particular para as vítimas da violência de género, em conformidade com o novo quadro jurídico;</w:t>
      </w:r>
    </w:p>
    <w:p w14:paraId="35C0E9E5" w14:textId="3E1DFC87" w:rsidR="00D039ED" w:rsidRPr="008F3B22" w:rsidRDefault="00E607C9" w:rsidP="00D039ED">
      <w:pPr>
        <w:pStyle w:val="NormalHanging12a"/>
      </w:pPr>
      <w:r w:rsidRPr="008F3B22">
        <w:t>58</w:t>
      </w:r>
      <w:r w:rsidR="00D039ED" w:rsidRPr="008F3B22">
        <w:t>.</w:t>
      </w:r>
      <w:r w:rsidR="00D039ED" w:rsidRPr="008F3B22">
        <w:tab/>
        <w:t>Exorta o Kosovo a proporcionar uma educação pública equitativa e não discriminatória nas línguas minoritárias;</w:t>
      </w:r>
    </w:p>
    <w:p w14:paraId="44D9C5F4" w14:textId="1F6DA980" w:rsidR="00D039ED" w:rsidRPr="008F3B22" w:rsidRDefault="00E607C9" w:rsidP="00D039ED">
      <w:pPr>
        <w:pStyle w:val="NormalHanging12a"/>
      </w:pPr>
      <w:r w:rsidRPr="008F3B22">
        <w:t>59</w:t>
      </w:r>
      <w:r w:rsidR="00D039ED" w:rsidRPr="008F3B22">
        <w:t>.</w:t>
      </w:r>
      <w:r w:rsidR="00D039ED" w:rsidRPr="008F3B22">
        <w:tab/>
        <w:t>Reitera a necessidade de chegar aos jovens dos municípios maioritariamente sérvios e de os integrar nas estruturas socioeconómicas do país;</w:t>
      </w:r>
    </w:p>
    <w:p w14:paraId="718BF602" w14:textId="77777777" w:rsidR="00D039ED" w:rsidRPr="008F3B22" w:rsidRDefault="00D039ED" w:rsidP="00D039ED">
      <w:pPr>
        <w:pStyle w:val="NormalHanging12a"/>
      </w:pPr>
      <w:r w:rsidRPr="008F3B22">
        <w:rPr>
          <w:b/>
          <w:i/>
        </w:rPr>
        <w:t>Energia, ambiente, desenvolvimento sustentável e conectividade</w:t>
      </w:r>
    </w:p>
    <w:p w14:paraId="216998CC" w14:textId="4D0C60E7" w:rsidR="00D039ED" w:rsidRPr="008F3B22" w:rsidRDefault="00E607C9" w:rsidP="00D039ED">
      <w:pPr>
        <w:pStyle w:val="NormalHanging12a"/>
        <w:rPr>
          <w:szCs w:val="24"/>
        </w:rPr>
      </w:pPr>
      <w:r w:rsidRPr="008F3B22">
        <w:t>60</w:t>
      </w:r>
      <w:r w:rsidR="00D039ED" w:rsidRPr="008F3B22">
        <w:t>.</w:t>
      </w:r>
      <w:r w:rsidR="00D039ED" w:rsidRPr="008F3B22">
        <w:tab/>
        <w:t>Observa que o Kosovo realizou alguns progressos em matéria de segurança do aprovisionamento energético, mas continua a depender fortemente de centrais elétricas obsoletas e altamente poluentes, o que comporta graves riscos para a saúde e o ambiente; assinala que o Kosovo deve garantir a execução atempada do seu programa energético para o período 2022-2025, a fim de cumprir os seus ambiciosos objetivos e reduzir a sua dependência de combustíveis fósseis; insta a UE a intensificar os seus esforços para ajudar o Kosovo a superar os seus problemas de poluição atmosférica e a dar prioridade a estes esforços;</w:t>
      </w:r>
      <w:r w:rsidR="00D039ED" w:rsidRPr="008F3B22">
        <w:rPr>
          <w:b/>
        </w:rPr>
        <w:t xml:space="preserve"> </w:t>
      </w:r>
      <w:r w:rsidR="00D039ED" w:rsidRPr="008F3B22">
        <w:t>constata que a nova estratégia energética do Kosovo não promove a construção de centrais hidroelétricas devido ao seu impacto negativo no ambiente, em particular devido à escassez de água no país;</w:t>
      </w:r>
    </w:p>
    <w:p w14:paraId="6B179D81" w14:textId="6EEE49BE" w:rsidR="00D039ED" w:rsidRPr="008F3B22" w:rsidRDefault="00E607C9" w:rsidP="00D039ED">
      <w:pPr>
        <w:pStyle w:val="NormalHanging12a"/>
      </w:pPr>
      <w:r w:rsidRPr="008F3B22">
        <w:t>61</w:t>
      </w:r>
      <w:r w:rsidR="00D039ED" w:rsidRPr="008F3B22">
        <w:t>.</w:t>
      </w:r>
      <w:r w:rsidR="00D039ED" w:rsidRPr="008F3B22">
        <w:tab/>
        <w:t>Salienta a necessidade de um desenvolvimento abrangente das infraestruturas no Kosovo, a fim de facilitar a redução das emissões dos transportes públicos e a expansão dos transportes elétricos; salienta que a melhoria da acessibilidade e a garantia da compatibilidade com a rede de transportes da UE devem continuar a ser uma prioridade;</w:t>
      </w:r>
    </w:p>
    <w:p w14:paraId="04023E13" w14:textId="468FF755" w:rsidR="00D039ED" w:rsidRPr="008F3B22" w:rsidRDefault="00E607C9" w:rsidP="00D039ED">
      <w:pPr>
        <w:pStyle w:val="NormalHanging12a"/>
      </w:pPr>
      <w:r w:rsidRPr="008F3B22">
        <w:t>62</w:t>
      </w:r>
      <w:r w:rsidR="00D039ED" w:rsidRPr="008F3B22">
        <w:t>.</w:t>
      </w:r>
      <w:r w:rsidR="00D039ED" w:rsidRPr="008F3B22">
        <w:tab/>
        <w:t xml:space="preserve">Congratula-se com o acordo alcançado na Cimeira de Tirana sobre a redução dos custos de itinerância («roaming»); insta, a este respeito, as autoridades, os particulares e todas as partes interessadas a facilitarem a consecução das metas acordadas no sentido de uma redução substancial das tarifas de itinerância de dados e de novas reduções que conduzam a preços próximos dos preços nacionais entre os Balcãs Ocidentais e a UE até 2027; congratula-se com a entrada em vigor da primeira fase de aplicação do roteiro </w:t>
      </w:r>
      <w:r w:rsidR="00D039ED" w:rsidRPr="008F3B22">
        <w:lastRenderedPageBreak/>
        <w:t>para a itinerância entre os Balcãs Ocidentais e a UE;</w:t>
      </w:r>
    </w:p>
    <w:p w14:paraId="65141B11" w14:textId="1C1054B8" w:rsidR="00D039ED" w:rsidRPr="008F3B22" w:rsidRDefault="00E607C9" w:rsidP="00D039ED">
      <w:pPr>
        <w:pStyle w:val="NormalHanging12a"/>
        <w:rPr>
          <w:szCs w:val="24"/>
        </w:rPr>
      </w:pPr>
      <w:r w:rsidRPr="008F3B22">
        <w:t>63</w:t>
      </w:r>
      <w:r w:rsidR="00D039ED" w:rsidRPr="008F3B22">
        <w:t>.</w:t>
      </w:r>
      <w:r w:rsidR="00D039ED" w:rsidRPr="008F3B22">
        <w:tab/>
        <w:t xml:space="preserve">Exorta o Kosovo a melhorar o cumprimento dos valores-limite de emissão, a reforçar a integração das considerações ambientais nas políticas setoriais e a adotar as medidas necessárias à prevenção da poluição dos solos e da água e à gestão dos resíduos, em conformidade com as normas e os compromissos internacionais e da UE; insta o Kosovo a melhorar as avaliações de impacto ambiental abrangentes e a integrar medidas de sustentabilidade no planeamento das infraestruturas; exorta o Kosovo a aumentar as zonas protegidas no país e a melhorar os instrumentos e as medidas tendo em vista a sua proteção, com vista a salvaguardar a biodiversidade, incluindo os </w:t>
      </w:r>
      <w:r w:rsidR="00D039ED" w:rsidRPr="008F3B22">
        <w:rPr>
          <w:i/>
          <w:iCs/>
        </w:rPr>
        <w:t>habitats</w:t>
      </w:r>
      <w:r w:rsidR="00D039ED" w:rsidRPr="008F3B22">
        <w:t xml:space="preserve"> fundamentais do lince dos Balcãs criticamente ameaçado; incentiva o Kosovo a intensificar e acelerar os esforços de colaboração com os países vizinhos para designar zonas protegidas transfronteiriças e criar planos de gestão transfronteiriços coerentes;</w:t>
      </w:r>
    </w:p>
    <w:p w14:paraId="4F5F55E8" w14:textId="77777777" w:rsidR="00D039ED" w:rsidRPr="008F3B22" w:rsidRDefault="00D039ED" w:rsidP="00D039ED">
      <w:pPr>
        <w:pStyle w:val="NormalHanging12a"/>
        <w:jc w:val="center"/>
      </w:pPr>
      <w:r w:rsidRPr="008F3B22">
        <w:t>°</w:t>
      </w:r>
    </w:p>
    <w:p w14:paraId="176F935B" w14:textId="77777777" w:rsidR="00D039ED" w:rsidRPr="008F3B22" w:rsidRDefault="00D039ED" w:rsidP="00D039ED">
      <w:pPr>
        <w:pStyle w:val="NormalHanging12a"/>
        <w:jc w:val="center"/>
      </w:pPr>
      <w:r w:rsidRPr="008F3B22">
        <w:t>°</w:t>
      </w:r>
      <w:r w:rsidRPr="008F3B22">
        <w:tab/>
        <w:t>°</w:t>
      </w:r>
    </w:p>
    <w:p w14:paraId="2E74B704" w14:textId="398ECC58" w:rsidR="006A7029" w:rsidRPr="008F3B22" w:rsidRDefault="00E607C9" w:rsidP="006A7029">
      <w:pPr>
        <w:pStyle w:val="NormalHanging12a"/>
      </w:pPr>
      <w:r w:rsidRPr="008F3B22">
        <w:t>64</w:t>
      </w:r>
      <w:r w:rsidR="00D039ED" w:rsidRPr="008F3B22">
        <w:t>.</w:t>
      </w:r>
      <w:r w:rsidR="00D039ED" w:rsidRPr="008F3B22">
        <w:tab/>
        <w:t>Encarrega a sua Presidente de transmitir a presente resolução ao Presidente do Conselho Europeu, à Comissão, à Vice-Presidente da Comissão/Alta Representante da União para os Negócios Estrangeiros e a Política de Segurança, aos governos e parlamentos dos Estados-Membros e à Presidente, ao Governo e à Assembleia Nacional do Kosovo.</w:t>
      </w:r>
    </w:p>
    <w:p w14:paraId="4E9DEDB1" w14:textId="77777777" w:rsidR="00E365E1" w:rsidRPr="008F3B22" w:rsidRDefault="00E365E1" w:rsidP="00672B66"/>
    <w:sectPr w:rsidR="00E365E1" w:rsidRPr="008F3B22" w:rsidSect="006A7029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221C3" w14:textId="77777777" w:rsidR="00672B66" w:rsidRPr="006A7029" w:rsidRDefault="00672B66">
      <w:r w:rsidRPr="006A7029">
        <w:separator/>
      </w:r>
    </w:p>
  </w:endnote>
  <w:endnote w:type="continuationSeparator" w:id="0">
    <w:p w14:paraId="2A05E9E1" w14:textId="77777777" w:rsidR="00672B66" w:rsidRPr="006A7029" w:rsidRDefault="00672B66">
      <w:r w:rsidRPr="006A70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76893" w14:textId="77777777" w:rsidR="00672B66" w:rsidRPr="006A7029" w:rsidRDefault="00672B66">
      <w:r w:rsidRPr="006A7029">
        <w:separator/>
      </w:r>
    </w:p>
  </w:footnote>
  <w:footnote w:type="continuationSeparator" w:id="0">
    <w:p w14:paraId="4C94F30F" w14:textId="77777777" w:rsidR="00672B66" w:rsidRPr="006A7029" w:rsidRDefault="00672B66">
      <w:r w:rsidRPr="006A7029">
        <w:continuationSeparator/>
      </w:r>
    </w:p>
  </w:footnote>
  <w:footnote w:id="1">
    <w:p w14:paraId="191C0B21" w14:textId="77777777" w:rsidR="00D039ED" w:rsidRPr="000D4CFE" w:rsidRDefault="00D039ED" w:rsidP="006A7029">
      <w:pPr>
        <w:pStyle w:val="FootnoteText"/>
        <w:ind w:left="567" w:hanging="567"/>
        <w:rPr>
          <w:color w:val="0000FF"/>
          <w:sz w:val="24"/>
          <w:u w:val="single" w:color="0000FF"/>
          <w:lang w:val="fi-FI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0D4CFE">
        <w:rPr>
          <w:sz w:val="24"/>
          <w:lang w:val="fi-FI"/>
        </w:rPr>
        <w:t xml:space="preserve"> </w:t>
      </w:r>
      <w:r w:rsidR="006A7029" w:rsidRPr="000D4CFE">
        <w:rPr>
          <w:sz w:val="24"/>
          <w:lang w:val="fi-FI"/>
        </w:rPr>
        <w:tab/>
      </w:r>
      <w:r w:rsidRPr="000D4CFE">
        <w:rPr>
          <w:sz w:val="24"/>
          <w:lang w:val="fi-FI"/>
        </w:rPr>
        <w:t xml:space="preserve">JO L 71 de 16.3.2016, p. 3, ELI: </w:t>
      </w:r>
      <w:hyperlink r:id="rId1" w:history="1">
        <w:r w:rsidRPr="000D4CFE">
          <w:rPr>
            <w:rStyle w:val="Hyperlink"/>
            <w:sz w:val="24"/>
            <w:lang w:val="fi-FI"/>
          </w:rPr>
          <w:t>http://data.europa.eu/eli/agree_internation/2016/342/oj</w:t>
        </w:r>
      </w:hyperlink>
      <w:r w:rsidRPr="000D4CFE">
        <w:rPr>
          <w:sz w:val="24"/>
          <w:lang w:val="fi-FI"/>
        </w:rPr>
        <w:t>.</w:t>
      </w:r>
    </w:p>
  </w:footnote>
  <w:footnote w:id="2">
    <w:p w14:paraId="63E3B7DE" w14:textId="77777777" w:rsidR="00D039ED" w:rsidRPr="000D4CFE" w:rsidRDefault="00D039ED" w:rsidP="006A7029">
      <w:pPr>
        <w:pStyle w:val="FootnoteText"/>
        <w:ind w:left="567" w:hanging="567"/>
        <w:rPr>
          <w:color w:val="0000FF"/>
          <w:sz w:val="24"/>
          <w:u w:val="single" w:color="0000FF"/>
          <w:lang w:val="fi-FI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0D4CFE">
        <w:rPr>
          <w:sz w:val="24"/>
          <w:lang w:val="fi-FI"/>
        </w:rPr>
        <w:t xml:space="preserve"> </w:t>
      </w:r>
      <w:r w:rsidR="006A7029" w:rsidRPr="000D4CFE">
        <w:rPr>
          <w:sz w:val="24"/>
          <w:lang w:val="fi-FI"/>
        </w:rPr>
        <w:tab/>
      </w:r>
      <w:r w:rsidRPr="000D4CFE">
        <w:rPr>
          <w:sz w:val="24"/>
          <w:lang w:val="fi-FI"/>
        </w:rPr>
        <w:t xml:space="preserve">JO L 195 de 27.7.2017, p. 3, ELI: </w:t>
      </w:r>
      <w:hyperlink r:id="rId2" w:history="1">
        <w:r w:rsidRPr="000D4CFE">
          <w:rPr>
            <w:rStyle w:val="Hyperlink"/>
            <w:sz w:val="24"/>
            <w:lang w:val="fi-FI"/>
          </w:rPr>
          <w:t>http://data.europa.eu/eli/agree_internation/2017/1388/oj</w:t>
        </w:r>
      </w:hyperlink>
      <w:r w:rsidRPr="000D4CFE">
        <w:rPr>
          <w:sz w:val="24"/>
          <w:lang w:val="fi-FI"/>
        </w:rPr>
        <w:t>.</w:t>
      </w:r>
    </w:p>
  </w:footnote>
  <w:footnote w:id="3">
    <w:p w14:paraId="3211B968" w14:textId="77777777" w:rsidR="00D039ED" w:rsidRPr="000D4CFE" w:rsidRDefault="00D039ED" w:rsidP="006A7029">
      <w:pPr>
        <w:pStyle w:val="FootnoteText"/>
        <w:ind w:left="567" w:hanging="567"/>
        <w:rPr>
          <w:color w:val="0000FF"/>
          <w:sz w:val="24"/>
          <w:u w:val="single" w:color="0000FF"/>
          <w:lang w:val="fi-FI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0D4CFE">
        <w:rPr>
          <w:sz w:val="24"/>
          <w:lang w:val="fi-FI"/>
        </w:rPr>
        <w:t xml:space="preserve"> </w:t>
      </w:r>
      <w:r w:rsidR="006A7029" w:rsidRPr="000D4CFE">
        <w:rPr>
          <w:sz w:val="24"/>
          <w:lang w:val="fi-FI"/>
        </w:rPr>
        <w:tab/>
      </w:r>
      <w:r w:rsidRPr="000D4CFE">
        <w:rPr>
          <w:sz w:val="24"/>
          <w:lang w:val="fi-FI"/>
        </w:rPr>
        <w:t xml:space="preserve">JO L 330 de 20.9.2021, p. 1, ELI: </w:t>
      </w:r>
      <w:hyperlink r:id="rId3" w:history="1">
        <w:r w:rsidRPr="000D4CFE">
          <w:rPr>
            <w:rStyle w:val="Hyperlink"/>
            <w:sz w:val="24"/>
            <w:lang w:val="fi-FI"/>
          </w:rPr>
          <w:t>http://data.europa.eu/eli/reg/2021/1529/oj</w:t>
        </w:r>
      </w:hyperlink>
      <w:r w:rsidRPr="000D4CFE">
        <w:rPr>
          <w:sz w:val="24"/>
          <w:lang w:val="fi-FI"/>
        </w:rPr>
        <w:t>.</w:t>
      </w:r>
    </w:p>
  </w:footnote>
  <w:footnote w:id="4">
    <w:p w14:paraId="6D02AAFD" w14:textId="77777777" w:rsidR="00D039ED" w:rsidRPr="000D4CFE" w:rsidRDefault="00D039ED" w:rsidP="006A7029">
      <w:pPr>
        <w:pStyle w:val="FootnoteText"/>
        <w:ind w:left="567" w:hanging="567"/>
        <w:rPr>
          <w:sz w:val="24"/>
          <w:lang w:val="fi-FI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0D4CFE">
        <w:rPr>
          <w:sz w:val="24"/>
          <w:lang w:val="fi-FI"/>
        </w:rPr>
        <w:t xml:space="preserve"> </w:t>
      </w:r>
      <w:r w:rsidR="006A7029" w:rsidRPr="000D4CFE">
        <w:rPr>
          <w:sz w:val="24"/>
          <w:lang w:val="fi-FI"/>
        </w:rPr>
        <w:tab/>
      </w:r>
      <w:r w:rsidRPr="000D4CFE">
        <w:rPr>
          <w:sz w:val="24"/>
          <w:lang w:val="fi-FI"/>
        </w:rPr>
        <w:t xml:space="preserve">JO L, 2024/1449, 24.5.2024, </w:t>
      </w:r>
      <w:r w:rsidRPr="000D4CFE">
        <w:rPr>
          <w:color w:val="333333"/>
          <w:sz w:val="24"/>
          <w:shd w:val="clear" w:color="auto" w:fill="FFFFFF"/>
          <w:lang w:val="fi-FI"/>
        </w:rPr>
        <w:t>ELI</w:t>
      </w:r>
      <w:r w:rsidRPr="000D4CFE">
        <w:rPr>
          <w:sz w:val="24"/>
          <w:lang w:val="fi-FI"/>
        </w:rPr>
        <w:t>:</w:t>
      </w:r>
      <w:r w:rsidRPr="000D4CFE">
        <w:rPr>
          <w:color w:val="333333"/>
          <w:sz w:val="24"/>
          <w:shd w:val="clear" w:color="auto" w:fill="FFFFFF"/>
          <w:lang w:val="fi-FI"/>
        </w:rPr>
        <w:t> </w:t>
      </w:r>
      <w:hyperlink r:id="rId4" w:tooltip="Dá acesso a este documento através do seu ELI/URI." w:history="1">
        <w:r w:rsidRPr="008F3B22">
          <w:rPr>
            <w:rStyle w:val="Hyperlink"/>
            <w:szCs w:val="24"/>
            <w:lang w:val="fi-FI"/>
          </w:rPr>
          <w:t>http://data.europa.eu/eli/reg/2024/1449/oj</w:t>
        </w:r>
      </w:hyperlink>
      <w:r w:rsidRPr="000D4CFE">
        <w:rPr>
          <w:sz w:val="24"/>
          <w:lang w:val="fi-FI"/>
        </w:rPr>
        <w:t>.</w:t>
      </w:r>
    </w:p>
  </w:footnote>
  <w:footnote w:id="5">
    <w:p w14:paraId="1A668E72" w14:textId="77777777" w:rsidR="00D039ED" w:rsidRPr="000D4CFE" w:rsidRDefault="00D039ED" w:rsidP="006A7029">
      <w:pPr>
        <w:pStyle w:val="FootnoteText"/>
        <w:ind w:left="567" w:hanging="567"/>
        <w:rPr>
          <w:sz w:val="24"/>
          <w:lang w:val="fi-FI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0D4CFE">
        <w:rPr>
          <w:sz w:val="24"/>
          <w:lang w:val="fi-FI"/>
        </w:rPr>
        <w:t xml:space="preserve"> </w:t>
      </w:r>
      <w:r w:rsidR="006A7029" w:rsidRPr="000D4CFE">
        <w:rPr>
          <w:sz w:val="24"/>
          <w:lang w:val="fi-FI"/>
        </w:rPr>
        <w:tab/>
      </w:r>
      <w:r w:rsidRPr="000D4CFE">
        <w:rPr>
          <w:sz w:val="24"/>
          <w:lang w:val="fi-FI"/>
        </w:rPr>
        <w:t xml:space="preserve">JO L 146 de 6.6.2023, p. 22, ELI: </w:t>
      </w:r>
      <w:hyperlink r:id="rId5" w:history="1">
        <w:r w:rsidRPr="000D4CFE">
          <w:rPr>
            <w:rStyle w:val="Hyperlink"/>
            <w:sz w:val="24"/>
            <w:lang w:val="fi-FI"/>
          </w:rPr>
          <w:t>http://data.europa.eu/eli/dec/2023/1095/oj</w:t>
        </w:r>
      </w:hyperlink>
      <w:r w:rsidRPr="000D4CFE">
        <w:rPr>
          <w:rStyle w:val="Hyperlink"/>
          <w:sz w:val="24"/>
          <w:lang w:val="fi-FI"/>
        </w:rPr>
        <w:t>.</w:t>
      </w:r>
    </w:p>
  </w:footnote>
  <w:footnote w:id="6">
    <w:p w14:paraId="6B73597E" w14:textId="77777777" w:rsidR="00D039ED" w:rsidRPr="000D4CFE" w:rsidRDefault="00D039ED" w:rsidP="006A7029">
      <w:pPr>
        <w:pStyle w:val="FootnoteText"/>
        <w:ind w:left="567" w:hanging="567"/>
        <w:rPr>
          <w:sz w:val="24"/>
          <w:lang w:val="fi-FI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0D4CFE">
        <w:rPr>
          <w:sz w:val="24"/>
          <w:lang w:val="fi-FI"/>
        </w:rPr>
        <w:t xml:space="preserve"> </w:t>
      </w:r>
      <w:r w:rsidR="006A7029" w:rsidRPr="000D4CFE">
        <w:rPr>
          <w:sz w:val="24"/>
          <w:lang w:val="fi-FI"/>
        </w:rPr>
        <w:tab/>
      </w:r>
      <w:r w:rsidRPr="000D4CFE">
        <w:rPr>
          <w:sz w:val="24"/>
          <w:lang w:val="fi-FI"/>
        </w:rPr>
        <w:t xml:space="preserve">JO L 110 de 25.4.2023, p. 1, ELI: </w:t>
      </w:r>
      <w:hyperlink r:id="rId6" w:history="1">
        <w:r w:rsidRPr="000D4CFE">
          <w:rPr>
            <w:rStyle w:val="Hyperlink"/>
            <w:sz w:val="24"/>
            <w:lang w:val="fi-FI"/>
          </w:rPr>
          <w:t>http://data.europa.eu/eli/reg/2023/850/oj</w:t>
        </w:r>
      </w:hyperlink>
      <w:r w:rsidRPr="000D4CFE">
        <w:rPr>
          <w:sz w:val="24"/>
          <w:lang w:val="fi-FI"/>
        </w:rPr>
        <w:t>.</w:t>
      </w:r>
    </w:p>
  </w:footnote>
  <w:footnote w:id="7">
    <w:p w14:paraId="433D2BD0" w14:textId="77777777" w:rsidR="00D039ED" w:rsidRPr="006A7029" w:rsidRDefault="00D039ED" w:rsidP="006A7029">
      <w:pPr>
        <w:pStyle w:val="FootnoteText"/>
        <w:ind w:left="567" w:hanging="567"/>
        <w:rPr>
          <w:sz w:val="24"/>
          <w:lang w:val="pt-PT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6A7029">
        <w:rPr>
          <w:sz w:val="24"/>
          <w:lang w:val="pt-PT"/>
        </w:rPr>
        <w:t xml:space="preserve"> </w:t>
      </w:r>
      <w:r w:rsidR="006A7029" w:rsidRPr="006A7029">
        <w:rPr>
          <w:sz w:val="24"/>
          <w:lang w:val="pt-PT"/>
        </w:rPr>
        <w:tab/>
      </w:r>
      <w:r w:rsidRPr="006A7029">
        <w:rPr>
          <w:sz w:val="24"/>
          <w:lang w:val="pt-PT"/>
        </w:rPr>
        <w:t xml:space="preserve">Diretiva (UE) 2024/1069 do Parlamento Europeu e do Conselho, de 11 de abril de 2024, relativa à proteção das pessoas envolvidas na participação pública contra pedidos manifestamente infundados ou processos judiciais abusivos («ações judiciais estratégicas contra a participação pública») (JO L, 2024/1069, 16.4.2024, ELI: </w:t>
      </w:r>
      <w:hyperlink r:id="rId7" w:history="1">
        <w:r w:rsidRPr="006A7029">
          <w:rPr>
            <w:rStyle w:val="Hyperlink"/>
            <w:sz w:val="24"/>
            <w:lang w:val="pt-PT"/>
          </w:rPr>
          <w:t>http://data.europa.eu/eli/dir/2024/1069/oj</w:t>
        </w:r>
      </w:hyperlink>
      <w:r w:rsidRPr="006A7029">
        <w:rPr>
          <w:sz w:val="24"/>
          <w:lang w:val="pt-PT"/>
        </w:rPr>
        <w:t>).</w:t>
      </w:r>
    </w:p>
  </w:footnote>
  <w:footnote w:id="8">
    <w:p w14:paraId="1CC699EA" w14:textId="77777777" w:rsidR="00D039ED" w:rsidRPr="006A7029" w:rsidRDefault="00D039ED" w:rsidP="006A7029">
      <w:pPr>
        <w:pStyle w:val="FootnoteText"/>
        <w:ind w:left="567" w:hanging="567"/>
        <w:rPr>
          <w:sz w:val="24"/>
          <w:lang w:val="pt-PT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6A7029">
        <w:rPr>
          <w:sz w:val="24"/>
          <w:lang w:val="pt-PT"/>
        </w:rPr>
        <w:t xml:space="preserve"> </w:t>
      </w:r>
      <w:r w:rsidR="006A7029" w:rsidRPr="006A7029">
        <w:rPr>
          <w:sz w:val="24"/>
          <w:lang w:val="pt-PT"/>
        </w:rPr>
        <w:tab/>
      </w:r>
      <w:r w:rsidRPr="006A7029">
        <w:rPr>
          <w:sz w:val="24"/>
          <w:lang w:val="pt-PT"/>
        </w:rPr>
        <w:t xml:space="preserve">Diretiva (UE) 2022/2555 do Parlamento Europeu e do Conselho, de 14 de dezembro de 2022, relativa a medidas destinadas a garantir um elevado nível comum de </w:t>
      </w:r>
      <w:proofErr w:type="spellStart"/>
      <w:r w:rsidRPr="006A7029">
        <w:rPr>
          <w:sz w:val="24"/>
          <w:lang w:val="pt-PT"/>
        </w:rPr>
        <w:t>cibersegurança</w:t>
      </w:r>
      <w:proofErr w:type="spellEnd"/>
      <w:r w:rsidRPr="006A7029">
        <w:rPr>
          <w:sz w:val="24"/>
          <w:lang w:val="pt-PT"/>
        </w:rPr>
        <w:t xml:space="preserve"> na União que altera o Regulamento (UE) n.º 910/2014 e a Diretiva (UE) 2018/1972 e revoga a Diretiva (UE) 2016/1148 (Diretiva SRI 2) (JO L 333 de 27.12.2022, p. 80, ELI: </w:t>
      </w:r>
      <w:hyperlink r:id="rId8" w:history="1">
        <w:r w:rsidRPr="006A7029">
          <w:rPr>
            <w:rStyle w:val="Hyperlink"/>
            <w:sz w:val="24"/>
            <w:lang w:val="pt-PT"/>
          </w:rPr>
          <w:t>http://data.europa.eu/eli/dir/2022/2555/oj</w:t>
        </w:r>
      </w:hyperlink>
      <w:r w:rsidRPr="006A7029">
        <w:rPr>
          <w:sz w:val="24"/>
          <w:lang w:val="pt-PT"/>
        </w:rPr>
        <w:t xml:space="preserve">). </w:t>
      </w:r>
    </w:p>
  </w:footnote>
  <w:footnote w:id="9">
    <w:p w14:paraId="0A0B6733" w14:textId="77777777" w:rsidR="00D039ED" w:rsidRPr="006A7029" w:rsidRDefault="00D039ED" w:rsidP="006A7029">
      <w:pPr>
        <w:pStyle w:val="FootnoteText"/>
        <w:ind w:left="567" w:hanging="567"/>
        <w:rPr>
          <w:sz w:val="24"/>
          <w:lang w:val="pt-PT"/>
        </w:rPr>
      </w:pPr>
      <w:r w:rsidRPr="006A7029">
        <w:rPr>
          <w:rStyle w:val="FootnoteReference"/>
          <w:sz w:val="24"/>
          <w:lang w:val="pt-PT"/>
        </w:rPr>
        <w:footnoteRef/>
      </w:r>
      <w:r w:rsidR="006A7029" w:rsidRPr="006A7029">
        <w:rPr>
          <w:sz w:val="24"/>
          <w:lang w:val="pt-PT"/>
        </w:rPr>
        <w:t xml:space="preserve"> </w:t>
      </w:r>
      <w:r w:rsidR="006A7029" w:rsidRPr="006A7029">
        <w:rPr>
          <w:sz w:val="24"/>
          <w:lang w:val="pt-PT"/>
        </w:rPr>
        <w:tab/>
      </w:r>
      <w:r w:rsidRPr="006A7029">
        <w:rPr>
          <w:sz w:val="24"/>
          <w:lang w:val="pt-PT"/>
        </w:rPr>
        <w:t xml:space="preserve">Regulamento (UE) 2022/2065 do Parlamento Europeu e do Conselho, de 19 de outubro de 2022, relativo a um mercado único para os serviços digitais e que altera a Diretiva 2000/31/CE (Regulamento dos Serviços Digitais) (JO L 277 de 27.10.2022, p. 1, ELI: </w:t>
      </w:r>
      <w:hyperlink r:id="rId9" w:history="1">
        <w:r w:rsidRPr="006A7029">
          <w:rPr>
            <w:rStyle w:val="Hyperlink"/>
            <w:sz w:val="24"/>
            <w:lang w:val="pt-PT"/>
          </w:rPr>
          <w:t>http://data.europa.eu/eli/reg/2022/2065/oj</w:t>
        </w:r>
      </w:hyperlink>
      <w:r w:rsidRPr="006A7029">
        <w:rPr>
          <w:sz w:val="24"/>
          <w:lang w:val="pt-PT"/>
        </w:rPr>
        <w:t xml:space="preserve">). </w:t>
      </w:r>
    </w:p>
  </w:footnote>
  <w:footnote w:id="10">
    <w:p w14:paraId="7282C40D" w14:textId="77777777" w:rsidR="00D039ED" w:rsidRPr="006A7029" w:rsidRDefault="00D039ED" w:rsidP="006A7029">
      <w:pPr>
        <w:ind w:left="567" w:hanging="567"/>
      </w:pPr>
      <w:r w:rsidRPr="006A7029">
        <w:rPr>
          <w:rStyle w:val="FootnoteReference"/>
        </w:rPr>
        <w:footnoteRef/>
      </w:r>
      <w:r w:rsidR="006A7029" w:rsidRPr="006A7029">
        <w:t xml:space="preserve"> </w:t>
      </w:r>
      <w:r w:rsidR="006A7029" w:rsidRPr="006A7029">
        <w:tab/>
      </w:r>
      <w:r w:rsidRPr="006A7029">
        <w:t xml:space="preserve">Regulamento (UE) 2022/1925 do Parlamento Europeu e do Conselho, de 14 de setembro de 2022, relativo à </w:t>
      </w:r>
      <w:proofErr w:type="spellStart"/>
      <w:r w:rsidRPr="006A7029">
        <w:t>disputabilidade</w:t>
      </w:r>
      <w:proofErr w:type="spellEnd"/>
      <w:r w:rsidRPr="006A7029">
        <w:t xml:space="preserve"> e equidade dos mercados no setor digital e que altera as Diretivas (UE) 2019/1937 e (UE) 2020/1828 (Regulamento dos Mercados Digitais) (JO L 265 de 12.10.2022, p. 1, ELI: </w:t>
      </w:r>
      <w:hyperlink r:id="rId10" w:history="1">
        <w:r w:rsidRPr="006A7029">
          <w:rPr>
            <w:rStyle w:val="Hyperlink"/>
          </w:rPr>
          <w:t>http://data.europa.eu/eli/reg/2022/1925/oj</w:t>
        </w:r>
      </w:hyperlink>
      <w:r w:rsidRPr="006A7029"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4379582">
    <w:abstractNumId w:val="9"/>
  </w:num>
  <w:num w:numId="2" w16cid:durableId="1023244106">
    <w:abstractNumId w:val="9"/>
  </w:num>
  <w:num w:numId="3" w16cid:durableId="1377895852">
    <w:abstractNumId w:val="7"/>
  </w:num>
  <w:num w:numId="4" w16cid:durableId="1593195614">
    <w:abstractNumId w:val="7"/>
  </w:num>
  <w:num w:numId="5" w16cid:durableId="1204246843">
    <w:abstractNumId w:val="6"/>
  </w:num>
  <w:num w:numId="6" w16cid:durableId="1636644450">
    <w:abstractNumId w:val="6"/>
  </w:num>
  <w:num w:numId="7" w16cid:durableId="432286320">
    <w:abstractNumId w:val="5"/>
  </w:num>
  <w:num w:numId="8" w16cid:durableId="1059984798">
    <w:abstractNumId w:val="5"/>
  </w:num>
  <w:num w:numId="9" w16cid:durableId="1668706918">
    <w:abstractNumId w:val="4"/>
  </w:num>
  <w:num w:numId="10" w16cid:durableId="180320301">
    <w:abstractNumId w:val="4"/>
  </w:num>
  <w:num w:numId="11" w16cid:durableId="1248148025">
    <w:abstractNumId w:val="8"/>
  </w:num>
  <w:num w:numId="12" w16cid:durableId="326057605">
    <w:abstractNumId w:val="8"/>
  </w:num>
  <w:num w:numId="13" w16cid:durableId="461308530">
    <w:abstractNumId w:val="3"/>
  </w:num>
  <w:num w:numId="14" w16cid:durableId="1119951353">
    <w:abstractNumId w:val="3"/>
  </w:num>
  <w:num w:numId="15" w16cid:durableId="765223758">
    <w:abstractNumId w:val="2"/>
  </w:num>
  <w:num w:numId="16" w16cid:durableId="880900689">
    <w:abstractNumId w:val="2"/>
  </w:num>
  <w:num w:numId="17" w16cid:durableId="1720402294">
    <w:abstractNumId w:val="1"/>
  </w:num>
  <w:num w:numId="18" w16cid:durableId="2134251623">
    <w:abstractNumId w:val="1"/>
  </w:num>
  <w:num w:numId="19" w16cid:durableId="878784819">
    <w:abstractNumId w:val="0"/>
  </w:num>
  <w:num w:numId="20" w16cid:durableId="2024891037">
    <w:abstractNumId w:val="0"/>
  </w:num>
  <w:num w:numId="21" w16cid:durableId="50080129">
    <w:abstractNumId w:val="9"/>
  </w:num>
  <w:num w:numId="22" w16cid:durableId="1917402597">
    <w:abstractNumId w:val="7"/>
  </w:num>
  <w:num w:numId="23" w16cid:durableId="381709661">
    <w:abstractNumId w:val="6"/>
  </w:num>
  <w:num w:numId="24" w16cid:durableId="2034764858">
    <w:abstractNumId w:val="5"/>
  </w:num>
  <w:num w:numId="25" w16cid:durableId="698316241">
    <w:abstractNumId w:val="4"/>
  </w:num>
  <w:num w:numId="26" w16cid:durableId="1006055064">
    <w:abstractNumId w:val="8"/>
  </w:num>
  <w:num w:numId="27" w16cid:durableId="642853857">
    <w:abstractNumId w:val="3"/>
  </w:num>
  <w:num w:numId="28" w16cid:durableId="74085884">
    <w:abstractNumId w:val="2"/>
  </w:num>
  <w:num w:numId="29" w16cid:durableId="1645155351">
    <w:abstractNumId w:val="1"/>
  </w:num>
  <w:num w:numId="30" w16cid:durableId="728653842">
    <w:abstractNumId w:val="0"/>
  </w:num>
  <w:num w:numId="31" w16cid:durableId="760879963">
    <w:abstractNumId w:val="9"/>
  </w:num>
  <w:num w:numId="32" w16cid:durableId="853768049">
    <w:abstractNumId w:val="7"/>
  </w:num>
  <w:num w:numId="33" w16cid:durableId="1175414429">
    <w:abstractNumId w:val="6"/>
  </w:num>
  <w:num w:numId="34" w16cid:durableId="189490469">
    <w:abstractNumId w:val="5"/>
  </w:num>
  <w:num w:numId="35" w16cid:durableId="2125879631">
    <w:abstractNumId w:val="4"/>
  </w:num>
  <w:num w:numId="36" w16cid:durableId="776174349">
    <w:abstractNumId w:val="8"/>
  </w:num>
  <w:num w:numId="37" w16cid:durableId="1765106592">
    <w:abstractNumId w:val="3"/>
  </w:num>
  <w:num w:numId="38" w16cid:durableId="693581651">
    <w:abstractNumId w:val="2"/>
  </w:num>
  <w:num w:numId="39" w16cid:durableId="1567911836">
    <w:abstractNumId w:val="1"/>
  </w:num>
  <w:num w:numId="40" w16cid:durableId="1952203980">
    <w:abstractNumId w:val="0"/>
  </w:num>
  <w:num w:numId="41" w16cid:durableId="953946468">
    <w:abstractNumId w:val="10"/>
  </w:num>
  <w:num w:numId="42" w16cid:durableId="280721852">
    <w:abstractNumId w:val="10"/>
  </w:num>
  <w:num w:numId="43" w16cid:durableId="2010794268">
    <w:abstractNumId w:val="10"/>
  </w:num>
  <w:num w:numId="44" w16cid:durableId="1433473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5/2025"/>
    <w:docVar w:name="dvlangue" w:val="PT"/>
    <w:docVar w:name="dvnumam" w:val="0"/>
    <w:docVar w:name="dvpe" w:val="767.973"/>
    <w:docVar w:name="dvrapporteur" w:val="Relator: "/>
    <w:docVar w:name="dvtitre" w:val="Resolução do Parlamento Europeu, de ... de ... de 2025,_x000d__x000a_ sobre os relatórios de 2023 e 2024 da Comissão relativos ao Kosovo(2025/2019(INI))"/>
  </w:docVars>
  <w:rsids>
    <w:rsidRoot w:val="00672B66"/>
    <w:rsid w:val="00002272"/>
    <w:rsid w:val="00064002"/>
    <w:rsid w:val="000677B9"/>
    <w:rsid w:val="000831BA"/>
    <w:rsid w:val="000A42CC"/>
    <w:rsid w:val="000D4CF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39A"/>
    <w:rsid w:val="005C2568"/>
    <w:rsid w:val="005F1B17"/>
    <w:rsid w:val="006037C0"/>
    <w:rsid w:val="006631B6"/>
    <w:rsid w:val="00672B66"/>
    <w:rsid w:val="00680577"/>
    <w:rsid w:val="006A7029"/>
    <w:rsid w:val="006F74FA"/>
    <w:rsid w:val="00731ADD"/>
    <w:rsid w:val="00734777"/>
    <w:rsid w:val="00747932"/>
    <w:rsid w:val="00751A4A"/>
    <w:rsid w:val="00756632"/>
    <w:rsid w:val="00762C74"/>
    <w:rsid w:val="007849C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B22"/>
    <w:rsid w:val="00930C23"/>
    <w:rsid w:val="0093193B"/>
    <w:rsid w:val="009509D8"/>
    <w:rsid w:val="00950B64"/>
    <w:rsid w:val="00981893"/>
    <w:rsid w:val="0098438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C90"/>
    <w:rsid w:val="00B22876"/>
    <w:rsid w:val="00B558F0"/>
    <w:rsid w:val="00BC0F3B"/>
    <w:rsid w:val="00BD48FE"/>
    <w:rsid w:val="00BD7BD8"/>
    <w:rsid w:val="00BE6ADC"/>
    <w:rsid w:val="00C05BFE"/>
    <w:rsid w:val="00C23CD4"/>
    <w:rsid w:val="00C61C0C"/>
    <w:rsid w:val="00C941CB"/>
    <w:rsid w:val="00CB6CA9"/>
    <w:rsid w:val="00CC2357"/>
    <w:rsid w:val="00CF071A"/>
    <w:rsid w:val="00CF0EE0"/>
    <w:rsid w:val="00D039ED"/>
    <w:rsid w:val="00D058B8"/>
    <w:rsid w:val="00D56C11"/>
    <w:rsid w:val="00D834A0"/>
    <w:rsid w:val="00D872DF"/>
    <w:rsid w:val="00D91E21"/>
    <w:rsid w:val="00DA7FCD"/>
    <w:rsid w:val="00E365E1"/>
    <w:rsid w:val="00E607C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0ACFF"/>
  <w15:chartTrackingRefBased/>
  <w15:docId w15:val="{1D351CB3-4380-4E2D-82D7-8BDD5E03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039ED"/>
    <w:pPr>
      <w:spacing w:after="240"/>
      <w:ind w:left="567" w:hanging="567"/>
    </w:pPr>
  </w:style>
  <w:style w:type="paragraph" w:customStyle="1" w:styleId="EPComma">
    <w:name w:val="EPComma"/>
    <w:basedOn w:val="Normal"/>
    <w:rsid w:val="00D039E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039ED"/>
    <w:rPr>
      <w:sz w:val="24"/>
      <w:lang w:val="pt-PT"/>
    </w:rPr>
  </w:style>
  <w:style w:type="paragraph" w:customStyle="1" w:styleId="Normal12a24b">
    <w:name w:val="Normal12a24b"/>
    <w:basedOn w:val="Normal"/>
    <w:rsid w:val="00D039ED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D039ED"/>
    <w:rPr>
      <w:b/>
      <w:bCs w:val="0"/>
      <w:i/>
      <w:iCs w:val="0"/>
      <w:strike w:val="0"/>
      <w:dstrike w:val="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D039E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F0E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0EE0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0D4CF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4CF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4CF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D4C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4CFE"/>
    <w:rPr>
      <w:b/>
      <w:bCs/>
      <w:lang w:val="pt-PT"/>
    </w:rPr>
  </w:style>
  <w:style w:type="character" w:styleId="FollowedHyperlink">
    <w:name w:val="FollowedHyperlink"/>
    <w:basedOn w:val="DefaultParagraphFont"/>
    <w:rsid w:val="00E607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2/2555/oj" TargetMode="External"/><Relationship Id="rId3" Type="http://schemas.openxmlformats.org/officeDocument/2006/relationships/hyperlink" Target="http://data.europa.eu/eli/reg/2021/1529/oj" TargetMode="External"/><Relationship Id="rId7" Type="http://schemas.openxmlformats.org/officeDocument/2006/relationships/hyperlink" Target="http://data.europa.eu/eli/dir/2024/106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reg/2023/850/oj" TargetMode="External"/><Relationship Id="rId5" Type="http://schemas.openxmlformats.org/officeDocument/2006/relationships/hyperlink" Target="http://data.europa.eu/eli/dec/2023/1095/oj" TargetMode="External"/><Relationship Id="rId10" Type="http://schemas.openxmlformats.org/officeDocument/2006/relationships/hyperlink" Target="http://data.europa.eu/eli/reg/2022/1925/oj" TargetMode="External"/><Relationship Id="rId4" Type="http://schemas.openxmlformats.org/officeDocument/2006/relationships/hyperlink" Target="http://data.europa.eu/eli/reg/2024/1449/oj" TargetMode="External"/><Relationship Id="rId9" Type="http://schemas.openxmlformats.org/officeDocument/2006/relationships/hyperlink" Target="http://data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F5256-B7E5-4434-A6C7-405DF95DC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7228</Words>
  <Characters>38392</Characters>
  <Application>Microsoft Office Word</Application>
  <DocSecurity>0</DocSecurity>
  <Lines>319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PESA Karina</cp:lastModifiedBy>
  <cp:revision>3</cp:revision>
  <cp:lastPrinted>2004-11-19T15:42:00Z</cp:lastPrinted>
  <dcterms:created xsi:type="dcterms:W3CDTF">2025-05-07T17:25:00Z</dcterms:created>
  <dcterms:modified xsi:type="dcterms:W3CDTF">2025-10-13T13:25:00Z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A10-0075/2025</vt:lpwstr>
  </property>
  <property fmtid="{D5CDD505-2E9C-101B-9397-08002B2CF9AE}" pid="4" name="&lt;Type&gt;">
    <vt:lpwstr>RR</vt:lpwstr>
  </property>
</Properties>
</file>