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84B30" w14:paraId="3635D9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32E20B" w14:textId="77777777" w:rsidR="00751A4A" w:rsidRPr="00084B30" w:rsidRDefault="0053167C" w:rsidP="0010095E">
            <w:pPr>
              <w:pStyle w:val="EPName"/>
            </w:pPr>
            <w:r w:rsidRPr="00084B30">
              <w:t>Európsky parlament</w:t>
            </w:r>
          </w:p>
          <w:p w14:paraId="0D16B82F" w14:textId="77777777" w:rsidR="00751A4A" w:rsidRPr="00084B3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84B30">
              <w:t>2024</w:t>
            </w:r>
            <w:r w:rsidR="00817416" w:rsidRPr="00084B30">
              <w:t>-202</w:t>
            </w:r>
            <w:r w:rsidRPr="00084B30">
              <w:t>9</w:t>
            </w:r>
          </w:p>
        </w:tc>
        <w:tc>
          <w:tcPr>
            <w:tcW w:w="2268" w:type="dxa"/>
            <w:shd w:val="clear" w:color="auto" w:fill="auto"/>
          </w:tcPr>
          <w:p w14:paraId="3BA4A40A" w14:textId="77777777" w:rsidR="00751A4A" w:rsidRPr="00084B30" w:rsidRDefault="00187494" w:rsidP="0010095E">
            <w:pPr>
              <w:pStyle w:val="EPLogo"/>
            </w:pPr>
            <w:r w:rsidRPr="00084B30">
              <w:rPr>
                <w:noProof/>
                <w:lang w:val="en-GB"/>
              </w:rPr>
              <w:drawing>
                <wp:inline distT="0" distB="0" distL="0" distR="0" wp14:anchorId="4A56B50E" wp14:editId="7B6CAB9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EA4EE6" w14:textId="77777777" w:rsidR="00D058B8" w:rsidRPr="00084B30" w:rsidRDefault="00D058B8" w:rsidP="004C5D52">
      <w:pPr>
        <w:pStyle w:val="LineTop"/>
      </w:pPr>
    </w:p>
    <w:p w14:paraId="19E1B8DB" w14:textId="77777777" w:rsidR="00680577" w:rsidRPr="00084B30" w:rsidRDefault="0053167C" w:rsidP="00680577">
      <w:pPr>
        <w:pStyle w:val="EPBodyTA1"/>
      </w:pPr>
      <w:r w:rsidRPr="00084B30">
        <w:t>PRIJATÉ TEXTY</w:t>
      </w:r>
    </w:p>
    <w:p w14:paraId="037D613C" w14:textId="77777777" w:rsidR="00D058B8" w:rsidRPr="00084B30" w:rsidRDefault="00D058B8" w:rsidP="00D058B8">
      <w:pPr>
        <w:pStyle w:val="LineBottom"/>
      </w:pPr>
    </w:p>
    <w:p w14:paraId="7C07ECB2" w14:textId="77777777" w:rsidR="0053167C" w:rsidRPr="00084B30" w:rsidRDefault="0053167C" w:rsidP="0053167C">
      <w:pPr>
        <w:pStyle w:val="ATHeading1"/>
      </w:pPr>
      <w:bookmarkStart w:id="0" w:name="TANumber"/>
      <w:r w:rsidRPr="00084B30">
        <w:t>P10_TA(2025)00</w:t>
      </w:r>
      <w:r w:rsidR="00084B30" w:rsidRPr="00084B30">
        <w:t>94</w:t>
      </w:r>
      <w:bookmarkEnd w:id="0"/>
    </w:p>
    <w:p w14:paraId="571067D1" w14:textId="77777777" w:rsidR="0053167C" w:rsidRPr="00084B30" w:rsidRDefault="0053167C" w:rsidP="0053167C">
      <w:pPr>
        <w:pStyle w:val="ATHeading2"/>
      </w:pPr>
      <w:bookmarkStart w:id="1" w:name="title"/>
      <w:r w:rsidRPr="00084B30">
        <w:t>Správy o Kosove za roky 2023 a 2024</w:t>
      </w:r>
      <w:bookmarkEnd w:id="1"/>
    </w:p>
    <w:p w14:paraId="2B6BA035" w14:textId="77777777" w:rsidR="0053167C" w:rsidRPr="00084B30" w:rsidRDefault="0053167C" w:rsidP="0053167C">
      <w:pPr>
        <w:rPr>
          <w:i/>
          <w:vanish/>
        </w:rPr>
      </w:pPr>
      <w:r w:rsidRPr="00084B30">
        <w:rPr>
          <w:i/>
        </w:rPr>
        <w:fldChar w:fldCharType="begin"/>
      </w:r>
      <w:r w:rsidRPr="00084B30">
        <w:rPr>
          <w:i/>
        </w:rPr>
        <w:instrText xml:space="preserve"> TC"(</w:instrText>
      </w:r>
      <w:bookmarkStart w:id="2" w:name="DocNumber"/>
      <w:r w:rsidRPr="00084B30">
        <w:rPr>
          <w:i/>
        </w:rPr>
        <w:instrText>A10-0075/2025</w:instrText>
      </w:r>
      <w:bookmarkEnd w:id="2"/>
      <w:r w:rsidRPr="00084B30">
        <w:rPr>
          <w:i/>
        </w:rPr>
        <w:instrText xml:space="preserve"> - Spravodajca: Riho Terras)"\l3 \n&gt; \* MERGEFORMAT </w:instrText>
      </w:r>
      <w:r w:rsidRPr="00084B30">
        <w:rPr>
          <w:i/>
        </w:rPr>
        <w:fldChar w:fldCharType="end"/>
      </w:r>
    </w:p>
    <w:p w14:paraId="5AEDDE94" w14:textId="77777777" w:rsidR="0053167C" w:rsidRPr="00084B30" w:rsidRDefault="0053167C" w:rsidP="0053167C">
      <w:pPr>
        <w:rPr>
          <w:vanish/>
        </w:rPr>
      </w:pPr>
      <w:bookmarkStart w:id="3" w:name="Commission"/>
      <w:r w:rsidRPr="00084B30">
        <w:rPr>
          <w:vanish/>
        </w:rPr>
        <w:t>Výbor pre zahraničné veci</w:t>
      </w:r>
      <w:bookmarkEnd w:id="3"/>
    </w:p>
    <w:p w14:paraId="7280BEFC" w14:textId="77777777" w:rsidR="0053167C" w:rsidRPr="00084B30" w:rsidRDefault="0053167C" w:rsidP="0053167C">
      <w:pPr>
        <w:rPr>
          <w:vanish/>
        </w:rPr>
      </w:pPr>
      <w:bookmarkStart w:id="4" w:name="PE"/>
      <w:r w:rsidRPr="00084B30">
        <w:rPr>
          <w:vanish/>
        </w:rPr>
        <w:t>PE767.973</w:t>
      </w:r>
      <w:bookmarkEnd w:id="4"/>
    </w:p>
    <w:p w14:paraId="502BC6FA" w14:textId="77777777" w:rsidR="0053167C" w:rsidRPr="00084B30" w:rsidRDefault="0053167C" w:rsidP="0053167C">
      <w:pPr>
        <w:pStyle w:val="ATHeading3"/>
      </w:pPr>
      <w:bookmarkStart w:id="5" w:name="Sujet"/>
      <w:r w:rsidRPr="00084B30">
        <w:t>Uznesenie Európskeho parlamentu z</w:t>
      </w:r>
      <w:r w:rsidR="00F42652" w:rsidRPr="00084B30">
        <w:t>o</w:t>
      </w:r>
      <w:r w:rsidRPr="00084B30">
        <w:t xml:space="preserve"> </w:t>
      </w:r>
      <w:r w:rsidR="00F42652" w:rsidRPr="00084B30">
        <w:t>7</w:t>
      </w:r>
      <w:r w:rsidRPr="00084B30">
        <w:t>. mája 2025 o správach Komisie o Kosove za roky 2023 a 2024</w:t>
      </w:r>
      <w:bookmarkEnd w:id="5"/>
      <w:r w:rsidRPr="00084B30">
        <w:t xml:space="preserve"> </w:t>
      </w:r>
      <w:bookmarkStart w:id="6" w:name="References"/>
      <w:r w:rsidRPr="00084B30">
        <w:t>(2025/2019(INI))</w:t>
      </w:r>
      <w:bookmarkEnd w:id="6"/>
    </w:p>
    <w:p w14:paraId="3A7D415B" w14:textId="77777777" w:rsidR="008D2837" w:rsidRPr="00084B30" w:rsidRDefault="008D2837" w:rsidP="008D2837">
      <w:pPr>
        <w:pStyle w:val="EPComma"/>
      </w:pPr>
      <w:r w:rsidRPr="00084B30">
        <w:rPr>
          <w:i/>
        </w:rPr>
        <w:t>Európsky parlament</w:t>
      </w:r>
      <w:r w:rsidRPr="00084B30">
        <w:t>,</w:t>
      </w:r>
    </w:p>
    <w:p w14:paraId="72412668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Dohodu o stabilizácii a pridružení medzi Európskou úniou a Európskym spoločenstvom pre atómovú energiu na jednej strane a Kosovom na strane druhej</w:t>
      </w:r>
      <w:r w:rsidRPr="00084B30">
        <w:rPr>
          <w:vertAlign w:val="superscript"/>
        </w:rPr>
        <w:footnoteReference w:id="1"/>
      </w:r>
      <w:r w:rsidRPr="00084B30">
        <w:t>, ktorá nadobudla platnosť 1. apríla 2016,</w:t>
      </w:r>
    </w:p>
    <w:p w14:paraId="486B68A1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žiadosť Kosova o členstvo v Európskej únii z 15. decembra 2022,</w:t>
      </w:r>
    </w:p>
    <w:p w14:paraId="5B99C446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žiadosť Kosova o členstvo v Rade Európy z 12. mája 2022,</w:t>
      </w:r>
    </w:p>
    <w:p w14:paraId="350B9ED3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Rámcovú dohodu medzi Európskou úniou a Kosovom o všeobecných zásadách účasti Kosova na programoch Únie</w:t>
      </w:r>
      <w:r w:rsidRPr="00084B30">
        <w:rPr>
          <w:vertAlign w:val="superscript"/>
        </w:rPr>
        <w:footnoteReference w:id="2"/>
      </w:r>
      <w:r w:rsidRPr="00084B30">
        <w:t>, ktorá nadobudla platnosť 1. augusta 2017,</w:t>
      </w:r>
    </w:p>
    <w:p w14:paraId="19D8E5FD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nariadenie Európskeho parlamentu a Rady (EÚ) 2021/1529 z 15. septembra 2021, ktorým sa zriaďuje nástroj predvstupovej pomoci (IPA III)</w:t>
      </w:r>
      <w:r w:rsidRPr="00084B30">
        <w:rPr>
          <w:vertAlign w:val="superscript"/>
        </w:rPr>
        <w:footnoteReference w:id="3"/>
      </w:r>
      <w:r w:rsidRPr="00084B30">
        <w:t>,</w:t>
      </w:r>
    </w:p>
    <w:p w14:paraId="30FBCC84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nariadenie Európskeho parlamentu a Rady (EÚ) 2024/1449 zo 14. mája 2024 o zriadení Nástroja na podporu reforiem a rastu pre západný Balkán</w:t>
      </w:r>
      <w:r w:rsidRPr="00084B30">
        <w:rPr>
          <w:vertAlign w:val="superscript"/>
        </w:rPr>
        <w:footnoteReference w:id="4"/>
      </w:r>
      <w:r w:rsidRPr="00084B30">
        <w:t>,</w:t>
      </w:r>
    </w:p>
    <w:p w14:paraId="46E1A0DF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závery predsedníctva zo zasadnutia Európskej rady v Solúne, ktoré sa konalo 19. a 20. júna 2003,</w:t>
      </w:r>
    </w:p>
    <w:p w14:paraId="58E55856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 xml:space="preserve">so zreteľom na vyhlásenia zo samitov EÚ – západný Balkán zo 17. mája 2018 v Sofii, zo 6. mája 2020 v Záhrebe, zo 6. októbra 2021 v Brde pri Kranju, zo 6. decembra 2022 </w:t>
      </w:r>
      <w:r w:rsidRPr="00084B30">
        <w:lastRenderedPageBreak/>
        <w:t xml:space="preserve">v Tirane, z 13. decembra 2023 v Bruseli a z 18. decembra 2024 v Bruseli, </w:t>
      </w:r>
    </w:p>
    <w:p w14:paraId="717AC676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berlínsky proces, ktorý sa začal 28. augusta 2014,</w:t>
      </w:r>
    </w:p>
    <w:p w14:paraId="0E1C9A4D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oznámenie Komisie z 5. februára 2020 s názvom Posilnený proces pristúpenia – dôveryhodná perspektíva členstva v EÚ pre západný Balkán (COM(2020)0057),</w:t>
      </w:r>
    </w:p>
    <w:p w14:paraId="7A583225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oznámenie Komisie zo 6. októbra 2020 s názvom Hospodársky a investičný plán pre západný Balkán (COM(2020)0641),</w:t>
      </w:r>
    </w:p>
    <w:p w14:paraId="24889BCC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oznámenie Komisie z 8. novembra 2023 s názvom Oznámenie o politike rozširovania EÚ z roku 2023 (COM(2023)0690) a na sprievodný pracovný dokument útvarov Komisie s názvom Správa o Kosove za rok 2023 (SWD(2023)0692),</w:t>
      </w:r>
    </w:p>
    <w:p w14:paraId="27CD9962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oznámenie Komisie z 8. novembra 2023 s názvom Nový plán rastu pre západný Balkán (COM(2023)0691),</w:t>
      </w:r>
    </w:p>
    <w:p w14:paraId="158207E4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oznámenie Komisie z 20. marca 2024 o reformách pred rozšírením a o preskúmaní politík (COM(2024)0146),</w:t>
      </w:r>
    </w:p>
    <w:p w14:paraId="38756DA7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oznámenie Komisie z 30. októbra 2024 s názvom Oznámenie o politike rozširovania EÚ z roku 2024 (COM(2024)0690) a na sprievodný pracovný dokument útvarov Komisie s názvom Správa o Kosove za rok 2024 (SWD(2024)0692),</w:t>
      </w:r>
    </w:p>
    <w:p w14:paraId="0BFC5F83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všeobecný prehľad a hodnotenie krajiny Komisiou zamerané na program hospodárskych reforiem Kosova z 31. mája 2023 a 13. júna 2024,</w:t>
      </w:r>
    </w:p>
    <w:p w14:paraId="6BE8CEC6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spoločné závery z dialógu o hospodárskych a finančných otázkach medzi EÚ a partnermi zo západného Balkánu a Tureckom, ktoré Rada prijala 16. mája 2023, a na spoločné závery z dialógu o hospodárskych a finančných otázkach medzi EÚ a partnermi zo západného Balkánu a Tureckom, Gruzínskom, Moldavskou republikou a Ukrajinou, ktoré Rada prijala 14. mája 2024,</w:t>
      </w:r>
    </w:p>
    <w:p w14:paraId="5D5165E2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rezolúciu Bezpečnostnej rady OSN č. 1244 z 10. júna 1999, na poradné stanovisko Medzinárodného súdneho dvora (MSD) z 22. júla 2010 k otázke súladu jednostranného vyhlásenia nezávislosti Kosova s medzinárodným právom a na rezolúciu Valného zhromaždenia OSN č. 64/298 z 9. septembra 2010, ktorou sa uznal obsah stanoviska Medzinárodného súdneho dvora a privítala pripravenosť EÚ uľahčiť dialóg medzi Srbskom a Kosovom,</w:t>
      </w:r>
    </w:p>
    <w:p w14:paraId="16BE74EF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prvú dohodu o zásadách upravujúcich normalizáciu vzťahov medzi Srbskom a Kosovom z 19. apríla 2013, na dohody z 25. augusta 2015 a na prebiehajúci dialóg o normalizácii vzťahov sprostredkovaný EÚ,</w:t>
      </w:r>
    </w:p>
    <w:p w14:paraId="2398A288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Bruselskú dohodu z 27. februára 2023 a Ochridskú dohodu z 18. marca 2023 a na ich prílohu o vykonávaní,</w:t>
      </w:r>
    </w:p>
    <w:p w14:paraId="31A00D9B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 xml:space="preserve">so zreteľom na rozhodnutie Rady (SZBP) 2023/1095 z 5. júna 2023, ktorým sa mení jednotná akcia 2008/124/SZBP o misii Európskej únie na podporu právneho štátu </w:t>
      </w:r>
      <w:r w:rsidRPr="00084B30">
        <w:lastRenderedPageBreak/>
        <w:t>v Kosove (EULEX Kosovo)</w:t>
      </w:r>
      <w:r w:rsidRPr="00084B30">
        <w:rPr>
          <w:vertAlign w:val="superscript"/>
        </w:rPr>
        <w:footnoteReference w:id="5"/>
      </w:r>
      <w:r w:rsidRPr="00084B30">
        <w:t xml:space="preserve"> a ktorým sa predĺžil mandát misie do 14. júna 2025,</w:t>
      </w:r>
    </w:p>
    <w:p w14:paraId="6436B0BF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nariadenie Európskeho parlamentu a Rady (EÚ) 2023/850 z 19. apríla 2023, ktorým sa mení nariadenie (EÚ) 2018/1806 uvádzajúce zoznam tretích krajín, ktorých štátni príslušníci musia mať víza pri prekračovaní vonkajších hraníc členských štátov, a krajín, ktorých štátni príslušníci sú oslobodení od tejto povinnosti (Kosovo)</w:t>
      </w:r>
      <w:r w:rsidRPr="00084B30">
        <w:rPr>
          <w:rStyle w:val="FootnoteReference"/>
        </w:rPr>
        <w:footnoteReference w:id="6"/>
      </w:r>
      <w:r w:rsidRPr="00084B30">
        <w:t>,</w:t>
      </w:r>
    </w:p>
    <w:p w14:paraId="21278D7E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záverečnú správu volebnej pozorovateľskej misie Európskej únie o komunálnych voľbách v Kosove v roku 2021,</w:t>
      </w:r>
    </w:p>
    <w:p w14:paraId="056BE927" w14:textId="77777777" w:rsidR="008D2837" w:rsidRPr="00084B30" w:rsidRDefault="008D2837" w:rsidP="008D2837">
      <w:pPr>
        <w:pStyle w:val="NormalHanging12a"/>
        <w:rPr>
          <w:b/>
          <w:szCs w:val="24"/>
        </w:rPr>
      </w:pPr>
      <w:r w:rsidRPr="00084B30">
        <w:t>–</w:t>
      </w:r>
      <w:r w:rsidRPr="00084B30">
        <w:tab/>
        <w:t>so zreteľom na predbežnú správu volebnej pozorovateľskej misie Európskej únie o parlamentných voľbách v Kosove v roku 2025,</w:t>
      </w:r>
    </w:p>
    <w:p w14:paraId="17DC307F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štvrté zasadnutie Rady pre stabilizáciu a pridruženie medzi Európskou úniou a Kosovom, ktoré sa konalo 7. decembra 2021 v Bruseli,</w:t>
      </w:r>
    </w:p>
    <w:p w14:paraId="753D3BDE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svoje predchádzajúce uznesenia o Kosove,</w:t>
      </w:r>
    </w:p>
    <w:p w14:paraId="492EBBA5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spoločné odporúčania, ktoré 9. decembra 2024 prijal Parlamentný výbor pre stabilizáciu a pridruženie EÚ – Kosovo na svojej 12. schôdzi,</w:t>
      </w:r>
    </w:p>
    <w:p w14:paraId="20E1767F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index vnímania korupcie organizácie Transparency International z roku 2024,</w:t>
      </w:r>
    </w:p>
    <w:p w14:paraId="048B998B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svetový rebríček slobody tlače za rok 2024, ktorý uverejnila organizácia Reportéri bez hraníc,</w:t>
      </w:r>
    </w:p>
    <w:p w14:paraId="7A8E0DD5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správu o demokracii za rok 2024 z marca 2024, ktorú vypracoval inštitút Varieties of Democracy (V-Dem),</w:t>
      </w:r>
    </w:p>
    <w:p w14:paraId="36B5A841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článok 55 rokovacieho poriadku,</w:t>
      </w:r>
    </w:p>
    <w:p w14:paraId="72049376" w14:textId="77777777" w:rsidR="008D2837" w:rsidRPr="00084B30" w:rsidRDefault="008D2837" w:rsidP="008D2837">
      <w:pPr>
        <w:pStyle w:val="NormalHanging12a"/>
      </w:pPr>
      <w:r w:rsidRPr="00084B30">
        <w:t>–</w:t>
      </w:r>
      <w:r w:rsidRPr="00084B30">
        <w:tab/>
        <w:t>so zreteľom na správu Výboru pre zahraničné veci (A10-0075/2025),</w:t>
      </w:r>
    </w:p>
    <w:p w14:paraId="349A0B81" w14:textId="77777777" w:rsidR="008D2837" w:rsidRPr="00084B30" w:rsidRDefault="008D2837" w:rsidP="008D2837">
      <w:pPr>
        <w:pStyle w:val="NormalHanging12a"/>
      </w:pPr>
      <w:r w:rsidRPr="00084B30">
        <w:t>A.</w:t>
      </w:r>
      <w:r w:rsidRPr="00084B30">
        <w:tab/>
        <w:t>keďže politika rozširovania je jedným z najúčinnejších nástrojov zahraničnej politiky EÚ a jednou z najúspešnejších politík na stimulovanie a podporu základných reforiem, ako aj strategickou geopolitickou investíciou do dlhodobého mieru, stability a bezpečnosti na celom kontinente;</w:t>
      </w:r>
    </w:p>
    <w:p w14:paraId="14B83499" w14:textId="77777777" w:rsidR="008D2837" w:rsidRPr="00084B30" w:rsidRDefault="008D2837" w:rsidP="008D2837">
      <w:pPr>
        <w:pStyle w:val="NormalHanging12a"/>
      </w:pPr>
      <w:r w:rsidRPr="00084B30">
        <w:t>B.</w:t>
      </w:r>
      <w:r w:rsidRPr="00084B30">
        <w:tab/>
        <w:t>keďže demokracia, ľudské práva a právny štát sú základnými hodnotami, na ktorých je EÚ založená;</w:t>
      </w:r>
    </w:p>
    <w:p w14:paraId="79C69829" w14:textId="77777777" w:rsidR="008D2837" w:rsidRPr="00084B30" w:rsidRDefault="008D2837" w:rsidP="008D2837">
      <w:pPr>
        <w:pStyle w:val="NormalHanging12a"/>
      </w:pPr>
      <w:r w:rsidRPr="00084B30">
        <w:t>C.</w:t>
      </w:r>
      <w:r w:rsidRPr="00084B30">
        <w:tab/>
        <w:t>keďže proces rozširovania EÚ je strategický nástroj na posilnenie stability, demokracie a hospodárskeho rozvoja v Európe a každá krajina zapojená do procesu rozširovania sa posudzuje podľa vlastných zásluh a keďže časový harmonogram a stav postupu pristúpenia určuje vykonávanie potrebných reforiem a dodržiavanie súboru kritérií a spoločných európskych hodnôt;</w:t>
      </w:r>
      <w:r w:rsidRPr="00084B30">
        <w:rPr>
          <w:b/>
        </w:rPr>
        <w:t xml:space="preserve"> </w:t>
      </w:r>
      <w:r w:rsidRPr="00084B30">
        <w:t>keďže cesta Kosova k členstvu v EÚ závisí aj od normalizácie vzťahov so Srbskom;</w:t>
      </w:r>
    </w:p>
    <w:p w14:paraId="52C86124" w14:textId="77777777" w:rsidR="008D2837" w:rsidRPr="00084B30" w:rsidRDefault="008D2837" w:rsidP="008D2837">
      <w:pPr>
        <w:pStyle w:val="NormalHanging12a"/>
      </w:pPr>
      <w:r w:rsidRPr="00084B30">
        <w:lastRenderedPageBreak/>
        <w:t>D.</w:t>
      </w:r>
      <w:r w:rsidRPr="00084B30">
        <w:tab/>
        <w:t>keďže EÚ je najväčším poskytovateľom finančnej podpory Kosovu;</w:t>
      </w:r>
    </w:p>
    <w:p w14:paraId="6C4392D8" w14:textId="77777777" w:rsidR="008D2837" w:rsidRPr="00084B30" w:rsidRDefault="008D2837" w:rsidP="008D2837">
      <w:pPr>
        <w:pStyle w:val="NormalHanging12a"/>
        <w:rPr>
          <w:szCs w:val="24"/>
        </w:rPr>
      </w:pPr>
      <w:r w:rsidRPr="00084B30">
        <w:t>E.</w:t>
      </w:r>
      <w:r w:rsidRPr="00084B30">
        <w:tab/>
        <w:t>keďže Kosovo bolo vystavené zahraničnému zasahovaniu a dezinformačným kampaniam, najmä zo strany Ruska, a to predovšetkým prostredníctvom srbských nacionalistických médií, a Číny, prostredníctvom mäkkej moci, ktorých cieľom bolo destabilizovať jeho demokratické inštitúcie, ohroziť spoločenskú súdržnosť a podnecovať etnické násilie; keďže po útoku v obci Banjska/Banjskë v septembri 2023 nasledovalo rozsiahle šírenie dezinformácií, ktoré ešte viac vystupňovali napätie; keďže kosovské orgány prijali v júli 2024 zákon o nezávislej komisii pre médiá; keďže v máji 2024 Rada Európy uverejnila právne stanovisko k návrhu zákona o nezávislej komisii pre médiá, v ktorom vyjadrila obavy týkajúce sa určitých aspektov vtedajšieho návrhu zákona a poskytla odporúčania, ako tieto obavy vyvrátiť; keďže v konečnom znení zákona o nezávislej komisii pre médiá sa väčšina odporúčaní nezohľadnila;</w:t>
      </w:r>
    </w:p>
    <w:p w14:paraId="77655077" w14:textId="77777777" w:rsidR="008D2837" w:rsidRPr="00084B30" w:rsidRDefault="008D2837" w:rsidP="008D2837">
      <w:pPr>
        <w:pStyle w:val="NormalHanging12a"/>
        <w:rPr>
          <w:b/>
          <w:szCs w:val="24"/>
        </w:rPr>
      </w:pPr>
      <w:r w:rsidRPr="00084B30">
        <w:t>F.</w:t>
      </w:r>
      <w:r w:rsidRPr="00084B30">
        <w:tab/>
        <w:t>keďže misia Európskej únie na podporu právneho štátu v Kosove, známa aj ako EULEX, je najväčšou civilnou misiou, aká sa kedy začala v rámci spoločnej bezpečnostnej a obrannej politiky (SBOP) Európskej únie;</w:t>
      </w:r>
    </w:p>
    <w:p w14:paraId="04CCE9EF" w14:textId="77777777" w:rsidR="008D2837" w:rsidRPr="00084B30" w:rsidRDefault="008D2837" w:rsidP="008D2837">
      <w:pPr>
        <w:pStyle w:val="NormalHanging12a"/>
        <w:rPr>
          <w:szCs w:val="24"/>
        </w:rPr>
      </w:pPr>
      <w:r w:rsidRPr="00084B30">
        <w:t>G.</w:t>
      </w:r>
      <w:r w:rsidRPr="00084B30">
        <w:tab/>
        <w:t>keďže v rokoch 2018 a 2023 podpísalo petície viac ako 500 ľudí, ktorí sa historicky sami označujú ako Bulhari;</w:t>
      </w:r>
    </w:p>
    <w:p w14:paraId="44371D50" w14:textId="77777777" w:rsidR="008D2837" w:rsidRPr="00084B30" w:rsidRDefault="008D2837" w:rsidP="008D2837">
      <w:pPr>
        <w:pStyle w:val="Normal12a24b"/>
      </w:pPr>
      <w:r w:rsidRPr="00084B30">
        <w:rPr>
          <w:rStyle w:val="BoldItalic"/>
        </w:rPr>
        <w:t>Záväzok v súvislosti s pristúpením k EÚ</w:t>
      </w:r>
    </w:p>
    <w:p w14:paraId="116C5557" w14:textId="77777777" w:rsidR="008D2837" w:rsidRPr="00084B30" w:rsidRDefault="008D2837" w:rsidP="008D2837">
      <w:pPr>
        <w:pStyle w:val="NormalHanging12a"/>
      </w:pPr>
      <w:r w:rsidRPr="00084B30">
        <w:t>1.</w:t>
      </w:r>
      <w:r w:rsidRPr="00084B30">
        <w:tab/>
        <w:t>oceňuje záväzok Kosova k pristúpeniu k EÚ, ktorý odráža jasnú strategickú geopolitickú voľbu, a pokračujúcu silnú podporu jeho občanov európskej ceste Kosova; opätovne pripomína, že Kosovo sa dôsledne usiluje o integráciu do Európskej únie;</w:t>
      </w:r>
    </w:p>
    <w:p w14:paraId="0412A4D4" w14:textId="77777777" w:rsidR="008D2837" w:rsidRPr="00084B30" w:rsidRDefault="008D2837" w:rsidP="008D2837">
      <w:pPr>
        <w:pStyle w:val="NormalHanging12a"/>
      </w:pPr>
      <w:r w:rsidRPr="00084B30">
        <w:t>2.</w:t>
      </w:r>
      <w:r w:rsidRPr="00084B30">
        <w:tab/>
        <w:t>opakuje svoje pevné presvedčenie, že budúcnosť Kosova je v EÚ a že všetko úsilie o vymanenie Kosova zo „šedej zóny“ je v záujme obyvateľov Kosova aj EÚ, najmä v kontexte aktuálnej geopolitickej dynamiky v regióne, rýchlych a veľkých zmien v svetovej politike a rastúcej konkurencie s autoritárskymi režimami;</w:t>
      </w:r>
    </w:p>
    <w:p w14:paraId="5A4A11A9" w14:textId="77777777" w:rsidR="008D2837" w:rsidRPr="00084B30" w:rsidRDefault="008D2837" w:rsidP="008D2837">
      <w:pPr>
        <w:pStyle w:val="NormalHanging12a"/>
        <w:rPr>
          <w:szCs w:val="24"/>
        </w:rPr>
      </w:pPr>
      <w:r w:rsidRPr="00084B30">
        <w:t>3.</w:t>
      </w:r>
      <w:r w:rsidRPr="00084B30">
        <w:tab/>
        <w:t>podporuje žiadosť Kosova o členstvo v EÚ, ktorá odráža absolútny konsenzus všetkých strán v otázke integrácie do EÚ a jasnú strategickú geopolitickú voľbu; opätovne vyzýva členské štáty v Rade, aby Európsku komisiu poverili, aby predložila dotazník a vypracovala stanovisko k opodstatnenosti žiadosti tejto krajiny; vyzýva päť členských štátov, ktoré zatiaľ neuznali nezávislosť Kosova, aby tak bezodkladne urobili a umožnili Kosovu napredovať na jeho ceste k pristúpeniu k EÚ za rovnakých podmienok ako ostatné kandidátske krajiny;  pripomína poradné stanovisko Medzinárodného súdneho dvora z 22. júla 2010, v ktorom sa uvádza, že jednostranným vyhlásením nezávislosti Kosova sa neporušuje všeobecné medzinárodné právo;</w:t>
      </w:r>
    </w:p>
    <w:p w14:paraId="66946685" w14:textId="77777777" w:rsidR="008D2837" w:rsidRPr="00084B30" w:rsidRDefault="008D2837" w:rsidP="008D2837">
      <w:pPr>
        <w:pStyle w:val="NormalHanging12a"/>
      </w:pPr>
      <w:r w:rsidRPr="00084B30">
        <w:t>4.</w:t>
      </w:r>
      <w:r w:rsidRPr="00084B30">
        <w:tab/>
        <w:t>pripomína, že členstvo v Európskej únii je založené na procese vychádzajúcom zo zásluh, ktorý je podmienený dôsledným vykonávaním reforiem v súlade s najvyššími európskymi normami, najmä dodržiavaním kodanských kritérií a zásad právneho štátu, a zabezpečuje účinné uplatňovanie právnych predpisov v praxi; nabáda Kosovo, aby v tomto smere pokračovalo vo svojom úsilí a ďalej posilnilo svoj záväzok dodržiavať hodnoty a normy Únie; zdôrazňuje, že rozširovanie si vyžaduje aj dôkladnú prípravu potenciálnych nových členov pri rešpektovaní hospodárskej stability vnútorného trhu, sociálnych a environmentálnych noriem a riadneho fungovania európskych inštitúcií;</w:t>
      </w:r>
    </w:p>
    <w:p w14:paraId="662DEC42" w14:textId="77777777" w:rsidR="008D2837" w:rsidRPr="00084B30" w:rsidRDefault="008D2837" w:rsidP="008D2837">
      <w:pPr>
        <w:pStyle w:val="NormalHanging12a"/>
      </w:pPr>
      <w:r w:rsidRPr="00084B30">
        <w:t>5.</w:t>
      </w:r>
      <w:r w:rsidRPr="00084B30">
        <w:tab/>
        <w:t xml:space="preserve">víta liberalizáciu vízového režimu prijatú v apríli 2023 a zavedenú od 1. januára 2024 </w:t>
      </w:r>
      <w:r w:rsidRPr="00084B30">
        <w:lastRenderedPageBreak/>
        <w:t>ako hmatateľný výsledok čoraz užších vzťahov Kosova s EÚ a ako dôkaz úsilia, ktoré Kosovo vynaložilo na ceste k európskej integrácii; víta rozhodnutie Kosova jednostranne zrušiť vízovú povinnosť pre občanov Bosny a Hercegoviny; víta rozhodnutie Španielska uznávať bežné pasy vydané Kosovom ako platné cestovné doklady od januára 2024;</w:t>
      </w:r>
    </w:p>
    <w:p w14:paraId="0ACD880E" w14:textId="77777777" w:rsidR="008D2837" w:rsidRPr="00084B30" w:rsidRDefault="008D2837" w:rsidP="008D2837">
      <w:pPr>
        <w:pStyle w:val="NormalHanging12a"/>
      </w:pPr>
      <w:r w:rsidRPr="00084B30">
        <w:t>6.</w:t>
      </w:r>
      <w:r w:rsidRPr="00084B30">
        <w:tab/>
        <w:t>berie na vedomie hmatateľný pokrok v oblasti spravodlivosti, slobody a bezpečnosti, boja proti organizovanej trestnej činnosti a fungujúceho trhového hospodárstva; vyjadruje poľutovanie nad obmedzeným pokrokom a vyzýva na urýchlenie reforiem v oblasti právneho štátu; víta ambíciu Kosova pokročiť v realizácii reforiem, ktoré sú naďalej prioritou krajiny; vyjadruje poľutovanie nad nedostatočnou uznášaniaschopnosťou v Národnom zhromaždení Kosova, ktoré bolo spôsobené bojkotom práce zhromaždenia politickými stranami pred parlamentnými voľbami;</w:t>
      </w:r>
    </w:p>
    <w:p w14:paraId="09E94008" w14:textId="77777777" w:rsidR="008D2837" w:rsidRPr="00084B30" w:rsidRDefault="008D2837" w:rsidP="008D2837">
      <w:pPr>
        <w:pStyle w:val="NormalHanging12a"/>
      </w:pPr>
      <w:r w:rsidRPr="00084B30">
        <w:t>7.</w:t>
      </w:r>
      <w:r w:rsidRPr="00084B30">
        <w:tab/>
        <w:t>vyjadruje poľutovanie nad politizáciou inštitúcií, ako je ústredná volebná komisia a nezávislá komisia pre médiá;</w:t>
      </w:r>
    </w:p>
    <w:p w14:paraId="544A1632" w14:textId="77777777" w:rsidR="008D2837" w:rsidRPr="00084B30" w:rsidRDefault="008D2837" w:rsidP="008D2837">
      <w:pPr>
        <w:pStyle w:val="NormalHanging12a"/>
      </w:pPr>
      <w:r w:rsidRPr="00084B30">
        <w:t>8.</w:t>
      </w:r>
      <w:r w:rsidRPr="00084B30">
        <w:tab/>
        <w:t>oceňuje pokračujúce zbližovanie Kosova so zahraničnou a bezpečnostnou politikou EÚ, najmä jeho rozhodné odsúdenie útočnej vojny Ruska proti Ukrajine a vykonávanie reštriktívnych opatrení EÚ voči Rusku a Bielorusku, ktoré sú v súlade so zahraničnou politikou Únie, a jeho podporu prostredníctvom balíkov humanitárnej a vojenskej pomoci Ukrajine, čo potvrdzuje, že Kosovo je spoľahlivým a cenným partnerom, ktorý sa zaviazal k integrácii do EÚ, a potvrdzuje jeho jasnú geopolitickú orientáciu, ktorá je pevne zakotvená v európskej a transatlantickej aliancii;</w:t>
      </w:r>
    </w:p>
    <w:p w14:paraId="39426B35" w14:textId="77777777" w:rsidR="008D2837" w:rsidRPr="00084B30" w:rsidRDefault="008D2837" w:rsidP="008D2837">
      <w:pPr>
        <w:pStyle w:val="NormalHanging12a"/>
        <w:rPr>
          <w:szCs w:val="24"/>
        </w:rPr>
      </w:pPr>
      <w:r w:rsidRPr="00084B30">
        <w:t>9.</w:t>
      </w:r>
      <w:r w:rsidRPr="00084B30">
        <w:tab/>
        <w:t>vyzýva na okamžité zrušenie opatrení EÚ voči Kosovu, ktoré už nie sú opodstatnené, keďže Kosovo splnilo požiadavky EÚ, a tieto opatrenia sú tiež v hrubom rozpore s preukázaným záväzkom Kosova voči európskym hodnotám a súladom s politikami EÚ, čo obmedzuje účinok partnerstva EÚ s Kosovom a bráni obnoveniu dialógu medzi Belehradom a Prištinou v dobrej viere;</w:t>
      </w:r>
    </w:p>
    <w:p w14:paraId="4417B170" w14:textId="77777777" w:rsidR="008D2837" w:rsidRPr="00084B30" w:rsidRDefault="008D2837" w:rsidP="008D2837">
      <w:pPr>
        <w:pStyle w:val="NormalHanging12a"/>
      </w:pPr>
      <w:r w:rsidRPr="00084B30">
        <w:t>10.</w:t>
      </w:r>
      <w:r w:rsidRPr="00084B30">
        <w:tab/>
        <w:t>opakuje, že plne podporuje žiadosť Kosova o členstvo v Rade Európy a plán strategickej orientácie tejto krajiny pripojiť sa k programu NATO Partnerstvo za mier, ako aj jeho žiadosti o vstup do iných medzinárodných organizácií; vyzýva príslušné organizácie a členské štáty, aby príslušné ponuky pre Kosovo aktívne podporovali;</w:t>
      </w:r>
      <w:r w:rsidRPr="00084B30">
        <w:rPr>
          <w:color w:val="FF0000"/>
        </w:rPr>
        <w:t xml:space="preserve"> </w:t>
      </w:r>
      <w:r w:rsidRPr="00084B30">
        <w:t>vyzýva Komisiu a úrad EÚ v Kosove, aby zintenzívnili úsilie o zviditeľnenie a propagáciu úlohy, úsilia a prínosov užšieho partnerstva medzi EÚ a Kosovom;</w:t>
      </w:r>
    </w:p>
    <w:p w14:paraId="5BFEDFB7" w14:textId="77777777" w:rsidR="008D2837" w:rsidRPr="00084B30" w:rsidRDefault="008D2837" w:rsidP="008D2837">
      <w:pPr>
        <w:pStyle w:val="NormalHanging12a"/>
        <w:rPr>
          <w:b/>
          <w:i/>
        </w:rPr>
      </w:pPr>
      <w:r w:rsidRPr="00084B30">
        <w:t>11.</w:t>
      </w:r>
      <w:r w:rsidRPr="00084B30">
        <w:rPr>
          <w:b/>
          <w:i/>
        </w:rPr>
        <w:tab/>
      </w:r>
      <w:r w:rsidRPr="00084B30">
        <w:t>víta skutočnosť, že Kosovo znížilo administratívnu záťaž zjednodušením postupov prostredníctvom vykonávania príslušného programu na roky 2022 – 2027; konštatuje, že strategický rámec pre verejnú správu síce existuje, nevykonáva sa však účinným spôsobom; vyjadruje poľutovanie nad tým, že oneskorenie reformy verejnej správy spôsobilo, že riadenie finančných prostriedkov EÚ je slabé a že zodpovednosť vo verejnom sektore je nedostatočná; vyzýva Kosovo, aby zlepšilo verejnú správu a systém štátnej služby vychádzajúci zo zásluh zmenou a prijatím zákona o verejnej službe a zákona o nezávislej dozornej rade pre verejnú službu;</w:t>
      </w:r>
    </w:p>
    <w:p w14:paraId="5BD95B00" w14:textId="77777777" w:rsidR="008D2837" w:rsidRPr="00084B30" w:rsidRDefault="008D2837" w:rsidP="008D2837">
      <w:pPr>
        <w:pStyle w:val="NormalHanging12a"/>
      </w:pPr>
      <w:r w:rsidRPr="00084B30">
        <w:t>12.</w:t>
      </w:r>
      <w:r w:rsidRPr="00084B30">
        <w:tab/>
        <w:t>vyjadruje poľutovanie nad tým, že rozsudok Ústavného súdu Kosova o zákone o platoch, ktorým sa zjednocuje súčasný systém odmeňovania verejných činiteľov, sa zatiaľ nevykonáva; vyzýva kosovskú vládu, aby zrevidovala svoje právne predpisy týkajúce sa riadenia verejných financií tak, aby spĺňali medzinárodné normy, a aby do revidovaných právnych predpisov začlenila metodiku verejných investícií;</w:t>
      </w:r>
    </w:p>
    <w:p w14:paraId="3C8501F1" w14:textId="77777777" w:rsidR="008D2837" w:rsidRPr="00084B30" w:rsidRDefault="008D2837" w:rsidP="008D2837">
      <w:pPr>
        <w:pStyle w:val="NormalHanging12a"/>
        <w:rPr>
          <w:b/>
          <w:i/>
        </w:rPr>
      </w:pPr>
      <w:r w:rsidRPr="00084B30">
        <w:rPr>
          <w:b/>
          <w:i/>
        </w:rPr>
        <w:lastRenderedPageBreak/>
        <w:t>Demokracia a právny štát</w:t>
      </w:r>
    </w:p>
    <w:p w14:paraId="55A84674" w14:textId="77777777" w:rsidR="008D2837" w:rsidRDefault="008D2837" w:rsidP="008D2837">
      <w:pPr>
        <w:pStyle w:val="NormalHanging12a"/>
      </w:pPr>
      <w:r w:rsidRPr="00084B30">
        <w:t>13.</w:t>
      </w:r>
      <w:r w:rsidRPr="00084B30">
        <w:tab/>
        <w:t>víta významný a pozitívny pokrok pri riešení mnohých dlhodobých odporúčaní volebnej pozorovateľskej misie EÚ a pri predkladaní konsenzuálneho zákona o všeobecných voľbách; konštatuje, že to poskytuje primeraný základ pre uskutočnenie demokratických volieb v súlade s medzinárodnými a regionálnymi normami; konštatuje, že v reakcii na pozvanie prezidenta Kosova Európska únia vyslala volebnú pozorovateľskú misiu EÚ vrátane pozorovateľskej delegácie poslancov Európskeho parlamentu na pozorovanie parlamentných volieb v Kosove 9. februára 2025;</w:t>
      </w:r>
      <w:r w:rsidRPr="00084B30">
        <w:rPr>
          <w:b/>
        </w:rPr>
        <w:t xml:space="preserve"> </w:t>
      </w:r>
      <w:r w:rsidRPr="00084B30">
        <w:t>víta závery volebnej pozorovateľskej misie EÚ, ktoré potvrdili, že 9. februára 2025 sa konali pokojné, slobodné a spravodlivé voľby za účasti všetkých komunít v Kosove; vyjadruje poľutovanie nad štvavou rétorikou politických strán počas kampane; berie na vedomie technické problémy, ktoré sa vyskytli počas sčítavania hlasov, a vyzýva kosovské orgány, aby zvýšili svoje úsilie o zlepšenie organizácie budúcich volieb; konštatuje, že v parlamentných voľbách chýbal skutočný politický pluralizmus v rámci komunity kosovských Srbov, a to napriek viacerým kosovským Srbom zapísaným na volebnej listine; je znepokojený správami o neustálom tlaku Belehradu na voličov zo strany srbskej komunity; odsudzuje opakované zasahovanie osobitného vyslanca USA Richarda Grenella do volebnej kampane;</w:t>
      </w:r>
    </w:p>
    <w:p w14:paraId="33A3AA0E" w14:textId="77777777" w:rsidR="00FD6337" w:rsidRPr="006209BD" w:rsidRDefault="00A95F0A" w:rsidP="008D2837">
      <w:pPr>
        <w:pStyle w:val="NormalHanging12a"/>
        <w:rPr>
          <w:szCs w:val="24"/>
        </w:rPr>
      </w:pPr>
      <w:r>
        <w:rPr>
          <w:szCs w:val="24"/>
        </w:rPr>
        <w:t>14</w:t>
      </w:r>
      <w:r w:rsidR="00FD6337" w:rsidRPr="006209BD">
        <w:rPr>
          <w:szCs w:val="24"/>
        </w:rPr>
        <w:t>.</w:t>
      </w:r>
      <w:r w:rsidR="00FD6337" w:rsidRPr="006209BD">
        <w:rPr>
          <w:szCs w:val="24"/>
        </w:rPr>
        <w:tab/>
        <w:t xml:space="preserve">so znepokojením berie na vedomie patovú politickú situáciu spôsobenú rozdrobeným politickým prostredím a tým, že sa zatiaľ nepodarilo zvoliť predsedu </w:t>
      </w:r>
      <w:r w:rsidR="00FD6337">
        <w:t>p</w:t>
      </w:r>
      <w:r w:rsidR="00FD6337" w:rsidRPr="006209BD">
        <w:rPr>
          <w:szCs w:val="24"/>
        </w:rPr>
        <w:t>arlamentu, čo bráni vytvoreniu vlády po parlamentných voľbách 9. februára 2025 a odďaľuje parlamentné čítanie viacerých rozpočtových textov; nabáda politické strany, aby spolupracovali s cieľom čo najskôr prekonať túto patovú situáciu;</w:t>
      </w:r>
    </w:p>
    <w:p w14:paraId="28BFB3BA" w14:textId="77777777" w:rsidR="008D2837" w:rsidRPr="00084B30" w:rsidRDefault="00F64209" w:rsidP="008D2837">
      <w:pPr>
        <w:pStyle w:val="NormalHanging12a"/>
      </w:pPr>
      <w:r>
        <w:t>15</w:t>
      </w:r>
      <w:r w:rsidR="008D2837" w:rsidRPr="00084B30">
        <w:t>.</w:t>
      </w:r>
      <w:r w:rsidR="008D2837" w:rsidRPr="00084B30">
        <w:tab/>
        <w:t>so znepokojením konštatuje, že zákon o komunálnych voľbách a zákon o všeobecných voľbách sa stále neuplatňujú a neboli zosúladené so zákonom o rodovej rovnosti, v ktorom sa stanovuje rovnocenné 50 % zastúpenie žien a mužov; vyjadruje poľutovanie nad tým, že ženy sú stále nedostatočne zastúpené;</w:t>
      </w:r>
    </w:p>
    <w:p w14:paraId="5D5EBBD6" w14:textId="77777777" w:rsidR="008D2837" w:rsidRPr="00084B30" w:rsidRDefault="00F64209" w:rsidP="008D2837">
      <w:pPr>
        <w:pStyle w:val="NormalHanging12a"/>
      </w:pPr>
      <w:r>
        <w:t>16</w:t>
      </w:r>
      <w:r w:rsidR="008D2837" w:rsidRPr="00084B30">
        <w:t>.</w:t>
      </w:r>
      <w:r w:rsidR="008D2837" w:rsidRPr="00084B30">
        <w:tab/>
        <w:t>víta prijatie zákona o špeciálnej prokuratúre a pokrok v rozhodovaní o prípadoch korupcie;</w:t>
      </w:r>
      <w:r w:rsidR="008D2837" w:rsidRPr="00084B30">
        <w:rPr>
          <w:b/>
          <w:i/>
        </w:rPr>
        <w:t xml:space="preserve"> </w:t>
      </w:r>
      <w:r w:rsidR="008D2837" w:rsidRPr="00084B30">
        <w:t>oceňuje aktívnu prácu špeciálnej prokuratúry pri riešení siedmich prípadov vojnových zločinov; vyzýva na ďalšie objasnenie rozdelenia právomocí medzi osobitnou prokuratúrou a základnou prokuratúrou pri vyšetrovaní a trestnom stíhaní; vyzýva Kosovo, aby pokračovalo v posilňovaní osobitnej prokuratúry a zvýšilo jej kapacitu na vyšetrovanie a stíhanie závažných prípadov organizovanej trestnej činnosti; vyzýva políciu a osobitnú prokuratúru, aby úzko spolupracovali pri vypracovaní stratégií na účinnejšie vedenie vyšetrovaní s jasným rozdelením zodpovedností;</w:t>
      </w:r>
    </w:p>
    <w:p w14:paraId="1658F5B5" w14:textId="77777777" w:rsidR="008D2837" w:rsidRPr="00084B30" w:rsidRDefault="00F64209" w:rsidP="008D2837">
      <w:pPr>
        <w:pStyle w:val="NormalHanging12a"/>
        <w:rPr>
          <w:bCs/>
          <w:iCs/>
        </w:rPr>
      </w:pPr>
      <w:r>
        <w:t>17</w:t>
      </w:r>
      <w:r w:rsidR="008D2837" w:rsidRPr="00084B30">
        <w:t>.</w:t>
      </w:r>
      <w:r w:rsidR="008D2837" w:rsidRPr="00084B30">
        <w:tab/>
        <w:t>berie na vedomie pokrok, ktorý Kosovo dosiahlo v hodnotení indexu vnímania korupcie, keďže od minulého roka postúpilo o viac ako 10 miest, čo považuje za pozitívny vývoj, a uznáva, že to možno pripísať poklesu bodov v iných krajinách, ale najmä prijatiu kvalitatívnych právnych predpisov, stále sú však tieto výsledky do veľkej miery neuspokojivé; zdôrazňuje, že získanie dôvery ľudí si vyžaduje nielen legislatívne reformy, ale aj viditeľné výsledky pri vyšetrovaní, stíhaní a odsúdení prípadov korupcie na všetkých úrovniach; vyjadruje však poľutovanie nad tým, že Kosovo od roku 2019 nemá protikorupčnú stratégiu, a naliehavo vyzýva, aby sa prioritne vyvinulo väčšie úsilie na jej dokončenie; opätovne pripomína, že dosiahnutie spoľahlivých výsledkov v boji proti korupcii na vysokých miestach si vyžaduje silný politický záväzok; opätovne pripomína, že dosiahnutie spoľahlivých výsledkov v boji proti korupcii na vysokých miestach si vyžaduje silný politický záväzok;</w:t>
      </w:r>
    </w:p>
    <w:p w14:paraId="6DD6E8FB" w14:textId="77777777" w:rsidR="008D2837" w:rsidRPr="00084B30" w:rsidRDefault="00F64209" w:rsidP="008D2837">
      <w:pPr>
        <w:pStyle w:val="NormalHanging12a"/>
      </w:pPr>
      <w:r>
        <w:lastRenderedPageBreak/>
        <w:t>18</w:t>
      </w:r>
      <w:r w:rsidR="008D2837" w:rsidRPr="00084B30">
        <w:t>.</w:t>
      </w:r>
      <w:r w:rsidR="008D2837" w:rsidRPr="00084B30">
        <w:tab/>
        <w:t xml:space="preserve">vyjadruje vážne znepokojenie nad systémovou zraniteľnosťou kosovského súdnictva, najmä pokiaľ ide o nezávislosť justičného systému a rešpektovanie deľby moci; opakuje svoje znepokojenie nad oneskoreniami súdnych procesov a pokračujúcou kritikou súdnych rozhodnutí zo strany vládnych úradníkov v jednotlivých prípadoch; </w:t>
      </w:r>
      <w:r w:rsidR="006544E2" w:rsidRPr="006544E2">
        <w:t xml:space="preserve">víta skutočnosť, že v decembri 2024 </w:t>
      </w:r>
      <w:r w:rsidR="008D2837" w:rsidRPr="00084B30">
        <w:t xml:space="preserve">vláda </w:t>
      </w:r>
      <w:r w:rsidR="006544E2" w:rsidRPr="006544E2">
        <w:t xml:space="preserve">predložila Benátskej komisii svoj návrh právnych predpisov o reformách </w:t>
      </w:r>
      <w:r w:rsidR="008D2837" w:rsidRPr="00084B30">
        <w:t xml:space="preserve">súdnictva </w:t>
      </w:r>
      <w:r w:rsidR="006544E2" w:rsidRPr="006544E2">
        <w:t xml:space="preserve">a že </w:t>
      </w:r>
      <w:r w:rsidR="00A04DD8">
        <w:t xml:space="preserve">Benátska </w:t>
      </w:r>
      <w:r w:rsidR="006544E2" w:rsidRPr="006544E2">
        <w:t>komisia svoje prvé stanovisko vydala 18. marca 2025</w:t>
      </w:r>
      <w:r w:rsidR="008D2837" w:rsidRPr="00084B30">
        <w:t>; vyzýva Kosovo, aby zabezpečilo súlad právnych predpisov upravujúcich integritu a zodpovednosť súdnictva s európskymi normami a odporúčaniami Benátskej komisie; vyzýva vládu Kosova, aby vyčlenila primeraný rozpočet pre súdny systém; víta zriadenie obchodného súdu, pokrok pri vymenovávaní nových sudcov a prokurátorov na základe transparentného postupu vychádzajúceho zo zásluh a celkové zvýšenie transparentnosti;</w:t>
      </w:r>
    </w:p>
    <w:p w14:paraId="68B4E948" w14:textId="77777777" w:rsidR="008D2837" w:rsidRPr="00084B30" w:rsidRDefault="00F64209" w:rsidP="008D2837">
      <w:pPr>
        <w:pStyle w:val="NormalHanging12a"/>
        <w:rPr>
          <w:szCs w:val="24"/>
        </w:rPr>
      </w:pPr>
      <w:r>
        <w:t>19</w:t>
      </w:r>
      <w:r w:rsidR="008D2837" w:rsidRPr="00084B30">
        <w:t>.</w:t>
      </w:r>
      <w:r w:rsidR="008D2837" w:rsidRPr="00084B30">
        <w:tab/>
        <w:t>víta účasť kosovských Srbov na parlamentných voľbách a nabáda ich volených zástupcov, aby zohrávali aktívnu úlohu v kosovskom legislatívnom rámci pri podpore budúcnosti Kosova v Európe; vyjadruje však poľutovanie nad bojkotom strán zastupujúcich kosovských Srbov počas komunálnych volieb v apríli 2023 a nad odchodom kosovských Srbov z kosovských inštitúcií; vyjadruje znepokojenie nad zasahovaním Srbska do parlamentných volieb prostredníctvom politickej strany Srpska Lista;</w:t>
      </w:r>
    </w:p>
    <w:p w14:paraId="7F6651FC" w14:textId="77777777" w:rsidR="008D2837" w:rsidRPr="00084B30" w:rsidRDefault="00F64209" w:rsidP="008D2837">
      <w:pPr>
        <w:pStyle w:val="NormalHanging12a"/>
        <w:rPr>
          <w:b/>
        </w:rPr>
      </w:pPr>
      <w:r>
        <w:t>20</w:t>
      </w:r>
      <w:r w:rsidR="008D2837" w:rsidRPr="00084B30">
        <w:t>.</w:t>
      </w:r>
      <w:r w:rsidR="008D2837" w:rsidRPr="00084B30">
        <w:tab/>
        <w:t>víta vykonanie rozsudku Ústavného súdu z roku 2016 vo veci vlastníctva pozemku kláštora Visoki Dečani/Deçani zapísaním kláštora ako vlastníka v marci 2024;</w:t>
      </w:r>
    </w:p>
    <w:p w14:paraId="136420CB" w14:textId="77777777" w:rsidR="008D2837" w:rsidRPr="00084B30" w:rsidRDefault="00F64209" w:rsidP="008D2837">
      <w:pPr>
        <w:pStyle w:val="NormalHanging12a"/>
      </w:pPr>
      <w:r>
        <w:t>21</w:t>
      </w:r>
      <w:r w:rsidR="008D2837" w:rsidRPr="00084B30">
        <w:t>.</w:t>
      </w:r>
      <w:r w:rsidR="008D2837" w:rsidRPr="00084B30">
        <w:tab/>
        <w:t>víta neustály nárast trestov za organizovanú trestnú činnosť a skutočnosť, že právny rámec boja proti trestnej činnosti je zosúladený s </w:t>
      </w:r>
      <w:r w:rsidR="008D2837" w:rsidRPr="006209BD">
        <w:rPr>
          <w:i/>
        </w:rPr>
        <w:t>acquis</w:t>
      </w:r>
      <w:r w:rsidR="008D2837" w:rsidRPr="00084B30">
        <w:t xml:space="preserve"> EÚ; zdôrazňuje, že je potrebné, aby prokuratúra a polícia posilnili svoje spoločné opatrenia proti zločineckým skupinám a sieťam; vyjadruje znepokojenie nad bezpečnostnými výzvami na severe Kosova, najmä po útoku v obci Banjska/Banjskë v septembri 2023, ktorý si vyžiadal značné policajné zdroje; zdôrazňuje potrebu prehĺbiť spoluprácu v oblasti boja proti obchodovaniu s drogami; vyzýva na ďalšie zosúladenie v oblasti boja proti terorizmu;</w:t>
      </w:r>
    </w:p>
    <w:p w14:paraId="034AC31F" w14:textId="77777777" w:rsidR="008D2837" w:rsidRPr="00084B30" w:rsidRDefault="00F64209" w:rsidP="008D2837">
      <w:pPr>
        <w:pStyle w:val="NormalHanging12a"/>
      </w:pPr>
      <w:r>
        <w:t>22</w:t>
      </w:r>
      <w:r w:rsidR="008D2837" w:rsidRPr="00084B30">
        <w:t>.</w:t>
      </w:r>
      <w:r w:rsidR="008D2837" w:rsidRPr="00084B30">
        <w:tab/>
        <w:t>víta prijatie stratégie a akčného plánu na kontrolu ľahkých ručných zbraní a výbušnín, ako aj vysokú úroveň dodržiavania pravidiel protokolu OSN o strelných zbraniach;</w:t>
      </w:r>
    </w:p>
    <w:p w14:paraId="662C38A7" w14:textId="77777777" w:rsidR="008D2837" w:rsidRPr="00084B30" w:rsidRDefault="00F64209" w:rsidP="008D2837">
      <w:pPr>
        <w:pStyle w:val="NormalHanging12a"/>
      </w:pPr>
      <w:r>
        <w:t>23</w:t>
      </w:r>
      <w:r w:rsidR="008D2837" w:rsidRPr="00084B30">
        <w:t>.</w:t>
      </w:r>
      <w:r w:rsidR="008D2837" w:rsidRPr="00084B30">
        <w:tab/>
        <w:t>je naďalej znepokojený pomalým vykonávaním stratégie a akčného plánu pre oblasť právneho štátu;</w:t>
      </w:r>
    </w:p>
    <w:p w14:paraId="498647F2" w14:textId="77777777" w:rsidR="008D2837" w:rsidRPr="00084B30" w:rsidRDefault="00F64209" w:rsidP="008D2837">
      <w:pPr>
        <w:pStyle w:val="NormalHanging12a"/>
      </w:pPr>
      <w:r>
        <w:t>24</w:t>
      </w:r>
      <w:r w:rsidR="008D2837" w:rsidRPr="00084B30">
        <w:t>.</w:t>
      </w:r>
      <w:r w:rsidR="008D2837" w:rsidRPr="00084B30">
        <w:tab/>
        <w:t xml:space="preserve">opätovne potvrdzuje svoj záväzok udržiavať a posilňovať spoluprácu so zhromaždením Kosova a jeho členmi na podpore demokratických procesov súvisiacich s európskou cestou Kosova využitím existujúcich nástrojov a iniciatív </w:t>
      </w:r>
      <w:r w:rsidR="00F42652" w:rsidRPr="00084B30">
        <w:t>Európskeho p</w:t>
      </w:r>
      <w:r w:rsidR="008D2837" w:rsidRPr="00084B30">
        <w:t>arlamentu na podporu demokracie; domnieva sa, že toto partnerstvo možno oživiť a ďalej posilniť po demokratických voľbách, ktoré sa konali 9. februára 2025;</w:t>
      </w:r>
      <w:r w:rsidR="008D2837" w:rsidRPr="00084B30">
        <w:rPr>
          <w:b/>
          <w:i/>
        </w:rPr>
        <w:t xml:space="preserve"> </w:t>
      </w:r>
      <w:r w:rsidR="008D2837" w:rsidRPr="00084B30">
        <w:t>podporuje aktívnu účasť a spoluprácu všetkých zvolených členov novovytvoreného zhromaždenia Kosova;</w:t>
      </w:r>
    </w:p>
    <w:p w14:paraId="3F82E143" w14:textId="77777777" w:rsidR="008D2837" w:rsidRPr="00084B30" w:rsidRDefault="00F64209" w:rsidP="008D2837">
      <w:pPr>
        <w:pStyle w:val="NormalHanging12a"/>
      </w:pPr>
      <w:r>
        <w:t>25</w:t>
      </w:r>
      <w:r w:rsidR="008D2837" w:rsidRPr="00084B30">
        <w:t>.</w:t>
      </w:r>
      <w:r w:rsidR="008D2837" w:rsidRPr="00084B30">
        <w:tab/>
        <w:t>odsudzuje vážne bezpečnostné incidenty na severe Kosova koncom novembra 2024, z ktorých najzávažnejší sa stal v blízkosti mesta Zubin Potok, časti Vragë, kde výbušné zariadenia poškodili kritickú infraštruktúru zameraním sa na hlavný kanál systému Ibër Lepenc; vyjadruje podporu kosovským inštitúciám pri vedení úplného vyšetrovania týchto trestných činov, aby páchatelia mohli byť postavení pred súd;</w:t>
      </w:r>
    </w:p>
    <w:p w14:paraId="1B0892B8" w14:textId="77777777" w:rsidR="008D2837" w:rsidRPr="00084B30" w:rsidRDefault="00F64209" w:rsidP="008D2837">
      <w:pPr>
        <w:pStyle w:val="NormalHanging12a"/>
      </w:pPr>
      <w:r>
        <w:t>26</w:t>
      </w:r>
      <w:r w:rsidR="008D2837" w:rsidRPr="00084B30">
        <w:t>.</w:t>
      </w:r>
      <w:r w:rsidR="008D2837" w:rsidRPr="00084B30">
        <w:tab/>
        <w:t xml:space="preserve">vyjadruje uznanie práci Európskej misie na podporu právneho štátu v Kosove </w:t>
      </w:r>
      <w:r w:rsidR="008D2837" w:rsidRPr="00084B30">
        <w:lastRenderedPageBreak/>
        <w:t>(EULEX), ktorá pomáha kosovským orgánom pri vytváraní udržateľných a nezávislých inštitúcií právneho štátu;</w:t>
      </w:r>
    </w:p>
    <w:p w14:paraId="32F16C58" w14:textId="77777777" w:rsidR="008D2837" w:rsidRPr="00084B30" w:rsidRDefault="008D2837" w:rsidP="008D2837">
      <w:pPr>
        <w:pStyle w:val="NormalHanging12a"/>
      </w:pPr>
      <w:r w:rsidRPr="00084B30">
        <w:rPr>
          <w:b/>
          <w:i/>
        </w:rPr>
        <w:t>Základné slobody a ľudské práva</w:t>
      </w:r>
    </w:p>
    <w:p w14:paraId="72D63B17" w14:textId="77777777" w:rsidR="008D2837" w:rsidRPr="00084B30" w:rsidRDefault="00F64209" w:rsidP="008D2837">
      <w:pPr>
        <w:pStyle w:val="NormalHanging12a"/>
        <w:rPr>
          <w:szCs w:val="24"/>
        </w:rPr>
      </w:pPr>
      <w:r>
        <w:t>27</w:t>
      </w:r>
      <w:r w:rsidR="008D2837" w:rsidRPr="00084B30">
        <w:t>.</w:t>
      </w:r>
      <w:r w:rsidR="008D2837" w:rsidRPr="00084B30">
        <w:tab/>
        <w:t>konštatuje, že Kosovo má potrebnú inštitucionálnu štruktúru na podporu a ochranu ľudských práv; víta prijatie stratégie na ochranu a podporu práv komunít; zdôrazňuje však, že ochrana ľudských práv je naďalej slabá z dôvodu nedostatočného vykonávania právnych predpisov, chýbajúcej politickej vôle a obmedzených ľudských a finančných zdrojov, a vyzýva na posilnenie mechanizmov presadzovania a zodpovednosti;</w:t>
      </w:r>
    </w:p>
    <w:p w14:paraId="1FA5DA5E" w14:textId="77777777" w:rsidR="008D2837" w:rsidRPr="00084B30" w:rsidRDefault="00F64209" w:rsidP="008D2837">
      <w:pPr>
        <w:pStyle w:val="NormalHanging12a"/>
        <w:rPr>
          <w:szCs w:val="24"/>
        </w:rPr>
      </w:pPr>
      <w:r>
        <w:t>28</w:t>
      </w:r>
      <w:r w:rsidR="008D2837" w:rsidRPr="00084B30">
        <w:t>.</w:t>
      </w:r>
      <w:r w:rsidR="008D2837" w:rsidRPr="00084B30">
        <w:tab/>
        <w:t>uznáva, že kosovská ústava je z hľadiska ochrany práv menšín veľmi progresívna; s poľutovaním konštatuje, že zhromaždenie Kosova ešte stále neposúdilo petíciu podpísanú takmer 500 ľuďmi, ktorí sa historicky považujú za Bulharov, hoci bola v zhromaždení Kosova zaregistrovaná v januári 2023, a odporúča, aby sa tieto práva zakotvili v právnych predpisoch a zabezpečovali aj v praxi; vyzýva Kosovo, aby zabezpečilo, že všetky menšiny uznané podľa zákona o ochrane práv menšín a členovia ich komunít budú plne začlenení do ústavy krajiny; vyzýva kosovské orgány, aby zintenzívnili úsilie o ochranu práv všetkých menšín vrátane národnostných spoločenstiev, najmä zraniteľných národnostných komunít, a aby im poskytli rovnaké príležitosti a primerané zastúpenie v politickom a kultúrnom živote, vo verejných médiách, v administratíve a súdnictve, a aby zabránili ich asimilácii a podporovali ich integráciu do kosovskej spoločnosti a posilnili aktivity na odstránenie sociálnych a hospodárskych problémov týchto národnostných menšín;</w:t>
      </w:r>
    </w:p>
    <w:p w14:paraId="38B7091D" w14:textId="77777777" w:rsidR="008D2837" w:rsidRPr="00084B30" w:rsidRDefault="00F64209" w:rsidP="008D2837">
      <w:pPr>
        <w:pStyle w:val="NormalHanging12a"/>
        <w:rPr>
          <w:szCs w:val="24"/>
        </w:rPr>
      </w:pPr>
      <w:r>
        <w:t>29</w:t>
      </w:r>
      <w:r w:rsidR="008D2837" w:rsidRPr="00084B30">
        <w:t>.</w:t>
      </w:r>
      <w:r w:rsidR="008D2837" w:rsidRPr="00084B30">
        <w:tab/>
        <w:t>víta zvýšenie finančných prostriedkov pre útulky pre obete domáceho násilia a obchodovania s ľuďmi; konštatuje, že domáce násilie je naďalej najrozšírenejšou formou rodovo motivovaného násilia; vyjadruje obavy, že systém naďalej zlyháva pri zabezpečovaní účinnej prevencie domáceho násilia;</w:t>
      </w:r>
    </w:p>
    <w:p w14:paraId="60E56384" w14:textId="77777777" w:rsidR="008D2837" w:rsidRPr="00084B30" w:rsidRDefault="00F64209" w:rsidP="008D2837">
      <w:pPr>
        <w:pStyle w:val="NormalHanging12a"/>
        <w:rPr>
          <w:szCs w:val="24"/>
        </w:rPr>
      </w:pPr>
      <w:r>
        <w:rPr>
          <w:color w:val="000000" w:themeColor="text1"/>
        </w:rPr>
        <w:t>30</w:t>
      </w:r>
      <w:r w:rsidR="008D2837" w:rsidRPr="00084B30">
        <w:rPr>
          <w:color w:val="000000" w:themeColor="text1"/>
        </w:rPr>
        <w:t>.</w:t>
      </w:r>
      <w:r w:rsidR="008D2837" w:rsidRPr="00084B30">
        <w:rPr>
          <w:color w:val="000000" w:themeColor="text1"/>
        </w:rPr>
        <w:tab/>
      </w:r>
      <w:r w:rsidR="008D2837" w:rsidRPr="00084B30">
        <w:t>vyjadruje poľutovanie nad tým, že prijatie návrhu Občianskeho zákonníka Kosova sa doposiaľ neuskutočnilo; zdôrazňuje, že návrh občianskeho zákonníka sa zaoberá niekoľkými dôležitými otázkami týkajúcimi sa rodovej rovnosti ako základnej hodnoty EÚ vrátane umožnenia rovnakého podielu na spoločnom majetku manželov; zdôrazňuje, že je potrebné začleniť do občianskeho zákonníka práva pre všetkých ľudí v Kosove, aby sa zabezpečilo dodržiavanie ústavných práv a príležitostí pre LGBTIQ komunitu; vyjadruje znepokojenie nad tým, že ženy sú naďalej nedostatočne zastúpené vo vysokých politických funkciách, najmä v oblasti bezpečnosti a dialógu, a zdôrazňuje naliehavú potrebu ich zapojenia do postupov nastoľovania mieru a zmierenia v súlade s rezolúciou Bezpečnostnej rady OSN č. 1325 o ženách, mieri a bezpečnosti; vyzýva na zvýšenie úsilia o zlepšenie postavenia žien v spoločnosti;</w:t>
      </w:r>
    </w:p>
    <w:p w14:paraId="5B27B1D1" w14:textId="77777777" w:rsidR="008D2837" w:rsidRPr="00084B30" w:rsidRDefault="00F64209" w:rsidP="008D2837">
      <w:pPr>
        <w:pStyle w:val="NormalHanging12a"/>
        <w:rPr>
          <w:szCs w:val="24"/>
        </w:rPr>
      </w:pPr>
      <w:r>
        <w:t>31</w:t>
      </w:r>
      <w:r w:rsidR="008D2837" w:rsidRPr="00084B30">
        <w:t>.</w:t>
      </w:r>
      <w:r w:rsidR="008D2837" w:rsidRPr="00084B30">
        <w:tab/>
        <w:t xml:space="preserve">konštatuje, že väzenský systém vo všeobecnosti dodržiava štandardné minimálne pravidlá OSN, a vyzýva na lepšiu ochranu práv väzňov, najmä žien, menšín a duševne chorých väzňov; je naďalej znepokojený tým, že diskriminačný jazyk voči ženám a LGBTIQ osobám stále pretrváva, a vyzýva orgány, aby zaviedli a vykonávali národnú stratégiu rodovej rovnosti pre výskumné oblasti, ako sú veda, technológia, inžinierstvo a matematika; víta účasť žien na kvalitných programoch odbornej prípravy v oblasti podnikania a manažmentu, ako aj v oblastiach súvisiacich s IKT, ktoré sa podporujú z prostriedkov nástroja predvstupovej pomoci; vyjadruje poľutovanie nad tým, že ženy z menšinových skupín, najmä z komunít Rómov, Aškalov a Egypťanov, čelia mnohým formám diskriminácie, najmä v oblasti vzdelávania, zamestnanosti a prístupu </w:t>
      </w:r>
      <w:r w:rsidR="008D2837" w:rsidRPr="00084B30">
        <w:lastRenderedPageBreak/>
        <w:t>k zdravotnej starostlivosti; vyjadruje obavy, že v ústrednej správe nie sú primerane zastúpené menšinové komunity a že počet žien vo vedúcich funkciách je nízky;</w:t>
      </w:r>
    </w:p>
    <w:p w14:paraId="1CDD8A3A" w14:textId="77777777" w:rsidR="008D2837" w:rsidRPr="00084B30" w:rsidRDefault="00F64209" w:rsidP="008D2837">
      <w:pPr>
        <w:pStyle w:val="NormalHanging12a"/>
        <w:rPr>
          <w:szCs w:val="24"/>
        </w:rPr>
      </w:pPr>
      <w:r>
        <w:t>32</w:t>
      </w:r>
      <w:r w:rsidR="008D2837" w:rsidRPr="00084B30">
        <w:t>.</w:t>
      </w:r>
      <w:r w:rsidR="008D2837" w:rsidRPr="00084B30">
        <w:tab/>
        <w:t>vyjadruje poľutovanie nad tým, že Dohovor OSN o právach osôb so zdravotným postihnutím doposiaľ nebol prijatý; vyjadruje obavy, že právne predpisy Kosova nie sú dostatočne zosúladené s </w:t>
      </w:r>
      <w:r w:rsidR="008D2837" w:rsidRPr="006209BD">
        <w:rPr>
          <w:i/>
        </w:rPr>
        <w:t>acquis</w:t>
      </w:r>
      <w:r w:rsidR="008D2837" w:rsidRPr="00084B30">
        <w:t xml:space="preserve"> EÚ v oblasti práv osôb so zdravotným postihnutím, ktoré čelia diskriminácii a prekážkam v prístupe k sociálnym službám;</w:t>
      </w:r>
    </w:p>
    <w:p w14:paraId="7A0C8ABD" w14:textId="77777777" w:rsidR="008D2837" w:rsidRPr="00084B30" w:rsidRDefault="00F64209" w:rsidP="008D2837">
      <w:pPr>
        <w:pStyle w:val="NormalHanging12a"/>
        <w:rPr>
          <w:szCs w:val="24"/>
        </w:rPr>
      </w:pPr>
      <w:r>
        <w:t>33</w:t>
      </w:r>
      <w:r w:rsidR="008D2837" w:rsidRPr="00084B30">
        <w:t>.</w:t>
      </w:r>
      <w:r w:rsidR="008D2837" w:rsidRPr="00084B30">
        <w:tab/>
        <w:t>víta neustále zlepšenie umiestnenia Kosova na indexe liberálnej demokracie a indexe volebnej demokracie v roku 2024, ktorý zostavil inštitút Varieties of Democracy a ktorý meria dodržiavanie zásad právneho štátu, systému bŕzd a protiváh, občianskych slobôd a slobodných a spravodlivých volieb;</w:t>
      </w:r>
    </w:p>
    <w:p w14:paraId="4E33734A" w14:textId="77777777" w:rsidR="008D2837" w:rsidRPr="00084B30" w:rsidRDefault="00F64209" w:rsidP="008D2837">
      <w:pPr>
        <w:pStyle w:val="NormalHanging12a"/>
        <w:rPr>
          <w:color w:val="000000" w:themeColor="text1"/>
          <w:szCs w:val="24"/>
        </w:rPr>
      </w:pPr>
      <w:r>
        <w:t>34</w:t>
      </w:r>
      <w:r w:rsidR="008D2837" w:rsidRPr="00084B30">
        <w:t>.</w:t>
      </w:r>
      <w:r w:rsidR="008D2837" w:rsidRPr="00084B30">
        <w:tab/>
        <w:t>berie na vedomie pluralitné mediálne prostredie Kosova, pričom očakáva rozhodnutie Ústavného súdu o hlavnom mediálnom zákone a zdôrazňuje úlohu nezávislej komisie pre médiá, ktorej nezávislosť pri rozhodovaní treba dôsledne zabezpečiť a ktorej fungovanie sa musí v plnom rozsahu obnoviť; vyjadruje však poľutovanie nad úpadkom slobody médií, o čom svedčí aj jeho pokles z 56. na 75. miesto vo svetovom rebríčku slobody tlače za rok 2024; opätovne potvrdzuje, že pluralita a transparentnosť médií sú nevyhnutnými podmienkami pre pristúpenie k EÚ; požaduje väčšiu transparentnosť vlastníctva a financovania médií s cieľom posilniť nezávislosť a pluralitu médií; zdôrazňuje, že je potrebné prijať prísne opatrenia na ochranu novinárov pred obťažovaním a zastrašovaním a zabezpečiť nezávislosť regulačných orgánov pre médiá; berie na vedomie obavy občianskej spoločnosti v súvislosti s údajne politicky motivovanou voľbou predsedu nezávislej komisie pre médiá; naliehavo vyzýva kosovské orgány, aby opätovne zrevidovali zákon o nezávislej komisii pre médiá s cieľom zahrnúť odporúčania Rady Európy, a zosúladiť tak vnútroštátne právne predpisy s normami a postupmi EÚ; odporúča zvýšiť podporu nezávislých médií a organizácií zameraných na overovanie faktov v Kosove, pričom uznáva ich kľúčovú úlohu v boji proti dezinformáciám a pri poskytovaní presných informácií verejnosti; vyzýva EÚ, aby týmto subjektom poskytla technickú a finančnú pomoc; vyzýva kosovské orgány, aby požiadali o uskutočnenie misií expertov v oblasti nástroja technickej pomoci a výmeny informácií prispôsobených konkrétnym potrebám; vyzýva na prijatie zákona o rozhlase a televízii Kosova a zákona o ochrane novinárskych zdrojov;</w:t>
      </w:r>
    </w:p>
    <w:p w14:paraId="26DAB6D3" w14:textId="77777777" w:rsidR="008D2837" w:rsidRPr="00084B30" w:rsidRDefault="00F64209" w:rsidP="008D2837">
      <w:pPr>
        <w:pStyle w:val="NormalHanging12a"/>
        <w:rPr>
          <w:szCs w:val="24"/>
        </w:rPr>
      </w:pPr>
      <w:r>
        <w:t>35</w:t>
      </w:r>
      <w:r w:rsidR="008D2837" w:rsidRPr="00084B30">
        <w:t>.</w:t>
      </w:r>
      <w:r w:rsidR="008D2837" w:rsidRPr="00084B30">
        <w:tab/>
        <w:t>vyjadruje znepokojenie nad nedávnym kybernetickým útokom zameraným na digitálnu infraštruktúru Kosova; naliehavo vyzýva kosovskú vládu, aby posilnila svoje kapacity na boj proti zahraničnému zasahovaniu a dezinformáciám, najmä tým, ktoré pochádzajú zo srbských nacionalistických médií a Ruska, ktorých cieľom je destabilizácia regiónu a oslabenie európskej integrácie západného Balkánu, a to vypracovaním komplexných stratégií zahŕňajúcich kampane na zvyšovanie informovanosti verejnosti, ako aj boj proti dezinformáciám oslabujúcim účasť žien na verejnom živote, posilnením kybernetickej bezpečnosti a súvisiacej infraštruktúry, podporou spolupráce s medzinárodnými partnermi, najmä s Európskou úniou, s cieľom chrániť jej digitálne hospodárstvo, verejné služby a národnú bezpečnosť a riešením dezinformačných kampaní a hybridných hrozieb, ktorých cieľom je destabilizovať krajinu a oslabiť jej európsku perspektívu; podporuje začlenenie programov mediálnej gramotnosti do kosovských vzdelávacích osnov s cieľom umožniť občanom získať zručnosti, ktoré sú potrebné na identifikáciu dezinformácií a boj proti nim;</w:t>
      </w:r>
    </w:p>
    <w:p w14:paraId="2FA4876F" w14:textId="77777777" w:rsidR="008D2837" w:rsidRPr="00084B30" w:rsidRDefault="00F64209" w:rsidP="008D2837">
      <w:pPr>
        <w:pStyle w:val="NormalHanging12a"/>
        <w:rPr>
          <w:bCs/>
        </w:rPr>
      </w:pPr>
      <w:r>
        <w:t>36</w:t>
      </w:r>
      <w:r w:rsidR="008D2837" w:rsidRPr="00084B30">
        <w:t>.</w:t>
      </w:r>
      <w:r w:rsidR="008D2837" w:rsidRPr="00084B30">
        <w:tab/>
        <w:t xml:space="preserve">víta skutočnosť, že Kosovo poskytlo útočisko a azyl novinárom z Ukrajiny </w:t>
      </w:r>
      <w:r w:rsidR="008D2837" w:rsidRPr="00084B30">
        <w:lastRenderedPageBreak/>
        <w:t>a Afganistanu;</w:t>
      </w:r>
    </w:p>
    <w:p w14:paraId="55EC6B70" w14:textId="7B58484A" w:rsidR="008D2837" w:rsidRPr="00084B30" w:rsidRDefault="00F64209" w:rsidP="008D2837">
      <w:pPr>
        <w:pStyle w:val="NormalHanging12a"/>
        <w:rPr>
          <w:szCs w:val="24"/>
        </w:rPr>
      </w:pPr>
      <w:r>
        <w:t>37</w:t>
      </w:r>
      <w:r w:rsidR="008D2837" w:rsidRPr="00084B30">
        <w:t>.</w:t>
      </w:r>
      <w:r w:rsidR="008D2837" w:rsidRPr="00084B30">
        <w:tab/>
        <w:t xml:space="preserve">vyjadruje vážne znepokojenie nad výrazným nárastom útokov na novinárov a strategických žalôb proti verejnej účasti, a to aj zo strany vládnych úradníkov; vyzýva orgány, aby pokročili v práci na právnych predpisoch zameraných proti strategickým žalobám proti verejnej účasti v súlade s novou smernicou </w:t>
      </w:r>
      <w:r w:rsidR="003D1064">
        <w:t>(</w:t>
      </w:r>
      <w:r w:rsidR="008D2837" w:rsidRPr="00084B30">
        <w:t>EÚ</w:t>
      </w:r>
      <w:r w:rsidR="003D1064">
        <w:t>)</w:t>
      </w:r>
      <w:r w:rsidR="008D2837" w:rsidRPr="00084B30">
        <w:t xml:space="preserve"> 2024/1069</w:t>
      </w:r>
      <w:r w:rsidR="008D2837" w:rsidRPr="00084B30">
        <w:rPr>
          <w:rStyle w:val="FootnoteReference"/>
          <w:szCs w:val="24"/>
        </w:rPr>
        <w:footnoteReference w:id="7"/>
      </w:r>
      <w:r w:rsidR="008D2837" w:rsidRPr="00084B30">
        <w:t>; vyzýva Kosovo, aby aktívne pracovalo na zabezpečení toho, aby novinári mohli vykonávať svoju prácu a aby médiá mali úplnú slobodu a pôsobili nezávisle; zdôrazňuje, že treba zastaviť všetky formy násilia;</w:t>
      </w:r>
    </w:p>
    <w:p w14:paraId="69E297C7" w14:textId="77777777" w:rsidR="008D2837" w:rsidRPr="00084B30" w:rsidRDefault="00F64209" w:rsidP="008D2837">
      <w:pPr>
        <w:pStyle w:val="NormalHanging12a"/>
      </w:pPr>
      <w:r>
        <w:t>38</w:t>
      </w:r>
      <w:r w:rsidR="008D2837" w:rsidRPr="00084B30">
        <w:t>.</w:t>
      </w:r>
      <w:r w:rsidR="008D2837" w:rsidRPr="00084B30">
        <w:tab/>
        <w:t>víta aktívnu a konštruktívnu občiansku spoločnosť v Kosove, ktorá zohráva veľmi dôležitú a pozitívnu úlohu v reformnom procese; nabáda vládu Kosova, aby posilnila spoluprácu s občianskou spoločnosťou, najmä s organizáciami na ochranu práv žien, pri rozhodovaní a aby vo väčšej miere využívala radu pre spoluprácu s občianskou spoločnosťou pri budovaní vzťahov a skutočnom zapájaní občianskej spoločnosti do transparentného legislatívneho procesu už od počiatočného štádia; zdôrazňuje význam zvýšenej zodpovednosti a transparentnosti v súvislosti s verejným financovaním organizácií občianskej spoločnosti; zdôrazňuje, že občianska spoločnosť má zásadný význam pri podpore demokracie a pluralizmu a pri presadzovaní dobrej správy vecí verejných a spoločenského pokroku;</w:t>
      </w:r>
    </w:p>
    <w:p w14:paraId="34E5A34E" w14:textId="77777777" w:rsidR="008D2837" w:rsidRPr="00084B30" w:rsidRDefault="00F64209" w:rsidP="008D2837">
      <w:pPr>
        <w:pStyle w:val="NormalHanging12a"/>
      </w:pPr>
      <w:r>
        <w:t>39</w:t>
      </w:r>
      <w:r w:rsidR="008D2837" w:rsidRPr="00084B30">
        <w:t>.</w:t>
      </w:r>
      <w:r w:rsidR="008D2837" w:rsidRPr="00084B30">
        <w:tab/>
        <w:t>vyjadruje poľutovanie nad tým, že neexistuje jasný plán na zapojenie kosovských Srbov na severe a že iniciatívy na zapojenie srbskej komunity do politických, sociálnych a hospodárskych štruktúr Kosova sú stále veľmi obmedzené; opakuje svoju výzvu o zlepšenie vnútorného dialógu a skutočnú priamu spoluprácu s nezávislými organizáciami občianskej spoločnosti kosovských Srbov, najmä na severe, s cieľom vybudovať dôveru, zlepšiť každodenný život kosovských Srbov a úspešne ich integrovať;</w:t>
      </w:r>
    </w:p>
    <w:p w14:paraId="68B6C465" w14:textId="77777777" w:rsidR="008D2837" w:rsidRPr="00084B30" w:rsidRDefault="008D2837" w:rsidP="008D2837">
      <w:pPr>
        <w:pStyle w:val="NormalHanging12a"/>
      </w:pPr>
      <w:r w:rsidRPr="00084B30">
        <w:rPr>
          <w:b/>
          <w:i/>
        </w:rPr>
        <w:t>Zmierenie a dobré susedské vzťahy</w:t>
      </w:r>
    </w:p>
    <w:p w14:paraId="46994775" w14:textId="77777777" w:rsidR="008D2837" w:rsidRPr="00084B30" w:rsidRDefault="00F64209" w:rsidP="008D2837">
      <w:pPr>
        <w:pStyle w:val="NormalHanging12a"/>
        <w:rPr>
          <w:szCs w:val="24"/>
        </w:rPr>
      </w:pPr>
      <w:r>
        <w:t>40</w:t>
      </w:r>
      <w:r w:rsidR="008D2837" w:rsidRPr="00084B30">
        <w:t>.</w:t>
      </w:r>
      <w:r w:rsidR="008D2837" w:rsidRPr="00084B30">
        <w:tab/>
        <w:t>oceňuje zapojenie Kosova do viacerých iniciatív regionálnej spolupráce a nabáda ho, aby zintenzívnilo svoje úsilie o zmierenie a hľadalo riešenia sporov z minulosti; vyjadruje uznanie Kosovu za jeho konštruktívny prístup a aktívnu účasť na regionálnej spolupráci a uľahčovaní obchodu, ktoré viedli k odblokovaniu Stredoeurópskej dohody o voľnom obchode;</w:t>
      </w:r>
    </w:p>
    <w:p w14:paraId="01573B82" w14:textId="77777777" w:rsidR="008D2837" w:rsidRPr="00084B30" w:rsidRDefault="00F64209" w:rsidP="008D2837">
      <w:pPr>
        <w:pStyle w:val="NormalHanging12a"/>
        <w:rPr>
          <w:szCs w:val="24"/>
        </w:rPr>
      </w:pPr>
      <w:r>
        <w:rPr>
          <w:color w:val="000000" w:themeColor="text1"/>
        </w:rPr>
        <w:t>41</w:t>
      </w:r>
      <w:r w:rsidR="008D2837" w:rsidRPr="00084B30">
        <w:rPr>
          <w:color w:val="000000" w:themeColor="text1"/>
        </w:rPr>
        <w:t>.</w:t>
      </w:r>
      <w:r w:rsidR="008D2837" w:rsidRPr="00084B30">
        <w:rPr>
          <w:color w:val="000000" w:themeColor="text1"/>
        </w:rPr>
        <w:tab/>
      </w:r>
      <w:r w:rsidR="008D2837" w:rsidRPr="00084B30">
        <w:t>vyzýva Srbsko, aby otvorilo všetky vojnové archívy a umožnilo prístup k spisom bývalej juhoslovanskej tajnej služby (UDBA) a tajnej služby Juhoslovanskej ľudovej armády (KOS) a zabezpečilo ich vrátenie príslušným vládam na ich žiadosť; zdôrazňuje, že je tieto archívy potrebné otvoriť v celom regióne s cieľom vyšetriť zločiny z obdobia komunizmu a posilniť demokraciu, zodpovednosť a inštitúcie na západnom Balkáne;</w:t>
      </w:r>
    </w:p>
    <w:p w14:paraId="0A92A234" w14:textId="77777777" w:rsidR="008D2837" w:rsidRPr="00084B30" w:rsidRDefault="00F64209" w:rsidP="008D2837">
      <w:pPr>
        <w:pStyle w:val="NormalHanging12a"/>
      </w:pPr>
      <w:r>
        <w:t>42</w:t>
      </w:r>
      <w:r w:rsidR="008D2837" w:rsidRPr="00084B30">
        <w:t>.</w:t>
      </w:r>
      <w:r w:rsidR="008D2837" w:rsidRPr="00084B30">
        <w:tab/>
        <w:t>opakuje svoju plnú podporu dialógu, ktorý sprostredkúva EÚ, a oceňuje vymenovanie Petra Sørensena za osobitného zástupcu EÚ pre dialóg medzi Belehradom a Prištinou;</w:t>
      </w:r>
    </w:p>
    <w:p w14:paraId="36654C4E" w14:textId="77777777" w:rsidR="008D2837" w:rsidRPr="00084B30" w:rsidRDefault="00F64209" w:rsidP="008D2837">
      <w:pPr>
        <w:pStyle w:val="NormalHanging12a"/>
      </w:pPr>
      <w:r>
        <w:t>43</w:t>
      </w:r>
      <w:r w:rsidR="008D2837" w:rsidRPr="00084B30">
        <w:t>.</w:t>
      </w:r>
      <w:r w:rsidR="008D2837" w:rsidRPr="00084B30">
        <w:tab/>
        <w:t xml:space="preserve">opätovne zdôrazňuje význam konštruktívneho zapojenia kosovských a srbských </w:t>
      </w:r>
      <w:r w:rsidR="008D2837" w:rsidRPr="00084B30">
        <w:lastRenderedPageBreak/>
        <w:t xml:space="preserve">orgánov v záujme dosiahnutia komplexnej právne záväznej dohody o normalizácii na základe vzájomného uznania a v súlade s medzinárodným právom; vyzýva Kosovo aj Srbsko, aby vykonávali dohody z Bruselu a Ochridu vrátane zriadenia združenia/spoločenstva obcí so srbskou väčšinou a zrušenia nesúhlasu Srbska voči členstvu Kosova v regionálnych a medzinárodných organizáciách a aby sa vyhli jednostranným krokom, ktoré by mohli narušiť proces dialógu; </w:t>
      </w:r>
    </w:p>
    <w:p w14:paraId="672D2024" w14:textId="77777777" w:rsidR="008D2837" w:rsidRPr="00084B30" w:rsidRDefault="00F64209" w:rsidP="008D2837">
      <w:pPr>
        <w:pStyle w:val="NormalHanging12a"/>
      </w:pPr>
      <w:r>
        <w:t>44</w:t>
      </w:r>
      <w:r w:rsidR="008D2837" w:rsidRPr="00084B30">
        <w:t>.</w:t>
      </w:r>
      <w:r w:rsidR="008D2837" w:rsidRPr="00084B30">
        <w:tab/>
        <w:t>očakáva, že Kosovo a Srbsko budú v plnej miere spolupracovať a prijmú všetky potrebné opatrenia na to, aby páchateľov teroristického útoku v Banjske v roku 2023 zadržali a urýchlene postavili pred súd; vyjadruje poľutovanie nad tým, že Srbsko ešte stále nestíhalo vinníkov, najmä Milana Radoičića, podpredsedu strany Srpska Lista; opakuje, že páchatelia teroristického útoku v meste Zubin Potok musia byť takisto vzatí na zodpovednosť a musia bezodkladne čeliť spravodlivosti;</w:t>
      </w:r>
    </w:p>
    <w:p w14:paraId="4936F878" w14:textId="77777777" w:rsidR="008D2837" w:rsidRPr="00084B30" w:rsidRDefault="00F64209" w:rsidP="008D2837">
      <w:pPr>
        <w:pStyle w:val="NormalHanging12a"/>
        <w:rPr>
          <w:rFonts w:eastAsia="Calibri"/>
          <w:color w:val="000000" w:themeColor="text1"/>
          <w:szCs w:val="24"/>
        </w:rPr>
      </w:pPr>
      <w:r>
        <w:t>45</w:t>
      </w:r>
      <w:r w:rsidR="008D2837" w:rsidRPr="00084B30">
        <w:t>.</w:t>
      </w:r>
      <w:r w:rsidR="008D2837" w:rsidRPr="00084B30">
        <w:tab/>
        <w:t>vyzýva podpredsedníčku Komisie/vysokú predstaviteľku Únie pre zahraničné veci a bezpečnostnú politiku a Komisiu, aby prevzali aktívnejšiu úlohu pri vedení dialógu; vyzýva na posilnenie úlohy Európskeho parlamentu pri uľahčovaní dialógu prostredníctvom pravidelných zasadnutí Spoločného parlamentného zhromaždenia;</w:t>
      </w:r>
    </w:p>
    <w:p w14:paraId="5CE6E2F1" w14:textId="77777777" w:rsidR="008D2837" w:rsidRPr="00084B30" w:rsidRDefault="00F64209" w:rsidP="008D2837">
      <w:pPr>
        <w:pStyle w:val="NormalHanging12a"/>
      </w:pPr>
      <w:r>
        <w:t>46</w:t>
      </w:r>
      <w:r w:rsidR="008D2837" w:rsidRPr="00084B30">
        <w:t>.</w:t>
      </w:r>
      <w:r w:rsidR="008D2837" w:rsidRPr="00084B30">
        <w:tab/>
        <w:t>odsudzuje všetky kroky, ktoré ohrozujú stabilitu a proces zmierenia, vrátane napätia na severe Kosova, provokácií zo strany skupín a nelegálnych ozbrojených formácií podporovaných srbským štátom, a naliehavo vyzýva Európsku úniu, aby zaujala rozhodnejší postoj voči zahraničnému zasahovaniu do vnútorných záležitostí Kosova; zdôrazňuje, že obe strany musia v plnej miere vykonávať všetky dosiahnuté dohody a vyhýbať sa jednostranným krokom, ktoré by mohli vystupňovať napätie; vyzýva kosovskú políciu, aby zabezpečila, že bude v plnej miere dodržiavať všetky požiadavky v oblasti právneho štátu a ľudských práv, a že na severe Kosova nasadí multietnické a inkluzívne policajné sily v plnom súlade s právnymi požiadavkami; pripomína spoločnú zodpovednosť všetkých politických zástupcov a všetky komunity v Kosove za dodržiavanie mieru, bezpečnosti a právneho štátu;</w:t>
      </w:r>
    </w:p>
    <w:p w14:paraId="209D1F1B" w14:textId="77777777" w:rsidR="008D2837" w:rsidRPr="00084B30" w:rsidRDefault="00F64209" w:rsidP="008D2837">
      <w:pPr>
        <w:pStyle w:val="NormalHanging12a"/>
        <w:rPr>
          <w:szCs w:val="24"/>
        </w:rPr>
      </w:pPr>
      <w:r>
        <w:rPr>
          <w:color w:val="000000" w:themeColor="text1"/>
        </w:rPr>
        <w:t>47</w:t>
      </w:r>
      <w:r w:rsidR="008D2837" w:rsidRPr="00084B30">
        <w:rPr>
          <w:color w:val="000000" w:themeColor="text1"/>
        </w:rPr>
        <w:t>.</w:t>
      </w:r>
      <w:r w:rsidR="008D2837" w:rsidRPr="00084B30">
        <w:rPr>
          <w:color w:val="000000" w:themeColor="text1"/>
        </w:rPr>
        <w:tab/>
      </w:r>
      <w:r w:rsidR="008D2837" w:rsidRPr="00084B30">
        <w:t>víta zriadenie spoločnej komisie pre nezvestné osoby v decembri 2024 a vyzýva na rýchly pokrok vo vykonávaní politického vyhlásenia o nezvestných osobách z mája 2023; vyzýva Kosovo aj Srbsko, aby nespolitizovali túto humanitárnej tému a zintenzívnili svoje úsilie pri vykonávaní tohto vyhlásenia v rámci dialógu medzi Belehradom a Prištinou a nadviazali spoluprácu medzi Kosovom a Srbskom;</w:t>
      </w:r>
    </w:p>
    <w:p w14:paraId="46BF0355" w14:textId="77777777" w:rsidR="008D2837" w:rsidRPr="00084B30" w:rsidRDefault="00F64209" w:rsidP="008D2837">
      <w:pPr>
        <w:pStyle w:val="NormalHanging12a"/>
      </w:pPr>
      <w:r>
        <w:t>48</w:t>
      </w:r>
      <w:r w:rsidR="008D2837" w:rsidRPr="00084B30">
        <w:t>.</w:t>
      </w:r>
      <w:r w:rsidR="008D2837" w:rsidRPr="00084B30">
        <w:tab/>
        <w:t>víta nedávne dohody v rámci berlínskeho procesu;</w:t>
      </w:r>
    </w:p>
    <w:p w14:paraId="28EFBA62" w14:textId="77777777" w:rsidR="008D2837" w:rsidRPr="00084B30" w:rsidRDefault="00F64209" w:rsidP="008D2837">
      <w:pPr>
        <w:pStyle w:val="NormalHanging12a"/>
      </w:pPr>
      <w:r>
        <w:t>49</w:t>
      </w:r>
      <w:r w:rsidR="008D2837" w:rsidRPr="00084B30">
        <w:t>.</w:t>
      </w:r>
      <w:r w:rsidR="008D2837" w:rsidRPr="00084B30">
        <w:tab/>
        <w:t>víta rozhodnutie Kosova zrušiť obmedzenia vstupu srbských hotových výrobkov na hraničný priechod Merdare;</w:t>
      </w:r>
    </w:p>
    <w:p w14:paraId="0FCE07AA" w14:textId="77777777" w:rsidR="008D2837" w:rsidRPr="00084B30" w:rsidRDefault="00F64209" w:rsidP="008D2837">
      <w:pPr>
        <w:pStyle w:val="NormalHanging12a"/>
      </w:pPr>
      <w:r>
        <w:t>50</w:t>
      </w:r>
      <w:r w:rsidR="008D2837" w:rsidRPr="00084B30">
        <w:t>.</w:t>
      </w:r>
      <w:r w:rsidR="008D2837" w:rsidRPr="00084B30">
        <w:tab/>
        <w:t>víta prítomnosť jednotiek síl pre Kosovo a ich úlohu pri budovaní a udržiavaní bezpečného prostredia a rozvoji stabilného a mierového Kosova na ceste smerom k euroatlantickej integrácii; pripomína význam misie pre pokračujúci rozvoj kosovských bezpečnostných síl prostredníctvom poskytovania poradenstva, odbornej prípravy a budovania kapacít;</w:t>
      </w:r>
    </w:p>
    <w:p w14:paraId="6E08B1DD" w14:textId="77777777" w:rsidR="008D2837" w:rsidRPr="00084B30" w:rsidRDefault="008D2837" w:rsidP="008D2837">
      <w:pPr>
        <w:pStyle w:val="NormalHanging12a"/>
        <w:rPr>
          <w:b/>
          <w:i/>
        </w:rPr>
      </w:pPr>
      <w:r w:rsidRPr="00084B30">
        <w:rPr>
          <w:b/>
          <w:i/>
        </w:rPr>
        <w:t>Sociálne a hospodárske reformy</w:t>
      </w:r>
    </w:p>
    <w:p w14:paraId="5E9C5276" w14:textId="77777777" w:rsidR="008D2837" w:rsidRPr="00084B30" w:rsidRDefault="00F64209" w:rsidP="008D2837">
      <w:pPr>
        <w:pStyle w:val="NormalHanging12a"/>
      </w:pPr>
      <w:r>
        <w:t>51</w:t>
      </w:r>
      <w:r w:rsidR="008D2837" w:rsidRPr="00084B30">
        <w:t>.</w:t>
      </w:r>
      <w:r w:rsidR="008D2837" w:rsidRPr="00084B30">
        <w:tab/>
        <w:t xml:space="preserve">víta aktívne zapojenie Kosova do vykonávania nového plánu rastu pre západný Balkán, ktorého cieľom je prehĺbiť reformy súvisiace s EÚ a znížiť sociálno-ekonomické </w:t>
      </w:r>
      <w:r w:rsidR="008D2837" w:rsidRPr="00084B30">
        <w:lastRenderedPageBreak/>
        <w:t>rozdiely medzi členskými štátmi EÚ a krajinami západného Balkánu; víta prijatie programu reforiem Kosova a pripomína, že Kosovo (ako aj Srbsko) musí na získanie prístupu k zdrojom preukázať lepší záväzok k dialógu, ktorý sprostredkúva EÚ;</w:t>
      </w:r>
    </w:p>
    <w:p w14:paraId="2E14575A" w14:textId="77777777" w:rsidR="008D2837" w:rsidRPr="00084B30" w:rsidRDefault="00F64209" w:rsidP="008D2837">
      <w:pPr>
        <w:pStyle w:val="NormalHanging12a"/>
      </w:pPr>
      <w:r>
        <w:t>52</w:t>
      </w:r>
      <w:r w:rsidR="008D2837" w:rsidRPr="00084B30">
        <w:t>.</w:t>
      </w:r>
      <w:r w:rsidR="008D2837" w:rsidRPr="00084B30">
        <w:tab/>
        <w:t>víta pokrok, ktorý Kosovo dosiahlo pri rozvoji fungujúceho trhového hospodárstva, a nabáda Kosovo, aby vykonalo potrebné štrukturálne reformy na riešenie fiškálnych výziev a zároveň zabezpečilo primeranú ochranu práce, spravodlivé mzdy a lepšie pracovné podmienky v súlade s právnymi predpismi EÚ;</w:t>
      </w:r>
    </w:p>
    <w:p w14:paraId="5D67F368" w14:textId="77777777" w:rsidR="008D2837" w:rsidRPr="00084B30" w:rsidRDefault="00F64209" w:rsidP="008D2837">
      <w:pPr>
        <w:pStyle w:val="NormalHanging12a"/>
      </w:pPr>
      <w:r>
        <w:t>53</w:t>
      </w:r>
      <w:r w:rsidR="008D2837" w:rsidRPr="00084B30">
        <w:t>.</w:t>
      </w:r>
      <w:r w:rsidR="008D2837" w:rsidRPr="00084B30">
        <w:tab/>
        <w:t>opätovne pripomína svoju výzvu Komisii, aby vytvorila regionálnu stratégiu na riešenie problémov pretrvávajúcej nezamestnanosti mladých ľudí a úniku mozgov tým, že sa bude riešiť nepomer medzi vzdelávacím systémom a trhom práce, zlepší sa kvalita výučby, zabezpečí primerané financovanie opatrení trhu práce a systémov odborného vzdelávania, ako aj primerané zariadenia starostlivosti o deti a predškolského vzdelávania;</w:t>
      </w:r>
    </w:p>
    <w:p w14:paraId="77F1C335" w14:textId="77777777" w:rsidR="008D2837" w:rsidRPr="00084B30" w:rsidRDefault="00F64209" w:rsidP="008D2837">
      <w:pPr>
        <w:pStyle w:val="NormalHanging12a"/>
      </w:pPr>
      <w:r>
        <w:t>54</w:t>
      </w:r>
      <w:r w:rsidR="008D2837" w:rsidRPr="00084B30">
        <w:t>.</w:t>
      </w:r>
      <w:r w:rsidR="008D2837" w:rsidRPr="00084B30">
        <w:tab/>
        <w:t>víta skutočnosť, že právne predpisy Kosova na boj proti kybernetickej kriminalite sú do veľkej miery zosúladené s </w:t>
      </w:r>
      <w:r w:rsidR="008D2837" w:rsidRPr="006209BD">
        <w:rPr>
          <w:i/>
        </w:rPr>
        <w:t>acquis</w:t>
      </w:r>
      <w:r w:rsidR="008D2837" w:rsidRPr="00084B30">
        <w:t xml:space="preserve"> EÚ; berie na vedomie obmedzený pokrok Kosova v digitálnej transformácii verejných služieb; zdôrazňuje, že táto transformácia musí prebiehať v súlade s právnymi predpismi EÚ v oblasti digitálnych technológií, ako aj potrebami ľudí, konkrétne s európskym kódexom elektronických komunikácií, so smernicou EÚ o bezpečnosti sietí a informačných systémov (smernica NIS2)</w:t>
      </w:r>
      <w:r w:rsidR="008D2837" w:rsidRPr="00084B30">
        <w:rPr>
          <w:rStyle w:val="FootnoteReference"/>
        </w:rPr>
        <w:footnoteReference w:id="8"/>
      </w:r>
      <w:r w:rsidR="008D2837" w:rsidRPr="00084B30">
        <w:t>, súborom nástrojov EÚ pre kybernetickú bezpečnosť 5G, s aktom o digitálnych službách</w:t>
      </w:r>
      <w:r w:rsidR="008D2837" w:rsidRPr="00084B30">
        <w:rPr>
          <w:rStyle w:val="FootnoteReference"/>
        </w:rPr>
        <w:footnoteReference w:id="9"/>
      </w:r>
      <w:r w:rsidR="008D2837" w:rsidRPr="00084B30">
        <w:t xml:space="preserve"> a aktom o digitálnych trhoch</w:t>
      </w:r>
      <w:r w:rsidR="008D2837" w:rsidRPr="00084B30">
        <w:rPr>
          <w:rStyle w:val="FootnoteReference"/>
        </w:rPr>
        <w:footnoteReference w:id="10"/>
      </w:r>
      <w:r w:rsidR="008D2837" w:rsidRPr="00084B30">
        <w:t>; konštatuje, že hospodárstvo Kosova je naďalej do veľkej miery závislé od dovozu, a zdôrazňuje potrebu jeho diverzifikácie s cieľom zvýšiť konkurencieschopnosť a udržateľnosť, najmä v súvislosti s hlbšou integráciou do trhov EÚ;</w:t>
      </w:r>
    </w:p>
    <w:p w14:paraId="10DAADB6" w14:textId="77777777" w:rsidR="008D2837" w:rsidRPr="00084B30" w:rsidRDefault="00F64209" w:rsidP="008D2837">
      <w:pPr>
        <w:pStyle w:val="NormalHanging12a"/>
      </w:pPr>
      <w:r>
        <w:t>55</w:t>
      </w:r>
      <w:r w:rsidR="008D2837" w:rsidRPr="00084B30">
        <w:t>.</w:t>
      </w:r>
      <w:r w:rsidR="008D2837" w:rsidRPr="00084B30">
        <w:tab/>
        <w:t>vyjadruje poľutovanie nad tým, že návrh zákona o učebniciach predložený v roku 2022 stále čaká na konečné prijatie zhromaždením Kosova; vyzýva Kosovo, aby dokončilo vykonávanie nového rámca učebných osnov pre základné vzdelávanie, dokončilo revíziu súčasných učebníc, poskytlo učiteľom udržateľnú odbornú prípravu a systematicky uplatňovalo mechanizmy zabezpečovania kvality na všetkých úrovniach vzdelávania;</w:t>
      </w:r>
    </w:p>
    <w:p w14:paraId="3046D07F" w14:textId="77777777" w:rsidR="008D2837" w:rsidRPr="00084B30" w:rsidRDefault="00F64209" w:rsidP="008D2837">
      <w:pPr>
        <w:pStyle w:val="NormalHanging12a"/>
        <w:rPr>
          <w:rFonts w:eastAsia="Calibri"/>
          <w:color w:val="000000" w:themeColor="text1"/>
          <w:szCs w:val="24"/>
        </w:rPr>
      </w:pPr>
      <w:r>
        <w:t>56</w:t>
      </w:r>
      <w:r w:rsidR="008D2837" w:rsidRPr="00084B30">
        <w:t>.</w:t>
      </w:r>
      <w:r w:rsidR="008D2837" w:rsidRPr="00084B30">
        <w:tab/>
        <w:t xml:space="preserve">naliehavo vyzýva Kosovo, aby zabezpečilo lepší prístup ku kvalitným službám zdravotnej starostlivosti; konštatuje, že výdavky na zdravotnú starostlivosť sú naďalej druhými najnižšími v regióne a vyzýva na komplexnú reformu zdravotnej starostlivosti, </w:t>
      </w:r>
      <w:r w:rsidR="008D2837" w:rsidRPr="00084B30">
        <w:lastRenderedPageBreak/>
        <w:t>ktorou by sa riešili potreby všetkých občanov, najmä vo vidieckych oblastiach a v oblastiach s nedostatočnou dostupnosťou služieb;</w:t>
      </w:r>
    </w:p>
    <w:p w14:paraId="27B96683" w14:textId="77777777" w:rsidR="008D2837" w:rsidRPr="00084B30" w:rsidRDefault="00F64209" w:rsidP="008D2837">
      <w:pPr>
        <w:pStyle w:val="NormalHanging12a"/>
      </w:pPr>
      <w:r>
        <w:t>57</w:t>
      </w:r>
      <w:r w:rsidR="008D2837" w:rsidRPr="00084B30">
        <w:t>.</w:t>
      </w:r>
      <w:r w:rsidR="008D2837" w:rsidRPr="00084B30">
        <w:tab/>
        <w:t>so znepokojením konštatuje, že prístup k sociálnym službám, najmä pre zraniteľné skupiny, sa zhoršil po tom, ako vláda zrušila ministerstvo práce a sociálnych vecí, čo sa uskutočnilo bez transparentných konzultácií s občianskou spoločnosťou a inými zainteresovanými stranami a prispelo k značnému zmätku; vyzýva na zlepšenie rozpočtovania založeného na dôkazoch s cieľom skvalitniť sociálne služby, najmä pre obete rodovo motivovaného násilia, v súlade s novým právnym rámcom;</w:t>
      </w:r>
    </w:p>
    <w:p w14:paraId="0E9E8948" w14:textId="77777777" w:rsidR="008D2837" w:rsidRPr="00084B30" w:rsidRDefault="00F64209" w:rsidP="008D2837">
      <w:pPr>
        <w:pStyle w:val="NormalHanging12a"/>
      </w:pPr>
      <w:r>
        <w:t>58</w:t>
      </w:r>
      <w:r w:rsidR="008D2837" w:rsidRPr="00084B30">
        <w:t>.</w:t>
      </w:r>
      <w:r w:rsidR="008D2837" w:rsidRPr="00084B30">
        <w:tab/>
        <w:t>vyzýva Kosovo, aby zabezpečilo rovnaké a nediskriminačné štátne vzdelávanie v menšinových jazykoch;</w:t>
      </w:r>
    </w:p>
    <w:p w14:paraId="730552E3" w14:textId="77777777" w:rsidR="008D2837" w:rsidRPr="00084B30" w:rsidRDefault="00F64209" w:rsidP="008D2837">
      <w:pPr>
        <w:pStyle w:val="NormalHanging12a"/>
      </w:pPr>
      <w:r>
        <w:t>59</w:t>
      </w:r>
      <w:r w:rsidR="008D2837" w:rsidRPr="00084B30">
        <w:t>.</w:t>
      </w:r>
      <w:r w:rsidR="008D2837" w:rsidRPr="00084B30">
        <w:tab/>
        <w:t>opätovne pripomína, že je potrebné osloviť mladých ľudí z obcí so srbskou väčšinou a integrovať ich do sociálno-ekonomických štruktúr krajiny;</w:t>
      </w:r>
    </w:p>
    <w:p w14:paraId="2E49D676" w14:textId="77777777" w:rsidR="008D2837" w:rsidRPr="00084B30" w:rsidRDefault="008D2837" w:rsidP="008D2837">
      <w:pPr>
        <w:pStyle w:val="NormalHanging12a"/>
      </w:pPr>
      <w:r w:rsidRPr="00084B30">
        <w:rPr>
          <w:b/>
          <w:i/>
        </w:rPr>
        <w:t>Energetika, životné prostredie, udržateľný rozvoj a prepojenosť</w:t>
      </w:r>
    </w:p>
    <w:p w14:paraId="61B53A6B" w14:textId="77777777" w:rsidR="008D2837" w:rsidRPr="00084B30" w:rsidRDefault="00F64209" w:rsidP="008D2837">
      <w:pPr>
        <w:pStyle w:val="NormalHanging12a"/>
        <w:rPr>
          <w:szCs w:val="24"/>
        </w:rPr>
      </w:pPr>
      <w:r>
        <w:t>60</w:t>
      </w:r>
      <w:r w:rsidR="008D2837" w:rsidRPr="00084B30">
        <w:t>.</w:t>
      </w:r>
      <w:r w:rsidR="008D2837" w:rsidRPr="00084B30">
        <w:tab/>
        <w:t>konštatuje, že Kosovo dosiahlo určitý pokrok v oblasti bezpečnosti dodávok energie, ale naďalej je vo veľkej miere závislé od zastaraných, vysoko znečisťujúcich elektrární, ktoré predstavujú vážne zdravotné a environmentálne riziká; konštatuje, že Kosovo musí zabezpečiť časovo efektívne vykonávanie svojho energetického programu na roky 2022 – 2025, aby splnilo ambiciózne ciele a znížilo závislosť od fosílnych palív; vyzýva EÚ, aby zintenzívnila a uprednostnila svoje úsilie s cieľom pomôcť Kosovu vyriešiť problémy so znečistením ovzdušia;</w:t>
      </w:r>
      <w:r w:rsidR="008D2837" w:rsidRPr="00084B30">
        <w:rPr>
          <w:b/>
        </w:rPr>
        <w:t xml:space="preserve"> </w:t>
      </w:r>
      <w:r w:rsidR="008D2837" w:rsidRPr="00084B30">
        <w:t>konštatuje, že nová energetická stratégia Kosova nepodporuje výstavbu vodných elektrární z dôvodu ich škodlivého vplyvu na životné prostredie, najmä vzhľadom na nedostatok vody v krajine;</w:t>
      </w:r>
    </w:p>
    <w:p w14:paraId="008EF4A4" w14:textId="77777777" w:rsidR="008D2837" w:rsidRPr="00084B30" w:rsidRDefault="00F64209" w:rsidP="008D2837">
      <w:pPr>
        <w:pStyle w:val="NormalHanging12a"/>
      </w:pPr>
      <w:r>
        <w:t>61</w:t>
      </w:r>
      <w:r w:rsidR="008D2837" w:rsidRPr="00084B30">
        <w:t>.</w:t>
      </w:r>
      <w:r w:rsidR="008D2837" w:rsidRPr="00084B30">
        <w:tab/>
        <w:t>zdôrazňuje potrebu komplexného rozvoja infraštruktúry v Kosove s cieľom uľahčiť znižovanie emisií z verejnej dopravy a rozširovanie elektrifikovanej dopravy; zdôrazňuje, že zlepšenie dostupnosti a zabezpečenie kompatibility s dopravnou sieťou EÚ musí byť naďalej prioritou;</w:t>
      </w:r>
    </w:p>
    <w:p w14:paraId="074BDBEC" w14:textId="77777777" w:rsidR="008D2837" w:rsidRPr="00084B30" w:rsidRDefault="00F64209" w:rsidP="008D2837">
      <w:pPr>
        <w:pStyle w:val="NormalHanging12a"/>
      </w:pPr>
      <w:r>
        <w:t>62</w:t>
      </w:r>
      <w:r w:rsidR="008D2837" w:rsidRPr="00084B30">
        <w:t>.</w:t>
      </w:r>
      <w:r w:rsidR="008D2837" w:rsidRPr="00084B30">
        <w:tab/>
        <w:t>víta dohodu dosiahnutú na samite v Tirane o znížení roamingových nákladov; v tejto súvislosti vyzýva orgány, súkromné subjekty a všetky zainteresované strany, aby uľahčili splnenie dohodnutých cieľov na dosiahnutie výrazného zníženia roamingových poplatkov za dáta medzi západným Balkánom a EÚ a ďalšieho zníženia, ktoré by viedlo k cenám blízkym domácim cenám do roku 2027; víta začatie prvej fázy realizácie plánu na zníženie roamingových nákladov medzi západným Balkánom a EÚ;</w:t>
      </w:r>
    </w:p>
    <w:p w14:paraId="0440A3E3" w14:textId="77777777" w:rsidR="008D2837" w:rsidRPr="00084B30" w:rsidRDefault="00F64209" w:rsidP="008D2837">
      <w:pPr>
        <w:pStyle w:val="NormalHanging12a"/>
      </w:pPr>
      <w:r>
        <w:t>63</w:t>
      </w:r>
      <w:r w:rsidR="008D2837" w:rsidRPr="00084B30">
        <w:t>.</w:t>
      </w:r>
      <w:r w:rsidR="008D2837" w:rsidRPr="00084B30">
        <w:tab/>
        <w:t>naliehavo vyzýva Kosovo, aby zlepšilo dodržiavanie emisných stropov, zlepšilo začlenenie environmentálnych aspektov do odvetvových politík a prijalo potrebné opatrenia na kontrolu znečisťovania ovzdušia a kontaminácie pôdy a nakladanie s odpadom v súlade s normami a záväzkami EÚ a medzinárodnými normami a záväzkami; naliehavo vyzýva Kosovo, aby zlepšilo komplexné posudzovanie vplyvu na životné prostredie a aby do plánovania infraštruktúry začlenilo opatrenia v oblasti udržateľnosti; vyzýva Kosovo, aby rozšírilo chránené oblasti v krajine a zlepšilo nástroje a opatrenia na ich ochranu s cieľom zachovať biodiverzitu vrátane hlavných biotopov kriticky ohrozeného rysa balkánskeho; nabáda Kosovo, aby zintenzívnilo a urýchlilo úsilie o spoluprácu so susednými krajinami pri vymedzovaní cezhraničných chránených oblastí a vypracúvaní jednotných cezhraničných plánov riadenia.</w:t>
      </w:r>
    </w:p>
    <w:p w14:paraId="3EDBEE74" w14:textId="77777777" w:rsidR="00802501" w:rsidRPr="00084B30" w:rsidRDefault="00802501" w:rsidP="00802501">
      <w:pPr>
        <w:pStyle w:val="NormalHanging12a"/>
        <w:widowControl/>
        <w:ind w:left="0" w:firstLine="0"/>
        <w:jc w:val="center"/>
        <w:rPr>
          <w:szCs w:val="24"/>
        </w:rPr>
      </w:pPr>
      <w:r w:rsidRPr="00084B30">
        <w:rPr>
          <w:szCs w:val="24"/>
        </w:rPr>
        <w:lastRenderedPageBreak/>
        <w:t>°</w:t>
      </w:r>
    </w:p>
    <w:p w14:paraId="1657B611" w14:textId="77777777" w:rsidR="00802501" w:rsidRPr="00084B30" w:rsidRDefault="00802501" w:rsidP="00802501">
      <w:pPr>
        <w:pStyle w:val="NormalHanging12a"/>
        <w:widowControl/>
        <w:ind w:left="0" w:firstLine="0"/>
        <w:jc w:val="center"/>
        <w:rPr>
          <w:szCs w:val="24"/>
        </w:rPr>
      </w:pPr>
      <w:r w:rsidRPr="00084B30">
        <w:rPr>
          <w:szCs w:val="24"/>
        </w:rPr>
        <w:t>°     °</w:t>
      </w:r>
    </w:p>
    <w:p w14:paraId="3DF064C5" w14:textId="77777777" w:rsidR="00E365E1" w:rsidRPr="00084B30" w:rsidRDefault="00F64209" w:rsidP="00802501">
      <w:pPr>
        <w:pStyle w:val="NormalHanging12a"/>
      </w:pPr>
      <w:r>
        <w:t>64</w:t>
      </w:r>
      <w:r w:rsidR="008D2837" w:rsidRPr="00084B30">
        <w:t>.</w:t>
      </w:r>
      <w:r w:rsidR="008D2837" w:rsidRPr="00084B30">
        <w:tab/>
        <w:t>poveruje svoju predsedníčku, aby postúpila toto uznesenie predsedovi Európskej rady, Komisii, podpredsedníčke Komisie/vysokej predstaviteľke Únie pre zahraničné veci a bezpečnostnú politiku, vládam a parlamentom členských štátov a prezidentovi, vláde a Národnému zhromaždeniu Kosova.</w:t>
      </w:r>
    </w:p>
    <w:sectPr w:rsidR="00E365E1" w:rsidRPr="00084B30" w:rsidSect="00720F3D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3B09E" w14:textId="77777777" w:rsidR="0053167C" w:rsidRPr="00720F3D" w:rsidRDefault="0053167C">
      <w:r w:rsidRPr="00720F3D">
        <w:separator/>
      </w:r>
    </w:p>
  </w:endnote>
  <w:endnote w:type="continuationSeparator" w:id="0">
    <w:p w14:paraId="706A0111" w14:textId="77777777" w:rsidR="0053167C" w:rsidRPr="00720F3D" w:rsidRDefault="0053167C">
      <w:r w:rsidRPr="00720F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EE12C" w14:textId="77777777" w:rsidR="0053167C" w:rsidRPr="00720F3D" w:rsidRDefault="0053167C">
      <w:r w:rsidRPr="00720F3D">
        <w:separator/>
      </w:r>
    </w:p>
  </w:footnote>
  <w:footnote w:type="continuationSeparator" w:id="0">
    <w:p w14:paraId="5B20961E" w14:textId="77777777" w:rsidR="0053167C" w:rsidRPr="00720F3D" w:rsidRDefault="0053167C">
      <w:r w:rsidRPr="00720F3D">
        <w:continuationSeparator/>
      </w:r>
    </w:p>
  </w:footnote>
  <w:footnote w:id="1">
    <w:p w14:paraId="04E065DE" w14:textId="77777777" w:rsidR="008D2837" w:rsidRPr="00720F3D" w:rsidRDefault="008D2837" w:rsidP="00720F3D">
      <w:pPr>
        <w:pStyle w:val="FootnoteText"/>
        <w:ind w:left="567" w:hanging="567"/>
        <w:rPr>
          <w:color w:val="0000FF"/>
          <w:sz w:val="24"/>
          <w:u w:val="single" w:color="0000FF"/>
          <w:lang w:val="sk-SK"/>
        </w:rPr>
      </w:pPr>
      <w:r w:rsidRPr="00720F3D">
        <w:rPr>
          <w:rStyle w:val="FootnoteReference"/>
          <w:sz w:val="24"/>
          <w:lang w:val="sk-SK"/>
        </w:rPr>
        <w:footnoteRef/>
      </w:r>
      <w:r w:rsidR="00720F3D" w:rsidRPr="00720F3D">
        <w:rPr>
          <w:sz w:val="24"/>
          <w:lang w:val="sk-SK"/>
        </w:rPr>
        <w:t xml:space="preserve"> </w:t>
      </w:r>
      <w:r w:rsidR="00720F3D" w:rsidRPr="00720F3D">
        <w:rPr>
          <w:sz w:val="24"/>
          <w:lang w:val="sk-SK"/>
        </w:rPr>
        <w:tab/>
      </w:r>
      <w:r w:rsidRPr="00720F3D">
        <w:rPr>
          <w:sz w:val="24"/>
          <w:lang w:val="sk-SK"/>
        </w:rPr>
        <w:t xml:space="preserve">Ú. v. EÚ L 71, 16.3.2016, s. 3, ELI: </w:t>
      </w:r>
      <w:hyperlink r:id="rId1" w:history="1">
        <w:r w:rsidRPr="00720F3D">
          <w:rPr>
            <w:rStyle w:val="Hyperlink"/>
            <w:sz w:val="24"/>
            <w:lang w:val="sk-SK"/>
          </w:rPr>
          <w:t>http://data.europa.eu/eli/agree_internation/2016/342/oj</w:t>
        </w:r>
      </w:hyperlink>
      <w:r w:rsidRPr="00720F3D">
        <w:rPr>
          <w:sz w:val="24"/>
          <w:lang w:val="sk-SK"/>
        </w:rPr>
        <w:t>.</w:t>
      </w:r>
    </w:p>
  </w:footnote>
  <w:footnote w:id="2">
    <w:p w14:paraId="2FB0A860" w14:textId="77777777" w:rsidR="008D2837" w:rsidRPr="00720F3D" w:rsidRDefault="008D2837" w:rsidP="00720F3D">
      <w:pPr>
        <w:pStyle w:val="FootnoteText"/>
        <w:ind w:left="567" w:hanging="567"/>
        <w:rPr>
          <w:color w:val="0000FF"/>
          <w:sz w:val="24"/>
          <w:u w:val="single" w:color="0000FF"/>
          <w:lang w:val="sk-SK"/>
        </w:rPr>
      </w:pPr>
      <w:r w:rsidRPr="00720F3D">
        <w:rPr>
          <w:rStyle w:val="FootnoteReference"/>
          <w:sz w:val="24"/>
          <w:lang w:val="sk-SK"/>
        </w:rPr>
        <w:footnoteRef/>
      </w:r>
      <w:r w:rsidR="00720F3D" w:rsidRPr="00720F3D">
        <w:rPr>
          <w:sz w:val="24"/>
          <w:lang w:val="sk-SK"/>
        </w:rPr>
        <w:t xml:space="preserve"> </w:t>
      </w:r>
      <w:r w:rsidR="00720F3D" w:rsidRPr="00720F3D">
        <w:rPr>
          <w:sz w:val="24"/>
          <w:lang w:val="sk-SK"/>
        </w:rPr>
        <w:tab/>
      </w:r>
      <w:r w:rsidRPr="00720F3D">
        <w:rPr>
          <w:sz w:val="24"/>
          <w:lang w:val="sk-SK"/>
        </w:rPr>
        <w:t xml:space="preserve">Ú. v. EÚ L 195, 27.7.2017, s. 3, ELI: </w:t>
      </w:r>
      <w:hyperlink r:id="rId2" w:history="1">
        <w:r w:rsidRPr="00720F3D">
          <w:rPr>
            <w:rStyle w:val="Hyperlink"/>
            <w:sz w:val="24"/>
            <w:lang w:val="sk-SK"/>
          </w:rPr>
          <w:t>http://data.europa.eu/eli/agree_internation/2017/1388/oj</w:t>
        </w:r>
      </w:hyperlink>
      <w:r w:rsidRPr="00720F3D">
        <w:rPr>
          <w:sz w:val="24"/>
          <w:lang w:val="sk-SK"/>
        </w:rPr>
        <w:t>.</w:t>
      </w:r>
    </w:p>
  </w:footnote>
  <w:footnote w:id="3">
    <w:p w14:paraId="27384398" w14:textId="77777777" w:rsidR="008D2837" w:rsidRPr="00720F3D" w:rsidRDefault="008D2837" w:rsidP="00720F3D">
      <w:pPr>
        <w:pStyle w:val="FootnoteText"/>
        <w:ind w:left="567" w:hanging="567"/>
        <w:rPr>
          <w:color w:val="0000FF"/>
          <w:sz w:val="24"/>
          <w:u w:val="single" w:color="0000FF"/>
          <w:lang w:val="sk-SK"/>
        </w:rPr>
      </w:pPr>
      <w:r w:rsidRPr="00720F3D">
        <w:rPr>
          <w:rStyle w:val="FootnoteReference"/>
          <w:sz w:val="24"/>
          <w:lang w:val="sk-SK"/>
        </w:rPr>
        <w:footnoteRef/>
      </w:r>
      <w:r w:rsidR="00720F3D" w:rsidRPr="00720F3D">
        <w:rPr>
          <w:sz w:val="24"/>
          <w:lang w:val="sk-SK"/>
        </w:rPr>
        <w:t xml:space="preserve"> </w:t>
      </w:r>
      <w:r w:rsidR="00720F3D" w:rsidRPr="00720F3D">
        <w:rPr>
          <w:sz w:val="24"/>
          <w:lang w:val="sk-SK"/>
        </w:rPr>
        <w:tab/>
      </w:r>
      <w:r w:rsidRPr="00720F3D">
        <w:rPr>
          <w:sz w:val="24"/>
          <w:lang w:val="sk-SK"/>
        </w:rPr>
        <w:t xml:space="preserve">Ú. v. EÚ L 330, 20.9.2021, s. 1, ELI: </w:t>
      </w:r>
      <w:hyperlink r:id="rId3" w:history="1">
        <w:r w:rsidRPr="00720F3D">
          <w:rPr>
            <w:rStyle w:val="Hyperlink"/>
            <w:sz w:val="24"/>
            <w:lang w:val="sk-SK"/>
          </w:rPr>
          <w:t>http://data.europa.eu/eli/reg/2021/1529/oj</w:t>
        </w:r>
      </w:hyperlink>
      <w:r w:rsidRPr="00720F3D">
        <w:rPr>
          <w:sz w:val="24"/>
          <w:lang w:val="sk-SK"/>
        </w:rPr>
        <w:t>.</w:t>
      </w:r>
    </w:p>
  </w:footnote>
  <w:footnote w:id="4">
    <w:p w14:paraId="3485D418" w14:textId="77777777" w:rsidR="008D2837" w:rsidRPr="00720F3D" w:rsidRDefault="008D2837" w:rsidP="00720F3D">
      <w:pPr>
        <w:pStyle w:val="FootnoteText"/>
        <w:ind w:left="567" w:hanging="567"/>
        <w:rPr>
          <w:sz w:val="24"/>
          <w:lang w:val="sk-SK"/>
        </w:rPr>
      </w:pPr>
      <w:r w:rsidRPr="00720F3D">
        <w:rPr>
          <w:rStyle w:val="FootnoteReference"/>
          <w:sz w:val="24"/>
          <w:lang w:val="sk-SK"/>
        </w:rPr>
        <w:footnoteRef/>
      </w:r>
      <w:r w:rsidR="00720F3D" w:rsidRPr="00720F3D">
        <w:rPr>
          <w:sz w:val="24"/>
          <w:lang w:val="sk-SK"/>
        </w:rPr>
        <w:t xml:space="preserve"> </w:t>
      </w:r>
      <w:r w:rsidR="00720F3D" w:rsidRPr="00720F3D">
        <w:rPr>
          <w:sz w:val="24"/>
          <w:lang w:val="sk-SK"/>
        </w:rPr>
        <w:tab/>
      </w:r>
      <w:r w:rsidRPr="00720F3D">
        <w:rPr>
          <w:sz w:val="24"/>
          <w:lang w:val="sk-SK"/>
        </w:rPr>
        <w:t xml:space="preserve">Ú. v. EÚ L, 2024/1449, 24.5.2024, </w:t>
      </w:r>
      <w:r w:rsidRPr="00720F3D">
        <w:rPr>
          <w:color w:val="333333"/>
          <w:sz w:val="24"/>
          <w:shd w:val="clear" w:color="auto" w:fill="FFFFFF"/>
          <w:lang w:val="sk-SK"/>
        </w:rPr>
        <w:t>ELI: </w:t>
      </w:r>
      <w:hyperlink r:id="rId4" w:tooltip="Umožňuje prístup k tomuto dokumentu prostredníctvom jednotného identifikátora zdroja ELI." w:history="1">
        <w:r w:rsidRPr="00720F3D">
          <w:rPr>
            <w:color w:val="337AB7"/>
            <w:sz w:val="24"/>
            <w:u w:val="single"/>
            <w:shd w:val="clear" w:color="auto" w:fill="FFFFFF"/>
            <w:lang w:val="sk-SK"/>
          </w:rPr>
          <w:t>http://data.europa.eu/eli/reg/2024/1449/oj</w:t>
        </w:r>
      </w:hyperlink>
      <w:r w:rsidRPr="00720F3D">
        <w:rPr>
          <w:sz w:val="24"/>
          <w:lang w:val="sk-SK"/>
        </w:rPr>
        <w:t>.</w:t>
      </w:r>
    </w:p>
  </w:footnote>
  <w:footnote w:id="5">
    <w:p w14:paraId="0D266733" w14:textId="77777777" w:rsidR="008D2837" w:rsidRPr="00720F3D" w:rsidRDefault="008D2837" w:rsidP="00720F3D">
      <w:pPr>
        <w:pStyle w:val="FootnoteText"/>
        <w:ind w:left="567" w:hanging="567"/>
        <w:rPr>
          <w:sz w:val="24"/>
          <w:lang w:val="sk-SK"/>
        </w:rPr>
      </w:pPr>
      <w:r w:rsidRPr="00720F3D">
        <w:rPr>
          <w:rStyle w:val="FootnoteReference"/>
          <w:sz w:val="24"/>
          <w:lang w:val="sk-SK"/>
        </w:rPr>
        <w:footnoteRef/>
      </w:r>
      <w:r w:rsidR="00720F3D" w:rsidRPr="00720F3D">
        <w:rPr>
          <w:sz w:val="24"/>
          <w:lang w:val="sk-SK"/>
        </w:rPr>
        <w:t xml:space="preserve"> </w:t>
      </w:r>
      <w:r w:rsidR="00720F3D" w:rsidRPr="00720F3D">
        <w:rPr>
          <w:sz w:val="24"/>
          <w:lang w:val="sk-SK"/>
        </w:rPr>
        <w:tab/>
      </w:r>
      <w:r w:rsidRPr="00720F3D">
        <w:rPr>
          <w:sz w:val="24"/>
          <w:lang w:val="sk-SK"/>
        </w:rPr>
        <w:t xml:space="preserve">Ú. v. ES L 146, 6.6.2023, s. 22, ELI: </w:t>
      </w:r>
      <w:hyperlink r:id="rId5" w:history="1">
        <w:r w:rsidRPr="00720F3D">
          <w:rPr>
            <w:rStyle w:val="Hyperlink"/>
            <w:sz w:val="24"/>
            <w:lang w:val="sk-SK"/>
          </w:rPr>
          <w:t>http://data.europa.eu/eli/dec/2023/1095/oj</w:t>
        </w:r>
      </w:hyperlink>
      <w:r w:rsidRPr="00720F3D">
        <w:rPr>
          <w:rStyle w:val="Hyperlink"/>
          <w:sz w:val="24"/>
          <w:lang w:val="sk-SK"/>
        </w:rPr>
        <w:t>.</w:t>
      </w:r>
    </w:p>
  </w:footnote>
  <w:footnote w:id="6">
    <w:p w14:paraId="1551D823" w14:textId="77777777" w:rsidR="008D2837" w:rsidRPr="00720F3D" w:rsidRDefault="008D2837" w:rsidP="00720F3D">
      <w:pPr>
        <w:pStyle w:val="FootnoteText"/>
        <w:ind w:left="567" w:hanging="567"/>
        <w:rPr>
          <w:sz w:val="24"/>
          <w:lang w:val="sk-SK"/>
        </w:rPr>
      </w:pPr>
      <w:r w:rsidRPr="00720F3D">
        <w:rPr>
          <w:rStyle w:val="FootnoteReference"/>
          <w:sz w:val="24"/>
          <w:lang w:val="sk-SK"/>
        </w:rPr>
        <w:footnoteRef/>
      </w:r>
      <w:r w:rsidR="00720F3D" w:rsidRPr="00720F3D">
        <w:rPr>
          <w:sz w:val="24"/>
          <w:lang w:val="sk-SK"/>
        </w:rPr>
        <w:t xml:space="preserve"> </w:t>
      </w:r>
      <w:r w:rsidR="00720F3D" w:rsidRPr="00720F3D">
        <w:rPr>
          <w:sz w:val="24"/>
          <w:lang w:val="sk-SK"/>
        </w:rPr>
        <w:tab/>
      </w:r>
      <w:r w:rsidRPr="00720F3D">
        <w:rPr>
          <w:sz w:val="24"/>
          <w:lang w:val="sk-SK"/>
        </w:rPr>
        <w:t xml:space="preserve">Ú. v. EÚ L 110, 25.4.2023, s. 1, ELI: </w:t>
      </w:r>
      <w:hyperlink r:id="rId6" w:history="1">
        <w:r w:rsidRPr="00720F3D">
          <w:rPr>
            <w:rStyle w:val="Hyperlink"/>
            <w:sz w:val="24"/>
            <w:lang w:val="sk-SK"/>
          </w:rPr>
          <w:t>http://data.europa.eu/eli/reg/2023/850/oj</w:t>
        </w:r>
      </w:hyperlink>
      <w:r w:rsidRPr="00720F3D">
        <w:rPr>
          <w:sz w:val="24"/>
          <w:lang w:val="sk-SK"/>
        </w:rPr>
        <w:t>.</w:t>
      </w:r>
    </w:p>
  </w:footnote>
  <w:footnote w:id="7">
    <w:p w14:paraId="7FDD6A90" w14:textId="77777777" w:rsidR="008D2837" w:rsidRPr="00720F3D" w:rsidRDefault="008D2837" w:rsidP="00720F3D">
      <w:pPr>
        <w:pStyle w:val="FootnoteText"/>
        <w:ind w:left="567" w:hanging="567"/>
        <w:rPr>
          <w:sz w:val="24"/>
          <w:lang w:val="sk-SK"/>
        </w:rPr>
      </w:pPr>
      <w:r w:rsidRPr="00720F3D">
        <w:rPr>
          <w:rStyle w:val="FootnoteReference"/>
          <w:sz w:val="24"/>
          <w:lang w:val="sk-SK"/>
        </w:rPr>
        <w:footnoteRef/>
      </w:r>
      <w:r w:rsidR="00720F3D" w:rsidRPr="00720F3D">
        <w:rPr>
          <w:sz w:val="24"/>
          <w:lang w:val="sk-SK"/>
        </w:rPr>
        <w:t xml:space="preserve"> </w:t>
      </w:r>
      <w:r w:rsidR="00720F3D" w:rsidRPr="00720F3D">
        <w:rPr>
          <w:sz w:val="24"/>
          <w:lang w:val="sk-SK"/>
        </w:rPr>
        <w:tab/>
      </w:r>
      <w:r w:rsidRPr="00720F3D">
        <w:rPr>
          <w:sz w:val="24"/>
          <w:lang w:val="sk-SK"/>
        </w:rPr>
        <w:t xml:space="preserve">Smernica Európskeho parlamentu a Rady (EÚ) 2024/1069 z 11. apríla 2024 o ochrane osôb zapojených do verejnej účasti pred zjavne neopodstatnenými nárokmi alebo zneužívajúcimi súdnymi konaniami („strategické žaloby proti verejnej účasti“) (Ú. v. EÚ L, 2024/1069, 16.4.2024, ELI: </w:t>
      </w:r>
      <w:hyperlink r:id="rId7" w:history="1">
        <w:r w:rsidRPr="00720F3D">
          <w:rPr>
            <w:rStyle w:val="Hyperlink"/>
            <w:sz w:val="24"/>
            <w:lang w:val="sk-SK"/>
          </w:rPr>
          <w:t>http://data.europa.eu/eli/dir/2024/1069/oj</w:t>
        </w:r>
      </w:hyperlink>
      <w:r w:rsidRPr="00720F3D">
        <w:rPr>
          <w:sz w:val="24"/>
          <w:lang w:val="sk-SK"/>
        </w:rPr>
        <w:t>).</w:t>
      </w:r>
    </w:p>
  </w:footnote>
  <w:footnote w:id="8">
    <w:p w14:paraId="6C4E0AD3" w14:textId="77777777" w:rsidR="008D2837" w:rsidRPr="00720F3D" w:rsidRDefault="008D2837" w:rsidP="00720F3D">
      <w:pPr>
        <w:pStyle w:val="FootnoteText"/>
        <w:ind w:left="567" w:hanging="567"/>
        <w:rPr>
          <w:sz w:val="24"/>
          <w:lang w:val="sk-SK"/>
        </w:rPr>
      </w:pPr>
      <w:r w:rsidRPr="00720F3D">
        <w:rPr>
          <w:rStyle w:val="FootnoteReference"/>
          <w:sz w:val="24"/>
          <w:lang w:val="sk-SK"/>
        </w:rPr>
        <w:footnoteRef/>
      </w:r>
      <w:r w:rsidR="00720F3D" w:rsidRPr="00720F3D">
        <w:rPr>
          <w:sz w:val="24"/>
          <w:lang w:val="sk-SK"/>
        </w:rPr>
        <w:t xml:space="preserve"> </w:t>
      </w:r>
      <w:r w:rsidR="00720F3D" w:rsidRPr="00720F3D">
        <w:rPr>
          <w:sz w:val="24"/>
          <w:lang w:val="sk-SK"/>
        </w:rPr>
        <w:tab/>
      </w:r>
      <w:r w:rsidRPr="00720F3D">
        <w:rPr>
          <w:sz w:val="24"/>
          <w:lang w:val="sk-SK"/>
        </w:rPr>
        <w:t xml:space="preserve">Smernica Európskeho parlamentu a Rady (EÚ) 2022/2555 zo 14. decembra 2022 o opatreniach na zabezpečenie vysokej spoločnej úrovne kybernetickej bezpečnosti v Únii, ktorou sa mení nariadenie (EÚ) č. 910/2014 a smernica (EÚ) 2018/1972 a zrušuje smernica (EÚ) 2016/1148 (smernica NIS 2) (Ú. v. EÚ L 333, 27.12.2022, s. 80, ELI: </w:t>
      </w:r>
      <w:hyperlink r:id="rId8" w:history="1">
        <w:r w:rsidRPr="00720F3D">
          <w:rPr>
            <w:rStyle w:val="Hyperlink"/>
            <w:sz w:val="24"/>
            <w:lang w:val="sk-SK"/>
          </w:rPr>
          <w:t>http://data.europa.eu/eli/dir/2022/2555/oj</w:t>
        </w:r>
      </w:hyperlink>
      <w:r w:rsidRPr="00720F3D">
        <w:rPr>
          <w:sz w:val="24"/>
          <w:lang w:val="sk-SK"/>
        </w:rPr>
        <w:t xml:space="preserve">). </w:t>
      </w:r>
    </w:p>
  </w:footnote>
  <w:footnote w:id="9">
    <w:p w14:paraId="09022BE1" w14:textId="77777777" w:rsidR="008D2837" w:rsidRPr="00720F3D" w:rsidRDefault="008D2837" w:rsidP="00720F3D">
      <w:pPr>
        <w:pStyle w:val="FootnoteText"/>
        <w:ind w:left="567" w:hanging="567"/>
        <w:rPr>
          <w:sz w:val="24"/>
          <w:lang w:val="sk-SK"/>
        </w:rPr>
      </w:pPr>
      <w:r w:rsidRPr="00720F3D">
        <w:rPr>
          <w:rStyle w:val="FootnoteReference"/>
          <w:sz w:val="24"/>
          <w:lang w:val="sk-SK"/>
        </w:rPr>
        <w:footnoteRef/>
      </w:r>
      <w:r w:rsidR="00720F3D" w:rsidRPr="00720F3D">
        <w:rPr>
          <w:sz w:val="24"/>
          <w:lang w:val="sk-SK"/>
        </w:rPr>
        <w:t xml:space="preserve"> </w:t>
      </w:r>
      <w:r w:rsidR="00720F3D" w:rsidRPr="00720F3D">
        <w:rPr>
          <w:sz w:val="24"/>
          <w:lang w:val="sk-SK"/>
        </w:rPr>
        <w:tab/>
      </w:r>
      <w:r w:rsidRPr="00720F3D">
        <w:rPr>
          <w:sz w:val="24"/>
          <w:lang w:val="sk-SK"/>
        </w:rPr>
        <w:t xml:space="preserve">Nariadenie Európskeho parlamentu a Rady (EÚ) 2022/2065 z 19. októbra 2022 o jednotnom trhu s digitálnymi službami a o zmene smernice 2000/31/ES (akt o digitálnych službách) (Ú. v. EÚ L 277, 27.10.2022, s. 1, ELI: </w:t>
      </w:r>
      <w:hyperlink r:id="rId9" w:history="1">
        <w:r w:rsidRPr="00720F3D">
          <w:rPr>
            <w:rStyle w:val="Hyperlink"/>
            <w:sz w:val="24"/>
            <w:lang w:val="sk-SK"/>
          </w:rPr>
          <w:t>http://data.europa.eu/eli/reg/2022/2065/oj</w:t>
        </w:r>
      </w:hyperlink>
      <w:r w:rsidRPr="00720F3D">
        <w:rPr>
          <w:sz w:val="24"/>
          <w:lang w:val="sk-SK"/>
        </w:rPr>
        <w:t xml:space="preserve">). </w:t>
      </w:r>
    </w:p>
  </w:footnote>
  <w:footnote w:id="10">
    <w:p w14:paraId="335A0785" w14:textId="77777777" w:rsidR="008D2837" w:rsidRPr="00720F3D" w:rsidRDefault="008D2837" w:rsidP="00720F3D">
      <w:pPr>
        <w:ind w:left="567" w:hanging="567"/>
      </w:pPr>
      <w:r w:rsidRPr="00720F3D">
        <w:rPr>
          <w:rStyle w:val="FootnoteReference"/>
        </w:rPr>
        <w:footnoteRef/>
      </w:r>
      <w:r w:rsidR="00720F3D" w:rsidRPr="00720F3D">
        <w:t xml:space="preserve"> </w:t>
      </w:r>
      <w:r w:rsidR="00720F3D" w:rsidRPr="00720F3D">
        <w:tab/>
      </w:r>
      <w:r w:rsidRPr="00720F3D">
        <w:t xml:space="preserve">Nariadenie Európskeho parlamentu a Rady (EÚ) 2022/1925 zo 14. septembra 2022 o súťažeschopných a spravodlivých trhoch digitálneho sektora a o zmene smerníc (EÚ) 2019/1937 a (EÚ) 2020/1828 (akt o digitálnych trhoch) (Ú. v. EÚ L 265, 12.10.2022, s. 1, ELI: </w:t>
      </w:r>
      <w:hyperlink r:id="rId10" w:history="1">
        <w:r w:rsidRPr="00720F3D">
          <w:rPr>
            <w:rStyle w:val="Hyperlink"/>
          </w:rPr>
          <w:t>http://data.europa.eu/eli/reg/2022/1925/oj</w:t>
        </w:r>
      </w:hyperlink>
      <w:r w:rsidRPr="00720F3D"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12535045">
    <w:abstractNumId w:val="9"/>
  </w:num>
  <w:num w:numId="2" w16cid:durableId="1048069416">
    <w:abstractNumId w:val="9"/>
  </w:num>
  <w:num w:numId="3" w16cid:durableId="341593137">
    <w:abstractNumId w:val="7"/>
  </w:num>
  <w:num w:numId="4" w16cid:durableId="707488177">
    <w:abstractNumId w:val="7"/>
  </w:num>
  <w:num w:numId="5" w16cid:durableId="608896475">
    <w:abstractNumId w:val="6"/>
  </w:num>
  <w:num w:numId="6" w16cid:durableId="2068144340">
    <w:abstractNumId w:val="6"/>
  </w:num>
  <w:num w:numId="7" w16cid:durableId="1868056255">
    <w:abstractNumId w:val="5"/>
  </w:num>
  <w:num w:numId="8" w16cid:durableId="609046813">
    <w:abstractNumId w:val="5"/>
  </w:num>
  <w:num w:numId="9" w16cid:durableId="1902517662">
    <w:abstractNumId w:val="4"/>
  </w:num>
  <w:num w:numId="10" w16cid:durableId="749160578">
    <w:abstractNumId w:val="4"/>
  </w:num>
  <w:num w:numId="11" w16cid:durableId="1624847042">
    <w:abstractNumId w:val="8"/>
  </w:num>
  <w:num w:numId="12" w16cid:durableId="555705413">
    <w:abstractNumId w:val="8"/>
  </w:num>
  <w:num w:numId="13" w16cid:durableId="710499367">
    <w:abstractNumId w:val="3"/>
  </w:num>
  <w:num w:numId="14" w16cid:durableId="210727037">
    <w:abstractNumId w:val="3"/>
  </w:num>
  <w:num w:numId="15" w16cid:durableId="1142697295">
    <w:abstractNumId w:val="2"/>
  </w:num>
  <w:num w:numId="16" w16cid:durableId="891189307">
    <w:abstractNumId w:val="2"/>
  </w:num>
  <w:num w:numId="17" w16cid:durableId="690185629">
    <w:abstractNumId w:val="1"/>
  </w:num>
  <w:num w:numId="18" w16cid:durableId="1950165172">
    <w:abstractNumId w:val="1"/>
  </w:num>
  <w:num w:numId="19" w16cid:durableId="333147658">
    <w:abstractNumId w:val="0"/>
  </w:num>
  <w:num w:numId="20" w16cid:durableId="1124234797">
    <w:abstractNumId w:val="0"/>
  </w:num>
  <w:num w:numId="21" w16cid:durableId="388191975">
    <w:abstractNumId w:val="9"/>
  </w:num>
  <w:num w:numId="22" w16cid:durableId="618609248">
    <w:abstractNumId w:val="7"/>
  </w:num>
  <w:num w:numId="23" w16cid:durableId="409813475">
    <w:abstractNumId w:val="6"/>
  </w:num>
  <w:num w:numId="24" w16cid:durableId="2113624807">
    <w:abstractNumId w:val="5"/>
  </w:num>
  <w:num w:numId="25" w16cid:durableId="336542196">
    <w:abstractNumId w:val="4"/>
  </w:num>
  <w:num w:numId="26" w16cid:durableId="1333289423">
    <w:abstractNumId w:val="8"/>
  </w:num>
  <w:num w:numId="27" w16cid:durableId="574096333">
    <w:abstractNumId w:val="3"/>
  </w:num>
  <w:num w:numId="28" w16cid:durableId="1268123427">
    <w:abstractNumId w:val="2"/>
  </w:num>
  <w:num w:numId="29" w16cid:durableId="1624269298">
    <w:abstractNumId w:val="1"/>
  </w:num>
  <w:num w:numId="30" w16cid:durableId="132256802">
    <w:abstractNumId w:val="0"/>
  </w:num>
  <w:num w:numId="31" w16cid:durableId="1921405777">
    <w:abstractNumId w:val="9"/>
  </w:num>
  <w:num w:numId="32" w16cid:durableId="1746760830">
    <w:abstractNumId w:val="7"/>
  </w:num>
  <w:num w:numId="33" w16cid:durableId="364869181">
    <w:abstractNumId w:val="6"/>
  </w:num>
  <w:num w:numId="34" w16cid:durableId="1627664960">
    <w:abstractNumId w:val="5"/>
  </w:num>
  <w:num w:numId="35" w16cid:durableId="1419059732">
    <w:abstractNumId w:val="4"/>
  </w:num>
  <w:num w:numId="36" w16cid:durableId="687292347">
    <w:abstractNumId w:val="8"/>
  </w:num>
  <w:num w:numId="37" w16cid:durableId="1064765063">
    <w:abstractNumId w:val="3"/>
  </w:num>
  <w:num w:numId="38" w16cid:durableId="607591672">
    <w:abstractNumId w:val="2"/>
  </w:num>
  <w:num w:numId="39" w16cid:durableId="1620061945">
    <w:abstractNumId w:val="1"/>
  </w:num>
  <w:num w:numId="40" w16cid:durableId="743142183">
    <w:abstractNumId w:val="0"/>
  </w:num>
  <w:num w:numId="41" w16cid:durableId="1886523870">
    <w:abstractNumId w:val="10"/>
  </w:num>
  <w:num w:numId="42" w16cid:durableId="216091552">
    <w:abstractNumId w:val="10"/>
  </w:num>
  <w:num w:numId="43" w16cid:durableId="34502994">
    <w:abstractNumId w:val="10"/>
  </w:num>
  <w:num w:numId="44" w16cid:durableId="4057610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5/2025"/>
    <w:docVar w:name="dvlangue" w:val="SK"/>
    <w:docVar w:name="dvnumam" w:val="0"/>
    <w:docVar w:name="dvpe" w:val="767.973"/>
    <w:docVar w:name="dvrapporteur" w:val="Spravodajca: "/>
    <w:docVar w:name="dvtitre" w:val="Uznesenie Európskeho parlamentu z xx. mája 2025 o správach Komisie o Kosove za roky 2023 a 2024(2025/2019(INI))"/>
  </w:docVars>
  <w:rsids>
    <w:rsidRoot w:val="0053167C"/>
    <w:rsid w:val="00002272"/>
    <w:rsid w:val="000448FB"/>
    <w:rsid w:val="00064002"/>
    <w:rsid w:val="000677B9"/>
    <w:rsid w:val="000831BA"/>
    <w:rsid w:val="00084B30"/>
    <w:rsid w:val="000A42CC"/>
    <w:rsid w:val="000B5358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106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167C"/>
    <w:rsid w:val="00545827"/>
    <w:rsid w:val="00560270"/>
    <w:rsid w:val="005C2568"/>
    <w:rsid w:val="005F1B17"/>
    <w:rsid w:val="006037C0"/>
    <w:rsid w:val="006209BD"/>
    <w:rsid w:val="006544E2"/>
    <w:rsid w:val="006631B6"/>
    <w:rsid w:val="00680577"/>
    <w:rsid w:val="006F74FA"/>
    <w:rsid w:val="00720F3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501"/>
    <w:rsid w:val="00817416"/>
    <w:rsid w:val="00842779"/>
    <w:rsid w:val="00865F67"/>
    <w:rsid w:val="00881A7B"/>
    <w:rsid w:val="008840E5"/>
    <w:rsid w:val="00887B3E"/>
    <w:rsid w:val="008C2AC6"/>
    <w:rsid w:val="008D2837"/>
    <w:rsid w:val="00930C23"/>
    <w:rsid w:val="0093193B"/>
    <w:rsid w:val="009509D8"/>
    <w:rsid w:val="00950B64"/>
    <w:rsid w:val="00981893"/>
    <w:rsid w:val="00A04DD8"/>
    <w:rsid w:val="00A1687D"/>
    <w:rsid w:val="00A43E52"/>
    <w:rsid w:val="00A4678D"/>
    <w:rsid w:val="00A778C7"/>
    <w:rsid w:val="00A95F0A"/>
    <w:rsid w:val="00AB441E"/>
    <w:rsid w:val="00AB6293"/>
    <w:rsid w:val="00AE0928"/>
    <w:rsid w:val="00AF3B82"/>
    <w:rsid w:val="00B12E95"/>
    <w:rsid w:val="00B22876"/>
    <w:rsid w:val="00B558F0"/>
    <w:rsid w:val="00BC0F3B"/>
    <w:rsid w:val="00BC283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2652"/>
    <w:rsid w:val="00F5134D"/>
    <w:rsid w:val="00F64209"/>
    <w:rsid w:val="00F74202"/>
    <w:rsid w:val="00F87713"/>
    <w:rsid w:val="00FB4360"/>
    <w:rsid w:val="00FD0C70"/>
    <w:rsid w:val="00FD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841F60"/>
  <w15:chartTrackingRefBased/>
  <w15:docId w15:val="{91DAD9FF-1604-4E2C-96BF-BAE548486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D2837"/>
    <w:pPr>
      <w:spacing w:after="240"/>
      <w:ind w:left="567" w:hanging="567"/>
    </w:pPr>
  </w:style>
  <w:style w:type="paragraph" w:customStyle="1" w:styleId="EPComma">
    <w:name w:val="EPComma"/>
    <w:basedOn w:val="Normal"/>
    <w:rsid w:val="008D283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D2837"/>
    <w:rPr>
      <w:sz w:val="24"/>
      <w:lang w:val="sk-SK"/>
    </w:rPr>
  </w:style>
  <w:style w:type="paragraph" w:customStyle="1" w:styleId="Normal12a24b">
    <w:name w:val="Normal12a24b"/>
    <w:basedOn w:val="Normal"/>
    <w:rsid w:val="008D2837"/>
    <w:pPr>
      <w:snapToGrid w:val="0"/>
      <w:spacing w:before="360" w:after="240"/>
    </w:pPr>
    <w:rPr>
      <w:lang w:eastAsia="en-US"/>
    </w:rPr>
  </w:style>
  <w:style w:type="character" w:customStyle="1" w:styleId="BoldItalic">
    <w:name w:val="BoldItalic"/>
    <w:uiPriority w:val="1"/>
    <w:rsid w:val="008D2837"/>
    <w:rPr>
      <w:b/>
      <w:bCs w:val="0"/>
      <w:i/>
      <w:iCs w:val="0"/>
      <w:strike w:val="0"/>
      <w:dstrike w:val="0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8D283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A04D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4DD8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22/2555/oj" TargetMode="External"/><Relationship Id="rId3" Type="http://schemas.openxmlformats.org/officeDocument/2006/relationships/hyperlink" Target="http://data.europa.eu/eli/reg/2021/1529/oj" TargetMode="External"/><Relationship Id="rId7" Type="http://schemas.openxmlformats.org/officeDocument/2006/relationships/hyperlink" Target="http://data.europa.eu/eli/dir/2024/1069/oj" TargetMode="External"/><Relationship Id="rId2" Type="http://schemas.openxmlformats.org/officeDocument/2006/relationships/hyperlink" Target="http://data.europa.eu/eli/agree_internation/2017/1388/oj" TargetMode="External"/><Relationship Id="rId1" Type="http://schemas.openxmlformats.org/officeDocument/2006/relationships/hyperlink" Target="http://data.europa.eu/eli/agree_internation/2016/342/oj" TargetMode="External"/><Relationship Id="rId6" Type="http://schemas.openxmlformats.org/officeDocument/2006/relationships/hyperlink" Target="http://data.europa.eu/eli/reg/2023/850/oj" TargetMode="External"/><Relationship Id="rId5" Type="http://schemas.openxmlformats.org/officeDocument/2006/relationships/hyperlink" Target="http://data.europa.eu/eli/dec/2023/1095/oj" TargetMode="External"/><Relationship Id="rId10" Type="http://schemas.openxmlformats.org/officeDocument/2006/relationships/hyperlink" Target="http://data.europa.eu/eli/reg/2022/1925/oj" TargetMode="External"/><Relationship Id="rId4" Type="http://schemas.openxmlformats.org/officeDocument/2006/relationships/hyperlink" Target="http://data.europa.eu/eli/reg/2024/1449/oj" TargetMode="External"/><Relationship Id="rId9" Type="http://schemas.openxmlformats.org/officeDocument/2006/relationships/hyperlink" Target="http://data.europa.eu/eli/reg/2022/20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9DBB4-621A-463F-B979-57DFC1D86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5499</Words>
  <Characters>34159</Characters>
  <Application>Microsoft Office Word</Application>
  <DocSecurity>0</DocSecurity>
  <Lines>284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PESA Karina</cp:lastModifiedBy>
  <cp:revision>3</cp:revision>
  <cp:lastPrinted>2004-11-19T15:42:00Z</cp:lastPrinted>
  <dcterms:created xsi:type="dcterms:W3CDTF">2025-05-07T18:16:00Z</dcterms:created>
  <dcterms:modified xsi:type="dcterms:W3CDTF">2025-10-13T13:29:00Z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A10-0075/2025</vt:lpwstr>
  </property>
  <property fmtid="{D5CDD505-2E9C-101B-9397-08002B2CF9AE}" pid="4" name="&lt;Type&gt;">
    <vt:lpwstr>RR</vt:lpwstr>
  </property>
</Properties>
</file>