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53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5388" w:rsidRDefault="00EA1969" w:rsidP="0010095E">
            <w:pPr>
              <w:pStyle w:val="EPName"/>
            </w:pPr>
            <w:r w:rsidRPr="00875388">
              <w:t>Evropský parlament</w:t>
            </w:r>
          </w:p>
          <w:p w:rsidR="00751A4A" w:rsidRPr="008753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5388">
              <w:t>2024</w:t>
            </w:r>
            <w:r w:rsidR="00817416" w:rsidRPr="00875388">
              <w:t>-202</w:t>
            </w:r>
            <w:r w:rsidRPr="008753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5388" w:rsidRDefault="00187494" w:rsidP="0010095E">
            <w:pPr>
              <w:pStyle w:val="EPLogo"/>
            </w:pPr>
            <w:r w:rsidRPr="00875388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5388" w:rsidRDefault="00D058B8" w:rsidP="004C5D52">
      <w:pPr>
        <w:pStyle w:val="LineTop"/>
      </w:pPr>
    </w:p>
    <w:p w:rsidR="00680577" w:rsidRPr="00875388" w:rsidRDefault="00EA1969" w:rsidP="00680577">
      <w:pPr>
        <w:pStyle w:val="EPBodyTA1"/>
      </w:pPr>
      <w:r w:rsidRPr="00875388">
        <w:t>PŘIJATÉ TEXTY</w:t>
      </w:r>
    </w:p>
    <w:p w:rsidR="00D058B8" w:rsidRPr="00875388" w:rsidRDefault="00D058B8" w:rsidP="00D058B8">
      <w:pPr>
        <w:pStyle w:val="LineBottom"/>
      </w:pPr>
    </w:p>
    <w:p w:rsidR="00EA1969" w:rsidRPr="00875388" w:rsidRDefault="00EA1969" w:rsidP="00EA1969">
      <w:pPr>
        <w:pStyle w:val="ATHeading1"/>
      </w:pPr>
      <w:bookmarkStart w:id="0" w:name="TANumber"/>
      <w:r w:rsidRPr="00875388">
        <w:t>P10_TA(2025)00</w:t>
      </w:r>
      <w:r w:rsidR="00937A28">
        <w:t>98</w:t>
      </w:r>
      <w:bookmarkEnd w:id="0"/>
    </w:p>
    <w:p w:rsidR="00EA1969" w:rsidRPr="00875388" w:rsidRDefault="00EA1969" w:rsidP="00EA1969">
      <w:pPr>
        <w:pStyle w:val="ATHeading2"/>
      </w:pPr>
      <w:bookmarkStart w:id="1" w:name="title"/>
      <w:r w:rsidRPr="00875388">
        <w:t>Devátá zpráva o hospodářské a sociální soudržnosti</w:t>
      </w:r>
      <w:bookmarkEnd w:id="1"/>
    </w:p>
    <w:p w:rsidR="00EA1969" w:rsidRPr="00875388" w:rsidRDefault="00EA1969" w:rsidP="00EA1969">
      <w:pPr>
        <w:rPr>
          <w:i/>
          <w:vanish/>
        </w:rPr>
      </w:pPr>
      <w:r w:rsidRPr="00875388">
        <w:rPr>
          <w:i/>
        </w:rPr>
        <w:fldChar w:fldCharType="begin"/>
      </w:r>
      <w:r w:rsidRPr="00875388">
        <w:rPr>
          <w:i/>
        </w:rPr>
        <w:instrText xml:space="preserve"> TC"(</w:instrText>
      </w:r>
      <w:bookmarkStart w:id="2" w:name="DocNumber"/>
      <w:r w:rsidRPr="00875388">
        <w:rPr>
          <w:i/>
        </w:rPr>
        <w:instrText>A10-0066/2025</w:instrText>
      </w:r>
      <w:bookmarkEnd w:id="2"/>
      <w:r w:rsidRPr="00875388">
        <w:rPr>
          <w:i/>
        </w:rPr>
        <w:instrText xml:space="preserve"> - Zpravodaj: Jacek Protas)"\l3 \n&gt; \* MERGEFORMAT </w:instrText>
      </w:r>
      <w:r w:rsidRPr="00875388">
        <w:rPr>
          <w:i/>
        </w:rPr>
        <w:fldChar w:fldCharType="end"/>
      </w:r>
    </w:p>
    <w:p w:rsidR="00EA1969" w:rsidRPr="00875388" w:rsidRDefault="00EA1969" w:rsidP="00EA1969">
      <w:pPr>
        <w:rPr>
          <w:vanish/>
        </w:rPr>
      </w:pPr>
      <w:bookmarkStart w:id="3" w:name="Commission"/>
      <w:r w:rsidRPr="00875388">
        <w:rPr>
          <w:vanish/>
        </w:rPr>
        <w:t>Výbor pro regionální rozvoj</w:t>
      </w:r>
      <w:bookmarkEnd w:id="3"/>
    </w:p>
    <w:p w:rsidR="00EA1969" w:rsidRPr="00875388" w:rsidRDefault="00EA1969" w:rsidP="00EA1969">
      <w:pPr>
        <w:rPr>
          <w:vanish/>
        </w:rPr>
      </w:pPr>
      <w:bookmarkStart w:id="4" w:name="PE"/>
      <w:r w:rsidRPr="00875388">
        <w:rPr>
          <w:vanish/>
        </w:rPr>
        <w:t>PE766.926</w:t>
      </w:r>
      <w:bookmarkEnd w:id="4"/>
    </w:p>
    <w:p w:rsidR="00EA1969" w:rsidRPr="00875388" w:rsidRDefault="00EA1969" w:rsidP="00EA1969">
      <w:pPr>
        <w:pStyle w:val="ATHeading3"/>
      </w:pPr>
      <w:bookmarkStart w:id="5" w:name="Sujet"/>
      <w:r w:rsidRPr="00875388">
        <w:t xml:space="preserve">Usnesení </w:t>
      </w:r>
      <w:r w:rsidR="007D0E57">
        <w:t>Evropského parlamentu ze dne 8.</w:t>
      </w:r>
      <w:r w:rsidR="00F24D2F">
        <w:t xml:space="preserve"> května</w:t>
      </w:r>
      <w:r w:rsidRPr="00875388">
        <w:t xml:space="preserve"> 2025 o deváté zprávě o hospodářské a sociální soudržnosti</w:t>
      </w:r>
      <w:bookmarkEnd w:id="5"/>
      <w:r w:rsidRPr="00875388">
        <w:t xml:space="preserve"> </w:t>
      </w:r>
      <w:bookmarkStart w:id="6" w:name="References"/>
      <w:r w:rsidRPr="00875388">
        <w:t>(2024/2107(INI))</w:t>
      </w:r>
      <w:bookmarkEnd w:id="6"/>
    </w:p>
    <w:p w:rsidR="008D18DA" w:rsidRPr="00875388" w:rsidRDefault="008D18DA" w:rsidP="008D18DA">
      <w:pPr>
        <w:pStyle w:val="EPComma"/>
      </w:pPr>
      <w:r w:rsidRPr="00875388">
        <w:rPr>
          <w:rStyle w:val="Italic"/>
        </w:rPr>
        <w:t>Evropský parlament</w:t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články 2 a 3 Smlouvy o Evropské unii,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články 4, 162, 174 až 178 a 349 Smlouvy o fungování Evropské unie (SFEU),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2021/1060 ze dne 24. června 2021 o společných ustanoveních pro Evropský fond pro regionální rozvoj, Evropský sociální fond plus, Fond soudržnosti, Fond pro spravedlivou transformaci a Evropský námořní, rybářský a akvakulturní fond a o finančních pravidlech pro tyto fondy a pro Azylový, migrační a integrační fond, Fond pro vnitřní bezpečnost a Nástroj pro finanční podporu správy hranic a vízové politiky</w:t>
      </w:r>
      <w:r w:rsidRPr="00875388">
        <w:rPr>
          <w:rStyle w:val="FootnoteReference"/>
        </w:rPr>
        <w:footnoteReference w:id="1"/>
      </w:r>
      <w:r w:rsidRPr="00875388">
        <w:t xml:space="preserve"> (nařízení o společných ustanoveních),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nařízení Evropského parlamentu a Rady (EU) 2021/1058 ze dne 24. června 2021 o Evropském fondu pro regionální rozvoj a o Fondu soudržnosti</w:t>
      </w:r>
      <w:r w:rsidRPr="00875388">
        <w:rPr>
          <w:rStyle w:val="FootnoteReference"/>
        </w:rPr>
        <w:footnoteReference w:id="2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2021/1059 ze dne 24. června 2021 o zvláštních ustanoveních týkajících se cíle Evropská územní spolupráce (</w:t>
      </w:r>
      <w:proofErr w:type="spellStart"/>
      <w:r w:rsidRPr="00875388">
        <w:t>Interreg</w:t>
      </w:r>
      <w:proofErr w:type="spellEnd"/>
      <w:r w:rsidRPr="00875388">
        <w:t>) podporovaného z Evropského fondu pro regionální rozvoj a nástrojů financování vnější činnosti</w:t>
      </w:r>
      <w:r w:rsidRPr="00875388">
        <w:rPr>
          <w:rStyle w:val="FootnoteReference"/>
        </w:rPr>
        <w:footnoteReference w:id="3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2021/1057 ze dne 24. června 2021, kterým se zřizuje Evropský sociální fond plus (ESF+) a zrušuje nařízení (EU) č. 1296/2013</w:t>
      </w:r>
      <w:r w:rsidRPr="00875388">
        <w:rPr>
          <w:rStyle w:val="FootnoteReference"/>
        </w:rPr>
        <w:footnoteReference w:id="4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lastRenderedPageBreak/>
        <w:t>–</w:t>
      </w:r>
      <w:r w:rsidRPr="00875388">
        <w:tab/>
        <w:t>s ohledem na nařízení Evropského parlamentu a Rady (EU) 2021/1056 ze dne 24. června 2021, kterým se zřizuje Fond pro spravedlivou transformaci</w:t>
      </w:r>
      <w:r w:rsidRPr="00875388">
        <w:rPr>
          <w:rStyle w:val="FootnoteReference"/>
        </w:rPr>
        <w:footnoteReference w:id="5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875388">
        <w:rPr>
          <w:rStyle w:val="FootnoteReference"/>
        </w:rPr>
        <w:footnoteReference w:id="6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 xml:space="preserve">s ohledem na nařízení Evropského parlamentu a Rady (EU) 2020/460 ze dne 30. března 2020, kterým se mění nařízení Evropského parlamentu a Rady (EU) č. 1301/2013, (EU) č. 1303/2013 a (EU) č. 508/2014, pokud jde o specifická opatření pro aktivaci investic do systémů zdravotní péče členských států a do jiných odvětví jejich ekonomik v reakci na šíření onemocnění COVID-19 (investiční iniciativa pro reakci na </w:t>
      </w:r>
      <w:proofErr w:type="spellStart"/>
      <w:r w:rsidRPr="00875388">
        <w:t>koronavirus</w:t>
      </w:r>
      <w:proofErr w:type="spellEnd"/>
      <w:r w:rsidRPr="00875388">
        <w:t>)</w:t>
      </w:r>
      <w:r w:rsidRPr="00875388">
        <w:rPr>
          <w:rStyle w:val="FootnoteReference"/>
        </w:rPr>
        <w:footnoteReference w:id="7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nařízení Evropského parlamentu a Rady (EU) 2020/558 ze dne 23. dubna 2020, kterým se mění nařízení (EU) č. 1301/2013 a (EU) č. 1303/2013, pokud jde o specifická opatření k zajištění mimořádné flexibility pro využití evropských strukturálních a investičních fondů v reakci na rozšíření onemocnění COVID-19</w:t>
      </w:r>
      <w:r w:rsidRPr="00875388">
        <w:rPr>
          <w:rStyle w:val="FootnoteReference"/>
        </w:rPr>
        <w:footnoteReference w:id="8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2020/461 ze dne 30. března 2020, kterým se mění nařízení Rady (ES) č. 2012/2002 za účelem poskytnutí finanční pomoci členským státům a zemím, se kterými se jedná o jejich přistoupení k Unii, jež jsou vážně postiženy závažným ohrožením veřejného zdraví</w:t>
      </w:r>
      <w:r w:rsidRPr="00875388">
        <w:rPr>
          <w:rStyle w:val="FootnoteReference"/>
        </w:rPr>
        <w:footnoteReference w:id="9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nařízení Evropského parlamentu a Rady (EU) 2020/2221 ze dne 23. prosince 2020, kterým se mění nařízení (EU) č. 1303/2013, pokud jde o dodatečné zdroje a prováděcí opatření na pomoc při podpoře zotavení z krize v souvislosti s pandemií COVID-19 a jejími sociálními dopady a při přípravě zeleného, digitálního a odolného oživení hospodářství (REACT-EU)</w:t>
      </w:r>
      <w:r w:rsidRPr="00875388">
        <w:rPr>
          <w:rStyle w:val="FootnoteReference"/>
        </w:rPr>
        <w:footnoteReference w:id="10"/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2022/562 ze dne 6. dubna 2022, kterým se mění nařízení (EU) č. 1303/2013 a (EU) č. 223/2014, pokud jde o opatření v oblasti soudržnosti pro uprchlíky v Evropě (CARE)</w:t>
      </w:r>
      <w:r w:rsidRPr="00875388">
        <w:rPr>
          <w:rStyle w:val="FootnoteReference"/>
        </w:rPr>
        <w:footnoteReference w:id="11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nařízení Evropského parlamentu a Rady (EU) 2022/2039 ze dne 19. října 2022, kterým se mění nařízení (EU) č. 1303/2013 a (EU) 2021/1060, pokud jde o dodatečnou flexibilitu pro řešení důsledků vojenské agrese Ruské federace FAST (flexibilní pomoc územím) – CARE</w:t>
      </w:r>
      <w:r w:rsidRPr="00875388">
        <w:rPr>
          <w:rStyle w:val="FootnoteReference"/>
        </w:rPr>
        <w:footnoteReference w:id="12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lastRenderedPageBreak/>
        <w:t>–</w:t>
      </w:r>
      <w:r w:rsidRPr="00875388">
        <w:tab/>
        <w:t>s ohledem na program URBACT pro udržitelnou městskou spolupráci, který byl zahájen v roce 2002,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–</w:t>
      </w:r>
      <w:r w:rsidRPr="00875388">
        <w:tab/>
        <w:t>s ohledem na městkou agendu EU ze dne 30. května 2016,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Územní agendu 2030 ze dne 1. prosince 2020,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9. zprávu o soudržnosti, kterou Komise zveřejnila dne 27. března 2024</w:t>
      </w:r>
      <w:r w:rsidRPr="00875388">
        <w:rPr>
          <w:rStyle w:val="FootnoteReference"/>
        </w:rPr>
        <w:footnoteReference w:id="13"/>
      </w:r>
      <w:r w:rsidRPr="00875388">
        <w:t>, a na sdělení Komise o deváté zprávě o soudržnosti (</w:t>
      </w:r>
      <w:proofErr w:type="gramStart"/>
      <w:r w:rsidRPr="00875388">
        <w:t>COM(2024</w:t>
      </w:r>
      <w:proofErr w:type="gramEnd"/>
      <w:r w:rsidRPr="00875388">
        <w:t>)0149) ze dne 27. března 2024,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studii nazvanou „Budoucnost soudržnosti EU: scénáře a jejich dopady na nerovnost mezi regiony“, kterou publikovala Evropská parlamentní výzkumná služba v prosinci 2024,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zprávu Komise z února 2024 nazvanou „</w:t>
      </w:r>
      <w:proofErr w:type="spellStart"/>
      <w:r w:rsidRPr="00875388">
        <w:t>Forging</w:t>
      </w:r>
      <w:proofErr w:type="spellEnd"/>
      <w:r w:rsidRPr="00875388">
        <w:t xml:space="preserve"> a </w:t>
      </w:r>
      <w:proofErr w:type="spellStart"/>
      <w:r w:rsidRPr="00875388">
        <w:t>sustainable</w:t>
      </w:r>
      <w:proofErr w:type="spellEnd"/>
      <w:r w:rsidRPr="00875388">
        <w:t xml:space="preserve"> </w:t>
      </w:r>
      <w:proofErr w:type="spellStart"/>
      <w:r w:rsidRPr="00875388">
        <w:t>future</w:t>
      </w:r>
      <w:proofErr w:type="spellEnd"/>
      <w:r w:rsidRPr="00875388">
        <w:t xml:space="preserve"> </w:t>
      </w:r>
      <w:proofErr w:type="spellStart"/>
      <w:r w:rsidRPr="00875388">
        <w:t>together</w:t>
      </w:r>
      <w:proofErr w:type="spellEnd"/>
      <w:r w:rsidRPr="00875388">
        <w:t xml:space="preserve"> – </w:t>
      </w:r>
      <w:proofErr w:type="spellStart"/>
      <w:r w:rsidRPr="00875388">
        <w:t>Cohesion</w:t>
      </w:r>
      <w:proofErr w:type="spellEnd"/>
      <w:r w:rsidRPr="00875388">
        <w:t xml:space="preserve"> </w:t>
      </w:r>
      <w:proofErr w:type="spellStart"/>
      <w:r w:rsidRPr="00875388">
        <w:t>for</w:t>
      </w:r>
      <w:proofErr w:type="spellEnd"/>
      <w:r w:rsidRPr="00875388">
        <w:t xml:space="preserve"> a </w:t>
      </w:r>
      <w:proofErr w:type="spellStart"/>
      <w:r w:rsidRPr="00875388">
        <w:t>competitive</w:t>
      </w:r>
      <w:proofErr w:type="spellEnd"/>
      <w:r w:rsidRPr="00875388">
        <w:t xml:space="preserve"> and </w:t>
      </w:r>
      <w:proofErr w:type="spellStart"/>
      <w:r w:rsidRPr="00875388">
        <w:t>inclusive</w:t>
      </w:r>
      <w:proofErr w:type="spellEnd"/>
      <w:r w:rsidRPr="00875388">
        <w:t xml:space="preserve"> </w:t>
      </w:r>
      <w:proofErr w:type="spellStart"/>
      <w:r w:rsidRPr="00875388">
        <w:t>Europe</w:t>
      </w:r>
      <w:proofErr w:type="spellEnd"/>
      <w:r w:rsidRPr="00875388">
        <w:t>“ (Společné budování udržitelné budoucnosti: soudržnost pro konkurenceschopnou a inkluzivní Evropu)</w:t>
      </w:r>
      <w:r w:rsidRPr="00875388">
        <w:rPr>
          <w:rStyle w:val="FootnoteReference"/>
        </w:rPr>
        <w:footnoteReference w:id="14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stanovisko Evropského hospodářského a sociálního výboru ze dne 31. května 2024 k deváté zprávě o soudržnosti</w:t>
      </w:r>
      <w:r w:rsidRPr="00875388">
        <w:rPr>
          <w:rStyle w:val="FootnoteReference"/>
        </w:rPr>
        <w:footnoteReference w:id="15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stanovisko Výboru regionů ze dne 21. listopadu 2024 nazvané „Obnovená politika soudržnosti v období po roce 2027, která nikoho neopomíjí – reakce VR na 9. zprávu o soudržnosti a zprávu skupiny odborníků na vysoké úrovni o budoucnosti politiky soudržnosti“,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zprávu nazvanou „Budoucnost evropské konkurenceschopnosti – strategie konkurenceschopnosti pro Evropu“, kterou zveřejnila Komise dne 9. září 2024,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 ohledem na dohodu přijatou dne 12. prosince 2015 na 21. konferenci smluvních stran (COP21) Rámcové úmluvy OSN o změně klimatu v Paříži (Pařížská dohoda),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studii nazvanou „Zjednodušení fondů soudržnosti EU: řešení administrativní zátěže a nadbytečnosti“, kterou zveřejnilo generální ředitelství pro vnitřní politiky Unie v listopadu 2024</w:t>
      </w:r>
      <w:r w:rsidRPr="00875388">
        <w:rPr>
          <w:rStyle w:val="FootnoteReference"/>
        </w:rPr>
        <w:footnoteReference w:id="16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 xml:space="preserve">s ohledem na nařízení Evropského parlamentu a Rady ze dne </w:t>
      </w:r>
      <w:r w:rsidR="007D0E57">
        <w:t>7. května 2025</w:t>
      </w:r>
      <w:r w:rsidRPr="00875388">
        <w:t xml:space="preserve"> o Nástroji pro rozvoj a růst příhraničních regionů v EU (</w:t>
      </w:r>
      <w:proofErr w:type="spellStart"/>
      <w:r w:rsidRPr="00875388">
        <w:t>BRIDGEforEU</w:t>
      </w:r>
      <w:proofErr w:type="spellEnd"/>
      <w:r w:rsidRPr="00875388">
        <w:t>)</w:t>
      </w:r>
      <w:r w:rsidR="007D0E57">
        <w:rPr>
          <w:rStyle w:val="FootnoteReference"/>
        </w:rPr>
        <w:footnoteReference w:id="17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lastRenderedPageBreak/>
        <w:t>–</w:t>
      </w:r>
      <w:r w:rsidRPr="00875388">
        <w:tab/>
        <w:t>s ohledem na sdělení Komise ze dne 3. května 2022 nazvané „Lidé na prvním místě, zajištění udržitelného růstu podporujícího začlenění, využívání potenciálu nejvzdálenějších regionů EU“ (</w:t>
      </w:r>
      <w:proofErr w:type="gramStart"/>
      <w:r w:rsidRPr="00875388">
        <w:t>COM(2022</w:t>
      </w:r>
      <w:proofErr w:type="gramEnd"/>
      <w:r w:rsidRPr="00875388">
        <w:t>)0198),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stanovisko ve formě dopisu od Výboru pro zemědělství a rozvoj venkova</w:t>
      </w:r>
      <w:r w:rsidR="007D0E57">
        <w:rPr>
          <w:rStyle w:val="FootnoteReference"/>
        </w:rPr>
        <w:footnoteReference w:id="18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své usnesení ze dne 25. března 2021 o politice soudržnosti a regionálních strategiích v oblasti životního prostředí v boji proti změně klimatu</w:t>
      </w:r>
      <w:r w:rsidRPr="00875388">
        <w:rPr>
          <w:rStyle w:val="FootnoteReference"/>
        </w:rPr>
        <w:footnoteReference w:id="19"/>
      </w:r>
      <w:r w:rsidRPr="00875388">
        <w:t>,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–</w:t>
      </w:r>
      <w:r w:rsidRPr="00875388">
        <w:tab/>
        <w:t>s ohledem na své usnesení ze dne 20. května 2021 o zvrácení demografických trendů v regionech EU s využitím nástrojů politiky soudržnosti</w:t>
      </w:r>
      <w:r w:rsidRPr="00875388">
        <w:rPr>
          <w:rStyle w:val="FootnoteReference"/>
        </w:rPr>
        <w:footnoteReference w:id="20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své usnesení ze dne 14. září 2021 o cestě k posílení partnerství s nejvzdálenějšími regiony EU</w:t>
      </w:r>
      <w:r w:rsidRPr="00875388">
        <w:rPr>
          <w:rStyle w:val="FootnoteReference"/>
        </w:rPr>
        <w:footnoteReference w:id="21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své usnesení ze dne 15. září 2022 o hospodářské, sociální a územní soudržnosti v EU: osmá zpráva o soudržnosti</w:t>
      </w:r>
      <w:r w:rsidRPr="00875388">
        <w:rPr>
          <w:rStyle w:val="FootnoteReference"/>
        </w:rPr>
        <w:footnoteReference w:id="22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 xml:space="preserve">s ohledem na své usnesení ze dne </w:t>
      </w:r>
      <w:r w:rsidR="007D0E57" w:rsidRPr="00875388">
        <w:t>2</w:t>
      </w:r>
      <w:r w:rsidR="007D0E57">
        <w:t>1</w:t>
      </w:r>
      <w:r w:rsidRPr="00875388">
        <w:t xml:space="preserve">. </w:t>
      </w:r>
      <w:r w:rsidR="007D0E57">
        <w:t>listopadu</w:t>
      </w:r>
      <w:r w:rsidRPr="00875388">
        <w:t xml:space="preserve"> 2023 o možnostech zvýšení spolehlivosti auditů a kontrol prováděných vnitrostátními orgány v rámci sdíleného řízení</w:t>
      </w:r>
      <w:r w:rsidRPr="00875388">
        <w:rPr>
          <w:rStyle w:val="FootnoteReference"/>
        </w:rPr>
        <w:footnoteReference w:id="23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své usnesení ze dne 23. listopadu 2023 o využívání talentů v evropských regionech</w:t>
      </w:r>
      <w:r w:rsidRPr="00875388">
        <w:rPr>
          <w:rStyle w:val="FootnoteReference"/>
        </w:rPr>
        <w:footnoteReference w:id="24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své usnesení ze dne 14. března 2024 nazvané „Politika soudržnosti 2014–2020 – provádění a výsledky v členských státech“</w:t>
      </w:r>
      <w:r w:rsidRPr="00875388">
        <w:rPr>
          <w:rStyle w:val="FootnoteReference"/>
        </w:rPr>
        <w:footnoteReference w:id="25"/>
      </w:r>
      <w:r w:rsidRPr="00875388">
        <w:t>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článek 55 jednacího řádu,</w:t>
      </w:r>
    </w:p>
    <w:p w:rsidR="008D18DA" w:rsidRPr="00875388" w:rsidRDefault="008D18DA" w:rsidP="008D18DA">
      <w:pPr>
        <w:pStyle w:val="NormalHanging12a"/>
      </w:pPr>
      <w:r w:rsidRPr="00875388">
        <w:t>–</w:t>
      </w:r>
      <w:r w:rsidRPr="00875388">
        <w:tab/>
        <w:t>s ohledem na zprávu Výboru pro regionální rozvoj (A10-0066/2025),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A.</w:t>
      </w:r>
      <w:r w:rsidRPr="00875388">
        <w:tab/>
        <w:t>vzhledem k tomu, že politika soudržnosti je jádrem politiky EU a hlavním nástrojem EU pro investice do udržitelného hospodářského, sociálního a územního rozvoje v celé EU v rámci jejích víceletých finančních rámců na období 2014–2020 a 2021–2027 a přispívá k cílům Zelené dohody pro Evropu; vzhledem k tomu, že politika soudržnosti, jak ji stanoví Smlouvy, má zásadní význam pro dobře fungující a prosperující vnitřní trh tím, že podporuje rozvoj všech regionů v EU, zejména pak těch méně rozvinutých;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B.</w:t>
      </w:r>
      <w:r w:rsidRPr="00875388">
        <w:tab/>
        <w:t xml:space="preserve">vzhledem k tomu, že politika soudržnosti přispěla k hospodářské, sociální a územní konvergenci v EU, zejména zvýšením hrubých domácích produktů například členských </w:t>
      </w:r>
      <w:r w:rsidRPr="00875388">
        <w:lastRenderedPageBreak/>
        <w:t>států střední a východní Evropy, jejichž procentní podíl průměru EU vzrostl ze 43 % v roce 1995 na přibližně 80 % v roce 2023; vzhledem k tomu, že devátá zpráva o soudržnosti zdůrazňuje, že politika soudržnosti podpořila do konce roku 2022 více než 4,4 milionu podniků, čímž v těchto společnostech vytvořila více než 370 000 pracovních míst; vzhledem k tomu, že rovněž zdůrazňuje, že politika soudržnosti přináší značnou návratnost investic a že každé euro investované do programů na období 2014–2020 a 2021–2027 vytvoří v Unii do roku 2030 dodatečný HDP ve výši 1,3 EUR; vzhledem k tomu, že politika soudržnosti představovala v průměru přibližně 13 % celkových veřejných investic v EU</w:t>
      </w:r>
      <w:r w:rsidRPr="00875388">
        <w:rPr>
          <w:vertAlign w:val="superscript"/>
        </w:rPr>
        <w:footnoteReference w:id="26"/>
      </w:r>
      <w:r w:rsidRPr="00875388">
        <w:t>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C.</w:t>
      </w:r>
      <w:r w:rsidRPr="00875388">
        <w:tab/>
        <w:t>vzhledem ke zprávě Komise nazvané “„Dlouhodobá vize pro venkovské oblasti EU: hlavní úspěchy a další vývoj“, která byla předložena společně s devátou zprávou o soudržnosti, zdůrazňuje, že 24,6 miliardy EUR, tj. 8 % pilíře rozvoje venkova v rámci společné zemědělské politiky, je určeno na investice do venkovských oblastí nad rámec investic do zemědělství, což vytváří podmínky pro diskusi o budoucnosti venkovských oblastí;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D.</w:t>
      </w:r>
      <w:r w:rsidRPr="00875388">
        <w:tab/>
        <w:t>vzhledem k tomu, že v letech 2021 až 2027 bude politika soudržnosti investovat více než 140 miliard EUR do ekologické a digitální transformace</w:t>
      </w:r>
      <w:r w:rsidRPr="00875388">
        <w:rPr>
          <w:rStyle w:val="FootnoteReference"/>
        </w:rPr>
        <w:footnoteReference w:id="27"/>
      </w:r>
      <w:r w:rsidRPr="00875388">
        <w:t xml:space="preserve"> s cílem pomoci zlepšit sítě a infrastrukturu, podpořit ochranu přírody, zlepšit zelené a digitální dovednosti a podpořit tvorbu pracovních míst a služeb poskytovaných veřejnosti;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E.</w:t>
      </w:r>
      <w:r w:rsidRPr="00875388">
        <w:tab/>
        <w:t>vzhledem k tomu, že ačkoli má politika soudržnosti obecně uznávaný a prokázaný pozitivní dopad na sociální, hospodářskou a územní konvergenci, přetrvávají značné problémy, které se vyznačují zejména rozdíly v rozvoji na nižší než celostátní úrovni, v rámci regionů a v regionech, které se ocitly v rozvojové pasti, a dopadem změny klimatu, pokud jde o demografii, digitální a ekologickou transformaci a konektivitu, ale také pokud jde o udržitelný hospodářský rozvoj, zejména v méně rozvinutých regionech a venkovských a odlehlých oblastech;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F.</w:t>
      </w:r>
      <w:r w:rsidRPr="00875388">
        <w:tab/>
        <w:t xml:space="preserve">vzhledem k tomu, že politika soudržnosti a odvětvové programy EU opakovaně a účinně pomohly regionům účinně reagovat na mimořádné události a asymetrické šoky, jako byla krize způsobená onemocněním COVID-19, </w:t>
      </w:r>
      <w:proofErr w:type="spellStart"/>
      <w:r w:rsidRPr="00875388">
        <w:t>brexit</w:t>
      </w:r>
      <w:proofErr w:type="spellEnd"/>
      <w:r w:rsidRPr="00875388">
        <w:t>, energetická krize a současná uprchlická krize způsobená ruskou invazí na Ukrajinu, jakož i přírodní katastrofy, přestože se jedná o dlouhodobou strukturální politiku a nikoli o nástroj krizového řízení nebo mechanismus financování, který lze použít k reakci na mimořádné události; vzhledem k tomu, že tyto krize zpozdily provádění Evropských strukturálních a investičních fondů a že značný počet projektů financovaných z prostředků Nástroje pro oživení a odolnost byl převzat převážně z projektů, které byly původně určeny na investice do politiky soudržnosti;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G.</w:t>
      </w:r>
      <w:r w:rsidRPr="00875388">
        <w:tab/>
        <w:t xml:space="preserve">vzhledem k tomu, že navzdory opatřením, která již byla přijata pro období 2014–2020 a 2021–2027, by měl být regulační rámec pro využívání a správu nástrojů a fondů politiky soudržnosti dále zjednodušen a měly by být lépe využívány a vyvinuty nové interoperabilní digitální nástroje, včetně zřízení jednotných digitalizovaných středisek služeb, aby se snížila administrativní zátěž nejen pro dotčené orgány, ale i pro konečné příjemce, s cílem zefektivnit postupy, posílit důvěru zúčastněných stran, snížit administrativní zátěž, zvýšit flexibilitu při správě fondů a urychlit platby; vzhledem </w:t>
      </w:r>
      <w:r w:rsidRPr="00875388">
        <w:lastRenderedPageBreak/>
        <w:t>k tomu, že je nezbytné rozšířit prostor pro pružnější využívání finančních prostředků, včetně možnosti financovat vývoj výrobků dvojího užití; vzhledem k tomu, že je nanejvýš důležité formulovat budoucí politiku soudržnosti tak, aby byl během období financování zachován strategický impuls, který by však mohl být v polovině období financování znovu posouzen;</w:t>
      </w:r>
    </w:p>
    <w:p w:rsidR="008D18DA" w:rsidRPr="00875388" w:rsidRDefault="008D18DA" w:rsidP="008D18DA">
      <w:pPr>
        <w:pStyle w:val="NormalHanging12a"/>
      </w:pPr>
      <w:r w:rsidRPr="00875388">
        <w:t>H.</w:t>
      </w:r>
      <w:r w:rsidRPr="00875388">
        <w:tab/>
        <w:t xml:space="preserve">vzhledem k tomu, že nízká míra čerpání prostředků na politiku soudržnosti na období 2021–2027, která v současné době činí pouze 6 %, není způsobena malými potřebami členských států nebo regionů, nýbrž prodlevami při schvalování operačních programů, přechodným obdobím mezi finančními rámci, upřednostněním nástroje </w:t>
      </w:r>
      <w:proofErr w:type="spellStart"/>
      <w:r w:rsidRPr="00875388">
        <w:t>NextGenerationEU</w:t>
      </w:r>
      <w:proofErr w:type="spellEnd"/>
      <w:r w:rsidRPr="00875388">
        <w:t xml:space="preserve"> vnitrostátními řídicími orgány, omezenou správní kapacitou a složitými byrokratickými postupy; vzhledem k tomu, že členské státy a regiony nemusí spěchat s vyčerpáním všech dostupných finančních prostředků, neboť předpokládají možné prodloužení podle pravidel N+2 nebo N+3;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I.</w:t>
      </w:r>
      <w:r w:rsidRPr="00875388">
        <w:tab/>
        <w:t>vzhledem k tomu, že radikální změny regulačního rámce v oblasti soudržnosti z jednoho programového období na druhé přispívají k vytváření nejistoty mezi odpovědnými orgány a příjemci, „</w:t>
      </w:r>
      <w:proofErr w:type="spellStart"/>
      <w:r w:rsidRPr="00875388">
        <w:t>gold-platingu</w:t>
      </w:r>
      <w:proofErr w:type="spellEnd"/>
      <w:r w:rsidRPr="00875388">
        <w:t>“ právních předpisů, zvyšující se míře chyb (a souvisejícímu poškození dobré pověsti a finančnímu znevýhodnění), zpožděním při provádění a v konečném důsledku k nespokojenosti příjemců a široké veřejnosti;</w:t>
      </w:r>
    </w:p>
    <w:p w:rsidR="008D18DA" w:rsidRPr="00875388" w:rsidRDefault="008D18DA" w:rsidP="008D18DA">
      <w:pPr>
        <w:pStyle w:val="NormalHanging12a"/>
      </w:pPr>
      <w:r w:rsidRPr="00875388">
        <w:t>J.</w:t>
      </w:r>
      <w:r w:rsidRPr="00875388">
        <w:tab/>
        <w:t>vzhledem k tomu, že fondy soudržnosti, fondy pro mimořádné události a odvětvové politiky si někdy konkurují;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K.</w:t>
      </w:r>
      <w:r w:rsidRPr="00875388">
        <w:tab/>
        <w:t>vzhledem k tomu, že demografické změny se v jednotlivých regionech EU značně liší, přičemž počet obyvatel některých členských států bude v nadcházejících letech pravděpodobně klesat a počet obyvatel jiných členských států se zvýší; vzhledem k tomu, že k demografickým změnám dochází i mezi regiony, včetně vylidňování nejvzdálenějších regionů, ale obecně se na ně pohlíží jako na odchod z venkovských do městských oblastí v rámci členských států, kdy ženy opouštějí venkovské oblasti ve větším počtu než muži, ale také jako na přesun do metropolitních oblastí, přičemž vesnice v okolí velkých měst se potýkají s obtížemi při investování do základní infrastruktury; vzhledem k tomu, že je nutné zlepšit poskytování základních služeb, jako je zdravotní péče, vzdělávání a doprava ve všech regionech, se zvláštním ohledem na venkovské a odlehlé oblasti; vzhledem k tomu, že je třeba více se zaměřit na oblasti trpící vylidňováním a nedostatečnými službami, což vyžaduje cílená opatření v podobě podnikatelských projektů, vysoce kvalitního zemědělství a udržitelného cestovního ruchu zaměřená na udržení mladých lidí;</w:t>
      </w:r>
    </w:p>
    <w:p w:rsidR="008D18DA" w:rsidRPr="00875388" w:rsidRDefault="008D18DA" w:rsidP="008D18DA">
      <w:pPr>
        <w:pStyle w:val="NormalHanging12a"/>
      </w:pPr>
      <w:r w:rsidRPr="00875388">
        <w:t>L.</w:t>
      </w:r>
      <w:r w:rsidRPr="00875388">
        <w:tab/>
        <w:t>vzhledem k tomu, že zohlednění stárnoucí populace má zásadní význam pro zajištění spravedlnosti mezi generacemi, a tím i pro posílení účasti zejména mladých lidí;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M.</w:t>
      </w:r>
      <w:r w:rsidRPr="00875388">
        <w:tab/>
        <w:t>vzhledem k tomu, že městské oblasti jsou zatíženy novými výzvami vyplývajícími z přílivu obyvatelstva do měst, jakož i rostoucími cenami bydlení a energie, což vyžaduje nezbytnost rozvoje bydlení, nová opatření na ochranu životního prostředí a úsporu energie, jakými je urychlení rozsáhlých renovací s cílem bojovat proti energetické chudobě a podporovat energetickou účinnost; vzhledem k tomu, že politika soudržnosti EU by měla přispět k cenově dostupnému a přístupnému trhu s bydlením pro všechny občany EU, zejména pro domácnosti s nízkými a středními příjmy, obyvatele měst, rodiny s dětmi, ženy a mladé lidi;</w:t>
      </w:r>
    </w:p>
    <w:p w:rsidR="008D18DA" w:rsidRPr="00875388" w:rsidRDefault="008D18DA" w:rsidP="008D18DA">
      <w:pPr>
        <w:pStyle w:val="NormalHanging12a"/>
      </w:pPr>
      <w:r w:rsidRPr="00875388">
        <w:lastRenderedPageBreak/>
        <w:t>N.</w:t>
      </w:r>
      <w:r w:rsidRPr="00875388">
        <w:tab/>
        <w:t>vzhledem k tomu, že účinné provádění městské agendy EU může zvýšit schopnost měst přispívat k cílům soudržnosti, a tím zlepšit kvalitu života občanů a zaručit účinnější využívání finančních zdrojů EU;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O.</w:t>
      </w:r>
      <w:r w:rsidRPr="00875388">
        <w:tab/>
        <w:t>vzhledem k tomu, že zvláštní pozornost je třeba věnovat venkovským oblastem i oblastem postiženým průmyslovou transformací a regionům EU, které jsou závažně a trvale znevýhodněny přírodními nebo demografickými podmínkami, odlivem mozků, riziky souvisejícími s klimatem a nedostatkem vody, jako jsou nejvzdálenější regiony, a zejména ostrovy nacházející se na jejich periferii nebo na periferii EU, řídce osídlené regiony, ostrovy, hornaté oblasti a přeshraniční regiony, stejně jako pobřežní a námořní regiony;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P.</w:t>
      </w:r>
      <w:r w:rsidRPr="00875388">
        <w:tab/>
        <w:t>vzhledem k tomu, že ruská útočná válka proti Ukrajině vytvořila novou geopolitickou realitu, která má silný dopad na zaměstnanost, hospodářský rozvoj a příležitosti a na celkový blahobyt obyvatelstva žijícího v regionech sousedících s Ukrajinou, Běloruskem a Ruskem, jakož i na kandidátské země, jako je Ukrajina a Moldavsko, které proto vyžadují zvláštní pozornost a podporu, a to i prostřednictvím odpovídající úpravy politiky soudržnosti; vzhledem k tomu, že tato válka vedla k bezprecedentnímu počtu osob hledajících útočiště v EU, což představuje další zátěž pro místní komunity a služby; vzhledem k tomu, že kolektivní bezpečnost EU je ve velké míře závislá na životaschopnosti a blahobytu regionů na vnějších hranicích EU;</w:t>
      </w:r>
    </w:p>
    <w:p w:rsidR="008D18DA" w:rsidRPr="00875388" w:rsidRDefault="008D18DA" w:rsidP="008D18DA">
      <w:pPr>
        <w:pStyle w:val="NormalHanging12a"/>
      </w:pPr>
      <w:r w:rsidRPr="00875388">
        <w:t>Q.</w:t>
      </w:r>
      <w:r w:rsidRPr="00875388">
        <w:tab/>
        <w:t>vzhledem k tomu, že jedinečná situace Severního Irska vyžaduje individuální přístup, který bude vycházet z přínosů programů PEACE a bude zkoumat, jak může širší politika soudržnosti přispět k procesu usmíření;</w:t>
      </w:r>
    </w:p>
    <w:p w:rsidR="008D18DA" w:rsidRPr="00875388" w:rsidRDefault="008D18DA" w:rsidP="008D18DA">
      <w:pPr>
        <w:pStyle w:val="NormalHanging12a"/>
      </w:pPr>
      <w:r w:rsidRPr="00875388">
        <w:t>R.</w:t>
      </w:r>
      <w:r w:rsidRPr="00875388">
        <w:tab/>
        <w:t>vzhledem k tomu, že 79 % občanů, kteří vědí o projektech financovaných EU v rámci politiky soudržnosti, se domnívá, že projekty financované EU mají pozitivní dopad na regiony</w:t>
      </w:r>
      <w:r w:rsidRPr="00875388">
        <w:rPr>
          <w:vertAlign w:val="superscript"/>
        </w:rPr>
        <w:footnoteReference w:id="28"/>
      </w:r>
      <w:r w:rsidRPr="00875388">
        <w:t xml:space="preserve">, což přispívá k utváření </w:t>
      </w:r>
      <w:proofErr w:type="spellStart"/>
      <w:r w:rsidRPr="00875388">
        <w:t>prounijního</w:t>
      </w:r>
      <w:proofErr w:type="spellEnd"/>
      <w:r w:rsidRPr="00875388">
        <w:t xml:space="preserve"> postoje;</w:t>
      </w:r>
    </w:p>
    <w:p w:rsidR="008D18DA" w:rsidRPr="00875388" w:rsidRDefault="008D18DA" w:rsidP="008D18DA">
      <w:pPr>
        <w:pStyle w:val="NormalHanging12a"/>
      </w:pPr>
      <w:r w:rsidRPr="00875388">
        <w:t>S.</w:t>
      </w:r>
      <w:r w:rsidRPr="00875388">
        <w:tab/>
        <w:t>vzhledem k tomu, že celková informovanost o projektech financovaných EU v rámci politiky soudržnosti se od roku 2021</w:t>
      </w:r>
      <w:r w:rsidRPr="00875388">
        <w:rPr>
          <w:vertAlign w:val="superscript"/>
        </w:rPr>
        <w:footnoteReference w:id="29"/>
      </w:r>
      <w:r w:rsidRPr="00875388">
        <w:t xml:space="preserve"> snížila o 2 procentní body, což znamená, že je třeba usilovat o větší decentralizaci, aby se politika soudržnosti ještě více přiblížila občanům;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1.</w:t>
      </w:r>
      <w:r w:rsidRPr="00875388">
        <w:tab/>
        <w:t xml:space="preserve">trvá na tom, že regionální a místní zaměření, místně podmíněný přístup a strategické plánování politiky soudržnosti, jakož i její decentralizovaný model plánování a provádění založený na zásadě partnerství s posíleným prováděním evropského kodexu chování, zapojením hospodářských subjektů a subjektů občanské společnosti a víceúrovňovou správou jsou klíčovými a pozitivními prvky této politiky a určují její účinnost; je pevně přesvědčen, že tento model politiky soudržnosti by měl pokračovat ve všech regionech a měl by být pokud možno prohlouben jako hlavní dlouhodobý investiční nástroj EU pro snižování rozdílů, zajištění hospodářské, sociální a územní soudržnosti a podporu regionálního a místního udržitelného růstu v souladu se strategiemi EU, pro ochranu životního prostředí a jako klíčový nástroj přispívající ke </w:t>
      </w:r>
      <w:r w:rsidRPr="00875388">
        <w:lastRenderedPageBreak/>
        <w:t>konkurenceschopnosti EU a spravedlivé transformaci, což pomůže vyrovnat se s novými výzvami;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2.</w:t>
      </w:r>
      <w:r w:rsidRPr="00875388">
        <w:tab/>
        <w:t>vyzývá k jasnému vytyčení hranice mezi politikou soudržnosti a dalšími nástroji s cílem zabránit překrývání a konkurenci mezi nástroji EU, zajistit doplňkovost různých opatření a zvýšit viditelnost a srozumitelnost podpory EU; v této souvislosti konstatuje, že prostředky z Nástroje pro oživení a odolnost jsou vyčleněny na hospodářský rozvoj a růst, aniž by se konkrétně zaměřovaly na hospodářskou, sociální a územní soudržnost mezi regiony; je znepokojen plány Komise uplatňovat na evropské strukturální a investiční fondy (fondy ESI) přístup založený na výkonnosti; uznává, že mechanismy založené na výkonnosti mohou přispět k tomu, aby byla politika účinnější a více orientovaná na výsledky, varuje však před univerzálním zavedením tohoto modelu a vyjadřuje vážné pochybnosti o plánech propojit vyplácení prostředků z fondů ESI s plněním centrálně definovaných reformních cílů, zejména pokud reformní cíle nespadají do působnosti regionální úrovně;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3.</w:t>
      </w:r>
      <w:r w:rsidRPr="00875388">
        <w:tab/>
        <w:t>staví se proti jakékoli formě centralizované reformy programů financování EU shora dolů, včetně programů v rámci sdíleného řízení, jako je politika soudržnosti a společná zemědělská politika, a vyzývá k větší decentralizaci rozhodování na místní a regionální úrovni; vyzývá k většímu zapojení místních a regionálních orgánů a hospodářských subjektů a subjektů občanské společnosti do všech fází programů sdíleného řízení EU, od přípravy a programování až po provádění, realizaci a hodnocení, přičemž je třeba mít na paměti, že hospodářského a sociálního rozvoje regionů a územní soudržnosti mezi nimi lze dosáhnout pouze na základě dobré spolupráce mezi všemi aktéry;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4.</w:t>
      </w:r>
      <w:r w:rsidRPr="00875388">
        <w:tab/>
        <w:t>zdůrazňuje, že Evropský zemědělský fond pro rozvoj venkova (EZFRV) hraje spolu s fondy politiky soudržnosti klíčovou úlohu při podpoře venkovských oblastí; zdůrazňuje, že koncepce EZFRV musí být v souladu s pravidly fondů politiky soudržnosti s cílem posílit součinnost a usnadnit projekty rozvoje venkova financované z více zdrojů;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5.</w:t>
      </w:r>
      <w:r w:rsidRPr="00875388">
        <w:tab/>
        <w:t>je přesvědčen, že politika soudržnosti může i nadále plnit svou úlohu pouze tehdy, bude-li mít k dispozici dostatečné finanční prostředky; zdůrazňuje, že to znamená, že na budoucí politiku soudržnosti bude nutné vyčlenit ve finančním období po roce 2027 značné finanční prostředky; zdůrazňuje, že je nezbytné poskytnout ambiciózní a snadno dostupné finanční prostředky, aby politika soudržnosti mohla i nadále plnit svou úlohu hlavní investiční politiky EU a zároveň si zachovat flexibilitu pro řešení případných nových výzev, včetně možnosti financovat vývoj výrobků dvojího užití a umožnit místním orgánům, zúčastněným stranám a příjemcům účinně podporovat místní rozvoj; je pevně přesvědčen, že schopnost pružně reagovat na nepředvídatelné výzvy by neměla být na úkor jasného dlouhodobého strategického zaměření a cílů politiky soudržnosti;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6.</w:t>
      </w:r>
      <w:r w:rsidRPr="00875388">
        <w:tab/>
        <w:t>zdůrazňuje význam příštího víceletého finančního rámce EU (VFR) a přezkumu programů politiky soudržnosti na období 2021–2027 v polovině období pro utváření budoucnosti politiky soudržnosti; opakuje, že v </w:t>
      </w:r>
      <w:proofErr w:type="gramStart"/>
      <w:r w:rsidRPr="00875388">
        <w:t>příštím</w:t>
      </w:r>
      <w:proofErr w:type="gramEnd"/>
      <w:r w:rsidRPr="00875388">
        <w:t xml:space="preserve"> VFR na období 2028–2034 je zapotřebí ambicióznější politika soudržnosti po roce 2027; požaduje proto, aby se v nadcházejícím VFR zajistilo, že politika soudržnosti dosáhne v reálných hodnotách alespoň stejnou úroveň financování jako v současném období; dále požaduje, aby politika soudržnosti zůstala v </w:t>
      </w:r>
      <w:proofErr w:type="gramStart"/>
      <w:r w:rsidRPr="00875388">
        <w:t>novém</w:t>
      </w:r>
      <w:proofErr w:type="gramEnd"/>
      <w:r w:rsidRPr="00875388">
        <w:t xml:space="preserve"> VFR samostatným okruhem; zdůrazňuje, že politika soudržnosti by měla být chráněna před statistickými účinky, které mohou </w:t>
      </w:r>
      <w:r w:rsidRPr="00875388">
        <w:lastRenderedPageBreak/>
        <w:t>ovlivnit způsobilost regionů změnou průměrného HDP EU; opakuje, že jsou zapotřebí nové vlastní zdroje EU;</w:t>
      </w:r>
    </w:p>
    <w:p w:rsidR="008D18DA" w:rsidRPr="00875388" w:rsidRDefault="008D18DA" w:rsidP="008D18DA">
      <w:pPr>
        <w:pStyle w:val="NormalHanging12a"/>
      </w:pPr>
      <w:r w:rsidRPr="00875388">
        <w:t>7.</w:t>
      </w:r>
      <w:r w:rsidRPr="00875388">
        <w:tab/>
        <w:t>navrhuje proto, aby příští VFR od samého počátku lépe reagoval na nepředvídané potřeby, a to i prostřednictvím dostatečných rezerv a možností flexibility; v této souvislosti však zdůrazňuje, že politika soudržnosti není krizovým nástrojem a že by se neměla odchylovat od svých hlavních cílů, zejména od své dlouhodobé investiční povahy; vyzývá k posílení Fondu solidarity Evropské unie, včetně předběžného financování, a to tak, aby byl méně byrokratický a snadněji přístupný, s cílem vytvořit vhodný nástroj, který bude schopen odpovídajícím způsobem reagovat na hospodářské, sociální a územní důsledky budoucích přírodních katastrof nebo mimořádných situací v oblasti zdraví; zdůrazňuje, že je nezbytné, aby Parlament měl nad veškerými fondy a nástroji pro mimořádné situace odpovídající kontrolu;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8.</w:t>
      </w:r>
      <w:r w:rsidRPr="00875388">
        <w:tab/>
        <w:t>uznává, že pro konkrétní případy je rovněž třeba používat klasifikaci územních statistických jednotek (NUTS) 3, a to způsobem, který uznává, že ve všech regionech NUTS 2 existují nerovnosti v rozvoji; je toho názoru, že hlavním kritériem pro stanovení finančních přídělů pro členské státy v rámci politiky soudržnosti musí zůstat regionální HDP na obyvatele; vítá skutečnost, že v návaznosti na přetrvávající výzvy Parlamentu začala Komise zvažovat další kritéria</w:t>
      </w:r>
      <w:r w:rsidRPr="00875388">
        <w:rPr>
          <w:vertAlign w:val="superscript"/>
        </w:rPr>
        <w:footnoteReference w:id="30"/>
      </w:r>
      <w:r w:rsidRPr="00875388">
        <w:t>, jako jsou emise skleníkových plynů, hustota obyvatelstva, úroveň vzdělání a míra nezaměstnanosti, s cílem poskytnout lepší socioekonomický přehled regionů;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9.</w:t>
      </w:r>
      <w:r w:rsidRPr="00875388">
        <w:tab/>
        <w:t>zdůrazňuje, že podmíněnost dodržováním zásad právního státu je zastřešující podmíněnost, která uznává a prosazuje dodržování zásad právního státu, rovněž jako základní podmínku pro financování politiky soudržnosti, aby bylo zajištěno, že zdroje Unie jsou využívány transparentním, spravedlivým a odpovědným způsobem a v souladu se zásadami řádného finančního řízení; považuje za nezbytné posílit dodržování zásad právního státu a základních práv a zajistit, aby veškerá opatření při provádění politiky soudržnosti byla v souladu s podporou demokratických zásad, rovnosti žen a mužů a lidských práv, včetně práv pracovníků, práv osob se zdravotním postižením a práv dětí; zdůrazňuje důležitou úlohu Evropského úřadu pro boj proti podvodům a Úřadu evropského veřejného žalobce  při ochraně finančních zájmů Unie;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10.</w:t>
      </w:r>
      <w:r w:rsidRPr="00875388">
        <w:tab/>
        <w:t xml:space="preserve">vyzývá k dalšímu úsilí o zjednodušení, zvýšení flexibility, posílení synergií a zefektivnění pravidel a správních postupů upravujících fondy politiky soudržnosti na úrovni EU, členských států a regionů, s plným využitím dostupných technologií ke zvýšení přístupnosti a účinnosti, na základě stávajícího a osvědčeného rámce sdílené správy, s cílem posílit důvěru uživatelů, a tím podpořit účast širšího spektra hospodářských subjektů a subjektů občanské společnosti na podporovaných projektech a maximalizovat dopad fondů; vyzývá k přijetí dalších iniciativ, které umožní lepší čerpání prostředků z fondů soudržnosti, včetně zvýšení míry spolufinancování, vyšších zálohových plateb a rychlejšího proplácení investic; vyzývá k tomu, aby místní správa, zejména menší komunity, byla technicky vyškolena pro lepší správu fondů; zdůrazňuje proto, že je důležité posílit zásadu jednotného auditu, dále rozšířit zjednodušené vykazování nákladů a omezit zdvojování kontrol a auditů, které se překrývají </w:t>
      </w:r>
      <w:r w:rsidRPr="00875388">
        <w:lastRenderedPageBreak/>
        <w:t>s vnitrostátním a regionálním dohledem nad stejným projektem a příjemcem, s cílem vyloučit možnost opakování chyb v následujících letech provádění;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11.</w:t>
      </w:r>
      <w:r w:rsidRPr="00875388">
        <w:tab/>
        <w:t>vyzývá Komisi a členské státy, aby regionům poskytly větší flexibilitu, a to již ve fázi programování, s cílem uspokojit jejich konkrétní potřeby a specifika, přičemž zdůrazňuje, že je zapotřebí zapojit hospodářské aktéry a aktéry občanské společnosti; zdůrazňuje, že klíčovým prvkem pro sladění politiky soudržnosti s cíli strategie Evropa 2020 bylo tematické zaměření; žádá proto Komisi, aby předložila všechna zjištění týkající se provádění tematického zaměření a vyvodila ponaučení pro budoucí legislativní návrhy;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12.</w:t>
      </w:r>
      <w:r w:rsidRPr="00875388">
        <w:tab/>
        <w:t>uznává, že ekologická, digitální a demografická transformace představuje pro cíl dosažení hospodářské, sociální a územní soudržnosti významné výzvy, ale zároveň také příležitosti; uznává, že oblasti s vysokými příjmy mohou statisticky zakrývat hospodářské problémy v daném regionu; je si vědom rizika zvětšování regionálních rozdílů, prohlubování sociálních nerovností a rostoucí geografie nespokojenosti v souvislosti s procesem transformace; zdůrazňuje, že je třeba dosáhnout cílů EU v oblasti udržitelnosti a klimatu a zachovat sdílený hospodářský růst posílením konkurenceschopnosti Unie; vyzývá proto k vytvoření evropské strategie, která zajistí harmonický růst v Unii a uspokojí specifické potřeby příslušných regionů; znovu potvrzuje svůj závazek pokračovat v ekologické a digitální transformaci, neboť to vytvoří příležitosti ke zlepšení konkurenceschopnosti EU; zdůrazňuje, že je třeba investovat do infrastrukturních projektů, které zlepšují konektivitu, zejména do udržitelné a inteligentní dopravy, jakož i do energetických a digitálních sítí, a zajistit, aby všechny regiony, včetně odlehlých a méně rozvinutých regionů, byly plně začleněny do jednotného trhu a spravedlivě využívaly příležitostí, které nabízí; zdůrazňuje v této souvislosti, že je třeba podporovat rozvoj ekologických průmyslových odvětví a místní specifika a tradice s cílem zvýšit odolnost hospodářského prostředí a občanské společnosti vůči budoucím výzvám;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13.</w:t>
      </w:r>
      <w:r w:rsidRPr="00875388">
        <w:tab/>
        <w:t xml:space="preserve">naléhavě vyzývá k tomu, aby politika soudržnosti byla nadále v souladu s úsilím o zvýšení inovací a dokončení jednotného trhu EU, v souladu se závěry </w:t>
      </w:r>
      <w:proofErr w:type="spellStart"/>
      <w:r w:rsidRPr="00875388">
        <w:t>Draghiho</w:t>
      </w:r>
      <w:proofErr w:type="spellEnd"/>
      <w:r w:rsidRPr="00875388">
        <w:t xml:space="preserve"> zprávy o evropské konkurenceschopnosti; v souvislosti s regionálními rozdíly zdůrazňuje problém přetrvávajících rozdílů v oblasti inovací a zasazuje se o individualizovaný, místně orientovaný přístup k podpoře inovací a hospodářské konvergence napříč regiony a ke snížení rozdílů v inovacích; vyzývá k posílení úlohy místních a regionálních inovací při budování konkurenceschopných výzkumných a inovačních ekosystémů a podpoře územní soudržnosti; poukazuje na nové iniciativy EU, jako jsou regionální inovační údolí a partnerství pro regionální inovace, jejichž cílem je propojit území s různou úrovní inovační výkonnosti a řešit rozdíly v inovacích; domnívá se, že tento přístup posílí regionální autonomii a umožní místním a regionálním orgánům utvářet politiky a cíle EU v souladu s jejich specifickými potřebami, charakteristikami a kapacitami při současném zachování zásady partnerství;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14.</w:t>
      </w:r>
      <w:r w:rsidRPr="00875388">
        <w:tab/>
        <w:t xml:space="preserve">je přesvědčen, že politika soudržnosti musí i nadále podporovat zásadu spravedlivé transformace s přihlédnutím ke specifickým potřebám regionů, přičemž nesmí být opomenut žádný region ani žádný člověk; vyzývá k pokračujícímu financování procesu spravedlivé transformace, přičemž Fond pro spravedlivou transformaci bude plně začleněn do nařízení o společných ustanoveních a bude vybaven navýšenými finančními prostředky na programové období po roce 2027; zdůrazňuje však, že je třeba posoudit dopad Fondu pro spravedlivou transformaci na transformaci způsobilých </w:t>
      </w:r>
      <w:r w:rsidRPr="00875388">
        <w:lastRenderedPageBreak/>
        <w:t>regionů a zároveň upřesnit jeho přístup v </w:t>
      </w:r>
      <w:proofErr w:type="gramStart"/>
      <w:r w:rsidRPr="00875388">
        <w:t>novém</w:t>
      </w:r>
      <w:proofErr w:type="gramEnd"/>
      <w:r w:rsidRPr="00875388">
        <w:t xml:space="preserve"> VFR na základě zjištění a konkrétních opatření k zajištění hospodářského a sociálního blahobytu dotčených komunit, přičemž je třeba zajistit, aby zůstal součástí politiky soudržnosti;</w:t>
      </w:r>
    </w:p>
    <w:p w:rsidR="008D18DA" w:rsidRPr="00875388" w:rsidRDefault="008D18DA" w:rsidP="008D18DA">
      <w:pPr>
        <w:pStyle w:val="NormalHanging12a"/>
      </w:pPr>
      <w:r w:rsidRPr="00875388">
        <w:t>15.</w:t>
      </w:r>
      <w:r w:rsidRPr="00875388">
        <w:tab/>
        <w:t>zdůrazňuje, že je třeba zlepšit vztah mezi politikou soudržnosti a správou ekonomických záležitostí EU a zároveň se vyhnout represivnímu přístupu; zdůrazňuje, že evropský semestr by měl být v souladu s cíli politiky soudržnosti podle článků 174 a 175 SFEU; vyzývá k zapojení regionů do plnění těchto cílů a k uplatňování důraznějšího územního přístupu; vyzývá k úvahám nad koncepcí makroekonomické podmíněnosti a k prozkoumání možnosti nahradit tuto koncepci novými formami podmíněnosti s cílem lépe zohlednit nové výzvy, které před námi stojí;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16.</w:t>
      </w:r>
      <w:r w:rsidRPr="00875388">
        <w:tab/>
        <w:t>je znepokojen rostoucím počtem regionů v rozvojové pasti, které ekonomicky stagnují a trpí prudkým demografickým poklesem a omezeným přístupem k základním službám; vyzývá proto k úpravě spolufinancování projektů zaměřených na posílení základních služeb směrem nahoru; zdůrazňuje úlohu nástrojů politiky soudržnosti při podpoře různých regionů a místních oblastí, které se vyrovnávají s demografickým vývojem ovlivňujícím reálné právo lidí setrvat, mimo jiné včetně výzev souvisejících s vylidňováním, stárnutím obyvatelstva, genderovou nevyvážeností, odlivem mozků, nedostatkem dovedností a nerovnováhou pracovních sil v jednotlivých regionech; uznává, že k boji proti těmto jevům jsou zapotřebí cílené ekonomické pobídky a strukturální zásahy; v této souvislosti vyzývá k provádění cílených programů zaměřených na přilákání, rozvoj a udržení talentů, zejména v regionech, v nichž dochází ke značnému odlivu kvalifikovaných pracovníků, a to podporou vzdělávacích, kulturních, podnikatelských a inovačních ekosystémů, které jsou v souladu s místními a regionálními hospodářskými potřebami a příležitostmi;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17.</w:t>
      </w:r>
      <w:r w:rsidRPr="00875388">
        <w:tab/>
        <w:t>uznává význam podpory a financování konkrétních řešení pro regiony s dlouhodobými a závažnými hospodářskými obtížemi nebo závažnými trvalými přírodními a demografickými znevýhodněními; opakuje, že je třeba zachovat a zlepšit poskytování kvalitních základních služeb (jako je vzdělávání a zdravotní péče), doprava a digitální propojení těchto regionů, podporovat jejich hospodářskou diverzifikaci a tvorbu pracovních míst a pomáhat jim reagovat na výzvy, jako je desertifikace venkova, stárnutí obyvatelstva, chudoba, vylidňování, osamělost a izolace, jakož i nedostatek příležitostí pro zranitelné osoby, jako jsou osoby se zdravotním postižením; zdůrazňuje, že je třeba upřednostnit rozvoj a odpovídající financování strategických odvětví, jako je energie z obnovitelných zdrojů, udržitelný cestovní ruch, digitální inovace a infrastruktura, a to způsobem, který je přizpůsoben hospodářskému potenciálu a zdrojům každého regionu, s cílem vytvořit širší podmínky pro vnitřní růst a vyvážený rozvoj ve všech regionech, zejména ve venkovských, odlehlých a méně rozvinutých oblastech, příhraničních regionech, na ostrovech a v nejvzdálenějších regionech; připomíná důležitost silných vazeb mezi venkovem a městy a zvláštní podpory žen ve venkovských oblastech;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18.</w:t>
      </w:r>
      <w:r w:rsidRPr="00875388">
        <w:tab/>
        <w:t xml:space="preserve">zdůrazňuje, že k nejvzdálenějším regionům, jak jsou definovány v článku 349 SFEU, které čelí jedinečným a kumulativním strukturálním problémům v důsledku své odlehlosti, malé velikosti trhu, zranitelnosti vůči změně klimatu a hospodářské závislosti, je třeba uplatňovat individuální přístup; zdůrazňuje, že tato trvalá omezení, včetně malé velikosti domácí ekonomiky, velké vzdálenosti od evropského kontinentu, umístění v blízkosti třetích zemí, dvojí ostrovní povahy většiny z nich a omezené diverzifikace výrobního odvětví, vedou k dodatečným nákladům a menší </w:t>
      </w:r>
      <w:r w:rsidRPr="00875388">
        <w:lastRenderedPageBreak/>
        <w:t>konkurenceschopnosti, takže jejich přizpůsobení se ekologické a digitální transformaci je obzvláště složité a nákladné; zdůrazňuje jejich velký potenciál pro další rozvoj, i prostřednictvím propojení regionů, klíčových odvětví, jako jsou modrá ekonomika, udržitelné zemědělství, obnovitelné zdroje energie, vesmírné činnosti, výzkum nebo ekoturistika; opakuje svou dlouhodobou výzvu Komisi, aby řádně zvážila dopad každého nově navrženého právního předpisu na nejvzdálenější regiony s cílem zabránit nepřiměřené regulační zátěži a nepříznivým dopadům na jejich ekonomiky;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19.</w:t>
      </w:r>
      <w:r w:rsidRPr="00875388">
        <w:tab/>
        <w:t>zdůrazňuje, že města a metropolitní oblasti čelí vlastním výzvám, jako jsou rozsáhlé „oblasti chudoby“, problémy s bydlením, dopravní zácpy a špatná kvalita ovzduší, což vytváří výzvy pro sociální a hospodářskou soudržnost způsobené neharmonickým územním rozvojem; zdůrazňuje potřebu konkrétního programu pro města a vyzývá k prohloubení jejich vazeb s funkčními městskými oblastmi, včetně menších měst a obcí, aby se zajistilo rovnoměrnější rozložení hospodářských a sociálních přínosů na celém území; zdůrazňuje, že je třeba posílit koordinaci mezi iniciativami městské agendy EU a nástroji politiky soudržnosti a podporovat integrovaný přístup, který zohledňuje územní specifika a nově se objevující výzvy; dále vyzývá k přímějšímu přístupu k finančním prostředkům EU pro regionální a místní orgány, jakož i pro města a městské orgány, mimo jiné rozšířením využívání integrovaných územních investic;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20.</w:t>
      </w:r>
      <w:r w:rsidRPr="00875388">
        <w:tab/>
        <w:t>zdůrazňuje nutnost pokračovat a posílit investice do dostupného bydlení v rámci politiky soudržnosti, přičemž si je vědom jeho významu pro regiony i města; zdůrazňuje, že je třeba podporovat změny týkající se investic do bydlení nad rámec dvou současných možností (energetická účinnost a sociální bydlení); zdůrazňuje důležitou úlohu politiky soudržnosti při zavádění a koordinaci těchto iniciativ; dále se domnívá, že je důležité zahrnout cenovou dostupnost bydlení do iniciativy URBACT;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21.</w:t>
      </w:r>
      <w:r w:rsidRPr="00875388">
        <w:tab/>
        <w:t>zdůrazňuje, že silné regiony na vnějších hranicích mají strategický význam pro bezpečnost a odolnost EU; vyzývá Komisi, aby podporovala členské státy a regiony zasažené útočnou válkou Ruska proti Ukrajině, zejména regiony nacházející se na východních hranicích EU, revizí pokynů o regionální státní pomoci</w:t>
      </w:r>
      <w:r w:rsidRPr="00875388">
        <w:rPr>
          <w:vertAlign w:val="superscript"/>
        </w:rPr>
        <w:footnoteReference w:id="31"/>
      </w:r>
      <w:r w:rsidRPr="00875388">
        <w:t xml:space="preserve">, prostřednictvím nástrojů a investic přizpůsobených v rámci politiky soudržnosti, a aby je podporovala v tom, aby co nejvíce a pružně využívaly příležitostí, které nabízejí fondy politiky soudržnosti, včetně programu </w:t>
      </w:r>
      <w:proofErr w:type="spellStart"/>
      <w:r w:rsidRPr="00875388">
        <w:t>Interreg</w:t>
      </w:r>
      <w:proofErr w:type="spellEnd"/>
      <w:r w:rsidRPr="00875388">
        <w:t>, s cílem pomoci vyrovnat se s nepříznivým socioekonomickým dopadem války na jejich obyvatelstvo a území; dále vyzývá k podpoře regionů sousedících s kandidátskými zeměmi, jako je Ukrajina a Moldavsko, s cílem posílit jejich propojení a podpořit jejich integraci do EU;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22.</w:t>
      </w:r>
      <w:r w:rsidRPr="00875388">
        <w:tab/>
        <w:t xml:space="preserve">zdůrazňuje přidanou hodnotu územní spolupráce obecně, a zejména přeshraniční spolupráce; zdůrazňuje význam programu </w:t>
      </w:r>
      <w:proofErr w:type="spellStart"/>
      <w:r w:rsidRPr="00875388">
        <w:t>Interreg</w:t>
      </w:r>
      <w:proofErr w:type="spellEnd"/>
      <w:r w:rsidRPr="00875388">
        <w:t xml:space="preserve"> pro přeshraniční regiony, včetně nejvzdálenějších regionů; zdůrazňuje jeho důležitou úlohu, kdy přispívá k jejich rozvoji a překonává přeshraniční překážky, včetně budování přeshraniční důvěry, rozvoje dopravních spojení, zjišťování a omezování právních a administrativních překážek a větší poskytování a využívání přeshraničních veřejných služeb; považuje program </w:t>
      </w:r>
      <w:proofErr w:type="spellStart"/>
      <w:r w:rsidRPr="00875388">
        <w:t>Interreg</w:t>
      </w:r>
      <w:proofErr w:type="spellEnd"/>
      <w:r w:rsidRPr="00875388">
        <w:t xml:space="preserve"> za hlavní nástroj EU pro překonávání přetrvávajících přeshraničních překážek, kterým čelí záchranné služby, a navrhuje, aby se těmto službám věnovala větší pozornost; zdůrazňuje skutečnost, že přeshraniční oblasti, včetně oblastí na vnějších hranicích EU, které hraničí se zeměmi agresorů, se často potýkají se specifickými </w:t>
      </w:r>
      <w:r w:rsidRPr="00875388">
        <w:lastRenderedPageBreak/>
        <w:t>problémy; domnívá se, že je třeba podpořit příhraniční regiony EU, které čelí četným výzvám, a je toho názoru, že jim musí být poskytnuty více prostředků; vítá nové nařízení o </w:t>
      </w:r>
      <w:proofErr w:type="spellStart"/>
      <w:r w:rsidRPr="00875388">
        <w:t>BRIDGEforEU</w:t>
      </w:r>
      <w:proofErr w:type="spellEnd"/>
      <w:r w:rsidRPr="00875388">
        <w:t>; zdůrazňuje význam malých a přeshraničních projektů a zdůrazňuje potřebu účinného provádění v praxi; vyzývá Komisi, aby vybízela členské státy k aktivní podpoře osvětových kampaní v příhraničních regionech s cílem maximalizovat dopad přeshraniční spolupráce;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23.</w:t>
      </w:r>
      <w:r w:rsidRPr="00875388">
        <w:tab/>
        <w:t xml:space="preserve">připomíná, že je třeba „podporovat soudržnost“, a nikoli se pouze spoléhat na zásadu „nepoškozovat soudržnost“, což znamená, že žádná opatření by neměla bránit procesu sbližování ani přispívat k regionálním rozdílům; vyzývá k výraznější integraci těchto zásad jako průřezové zásady ve všech politikách EU, aby zajišťovaly podporu cíle sociální, hospodářské a územní soudržnosti stanovené v článcích 3 a 174 Smlouvy o fungování EU; dále vyzývá Komisi, aby vydala konkrétní pokyny, jak tyto zásady provádět a prosazovat ve všech politikách EU, přičemž zvláštní pozornost by měla být věnována dopadu právních předpisů EU na konkurenceschopnost méně rozvinutých regionů; opakuje, že nové legislativní návrhy musí náležitě zohledňovat místní a regionální realitu; navrhuje, aby Komise využila inovativní nástroje, jako je </w:t>
      </w:r>
      <w:proofErr w:type="spellStart"/>
      <w:r w:rsidRPr="00875388">
        <w:t>RegHUB</w:t>
      </w:r>
      <w:proofErr w:type="spellEnd"/>
      <w:r w:rsidRPr="00875388">
        <w:t xml:space="preserve"> (síť regionálních center), k shromažďování údajů o dopadu politik EU na regiony; za tímto účelem zdůrazňuje, že je třeba posílit posuzování územního dopadu právních předpisů EU a také územní aspekty dalších příslušných politik; trvá na tom, že podpora soudržnosti by měla být rovněž považována za jeden ze způsobů prokazování solidarity a vzájemné podpory mezi členskými státy a jejich regiony; vyzývá Komisi a členské státy, aby pokračovaly ve svém úsilí o komunikaci a zviditelnění přínosů politiky soudržnosti, aby občanům ukázaly hmatatelné dopady EU a aby sloužily jako klíčový nástroj v boji proti euroskepticismu; vítá spuštění vícejazyčné verze platformy </w:t>
      </w:r>
      <w:proofErr w:type="spellStart"/>
      <w:r w:rsidRPr="00875388">
        <w:t>Kohesio</w:t>
      </w:r>
      <w:proofErr w:type="spellEnd"/>
      <w:r w:rsidRPr="00875388">
        <w:t>;</w:t>
      </w:r>
    </w:p>
    <w:p w:rsidR="008D18DA" w:rsidRPr="00875388" w:rsidRDefault="008D18DA" w:rsidP="008D18DA">
      <w:pPr>
        <w:pStyle w:val="NormalHanging12a"/>
      </w:pPr>
      <w:r w:rsidRPr="00875388">
        <w:t>24.</w:t>
      </w:r>
      <w:r w:rsidRPr="00875388">
        <w:tab/>
        <w:t>se znepokojením konstatuje, že v posledních letech došlo k výraznému poklesu odpovídající úrovně vnitrostátního financování, jež členské státy věnují svým chudším regionům; připomíná, že je důležité dodržovat pravidlo EU o </w:t>
      </w:r>
      <w:proofErr w:type="spellStart"/>
      <w:r w:rsidRPr="00875388">
        <w:t>adicionalitě</w:t>
      </w:r>
      <w:proofErr w:type="spellEnd"/>
      <w:r w:rsidRPr="00875388">
        <w:t>; vyzývá Komisi, aby zajistila, že vnitrostátní orgány budou při přípravě a provádění projektů strukturálních a investičních fondů náležitě zohledňovat vnitřní soudržnost;</w:t>
      </w:r>
    </w:p>
    <w:p w:rsidR="008D18DA" w:rsidRPr="00875388" w:rsidRDefault="008D18DA" w:rsidP="00C753C8">
      <w:pPr>
        <w:shd w:val="clear" w:color="auto" w:fill="FFFFFF"/>
        <w:spacing w:after="240"/>
        <w:ind w:left="567" w:hanging="567"/>
        <w:rPr>
          <w:iCs/>
        </w:rPr>
      </w:pPr>
      <w:r w:rsidRPr="00875388">
        <w:t>25.</w:t>
      </w:r>
      <w:r w:rsidRPr="00875388">
        <w:tab/>
        <w:t>trvá na tom, že kromě přizpůsobení se regionálním potřebám musí být politika soudržnosti přizpůsobena i nejmenšímu rozsahu, tj. finanční prostředky musí být přístupné nejmenším projektům a jejich nositelům; poukazuje na to, že jejich iniciativy jsou často nejinovativnější a mají významný dopad na rozvoj venkova; opakuje, že tyto prostředky by měly být přístupné všem bez ohledu na jejich velikost nebo rozsah; schvaluje výzvu Aliance soudržnosti „Pro politiku soudržnosti po roce 2027, která nikoho neopomíjí“;</w:t>
      </w:r>
    </w:p>
    <w:p w:rsidR="008D18DA" w:rsidRPr="00875388" w:rsidRDefault="008D18DA" w:rsidP="008D18DA">
      <w:pPr>
        <w:pStyle w:val="NormalHanging12a"/>
        <w:rPr>
          <w:szCs w:val="24"/>
        </w:rPr>
      </w:pPr>
      <w:r w:rsidRPr="00875388">
        <w:t>26.</w:t>
      </w:r>
      <w:r w:rsidRPr="00875388">
        <w:tab/>
        <w:t>zdůrazňuje, že zpoždění v jednáních o VFR spolu se skutečností, že členské státy kladly větší důraz na programování fondů Nástroje pro oživení a odolnost, vedla ke značným zpožděním v programovém období 2021–2027; zdůrazňuje důležitost včasné dohody v příštím rámci, a proto vyzývá k tomu, aby nařízení o společných ustanoveních a jednání o rozpočtu byla dokončena nejpozději jeden rok před začátkem nového období financování, aby členské státy mohly včas vypracovat své vnitrostátní a regionální strategie financování, a zajistit tak úspěšný přechod do příštího období financování, jakož i pokračování mnoha projektů financovaných z ESIF;</w:t>
      </w:r>
    </w:p>
    <w:p w:rsidR="008D18DA" w:rsidRDefault="008D18DA" w:rsidP="008D18DA">
      <w:pPr>
        <w:pStyle w:val="EPComma"/>
        <w:ind w:left="567" w:hanging="567"/>
      </w:pPr>
      <w:r w:rsidRPr="00875388">
        <w:t>27.</w:t>
      </w:r>
      <w:r w:rsidRPr="00875388">
        <w:tab/>
        <w:t xml:space="preserve">pověřuje svou předsedkyni, aby předala toto usnesení Radě, Komisi, Evropskému </w:t>
      </w:r>
      <w:r w:rsidRPr="00875388">
        <w:lastRenderedPageBreak/>
        <w:t>hospodářskému a sociálnímu výboru, Výboru regionů a vnitrostátním a regionálním parlamentům členských států.</w:t>
      </w:r>
    </w:p>
    <w:sectPr w:rsidR="008D18DA" w:rsidSect="00875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969" w:rsidRPr="00875388" w:rsidRDefault="00EA1969">
      <w:r w:rsidRPr="00875388">
        <w:separator/>
      </w:r>
    </w:p>
  </w:endnote>
  <w:endnote w:type="continuationSeparator" w:id="0">
    <w:p w:rsidR="00EA1969" w:rsidRPr="00875388" w:rsidRDefault="00EA1969">
      <w:r w:rsidRPr="00875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969" w:rsidRPr="00875388" w:rsidRDefault="00EA1969">
      <w:r w:rsidRPr="00875388">
        <w:separator/>
      </w:r>
    </w:p>
  </w:footnote>
  <w:footnote w:type="continuationSeparator" w:id="0">
    <w:p w:rsidR="00EA1969" w:rsidRPr="00875388" w:rsidRDefault="00EA1969">
      <w:r w:rsidRPr="00875388">
        <w:continuationSeparator/>
      </w:r>
    </w:p>
  </w:footnote>
  <w:footnote w:id="1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" w:history="1">
        <w:r w:rsidRPr="007D0E57">
          <w:rPr>
            <w:sz w:val="24"/>
            <w:lang w:val="cs-CZ"/>
          </w:rPr>
          <w:t>Úř. věst. L 231, 30.6.2021, s. 159, ELI:</w:t>
        </w:r>
      </w:hyperlink>
      <w:hyperlink r:id="rId2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http://data.europa.eu/eli/reg/2021/1060/oj.</w:t>
        </w:r>
      </w:hyperlink>
    </w:p>
  </w:footnote>
  <w:footnote w:id="2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3" w:history="1">
        <w:r w:rsidRPr="007D0E57">
          <w:rPr>
            <w:sz w:val="24"/>
            <w:lang w:val="cs-CZ"/>
          </w:rPr>
          <w:t>Úř. věst. L 231, 30.6.2021, s. 60, ELI:</w:t>
        </w:r>
      </w:hyperlink>
      <w:hyperlink r:id="rId4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http://data.europa.eu/eli/reg/2021/1058/oj.</w:t>
        </w:r>
      </w:hyperlink>
    </w:p>
  </w:footnote>
  <w:footnote w:id="3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5" w:history="1">
        <w:r w:rsidRPr="007D0E57">
          <w:rPr>
            <w:sz w:val="24"/>
            <w:lang w:val="cs-CZ"/>
          </w:rPr>
          <w:t>Úř. věst. L 231, 30.6.2021, s. 94, ELI:</w:t>
        </w:r>
      </w:hyperlink>
      <w:hyperlink r:id="rId6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http://data.europa.eu/eli/reg/2021/1059/oj.</w:t>
        </w:r>
      </w:hyperlink>
    </w:p>
  </w:footnote>
  <w:footnote w:id="4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7" w:history="1">
        <w:r w:rsidRPr="007D0E57">
          <w:rPr>
            <w:sz w:val="24"/>
            <w:lang w:val="cs-CZ"/>
          </w:rPr>
          <w:t>Úř. věst. L 231, 30.6.2021, s. 21, ELI:</w:t>
        </w:r>
      </w:hyperlink>
      <w:hyperlink r:id="rId8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http://data.europa.eu/eli/reg/2021/1057/oj.</w:t>
        </w:r>
      </w:hyperlink>
    </w:p>
  </w:footnote>
  <w:footnote w:id="5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9" w:history="1">
        <w:r w:rsidRPr="007D0E57">
          <w:rPr>
            <w:sz w:val="24"/>
            <w:lang w:val="cs-CZ"/>
          </w:rPr>
          <w:t>Úř. věst. L 231, 30.6.2021, s. 1, ELI:</w:t>
        </w:r>
      </w:hyperlink>
      <w:hyperlink r:id="rId10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http://data.europa.eu/eli/reg/2021/1056/oj.</w:t>
        </w:r>
      </w:hyperlink>
    </w:p>
  </w:footnote>
  <w:footnote w:id="6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1" w:history="1">
        <w:r w:rsidRPr="007D0E57">
          <w:rPr>
            <w:sz w:val="24"/>
            <w:lang w:val="cs-CZ"/>
          </w:rPr>
          <w:t>Úř. věst. L 435, 6.12.2021, s. 1, ELI:</w:t>
        </w:r>
      </w:hyperlink>
      <w:hyperlink r:id="rId12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http://data.europa.eu/eli/reg/2021/2115/oj.</w:t>
        </w:r>
      </w:hyperlink>
    </w:p>
  </w:footnote>
  <w:footnote w:id="7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3" w:history="1">
        <w:r w:rsidR="00F24D2F" w:rsidRPr="007D0E57">
          <w:rPr>
            <w:sz w:val="24"/>
            <w:lang w:val="cs-CZ"/>
          </w:rPr>
          <w:t xml:space="preserve">Úř. věst. L </w:t>
        </w:r>
        <w:r w:rsidRPr="007D0E57">
          <w:rPr>
            <w:sz w:val="24"/>
            <w:lang w:val="cs-CZ"/>
          </w:rPr>
          <w:t>99, 31.3.2020, s. 5, ELI:</w:t>
        </w:r>
      </w:hyperlink>
      <w:hyperlink r:id="rId14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http://data.europa.eu/eli/reg/2020/460/oj.</w:t>
        </w:r>
      </w:hyperlink>
    </w:p>
  </w:footnote>
  <w:footnote w:id="8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5" w:history="1">
        <w:r w:rsidRPr="007D0E57">
          <w:rPr>
            <w:sz w:val="24"/>
            <w:lang w:val="cs-CZ"/>
          </w:rPr>
          <w:t>Úř. věst. L 130, 24.4.2020, s. 1, ELI:</w:t>
        </w:r>
      </w:hyperlink>
      <w:hyperlink r:id="rId16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http://data.europa.eu/eli/reg/2020/558/oj.</w:t>
        </w:r>
      </w:hyperlink>
    </w:p>
  </w:footnote>
  <w:footnote w:id="9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7" w:history="1">
        <w:r w:rsidR="00F24D2F" w:rsidRPr="007D0E57">
          <w:rPr>
            <w:sz w:val="24"/>
            <w:lang w:val="cs-CZ"/>
          </w:rPr>
          <w:t xml:space="preserve">Úř. věst. L </w:t>
        </w:r>
        <w:r w:rsidRPr="007D0E57">
          <w:rPr>
            <w:sz w:val="24"/>
            <w:lang w:val="cs-CZ"/>
          </w:rPr>
          <w:t>99, 31.3.2020, s. 9, ELI:</w:t>
        </w:r>
      </w:hyperlink>
      <w:hyperlink r:id="rId18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http://data.europa.eu/eli/reg/2020/461/oj.</w:t>
        </w:r>
      </w:hyperlink>
    </w:p>
  </w:footnote>
  <w:footnote w:id="10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19" w:history="1">
        <w:r w:rsidRPr="007D0E57">
          <w:rPr>
            <w:sz w:val="24"/>
            <w:lang w:val="cs-CZ"/>
          </w:rPr>
          <w:t>Úř. věst. L 437, 28.12.2020, s. 30, ELI:</w:t>
        </w:r>
      </w:hyperlink>
      <w:hyperlink r:id="rId20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http://data.europa.eu/eli/reg/2020/2221/oj.</w:t>
        </w:r>
      </w:hyperlink>
    </w:p>
  </w:footnote>
  <w:footnote w:id="11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21" w:history="1">
        <w:r w:rsidRPr="007D0E57">
          <w:rPr>
            <w:sz w:val="24"/>
            <w:lang w:val="cs-CZ"/>
          </w:rPr>
          <w:t>Úř. věst. L 109, 8.4.2022, s. 1, ELI</w:t>
        </w:r>
        <w:r w:rsidRPr="00875388">
          <w:rPr>
            <w:color w:val="0000FF"/>
            <w:sz w:val="24"/>
            <w:u w:val="single" w:color="0000FF"/>
            <w:lang w:val="cs-CZ"/>
          </w:rPr>
          <w:t>:</w:t>
        </w:r>
      </w:hyperlink>
      <w:hyperlink r:id="rId22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http://data.europa.eu/eli/reg/2022/562/oj.</w:t>
        </w:r>
      </w:hyperlink>
    </w:p>
  </w:footnote>
  <w:footnote w:id="12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23" w:history="1">
        <w:r w:rsidRPr="007D0E57">
          <w:rPr>
            <w:sz w:val="24"/>
            <w:lang w:val="cs-CZ"/>
          </w:rPr>
          <w:t>Úř. věst. L 275, 25.10.2022, s. 23, ELI:</w:t>
        </w:r>
      </w:hyperlink>
      <w:hyperlink r:id="rId24" w:history="1">
        <w:r w:rsidRPr="00875388">
          <w:rPr>
            <w:color w:val="0000FF"/>
            <w:sz w:val="24"/>
            <w:u w:val="single" w:color="0000FF"/>
            <w:lang w:val="cs-CZ"/>
          </w:rPr>
          <w:t xml:space="preserve"> http://data.europa.eu/eli/reg/2022/2039/oj.</w:t>
        </w:r>
      </w:hyperlink>
    </w:p>
  </w:footnote>
  <w:footnote w:id="13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Evropská komise: Generální ředitelství pro regionální a městskou politiku, </w:t>
      </w:r>
      <w:r w:rsidRPr="00875388">
        <w:rPr>
          <w:rStyle w:val="Italic"/>
          <w:sz w:val="24"/>
          <w:lang w:val="cs-CZ"/>
        </w:rPr>
        <w:t>Devátá zpráva o hospodářské, sociální a územní soudržnosti</w:t>
      </w:r>
      <w:r w:rsidRPr="00875388">
        <w:rPr>
          <w:sz w:val="24"/>
          <w:lang w:val="cs-CZ"/>
        </w:rPr>
        <w:t>, 2024.</w:t>
      </w:r>
    </w:p>
  </w:footnote>
  <w:footnote w:id="14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Evropská komise: Generální ředitelství pro regionální a městskou politiku, </w:t>
      </w:r>
      <w:r w:rsidRPr="00875388">
        <w:rPr>
          <w:rStyle w:val="Italic"/>
          <w:sz w:val="24"/>
          <w:lang w:val="cs-CZ"/>
        </w:rPr>
        <w:t>Společné budování udržitelné budoucnosti – soudržnost pro konkurenceschopnou a inkluzivní Evropu – zpráva skupiny na vysoké úrovni pro budoucnost politiky soudržnosti</w:t>
      </w:r>
      <w:r w:rsidRPr="00875388">
        <w:rPr>
          <w:sz w:val="24"/>
          <w:lang w:val="cs-CZ"/>
        </w:rPr>
        <w:t>, únor 2024.</w:t>
      </w:r>
    </w:p>
  </w:footnote>
  <w:footnote w:id="15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C, C/2024/4668, </w:t>
      </w:r>
      <w:proofErr w:type="gramStart"/>
      <w:r w:rsidRPr="00875388">
        <w:rPr>
          <w:sz w:val="24"/>
          <w:lang w:val="cs-CZ"/>
        </w:rPr>
        <w:t>9.8.2024</w:t>
      </w:r>
      <w:proofErr w:type="gramEnd"/>
      <w:r w:rsidRPr="00875388">
        <w:rPr>
          <w:sz w:val="24"/>
          <w:lang w:val="cs-CZ"/>
        </w:rPr>
        <w:t xml:space="preserve">, ELI: </w:t>
      </w:r>
      <w:hyperlink r:id="rId25" w:history="1">
        <w:r w:rsidRPr="00F24D2F">
          <w:rPr>
            <w:rStyle w:val="Hyperlink"/>
            <w:sz w:val="24"/>
            <w:lang w:val="cs-CZ"/>
          </w:rPr>
          <w:t>http://data.europa.eu/eli/C/2024/4668/oj</w:t>
        </w:r>
      </w:hyperlink>
      <w:r w:rsidRPr="00875388">
        <w:rPr>
          <w:sz w:val="24"/>
          <w:lang w:val="cs-CZ"/>
        </w:rPr>
        <w:t>.</w:t>
      </w:r>
    </w:p>
  </w:footnote>
  <w:footnote w:id="16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Evropský parlament: Tematická sekce Strukturální politika a politika soudržnosti, Generální ředitelství pro vnitřní politiky, </w:t>
      </w:r>
      <w:r w:rsidRPr="00875388">
        <w:rPr>
          <w:rStyle w:val="Italic"/>
          <w:sz w:val="24"/>
          <w:lang w:val="cs-CZ"/>
        </w:rPr>
        <w:t>Zjednodušení fondů soudržnosti EU – řešení administrativní zátěže a nadbytečnosti</w:t>
      </w:r>
      <w:r w:rsidRPr="00875388">
        <w:rPr>
          <w:sz w:val="24"/>
          <w:lang w:val="cs-CZ"/>
        </w:rPr>
        <w:t>, 2024.</w:t>
      </w:r>
    </w:p>
  </w:footnote>
  <w:footnote w:id="17">
    <w:p w:rsidR="007D0E57" w:rsidRPr="00C753C8" w:rsidRDefault="007D0E57" w:rsidP="00C753C8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C753C8">
        <w:rPr>
          <w:lang w:val="cs-CZ"/>
        </w:rPr>
        <w:t xml:space="preserve"> </w:t>
      </w:r>
      <w:r>
        <w:rPr>
          <w:lang w:val="cs-CZ"/>
        </w:rPr>
        <w:tab/>
      </w:r>
      <w:r w:rsidRPr="00C753C8">
        <w:rPr>
          <w:sz w:val="24"/>
          <w:szCs w:val="24"/>
          <w:lang w:val="cs-CZ"/>
        </w:rPr>
        <w:t>Dosud nezveřejněn</w:t>
      </w:r>
      <w:r>
        <w:rPr>
          <w:sz w:val="24"/>
          <w:szCs w:val="24"/>
          <w:lang w:val="cs-CZ"/>
        </w:rPr>
        <w:t>é</w:t>
      </w:r>
      <w:r w:rsidRPr="00C753C8">
        <w:rPr>
          <w:sz w:val="24"/>
          <w:szCs w:val="24"/>
          <w:lang w:val="cs-CZ"/>
        </w:rPr>
        <w:t xml:space="preserve"> v Úředním věstníku.</w:t>
      </w:r>
    </w:p>
  </w:footnote>
  <w:footnote w:id="18">
    <w:p w:rsidR="007D0E57" w:rsidRPr="00C753C8" w:rsidRDefault="007D0E57" w:rsidP="00C753C8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C753C8">
        <w:rPr>
          <w:lang w:val="cs-CZ"/>
        </w:rPr>
        <w:t xml:space="preserve"> </w:t>
      </w:r>
      <w:r>
        <w:rPr>
          <w:lang w:val="cs-CZ"/>
        </w:rPr>
        <w:tab/>
      </w:r>
      <w:r w:rsidRPr="00C753C8">
        <w:rPr>
          <w:sz w:val="24"/>
          <w:szCs w:val="24"/>
          <w:lang w:val="cs-CZ"/>
        </w:rPr>
        <w:t>Dosud ne</w:t>
      </w:r>
      <w:r>
        <w:rPr>
          <w:sz w:val="24"/>
          <w:szCs w:val="24"/>
          <w:lang w:val="cs-CZ"/>
        </w:rPr>
        <w:t>z</w:t>
      </w:r>
      <w:r w:rsidRPr="00C753C8">
        <w:rPr>
          <w:sz w:val="24"/>
          <w:szCs w:val="24"/>
          <w:lang w:val="cs-CZ"/>
        </w:rPr>
        <w:t>veřejněné v Úředním věstníku.</w:t>
      </w:r>
    </w:p>
  </w:footnote>
  <w:footnote w:id="19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 494, </w:t>
      </w:r>
      <w:proofErr w:type="gramStart"/>
      <w:r w:rsidRPr="00875388">
        <w:rPr>
          <w:sz w:val="24"/>
          <w:lang w:val="cs-CZ"/>
        </w:rPr>
        <w:t>8.12.2021</w:t>
      </w:r>
      <w:proofErr w:type="gramEnd"/>
      <w:r w:rsidRPr="00875388">
        <w:rPr>
          <w:sz w:val="24"/>
          <w:lang w:val="cs-CZ"/>
        </w:rPr>
        <w:t>, s. 26.</w:t>
      </w:r>
    </w:p>
  </w:footnote>
  <w:footnote w:id="20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="00563FA5">
        <w:rPr>
          <w:sz w:val="24"/>
          <w:lang w:val="cs-CZ"/>
        </w:rPr>
        <w:t>Úř</w:t>
      </w:r>
      <w:proofErr w:type="spellEnd"/>
      <w:r w:rsidR="00563FA5">
        <w:rPr>
          <w:sz w:val="24"/>
          <w:lang w:val="cs-CZ"/>
        </w:rPr>
        <w:t xml:space="preserve">. </w:t>
      </w:r>
      <w:proofErr w:type="spellStart"/>
      <w:proofErr w:type="gramStart"/>
      <w:r w:rsidR="00563FA5">
        <w:rPr>
          <w:sz w:val="24"/>
          <w:lang w:val="cs-CZ"/>
        </w:rPr>
        <w:t>věst</w:t>
      </w:r>
      <w:proofErr w:type="spellEnd"/>
      <w:proofErr w:type="gramEnd"/>
      <w:r w:rsidR="00563FA5">
        <w:rPr>
          <w:sz w:val="24"/>
          <w:lang w:val="cs-CZ"/>
        </w:rPr>
        <w:t xml:space="preserve">. C 15, </w:t>
      </w:r>
      <w:proofErr w:type="gramStart"/>
      <w:r w:rsidR="00563FA5">
        <w:rPr>
          <w:sz w:val="24"/>
          <w:lang w:val="cs-CZ"/>
        </w:rPr>
        <w:t>12.1</w:t>
      </w:r>
      <w:r w:rsidRPr="00875388">
        <w:rPr>
          <w:sz w:val="24"/>
          <w:lang w:val="cs-CZ"/>
        </w:rPr>
        <w:t>.2022</w:t>
      </w:r>
      <w:proofErr w:type="gramEnd"/>
      <w:r w:rsidRPr="00875388">
        <w:rPr>
          <w:sz w:val="24"/>
          <w:lang w:val="cs-CZ"/>
        </w:rPr>
        <w:t>, s. 125.</w:t>
      </w:r>
    </w:p>
  </w:footnote>
  <w:footnote w:id="21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 117, </w:t>
      </w:r>
      <w:proofErr w:type="gramStart"/>
      <w:r w:rsidR="00D04AC2">
        <w:rPr>
          <w:sz w:val="24"/>
          <w:lang w:val="cs-CZ"/>
        </w:rPr>
        <w:t>1</w:t>
      </w:r>
      <w:bookmarkStart w:id="7" w:name="_GoBack"/>
      <w:bookmarkEnd w:id="7"/>
      <w:r w:rsidRPr="00875388">
        <w:rPr>
          <w:sz w:val="24"/>
          <w:lang w:val="cs-CZ"/>
        </w:rPr>
        <w:t>1.3.2022</w:t>
      </w:r>
      <w:proofErr w:type="gramEnd"/>
      <w:r w:rsidRPr="00875388">
        <w:rPr>
          <w:sz w:val="24"/>
          <w:lang w:val="cs-CZ"/>
        </w:rPr>
        <w:t>, s. 18.</w:t>
      </w:r>
    </w:p>
  </w:footnote>
  <w:footnote w:id="22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hyperlink r:id="rId26" w:history="1">
        <w:proofErr w:type="spellStart"/>
        <w:r w:rsidR="00F24D2F">
          <w:rPr>
            <w:sz w:val="24"/>
            <w:lang w:val="cs-CZ"/>
          </w:rPr>
          <w:t>Úř</w:t>
        </w:r>
        <w:proofErr w:type="spellEnd"/>
        <w:r w:rsidR="00F24D2F">
          <w:rPr>
            <w:sz w:val="24"/>
            <w:lang w:val="cs-CZ"/>
          </w:rPr>
          <w:t xml:space="preserve">. </w:t>
        </w:r>
        <w:proofErr w:type="spellStart"/>
        <w:proofErr w:type="gramStart"/>
        <w:r w:rsidR="00F24D2F">
          <w:rPr>
            <w:sz w:val="24"/>
            <w:lang w:val="cs-CZ"/>
          </w:rPr>
          <w:t>věst</w:t>
        </w:r>
        <w:proofErr w:type="spellEnd"/>
        <w:proofErr w:type="gramEnd"/>
        <w:r w:rsidR="00F24D2F">
          <w:rPr>
            <w:sz w:val="24"/>
            <w:lang w:val="cs-CZ"/>
          </w:rPr>
          <w:t xml:space="preserve">. C 125, </w:t>
        </w:r>
        <w:proofErr w:type="gramStart"/>
        <w:r w:rsidR="00F24D2F">
          <w:rPr>
            <w:sz w:val="24"/>
            <w:lang w:val="cs-CZ"/>
          </w:rPr>
          <w:t>5.4.2023</w:t>
        </w:r>
        <w:proofErr w:type="gramEnd"/>
        <w:r w:rsidR="00F24D2F">
          <w:rPr>
            <w:sz w:val="24"/>
            <w:lang w:val="cs-CZ"/>
          </w:rPr>
          <w:t>, s</w:t>
        </w:r>
        <w:r w:rsidRPr="00F24D2F">
          <w:rPr>
            <w:sz w:val="24"/>
            <w:lang w:val="cs-CZ"/>
          </w:rPr>
          <w:t>. 100.</w:t>
        </w:r>
      </w:hyperlink>
    </w:p>
  </w:footnote>
  <w:footnote w:id="23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C, C/2024/4207, </w:t>
      </w:r>
      <w:proofErr w:type="gramStart"/>
      <w:r w:rsidRPr="00875388">
        <w:rPr>
          <w:sz w:val="24"/>
          <w:lang w:val="cs-CZ"/>
        </w:rPr>
        <w:t>24.7.2024</w:t>
      </w:r>
      <w:proofErr w:type="gramEnd"/>
      <w:r w:rsidRPr="00875388">
        <w:rPr>
          <w:sz w:val="24"/>
          <w:lang w:val="cs-CZ"/>
        </w:rPr>
        <w:t xml:space="preserve">, </w:t>
      </w:r>
      <w:r w:rsidRPr="00F24D2F">
        <w:rPr>
          <w:rStyle w:val="Emphasis"/>
          <w:i w:val="0"/>
          <w:sz w:val="24"/>
          <w:shd w:val="clear" w:color="auto" w:fill="FFFFFF"/>
          <w:lang w:val="cs-CZ"/>
        </w:rPr>
        <w:t>ELI</w:t>
      </w:r>
      <w:r w:rsidRPr="00875388">
        <w:rPr>
          <w:rStyle w:val="Emphasis"/>
          <w:sz w:val="24"/>
          <w:shd w:val="clear" w:color="auto" w:fill="FFFFFF"/>
          <w:lang w:val="cs-CZ"/>
        </w:rPr>
        <w:t>:</w:t>
      </w:r>
      <w:r w:rsidRPr="00875388">
        <w:rPr>
          <w:rStyle w:val="Emphasis"/>
          <w:color w:val="000000" w:themeColor="text1"/>
          <w:sz w:val="24"/>
          <w:shd w:val="clear" w:color="auto" w:fill="FFFFFF"/>
          <w:lang w:val="cs-CZ"/>
        </w:rPr>
        <w:t> </w:t>
      </w:r>
      <w:hyperlink r:id="rId27" w:tgtFrame="_blank" w:tooltip="Umožňuje přístup k tomuto dokumentu prostřednictvím jeho identifikátoru URI používaného v ELI." w:history="1">
        <w:r w:rsidRPr="00F24D2F">
          <w:rPr>
            <w:rStyle w:val="Hyperlink"/>
            <w:sz w:val="24"/>
            <w:lang w:val="cs-CZ"/>
          </w:rPr>
          <w:t>http://data.europa.eu/eli/C/2024/4207/oj</w:t>
        </w:r>
      </w:hyperlink>
      <w:r w:rsidRPr="00875388">
        <w:rPr>
          <w:rStyle w:val="Emphasis"/>
          <w:color w:val="000000" w:themeColor="text1"/>
          <w:sz w:val="24"/>
          <w:shd w:val="clear" w:color="auto" w:fill="FFFFFF"/>
          <w:lang w:val="cs-CZ"/>
        </w:rPr>
        <w:t>.</w:t>
      </w:r>
    </w:p>
  </w:footnote>
  <w:footnote w:id="24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C, C/2024/4225, </w:t>
      </w:r>
      <w:proofErr w:type="gramStart"/>
      <w:r w:rsidRPr="00875388">
        <w:rPr>
          <w:sz w:val="24"/>
          <w:lang w:val="cs-CZ"/>
        </w:rPr>
        <w:t>24.7.2024</w:t>
      </w:r>
      <w:proofErr w:type="gramEnd"/>
      <w:r w:rsidRPr="00875388">
        <w:rPr>
          <w:sz w:val="24"/>
          <w:lang w:val="cs-CZ"/>
        </w:rPr>
        <w:t xml:space="preserve">, ELI: </w:t>
      </w:r>
      <w:hyperlink r:id="rId28" w:history="1">
        <w:r w:rsidRPr="00F24D2F">
          <w:rPr>
            <w:rStyle w:val="Hyperlink"/>
            <w:sz w:val="24"/>
            <w:lang w:val="cs-CZ"/>
          </w:rPr>
          <w:t>http://data.europa.eu/eli/C/2024/4225/oj</w:t>
        </w:r>
      </w:hyperlink>
      <w:r w:rsidRPr="00875388">
        <w:rPr>
          <w:sz w:val="24"/>
          <w:lang w:val="cs-CZ"/>
        </w:rPr>
        <w:t>.</w:t>
      </w:r>
    </w:p>
  </w:footnote>
  <w:footnote w:id="25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 xml:space="preserve">. 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C, C/2024/6562, </w:t>
      </w:r>
      <w:proofErr w:type="gramStart"/>
      <w:r w:rsidRPr="00875388">
        <w:rPr>
          <w:sz w:val="24"/>
          <w:lang w:val="cs-CZ"/>
        </w:rPr>
        <w:t>12.11.2024</w:t>
      </w:r>
      <w:proofErr w:type="gramEnd"/>
      <w:r w:rsidRPr="00875388">
        <w:rPr>
          <w:sz w:val="24"/>
          <w:lang w:val="cs-CZ"/>
        </w:rPr>
        <w:t xml:space="preserve">, ELI: </w:t>
      </w:r>
      <w:hyperlink r:id="rId29" w:history="1">
        <w:r w:rsidRPr="00F24D2F">
          <w:rPr>
            <w:rStyle w:val="Hyperlink"/>
            <w:sz w:val="24"/>
            <w:lang w:val="cs-CZ"/>
          </w:rPr>
          <w:t>http://data.europa.eu/eli/C/2024/6562/oj</w:t>
        </w:r>
      </w:hyperlink>
      <w:r w:rsidRPr="00875388">
        <w:rPr>
          <w:sz w:val="24"/>
          <w:lang w:val="cs-CZ"/>
        </w:rPr>
        <w:t>.</w:t>
      </w:r>
    </w:p>
  </w:footnote>
  <w:footnote w:id="26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Evropská komise, </w:t>
      </w:r>
      <w:r w:rsidRPr="00875388">
        <w:rPr>
          <w:i/>
          <w:iCs/>
          <w:sz w:val="24"/>
          <w:lang w:val="cs-CZ"/>
        </w:rPr>
        <w:t>Devátá zpráva o hospodářské, sociální a územní soudržnosti</w:t>
      </w:r>
      <w:r w:rsidRPr="00875388">
        <w:rPr>
          <w:sz w:val="24"/>
          <w:lang w:val="cs-CZ"/>
        </w:rPr>
        <w:t xml:space="preserve">, </w:t>
      </w:r>
      <w:proofErr w:type="spellStart"/>
      <w:proofErr w:type="gramStart"/>
      <w:r w:rsidRPr="00875388">
        <w:rPr>
          <w:sz w:val="24"/>
          <w:lang w:val="cs-CZ"/>
        </w:rPr>
        <w:t>op</w:t>
      </w:r>
      <w:proofErr w:type="gramEnd"/>
      <w:r w:rsidRPr="00875388">
        <w:rPr>
          <w:sz w:val="24"/>
          <w:lang w:val="cs-CZ"/>
        </w:rPr>
        <w:t>.</w:t>
      </w:r>
      <w:proofErr w:type="gramStart"/>
      <w:r w:rsidRPr="00875388">
        <w:rPr>
          <w:sz w:val="24"/>
          <w:lang w:val="cs-CZ"/>
        </w:rPr>
        <w:t>cit</w:t>
      </w:r>
      <w:proofErr w:type="spellEnd"/>
      <w:proofErr w:type="gramEnd"/>
      <w:r w:rsidRPr="00875388">
        <w:rPr>
          <w:sz w:val="24"/>
          <w:lang w:val="cs-CZ"/>
        </w:rPr>
        <w:t>.</w:t>
      </w:r>
    </w:p>
  </w:footnote>
  <w:footnote w:id="27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Evropská komise: </w:t>
      </w:r>
      <w:r w:rsidRPr="00875388">
        <w:rPr>
          <w:i/>
          <w:iCs/>
          <w:sz w:val="24"/>
          <w:lang w:val="cs-CZ"/>
        </w:rPr>
        <w:t>Devátá zpráva o hospodářské, sociální a územní soudržnosti</w:t>
      </w:r>
      <w:r w:rsidRPr="00875388">
        <w:rPr>
          <w:sz w:val="24"/>
          <w:lang w:val="cs-CZ"/>
        </w:rPr>
        <w:t xml:space="preserve">, op. </w:t>
      </w:r>
      <w:proofErr w:type="gramStart"/>
      <w:r w:rsidRPr="00875388">
        <w:rPr>
          <w:sz w:val="24"/>
          <w:lang w:val="cs-CZ"/>
        </w:rPr>
        <w:t>cit</w:t>
      </w:r>
      <w:proofErr w:type="gramEnd"/>
      <w:r w:rsidRPr="00875388">
        <w:rPr>
          <w:sz w:val="24"/>
          <w:lang w:val="cs-CZ"/>
        </w:rPr>
        <w:t>.</w:t>
      </w:r>
    </w:p>
  </w:footnote>
  <w:footnote w:id="28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Evropská komise: Generální ředitelství pro regionální a městskou politiku a Generální ředitelství pro komunikaci, </w:t>
      </w:r>
      <w:r w:rsidRPr="00875388">
        <w:rPr>
          <w:i/>
          <w:iCs/>
          <w:sz w:val="24"/>
          <w:lang w:val="cs-CZ"/>
        </w:rPr>
        <w:t>Osvěta občanů a vnímání regionální politiky EU</w:t>
      </w:r>
      <w:r w:rsidRPr="00875388">
        <w:rPr>
          <w:sz w:val="24"/>
          <w:lang w:val="cs-CZ"/>
        </w:rPr>
        <w:t xml:space="preserve">, bleskový průzkum </w:t>
      </w:r>
      <w:proofErr w:type="spellStart"/>
      <w:r w:rsidRPr="00875388">
        <w:rPr>
          <w:sz w:val="24"/>
          <w:lang w:val="cs-CZ"/>
        </w:rPr>
        <w:t>Eurobarometr</w:t>
      </w:r>
      <w:proofErr w:type="spellEnd"/>
      <w:r w:rsidRPr="00875388">
        <w:rPr>
          <w:sz w:val="24"/>
          <w:lang w:val="cs-CZ"/>
        </w:rPr>
        <w:t xml:space="preserve"> 531, 2023.</w:t>
      </w:r>
    </w:p>
  </w:footnote>
  <w:footnote w:id="29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Bleskový průzkum </w:t>
      </w:r>
      <w:proofErr w:type="spellStart"/>
      <w:r w:rsidRPr="00875388">
        <w:rPr>
          <w:sz w:val="24"/>
          <w:lang w:val="cs-CZ"/>
        </w:rPr>
        <w:t>Eurobarometr</w:t>
      </w:r>
      <w:proofErr w:type="spellEnd"/>
      <w:r w:rsidRPr="00875388">
        <w:rPr>
          <w:sz w:val="24"/>
          <w:lang w:val="cs-CZ"/>
        </w:rPr>
        <w:t xml:space="preserve"> 531, op. </w:t>
      </w:r>
      <w:proofErr w:type="gramStart"/>
      <w:r w:rsidRPr="00875388">
        <w:rPr>
          <w:sz w:val="24"/>
          <w:lang w:val="cs-CZ"/>
        </w:rPr>
        <w:t>cit</w:t>
      </w:r>
      <w:proofErr w:type="gramEnd"/>
      <w:r w:rsidRPr="00875388">
        <w:rPr>
          <w:sz w:val="24"/>
          <w:lang w:val="cs-CZ"/>
        </w:rPr>
        <w:t>.</w:t>
      </w:r>
    </w:p>
  </w:footnote>
  <w:footnote w:id="30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 xml:space="preserve">Evropský účetní dvůr, </w:t>
      </w:r>
      <w:r w:rsidRPr="00875388">
        <w:rPr>
          <w:i/>
          <w:sz w:val="24"/>
          <w:lang w:val="cs-CZ"/>
        </w:rPr>
        <w:t xml:space="preserve">Rapid case </w:t>
      </w:r>
      <w:proofErr w:type="spellStart"/>
      <w:r w:rsidRPr="00875388">
        <w:rPr>
          <w:i/>
          <w:sz w:val="24"/>
          <w:lang w:val="cs-CZ"/>
        </w:rPr>
        <w:t>review</w:t>
      </w:r>
      <w:proofErr w:type="spellEnd"/>
      <w:r w:rsidRPr="00875388">
        <w:rPr>
          <w:i/>
          <w:sz w:val="24"/>
          <w:lang w:val="cs-CZ"/>
        </w:rPr>
        <w:t xml:space="preserve"> – </w:t>
      </w:r>
      <w:proofErr w:type="spellStart"/>
      <w:r w:rsidRPr="00875388">
        <w:rPr>
          <w:i/>
          <w:sz w:val="24"/>
          <w:lang w:val="cs-CZ"/>
        </w:rPr>
        <w:t>Allocation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of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Cohesion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policy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funding</w:t>
      </w:r>
      <w:proofErr w:type="spellEnd"/>
      <w:r w:rsidRPr="00875388">
        <w:rPr>
          <w:i/>
          <w:sz w:val="24"/>
          <w:lang w:val="cs-CZ"/>
        </w:rPr>
        <w:t xml:space="preserve"> to </w:t>
      </w:r>
      <w:proofErr w:type="spellStart"/>
      <w:r w:rsidRPr="00875388">
        <w:rPr>
          <w:i/>
          <w:sz w:val="24"/>
          <w:lang w:val="cs-CZ"/>
        </w:rPr>
        <w:t>Member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States</w:t>
      </w:r>
      <w:proofErr w:type="spellEnd"/>
      <w:r w:rsidRPr="00875388">
        <w:rPr>
          <w:i/>
          <w:sz w:val="24"/>
          <w:lang w:val="cs-CZ"/>
        </w:rPr>
        <w:t xml:space="preserve"> </w:t>
      </w:r>
      <w:proofErr w:type="spellStart"/>
      <w:r w:rsidRPr="00875388">
        <w:rPr>
          <w:i/>
          <w:sz w:val="24"/>
          <w:lang w:val="cs-CZ"/>
        </w:rPr>
        <w:t>for</w:t>
      </w:r>
      <w:proofErr w:type="spellEnd"/>
      <w:r w:rsidRPr="00875388">
        <w:rPr>
          <w:i/>
          <w:sz w:val="24"/>
          <w:lang w:val="cs-CZ"/>
        </w:rPr>
        <w:t xml:space="preserve"> 2021–2027 (Rychlý přezkum – Přidělení finančních prostředků na politiku soudržnosti členským státům na období 2021–2027),</w:t>
      </w:r>
      <w:r w:rsidRPr="00875388">
        <w:rPr>
          <w:sz w:val="24"/>
          <w:lang w:val="cs-CZ"/>
        </w:rPr>
        <w:t xml:space="preserve"> březen 2019.</w:t>
      </w:r>
    </w:p>
  </w:footnote>
  <w:footnote w:id="31">
    <w:p w:rsidR="008D18DA" w:rsidRPr="00875388" w:rsidRDefault="008D18DA" w:rsidP="00875388">
      <w:pPr>
        <w:pStyle w:val="FootnoteText"/>
        <w:ind w:left="567" w:hanging="567"/>
        <w:rPr>
          <w:sz w:val="24"/>
          <w:lang w:val="cs-CZ"/>
        </w:rPr>
      </w:pPr>
      <w:r w:rsidRPr="00875388">
        <w:rPr>
          <w:rStyle w:val="FootnoteReference"/>
          <w:sz w:val="24"/>
          <w:lang w:val="cs-CZ"/>
        </w:rPr>
        <w:footnoteRef/>
      </w:r>
      <w:r w:rsidR="00875388" w:rsidRPr="00875388">
        <w:rPr>
          <w:sz w:val="24"/>
          <w:lang w:val="cs-CZ"/>
        </w:rPr>
        <w:t xml:space="preserve"> </w:t>
      </w:r>
      <w:r w:rsidR="00875388" w:rsidRPr="00875388">
        <w:rPr>
          <w:sz w:val="24"/>
          <w:lang w:val="cs-CZ"/>
        </w:rPr>
        <w:tab/>
      </w:r>
      <w:r w:rsidRPr="00875388">
        <w:rPr>
          <w:sz w:val="24"/>
          <w:lang w:val="cs-CZ"/>
        </w:rPr>
        <w:t>Sdělení Komise ze dne 29. dubna 2021 nazvané „Pokyny k regionální státní podpoře“ (</w:t>
      </w:r>
      <w:proofErr w:type="spellStart"/>
      <w:r w:rsidRPr="00875388">
        <w:rPr>
          <w:sz w:val="24"/>
          <w:lang w:val="cs-CZ"/>
        </w:rPr>
        <w:t>Úř</w:t>
      </w:r>
      <w:proofErr w:type="spellEnd"/>
      <w:r w:rsidRPr="00875388">
        <w:rPr>
          <w:sz w:val="24"/>
          <w:lang w:val="cs-CZ"/>
        </w:rPr>
        <w:t>. </w:t>
      </w:r>
      <w:proofErr w:type="spellStart"/>
      <w:proofErr w:type="gramStart"/>
      <w:r w:rsidRPr="00875388">
        <w:rPr>
          <w:sz w:val="24"/>
          <w:lang w:val="cs-CZ"/>
        </w:rPr>
        <w:t>věst</w:t>
      </w:r>
      <w:proofErr w:type="spellEnd"/>
      <w:proofErr w:type="gramEnd"/>
      <w:r w:rsidRPr="00875388">
        <w:rPr>
          <w:sz w:val="24"/>
          <w:lang w:val="cs-CZ"/>
        </w:rPr>
        <w:t xml:space="preserve">. C 153, </w:t>
      </w:r>
      <w:proofErr w:type="gramStart"/>
      <w:r w:rsidRPr="00875388">
        <w:rPr>
          <w:sz w:val="24"/>
          <w:lang w:val="cs-CZ"/>
        </w:rPr>
        <w:t>29.4.2021</w:t>
      </w:r>
      <w:proofErr w:type="gramEnd"/>
      <w:r w:rsidRPr="00875388">
        <w:rPr>
          <w:sz w:val="24"/>
          <w:lang w:val="cs-CZ"/>
        </w:rPr>
        <w:t>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CF569318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84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68A6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E8E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C99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3C2F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E4B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26E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5CC8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44DAEC6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5500A1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A3424F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B2276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32CC4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46A3D6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84E51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C54C0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6747A1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6/2025"/>
    <w:docVar w:name="dvlangue" w:val="CS"/>
    <w:docVar w:name="dvnumam" w:val="0"/>
    <w:docVar w:name="dvpe" w:val="766.926"/>
    <w:docVar w:name="dvrapporteur" w:val="Zpravodaj: "/>
    <w:docVar w:name="dvtitre" w:val="Usnesení Evropského parlamentu ze dne.... 2025 o deváté zprávě o hospodářské a sociální soudržnosti(2024/2107(INI))"/>
  </w:docVars>
  <w:rsids>
    <w:rsidRoot w:val="00EA19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FA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E57"/>
    <w:rsid w:val="007D1690"/>
    <w:rsid w:val="007E22AD"/>
    <w:rsid w:val="00817416"/>
    <w:rsid w:val="00842779"/>
    <w:rsid w:val="00865F67"/>
    <w:rsid w:val="00875388"/>
    <w:rsid w:val="00881A7B"/>
    <w:rsid w:val="008840E5"/>
    <w:rsid w:val="00887B3E"/>
    <w:rsid w:val="008C2AC6"/>
    <w:rsid w:val="008D18DA"/>
    <w:rsid w:val="00930C23"/>
    <w:rsid w:val="0093193B"/>
    <w:rsid w:val="00937A2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3C8"/>
    <w:rsid w:val="00C941CB"/>
    <w:rsid w:val="00CC2357"/>
    <w:rsid w:val="00CF071A"/>
    <w:rsid w:val="00D04AC2"/>
    <w:rsid w:val="00D058B8"/>
    <w:rsid w:val="00D56C11"/>
    <w:rsid w:val="00D834A0"/>
    <w:rsid w:val="00D872DF"/>
    <w:rsid w:val="00D91E21"/>
    <w:rsid w:val="00DA7FCD"/>
    <w:rsid w:val="00E365E1"/>
    <w:rsid w:val="00E820A4"/>
    <w:rsid w:val="00EA1969"/>
    <w:rsid w:val="00EB006A"/>
    <w:rsid w:val="00EB4772"/>
    <w:rsid w:val="00ED169E"/>
    <w:rsid w:val="00ED4235"/>
    <w:rsid w:val="00F04346"/>
    <w:rsid w:val="00F075DC"/>
    <w:rsid w:val="00F149E9"/>
    <w:rsid w:val="00F24D2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681D7"/>
  <w15:chartTrackingRefBased/>
  <w15:docId w15:val="{EBA43441-E3BD-4DB9-8501-9639502E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D18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D18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D18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D18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D18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D18D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D18D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D18D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D18D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8D18DA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8D18DA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8D18DA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8D18DA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8D18DA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8D18D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8D18DA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8D18DA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8D18DA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8D18DA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8D18DA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8D18DA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8D18DA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link w:val="PageHeadingChar"/>
    <w:rsid w:val="008D18DA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8D18DA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8D18DA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8D18DA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8D18DA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8D18DA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8D18DA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8D18DA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8D18DA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8D18D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8D18DA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8D18DA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8D18DA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8D18DA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8D18DA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8D18DA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8D18DA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8D18DA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8D18DA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8D18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8D18DA"/>
    <w:pPr>
      <w:spacing w:before="240" w:after="240"/>
      <w:jc w:val="right"/>
    </w:pPr>
  </w:style>
  <w:style w:type="paragraph" w:customStyle="1" w:styleId="AnnexWPDate">
    <w:name w:val="AnnexWPDate"/>
    <w:basedOn w:val="Normal"/>
    <w:rsid w:val="008D18DA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8D18DA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8D18DA"/>
    <w:pPr>
      <w:spacing w:before="120" w:after="120"/>
    </w:pPr>
  </w:style>
  <w:style w:type="paragraph" w:customStyle="1" w:styleId="AnnexWPSmall">
    <w:name w:val="AnnexWPSmall"/>
    <w:basedOn w:val="Normal"/>
    <w:rsid w:val="008D18DA"/>
    <w:rPr>
      <w:smallCaps/>
      <w:sz w:val="20"/>
    </w:rPr>
  </w:style>
  <w:style w:type="paragraph" w:customStyle="1" w:styleId="AnnexWPTabs">
    <w:name w:val="AnnexWPTabs"/>
    <w:basedOn w:val="Normal"/>
    <w:rsid w:val="008D18DA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8D18DA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8D18DA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8D18DA"/>
    <w:pPr>
      <w:spacing w:after="240"/>
      <w:ind w:left="1418"/>
    </w:pPr>
  </w:style>
  <w:style w:type="paragraph" w:customStyle="1" w:styleId="Confidential">
    <w:name w:val="Confidential"/>
    <w:basedOn w:val="Normal"/>
    <w:rsid w:val="008D18DA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8D18DA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8D18DA"/>
    <w:pPr>
      <w:spacing w:before="240" w:after="1200"/>
    </w:pPr>
  </w:style>
  <w:style w:type="paragraph" w:customStyle="1" w:styleId="CoverDocType">
    <w:name w:val="CoverDocType"/>
    <w:basedOn w:val="Normal"/>
    <w:rsid w:val="008D18DA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8D18DA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8D18DA"/>
    <w:pPr>
      <w:spacing w:after="240"/>
      <w:jc w:val="center"/>
    </w:pPr>
  </w:style>
  <w:style w:type="paragraph" w:customStyle="1" w:styleId="Normal6a">
    <w:name w:val="Normal6a"/>
    <w:basedOn w:val="Normal"/>
    <w:rsid w:val="008D18DA"/>
    <w:pPr>
      <w:spacing w:after="120"/>
    </w:pPr>
  </w:style>
  <w:style w:type="paragraph" w:customStyle="1" w:styleId="NormalBold12b">
    <w:name w:val="NormalBold12b"/>
    <w:basedOn w:val="Normal"/>
    <w:rsid w:val="008D18DA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8D18DA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8D18DA"/>
    <w:rPr>
      <w:b/>
    </w:rPr>
  </w:style>
  <w:style w:type="character" w:customStyle="1" w:styleId="BoldItalic">
    <w:name w:val="BoldItalic"/>
    <w:uiPriority w:val="1"/>
    <w:rsid w:val="008D18DA"/>
    <w:rPr>
      <w:b/>
      <w:i/>
      <w:u w:val="none"/>
    </w:rPr>
  </w:style>
  <w:style w:type="character" w:customStyle="1" w:styleId="BoldItalicUnderline">
    <w:name w:val="BoldItalicUnderline"/>
    <w:uiPriority w:val="1"/>
    <w:rsid w:val="008D18DA"/>
    <w:rPr>
      <w:b/>
      <w:i/>
      <w:u w:val="single"/>
    </w:rPr>
  </w:style>
  <w:style w:type="character" w:customStyle="1" w:styleId="BoldUnderline">
    <w:name w:val="BoldUnderline"/>
    <w:uiPriority w:val="1"/>
    <w:rsid w:val="008D18DA"/>
    <w:rPr>
      <w:b/>
      <w:u w:val="single"/>
    </w:rPr>
  </w:style>
  <w:style w:type="paragraph" w:customStyle="1" w:styleId="CoverNormalLeft">
    <w:name w:val="CoverNormalLeft"/>
    <w:basedOn w:val="CoverNormal"/>
    <w:qFormat/>
    <w:rsid w:val="008D18DA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8D18DA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cs-CZ"/>
    </w:rPr>
  </w:style>
  <w:style w:type="character" w:customStyle="1" w:styleId="EPFooter2Motto">
    <w:name w:val="EPFooter2Motto"/>
    <w:uiPriority w:val="1"/>
    <w:qFormat/>
    <w:rsid w:val="008D18DA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8D18DA"/>
    <w:pPr>
      <w:tabs>
        <w:tab w:val="center" w:pos="6804"/>
        <w:tab w:val="right" w:pos="15026"/>
      </w:tabs>
    </w:pPr>
    <w:rPr>
      <w:sz w:val="22"/>
      <w:lang w:val="cs-CZ"/>
    </w:rPr>
  </w:style>
  <w:style w:type="character" w:customStyle="1" w:styleId="Italic">
    <w:name w:val="Italic"/>
    <w:uiPriority w:val="1"/>
    <w:rsid w:val="008D18DA"/>
    <w:rPr>
      <w:i/>
    </w:rPr>
  </w:style>
  <w:style w:type="character" w:customStyle="1" w:styleId="ItalicUnderline">
    <w:name w:val="ItalicUnderline"/>
    <w:uiPriority w:val="1"/>
    <w:rsid w:val="008D18DA"/>
    <w:rPr>
      <w:i/>
      <w:u w:val="single"/>
    </w:rPr>
  </w:style>
  <w:style w:type="paragraph" w:customStyle="1" w:styleId="LegendSign">
    <w:name w:val="LegendSign"/>
    <w:basedOn w:val="Normal"/>
    <w:qFormat/>
    <w:rsid w:val="008D18DA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8D18DA"/>
    <w:pPr>
      <w:ind w:left="0" w:firstLine="0"/>
    </w:pPr>
  </w:style>
  <w:style w:type="paragraph" w:customStyle="1" w:styleId="LegendTitle">
    <w:name w:val="LegendTitle"/>
    <w:basedOn w:val="Normal"/>
    <w:qFormat/>
    <w:rsid w:val="008D18DA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8D18DA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8D18DA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8D18DA"/>
    <w:pPr>
      <w:spacing w:after="240"/>
    </w:pPr>
  </w:style>
  <w:style w:type="paragraph" w:customStyle="1" w:styleId="Normal12b">
    <w:name w:val="Normal12b"/>
    <w:basedOn w:val="Normal"/>
    <w:qFormat/>
    <w:rsid w:val="008D18DA"/>
    <w:pPr>
      <w:spacing w:before="240"/>
    </w:pPr>
  </w:style>
  <w:style w:type="paragraph" w:customStyle="1" w:styleId="NormalBoldUnderline24b">
    <w:name w:val="NormalBoldUnderline24b"/>
    <w:basedOn w:val="Normal"/>
    <w:qFormat/>
    <w:rsid w:val="008D18DA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8D18DA"/>
    <w:pPr>
      <w:spacing w:after="240"/>
    </w:pPr>
  </w:style>
  <w:style w:type="paragraph" w:customStyle="1" w:styleId="Normal12aBullet1">
    <w:name w:val="Normal12aBullet1"/>
    <w:basedOn w:val="Normal"/>
    <w:qFormat/>
    <w:rsid w:val="008D18DA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8D18DA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8D18DA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8D18DA"/>
    <w:pPr>
      <w:ind w:left="1417"/>
    </w:pPr>
  </w:style>
  <w:style w:type="paragraph" w:customStyle="1" w:styleId="NormalHanging12a3">
    <w:name w:val="NormalHanging12a3"/>
    <w:basedOn w:val="NormalHanging12a2"/>
    <w:qFormat/>
    <w:rsid w:val="008D18DA"/>
    <w:pPr>
      <w:ind w:left="1843"/>
    </w:pPr>
  </w:style>
  <w:style w:type="paragraph" w:customStyle="1" w:styleId="NormalHanging12a4">
    <w:name w:val="NormalHanging12a4"/>
    <w:basedOn w:val="NormalHanging12a3"/>
    <w:qFormat/>
    <w:rsid w:val="008D18DA"/>
    <w:pPr>
      <w:ind w:left="2268"/>
    </w:pPr>
  </w:style>
  <w:style w:type="paragraph" w:customStyle="1" w:styleId="NormalHanging12a5">
    <w:name w:val="NormalHanging12a5"/>
    <w:basedOn w:val="NormalHanging12a4"/>
    <w:qFormat/>
    <w:rsid w:val="008D18DA"/>
    <w:pPr>
      <w:ind w:left="2693"/>
    </w:pPr>
  </w:style>
  <w:style w:type="paragraph" w:customStyle="1" w:styleId="NormalHanging12a6">
    <w:name w:val="NormalHanging12a6"/>
    <w:basedOn w:val="NormalHanging12a5"/>
    <w:qFormat/>
    <w:rsid w:val="008D18DA"/>
    <w:pPr>
      <w:ind w:left="3118"/>
    </w:pPr>
  </w:style>
  <w:style w:type="paragraph" w:customStyle="1" w:styleId="NormalHanging12a7">
    <w:name w:val="NormalHanging12a7"/>
    <w:basedOn w:val="NormalHanging12a6"/>
    <w:qFormat/>
    <w:rsid w:val="008D18DA"/>
    <w:pPr>
      <w:ind w:left="3544"/>
    </w:pPr>
  </w:style>
  <w:style w:type="paragraph" w:customStyle="1" w:styleId="NormalHangingCenter">
    <w:name w:val="NormalHangingCenter"/>
    <w:basedOn w:val="Normal"/>
    <w:qFormat/>
    <w:rsid w:val="008D18DA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8D18DA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8D18DA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8D18DA"/>
    <w:pPr>
      <w:spacing w:line="120" w:lineRule="auto"/>
    </w:pPr>
    <w:rPr>
      <w:color w:val="000000"/>
      <w:sz w:val="4"/>
      <w:szCs w:val="24"/>
      <w:lang w:val="cs-CZ"/>
    </w:rPr>
  </w:style>
  <w:style w:type="character" w:customStyle="1" w:styleId="NormalBI">
    <w:name w:val="NormalBI"/>
    <w:basedOn w:val="DefaultParagraphFont"/>
    <w:uiPriority w:val="1"/>
    <w:qFormat/>
    <w:rsid w:val="008D18DA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8D18DA"/>
    <w:rPr>
      <w:b/>
      <w:i/>
    </w:rPr>
  </w:style>
  <w:style w:type="paragraph" w:customStyle="1" w:styleId="NormalBoldItalicCenter6a">
    <w:name w:val="NormalBoldItalicCenter6a"/>
    <w:basedOn w:val="Normal6a"/>
    <w:qFormat/>
    <w:rsid w:val="008D18DA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8D18DA"/>
    <w:rPr>
      <w:i/>
    </w:rPr>
  </w:style>
  <w:style w:type="paragraph" w:customStyle="1" w:styleId="PageHeadingNotTOC">
    <w:name w:val="PageHeadingNotTOC"/>
    <w:basedOn w:val="PageHeading"/>
    <w:rsid w:val="008D18DA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8D18DA"/>
    <w:rPr>
      <w:vertAlign w:val="subscript"/>
    </w:rPr>
  </w:style>
  <w:style w:type="character" w:customStyle="1" w:styleId="SubBold">
    <w:name w:val="SubBold"/>
    <w:uiPriority w:val="1"/>
    <w:qFormat/>
    <w:rsid w:val="008D18DA"/>
    <w:rPr>
      <w:b/>
      <w:vertAlign w:val="subscript"/>
    </w:rPr>
  </w:style>
  <w:style w:type="character" w:customStyle="1" w:styleId="SubBoldItalic">
    <w:name w:val="SubBoldItalic"/>
    <w:uiPriority w:val="1"/>
    <w:rsid w:val="008D18DA"/>
    <w:rPr>
      <w:b/>
      <w:i/>
      <w:vertAlign w:val="subscript"/>
    </w:rPr>
  </w:style>
  <w:style w:type="character" w:customStyle="1" w:styleId="SubItalic">
    <w:name w:val="SubItalic"/>
    <w:uiPriority w:val="1"/>
    <w:qFormat/>
    <w:rsid w:val="008D18DA"/>
    <w:rPr>
      <w:b/>
      <w:i/>
      <w:vertAlign w:val="subscript"/>
    </w:rPr>
  </w:style>
  <w:style w:type="character" w:customStyle="1" w:styleId="Sup">
    <w:name w:val="Sup"/>
    <w:uiPriority w:val="1"/>
    <w:rsid w:val="008D18DA"/>
    <w:rPr>
      <w:vertAlign w:val="superscript"/>
    </w:rPr>
  </w:style>
  <w:style w:type="character" w:customStyle="1" w:styleId="SupBoldItalic">
    <w:name w:val="SupBoldItalic"/>
    <w:uiPriority w:val="1"/>
    <w:qFormat/>
    <w:rsid w:val="008D18DA"/>
    <w:rPr>
      <w:b/>
      <w:i/>
      <w:vertAlign w:val="superscript"/>
    </w:rPr>
  </w:style>
  <w:style w:type="character" w:customStyle="1" w:styleId="Underline">
    <w:name w:val="Underline"/>
    <w:uiPriority w:val="1"/>
    <w:rsid w:val="008D18DA"/>
    <w:rPr>
      <w:u w:val="single"/>
    </w:rPr>
  </w:style>
  <w:style w:type="paragraph" w:customStyle="1" w:styleId="NormalBoldCenter">
    <w:name w:val="NormalBoldCenter"/>
    <w:basedOn w:val="Normal"/>
    <w:rsid w:val="008D18DA"/>
    <w:pPr>
      <w:jc w:val="center"/>
    </w:pPr>
    <w:rPr>
      <w:b/>
    </w:rPr>
  </w:style>
  <w:style w:type="paragraph" w:customStyle="1" w:styleId="ProcedureTable">
    <w:name w:val="ProcedureTable"/>
    <w:basedOn w:val="Normal"/>
    <w:rsid w:val="008D18DA"/>
    <w:rPr>
      <w:sz w:val="20"/>
    </w:rPr>
  </w:style>
  <w:style w:type="paragraph" w:customStyle="1" w:styleId="ProcedureTableBold">
    <w:name w:val="ProcedureTableBold"/>
    <w:basedOn w:val="Normal"/>
    <w:rsid w:val="008D18DA"/>
    <w:rPr>
      <w:b/>
      <w:sz w:val="20"/>
    </w:rPr>
  </w:style>
  <w:style w:type="paragraph" w:customStyle="1" w:styleId="NormalCenter">
    <w:name w:val="NormalCenter"/>
    <w:basedOn w:val="Normal"/>
    <w:rsid w:val="008D18DA"/>
    <w:pPr>
      <w:jc w:val="center"/>
    </w:pPr>
  </w:style>
  <w:style w:type="character" w:customStyle="1" w:styleId="SubBoldItalicUnderline">
    <w:name w:val="SubBoldItalicUnderline"/>
    <w:uiPriority w:val="1"/>
    <w:rsid w:val="008D18DA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8D18DA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8D18DA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8D18DA"/>
    <w:rPr>
      <w:u w:val="single"/>
      <w:vertAlign w:val="subscript"/>
    </w:rPr>
  </w:style>
  <w:style w:type="character" w:customStyle="1" w:styleId="SupBold">
    <w:name w:val="SupBold"/>
    <w:uiPriority w:val="1"/>
    <w:rsid w:val="008D18DA"/>
    <w:rPr>
      <w:b/>
      <w:vertAlign w:val="superscript"/>
    </w:rPr>
  </w:style>
  <w:style w:type="character" w:customStyle="1" w:styleId="SupBoldItalicUnderline">
    <w:name w:val="SupBoldItalicUnderline"/>
    <w:uiPriority w:val="1"/>
    <w:rsid w:val="008D18DA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8D18DA"/>
    <w:rPr>
      <w:b/>
      <w:u w:val="single"/>
      <w:vertAlign w:val="superscript"/>
    </w:rPr>
  </w:style>
  <w:style w:type="character" w:customStyle="1" w:styleId="SupItalic">
    <w:name w:val="SupItalic"/>
    <w:uiPriority w:val="1"/>
    <w:rsid w:val="008D18DA"/>
    <w:rPr>
      <w:i/>
      <w:vertAlign w:val="superscript"/>
    </w:rPr>
  </w:style>
  <w:style w:type="character" w:customStyle="1" w:styleId="SupItalicUnderline">
    <w:name w:val="SupItalicUnderline"/>
    <w:uiPriority w:val="1"/>
    <w:rsid w:val="008D18DA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8D18DA"/>
    <w:rPr>
      <w:u w:val="single"/>
      <w:vertAlign w:val="superscript"/>
    </w:rPr>
  </w:style>
  <w:style w:type="paragraph" w:customStyle="1" w:styleId="Normal24a">
    <w:name w:val="Normal24a"/>
    <w:basedOn w:val="Normal"/>
    <w:rsid w:val="008D18DA"/>
    <w:pPr>
      <w:spacing w:after="480"/>
    </w:pPr>
  </w:style>
  <w:style w:type="paragraph" w:customStyle="1" w:styleId="Normal12a24b">
    <w:name w:val="Normal12a24b"/>
    <w:basedOn w:val="Normal"/>
    <w:rsid w:val="008D18DA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8D18DA"/>
    <w:pPr>
      <w:tabs>
        <w:tab w:val="center" w:pos="284"/>
        <w:tab w:val="left" w:pos="425"/>
      </w:tabs>
    </w:pPr>
  </w:style>
  <w:style w:type="character" w:customStyle="1" w:styleId="NormalHanging12aChar">
    <w:name w:val="NormalHanging12a Char"/>
    <w:basedOn w:val="DefaultParagraphFont"/>
    <w:link w:val="NormalHanging12a"/>
    <w:rsid w:val="008D18DA"/>
    <w:rPr>
      <w:snapToGrid w:val="0"/>
      <w:sz w:val="24"/>
      <w:lang w:val="cs-CZ" w:eastAsia="en-US"/>
    </w:rPr>
  </w:style>
  <w:style w:type="character" w:styleId="Emphasis">
    <w:name w:val="Emphasis"/>
    <w:basedOn w:val="DefaultParagraphFont"/>
    <w:uiPriority w:val="20"/>
    <w:qFormat/>
    <w:rsid w:val="008D18DA"/>
    <w:rPr>
      <w:i/>
      <w:iCs/>
    </w:rPr>
  </w:style>
  <w:style w:type="character" w:styleId="Hyperlink">
    <w:name w:val="Hyperlink"/>
    <w:basedOn w:val="DefaultParagraphFont"/>
    <w:uiPriority w:val="99"/>
    <w:unhideWhenUsed/>
    <w:rsid w:val="008D18DA"/>
    <w:rPr>
      <w:color w:val="0000FF"/>
      <w:u w:val="single"/>
    </w:rPr>
  </w:style>
  <w:style w:type="paragraph" w:customStyle="1" w:styleId="Footprint12b">
    <w:name w:val="Footprint12b"/>
    <w:basedOn w:val="Normal"/>
    <w:rsid w:val="008D18D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D18DA"/>
    <w:rPr>
      <w:szCs w:val="24"/>
    </w:rPr>
  </w:style>
  <w:style w:type="paragraph" w:styleId="Footer">
    <w:name w:val="footer"/>
    <w:basedOn w:val="Normal"/>
    <w:link w:val="FooterChar"/>
    <w:unhideWhenUsed/>
    <w:rsid w:val="008D18DA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8D18DA"/>
    <w:rPr>
      <w:snapToGrid w:val="0"/>
      <w:sz w:val="24"/>
      <w:lang w:val="cs-CZ" w:eastAsia="en-US"/>
    </w:rPr>
  </w:style>
  <w:style w:type="paragraph" w:customStyle="1" w:styleId="RollCallVotes">
    <w:name w:val="RollCallVotes"/>
    <w:basedOn w:val="Normal"/>
    <w:rsid w:val="008D18D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8D18D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8D18D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8D18D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Salutation">
    <w:name w:val="LetterSalutation"/>
    <w:basedOn w:val="Normal"/>
    <w:rsid w:val="008D18DA"/>
    <w:pPr>
      <w:spacing w:before="600" w:after="360"/>
    </w:pPr>
  </w:style>
  <w:style w:type="paragraph" w:customStyle="1" w:styleId="LetterSubject">
    <w:name w:val="LetterSubject"/>
    <w:basedOn w:val="Normal"/>
    <w:rsid w:val="008D18D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D18DA"/>
    <w:pPr>
      <w:spacing w:before="1320"/>
    </w:pPr>
  </w:style>
  <w:style w:type="paragraph" w:customStyle="1" w:styleId="Normal12">
    <w:name w:val="Normal12"/>
    <w:basedOn w:val="Normal"/>
    <w:link w:val="Normal12Char"/>
    <w:rsid w:val="008D18DA"/>
    <w:pPr>
      <w:spacing w:after="240"/>
    </w:pPr>
    <w:rPr>
      <w:rFonts w:ascii="Arial" w:hAnsi="Arial" w:cs="Arial"/>
      <w:snapToGrid w:val="0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8D18DA"/>
    <w:rPr>
      <w:rFonts w:ascii="Arial" w:hAnsi="Arial" w:cs="Arial"/>
      <w:b/>
      <w:snapToGrid w:val="0"/>
      <w:sz w:val="24"/>
      <w:lang w:val="cs-CZ" w:eastAsia="en-US"/>
    </w:rPr>
  </w:style>
  <w:style w:type="character" w:customStyle="1" w:styleId="Normal12Char">
    <w:name w:val="Normal12 Char"/>
    <w:basedOn w:val="PageHeadingChar"/>
    <w:link w:val="Normal12"/>
    <w:rsid w:val="008D18DA"/>
    <w:rPr>
      <w:rFonts w:ascii="Arial" w:hAnsi="Arial" w:cs="Arial"/>
      <w:b w:val="0"/>
      <w:snapToGrid w:val="0"/>
      <w:sz w:val="24"/>
      <w:lang w:val="cs-CZ" w:eastAsia="en-US"/>
    </w:rPr>
  </w:style>
  <w:style w:type="paragraph" w:styleId="BalloonText">
    <w:name w:val="Balloon Text"/>
    <w:basedOn w:val="Normal"/>
    <w:link w:val="BalloonTextChar"/>
    <w:rsid w:val="007D0E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0E5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1057/oj" TargetMode="External"/><Relationship Id="rId13" Type="http://schemas.openxmlformats.org/officeDocument/2006/relationships/hyperlink" Target="http://data.europa.eu/eli/reg/2020/460/oj" TargetMode="External"/><Relationship Id="rId18" Type="http://schemas.openxmlformats.org/officeDocument/2006/relationships/hyperlink" Target="http://data.europa.eu/eli/reg/2020/461/oj" TargetMode="External"/><Relationship Id="rId26" Type="http://schemas.openxmlformats.org/officeDocument/2006/relationships/hyperlink" Target="https://eur-lex.europa.eu/legal-content/CS/TXT/?uri=CELEX:52022IP0326" TargetMode="External"/><Relationship Id="rId3" Type="http://schemas.openxmlformats.org/officeDocument/2006/relationships/hyperlink" Target="http://data.europa.eu/eli/reg/2021/1058/oj" TargetMode="External"/><Relationship Id="rId21" Type="http://schemas.openxmlformats.org/officeDocument/2006/relationships/hyperlink" Target="http://data.europa.eu/eli/reg/2022/562/oj" TargetMode="External"/><Relationship Id="rId7" Type="http://schemas.openxmlformats.org/officeDocument/2006/relationships/hyperlink" Target="http://data.europa.eu/eli/reg/2021/1057/oj" TargetMode="External"/><Relationship Id="rId12" Type="http://schemas.openxmlformats.org/officeDocument/2006/relationships/hyperlink" Target="http://data.europa.eu/eli/reg/2021/2115/oj" TargetMode="External"/><Relationship Id="rId17" Type="http://schemas.openxmlformats.org/officeDocument/2006/relationships/hyperlink" Target="http://data.europa.eu/eli/reg/2020/461/oj" TargetMode="External"/><Relationship Id="rId25" Type="http://schemas.openxmlformats.org/officeDocument/2006/relationships/hyperlink" Target="http://data.europa.eu/eli/C/2024/4668/oj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://data.europa.eu/eli/reg/2020/558/oj" TargetMode="External"/><Relationship Id="rId20" Type="http://schemas.openxmlformats.org/officeDocument/2006/relationships/hyperlink" Target="http://data.europa.eu/eli/reg/2020/2221/oj" TargetMode="External"/><Relationship Id="rId29" Type="http://schemas.openxmlformats.org/officeDocument/2006/relationships/hyperlink" Target="http://data.europa.eu/eli/C/2024/656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1059/oj" TargetMode="External"/><Relationship Id="rId11" Type="http://schemas.openxmlformats.org/officeDocument/2006/relationships/hyperlink" Target="http://data.europa.eu/eli/reg/2021/2115/oj" TargetMode="External"/><Relationship Id="rId24" Type="http://schemas.openxmlformats.org/officeDocument/2006/relationships/hyperlink" Target="http://data.europa.eu/eli/reg/2022/2039/oj" TargetMode="External"/><Relationship Id="rId5" Type="http://schemas.openxmlformats.org/officeDocument/2006/relationships/hyperlink" Target="http://data.europa.eu/eli/reg/2021/1059/oj" TargetMode="External"/><Relationship Id="rId15" Type="http://schemas.openxmlformats.org/officeDocument/2006/relationships/hyperlink" Target="http://data.europa.eu/eli/reg/2020/558/oj" TargetMode="External"/><Relationship Id="rId23" Type="http://schemas.openxmlformats.org/officeDocument/2006/relationships/hyperlink" Target="http://data.europa.eu/eli/reg/2022/2039/oj" TargetMode="External"/><Relationship Id="rId28" Type="http://schemas.openxmlformats.org/officeDocument/2006/relationships/hyperlink" Target="http://data.europa.eu/eli/C/2024/4225/oj" TargetMode="External"/><Relationship Id="rId10" Type="http://schemas.openxmlformats.org/officeDocument/2006/relationships/hyperlink" Target="http://data.europa.eu/eli/reg/2021/1056/oj" TargetMode="External"/><Relationship Id="rId19" Type="http://schemas.openxmlformats.org/officeDocument/2006/relationships/hyperlink" Target="http://data.europa.eu/eli/reg/2020/222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1/1056/oj" TargetMode="External"/><Relationship Id="rId14" Type="http://schemas.openxmlformats.org/officeDocument/2006/relationships/hyperlink" Target="http://data.europa.eu/eli/reg/2020/460/oj" TargetMode="External"/><Relationship Id="rId22" Type="http://schemas.openxmlformats.org/officeDocument/2006/relationships/hyperlink" Target="http://data.europa.eu/eli/reg/2022/562/oj" TargetMode="External"/><Relationship Id="rId27" Type="http://schemas.openxmlformats.org/officeDocument/2006/relationships/hyperlink" Target="http://data.europa.eu/eli/C/2024/42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2FDB7-2673-4858-BCB8-5C5B5A6B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5593</Words>
  <Characters>33841</Characters>
  <Application>Microsoft Office Word</Application>
  <DocSecurity>0</DocSecurity>
  <Lines>752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2025-06-11T12:42:00Z</dcterms:created>
  <dcterms:modified xsi:type="dcterms:W3CDTF">2025-06-11T12:42:00Z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