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E41D7" w14:paraId="1D04700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38A9F1" w14:textId="77777777" w:rsidR="00751A4A" w:rsidRPr="002E41D7" w:rsidRDefault="003714C1" w:rsidP="0010095E">
            <w:pPr>
              <w:pStyle w:val="EPName"/>
            </w:pPr>
            <w:r w:rsidRPr="002E41D7">
              <w:t>Parlament Europejski</w:t>
            </w:r>
          </w:p>
          <w:p w14:paraId="35DC5BF1" w14:textId="77777777" w:rsidR="00751A4A" w:rsidRPr="002E41D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41D7">
              <w:t>2024</w:t>
            </w:r>
            <w:r w:rsidR="00817416" w:rsidRPr="002E41D7">
              <w:t>-202</w:t>
            </w:r>
            <w:r w:rsidRPr="002E41D7">
              <w:t>9</w:t>
            </w:r>
          </w:p>
        </w:tc>
        <w:tc>
          <w:tcPr>
            <w:tcW w:w="2268" w:type="dxa"/>
            <w:shd w:val="clear" w:color="auto" w:fill="auto"/>
          </w:tcPr>
          <w:p w14:paraId="61BFFAC6" w14:textId="77777777" w:rsidR="00751A4A" w:rsidRPr="002E41D7" w:rsidRDefault="00187494" w:rsidP="0010095E">
            <w:pPr>
              <w:pStyle w:val="EPLogo"/>
            </w:pPr>
            <w:r w:rsidRPr="002E41D7">
              <w:rPr>
                <w:noProof/>
                <w:lang w:val="en-GB"/>
              </w:rPr>
              <w:drawing>
                <wp:inline distT="0" distB="0" distL="0" distR="0" wp14:anchorId="712D58F2" wp14:editId="73BA334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4B4856" w14:textId="77777777" w:rsidR="00D058B8" w:rsidRPr="002E41D7" w:rsidRDefault="00D058B8" w:rsidP="004C5D52">
      <w:pPr>
        <w:pStyle w:val="LineTop"/>
      </w:pPr>
    </w:p>
    <w:p w14:paraId="3922EC20" w14:textId="77777777" w:rsidR="00680577" w:rsidRPr="002E41D7" w:rsidRDefault="003714C1" w:rsidP="00680577">
      <w:pPr>
        <w:pStyle w:val="EPBodyTA1"/>
      </w:pPr>
      <w:r w:rsidRPr="002E41D7">
        <w:t>TEKSTY PRZYJĘTE</w:t>
      </w:r>
    </w:p>
    <w:p w14:paraId="0BC95C26" w14:textId="77777777" w:rsidR="00D058B8" w:rsidRPr="002E41D7" w:rsidRDefault="00D058B8" w:rsidP="00D058B8">
      <w:pPr>
        <w:pStyle w:val="LineBottom"/>
      </w:pPr>
    </w:p>
    <w:p w14:paraId="46E0CD16" w14:textId="77777777" w:rsidR="003714C1" w:rsidRPr="002E41D7" w:rsidRDefault="003714C1" w:rsidP="003714C1">
      <w:pPr>
        <w:pStyle w:val="ATHeading1"/>
      </w:pPr>
      <w:bookmarkStart w:id="0" w:name="TANumber"/>
      <w:r w:rsidRPr="002E41D7">
        <w:t>P10_TA(2025)00</w:t>
      </w:r>
      <w:bookmarkEnd w:id="0"/>
      <w:r w:rsidR="003D31F9">
        <w:t>98</w:t>
      </w:r>
    </w:p>
    <w:p w14:paraId="39289012" w14:textId="77777777" w:rsidR="003714C1" w:rsidRPr="000C16D5" w:rsidRDefault="000C16D5" w:rsidP="003714C1">
      <w:pPr>
        <w:pStyle w:val="ATHeading2"/>
      </w:pPr>
      <w:r w:rsidRPr="000C16D5">
        <w:rPr>
          <w:bCs/>
        </w:rPr>
        <w:t>9. sprawozdanie na temat spójności gospodarczej i społecznej</w:t>
      </w:r>
    </w:p>
    <w:p w14:paraId="642BDC87" w14:textId="77777777" w:rsidR="003714C1" w:rsidRPr="002E41D7" w:rsidRDefault="003714C1" w:rsidP="003714C1">
      <w:pPr>
        <w:rPr>
          <w:i/>
          <w:vanish/>
        </w:rPr>
      </w:pPr>
      <w:r w:rsidRPr="002E41D7">
        <w:rPr>
          <w:i/>
        </w:rPr>
        <w:fldChar w:fldCharType="begin"/>
      </w:r>
      <w:r w:rsidRPr="002E41D7">
        <w:rPr>
          <w:i/>
        </w:rPr>
        <w:instrText xml:space="preserve"> TC"(</w:instrText>
      </w:r>
      <w:bookmarkStart w:id="1" w:name="DocNumber"/>
      <w:r w:rsidRPr="002E41D7">
        <w:rPr>
          <w:i/>
        </w:rPr>
        <w:instrText>A10-0066/2025</w:instrText>
      </w:r>
      <w:bookmarkEnd w:id="1"/>
      <w:r w:rsidRPr="002E41D7">
        <w:rPr>
          <w:i/>
        </w:rPr>
        <w:instrText xml:space="preserve"> - Sprawozdawca: Jacek Protas)"\l3 \n&gt; \* MERGEFORMAT </w:instrText>
      </w:r>
      <w:r w:rsidRPr="002E41D7">
        <w:rPr>
          <w:i/>
        </w:rPr>
        <w:fldChar w:fldCharType="end"/>
      </w:r>
    </w:p>
    <w:p w14:paraId="01B806A8" w14:textId="77777777" w:rsidR="003714C1" w:rsidRPr="002E41D7" w:rsidRDefault="003714C1" w:rsidP="003714C1">
      <w:pPr>
        <w:rPr>
          <w:vanish/>
        </w:rPr>
      </w:pPr>
      <w:bookmarkStart w:id="2" w:name="Commission"/>
      <w:r w:rsidRPr="002E41D7">
        <w:rPr>
          <w:vanish/>
        </w:rPr>
        <w:t>Komisja Rozwoju Regionalnego</w:t>
      </w:r>
      <w:bookmarkEnd w:id="2"/>
    </w:p>
    <w:p w14:paraId="0BE405D2" w14:textId="77777777" w:rsidR="003714C1" w:rsidRPr="002E41D7" w:rsidRDefault="003714C1" w:rsidP="003714C1">
      <w:pPr>
        <w:rPr>
          <w:vanish/>
        </w:rPr>
      </w:pPr>
      <w:bookmarkStart w:id="3" w:name="PE"/>
      <w:r w:rsidRPr="002E41D7">
        <w:rPr>
          <w:vanish/>
        </w:rPr>
        <w:t>PE766.926</w:t>
      </w:r>
      <w:bookmarkEnd w:id="3"/>
    </w:p>
    <w:p w14:paraId="45BFF1E7" w14:textId="77777777" w:rsidR="003714C1" w:rsidRPr="002E41D7" w:rsidRDefault="003714C1" w:rsidP="003714C1">
      <w:pPr>
        <w:pStyle w:val="ATHeading3"/>
      </w:pPr>
      <w:bookmarkStart w:id="4" w:name="Sujet"/>
      <w:r w:rsidRPr="002E41D7">
        <w:t xml:space="preserve">Rezolucja Parlamentu Europejskiego z dnia </w:t>
      </w:r>
      <w:r w:rsidR="000C16D5">
        <w:t>8 maja</w:t>
      </w:r>
      <w:r w:rsidRPr="002E41D7">
        <w:t xml:space="preserve"> 2025 r. w sprawie 9. sprawozdania na temat spójności gospodarczej i społecznej</w:t>
      </w:r>
      <w:bookmarkEnd w:id="4"/>
      <w:r w:rsidRPr="002E41D7">
        <w:t xml:space="preserve"> </w:t>
      </w:r>
      <w:bookmarkStart w:id="5" w:name="References"/>
      <w:r w:rsidRPr="002E41D7">
        <w:t>(2024/2107(INI))</w:t>
      </w:r>
      <w:bookmarkEnd w:id="5"/>
    </w:p>
    <w:p w14:paraId="6FB0069E" w14:textId="77777777" w:rsidR="00164513" w:rsidRPr="002E41D7" w:rsidRDefault="00164513" w:rsidP="00164513">
      <w:pPr>
        <w:pStyle w:val="EPComma"/>
      </w:pPr>
      <w:r w:rsidRPr="002E41D7">
        <w:rPr>
          <w:rStyle w:val="Italic"/>
        </w:rPr>
        <w:t>Parlament Europejski</w:t>
      </w:r>
      <w:r w:rsidRPr="002E41D7">
        <w:t>,</w:t>
      </w:r>
    </w:p>
    <w:p w14:paraId="4EFAD8E7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>uwzględniając art. 2 i 3 Traktatu o Unii Europejskiej,</w:t>
      </w:r>
    </w:p>
    <w:p w14:paraId="085FF95A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>uwzględniając art. 4, art. 162, art. 174–178 i art. 349 Traktatu o funkcjonowaniu Unii Europejskiej (TFUE),</w:t>
      </w:r>
    </w:p>
    <w:p w14:paraId="64EDA698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>uwzględniając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</w:t>
      </w:r>
      <w:r w:rsidRPr="002E41D7">
        <w:rPr>
          <w:rStyle w:val="FootnoteReference"/>
        </w:rPr>
        <w:footnoteReference w:id="1"/>
      </w:r>
      <w:r w:rsidRPr="002E41D7">
        <w:t xml:space="preserve"> (rozporządzenie w sprawie wspólnych przepisów),</w:t>
      </w:r>
    </w:p>
    <w:p w14:paraId="0C1CF834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>uwzględniając rozporządzenie Parlamentu Europejskiego i Rady (UE) 2021/1058 z dnia 24 czerwca 2021 r. w sprawie Europejskiego Funduszu Rozwoju Regionalnego i Funduszu Spójności</w:t>
      </w:r>
      <w:r w:rsidRPr="002E41D7">
        <w:rPr>
          <w:rStyle w:val="FootnoteReference"/>
        </w:rPr>
        <w:footnoteReference w:id="2"/>
      </w:r>
      <w:r w:rsidRPr="002E41D7">
        <w:t>,</w:t>
      </w:r>
    </w:p>
    <w:p w14:paraId="4E6A9458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>uwzględniając rozporządzenie Parlamentu Europejskiego i Rady (UE) 2021/1059 z dnia 24 czerwca 2021 r. w sprawie przepisów szczegółowych dotyczących celu „Europejska współpraca terytorialna” (Interreg) wspieranego w ramach Europejskiego Funduszu Rozwoju Regionalnego oraz instrumentów finansowania zewnętrznego</w:t>
      </w:r>
      <w:r w:rsidRPr="002E41D7">
        <w:rPr>
          <w:rStyle w:val="FootnoteReference"/>
        </w:rPr>
        <w:footnoteReference w:id="3"/>
      </w:r>
      <w:r w:rsidRPr="002E41D7">
        <w:t>,</w:t>
      </w:r>
    </w:p>
    <w:p w14:paraId="69C9C94F" w14:textId="77777777" w:rsidR="00164513" w:rsidRPr="002E41D7" w:rsidRDefault="00164513" w:rsidP="00164513">
      <w:pPr>
        <w:pStyle w:val="NormalHanging12a"/>
      </w:pPr>
      <w:r w:rsidRPr="002E41D7">
        <w:lastRenderedPageBreak/>
        <w:t>–</w:t>
      </w:r>
      <w:r w:rsidRPr="002E41D7">
        <w:tab/>
        <w:t>uwzględniając rozporządzenie Parlamentu Europejskiego i Rady (UE) 2021/1057 z dnia 24 czerwca 2021 r. ustanawiające Europejski Fundusz Społeczny Plus (EFS+) oraz uchylające rozporządzenie (UE) nr 1296/2013</w:t>
      </w:r>
      <w:r w:rsidRPr="002E41D7">
        <w:rPr>
          <w:rStyle w:val="FootnoteReference"/>
        </w:rPr>
        <w:footnoteReference w:id="4"/>
      </w:r>
      <w:r w:rsidRPr="002E41D7">
        <w:t>,</w:t>
      </w:r>
    </w:p>
    <w:p w14:paraId="7D3CD7A1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>uwzględniając rozporządzenie Parlamentu Europejskiego i Rady (UE) 2021/1056 z dnia 24 czerwca 2021 r. ustanawiające Fundusz na rzecz Sprawiedliwej Transformacji</w:t>
      </w:r>
      <w:r w:rsidRPr="002E41D7">
        <w:rPr>
          <w:rStyle w:val="FootnoteReference"/>
        </w:rPr>
        <w:footnoteReference w:id="5"/>
      </w:r>
      <w:r w:rsidRPr="002E41D7">
        <w:t>,</w:t>
      </w:r>
    </w:p>
    <w:p w14:paraId="222925F7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>uwzględniając rozporządzenie Parlamentu Europejskiego i Rady (UE) 2021/2115 z dnia 2 grudnia 2021 r. ustanawiające przepisy dotyczące wsparcia planów strategicznych sporządzanych przez państwa członkowskie w ramach wspólnej polityki rolnej (planów strategicznych WPR) i finansowanych z Europejskiego Funduszu Rolniczego Gwarancji (EFRG) i z Europejskiego Funduszu Rolnego na rzecz Rozwoju Obszarów Wiejskich (EFRROW) oraz uchylające rozporządzenia (UE) nr 1305/2013 i (UE) nr 1307/2013</w:t>
      </w:r>
      <w:r w:rsidRPr="002E41D7">
        <w:rPr>
          <w:rStyle w:val="FootnoteReference"/>
        </w:rPr>
        <w:footnoteReference w:id="6"/>
      </w:r>
      <w:r w:rsidRPr="002E41D7">
        <w:t>,</w:t>
      </w:r>
    </w:p>
    <w:p w14:paraId="1FA22C8E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>uwzględniając rozporządzenie Parlamentu Europejskiego i Rady (UE) 2020/460 z dnia 30 marca 2020 r. zmieniające rozporządzenia (UE) nr 1301/2013, (UE) nr 1303/2013 oraz (UE) nr 508/2014 w odniesieniu do szczególnych środków w celu uruchomienia inwestycji w systemach ochrony zdrowia państw członkowskich oraz w innych sektorach ich gospodarek w odpowiedzi na epidemię COVID-19 (Inicjatywa inwestycyjna w odpowiedzi na koronawirusa)</w:t>
      </w:r>
      <w:r w:rsidRPr="002E41D7">
        <w:rPr>
          <w:rStyle w:val="FootnoteReference"/>
        </w:rPr>
        <w:footnoteReference w:id="7"/>
      </w:r>
      <w:r w:rsidRPr="002E41D7">
        <w:t>,</w:t>
      </w:r>
    </w:p>
    <w:p w14:paraId="2B94036D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>uwzględniając rozporządzenie Parlamentu Europejskiego i Rady (UE) 2020/558 z dnia 23 kwietnia 2020 r. zmieniające rozporządzenia (UE) nr 1301/2013 i (UE) nr 1303/2013 w odniesieniu do szczególnych środków zapewniających wyjątkową elastyczność na potrzeby wykorzystania europejskich funduszy strukturalnych i inwestycyjnych w odpowiedzi na epidemię COVID-19</w:t>
      </w:r>
      <w:r w:rsidRPr="002E41D7">
        <w:rPr>
          <w:rStyle w:val="FootnoteReference"/>
        </w:rPr>
        <w:footnoteReference w:id="8"/>
      </w:r>
      <w:r w:rsidRPr="002E41D7">
        <w:t>,</w:t>
      </w:r>
    </w:p>
    <w:p w14:paraId="68543D25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>uwzględniając rozporządzenie Parlamentu Europejskiego i Rady (UE) 2020/461 z dnia 30 marca 2020 r. zmieniające rozporządzenie Rady (WE) nr 2012/2002 w celu zapewnienia pomocy finansowej państwom członkowskim i państwom prowadzącym negocjacje w sprawie przystąpienia do Unii znacząco dotkniętym w związku z poważnym stanem zagrożenia zdrowia publicznego</w:t>
      </w:r>
      <w:r w:rsidRPr="002E41D7">
        <w:rPr>
          <w:rStyle w:val="FootnoteReference"/>
        </w:rPr>
        <w:footnoteReference w:id="9"/>
      </w:r>
      <w:r w:rsidRPr="002E41D7">
        <w:t>,</w:t>
      </w:r>
    </w:p>
    <w:p w14:paraId="02BA9866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>uwzględniając rozporządzenie Parlamentu Europejskiego i Rady (UE) 2020/2221 z dnia 23 grudnia 2020 r. zmieniające rozporządzenie (UE) nr 1303/2013 w odniesieniu do zasobów dodatkowych i przepisów wykonawczych w celu zapewnienia pomocy na wspieranie kryzysowych działań naprawczych w kontekście pandemii COVID-19 i jej skutków społecznych oraz przygotowanie do ekologicznej i cyfrowej odbudowy gospodarki zwiększającej jej odporność (REACT-EU)</w:t>
      </w:r>
      <w:r w:rsidRPr="002E41D7">
        <w:rPr>
          <w:rStyle w:val="FootnoteReference"/>
        </w:rPr>
        <w:footnoteReference w:id="10"/>
      </w:r>
      <w:r w:rsidRPr="002E41D7">
        <w:t>,</w:t>
      </w:r>
    </w:p>
    <w:p w14:paraId="4B75405E" w14:textId="77777777" w:rsidR="00164513" w:rsidRPr="002E41D7" w:rsidRDefault="00164513" w:rsidP="00164513">
      <w:pPr>
        <w:pStyle w:val="NormalHanging12a"/>
      </w:pPr>
      <w:r w:rsidRPr="002E41D7">
        <w:lastRenderedPageBreak/>
        <w:t>–</w:t>
      </w:r>
      <w:r w:rsidRPr="002E41D7">
        <w:tab/>
        <w:t>uwzględniając rozporządzenie Parlamentu Europejskiego i Rady (UE) 2022/562 z dnia 6 kwietnia 2022 r. zmieniające rozporządzenia (UE) nr 1303/2013 i (UE) nr 223/2014 w odniesieniu do działań polityki spójności na rzecz uchodźców w Europie (CARE)</w:t>
      </w:r>
      <w:r w:rsidRPr="002E41D7">
        <w:rPr>
          <w:rStyle w:val="FootnoteReference"/>
        </w:rPr>
        <w:footnoteReference w:id="11"/>
      </w:r>
      <w:r w:rsidRPr="002E41D7">
        <w:t>,</w:t>
      </w:r>
    </w:p>
    <w:p w14:paraId="6C3342A5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>uwzględniając rozporządzenie Parlamentu Europejskiego i Rady (UE) 2022/2039 z dnia 19 października 2022 r. w sprawie zmiany rozporządzeń (UE) nr 1303/2013 i (UE) 2021/1060 w odniesieniu do dodatkowej elastyczności w celu przeciwdziałania skutkom agresji zbrojnej Federacji Rosyjskiej FAST (Flexible Assistance for Territories – elastyczna pomoc dla terytoriów) – CARE</w:t>
      </w:r>
      <w:r w:rsidRPr="002E41D7">
        <w:rPr>
          <w:rStyle w:val="FootnoteReference"/>
        </w:rPr>
        <w:footnoteReference w:id="12"/>
      </w:r>
      <w:r w:rsidRPr="002E41D7">
        <w:t>,</w:t>
      </w:r>
    </w:p>
    <w:p w14:paraId="0590A563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>uwzględniając program URBACT dotyczący współpracy na rzecz zrównoważonych obszarów miejskich, ustanowiony w 2002 r.,</w:t>
      </w:r>
    </w:p>
    <w:p w14:paraId="19257ABE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–</w:t>
      </w:r>
      <w:r w:rsidRPr="002E41D7">
        <w:tab/>
        <w:t>uwzględniając agendę miejską UE z 30 maja 2016 r.,</w:t>
      </w:r>
    </w:p>
    <w:p w14:paraId="4DE29234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>uwzględniając agendę terytorialną 2030 z 1 grudnia 2020 r.,</w:t>
      </w:r>
    </w:p>
    <w:p w14:paraId="080FC42A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>uwzględniając 9. sprawozdanie na temat spójności opublikowane przez Komisję w dniu 27 marca 2024 r.</w:t>
      </w:r>
      <w:r w:rsidRPr="002E41D7">
        <w:rPr>
          <w:rStyle w:val="FootnoteReference"/>
        </w:rPr>
        <w:footnoteReference w:id="13"/>
      </w:r>
      <w:r w:rsidRPr="002E41D7">
        <w:t xml:space="preserve"> oraz komunikat Komisji z dnia 27 marca 2024 r. w sprawie 9. sprawozdania na temat spójności (COM(2024)0149),</w:t>
      </w:r>
    </w:p>
    <w:p w14:paraId="5FE5289E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>uwzględniając badanie zatytułowane „The future of EU cohesion: Scenarios and their impacts on regional inequalities” [Przyszłość spójności UE: scenariusze i ich wpływ na nierówności regionalne], opublikowane przez Biuro Analiz Parlamentu Europejskiego w grudniu 2024 r.,</w:t>
      </w:r>
    </w:p>
    <w:p w14:paraId="7554196D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>uwzględniając sprawozdanie Komisji z lutego 2024 r. zatytułowane „Forging a sustainable future together – Cohesion for a competitive and inclusive Europe” [Budując zrównoważoną przyszłość razem – Spójność na rzecz Europy konkurencyjnej i sprzyjającej włączeniu społecznemu]</w:t>
      </w:r>
      <w:r w:rsidRPr="002E41D7">
        <w:rPr>
          <w:rStyle w:val="FootnoteReference"/>
        </w:rPr>
        <w:footnoteReference w:id="14"/>
      </w:r>
      <w:r w:rsidRPr="002E41D7">
        <w:t>,</w:t>
      </w:r>
    </w:p>
    <w:p w14:paraId="3660573F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>uwzględniając opinię Europejskiego Komitetu Ekonomiczno-Społecznego z dnia 31 maja 2024 r. w sprawie 9. sprawozdania na temat spójności</w:t>
      </w:r>
      <w:r w:rsidRPr="002E41D7">
        <w:rPr>
          <w:rStyle w:val="FootnoteReference"/>
        </w:rPr>
        <w:footnoteReference w:id="15"/>
      </w:r>
      <w:r w:rsidRPr="002E41D7">
        <w:t>,</w:t>
      </w:r>
    </w:p>
    <w:p w14:paraId="28FFCE0D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>uwzględniając opinię Komitetu Regionów z dnia 21 listopada 2024 r. w sprawie odnowionej polityki spójności po 2027 r. niepozostawiającej nikogo w tyle – odpowiedzi KR-u na 9. sprawozdanie na temat spójności oraz na sprawozdanie grupy wysokiego szczebla ds. przyszłości polityki spójności,</w:t>
      </w:r>
    </w:p>
    <w:p w14:paraId="78908B1B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 xml:space="preserve">uwzględniając sprawozdanie zatytułowane „The future of European competitiveness – A competitiveness strategy for Europe” [Przyszłość europejskiej konkurencyjności – </w:t>
      </w:r>
      <w:r w:rsidRPr="002E41D7">
        <w:lastRenderedPageBreak/>
        <w:t>strategia konkurencyjności dla Europy], opublikowane przez Komisję w dniu 9 września 2024 r.,</w:t>
      </w:r>
    </w:p>
    <w:p w14:paraId="5C358876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>uwzględniając porozumienie przyjęte podczas 21. Konferencji Stron Ramowej Konwencji Narodów Zjednoczonych w sprawie Zmian Klimatu (COP21) w Paryżu 12 grudnia 2015 r. (porozumienie paryskie),</w:t>
      </w:r>
    </w:p>
    <w:p w14:paraId="0CC1083D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>uwzględniając badanie zatytułowane „Streamlining EU Cohesion Funds: addressing administrative burden and redundancy” [Usprawnienie funduszy spójności UE: zmniejszenie obciążeń administracyjnych i rozwiązanie kwestii zbędności], opublikowane przez Dyrekcję Generalną ds. Polityki Wewnętrznej Unii Europejskiej w listopadzie 2024 r.</w:t>
      </w:r>
      <w:r w:rsidRPr="002E41D7">
        <w:rPr>
          <w:rStyle w:val="FootnoteReference"/>
        </w:rPr>
        <w:footnoteReference w:id="16"/>
      </w:r>
      <w:r w:rsidRPr="002E41D7">
        <w:t>,</w:t>
      </w:r>
    </w:p>
    <w:p w14:paraId="6465B8D1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 xml:space="preserve">uwzględniając rozporządzenie Parlamentu Europejskiego i Rady z dnia </w:t>
      </w:r>
      <w:r w:rsidR="001F2E93">
        <w:t>7 maja 2025 r.</w:t>
      </w:r>
      <w:r w:rsidRPr="002E41D7">
        <w:t xml:space="preserve"> w sprawie Instrumentu na rzecz Rozwoju i Wzrostu Regionów Przy</w:t>
      </w:r>
      <w:r w:rsidR="001F2E93">
        <w:t>granicznych w UE (BRIDGEforEU)</w:t>
      </w:r>
      <w:r w:rsidR="001F2E93" w:rsidRPr="001F2E93">
        <w:rPr>
          <w:vertAlign w:val="superscript"/>
          <w:lang w:val="en-GB"/>
        </w:rPr>
        <w:footnoteReference w:id="17"/>
      </w:r>
      <w:r w:rsidRPr="002E41D7">
        <w:t>,</w:t>
      </w:r>
    </w:p>
    <w:p w14:paraId="2D700DA8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>uwzględniając komunikat Komisji z dnia 3 maja 2022 r. pt. „Postawienie ludzi na pierwszym miejscu, zapewnienie trwałego wzrostu gospodarczego sprzyjającego włączeniu społecznemu, uwolnienie potencjału regionów najbardziej oddalonych UE” (COM(2022)0198),</w:t>
      </w:r>
    </w:p>
    <w:p w14:paraId="3EC8B6CE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>uwzględniając opinię przedstawioną przez Komisję Rolnictwa i </w:t>
      </w:r>
      <w:r w:rsidR="001F2E93">
        <w:t>Rozwoju Wsi w formie pisma</w:t>
      </w:r>
      <w:r w:rsidR="001F2E93" w:rsidRPr="001F2E93">
        <w:rPr>
          <w:vertAlign w:val="superscript"/>
          <w:lang w:val="en-GB"/>
        </w:rPr>
        <w:footnoteReference w:id="18"/>
      </w:r>
      <w:r w:rsidRPr="002E41D7">
        <w:t>,</w:t>
      </w:r>
    </w:p>
    <w:p w14:paraId="3519CF55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>uwzględniając swoją rezolucję z dnia 25 marca 2021 r. w sprawie polityki spójności i regionalnych strategii środowiskowych w walce ze zmianą klimatu</w:t>
      </w:r>
      <w:r w:rsidRPr="002E41D7">
        <w:rPr>
          <w:rStyle w:val="FootnoteReference"/>
        </w:rPr>
        <w:footnoteReference w:id="19"/>
      </w:r>
      <w:r w:rsidRPr="002E41D7">
        <w:t>,</w:t>
      </w:r>
    </w:p>
    <w:p w14:paraId="3A33C932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–</w:t>
      </w:r>
      <w:r w:rsidRPr="002E41D7">
        <w:tab/>
        <w:t>uwzględniając swoją rezolucję z dnia 20 maja 2021 r. w sprawie odwrócenia tendencji demograficznych w regionach UE za pomocą instrumentów polityki spójności</w:t>
      </w:r>
      <w:r w:rsidRPr="002E41D7">
        <w:rPr>
          <w:rStyle w:val="FootnoteReference"/>
        </w:rPr>
        <w:footnoteReference w:id="20"/>
      </w:r>
      <w:r w:rsidRPr="002E41D7">
        <w:t>,</w:t>
      </w:r>
    </w:p>
    <w:p w14:paraId="6FBA4A6B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>uwzględniając swoją rezolucję z dnia 14 września 2021 r. w sprawie silniejszego partnerstwa z regionami najbardziej oddalonymi UE</w:t>
      </w:r>
      <w:r w:rsidRPr="002E41D7">
        <w:rPr>
          <w:rStyle w:val="FootnoteReference"/>
        </w:rPr>
        <w:footnoteReference w:id="21"/>
      </w:r>
      <w:r w:rsidRPr="002E41D7">
        <w:t>,</w:t>
      </w:r>
    </w:p>
    <w:p w14:paraId="58C5E11B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>uwzględniając swoją rezolucję z dnia 15 września 2022 r. w sprawie spójności gospodarczej, społecznej i terytorialnej w UE: 8. sprawozdanie na temat spójności</w:t>
      </w:r>
      <w:r w:rsidRPr="002E41D7">
        <w:rPr>
          <w:rStyle w:val="FootnoteReference"/>
        </w:rPr>
        <w:footnoteReference w:id="22"/>
      </w:r>
      <w:r w:rsidRPr="002E41D7">
        <w:t>,</w:t>
      </w:r>
    </w:p>
    <w:p w14:paraId="3A59BAED" w14:textId="77777777" w:rsidR="00164513" w:rsidRPr="002E41D7" w:rsidRDefault="00164513" w:rsidP="00164513">
      <w:pPr>
        <w:pStyle w:val="NormalHanging12a"/>
      </w:pPr>
      <w:r w:rsidRPr="002E41D7">
        <w:lastRenderedPageBreak/>
        <w:t>–</w:t>
      </w:r>
      <w:r w:rsidRPr="002E41D7">
        <w:tab/>
        <w:t>uwzględniając swoją rezolu</w:t>
      </w:r>
      <w:r w:rsidR="001F2E93">
        <w:t>cję z dnia 21</w:t>
      </w:r>
      <w:r w:rsidRPr="002E41D7">
        <w:t xml:space="preserve"> </w:t>
      </w:r>
      <w:r w:rsidR="001F2E93">
        <w:t>listopada</w:t>
      </w:r>
      <w:r w:rsidRPr="002E41D7">
        <w:t xml:space="preserve"> 2023 r. w sprawie możliwości zwiększenia wiarygodności audytów i kontroli przez organy krajowe w ramach zarządzania dzielonego</w:t>
      </w:r>
      <w:r w:rsidRPr="002E41D7">
        <w:rPr>
          <w:rStyle w:val="FootnoteReference"/>
        </w:rPr>
        <w:footnoteReference w:id="23"/>
      </w:r>
      <w:r w:rsidRPr="002E41D7">
        <w:t>,</w:t>
      </w:r>
    </w:p>
    <w:p w14:paraId="1F64E214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>uwzględniając swoją rezolucję z dnia 23 listopada 2023 r. w sprawie wykorzystania potencjału talentów w regionach Europy</w:t>
      </w:r>
      <w:r w:rsidRPr="002E41D7">
        <w:rPr>
          <w:rStyle w:val="FootnoteReference"/>
        </w:rPr>
        <w:footnoteReference w:id="24"/>
      </w:r>
      <w:r w:rsidRPr="002E41D7">
        <w:t>,</w:t>
      </w:r>
    </w:p>
    <w:p w14:paraId="7C41D3C8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>uwzględniając swoją rezolucję z dnia 14 marca 2024 r. w sprawie polityki spójności w latach 2014–2020 – realizacja i wyniki w państwach członkowskich</w:t>
      </w:r>
      <w:r w:rsidRPr="002E41D7">
        <w:rPr>
          <w:rStyle w:val="FootnoteReference"/>
        </w:rPr>
        <w:footnoteReference w:id="25"/>
      </w:r>
      <w:r w:rsidRPr="002E41D7">
        <w:t>,</w:t>
      </w:r>
    </w:p>
    <w:p w14:paraId="04669A8B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>uwzględniając art. 55 Regulaminu,</w:t>
      </w:r>
    </w:p>
    <w:p w14:paraId="6F4375C6" w14:textId="77777777" w:rsidR="00164513" w:rsidRPr="002E41D7" w:rsidRDefault="00164513" w:rsidP="00164513">
      <w:pPr>
        <w:pStyle w:val="NormalHanging12a"/>
      </w:pPr>
      <w:r w:rsidRPr="002E41D7">
        <w:t>–</w:t>
      </w:r>
      <w:r w:rsidRPr="002E41D7">
        <w:tab/>
        <w:t>uwzględniając sprawozdanie Komisji Rozwoju Regionalnego (A10-0066/2025),</w:t>
      </w:r>
    </w:p>
    <w:p w14:paraId="0A0A1E60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A.</w:t>
      </w:r>
      <w:r w:rsidRPr="002E41D7">
        <w:tab/>
        <w:t>mając na uwadze, że polityka spójności znajduje się w sercu polityk UE, jest dla Unii głównym narzędziem inwestycji w zrównoważony rozwój gospodarczy, społeczny i terytorialny oraz przyczynia się do realizacji celów Zielonego Ładu w całej UE na mocy wieloletnich ram finansowych na lata 2014–2020 i 2021–2027; mając na uwadze, że zgodnie z traktatami polityka spójności ma zasadnicze znaczenie dla dobrze funkcjonującego i kwitnącego rynku wewnętrznego, ponieważ wspiera rozwój wszystkich regionów w UE, a zwłaszcza regionów słabiej rozwiniętych;</w:t>
      </w:r>
    </w:p>
    <w:p w14:paraId="413BFCA7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B.</w:t>
      </w:r>
      <w:r w:rsidRPr="002E41D7">
        <w:tab/>
        <w:t>mając na uwadze, że polityka spójności przyczyniła się do zwiększenia konwergencji gospodarczej, społecznej i terytorialnej w UE, a w szczególności spowodowała wzrost produktu krajowego brutto na przykład państw członkowskich UE z Europy Środkowo-Wschodniej, który wzrósł z 43 % średniej UE w 1995 r. do około 80 % w 2023 r.; mając na uwadze, że w 9. sprawozdaniu na temat spójności podkreślono, że do końca 2022 r. w ramach polityki spójności udzielono wsparcia ponad 4,4 mln przedsiębiorstw, dzięki czemu powstało w nich ponad 370 000 miejsc pracy; mając na uwadze, że podkreślono w nim również, że polityka spójności generuje znaczny zwrot z inwestycji i że każde euro zainwestowane w ramach programów na lata 2014–2020 i 2021–2027 wygeneruje do 2030 r. 1,3 EUR dodatkowego PKB w Unii; mając na uwadze, że polityka spójności stanowiła średnio około 13 % wszystkich inwestycji publicznych w UE</w:t>
      </w:r>
      <w:r w:rsidRPr="002E41D7">
        <w:rPr>
          <w:vertAlign w:val="superscript"/>
        </w:rPr>
        <w:footnoteReference w:id="26"/>
      </w:r>
      <w:r w:rsidRPr="002E41D7">
        <w:t>;</w:t>
      </w:r>
    </w:p>
    <w:p w14:paraId="355859DA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C.</w:t>
      </w:r>
      <w:r w:rsidRPr="002E41D7">
        <w:tab/>
        <w:t>mając na uwadze, że w sprawozdaniu pt. „Długoterminowa wizja dla obszarów wiejskich UE: najważniejsze osiągnięcia i kolejne działania”, przedstawionym wraz z 9. sprawozdaniem na temat spójności, Komisja podkreśla, że 24,6 mld EUR, czyli 8 % środków przeznaczonych na rozwój obszarów wiejskich w ramach wspólnej polityki rolnej, kieruje się na inwestycje na obszarach wiejskich wykraczające poza inwestycje w rolnictwo, co może być punktem wyjścia debaty na temat przyszłości obszarów wiejskich;</w:t>
      </w:r>
    </w:p>
    <w:p w14:paraId="197BC91A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lastRenderedPageBreak/>
        <w:t>D.</w:t>
      </w:r>
      <w:r w:rsidRPr="002E41D7">
        <w:tab/>
        <w:t>mając na uwadze, że w latach 2021–2027 w ramach polityki spójności zainwestuje się ponad 140 mld EUR w transformację ekologiczną i cyfrową</w:t>
      </w:r>
      <w:r w:rsidRPr="002E41D7">
        <w:rPr>
          <w:rStyle w:val="FootnoteReference"/>
        </w:rPr>
        <w:footnoteReference w:id="27"/>
      </w:r>
      <w:r w:rsidRPr="002E41D7">
        <w:t>, aby usprawnić sieci i infrastrukturę, wspierać ochronę przyrody, podnosić umiejętności ekologiczne i cyfrowe oraz sprzyjać tworzeniu miejsc pracy i usług dla obywateli;</w:t>
      </w:r>
    </w:p>
    <w:p w14:paraId="3CDEBA2B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E.</w:t>
      </w:r>
      <w:r w:rsidRPr="002E41D7">
        <w:tab/>
        <w:t>mając na uwadze, że pomimo powszechnie uznanego i udowodnionego pozytywnego wpływu polityki spójności na konwergencję społeczną, gospodarczą i terytorialną nadal istnieją poważne wyzwania – naznaczone w szczególności dysproporcjami w rozwoju na szczeblu niższym niż krajowy, w obrębie regionów i w regionach znajdujących się w pułapce ograniczenia rozwoju, oraz skutkami zmiany klimatu – związane z demografią, transformacją cyfrową i ekologiczną, łącznością, jak również ze zrównoważonym rozwojem gospodarczym, zwłaszcza w regionach najsłabiej rozwiniętych oraz na obszarach wiejskich i odległych;</w:t>
      </w:r>
    </w:p>
    <w:p w14:paraId="4798E7A6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F.</w:t>
      </w:r>
      <w:r w:rsidRPr="002E41D7">
        <w:tab/>
        <w:t>mając na uwadze, że dzięki polityce spójności i programom sektorowym UE regiony wielokrotnie skutecznie reagowały na sytuacje kryzysowe, takie jak pandemia COVID-19, brexit, kryzys energetyczny i uchodźczy spowodowany rosyjską inwazją na Ukrainę, a także na klęski żywiołowe, mimo że jest to długofalowa polityka strukturalna, a nie mechanizm zarządzania kryzysowego czy domyślny mechanizm finansujący reagowanie kryzysowe; mając na uwadze, że takie kryzysy opóźniły wdrażanie europejskich funduszy strukturalnych i inwestycyjnych, oraz mając na uwadze, że znaczną liczbę projektów finansowanych ze środków Instrumentu na rzecz Odbudowy i Zwiększania Odporności (RRF) stanowiły w dużej mierze projekty, na które inwestycje miały pochodzić z polityki spójności;</w:t>
      </w:r>
    </w:p>
    <w:p w14:paraId="4FFBB7F3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G.</w:t>
      </w:r>
      <w:r w:rsidRPr="002E41D7">
        <w:tab/>
        <w:t>mając na uwadze, że mimo wprowadzonych już środków na lata 2014–2020 i 2021–2027 należy jeszcze bardziej uprościć ramy regulujące zarówno wykorzystanie instrumentów i funduszy polityki spójności, jak i zarządzanie nimi, a interoperacyjne narzędzia cyfrowe powinny być lepiej wykorzystywane i rozwijane, łącznie z utworzeniem ośrodków kompleksowych usług cyfrowych, w celu uproszczenia procedur, zwiększenia zaufania zainteresowanych stron, zmniejszenia obciążeń administracyjnych, zwiększenia elastyczności w zarządzaniu funduszami i przyspieszenia płatności nie tylko dla właściwych organów, ale i dla beneficjentów końcowych; mając na uwadze, że konieczne jest zwiększenie zakresu bardziej elastycznego wykorzystywania funduszy, w tym możliwości finansowania rozwoju produktów podwójnego zastosowania; mając na uwadze, że niezmiernie ważne jest opracowanie przyszłej polityki spójności, która nada strategiczny impuls w całym okresie finansowania i którą można jednak poddać ponownej ocenie w połowie tego okresu;</w:t>
      </w:r>
    </w:p>
    <w:p w14:paraId="06CCCDA8" w14:textId="77777777" w:rsidR="00164513" w:rsidRPr="002E41D7" w:rsidRDefault="00164513" w:rsidP="00164513">
      <w:pPr>
        <w:pStyle w:val="NormalHanging12a"/>
      </w:pPr>
      <w:r w:rsidRPr="002E41D7">
        <w:t>H.</w:t>
      </w:r>
      <w:r w:rsidRPr="002E41D7">
        <w:tab/>
        <w:t xml:space="preserve">mając na uwadze, że niski wskaźnik absorpcji funduszy polityki spójności w latach 2021–2027, który obecnie wynosi zaledwie 6 %, nie wynika z braku zapotrzebowania ze strony państw członkowskich czy regionów, lecz raczej z opóźnień w zatwierdzaniu programów operacyjnych, okresu przejściowego między ramami finansowymi, priorytetowego traktowania NextGenerationEU przez krajowe instytucje zarządzające, ograniczonych zdolności administracyjnych i złożonych procedur biurokratycznych; mając na uwadze, że państwa członkowskie i regiony mogą nie spieszyć się z absorpcją </w:t>
      </w:r>
      <w:r w:rsidRPr="002E41D7">
        <w:lastRenderedPageBreak/>
        <w:t>wszystkich dostępnych funduszy, ponieważ przewidują ewentualne przedłużenie zgodnie z zasadami N+2 lub N+3;</w:t>
      </w:r>
    </w:p>
    <w:p w14:paraId="79FA5A7A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I.</w:t>
      </w:r>
      <w:r w:rsidRPr="002E41D7">
        <w:tab/>
        <w:t>mając na uwadze, że radykalne zmiany ram regulacyjnych spójności między kolejnymi okresami programowania przyczyniają się do niepewności wśród właściwych organów i beneficjentów, nadmiernie rygorystycznego wdrażania, wzrostu poziomu błędów (czemu towarzyszą negatywne konsekwencje reputacyjne i finansowe), opóźnień we wdrażaniu, a ostatecznie do niezadowolenia beneficjentów i ogółu ludności;</w:t>
      </w:r>
    </w:p>
    <w:p w14:paraId="146E0038" w14:textId="77777777" w:rsidR="00164513" w:rsidRPr="002E41D7" w:rsidRDefault="00164513" w:rsidP="00164513">
      <w:pPr>
        <w:pStyle w:val="NormalHanging12a"/>
      </w:pPr>
      <w:r w:rsidRPr="002E41D7">
        <w:t>J.</w:t>
      </w:r>
      <w:r w:rsidRPr="002E41D7">
        <w:tab/>
        <w:t>mając na uwadze, że czasami występuje konkurencja między funduszami spójności, funduszami kryzysowymi i politykami sektorowymi;</w:t>
      </w:r>
    </w:p>
    <w:p w14:paraId="5B0B2E99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K.</w:t>
      </w:r>
      <w:r w:rsidRPr="002E41D7">
        <w:tab/>
        <w:t>mając na uwadze, że regiony UE różnią się znacznie między sobą pod względem zmian demograficznych i że podczas gdy niektóre państwa członkowskie stoją w obliczu prognozowanego spadku liczby ludności w nadchodzących latach, w innych prognozuje się wzrost; mając na uwadze, że zmiany demograficzne zachodzą również między regionami, w tym przemieszczanie się mieszkańców z regionów najbardziej oddalonych, ale zasadniczo przybierają postać przemieszczania się mieszkańców obszarów wiejskich na obszary miejskie w obrębie państw członkowskich, przy czym więcej kobiet niż mężczyzn opuszcza obszary wiejskie, jak również na obszary metropolitalne, na których wsie wokół dużych miast napotykają trudności w inwestowaniu w podstawową infrastrukturę; mając na uwadze, że świadczenie usług kluczowych, takich jak opieka zdrowotna, edukacja i transport, należy wzmocnić we wszystkich regionach, ze szczególnym uwzględnieniem obszarów wiejskich i oddalonych; mając na uwadze, że należy położyć większy nacisk na obszary borykające się z depopulacją i nieodpowiednimi usługami, co wymaga ukierunkowanych środków zachęcających osoby młode do pozostania dzięki projektom w zakresie przedsiębiorczości, wysokiej jakości rolnictwu i zrównoważonej turystyce;</w:t>
      </w:r>
    </w:p>
    <w:p w14:paraId="57077DA5" w14:textId="77777777" w:rsidR="00164513" w:rsidRPr="002E41D7" w:rsidRDefault="00164513" w:rsidP="00164513">
      <w:pPr>
        <w:pStyle w:val="NormalHanging12a"/>
      </w:pPr>
      <w:r w:rsidRPr="002E41D7">
        <w:t>L.</w:t>
      </w:r>
      <w:r w:rsidRPr="002E41D7">
        <w:tab/>
        <w:t>mając na uwadze, że uwzględnienie starzenia się społeczeństwa jest kluczową kwestią w dążeniu do zapewnienia sprawiedliwości między pokoleniami, a tym samym zwiększenia uczestnictwa, zwłaszcza wśród osób młodych;</w:t>
      </w:r>
    </w:p>
    <w:p w14:paraId="556C0984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M.</w:t>
      </w:r>
      <w:r w:rsidRPr="002E41D7">
        <w:tab/>
        <w:t>mając na uwadze, że obszary miejskie są obarczone nowymi wyzwaniami wynikającymi z napływu ludności do miast, a także rosnącymi cenami mieszkań i energii, co wymaga rozwoju niezbędnego budownictwa mieszkaniowego oraz nowych środków w zakresie ochrony środowiska i oszczędności energii, takich jak przyspieszone gruntowne renowacje w celu zwalczania ubóstwa energetycznego i promowania efektywności energetycznej; mając na uwadze, że polityka spójności UE powinna przyczyniać się do stworzenia rynku przystępnych cenowo i dostępnych mieszkań dla wszystkich osób w UE, zwłaszcza dla gospodarstw domowych o niskich i średnich dochodach, mieszkańców miast, rodzin z dziećmi, kobiet i ludzi młodych;</w:t>
      </w:r>
    </w:p>
    <w:p w14:paraId="2CB60058" w14:textId="77777777" w:rsidR="00164513" w:rsidRPr="002E41D7" w:rsidRDefault="00164513" w:rsidP="00164513">
      <w:pPr>
        <w:pStyle w:val="NormalHanging12a"/>
      </w:pPr>
      <w:r w:rsidRPr="002E41D7">
        <w:t>N.</w:t>
      </w:r>
      <w:r w:rsidRPr="002E41D7">
        <w:tab/>
        <w:t>mając na uwadze, że skuteczne wdrażanie europejskiej agendy miejskiej może wzmocnić zdolność miast w zakresie realizacji celów spójności, poprawy jakości życia obywateli i zapewnienia efektywniejszego wykorzystania środków finansowych UE;</w:t>
      </w:r>
    </w:p>
    <w:p w14:paraId="5D37FF51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O.</w:t>
      </w:r>
      <w:r w:rsidRPr="002E41D7">
        <w:tab/>
        <w:t xml:space="preserve">mając na uwadze, że szczególną uwagę należy poświęcić obszarom wiejskim, obszarom podlegającym przemianom przemysłowym i regionom UE, które cierpią na skutek intensywnych i trwałych niekorzystnych warunków przyrodniczych lub demograficznych, drenażu mózgów, zagrożeń związanych z klimatem i niedoborów </w:t>
      </w:r>
      <w:r w:rsidRPr="002E41D7">
        <w:lastRenderedPageBreak/>
        <w:t>wody, takim jak regiony najbardziej oddalone, a w szczególności wyspy znajdujące się na ich obrzeżach lub na obrzeżach UE, regiony o bardzo niskiej gęstości zaludnienia, regiony wyspiarskie, górskie i transgraniczne, a także regiony przybrzeżne i morskie;</w:t>
      </w:r>
    </w:p>
    <w:p w14:paraId="484AADFA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P.</w:t>
      </w:r>
      <w:r w:rsidRPr="002E41D7">
        <w:tab/>
        <w:t>mając na uwadze, że w wyniku wojny napastniczej Rosji przeciwko Ukrainie powstała nowa rzeczywistość geopolityczna, która poważnie wpływa na zatrudnienie, rozwój gospodarczy i możliwości gospodarcze, na ogólny dobrostan ludności mieszkającej w regionach graniczących z Ukrainą, Białorusią i Rosją oraz z krajami kandydującymi takimi jak Ukraina i Mołdawia, w związku z czym regiony te potrzebują szczególnej uwagi i wsparcia, m.in. przez dostosowanie polityki spójności; mając na uwadze, że w wyniku tej wojny bezprecedensowa liczba ludzi szuka schronienia w UE, co dodatkowo obciąża lokalne społeczności i służby; mając na uwadze, że zbiorowe bezpieczeństwo UE w dużym stopniu zależy od witalności i dobrobytu regionów położonych przy granicach zewnętrznych UE;</w:t>
      </w:r>
    </w:p>
    <w:p w14:paraId="74012AB5" w14:textId="77777777" w:rsidR="00164513" w:rsidRPr="002E41D7" w:rsidRDefault="00164513" w:rsidP="00164513">
      <w:pPr>
        <w:pStyle w:val="NormalHanging12a"/>
      </w:pPr>
      <w:r w:rsidRPr="002E41D7">
        <w:t>Q.</w:t>
      </w:r>
      <w:r w:rsidRPr="002E41D7">
        <w:tab/>
        <w:t>mając na uwadze, że wyjątkowa sytuacja Irlandii Północnej wymaga indywidualnego podejścia opartego na korzyściach płynących z programów PEACE, w których zbadano, jakie korzyści szersza polityka spójności może przynieść procesowi pojednania;</w:t>
      </w:r>
    </w:p>
    <w:p w14:paraId="6BD04841" w14:textId="77777777" w:rsidR="00164513" w:rsidRPr="002E41D7" w:rsidRDefault="00164513" w:rsidP="00164513">
      <w:pPr>
        <w:pStyle w:val="NormalHanging12a"/>
      </w:pPr>
      <w:r w:rsidRPr="002E41D7">
        <w:t>R.</w:t>
      </w:r>
      <w:r w:rsidRPr="002E41D7">
        <w:tab/>
        <w:t>mając na uwadze, że 79 % obywateli świadomych tego, że UE finansuje projekty w ramach polityki spójności, uważa, że ​​projekty finansowane przez UE mają pozytywny wpływ na regiony</w:t>
      </w:r>
      <w:r w:rsidRPr="002E41D7">
        <w:rPr>
          <w:vertAlign w:val="superscript"/>
        </w:rPr>
        <w:footnoteReference w:id="28"/>
      </w:r>
      <w:r w:rsidRPr="002E41D7">
        <w:t>, co pomaga kształtować prounijną postawę;</w:t>
      </w:r>
    </w:p>
    <w:p w14:paraId="3070D209" w14:textId="77777777" w:rsidR="00164513" w:rsidRPr="002E41D7" w:rsidRDefault="00164513" w:rsidP="00164513">
      <w:pPr>
        <w:pStyle w:val="NormalHanging12a"/>
      </w:pPr>
      <w:r w:rsidRPr="002E41D7">
        <w:t>S.</w:t>
      </w:r>
      <w:r w:rsidRPr="002E41D7">
        <w:tab/>
        <w:t>mając na uwadze, że ogólna świadomość tego, że UE finansuje projekty w ramach polityki spójności, zmalała o 2 punkty procentowe od roku 2021</w:t>
      </w:r>
      <w:r w:rsidRPr="002E41D7">
        <w:rPr>
          <w:vertAlign w:val="superscript"/>
        </w:rPr>
        <w:footnoteReference w:id="29"/>
      </w:r>
      <w:r w:rsidRPr="002E41D7">
        <w:t>, co oznacza, że należy dążyć do większej decentralizacji, aby polityka spójności była jeszcze bliżej obywatela;</w:t>
      </w:r>
    </w:p>
    <w:p w14:paraId="733676D0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1.</w:t>
      </w:r>
      <w:r w:rsidRPr="002E41D7">
        <w:tab/>
        <w:t>podkreśla, że kluczowymi i pozytywnymi elementami polityki spójności, które decydują o jej skuteczności, są podejście regionalne i lokalne nakierowane na konkretny obszar, planowanie strategiczne oraz zdecentralizowany model jej programowania i wdrażania oparty na zasadzie partnerstwa wraz ze sprawniejszym wdrażaniem europejskiego kodeksu postępowania, angażowaniem podmiotów gospodarczych i obywatelskich oraz zarządzaniem wielopoziomowym; jest głęboko przekonany, że ten model polityki spójności należy kontynuować we wszystkich regionach i w miarę możliwości wzmacniać nie tylko jako główny długoterminowy instrument inwestycyjny UE służący zmniejszaniu dysproporcji, zapewnianiu spójności gospodarczej, społecznej i terytorialnej, pobudzaniu zrównoważonego wzrostu regionalnego i lokalnego zgodnie ze strategiami UE oraz ochronie środowiska, ale i jako kluczowy czynnik przyczyniający się do konkurencyjności UE i sprawiedliwej transformacji, który pomoże też sprostać nowym wyzwaniom;</w:t>
      </w:r>
    </w:p>
    <w:p w14:paraId="0B78F7B6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2.</w:t>
      </w:r>
      <w:r w:rsidRPr="002E41D7">
        <w:tab/>
        <w:t xml:space="preserve">apeluje o wyraźne rozgraniczenie między polityką spójności a innymi instrumentami, aby uniknąć nakładania się instrumentów UE i konkurencji między nimi, zapewnić komplementarność interwencji oraz zwiększyć widoczność i czytelność wsparcia UE; </w:t>
      </w:r>
      <w:r w:rsidRPr="002E41D7">
        <w:lastRenderedPageBreak/>
        <w:t>zauważa w tym kontekście, że środki z RRF przeznacza się na rozwój i wzrost gospodarczy bez koncentrowania się konkretnie na spójności gospodarczej, społecznej i terytorialnej między regionami; jest zaniepokojony planami Komisji dotyczącymi stosowania podejścia opartego na wynikach w odniesieniu do europejskich funduszy strukturalnych i inwestycyjnych (fundusze ESI), uznaje, że mechanizmy oparte na wynikach mogą odegrać zasadniczą rolę w zwiększeniu skuteczności polityki i większym ukierunkowaniu jej na wyniki, ale przestrzega przed narzuceniem modelu uniwersalnego oraz wyraża poważne wątpliwości co do koncepcji powiązania wypłat z funduszy ESI z realizacją centralnie określonych celów reform, zwłaszcza jeśli cele reform nie należą do kompetencji szczebla regionalnego;</w:t>
      </w:r>
    </w:p>
    <w:p w14:paraId="3AC3B531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3.</w:t>
      </w:r>
      <w:r w:rsidRPr="002E41D7">
        <w:tab/>
        <w:t>sprzeciwia się wszelkim reformom centralizującym odgórnie unijne programy finansowania, w tym programy objęte zarządzaniem dzielonym, takie jak polityka spójności i wspólna polityka rolna, oraz opowiada się za większą decentralizacją procesu decyzyjnego na szczeblu lokalnym i regionalnym; apeluje o większe zaangażowanie organów lokalnych i regionalnych oraz podmiotów gospodarczych i obywatelskich na każdym etapie programów UE objętych zarządzaniem dzielonym, od przygotowania i programowania po wdrożenie, realizację i ocenę, pamiętając, że rozwój gospodarczy i społeczny regionów oraz spójność terytorialną między nimi można osiągnąć jedynie w oparciu o dobrą współpracę między wszystkimi podmiotami;</w:t>
      </w:r>
    </w:p>
    <w:p w14:paraId="010AFBDC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4.</w:t>
      </w:r>
      <w:r w:rsidRPr="002E41D7">
        <w:tab/>
        <w:t>podkreśla, że kluczową rolę we wspieraniu obszarów wiejskich – obok funduszy polityki spójności – odgrywa Europejski Fundusz Rolny na rzecz Rozwoju Obszarów Wiejskich (EFRROW); podkreśla, że struktura EFRROW musi być zgodna z zasadami dotyczącymi funduszy polityki spójności, aby zwiększać synergię i ułatwiać projekty rozwoju obszarów wiejskich finansowane z kilku źródeł;</w:t>
      </w:r>
    </w:p>
    <w:p w14:paraId="1D6CDF58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5.</w:t>
      </w:r>
      <w:r w:rsidRPr="002E41D7">
        <w:tab/>
        <w:t>jest przekonany, że polityka spójności może nadal spełniać swoją funkcję tylko dzięki zapewnieniu jej solidnego finansowania; podkreśla, że oznacza to, iż należy zapewnić solidne finansowanie przyszłej polityki spójności na okres finansowania po 2027 r.; podkreśla, że finansowanie to musi być na tyle ambitne i łatwo dostępne, aby polityka spójności mogła w dalszym ciągu być główną polityką inwestycyjną UE, a jednocześnie należy utrzymać elastyczność pozwalającą sprostać potencjalnym nowym wyzwaniom, łącznie z możliwością finansowania rozwoju produktów podwójnego zastosowania, oraz umożliwić organom, zainteresowanym stronom i beneficjentom lokalnym skuteczne wspieranie rozwoju lokalnego; jest głęboko przekonany, że zdolność do elastycznego reagowania na nieprzewidywalne wyzwania nie powinna odbywać się kosztem wyraźnego długofalowego ukierunkowania strategicznego i celów polityki spójności;</w:t>
      </w:r>
    </w:p>
    <w:p w14:paraId="74C10430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6.</w:t>
      </w:r>
      <w:r w:rsidRPr="002E41D7">
        <w:tab/>
        <w:t>podkreśla znaczenie, jakie dla kształtowania przyszłości polityki spójności mają kolejne wieloletnie ramy finansowe (WRF) UE i śródokresowy przegląd programów polityki spójności na lata 2021–2027; przypomina, że w WRF na lata 2028–2034 polityka spójności po 2027 r. musi być ambitniejsza; dlatego apeluje o dopilnowanie, aby w przyszłych WRF poziom finansowania polityki spójności był nadal co najmniej taki sam jak w bieżącym okresie w ujęciu realnym; ponadto apeluje, aby polityka spójności pozostała odrębnym działem w nowych WRF; podkreśla, że należy chronić politykę spójności przed skutkami statystycznymi, które mogą wpływać na kwalifikowalność regionów w wyniku zmiany średniego PKB UE; ponownie podkreśla, że UE musi mieć nowe zasoby własne;</w:t>
      </w:r>
    </w:p>
    <w:p w14:paraId="2BCAAD3F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lastRenderedPageBreak/>
        <w:t>7.</w:t>
      </w:r>
      <w:r w:rsidRPr="002E41D7">
        <w:tab/>
        <w:t>proponuje zatem, aby kolejne WRF umożliwiały sprawniejszą reakcję na nieprzewidziane potrzeby, np. dzięki wystarczającym marginesom i elastyczności od samego początku; podkreśla jednak w związku z tym, że polityka spójności nie jest instrumentem kryzysowym i nie powinna odbiegać od swoich głównych celów, a mianowicie od długofalowego charakteru inwestycyjnego; wzywa do wzmocnienia Funduszu Solidarności Unii Europejskiej, m.in. w zakresie płatności zaliczkowych, zmniejszenia biurokracji i zwiększenia jego dostępności, aby stał się on odpowiednim instrumentem umożliwiającym właściwe reagowanie na gospodarcze, społeczne i terytorialne konsekwencje przyszłych klęsk żywiołowych lub stanów zagrożenia zdrowia; podkreśla, że Parlament musi mieć odpowiednią kontrolę nad wszelkimi funduszami i instrumentami nadzwyczajnymi;</w:t>
      </w:r>
    </w:p>
    <w:p w14:paraId="1965193D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8.</w:t>
      </w:r>
      <w:r w:rsidRPr="002E41D7">
        <w:tab/>
        <w:t>uznaje potrzebę stosowania wspólnej klasyfikacji jednostek terytorialnych do celów statystycznych NUTS 3 również w konkretnych przypadkach, z uwzględnieniem faktu, że we wszystkich regionach NUTS 2 występują nierówności w rozwoju; jest zdania, że głównym kryterium ustalania alokacji dla państw członkowskich w ramach polityki spójności musi pozostać regionalny PKB na mieszkańca; z zadowoleniem przyjmuje fakt, że w następstwie nieustających apeli Parlamentu Komisja zaczęła rozważać dodatkowe kryteria</w:t>
      </w:r>
      <w:r w:rsidRPr="002E41D7">
        <w:rPr>
          <w:vertAlign w:val="superscript"/>
        </w:rPr>
        <w:footnoteReference w:id="30"/>
      </w:r>
      <w:r w:rsidRPr="002E41D7">
        <w:t>, takie jak emisje gazów cieplarnianych, gęstość zaludnienia, poziom wykształcenia i stopa bezrobocia, aby zapewnić lepszy obraz społeczno-gospodarczy regionów;</w:t>
      </w:r>
    </w:p>
    <w:p w14:paraId="5685FA59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9.</w:t>
      </w:r>
      <w:r w:rsidRPr="002E41D7">
        <w:tab/>
        <w:t>podkreśla, że nadrzędną zasadą warunkowości jest zasada warunkowości w zakresie praworządności, w której uznaje się i egzekwuje poszanowanie praworządności, również jako warunek podstawowy finansowania w ramach polityki spójności w celu zapewnienia, aby zasoby Unii były wykorzystywane w sposób przejrzysty, sprawiedliwy i odpowiedzialny oraz oparty na należytym zarządzaniu finansami; uważa, że należy koniecznie zwiększyć poszanowanie praworządności i praw podstawowych oraz zapewnić spójność wszystkich działań z wspieraniem zasad demokratycznych, równości płci i praw człowieka, w tym praw pracowniczych, praw osób z niepełnosprawnościami i praw dziecka, przy wdrażaniu polityki spójności; podkreśla ważną rolę Europejskiego Urzędu ds. Zwalczania Nadużyć Finansowych i Prokuratury Europejskiej w ochronie interesów finansowych Unii;</w:t>
      </w:r>
    </w:p>
    <w:p w14:paraId="6CE20338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10.</w:t>
      </w:r>
      <w:r w:rsidRPr="002E41D7">
        <w:tab/>
        <w:t xml:space="preserve">apeluje o zwiększenie synergii oraz dalsze uproszczenie, uelastycznienie i usprawnienie przepisów i procedur administracyjnych regulujących fundusze polityki spójności na szczeblu unijnym, krajowym i regionalnym przy pełnym wykorzystaniu technologii zwiększających dostępność i wydajność oraz na podstawie istniejących i ugruntowanych ram zarządzania dzielonego, aby zwiększyć zaufanie wśród beneficjentów i tym samym zachęcać szersze grono podmiotów gospodarczych i obywatelskich do udziału w projektach otrzymujących wsparcie i do maksymalizacji oddziaływania funduszy; apeluje o dalsze inicjatywy umożliwiające lepszą absorpcję funduszy spójności, w tym zwiększenie poziomów współfinansowania, wyższe płatności zaliczkowe i szybsze zwroty zainwestowanych środków; wzywa do technicznego przeszkolenia administracji lokalnej, w szczególności reprezentującej mniejsze społeczności, w zakresie lepszego zarządzania administracyjnego funduszami; podkreśla w związku z tym znaczenie wzmocnienia modelu „jednolitej kontroli”, </w:t>
      </w:r>
      <w:r w:rsidRPr="002E41D7">
        <w:lastRenderedPageBreak/>
        <w:t>dalszego rozszerzenia uproszczonych metod rozliczania kosztów oraz ograniczenia powielania kontroli i audytów, które pokrywają się z nadzorem krajowym i regionalnym w odniesieniu do tego samego projektu i beneficjenta, z myślą o wyeliminowaniu możliwości powtarzania błędów w kolejnych latach realizacji projektów;</w:t>
      </w:r>
    </w:p>
    <w:p w14:paraId="35A261D9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11.</w:t>
      </w:r>
      <w:r w:rsidRPr="002E41D7">
        <w:tab/>
        <w:t>wzywa Komisję i państwa członkowskie do zapewnienia regionom większej elastyczności już na etapie programowania, aby uwzględnić ich szczególne potrzeby i specyfikę, oraz podkreśla potrzebę angażowania podmiotów gospodarczych i obywatelskich; podkreśla, że koncentracja tematyczna była jednym z kluczowych elementów dostosowania polityki spójności do celów strategii „Europa 2020”; w związku z tym zwraca się do Komisji o przedstawienie wszystkich ustaleń związanych z wdrażaniem koncentracji tematycznej oraz o wyciągnięcie wniosków na potrzeby przyszłych wniosków ustawodawczych;</w:t>
      </w:r>
    </w:p>
    <w:p w14:paraId="319087E4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12.</w:t>
      </w:r>
      <w:r w:rsidRPr="002E41D7">
        <w:tab/>
        <w:t>przyznaje, że transformacja ekologiczna, cyfrowa i demograficzna niosą ze sobą poważne wyzwania, ale jednocześnie i możliwości dla realizacji celu spójności gospodarczej, społecznej i terytorialnej; uznaje, że statystycznie obszary o wysokich dochodach mogą maskować problemy gospodarcze w danym regionie; ma świadomość, że w związku z procesem transformacji istnieje ryzyko pogłębienia się dysproporcji regionalnych i nierówności społecznych oraz nasilenia się „geografii niezadowolenia”; podkreśla potrzebę osiągnięcia celów UE w zakresie zrównoważonego rozwoju i klimatu oraz utrzymania wspólnego wzrostu gospodarczego przez zwiększenie konkurencyjności Unii; w związku z tym apeluje o opracowanie europejskiej strategii gwarantującej harmonijny wzrost w Unii i odpowiadającej na konkretne potrzeby poszczególnych regionów; potwierdza swoje zaangażowanie w realizację transformacji ekologicznej i cyfrowej, ponieważ stworzy ona możliwości poprawy konkurencyjności UE; podkreśla potrzebę inwestowania w projekty infrastrukturalne, które poprawiają łączność, w szczególności w zrównoważony, inteligentny transport, oraz w sieci energetyczne i cyfrowe, zapewniające, że wszystkie regiony, w tym regiony oddalone i słabiej rozwinięte, będą w pełni zintegrowane z jednolitym rynkiem i będą sprawiedliwie korzystać z możliwości, które on oferuje; w tym kontekście podkreśla potrzebę wspierania rozwoju ekologicznego przemysłu służącego promowaniu lokalnej specyfiki i tradycji w celu zwiększenia odporności środowiska gospodarczego i społeczeństwa obywatelskiego na przyszłe wyzwania;</w:t>
      </w:r>
    </w:p>
    <w:p w14:paraId="10BA094D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13.</w:t>
      </w:r>
      <w:r w:rsidRPr="002E41D7">
        <w:tab/>
        <w:t>nalega, aby polityka spójności nadal uwzględniała dążenie do zwiększenia innowacyjności i ukończenia tworzenia jednolitego rynku UE, zgodnie z wnioskami ze sprawozdania Draghiego na temat europejskiej konkurencyjności; w kontekście dysproporcji regionalnych podkreśla problem utrzymującej się przepaści innowacyjnej i opowiada się za dostosowanym do potrzeb, nakierowanym na konkretny obszar podejściem do wspierania innowacji i konwergencji gospodarczej między regionami oraz do zmniejszania luki innowacyjnej; apeluje o zwiększenie roli innowacji lokalnych i regionalnych w budowaniu konkurencyjnych ekosystemów badań naukowych i innowacji oraz w promowaniu spójności terytorialnej; zwraca uwagę na nowe inicjatywy UE, takie jak regionalne doliny innowacji i partnerstwa na rzecz innowacji regionalnych, które służą tworzeniu powiązań między terytoriami o różnych poziomach wyników w zakresie innowacji i zniwelowaniu luki innowacyjnej; uważa, że podejście to wzmocni autonomię regionalną, ponieważ umożliwi władzom lokalnym i regionalnym kształtowanie polityk i celów UE zgodnie z ich szczególnymi potrzebami, cechami i zdolnościami, a jednocześnie pozwoli chronić zasadę partnerstwa;</w:t>
      </w:r>
    </w:p>
    <w:p w14:paraId="4C038FC9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lastRenderedPageBreak/>
        <w:t>14.</w:t>
      </w:r>
      <w:r w:rsidRPr="002E41D7">
        <w:tab/>
        <w:t>jest przekonany, że polityka spójności musi nadal respektować zasadę transformacji i zaspokajać szczególne potrzeby regionów, nie pozostawiając żadnego terytorium ani nikogo bez wsparcia; wzywa do dalszego finansowania procesu sprawiedliwej transformacji przez pełne objęcie Funduszu na rzecz Sprawiedliwej Transformacji zakresem stosowania rozporządzenia w sprawie wspólnych przepisów i zasilenie go większymi środkami finansowymi w okresie programowania po 2027 r.; podkreśla jednak potrzebę oceny wpływu Funduszu na rzecz Sprawiedliwej Transformacji na transformację kwalifikujących się regionów oraz – przy jednoczesnym zapewnieniu, aby pozostał on częścią polityki spójności – udoskonalenia jego podejścia w nowych WRF na podstawie ustaleń i konkretnych środków w celu zapewnienia dobrobytu gospodarczego i społecznego dotkniętych społeczności;</w:t>
      </w:r>
    </w:p>
    <w:p w14:paraId="3FAFF06E" w14:textId="77777777" w:rsidR="00164513" w:rsidRPr="002E41D7" w:rsidRDefault="00164513" w:rsidP="00164513">
      <w:pPr>
        <w:pStyle w:val="NormalHanging12a"/>
      </w:pPr>
      <w:r w:rsidRPr="002E41D7">
        <w:t>15.</w:t>
      </w:r>
      <w:r w:rsidRPr="002E41D7">
        <w:tab/>
        <w:t>podkreśla, że trzeba poprawić powiązanie między polityką spójności a zarządzaniem gospodarczym UE i jednocześnie unikać podejścia represyjnego; podkreśla, że europejski semestr powinien być zgodny z celami polityki spójności określonymi w art. 174 i 175 TFUE; apeluje o udział regionów w realizacji tych celów i o bardziej zdecydowane podejście terytorialne; wzywa do refleksji nad koncepcją warunkowości makroekonomicznej i do zbadania, czy można ją zastąpić nowymi formami warunkowości, które pozwoliłyby skuteczniej stawić czoła nowym wyzwaniom;</w:t>
      </w:r>
    </w:p>
    <w:p w14:paraId="5BA780B4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16.</w:t>
      </w:r>
      <w:r w:rsidRPr="002E41D7">
        <w:tab/>
        <w:t>jest zaniepokojony rosnącą liczbą regionów tkwiących w pułapce ograniczenia rozwoju, które znajdują się w zastoju gospodarczym oraz odczuwają skutki gwałtownego spadku liczby ludności i ograniczonego dostępu do usług kluczowych; w związku z tym wzywa do dostosowania w górę współfinansowania projektów mających na celu wzmocnienie usług kluczowych; podkreśla rolę instrumentów polityki spójności we wspieraniu różnych regionów i obszarów lokalnych zmagających się z ewolucją demograficzną mającą wpływ na skuteczne prawo ludzi do pozostania, w tym między innymi na wyzwania związane z depopulacją, starzeniem się społeczeństwa, nierównowagą płci, drenażem mózgów, niedoborem wykwalifikowanej siły roboczej i nierównomiernym potencjałem siły roboczej między regionami; uznaje potrzebę ukierunkowanych zachęt gospodarczych i interwencji strukturalnych w celu przeciwdziałania tym zjawiskom; w tym kontekście apeluje o wdrożenie ukierunkowanych programów służących przyciągnięciu, rozwojowi i zatrzymaniu talentów, zwłaszcza w regionach, w których odnotowuje się znaczny odpływ wykwalifikowanych pracowników, dzięki wspieraniu ekosystemów edukacji, kultury, przedsiębiorczości i innowacji, dostosowanych do lokalnych potrzeb i możliwości gospodarczych;</w:t>
      </w:r>
    </w:p>
    <w:p w14:paraId="440163F0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17.</w:t>
      </w:r>
      <w:r w:rsidRPr="002E41D7">
        <w:tab/>
        <w:t xml:space="preserve">dużą wagę przypisuje wspieraniu i finansowaniu szczególnych rozwiązań dla regionów o długotrwałych i poważnych trudnościach gospodarczych lub poważnych trwałych utrudnieniach naturalnych i demograficznych; ponownie podkreśla potrzebę utrzymania i sprawniejszego świadczenia wysokiej jakości usług kluczowych (takich jak edukacja i opieka zdrowotna), usług transportu i łączności cyfrowej w tych regionach, wspierania ich dywersyfikacji gospodarczej i tworzenia miejsc pracy oraz pomagania im w reagowaniu na wyzwania takie jak pustynnienie obszarów wiejskich, starzenie się społeczeństwa, ubóstwo, depopulacja, samotność i izolacja, a także brak możliwości wśród osób znajdujących się w trudnej sytuacji, w tym osób z niepełnosprawnościami; podkreśla potrzebę priorytetowego traktowania rozwoju i odpowiedniego finansowania sektorów strategicznych, takich jak energia odnawialna, zrównoważona turystyka, innowacje cyfrowe i infrastruktura, w sposób dostosowany do potencjału gospodarczego i zasobów każdego regionu, aby stworzyć szersze warunki dla endogenicznego wzrostu i zrównoważonego rozwoju we wszystkich regionach, </w:t>
      </w:r>
      <w:r w:rsidRPr="002E41D7">
        <w:lastRenderedPageBreak/>
        <w:t>zwłaszcza na obszarach wiejskich, oddalonych i słabiej rozwiniętych, w regionach przygranicznych, na wyspach i w regionach najbardziej oddalonych; przypomina o znaczeniu silnych powiązań między obszarami wiejskimi i miejskimi oraz o szczególnym wsparciu kobiet na obszarach wiejskich;</w:t>
      </w:r>
    </w:p>
    <w:p w14:paraId="0463D345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18.</w:t>
      </w:r>
      <w:r w:rsidRPr="002E41D7">
        <w:tab/>
        <w:t>podkreśla potrzebę podejścia dostosowanego do regionów najbardziej oddalonych, zdefiniowanych w art. 349 TFUE, które borykają się z wyjątkowymi i skumulowanymi wyzwaniami strukturalnymi ze względu na oddalenie, niewielki rozmiar rynku, podatność na zmianę klimatu i zależności gospodarcze; podkreśla, że te trwałe ograniczenia, w tym niewielkie rozmiary gospodarki krajowej, duża odległość od kontynentu europejskiego, położenie w pobliżu państw trzecich, podwójnie wyspiarski charakter większości z nich oraz ograniczone zróżnicowanie sektora produkcyjnego, skutkują dodatkowymi kosztami i ograniczoną konkurencyjnością, co sprawia, że ich dostosowanie do transformacji ekologicznej i cyfrowej jest szczególnie złożone i kosztowne; podkreśla ich ogromny potencjał w zakresie dalszego rozwoju, m.in. przez usprawnienie łączności regionalnej, kluczowych sektorów, takich jak niebieska gospodarka, zrównoważone rolnictwo, energia odnawialna, działania w przestrzeni kosmicznej, badania naukowe czy ekoturystyka; przypomina, że od dawna wzywa Komisję, aby należycie uwzględniała wpływ wszystkich nowo zaproponowanych aktów prawnych na regiony najbardziej oddalone, z myślą o unikaniu nieproporcjonalnych obciążeń regulacyjnych i niekorzystnych skutków dla ich gospodarek;</w:t>
      </w:r>
    </w:p>
    <w:p w14:paraId="04ACB2D2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19.</w:t>
      </w:r>
      <w:r w:rsidRPr="002E41D7">
        <w:tab/>
        <w:t>podkreśla fakt, że miasta i obszary metropolitalne mają własne wyzwania, takie jak znaczne enklawy ubóstwa, problemy mieszkaniowe, zagęszczenie ruchu i niska jakość powietrza, co stwarza wyzwania dla spójności społecznej i gospodarczej w wyniku niezharmonizowanego rozwoju terytorialnego; podkreśla, że konieczny jest konkretny plan działań na rzecz miast, i apeluje o zacieśnienie powiązań z miejskimi obszarami funkcjonalnymi, łączącymi mniejsze miasta i miejscowości, aby zapewnić, że korzyści gospodarcze i społeczne będą rozkładały się bardziej równomiernie na całym terytorium; podkreśla potrzebę wzmocnienia koordynacji między inicjatywami europejskiej agendy miejskiej a instrumentami polityki spójności poprzez faworyzowanie zintegrowanego podejścia uwzględniającego specyfikę terytorialną i pojawiające się wyzwania; wzywa ponadto do zapewnienia władzom regionalnym i lokalnym, a także miastom i władzom miejskim bardziej bezpośredniego dostępu do finansowania unijnego, między innymi przez szersze wykorzystywanie zintegrowanych inwestycji terytorialnych (ZIT);</w:t>
      </w:r>
    </w:p>
    <w:p w14:paraId="7054D0F7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20.</w:t>
      </w:r>
      <w:r w:rsidRPr="002E41D7">
        <w:tab/>
        <w:t>podkreśla potrzebę kontynuacji i zwiększenia inwestycji w przystępne cenowo mieszkalnictwo w ramach polityki spójności z uwagi na jego znaczenie zarówno dla regionów, jak i miast; zwraca uwagę na fakt, że trzeba wspierać zachodzące w mieszkalnictwie zmiany istotne z punktu widzenia inwestycji, wykraczające poza obie obecne możliwości (efektywność energetyczna i mieszkalnictwo socjalne); podkreśla ważną rolę, jaką polityka spójności odgrywa we wdrażaniu i koordynacji tych inicjatyw; uważa ponadto, że w inicjatywie URBACT trzeba uwzględnić przystępność cenową mieszkań;</w:t>
      </w:r>
    </w:p>
    <w:p w14:paraId="00E19A28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21.</w:t>
      </w:r>
      <w:r w:rsidRPr="002E41D7">
        <w:tab/>
        <w:t xml:space="preserve">podkreśla strategiczne znaczenie silnych regionów przy granicach zewnętrznych dla bezpieczeństwa i odporności UE; apeluje do Komisji, by wspierała państwa członkowskie i regiony dotknięte skutkami wojny napastniczej Rosji przeciwko Ukrainie, w szczególności regiony leżące przy zewnętrznej granicy UE, poprzez </w:t>
      </w:r>
      <w:r w:rsidRPr="002E41D7">
        <w:lastRenderedPageBreak/>
        <w:t>przegląd wytycznych w sprawie regionalnej pomocy państwa</w:t>
      </w:r>
      <w:r w:rsidRPr="002E41D7">
        <w:rPr>
          <w:vertAlign w:val="superscript"/>
        </w:rPr>
        <w:footnoteReference w:id="31"/>
      </w:r>
      <w:r w:rsidRPr="002E41D7">
        <w:t xml:space="preserve"> oraz narzędzia i inwestycje w ramach polityki spójności dostosowane do ich potrzeb, a także by pomagała im jak najlepiej i elastycznie wykorzystać możliwości, jakie stwarzają fundusze polityki spójności, w tym Interreg, tak aby łatwiej mogły uporać się ze szkodliwymi społeczno-gospodarczymi skutkami wojny dla swoich mieszkańców i terytoriów; wzywa ponadto do udzielenia wsparcia regionom graniczącym z krajami kandydującymi takimi jak Ukraina i Mołdawia w celu wzmocnienia powiązań i promowania ich integracji z UE;</w:t>
      </w:r>
    </w:p>
    <w:p w14:paraId="69E39EE9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22.</w:t>
      </w:r>
      <w:r w:rsidRPr="002E41D7">
        <w:tab/>
        <w:t>podkreśla wartość dodaną współpracy terytorialnej ogólnie, a w szczególności współpracy transgranicznej; podkreśla znaczenie Interreg dla regionów transgranicznych, w tym regionów najbardziej oddalonych; podkreśla ważną rolę Interreg w ich rozwoju i przezwyciężaniu barier transgranicznych, w tym między innymi w budowaniu zaufania ponad granicami, rozwijaniu połączeń transportowych, identyfikowaniu i ograniczaniu przeszkód prawnych i administracyjnych oraz rozwoju świadczenia transgranicznych usług publicznych i korzystania z nich; uważa Interreg za główny instrument UE służący eliminowaniu utrzymujących się przeszkód transgranicznych, z którymi borykają się służby ratunkowe, i proponuje, by w większym stopniu skupić się na tych służbach; podkreśla, że obszary transgraniczne, w tym obszary położone przy granicach zewnętrznych UE, graniczące z państwami agresorami często stoją w obliczu szczególnych wyzwań; uważa, że należy wspierać regiony przygraniczne UE, które borykają się z wieloma wyzwaniami, i jest zdania, że należy im zapewnić większe środki; z zadowoleniem przyjmuje nowe rozporządzenie w sprawie BRIDGEforEU; podkreśla znaczenie projektów na małą skalę i projektów transgranicznych oraz zwraca uwagę na potrzebę ich skutecznego wdrażania w terenie; wzywa Komisję, aby zachęcała państwa członkowskie do aktywnego wspierania kampanii uświadamiających w regionach przygranicznych, aby zmaksymalizować oddziaływanie współpracy transgranicznej;</w:t>
      </w:r>
    </w:p>
    <w:p w14:paraId="5C543B31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23.</w:t>
      </w:r>
      <w:r w:rsidRPr="002E41D7">
        <w:tab/>
        <w:t xml:space="preserve">przypomina, że trzeba sprzyjać spójności, a nie tylko bazować na zasadzie „nie szkodzić spójności”, która oznacza, że żadne działanie nie powinno utrudniać procesu konwergencji ani przyczyniać się do dysproporcji regionalnych; wzywa do bardziej zdecydowanego włączenia tych zasad, jako zasad przekrojowych, do wszystkich polityk UE, tak by sprzyjały one realizacji celów spójności społecznej, gospodarczej i terytorialnej zapisanych w art. 3 i 174 TFUE; apeluje ponadto do Komisji, aby wydała szczegółowe wytyczne dotyczące sposobu wdrażania i egzekwowania tych zasad we wszystkich strategiach politycznych UE, ze szczególnym uwzględnieniem wpływu prawodawstwa UE na konkurencyjność regionów słabiej rozwiniętych; przypomina, że nowe wnioski ustawodawcze muszą należycie uwzględniać realia lokalne i regionalne; sugeruje, by Komisja korzystała z innowacyjnych narzędzi takich jak (sieć centrów regionalnych) RegHub do gromadzenia danych o oddziaływaniu polityki UE na regiony; w tym celu podkreśla potrzebę udoskonalenia oceny prawodawstwa UE pod kątem oddziaływania terytorialnego i jednoczesnego wzmocnienia aspektów terytorialnych innych stosownych polityk; nalega, aby promowanie spójności postrzegać również jako sposób na umacnianie solidarności i wzajemnego wsparcia między państwami członkowskimi i ich regionami; wzywa Komisję i państwa członkowskie do dalszych starań w zakresie komunikacji i widoczności korzyści płynących z polityki spójności, pokazujących obywatelom namacalny wpływ UE i </w:t>
      </w:r>
      <w:r w:rsidRPr="002E41D7">
        <w:lastRenderedPageBreak/>
        <w:t>służących jako kluczowe narzędzie w walce z eurosceptycyzmem; z zadowoleniem przyjmuje uruchomienie wielojęzycznej wersji platformy Kohesio;</w:t>
      </w:r>
    </w:p>
    <w:p w14:paraId="266FB758" w14:textId="77777777" w:rsidR="00164513" w:rsidRPr="002E41D7" w:rsidRDefault="00164513" w:rsidP="00164513">
      <w:pPr>
        <w:pStyle w:val="NormalHanging12a"/>
      </w:pPr>
      <w:r w:rsidRPr="002E41D7">
        <w:t>24.</w:t>
      </w:r>
      <w:r w:rsidRPr="002E41D7">
        <w:tab/>
        <w:t>z zaniepokojeniem odnotowuje poważny spadek w ostatnich latach odpowiedniego poziomu krajowego finansowania przez państwa członkowskie swoich biedniejszych regionów; przypomina o znaczeniu przestrzegania unijnej zasady dodatkowości; wzywa Komisję do dopilnowania, aby organy krajowe należycie uwzględniały spójność wewnętrzną przy opracowywaniu i wdrażaniu projektów w ramach funduszy strukturalnych i inwestycyjnych;</w:t>
      </w:r>
    </w:p>
    <w:p w14:paraId="26D97E11" w14:textId="77777777" w:rsidR="00164513" w:rsidRPr="002E41D7" w:rsidRDefault="00164513" w:rsidP="00164513">
      <w:pPr>
        <w:shd w:val="clear" w:color="auto" w:fill="FFFFFF"/>
        <w:spacing w:after="240"/>
        <w:ind w:left="567" w:hanging="567"/>
        <w:jc w:val="both"/>
        <w:rPr>
          <w:iCs/>
        </w:rPr>
      </w:pPr>
      <w:r w:rsidRPr="002E41D7">
        <w:t>25.</w:t>
      </w:r>
      <w:r w:rsidRPr="002E41D7">
        <w:tab/>
        <w:t>podkreśla, że niezależnie od dostosowania do potrzeb regionalnych polityka spójności musi być dostosowana również do najmniejszej skali, tj. fundusze muszą być dostępne dla najmniejszych projektów i podmiotów realizujących projekty; zwraca uwagę, że to ich inicjatywy są często najbardziej innowacyjne i mają znaczny wpływ na rozwój obszarów wiejskich; przypomina, że fundusze powinny być dostępne dla wszystkich, niezależnie od wielkości i zakresu działania; popiera apel Sojuszu na rzecz Spójności, by polityka spójności po 2027 r. nie pozostawiała nikogo w tyle;</w:t>
      </w:r>
    </w:p>
    <w:p w14:paraId="00C61684" w14:textId="77777777" w:rsidR="00164513" w:rsidRPr="002E41D7" w:rsidRDefault="00164513" w:rsidP="00164513">
      <w:pPr>
        <w:pStyle w:val="NormalHanging12a"/>
        <w:rPr>
          <w:szCs w:val="24"/>
        </w:rPr>
      </w:pPr>
      <w:r w:rsidRPr="002E41D7">
        <w:t>26.</w:t>
      </w:r>
      <w:r w:rsidRPr="002E41D7">
        <w:tab/>
        <w:t>podkreśla, że opóźnienia w negocjacjach w sprawie WRF, a także fakt, że państwa członkowskie w większym stopniu skupiły się na programowaniu funduszy RRF, doprowadziły do znacznych opóźnień w okresie programowania 2021–2027; podkreśla znaczenie osiągnięcia na czas porozumienia w sprawie następnych ram finansowych i dlatego apeluje o sfinalizowanie rozporządzenia w sprawie wspólnych przepisów i negocjacji budżetowych co najmniej rok przed rozpoczęciem nowego okresu finansowania, tak aby państwa członkowskie mogły opracować swoje krajowe i regionalne strategie finansowania w czasie, który pozwoli zapewnić pomyślne przejście do następnego okresu finansowania oraz kontynuację dotychczasowych projektów w ramach funduszy ESI;</w:t>
      </w:r>
    </w:p>
    <w:p w14:paraId="4A5A6C3E" w14:textId="77777777" w:rsidR="002E41D7" w:rsidRPr="002E41D7" w:rsidRDefault="00164513" w:rsidP="002E41D7">
      <w:pPr>
        <w:pStyle w:val="NormalHanging12a"/>
      </w:pPr>
      <w:r w:rsidRPr="002E41D7">
        <w:t>27.</w:t>
      </w:r>
      <w:r w:rsidRPr="002E41D7">
        <w:tab/>
        <w:t>zobowiązuje swoją przewodniczącą do przekazania niniejszej rezolucji Radzie, Komisji, Europejskiemu Komitetowi Ekonomiczno-Społecznemu i Europejskiemu Komitetowi Regionów oraz parlamentom krajowym i regionalnym państw członkowskich.</w:t>
      </w:r>
    </w:p>
    <w:p w14:paraId="09F75966" w14:textId="77777777" w:rsidR="00E365E1" w:rsidRPr="002E41D7" w:rsidRDefault="00E365E1" w:rsidP="003714C1"/>
    <w:sectPr w:rsidR="00E365E1" w:rsidRPr="002E41D7" w:rsidSect="002E41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AAF19" w14:textId="77777777" w:rsidR="003714C1" w:rsidRPr="002E41D7" w:rsidRDefault="003714C1">
      <w:r w:rsidRPr="002E41D7">
        <w:separator/>
      </w:r>
    </w:p>
  </w:endnote>
  <w:endnote w:type="continuationSeparator" w:id="0">
    <w:p w14:paraId="6FF0B46D" w14:textId="77777777" w:rsidR="003714C1" w:rsidRPr="002E41D7" w:rsidRDefault="003714C1">
      <w:r w:rsidRPr="002E41D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A6C11" w14:textId="77777777" w:rsidR="00064002" w:rsidRPr="002E41D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DD318" w14:textId="77777777" w:rsidR="00064002" w:rsidRPr="002E41D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0A8CF" w14:textId="77777777" w:rsidR="00064002" w:rsidRPr="002E41D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FF746" w14:textId="77777777" w:rsidR="003714C1" w:rsidRPr="002E41D7" w:rsidRDefault="003714C1">
      <w:r w:rsidRPr="002E41D7">
        <w:separator/>
      </w:r>
    </w:p>
  </w:footnote>
  <w:footnote w:type="continuationSeparator" w:id="0">
    <w:p w14:paraId="4FBEE9BE" w14:textId="77777777" w:rsidR="003714C1" w:rsidRPr="002E41D7" w:rsidRDefault="003714C1">
      <w:r w:rsidRPr="002E41D7">
        <w:continuationSeparator/>
      </w:r>
    </w:p>
  </w:footnote>
  <w:footnote w:id="1">
    <w:p w14:paraId="4F59F6B8" w14:textId="77777777" w:rsidR="00164513" w:rsidRPr="002E41D7" w:rsidRDefault="00164513" w:rsidP="002E41D7">
      <w:pPr>
        <w:pStyle w:val="FootnoteText"/>
        <w:ind w:left="567" w:hanging="567"/>
        <w:rPr>
          <w:sz w:val="24"/>
          <w:lang w:val="pl-PL"/>
        </w:rPr>
      </w:pPr>
      <w:r w:rsidRPr="002E41D7">
        <w:rPr>
          <w:rStyle w:val="FootnoteReference"/>
          <w:sz w:val="24"/>
          <w:lang w:val="pl-PL"/>
        </w:rPr>
        <w:footnoteRef/>
      </w:r>
      <w:r w:rsidR="002E41D7" w:rsidRPr="002E41D7">
        <w:rPr>
          <w:sz w:val="24"/>
          <w:lang w:val="pl-PL"/>
        </w:rPr>
        <w:t xml:space="preserve"> </w:t>
      </w:r>
      <w:r w:rsidR="002E41D7" w:rsidRPr="002E41D7">
        <w:rPr>
          <w:sz w:val="24"/>
          <w:lang w:val="pl-PL"/>
        </w:rPr>
        <w:tab/>
      </w:r>
      <w:hyperlink r:id="rId1" w:history="1">
        <w:r w:rsidRPr="001F2E93">
          <w:rPr>
            <w:sz w:val="24"/>
            <w:u w:color="0000FF"/>
            <w:lang w:val="pl-PL"/>
          </w:rPr>
          <w:t>Dz.U. L 231 z 30.6.2021, s. 159, ELI:</w:t>
        </w:r>
      </w:hyperlink>
      <w:hyperlink r:id="rId2" w:history="1">
        <w:r w:rsidRPr="002E41D7">
          <w:rPr>
            <w:color w:val="0000FF"/>
            <w:sz w:val="24"/>
            <w:u w:val="single" w:color="0000FF"/>
            <w:lang w:val="pl-PL"/>
          </w:rPr>
          <w:t xml:space="preserve"> http://data.europa.eu/eli/reg/2021/1060/oj.</w:t>
        </w:r>
      </w:hyperlink>
    </w:p>
  </w:footnote>
  <w:footnote w:id="2">
    <w:p w14:paraId="495AD70C" w14:textId="77777777" w:rsidR="00164513" w:rsidRPr="002E41D7" w:rsidRDefault="00164513" w:rsidP="002E41D7">
      <w:pPr>
        <w:pStyle w:val="FootnoteText"/>
        <w:ind w:left="567" w:hanging="567"/>
        <w:rPr>
          <w:sz w:val="24"/>
          <w:lang w:val="pl-PL"/>
        </w:rPr>
      </w:pPr>
      <w:r w:rsidRPr="002E41D7">
        <w:rPr>
          <w:rStyle w:val="FootnoteReference"/>
          <w:sz w:val="24"/>
          <w:lang w:val="pl-PL"/>
        </w:rPr>
        <w:footnoteRef/>
      </w:r>
      <w:r w:rsidR="002E41D7" w:rsidRPr="002E41D7">
        <w:rPr>
          <w:sz w:val="24"/>
          <w:lang w:val="pl-PL"/>
        </w:rPr>
        <w:t xml:space="preserve"> </w:t>
      </w:r>
      <w:r w:rsidR="002E41D7" w:rsidRPr="002E41D7">
        <w:rPr>
          <w:sz w:val="24"/>
          <w:lang w:val="pl-PL"/>
        </w:rPr>
        <w:tab/>
      </w:r>
      <w:hyperlink r:id="rId3" w:history="1">
        <w:r w:rsidRPr="001F2E93">
          <w:rPr>
            <w:sz w:val="24"/>
            <w:u w:color="0000FF"/>
            <w:lang w:val="pl-PL"/>
          </w:rPr>
          <w:t>Dz.U. L 231 z 30.6.2021, s. 60, ELI:</w:t>
        </w:r>
      </w:hyperlink>
      <w:hyperlink r:id="rId4" w:history="1">
        <w:r w:rsidRPr="002E41D7">
          <w:rPr>
            <w:color w:val="0000FF"/>
            <w:sz w:val="24"/>
            <w:u w:val="single" w:color="0000FF"/>
            <w:lang w:val="pl-PL"/>
          </w:rPr>
          <w:t xml:space="preserve"> http://data.europa.eu/eli/reg/2021/1058/oj.</w:t>
        </w:r>
      </w:hyperlink>
    </w:p>
  </w:footnote>
  <w:footnote w:id="3">
    <w:p w14:paraId="3CF8B7E8" w14:textId="77777777" w:rsidR="00164513" w:rsidRPr="002E41D7" w:rsidRDefault="00164513" w:rsidP="002E41D7">
      <w:pPr>
        <w:pStyle w:val="FootnoteText"/>
        <w:ind w:left="567" w:hanging="567"/>
        <w:rPr>
          <w:sz w:val="24"/>
          <w:lang w:val="pl-PL"/>
        </w:rPr>
      </w:pPr>
      <w:r w:rsidRPr="002E41D7">
        <w:rPr>
          <w:rStyle w:val="FootnoteReference"/>
          <w:sz w:val="24"/>
          <w:lang w:val="pl-PL"/>
        </w:rPr>
        <w:footnoteRef/>
      </w:r>
      <w:r w:rsidR="002E41D7" w:rsidRPr="002E41D7">
        <w:rPr>
          <w:sz w:val="24"/>
          <w:lang w:val="pl-PL"/>
        </w:rPr>
        <w:t xml:space="preserve"> </w:t>
      </w:r>
      <w:r w:rsidR="002E41D7" w:rsidRPr="002E41D7">
        <w:rPr>
          <w:sz w:val="24"/>
          <w:lang w:val="pl-PL"/>
        </w:rPr>
        <w:tab/>
      </w:r>
      <w:hyperlink r:id="rId5" w:history="1">
        <w:r w:rsidRPr="001F2E93">
          <w:rPr>
            <w:sz w:val="24"/>
            <w:u w:color="0000FF"/>
            <w:lang w:val="pl-PL"/>
          </w:rPr>
          <w:t>Dz.U. L 231 z 30.6.2021, s. 94, ELI:</w:t>
        </w:r>
      </w:hyperlink>
      <w:hyperlink r:id="rId6" w:history="1">
        <w:r w:rsidRPr="002E41D7">
          <w:rPr>
            <w:color w:val="0000FF"/>
            <w:sz w:val="24"/>
            <w:u w:val="single" w:color="0000FF"/>
            <w:lang w:val="pl-PL"/>
          </w:rPr>
          <w:t xml:space="preserve"> http://data.europa.eu/eli/reg/2021/1059/oj.</w:t>
        </w:r>
      </w:hyperlink>
    </w:p>
  </w:footnote>
  <w:footnote w:id="4">
    <w:p w14:paraId="2CB4233D" w14:textId="77777777" w:rsidR="00164513" w:rsidRPr="002E41D7" w:rsidRDefault="00164513" w:rsidP="002E41D7">
      <w:pPr>
        <w:pStyle w:val="FootnoteText"/>
        <w:ind w:left="567" w:hanging="567"/>
        <w:rPr>
          <w:sz w:val="24"/>
          <w:lang w:val="pl-PL"/>
        </w:rPr>
      </w:pPr>
      <w:r w:rsidRPr="002E41D7">
        <w:rPr>
          <w:rStyle w:val="FootnoteReference"/>
          <w:sz w:val="24"/>
          <w:lang w:val="pl-PL"/>
        </w:rPr>
        <w:footnoteRef/>
      </w:r>
      <w:r w:rsidR="002E41D7" w:rsidRPr="002E41D7">
        <w:rPr>
          <w:sz w:val="24"/>
          <w:lang w:val="pl-PL"/>
        </w:rPr>
        <w:t xml:space="preserve"> </w:t>
      </w:r>
      <w:r w:rsidR="002E41D7" w:rsidRPr="002E41D7">
        <w:rPr>
          <w:sz w:val="24"/>
          <w:lang w:val="pl-PL"/>
        </w:rPr>
        <w:tab/>
      </w:r>
      <w:hyperlink r:id="rId7" w:history="1">
        <w:r w:rsidRPr="001F2E93">
          <w:rPr>
            <w:sz w:val="24"/>
            <w:u w:color="0000FF"/>
            <w:lang w:val="pl-PL"/>
          </w:rPr>
          <w:t>Dz.U. L 231 z 30.6.2021, s. 21, ELI:</w:t>
        </w:r>
      </w:hyperlink>
      <w:hyperlink r:id="rId8" w:history="1">
        <w:r w:rsidRPr="002E41D7">
          <w:rPr>
            <w:color w:val="0000FF"/>
            <w:sz w:val="24"/>
            <w:u w:val="single" w:color="0000FF"/>
            <w:lang w:val="pl-PL"/>
          </w:rPr>
          <w:t xml:space="preserve"> http://data.europa.eu/eli/reg/2021/1057/oj.</w:t>
        </w:r>
      </w:hyperlink>
    </w:p>
  </w:footnote>
  <w:footnote w:id="5">
    <w:p w14:paraId="15B89A7A" w14:textId="77777777" w:rsidR="00164513" w:rsidRPr="002E41D7" w:rsidRDefault="00164513" w:rsidP="002E41D7">
      <w:pPr>
        <w:pStyle w:val="FootnoteText"/>
        <w:ind w:left="567" w:hanging="567"/>
        <w:rPr>
          <w:sz w:val="24"/>
          <w:lang w:val="pl-PL"/>
        </w:rPr>
      </w:pPr>
      <w:r w:rsidRPr="002E41D7">
        <w:rPr>
          <w:rStyle w:val="FootnoteReference"/>
          <w:sz w:val="24"/>
          <w:lang w:val="pl-PL"/>
        </w:rPr>
        <w:footnoteRef/>
      </w:r>
      <w:r w:rsidR="002E41D7" w:rsidRPr="002E41D7">
        <w:rPr>
          <w:sz w:val="24"/>
          <w:lang w:val="pl-PL"/>
        </w:rPr>
        <w:t xml:space="preserve"> </w:t>
      </w:r>
      <w:r w:rsidR="002E41D7" w:rsidRPr="002E41D7">
        <w:rPr>
          <w:sz w:val="24"/>
          <w:lang w:val="pl-PL"/>
        </w:rPr>
        <w:tab/>
      </w:r>
      <w:hyperlink r:id="rId9" w:history="1">
        <w:r w:rsidRPr="001F2E93">
          <w:rPr>
            <w:sz w:val="24"/>
            <w:u w:color="0000FF"/>
            <w:lang w:val="pl-PL"/>
          </w:rPr>
          <w:t>Dz.U. L 231 z 30.6.2021, s. 1, ELI:</w:t>
        </w:r>
      </w:hyperlink>
      <w:hyperlink r:id="rId10" w:history="1">
        <w:r w:rsidRPr="002E41D7">
          <w:rPr>
            <w:color w:val="0000FF"/>
            <w:sz w:val="24"/>
            <w:u w:val="single" w:color="0000FF"/>
            <w:lang w:val="pl-PL"/>
          </w:rPr>
          <w:t xml:space="preserve"> http://data.europa.eu/eli/reg/2021/1056/oj.</w:t>
        </w:r>
      </w:hyperlink>
    </w:p>
  </w:footnote>
  <w:footnote w:id="6">
    <w:p w14:paraId="660B0074" w14:textId="77777777" w:rsidR="00164513" w:rsidRPr="002E41D7" w:rsidRDefault="00164513" w:rsidP="002E41D7">
      <w:pPr>
        <w:pStyle w:val="FootnoteText"/>
        <w:ind w:left="567" w:hanging="567"/>
        <w:rPr>
          <w:sz w:val="24"/>
          <w:lang w:val="pl-PL"/>
        </w:rPr>
      </w:pPr>
      <w:r w:rsidRPr="002E41D7">
        <w:rPr>
          <w:rStyle w:val="FootnoteReference"/>
          <w:sz w:val="24"/>
          <w:lang w:val="pl-PL"/>
        </w:rPr>
        <w:footnoteRef/>
      </w:r>
      <w:r w:rsidR="002E41D7" w:rsidRPr="002E41D7">
        <w:rPr>
          <w:sz w:val="24"/>
          <w:lang w:val="pl-PL"/>
        </w:rPr>
        <w:t xml:space="preserve"> </w:t>
      </w:r>
      <w:r w:rsidR="002E41D7" w:rsidRPr="002E41D7">
        <w:rPr>
          <w:sz w:val="24"/>
          <w:lang w:val="pl-PL"/>
        </w:rPr>
        <w:tab/>
      </w:r>
      <w:hyperlink r:id="rId11" w:history="1">
        <w:r w:rsidRPr="001F2E93">
          <w:rPr>
            <w:sz w:val="24"/>
            <w:u w:color="0000FF"/>
            <w:lang w:val="pl-PL"/>
          </w:rPr>
          <w:t>Dz.U. L 435 z 6.12.2021, s. 1, ELI:</w:t>
        </w:r>
      </w:hyperlink>
      <w:hyperlink r:id="rId12" w:history="1">
        <w:r w:rsidRPr="002E41D7">
          <w:rPr>
            <w:color w:val="0000FF"/>
            <w:sz w:val="24"/>
            <w:u w:val="single" w:color="0000FF"/>
            <w:lang w:val="pl-PL"/>
          </w:rPr>
          <w:t xml:space="preserve"> http://data.europa.eu/eli/reg/2021/2115/oj.</w:t>
        </w:r>
      </w:hyperlink>
    </w:p>
  </w:footnote>
  <w:footnote w:id="7">
    <w:p w14:paraId="4F1D3C94" w14:textId="5B8C438D" w:rsidR="00164513" w:rsidRPr="002E41D7" w:rsidRDefault="00164513" w:rsidP="002E41D7">
      <w:pPr>
        <w:pStyle w:val="FootnoteText"/>
        <w:ind w:left="567" w:hanging="567"/>
        <w:rPr>
          <w:sz w:val="24"/>
          <w:lang w:val="pl-PL"/>
        </w:rPr>
      </w:pPr>
      <w:r w:rsidRPr="002E41D7">
        <w:rPr>
          <w:rStyle w:val="FootnoteReference"/>
          <w:sz w:val="24"/>
          <w:lang w:val="pl-PL"/>
        </w:rPr>
        <w:footnoteRef/>
      </w:r>
      <w:r w:rsidR="002E41D7" w:rsidRPr="002E41D7">
        <w:rPr>
          <w:sz w:val="24"/>
          <w:lang w:val="pl-PL"/>
        </w:rPr>
        <w:t xml:space="preserve"> </w:t>
      </w:r>
      <w:r w:rsidR="002E41D7" w:rsidRPr="002E41D7">
        <w:rPr>
          <w:sz w:val="24"/>
          <w:lang w:val="pl-PL"/>
        </w:rPr>
        <w:tab/>
      </w:r>
      <w:hyperlink r:id="rId13" w:history="1">
        <w:r w:rsidRPr="001F2E93">
          <w:rPr>
            <w:sz w:val="24"/>
            <w:u w:color="0000FF"/>
            <w:lang w:val="pl-PL"/>
          </w:rPr>
          <w:t>Dz.U. L 99 z 31.3.2020, s. 5, ELI:</w:t>
        </w:r>
      </w:hyperlink>
      <w:hyperlink r:id="rId14" w:history="1">
        <w:r w:rsidRPr="002E41D7">
          <w:rPr>
            <w:color w:val="0000FF"/>
            <w:sz w:val="24"/>
            <w:u w:val="single" w:color="0000FF"/>
            <w:lang w:val="pl-PL"/>
          </w:rPr>
          <w:t xml:space="preserve"> http://data.europa.eu/eli/reg/2020/460/oj.</w:t>
        </w:r>
      </w:hyperlink>
    </w:p>
  </w:footnote>
  <w:footnote w:id="8">
    <w:p w14:paraId="2FA9DCD2" w14:textId="77777777" w:rsidR="00164513" w:rsidRPr="002E41D7" w:rsidRDefault="00164513" w:rsidP="002E41D7">
      <w:pPr>
        <w:pStyle w:val="FootnoteText"/>
        <w:ind w:left="567" w:hanging="567"/>
        <w:rPr>
          <w:sz w:val="24"/>
          <w:lang w:val="pl-PL"/>
        </w:rPr>
      </w:pPr>
      <w:r w:rsidRPr="002E41D7">
        <w:rPr>
          <w:rStyle w:val="FootnoteReference"/>
          <w:sz w:val="24"/>
          <w:lang w:val="pl-PL"/>
        </w:rPr>
        <w:footnoteRef/>
      </w:r>
      <w:r w:rsidR="002E41D7" w:rsidRPr="002E41D7">
        <w:rPr>
          <w:sz w:val="24"/>
          <w:lang w:val="pl-PL"/>
        </w:rPr>
        <w:t xml:space="preserve"> </w:t>
      </w:r>
      <w:r w:rsidR="002E41D7" w:rsidRPr="002E41D7">
        <w:rPr>
          <w:sz w:val="24"/>
          <w:lang w:val="pl-PL"/>
        </w:rPr>
        <w:tab/>
      </w:r>
      <w:hyperlink r:id="rId15" w:history="1">
        <w:r w:rsidRPr="001F2E93">
          <w:rPr>
            <w:sz w:val="24"/>
            <w:u w:color="0000FF"/>
            <w:lang w:val="pl-PL"/>
          </w:rPr>
          <w:t>Dz.U. L 130 z 24.4.2020, s. 1, ELI:</w:t>
        </w:r>
      </w:hyperlink>
      <w:hyperlink r:id="rId16" w:history="1">
        <w:r w:rsidRPr="002E41D7">
          <w:rPr>
            <w:color w:val="0000FF"/>
            <w:sz w:val="24"/>
            <w:u w:val="single" w:color="0000FF"/>
            <w:lang w:val="pl-PL"/>
          </w:rPr>
          <w:t xml:space="preserve"> http://data.europa.eu/eli/reg/2020/558/oj.</w:t>
        </w:r>
      </w:hyperlink>
    </w:p>
  </w:footnote>
  <w:footnote w:id="9">
    <w:p w14:paraId="22894313" w14:textId="7177450F" w:rsidR="00164513" w:rsidRPr="002E41D7" w:rsidRDefault="00164513" w:rsidP="002E41D7">
      <w:pPr>
        <w:pStyle w:val="FootnoteText"/>
        <w:ind w:left="567" w:hanging="567"/>
        <w:rPr>
          <w:sz w:val="24"/>
          <w:lang w:val="pl-PL"/>
        </w:rPr>
      </w:pPr>
      <w:r w:rsidRPr="002E41D7">
        <w:rPr>
          <w:rStyle w:val="FootnoteReference"/>
          <w:sz w:val="24"/>
          <w:lang w:val="pl-PL"/>
        </w:rPr>
        <w:footnoteRef/>
      </w:r>
      <w:r w:rsidR="002E41D7" w:rsidRPr="002E41D7">
        <w:rPr>
          <w:sz w:val="24"/>
          <w:lang w:val="pl-PL"/>
        </w:rPr>
        <w:t xml:space="preserve"> </w:t>
      </w:r>
      <w:r w:rsidR="002E41D7" w:rsidRPr="002E41D7">
        <w:rPr>
          <w:sz w:val="24"/>
          <w:lang w:val="pl-PL"/>
        </w:rPr>
        <w:tab/>
      </w:r>
      <w:hyperlink r:id="rId17" w:history="1">
        <w:r w:rsidRPr="001F2E93">
          <w:rPr>
            <w:sz w:val="24"/>
            <w:u w:color="0000FF"/>
            <w:lang w:val="pl-PL"/>
          </w:rPr>
          <w:t>Dz.U. L 99 z 31.3.2020, s. 9, ELI:</w:t>
        </w:r>
      </w:hyperlink>
      <w:hyperlink r:id="rId18" w:history="1">
        <w:r w:rsidRPr="002E41D7">
          <w:rPr>
            <w:color w:val="0000FF"/>
            <w:sz w:val="24"/>
            <w:u w:val="single" w:color="0000FF"/>
            <w:lang w:val="pl-PL"/>
          </w:rPr>
          <w:t xml:space="preserve"> http://data.europa.eu/eli/reg/2020/461/oj.</w:t>
        </w:r>
      </w:hyperlink>
    </w:p>
  </w:footnote>
  <w:footnote w:id="10">
    <w:p w14:paraId="06DF0121" w14:textId="77777777" w:rsidR="00164513" w:rsidRPr="002E41D7" w:rsidRDefault="00164513" w:rsidP="002E41D7">
      <w:pPr>
        <w:pStyle w:val="FootnoteText"/>
        <w:ind w:left="567" w:hanging="567"/>
        <w:rPr>
          <w:sz w:val="24"/>
          <w:lang w:val="pl-PL"/>
        </w:rPr>
      </w:pPr>
      <w:r w:rsidRPr="002E41D7">
        <w:rPr>
          <w:rStyle w:val="FootnoteReference"/>
          <w:sz w:val="24"/>
          <w:lang w:val="pl-PL"/>
        </w:rPr>
        <w:footnoteRef/>
      </w:r>
      <w:r w:rsidR="002E41D7" w:rsidRPr="002E41D7">
        <w:rPr>
          <w:sz w:val="24"/>
          <w:lang w:val="pl-PL"/>
        </w:rPr>
        <w:t xml:space="preserve"> </w:t>
      </w:r>
      <w:r w:rsidR="002E41D7" w:rsidRPr="002E41D7">
        <w:rPr>
          <w:sz w:val="24"/>
          <w:lang w:val="pl-PL"/>
        </w:rPr>
        <w:tab/>
      </w:r>
      <w:hyperlink r:id="rId19" w:history="1">
        <w:r w:rsidRPr="001F2E93">
          <w:rPr>
            <w:sz w:val="24"/>
            <w:u w:color="0000FF"/>
            <w:lang w:val="pl-PL"/>
          </w:rPr>
          <w:t>Dz.U. L 437 z 28.12.2020, s. 30, ELI:</w:t>
        </w:r>
      </w:hyperlink>
      <w:hyperlink r:id="rId20" w:history="1">
        <w:r w:rsidRPr="002E41D7">
          <w:rPr>
            <w:color w:val="0000FF"/>
            <w:sz w:val="24"/>
            <w:u w:val="single" w:color="0000FF"/>
            <w:lang w:val="pl-PL"/>
          </w:rPr>
          <w:t xml:space="preserve"> http://data.europa.eu/eli/reg/2020/2221/oj.</w:t>
        </w:r>
      </w:hyperlink>
    </w:p>
  </w:footnote>
  <w:footnote w:id="11">
    <w:p w14:paraId="343AFE92" w14:textId="77777777" w:rsidR="00164513" w:rsidRPr="002E41D7" w:rsidRDefault="00164513" w:rsidP="002E41D7">
      <w:pPr>
        <w:pStyle w:val="FootnoteText"/>
        <w:ind w:left="567" w:hanging="567"/>
        <w:rPr>
          <w:sz w:val="24"/>
          <w:lang w:val="pl-PL"/>
        </w:rPr>
      </w:pPr>
      <w:r w:rsidRPr="002E41D7">
        <w:rPr>
          <w:rStyle w:val="FootnoteReference"/>
          <w:sz w:val="24"/>
          <w:lang w:val="pl-PL"/>
        </w:rPr>
        <w:footnoteRef/>
      </w:r>
      <w:r w:rsidR="002E41D7" w:rsidRPr="002E41D7">
        <w:rPr>
          <w:sz w:val="24"/>
          <w:lang w:val="pl-PL"/>
        </w:rPr>
        <w:t xml:space="preserve"> </w:t>
      </w:r>
      <w:r w:rsidR="002E41D7" w:rsidRPr="002E41D7">
        <w:rPr>
          <w:sz w:val="24"/>
          <w:lang w:val="pl-PL"/>
        </w:rPr>
        <w:tab/>
      </w:r>
      <w:hyperlink r:id="rId21" w:history="1">
        <w:r w:rsidRPr="001F2E93">
          <w:rPr>
            <w:sz w:val="24"/>
            <w:u w:color="0000FF"/>
            <w:lang w:val="pl-PL"/>
          </w:rPr>
          <w:t>Dz.U. L 109 z 8.4.2022, s. 1, ELI:</w:t>
        </w:r>
      </w:hyperlink>
      <w:hyperlink r:id="rId22" w:history="1">
        <w:r w:rsidRPr="002E41D7">
          <w:rPr>
            <w:color w:val="0000FF"/>
            <w:sz w:val="24"/>
            <w:u w:val="single" w:color="0000FF"/>
            <w:lang w:val="pl-PL"/>
          </w:rPr>
          <w:t xml:space="preserve"> http://data.europa.eu/eli/reg/2022/562/oj.</w:t>
        </w:r>
      </w:hyperlink>
    </w:p>
  </w:footnote>
  <w:footnote w:id="12">
    <w:p w14:paraId="5644E7A0" w14:textId="77777777" w:rsidR="00164513" w:rsidRPr="002E41D7" w:rsidRDefault="00164513" w:rsidP="002E41D7">
      <w:pPr>
        <w:pStyle w:val="FootnoteText"/>
        <w:ind w:left="567" w:hanging="567"/>
        <w:rPr>
          <w:sz w:val="24"/>
          <w:lang w:val="pl-PL"/>
        </w:rPr>
      </w:pPr>
      <w:r w:rsidRPr="002E41D7">
        <w:rPr>
          <w:rStyle w:val="FootnoteReference"/>
          <w:sz w:val="24"/>
          <w:lang w:val="pl-PL"/>
        </w:rPr>
        <w:footnoteRef/>
      </w:r>
      <w:r w:rsidR="002E41D7" w:rsidRPr="002E41D7">
        <w:rPr>
          <w:sz w:val="24"/>
          <w:lang w:val="pl-PL"/>
        </w:rPr>
        <w:t xml:space="preserve"> </w:t>
      </w:r>
      <w:r w:rsidR="002E41D7" w:rsidRPr="002E41D7">
        <w:rPr>
          <w:sz w:val="24"/>
          <w:lang w:val="pl-PL"/>
        </w:rPr>
        <w:tab/>
      </w:r>
      <w:hyperlink r:id="rId23" w:history="1">
        <w:r w:rsidRPr="002E41D7">
          <w:rPr>
            <w:color w:val="0000FF"/>
            <w:sz w:val="24"/>
            <w:u w:val="single" w:color="0000FF"/>
            <w:lang w:val="pl-PL"/>
          </w:rPr>
          <w:t>Dz.U. L 275 z 25.10.2022, s. 23, ELI:</w:t>
        </w:r>
      </w:hyperlink>
      <w:hyperlink r:id="rId24" w:history="1">
        <w:r w:rsidRPr="002E41D7">
          <w:rPr>
            <w:color w:val="0000FF"/>
            <w:sz w:val="24"/>
            <w:u w:val="single" w:color="0000FF"/>
            <w:lang w:val="pl-PL"/>
          </w:rPr>
          <w:t xml:space="preserve"> http://data.europa.eu/eli/reg/2022/2039/oj.</w:t>
        </w:r>
      </w:hyperlink>
    </w:p>
  </w:footnote>
  <w:footnote w:id="13">
    <w:p w14:paraId="2C76D4FF" w14:textId="77777777" w:rsidR="00164513" w:rsidRPr="002E41D7" w:rsidRDefault="00164513" w:rsidP="002E41D7">
      <w:pPr>
        <w:pStyle w:val="FootnoteText"/>
        <w:ind w:left="567" w:hanging="567"/>
        <w:rPr>
          <w:sz w:val="24"/>
          <w:lang w:val="pl-PL"/>
        </w:rPr>
      </w:pPr>
      <w:r w:rsidRPr="002E41D7">
        <w:rPr>
          <w:rStyle w:val="FootnoteReference"/>
          <w:sz w:val="24"/>
          <w:lang w:val="pl-PL"/>
        </w:rPr>
        <w:footnoteRef/>
      </w:r>
      <w:r w:rsidR="002E41D7" w:rsidRPr="002E41D7">
        <w:rPr>
          <w:sz w:val="24"/>
          <w:lang w:val="pl-PL"/>
        </w:rPr>
        <w:t xml:space="preserve"> </w:t>
      </w:r>
      <w:r w:rsidR="002E41D7" w:rsidRPr="002E41D7">
        <w:rPr>
          <w:sz w:val="24"/>
          <w:lang w:val="pl-PL"/>
        </w:rPr>
        <w:tab/>
      </w:r>
      <w:r w:rsidRPr="002E41D7">
        <w:rPr>
          <w:sz w:val="24"/>
          <w:lang w:val="pl-PL"/>
        </w:rPr>
        <w:t>Komisja Europejska: Dyrekcja Generalna ds. Polityki Regionalnej i Miejskiej, 9. sprawozdanie na temat spójności gospodarczej, społecznej i terytorialnej, 2024 r.</w:t>
      </w:r>
    </w:p>
  </w:footnote>
  <w:footnote w:id="14">
    <w:p w14:paraId="65D5F561" w14:textId="77777777" w:rsidR="00164513" w:rsidRPr="002E41D7" w:rsidRDefault="00164513" w:rsidP="002E41D7">
      <w:pPr>
        <w:pStyle w:val="FootnoteText"/>
        <w:ind w:left="567" w:hanging="567"/>
        <w:rPr>
          <w:sz w:val="24"/>
          <w:lang w:val="pl-PL"/>
        </w:rPr>
      </w:pPr>
      <w:r w:rsidRPr="002E41D7">
        <w:rPr>
          <w:rStyle w:val="FootnoteReference"/>
          <w:sz w:val="24"/>
          <w:lang w:val="pl-PL"/>
        </w:rPr>
        <w:footnoteRef/>
      </w:r>
      <w:r w:rsidR="002E41D7" w:rsidRPr="002E41D7">
        <w:rPr>
          <w:sz w:val="24"/>
          <w:lang w:val="pl-PL"/>
        </w:rPr>
        <w:t xml:space="preserve"> </w:t>
      </w:r>
      <w:r w:rsidR="002E41D7" w:rsidRPr="002E41D7">
        <w:rPr>
          <w:sz w:val="24"/>
          <w:lang w:val="pl-PL"/>
        </w:rPr>
        <w:tab/>
      </w:r>
      <w:r w:rsidRPr="002E41D7">
        <w:rPr>
          <w:sz w:val="24"/>
          <w:lang w:val="pl-PL"/>
        </w:rPr>
        <w:t>Komisja Europejska: Dyrekcja Generalna ds. Polityki Regionalnej i Miejskiej, „Forging a sustainable future together –</w:t>
      </w:r>
      <w:r w:rsidRPr="002E41D7">
        <w:rPr>
          <w:rStyle w:val="Italic"/>
          <w:sz w:val="24"/>
          <w:lang w:val="pl-PL"/>
        </w:rPr>
        <w:t xml:space="preserve"> </w:t>
      </w:r>
      <w:r w:rsidRPr="002E41D7">
        <w:rPr>
          <w:sz w:val="24"/>
          <w:lang w:val="pl-PL"/>
        </w:rPr>
        <w:t>Cohesion for a competitive and inclusive Europe – Report of the High-Level Group on the Future of Cohesion Policy” [Budując zrównoważoną przyszłość razem – Spójność na rzecz Europy konkurencyjnej i sprzyjającej włączeniu społecznemu], luty 2024 r.,</w:t>
      </w:r>
    </w:p>
  </w:footnote>
  <w:footnote w:id="15">
    <w:p w14:paraId="5C3373A9" w14:textId="77777777" w:rsidR="00164513" w:rsidRPr="00C7554D" w:rsidRDefault="00164513" w:rsidP="002E41D7">
      <w:pPr>
        <w:pStyle w:val="FootnoteText"/>
        <w:ind w:left="567" w:hanging="567"/>
        <w:rPr>
          <w:sz w:val="24"/>
          <w:lang w:val="fi-FI"/>
        </w:rPr>
      </w:pPr>
      <w:r w:rsidRPr="002E41D7">
        <w:rPr>
          <w:rStyle w:val="FootnoteReference"/>
          <w:sz w:val="24"/>
          <w:lang w:val="pl-PL"/>
        </w:rPr>
        <w:footnoteRef/>
      </w:r>
      <w:r w:rsidR="002E41D7" w:rsidRPr="00C7554D">
        <w:rPr>
          <w:sz w:val="24"/>
          <w:lang w:val="fi-FI"/>
        </w:rPr>
        <w:t xml:space="preserve"> </w:t>
      </w:r>
      <w:r w:rsidR="002E41D7" w:rsidRPr="00C7554D">
        <w:rPr>
          <w:sz w:val="24"/>
          <w:lang w:val="fi-FI"/>
        </w:rPr>
        <w:tab/>
      </w:r>
      <w:r w:rsidRPr="00C7554D">
        <w:rPr>
          <w:sz w:val="24"/>
          <w:lang w:val="fi-FI"/>
        </w:rPr>
        <w:t>Dz.U. C, C/2024/4668, 9.8.2024, ELI: http://data.europa.eu/eli/C/2024/4668/oj.</w:t>
      </w:r>
    </w:p>
  </w:footnote>
  <w:footnote w:id="16">
    <w:p w14:paraId="3CE90A0A" w14:textId="77777777" w:rsidR="00164513" w:rsidRPr="002E41D7" w:rsidRDefault="00164513" w:rsidP="002E41D7">
      <w:pPr>
        <w:pStyle w:val="FootnoteText"/>
        <w:ind w:left="567" w:hanging="567"/>
        <w:rPr>
          <w:sz w:val="24"/>
          <w:lang w:val="pl-PL"/>
        </w:rPr>
      </w:pPr>
      <w:r w:rsidRPr="002E41D7">
        <w:rPr>
          <w:rStyle w:val="FootnoteReference"/>
          <w:sz w:val="24"/>
          <w:lang w:val="pl-PL"/>
        </w:rPr>
        <w:footnoteRef/>
      </w:r>
      <w:r w:rsidR="002E41D7" w:rsidRPr="002E41D7">
        <w:rPr>
          <w:sz w:val="24"/>
          <w:lang w:val="pl-PL"/>
        </w:rPr>
        <w:t xml:space="preserve"> </w:t>
      </w:r>
      <w:r w:rsidR="002E41D7" w:rsidRPr="002E41D7">
        <w:rPr>
          <w:sz w:val="24"/>
          <w:lang w:val="pl-PL"/>
        </w:rPr>
        <w:tab/>
      </w:r>
      <w:r w:rsidRPr="002E41D7">
        <w:rPr>
          <w:sz w:val="24"/>
          <w:lang w:val="pl-PL"/>
        </w:rPr>
        <w:t>Parlament Europejski, Departament Tematyczny ds. Polityki Strukturalnej i Polityki Spójności, Dyrekcja Generalna ds. Polityki Wewnętrznej, „Streamlining EU Cohesion Funds: address administrative burden and redundancy” [Usprawnienie funduszy spójności UE: zmniejszenie obciążeń administracyjnych i rozwiązanie kwestii zbędności], 2024 r.</w:t>
      </w:r>
    </w:p>
  </w:footnote>
  <w:footnote w:id="17">
    <w:p w14:paraId="5332EDD6" w14:textId="77777777" w:rsidR="001F2E93" w:rsidRPr="001F2E93" w:rsidRDefault="001F2E93" w:rsidP="001F2E93">
      <w:pPr>
        <w:pStyle w:val="FootnoteText"/>
        <w:ind w:left="567" w:hanging="567"/>
        <w:rPr>
          <w:sz w:val="24"/>
          <w:szCs w:val="24"/>
          <w:lang w:val="pl-PL"/>
        </w:rPr>
      </w:pPr>
      <w:r w:rsidRPr="00081054">
        <w:rPr>
          <w:rStyle w:val="FootnoteReference"/>
          <w:sz w:val="24"/>
          <w:szCs w:val="24"/>
        </w:rPr>
        <w:footnoteRef/>
      </w:r>
      <w:r w:rsidRPr="001F2E93">
        <w:rPr>
          <w:sz w:val="24"/>
          <w:szCs w:val="24"/>
          <w:lang w:val="pl-PL"/>
        </w:rPr>
        <w:t xml:space="preserve"> </w:t>
      </w:r>
      <w:r w:rsidRPr="001F2E93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Dotychczas nieopublikowane</w:t>
      </w:r>
      <w:r w:rsidRPr="00FB52AA">
        <w:rPr>
          <w:sz w:val="24"/>
          <w:szCs w:val="24"/>
          <w:lang w:val="pl-PL"/>
        </w:rPr>
        <w:t xml:space="preserve"> w Dzienniku Urzędowym</w:t>
      </w:r>
      <w:r w:rsidRPr="001F2E93">
        <w:rPr>
          <w:sz w:val="24"/>
          <w:szCs w:val="24"/>
          <w:lang w:val="pl-PL"/>
        </w:rPr>
        <w:t>.</w:t>
      </w:r>
    </w:p>
  </w:footnote>
  <w:footnote w:id="18">
    <w:p w14:paraId="63DAFA2A" w14:textId="77777777" w:rsidR="001F2E93" w:rsidRPr="001F2E93" w:rsidRDefault="001F2E93" w:rsidP="001F2E93">
      <w:pPr>
        <w:pStyle w:val="FootnoteText"/>
        <w:ind w:left="567" w:hanging="567"/>
        <w:rPr>
          <w:sz w:val="24"/>
          <w:szCs w:val="24"/>
          <w:lang w:val="pl-PL"/>
        </w:rPr>
      </w:pPr>
      <w:r w:rsidRPr="00081054">
        <w:rPr>
          <w:rStyle w:val="FootnoteReference"/>
          <w:sz w:val="24"/>
          <w:szCs w:val="24"/>
        </w:rPr>
        <w:footnoteRef/>
      </w:r>
      <w:r w:rsidRPr="001F2E93">
        <w:rPr>
          <w:sz w:val="24"/>
          <w:szCs w:val="24"/>
          <w:lang w:val="pl-PL"/>
        </w:rPr>
        <w:t xml:space="preserve"> </w:t>
      </w:r>
      <w:r w:rsidRPr="001F2E93">
        <w:rPr>
          <w:sz w:val="24"/>
          <w:szCs w:val="24"/>
          <w:lang w:val="pl-PL"/>
        </w:rPr>
        <w:tab/>
      </w:r>
      <w:r w:rsidRPr="00FB52AA">
        <w:rPr>
          <w:sz w:val="24"/>
          <w:szCs w:val="24"/>
          <w:lang w:val="pl-PL"/>
        </w:rPr>
        <w:t>Dotychczas nieopublikowana w Dzienniku Urzędowym</w:t>
      </w:r>
      <w:r w:rsidRPr="001F2E93">
        <w:rPr>
          <w:sz w:val="24"/>
          <w:szCs w:val="24"/>
          <w:lang w:val="pl-PL"/>
        </w:rPr>
        <w:t>.</w:t>
      </w:r>
    </w:p>
  </w:footnote>
  <w:footnote w:id="19">
    <w:p w14:paraId="62BC0BC6" w14:textId="77777777" w:rsidR="00164513" w:rsidRPr="002E41D7" w:rsidRDefault="00164513" w:rsidP="002E41D7">
      <w:pPr>
        <w:pStyle w:val="FootnoteText"/>
        <w:ind w:left="567" w:hanging="567"/>
        <w:rPr>
          <w:sz w:val="24"/>
          <w:lang w:val="pl-PL"/>
        </w:rPr>
      </w:pPr>
      <w:r w:rsidRPr="002E41D7">
        <w:rPr>
          <w:rStyle w:val="FootnoteReference"/>
          <w:sz w:val="24"/>
          <w:lang w:val="pl-PL"/>
        </w:rPr>
        <w:footnoteRef/>
      </w:r>
      <w:r w:rsidR="002E41D7" w:rsidRPr="002E41D7">
        <w:rPr>
          <w:sz w:val="24"/>
          <w:lang w:val="pl-PL"/>
        </w:rPr>
        <w:t xml:space="preserve"> </w:t>
      </w:r>
      <w:r w:rsidR="002E41D7" w:rsidRPr="002E41D7">
        <w:rPr>
          <w:sz w:val="24"/>
          <w:lang w:val="pl-PL"/>
        </w:rPr>
        <w:tab/>
      </w:r>
      <w:r w:rsidRPr="002E41D7">
        <w:rPr>
          <w:sz w:val="24"/>
          <w:lang w:val="pl-PL"/>
        </w:rPr>
        <w:t>Dz.U. C 494 z 8.12.2021, s. 26.</w:t>
      </w:r>
    </w:p>
  </w:footnote>
  <w:footnote w:id="20">
    <w:p w14:paraId="631CA80F" w14:textId="77777777" w:rsidR="00164513" w:rsidRPr="002E41D7" w:rsidRDefault="00164513" w:rsidP="002E41D7">
      <w:pPr>
        <w:pStyle w:val="FootnoteText"/>
        <w:ind w:left="567" w:hanging="567"/>
        <w:rPr>
          <w:sz w:val="24"/>
          <w:lang w:val="pl-PL"/>
        </w:rPr>
      </w:pPr>
      <w:r w:rsidRPr="002E41D7">
        <w:rPr>
          <w:rStyle w:val="FootnoteReference"/>
          <w:sz w:val="24"/>
          <w:lang w:val="pl-PL"/>
        </w:rPr>
        <w:footnoteRef/>
      </w:r>
      <w:r w:rsidR="002E41D7" w:rsidRPr="002E41D7">
        <w:rPr>
          <w:sz w:val="24"/>
          <w:lang w:val="pl-PL"/>
        </w:rPr>
        <w:t xml:space="preserve"> </w:t>
      </w:r>
      <w:r w:rsidR="002E41D7" w:rsidRPr="002E41D7">
        <w:rPr>
          <w:sz w:val="24"/>
          <w:lang w:val="pl-PL"/>
        </w:rPr>
        <w:tab/>
      </w:r>
      <w:r w:rsidRPr="002E41D7">
        <w:rPr>
          <w:sz w:val="24"/>
          <w:lang w:val="pl-PL"/>
        </w:rPr>
        <w:t>Dz.U. C 15 z 12.1.2022, s. 125.</w:t>
      </w:r>
    </w:p>
  </w:footnote>
  <w:footnote w:id="21">
    <w:p w14:paraId="5D682E53" w14:textId="77777777" w:rsidR="00164513" w:rsidRPr="002E41D7" w:rsidRDefault="00164513" w:rsidP="002E41D7">
      <w:pPr>
        <w:pStyle w:val="FootnoteText"/>
        <w:ind w:left="567" w:hanging="567"/>
        <w:rPr>
          <w:sz w:val="24"/>
          <w:lang w:val="pl-PL"/>
        </w:rPr>
      </w:pPr>
      <w:r w:rsidRPr="002E41D7">
        <w:rPr>
          <w:rStyle w:val="FootnoteReference"/>
          <w:sz w:val="24"/>
          <w:lang w:val="pl-PL"/>
        </w:rPr>
        <w:footnoteRef/>
      </w:r>
      <w:r w:rsidR="002E41D7" w:rsidRPr="002E41D7">
        <w:rPr>
          <w:sz w:val="24"/>
          <w:lang w:val="pl-PL"/>
        </w:rPr>
        <w:t xml:space="preserve"> </w:t>
      </w:r>
      <w:r w:rsidR="002E41D7" w:rsidRPr="002E41D7">
        <w:rPr>
          <w:sz w:val="24"/>
          <w:lang w:val="pl-PL"/>
        </w:rPr>
        <w:tab/>
      </w:r>
      <w:r w:rsidRPr="002E41D7">
        <w:rPr>
          <w:sz w:val="24"/>
          <w:lang w:val="pl-PL"/>
        </w:rPr>
        <w:t>Dz.U. C 117 z 11.3.2022, s. 18.</w:t>
      </w:r>
    </w:p>
  </w:footnote>
  <w:footnote w:id="22">
    <w:p w14:paraId="00C60F0E" w14:textId="77777777" w:rsidR="00164513" w:rsidRPr="002E41D7" w:rsidRDefault="00164513" w:rsidP="002E41D7">
      <w:pPr>
        <w:pStyle w:val="FootnoteText"/>
        <w:ind w:left="567" w:hanging="567"/>
        <w:rPr>
          <w:sz w:val="24"/>
          <w:lang w:val="pl-PL"/>
        </w:rPr>
      </w:pPr>
      <w:r w:rsidRPr="002E41D7">
        <w:rPr>
          <w:rStyle w:val="FootnoteReference"/>
          <w:sz w:val="24"/>
          <w:lang w:val="pl-PL"/>
        </w:rPr>
        <w:footnoteRef/>
      </w:r>
      <w:r w:rsidR="002E41D7" w:rsidRPr="002E41D7">
        <w:rPr>
          <w:sz w:val="24"/>
          <w:lang w:val="pl-PL"/>
        </w:rPr>
        <w:t xml:space="preserve"> </w:t>
      </w:r>
      <w:r w:rsidR="002E41D7" w:rsidRPr="002E41D7">
        <w:rPr>
          <w:sz w:val="24"/>
          <w:lang w:val="pl-PL"/>
        </w:rPr>
        <w:tab/>
      </w:r>
      <w:r w:rsidRPr="001F2E93">
        <w:rPr>
          <w:sz w:val="24"/>
          <w:u w:color="0000FF"/>
          <w:lang w:val="pl-PL"/>
        </w:rPr>
        <w:t>Dz.U. C 125 z 5.4.2023, s. 100.</w:t>
      </w:r>
    </w:p>
  </w:footnote>
  <w:footnote w:id="23">
    <w:p w14:paraId="493C4AF3" w14:textId="77777777" w:rsidR="00164513" w:rsidRPr="002E41D7" w:rsidRDefault="00164513" w:rsidP="002E41D7">
      <w:pPr>
        <w:pStyle w:val="FootnoteText"/>
        <w:ind w:left="567" w:hanging="567"/>
        <w:rPr>
          <w:sz w:val="24"/>
          <w:lang w:val="pl-PL"/>
        </w:rPr>
      </w:pPr>
      <w:r w:rsidRPr="002E41D7">
        <w:rPr>
          <w:rStyle w:val="FootnoteReference"/>
          <w:sz w:val="24"/>
          <w:lang w:val="pl-PL"/>
        </w:rPr>
        <w:footnoteRef/>
      </w:r>
      <w:r w:rsidR="002E41D7" w:rsidRPr="002E41D7">
        <w:rPr>
          <w:sz w:val="24"/>
          <w:lang w:val="pl-PL"/>
        </w:rPr>
        <w:t xml:space="preserve"> </w:t>
      </w:r>
      <w:r w:rsidR="002E41D7" w:rsidRPr="002E41D7">
        <w:rPr>
          <w:sz w:val="24"/>
          <w:lang w:val="pl-PL"/>
        </w:rPr>
        <w:tab/>
      </w:r>
      <w:r w:rsidRPr="002E41D7">
        <w:rPr>
          <w:sz w:val="24"/>
          <w:lang w:val="pl-PL"/>
        </w:rPr>
        <w:t xml:space="preserve">Dz.U. C, C/2024/4207, 24.7.2024, </w:t>
      </w:r>
      <w:r w:rsidRPr="001F2E93">
        <w:rPr>
          <w:rStyle w:val="Emphasis"/>
          <w:i w:val="0"/>
          <w:sz w:val="24"/>
          <w:shd w:val="clear" w:color="auto" w:fill="FFFFFF"/>
          <w:lang w:val="pl-PL"/>
        </w:rPr>
        <w:t>ELI</w:t>
      </w:r>
      <w:r w:rsidRPr="002E41D7">
        <w:rPr>
          <w:rStyle w:val="Emphasis"/>
          <w:sz w:val="24"/>
          <w:shd w:val="clear" w:color="auto" w:fill="FFFFFF"/>
          <w:lang w:val="pl-PL"/>
        </w:rPr>
        <w:t>:</w:t>
      </w:r>
      <w:r w:rsidRPr="002E41D7">
        <w:rPr>
          <w:rStyle w:val="Emphasis"/>
          <w:color w:val="000000" w:themeColor="text1"/>
          <w:sz w:val="24"/>
          <w:shd w:val="clear" w:color="auto" w:fill="FFFFFF"/>
          <w:lang w:val="pl-PL"/>
        </w:rPr>
        <w:t> </w:t>
      </w:r>
      <w:hyperlink r:id="rId25" w:history="1">
        <w:r w:rsidR="001F2E93" w:rsidRPr="00CF20C8">
          <w:rPr>
            <w:rStyle w:val="Hyperlink"/>
            <w:iCs/>
            <w:sz w:val="24"/>
            <w:lang w:val="pl-PL"/>
          </w:rPr>
          <w:t>http://data.europa.eu/eli/C/2024/4207/oj</w:t>
        </w:r>
      </w:hyperlink>
      <w:r w:rsidRPr="002E41D7">
        <w:rPr>
          <w:rStyle w:val="Emphasis"/>
          <w:color w:val="000000" w:themeColor="text1"/>
          <w:sz w:val="24"/>
          <w:shd w:val="clear" w:color="auto" w:fill="FFFFFF"/>
          <w:lang w:val="pl-PL"/>
        </w:rPr>
        <w:t>.</w:t>
      </w:r>
    </w:p>
  </w:footnote>
  <w:footnote w:id="24">
    <w:p w14:paraId="29143554" w14:textId="77777777" w:rsidR="00164513" w:rsidRPr="00C7554D" w:rsidRDefault="00164513" w:rsidP="002E41D7">
      <w:pPr>
        <w:pStyle w:val="FootnoteText"/>
        <w:ind w:left="567" w:hanging="567"/>
        <w:rPr>
          <w:sz w:val="24"/>
          <w:lang w:val="fi-FI"/>
        </w:rPr>
      </w:pPr>
      <w:r w:rsidRPr="002E41D7">
        <w:rPr>
          <w:rStyle w:val="FootnoteReference"/>
          <w:sz w:val="24"/>
          <w:lang w:val="pl-PL"/>
        </w:rPr>
        <w:footnoteRef/>
      </w:r>
      <w:r w:rsidR="002E41D7" w:rsidRPr="00C7554D">
        <w:rPr>
          <w:sz w:val="24"/>
          <w:lang w:val="fi-FI"/>
        </w:rPr>
        <w:t xml:space="preserve"> </w:t>
      </w:r>
      <w:r w:rsidR="002E41D7" w:rsidRPr="00C7554D">
        <w:rPr>
          <w:sz w:val="24"/>
          <w:lang w:val="fi-FI"/>
        </w:rPr>
        <w:tab/>
      </w:r>
      <w:r w:rsidRPr="00C7554D">
        <w:rPr>
          <w:sz w:val="24"/>
          <w:lang w:val="fi-FI"/>
        </w:rPr>
        <w:t xml:space="preserve">Dz.U. C, C/2024/4225, 24.7.2024, ELI: </w:t>
      </w:r>
      <w:hyperlink r:id="rId26" w:history="1">
        <w:r w:rsidR="001F2E93" w:rsidRPr="00CF20C8">
          <w:rPr>
            <w:rStyle w:val="Hyperlink"/>
            <w:sz w:val="24"/>
            <w:lang w:val="fi-FI"/>
          </w:rPr>
          <w:t>http://data.europa.eu/eli/C/2024/4225/oj</w:t>
        </w:r>
      </w:hyperlink>
      <w:r w:rsidRPr="00C7554D">
        <w:rPr>
          <w:sz w:val="24"/>
          <w:lang w:val="fi-FI"/>
        </w:rPr>
        <w:t>.</w:t>
      </w:r>
    </w:p>
  </w:footnote>
  <w:footnote w:id="25">
    <w:p w14:paraId="074EAFC9" w14:textId="77777777" w:rsidR="00164513" w:rsidRPr="00C7554D" w:rsidRDefault="00164513" w:rsidP="002E41D7">
      <w:pPr>
        <w:pStyle w:val="FootnoteText"/>
        <w:ind w:left="567" w:hanging="567"/>
        <w:rPr>
          <w:sz w:val="24"/>
          <w:lang w:val="fi-FI"/>
        </w:rPr>
      </w:pPr>
      <w:r w:rsidRPr="002E41D7">
        <w:rPr>
          <w:rStyle w:val="FootnoteReference"/>
          <w:sz w:val="24"/>
          <w:lang w:val="pl-PL"/>
        </w:rPr>
        <w:footnoteRef/>
      </w:r>
      <w:r w:rsidR="002E41D7" w:rsidRPr="00C7554D">
        <w:rPr>
          <w:sz w:val="24"/>
          <w:lang w:val="fi-FI"/>
        </w:rPr>
        <w:t xml:space="preserve"> </w:t>
      </w:r>
      <w:r w:rsidR="002E41D7" w:rsidRPr="00C7554D">
        <w:rPr>
          <w:sz w:val="24"/>
          <w:lang w:val="fi-FI"/>
        </w:rPr>
        <w:tab/>
      </w:r>
      <w:r w:rsidRPr="00C7554D">
        <w:rPr>
          <w:sz w:val="24"/>
          <w:lang w:val="fi-FI"/>
        </w:rPr>
        <w:t xml:space="preserve">Dz.U. C, C/2024/6562, 12.11.2024, ELI: </w:t>
      </w:r>
      <w:hyperlink r:id="rId27" w:history="1">
        <w:r w:rsidR="001F2E93" w:rsidRPr="00CF20C8">
          <w:rPr>
            <w:rStyle w:val="Hyperlink"/>
            <w:sz w:val="24"/>
            <w:lang w:val="fi-FI"/>
          </w:rPr>
          <w:t>http://data.europa.eu/eli/C/2024/6562/oj</w:t>
        </w:r>
      </w:hyperlink>
      <w:r w:rsidRPr="00C7554D">
        <w:rPr>
          <w:sz w:val="24"/>
          <w:lang w:val="fi-FI"/>
        </w:rPr>
        <w:t>.</w:t>
      </w:r>
    </w:p>
  </w:footnote>
  <w:footnote w:id="26">
    <w:p w14:paraId="70BA6472" w14:textId="77777777" w:rsidR="00164513" w:rsidRPr="002E41D7" w:rsidRDefault="00164513" w:rsidP="002E41D7">
      <w:pPr>
        <w:pStyle w:val="FootnoteText"/>
        <w:ind w:left="567" w:hanging="567"/>
        <w:rPr>
          <w:sz w:val="24"/>
          <w:lang w:val="pl-PL"/>
        </w:rPr>
      </w:pPr>
      <w:r w:rsidRPr="002E41D7">
        <w:rPr>
          <w:rStyle w:val="FootnoteReference"/>
          <w:sz w:val="24"/>
          <w:lang w:val="pl-PL"/>
        </w:rPr>
        <w:footnoteRef/>
      </w:r>
      <w:r w:rsidR="002E41D7" w:rsidRPr="002E41D7">
        <w:rPr>
          <w:sz w:val="24"/>
          <w:lang w:val="pl-PL"/>
        </w:rPr>
        <w:t xml:space="preserve"> </w:t>
      </w:r>
      <w:r w:rsidR="002E41D7" w:rsidRPr="002E41D7">
        <w:rPr>
          <w:sz w:val="24"/>
          <w:lang w:val="pl-PL"/>
        </w:rPr>
        <w:tab/>
      </w:r>
      <w:r w:rsidRPr="002E41D7">
        <w:rPr>
          <w:sz w:val="24"/>
          <w:lang w:val="pl-PL"/>
        </w:rPr>
        <w:t xml:space="preserve">Komisja Europejska, </w:t>
      </w:r>
      <w:r w:rsidRPr="002E41D7">
        <w:rPr>
          <w:i/>
          <w:iCs/>
          <w:sz w:val="24"/>
          <w:lang w:val="pl-PL"/>
        </w:rPr>
        <w:t>9. sprawozdanie na temat spójności gospodarczej, społecznej i terytorialnej</w:t>
      </w:r>
      <w:r w:rsidRPr="002E41D7">
        <w:rPr>
          <w:sz w:val="24"/>
          <w:lang w:val="pl-PL"/>
        </w:rPr>
        <w:t>, op.cit.</w:t>
      </w:r>
    </w:p>
  </w:footnote>
  <w:footnote w:id="27">
    <w:p w14:paraId="39AC4C9F" w14:textId="77777777" w:rsidR="00164513" w:rsidRPr="002E41D7" w:rsidRDefault="00164513" w:rsidP="002E41D7">
      <w:pPr>
        <w:pStyle w:val="FootnoteText"/>
        <w:ind w:left="567" w:hanging="567"/>
        <w:rPr>
          <w:sz w:val="24"/>
          <w:lang w:val="pl-PL"/>
        </w:rPr>
      </w:pPr>
      <w:r w:rsidRPr="002E41D7">
        <w:rPr>
          <w:rStyle w:val="FootnoteReference"/>
          <w:sz w:val="24"/>
          <w:lang w:val="pl-PL"/>
        </w:rPr>
        <w:footnoteRef/>
      </w:r>
      <w:r w:rsidR="002E41D7" w:rsidRPr="002E41D7">
        <w:rPr>
          <w:sz w:val="24"/>
          <w:lang w:val="pl-PL"/>
        </w:rPr>
        <w:t xml:space="preserve"> </w:t>
      </w:r>
      <w:r w:rsidR="002E41D7" w:rsidRPr="002E41D7">
        <w:rPr>
          <w:sz w:val="24"/>
          <w:lang w:val="pl-PL"/>
        </w:rPr>
        <w:tab/>
      </w:r>
      <w:r w:rsidRPr="002E41D7">
        <w:rPr>
          <w:sz w:val="24"/>
          <w:lang w:val="pl-PL"/>
        </w:rPr>
        <w:t xml:space="preserve">Komisja Europejska: </w:t>
      </w:r>
      <w:r w:rsidRPr="002E41D7">
        <w:rPr>
          <w:i/>
          <w:iCs/>
          <w:sz w:val="24"/>
          <w:lang w:val="pl-PL"/>
        </w:rPr>
        <w:t>9. sprawozdanie na temat spójności gospodarczej, społecznej i terytorialnej</w:t>
      </w:r>
      <w:r w:rsidRPr="002E41D7">
        <w:rPr>
          <w:sz w:val="24"/>
          <w:lang w:val="pl-PL"/>
        </w:rPr>
        <w:t>, op. cit.</w:t>
      </w:r>
    </w:p>
  </w:footnote>
  <w:footnote w:id="28">
    <w:p w14:paraId="2204361F" w14:textId="77777777" w:rsidR="00164513" w:rsidRPr="002E41D7" w:rsidRDefault="00164513" w:rsidP="002E41D7">
      <w:pPr>
        <w:pStyle w:val="FootnoteText"/>
        <w:ind w:left="567" w:hanging="567"/>
        <w:rPr>
          <w:sz w:val="24"/>
          <w:lang w:val="pl-PL"/>
        </w:rPr>
      </w:pPr>
      <w:r w:rsidRPr="002E41D7">
        <w:rPr>
          <w:rStyle w:val="FootnoteReference"/>
          <w:sz w:val="24"/>
          <w:lang w:val="pl-PL"/>
        </w:rPr>
        <w:footnoteRef/>
      </w:r>
      <w:r w:rsidR="002E41D7" w:rsidRPr="002E41D7">
        <w:rPr>
          <w:sz w:val="24"/>
          <w:lang w:val="pl-PL"/>
        </w:rPr>
        <w:t xml:space="preserve"> </w:t>
      </w:r>
      <w:r w:rsidR="002E41D7" w:rsidRPr="002E41D7">
        <w:rPr>
          <w:sz w:val="24"/>
          <w:lang w:val="pl-PL"/>
        </w:rPr>
        <w:tab/>
      </w:r>
      <w:r w:rsidRPr="002E41D7">
        <w:rPr>
          <w:sz w:val="24"/>
          <w:lang w:val="pl-PL"/>
        </w:rPr>
        <w:t>Komisja Europejska, Dyrekcja Generalna ds. Polityki Regionalnej i Miejskiej oraz Dyrekcja Generalna ds. Komunikacji, Citizens’ awareness and perceptions of EU Regional Policy [Świadomość i postrzeganie polityki regionalnej UE przez obywateli], badanie Eurobarometr Flash 531, 2023 r.</w:t>
      </w:r>
    </w:p>
  </w:footnote>
  <w:footnote w:id="29">
    <w:p w14:paraId="169D0C3F" w14:textId="77777777" w:rsidR="00164513" w:rsidRPr="002E41D7" w:rsidRDefault="00164513" w:rsidP="002E41D7">
      <w:pPr>
        <w:pStyle w:val="FootnoteText"/>
        <w:ind w:left="567" w:hanging="567"/>
        <w:rPr>
          <w:sz w:val="24"/>
          <w:lang w:val="pl-PL"/>
        </w:rPr>
      </w:pPr>
      <w:r w:rsidRPr="002E41D7">
        <w:rPr>
          <w:rStyle w:val="FootnoteReference"/>
          <w:sz w:val="24"/>
          <w:lang w:val="pl-PL"/>
        </w:rPr>
        <w:footnoteRef/>
      </w:r>
      <w:r w:rsidR="002E41D7" w:rsidRPr="002E41D7">
        <w:rPr>
          <w:sz w:val="24"/>
          <w:lang w:val="pl-PL"/>
        </w:rPr>
        <w:t xml:space="preserve"> </w:t>
      </w:r>
      <w:r w:rsidR="002E41D7" w:rsidRPr="002E41D7">
        <w:rPr>
          <w:sz w:val="24"/>
          <w:lang w:val="pl-PL"/>
        </w:rPr>
        <w:tab/>
      </w:r>
      <w:r w:rsidRPr="002E41D7">
        <w:rPr>
          <w:sz w:val="24"/>
          <w:lang w:val="pl-PL"/>
        </w:rPr>
        <w:t>Badanie Eurobarometr Flash 531, op. cit.</w:t>
      </w:r>
    </w:p>
  </w:footnote>
  <w:footnote w:id="30">
    <w:p w14:paraId="21EB7D38" w14:textId="77777777" w:rsidR="00164513" w:rsidRPr="002E41D7" w:rsidRDefault="00164513" w:rsidP="002E41D7">
      <w:pPr>
        <w:pStyle w:val="FootnoteText"/>
        <w:ind w:left="567" w:hanging="567"/>
        <w:rPr>
          <w:sz w:val="24"/>
          <w:lang w:val="pl-PL"/>
        </w:rPr>
      </w:pPr>
      <w:r w:rsidRPr="002E41D7">
        <w:rPr>
          <w:rStyle w:val="FootnoteReference"/>
          <w:sz w:val="24"/>
          <w:lang w:val="pl-PL"/>
        </w:rPr>
        <w:footnoteRef/>
      </w:r>
      <w:r w:rsidR="002E41D7" w:rsidRPr="002E41D7">
        <w:rPr>
          <w:sz w:val="24"/>
          <w:lang w:val="pl-PL"/>
        </w:rPr>
        <w:t xml:space="preserve"> </w:t>
      </w:r>
      <w:r w:rsidR="002E41D7" w:rsidRPr="002E41D7">
        <w:rPr>
          <w:sz w:val="24"/>
          <w:lang w:val="pl-PL"/>
        </w:rPr>
        <w:tab/>
      </w:r>
      <w:r w:rsidRPr="002E41D7">
        <w:rPr>
          <w:sz w:val="24"/>
          <w:lang w:val="pl-PL"/>
        </w:rPr>
        <w:t>Europejski Trybunał Obrachunkowy, Przegląd punktowy w trybie pilnym – Alokacja środków finansowych w ramach polityki spójności dla państw członkowskich na lata 2021–2027, marzec 2019 r.</w:t>
      </w:r>
    </w:p>
  </w:footnote>
  <w:footnote w:id="31">
    <w:p w14:paraId="622F86E3" w14:textId="77777777" w:rsidR="00164513" w:rsidRPr="002E41D7" w:rsidRDefault="00164513" w:rsidP="002E41D7">
      <w:pPr>
        <w:pStyle w:val="FootnoteText"/>
        <w:ind w:left="567" w:hanging="567"/>
        <w:rPr>
          <w:sz w:val="24"/>
          <w:lang w:val="pl-PL"/>
        </w:rPr>
      </w:pPr>
      <w:r w:rsidRPr="002E41D7">
        <w:rPr>
          <w:rStyle w:val="FootnoteReference"/>
          <w:sz w:val="24"/>
          <w:lang w:val="pl-PL"/>
        </w:rPr>
        <w:footnoteRef/>
      </w:r>
      <w:r w:rsidR="002E41D7" w:rsidRPr="002E41D7">
        <w:rPr>
          <w:sz w:val="24"/>
          <w:lang w:val="pl-PL"/>
        </w:rPr>
        <w:t xml:space="preserve"> </w:t>
      </w:r>
      <w:r w:rsidR="002E41D7" w:rsidRPr="002E41D7">
        <w:rPr>
          <w:sz w:val="24"/>
          <w:lang w:val="pl-PL"/>
        </w:rPr>
        <w:tab/>
      </w:r>
      <w:r w:rsidRPr="002E41D7">
        <w:rPr>
          <w:sz w:val="24"/>
          <w:lang w:val="pl-PL"/>
        </w:rPr>
        <w:t>Komunikat Komisji z 29 kwietnia 2021 r. pt. „Wytyczne w sprawie regionalnej pomocy państwa” (Dz.U. C 153 z 29.4.2021, s. 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227CF" w14:textId="77777777" w:rsidR="00064002" w:rsidRPr="002E41D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51567" w14:textId="77777777" w:rsidR="00064002" w:rsidRPr="002E41D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DAFC8" w14:textId="77777777" w:rsidR="00064002" w:rsidRPr="002E41D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24953104">
    <w:abstractNumId w:val="9"/>
  </w:num>
  <w:num w:numId="2" w16cid:durableId="1074937876">
    <w:abstractNumId w:val="9"/>
  </w:num>
  <w:num w:numId="3" w16cid:durableId="1359356499">
    <w:abstractNumId w:val="7"/>
  </w:num>
  <w:num w:numId="4" w16cid:durableId="1947732783">
    <w:abstractNumId w:val="7"/>
  </w:num>
  <w:num w:numId="5" w16cid:durableId="610625734">
    <w:abstractNumId w:val="6"/>
  </w:num>
  <w:num w:numId="6" w16cid:durableId="596132093">
    <w:abstractNumId w:val="6"/>
  </w:num>
  <w:num w:numId="7" w16cid:durableId="1019044827">
    <w:abstractNumId w:val="5"/>
  </w:num>
  <w:num w:numId="8" w16cid:durableId="463930111">
    <w:abstractNumId w:val="5"/>
  </w:num>
  <w:num w:numId="9" w16cid:durableId="1208564006">
    <w:abstractNumId w:val="4"/>
  </w:num>
  <w:num w:numId="10" w16cid:durableId="795374952">
    <w:abstractNumId w:val="4"/>
  </w:num>
  <w:num w:numId="11" w16cid:durableId="1120882101">
    <w:abstractNumId w:val="8"/>
  </w:num>
  <w:num w:numId="12" w16cid:durableId="1528786097">
    <w:abstractNumId w:val="8"/>
  </w:num>
  <w:num w:numId="13" w16cid:durableId="1805196145">
    <w:abstractNumId w:val="3"/>
  </w:num>
  <w:num w:numId="14" w16cid:durableId="1347247187">
    <w:abstractNumId w:val="3"/>
  </w:num>
  <w:num w:numId="15" w16cid:durableId="1159930892">
    <w:abstractNumId w:val="2"/>
  </w:num>
  <w:num w:numId="16" w16cid:durableId="698775129">
    <w:abstractNumId w:val="2"/>
  </w:num>
  <w:num w:numId="17" w16cid:durableId="734359992">
    <w:abstractNumId w:val="1"/>
  </w:num>
  <w:num w:numId="18" w16cid:durableId="2146851492">
    <w:abstractNumId w:val="1"/>
  </w:num>
  <w:num w:numId="19" w16cid:durableId="834883995">
    <w:abstractNumId w:val="0"/>
  </w:num>
  <w:num w:numId="20" w16cid:durableId="1604024198">
    <w:abstractNumId w:val="0"/>
  </w:num>
  <w:num w:numId="21" w16cid:durableId="933710871">
    <w:abstractNumId w:val="9"/>
  </w:num>
  <w:num w:numId="22" w16cid:durableId="439494508">
    <w:abstractNumId w:val="7"/>
  </w:num>
  <w:num w:numId="23" w16cid:durableId="1558852878">
    <w:abstractNumId w:val="6"/>
  </w:num>
  <w:num w:numId="24" w16cid:durableId="312566896">
    <w:abstractNumId w:val="5"/>
  </w:num>
  <w:num w:numId="25" w16cid:durableId="118645501">
    <w:abstractNumId w:val="4"/>
  </w:num>
  <w:num w:numId="26" w16cid:durableId="420882373">
    <w:abstractNumId w:val="8"/>
  </w:num>
  <w:num w:numId="27" w16cid:durableId="1694530086">
    <w:abstractNumId w:val="3"/>
  </w:num>
  <w:num w:numId="28" w16cid:durableId="754396718">
    <w:abstractNumId w:val="2"/>
  </w:num>
  <w:num w:numId="29" w16cid:durableId="2018119460">
    <w:abstractNumId w:val="1"/>
  </w:num>
  <w:num w:numId="30" w16cid:durableId="100926778">
    <w:abstractNumId w:val="0"/>
  </w:num>
  <w:num w:numId="31" w16cid:durableId="1345013016">
    <w:abstractNumId w:val="9"/>
  </w:num>
  <w:num w:numId="32" w16cid:durableId="1066495084">
    <w:abstractNumId w:val="7"/>
  </w:num>
  <w:num w:numId="33" w16cid:durableId="1930625629">
    <w:abstractNumId w:val="6"/>
  </w:num>
  <w:num w:numId="34" w16cid:durableId="274142966">
    <w:abstractNumId w:val="5"/>
  </w:num>
  <w:num w:numId="35" w16cid:durableId="1556962407">
    <w:abstractNumId w:val="4"/>
  </w:num>
  <w:num w:numId="36" w16cid:durableId="67073477">
    <w:abstractNumId w:val="8"/>
  </w:num>
  <w:num w:numId="37" w16cid:durableId="1440370893">
    <w:abstractNumId w:val="3"/>
  </w:num>
  <w:num w:numId="38" w16cid:durableId="1980957087">
    <w:abstractNumId w:val="2"/>
  </w:num>
  <w:num w:numId="39" w16cid:durableId="925573727">
    <w:abstractNumId w:val="1"/>
  </w:num>
  <w:num w:numId="40" w16cid:durableId="2053458529">
    <w:abstractNumId w:val="0"/>
  </w:num>
  <w:num w:numId="41" w16cid:durableId="614335954">
    <w:abstractNumId w:val="10"/>
  </w:num>
  <w:num w:numId="42" w16cid:durableId="1429425357">
    <w:abstractNumId w:val="10"/>
  </w:num>
  <w:num w:numId="43" w16cid:durableId="1387948044">
    <w:abstractNumId w:val="10"/>
  </w:num>
  <w:num w:numId="44" w16cid:durableId="460748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66/2025"/>
    <w:docVar w:name="dvlangue" w:val="PL"/>
    <w:docVar w:name="dvnumam" w:val="0"/>
    <w:docVar w:name="dvpe" w:val="766.926"/>
    <w:docVar w:name="dvrapporteur" w:val="Sprawozdawca: "/>
    <w:docVar w:name="dvstar" w:val="??"/>
    <w:docVar w:name="dvtitre" w:val="Rezolucja Parlamentu Europejskiego z dnia  2025 r. w sprawie 9. sprawozdania na temat spójności gospodarczej i społecznej(2024/2107(INI))"/>
  </w:docVars>
  <w:rsids>
    <w:rsidRoot w:val="003714C1"/>
    <w:rsid w:val="00002272"/>
    <w:rsid w:val="00064002"/>
    <w:rsid w:val="000677B9"/>
    <w:rsid w:val="000831BA"/>
    <w:rsid w:val="000A42CC"/>
    <w:rsid w:val="000C16D5"/>
    <w:rsid w:val="000E7DD9"/>
    <w:rsid w:val="0010095E"/>
    <w:rsid w:val="00125B37"/>
    <w:rsid w:val="00164513"/>
    <w:rsid w:val="00187494"/>
    <w:rsid w:val="001F2E93"/>
    <w:rsid w:val="001F32AE"/>
    <w:rsid w:val="002767FF"/>
    <w:rsid w:val="002B18FE"/>
    <w:rsid w:val="002B5493"/>
    <w:rsid w:val="002E41D7"/>
    <w:rsid w:val="00343214"/>
    <w:rsid w:val="00361C00"/>
    <w:rsid w:val="003714C1"/>
    <w:rsid w:val="00395FA1"/>
    <w:rsid w:val="003D31F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7D7D"/>
    <w:rsid w:val="00BD48FE"/>
    <w:rsid w:val="00BD7BD8"/>
    <w:rsid w:val="00BE6ADC"/>
    <w:rsid w:val="00C05BFE"/>
    <w:rsid w:val="00C23CD4"/>
    <w:rsid w:val="00C61C0C"/>
    <w:rsid w:val="00C7554D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FA3020"/>
  <w15:chartTrackingRefBased/>
  <w15:docId w15:val="{D0C8910E-562A-4DA2-8AE0-20F04111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64513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164513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Italic">
    <w:name w:val="Italic"/>
    <w:uiPriority w:val="1"/>
    <w:rsid w:val="00164513"/>
    <w:rPr>
      <w:i/>
    </w:rPr>
  </w:style>
  <w:style w:type="character" w:customStyle="1" w:styleId="NormalHanging12aChar">
    <w:name w:val="NormalHanging12a Char"/>
    <w:basedOn w:val="DefaultParagraphFont"/>
    <w:link w:val="NormalHanging12a"/>
    <w:rsid w:val="00164513"/>
    <w:rPr>
      <w:snapToGrid w:val="0"/>
      <w:sz w:val="24"/>
      <w:lang w:val="pl-PL" w:eastAsia="en-US"/>
    </w:rPr>
  </w:style>
  <w:style w:type="character" w:styleId="Emphasis">
    <w:name w:val="Emphasis"/>
    <w:basedOn w:val="DefaultParagraphFont"/>
    <w:uiPriority w:val="20"/>
    <w:qFormat/>
    <w:rsid w:val="00164513"/>
    <w:rPr>
      <w:i/>
      <w:iCs/>
    </w:rPr>
  </w:style>
  <w:style w:type="character" w:styleId="Hyperlink">
    <w:name w:val="Hyperlink"/>
    <w:basedOn w:val="DefaultParagraphFont"/>
    <w:uiPriority w:val="99"/>
    <w:unhideWhenUsed/>
    <w:rsid w:val="0016451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55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1/1057/oj" TargetMode="External"/><Relationship Id="rId13" Type="http://schemas.openxmlformats.org/officeDocument/2006/relationships/hyperlink" Target="http://data.europa.eu/eli/reg/2020/460/oj" TargetMode="External"/><Relationship Id="rId18" Type="http://schemas.openxmlformats.org/officeDocument/2006/relationships/hyperlink" Target="http://data.europa.eu/eli/reg/2020/461/oj" TargetMode="External"/><Relationship Id="rId26" Type="http://schemas.openxmlformats.org/officeDocument/2006/relationships/hyperlink" Target="http://data.europa.eu/eli/C/2024/4225/oj" TargetMode="External"/><Relationship Id="rId3" Type="http://schemas.openxmlformats.org/officeDocument/2006/relationships/hyperlink" Target="http://data.europa.eu/eli/reg/2021/1058/oj" TargetMode="External"/><Relationship Id="rId21" Type="http://schemas.openxmlformats.org/officeDocument/2006/relationships/hyperlink" Target="http://data.europa.eu/eli/reg/2022/562/oj" TargetMode="External"/><Relationship Id="rId7" Type="http://schemas.openxmlformats.org/officeDocument/2006/relationships/hyperlink" Target="http://data.europa.eu/eli/reg/2021/1057/oj" TargetMode="External"/><Relationship Id="rId12" Type="http://schemas.openxmlformats.org/officeDocument/2006/relationships/hyperlink" Target="http://data.europa.eu/eli/reg/2021/2115/oj" TargetMode="External"/><Relationship Id="rId17" Type="http://schemas.openxmlformats.org/officeDocument/2006/relationships/hyperlink" Target="http://data.europa.eu/eli/reg/2020/461/oj" TargetMode="External"/><Relationship Id="rId25" Type="http://schemas.openxmlformats.org/officeDocument/2006/relationships/hyperlink" Target="http://data.europa.eu/eli/C/2024/4207/oj" TargetMode="External"/><Relationship Id="rId2" Type="http://schemas.openxmlformats.org/officeDocument/2006/relationships/hyperlink" Target="http://data.europa.eu/eli/reg/2021/1060/oj" TargetMode="External"/><Relationship Id="rId16" Type="http://schemas.openxmlformats.org/officeDocument/2006/relationships/hyperlink" Target="http://data.europa.eu/eli/reg/2020/558/oj" TargetMode="External"/><Relationship Id="rId20" Type="http://schemas.openxmlformats.org/officeDocument/2006/relationships/hyperlink" Target="http://data.europa.eu/eli/reg/2020/2221/oj" TargetMode="External"/><Relationship Id="rId1" Type="http://schemas.openxmlformats.org/officeDocument/2006/relationships/hyperlink" Target="http://data.europa.eu/eli/reg/2021/1060/oj" TargetMode="External"/><Relationship Id="rId6" Type="http://schemas.openxmlformats.org/officeDocument/2006/relationships/hyperlink" Target="http://data.europa.eu/eli/reg/2021/1059/oj" TargetMode="External"/><Relationship Id="rId11" Type="http://schemas.openxmlformats.org/officeDocument/2006/relationships/hyperlink" Target="http://data.europa.eu/eli/reg/2021/2115/oj" TargetMode="External"/><Relationship Id="rId24" Type="http://schemas.openxmlformats.org/officeDocument/2006/relationships/hyperlink" Target="http://data.europa.eu/eli/reg/2022/2039/oj" TargetMode="External"/><Relationship Id="rId5" Type="http://schemas.openxmlformats.org/officeDocument/2006/relationships/hyperlink" Target="http://data.europa.eu/eli/reg/2021/1059/oj" TargetMode="External"/><Relationship Id="rId15" Type="http://schemas.openxmlformats.org/officeDocument/2006/relationships/hyperlink" Target="http://data.europa.eu/eli/reg/2020/558/oj" TargetMode="External"/><Relationship Id="rId23" Type="http://schemas.openxmlformats.org/officeDocument/2006/relationships/hyperlink" Target="http://data.europa.eu/eli/reg/2022/2039/oj" TargetMode="External"/><Relationship Id="rId10" Type="http://schemas.openxmlformats.org/officeDocument/2006/relationships/hyperlink" Target="http://data.europa.eu/eli/reg/2021/1056/oj" TargetMode="External"/><Relationship Id="rId19" Type="http://schemas.openxmlformats.org/officeDocument/2006/relationships/hyperlink" Target="http://data.europa.eu/eli/reg/2020/2221/oj" TargetMode="External"/><Relationship Id="rId4" Type="http://schemas.openxmlformats.org/officeDocument/2006/relationships/hyperlink" Target="http://data.europa.eu/eli/reg/2021/1058/oj" TargetMode="External"/><Relationship Id="rId9" Type="http://schemas.openxmlformats.org/officeDocument/2006/relationships/hyperlink" Target="http://data.europa.eu/eli/reg/2021/1056/oj" TargetMode="External"/><Relationship Id="rId14" Type="http://schemas.openxmlformats.org/officeDocument/2006/relationships/hyperlink" Target="http://data.europa.eu/eli/reg/2020/460/oj" TargetMode="External"/><Relationship Id="rId22" Type="http://schemas.openxmlformats.org/officeDocument/2006/relationships/hyperlink" Target="http://data.europa.eu/eli/reg/2022/562/oj" TargetMode="External"/><Relationship Id="rId27" Type="http://schemas.openxmlformats.org/officeDocument/2006/relationships/hyperlink" Target="http://data.europa.eu/eli/C/2024/656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10D6D-8322-4A05-9769-E2AB7F563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5603</Words>
  <Characters>38207</Characters>
  <Application>Microsoft Office Word</Application>
  <DocSecurity>0</DocSecurity>
  <Lines>318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PESA Karina</cp:lastModifiedBy>
  <cp:revision>3</cp:revision>
  <cp:lastPrinted>2004-11-19T15:42:00Z</cp:lastPrinted>
  <dcterms:created xsi:type="dcterms:W3CDTF">2025-05-08T11:44:00Z</dcterms:created>
  <dcterms:modified xsi:type="dcterms:W3CDTF">2025-10-13T13:55:00Z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A10-0066/2025</vt:lpwstr>
  </property>
  <property fmtid="{D5CDD505-2E9C-101B-9397-08002B2CF9AE}" pid="4" name="&lt;Type&gt;">
    <vt:lpwstr>RR</vt:lpwstr>
  </property>
</Properties>
</file>