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6F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6F7C" w:rsidRDefault="002F6AE4" w:rsidP="0010095E">
            <w:pPr>
              <w:pStyle w:val="EPName"/>
            </w:pPr>
            <w:r w:rsidRPr="00A46F7C">
              <w:t>Parlamento Europeu</w:t>
            </w:r>
          </w:p>
          <w:p w:rsidR="00751A4A" w:rsidRPr="00A46F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6F7C">
              <w:t>2024</w:t>
            </w:r>
            <w:r w:rsidR="00817416" w:rsidRPr="00A46F7C">
              <w:t>-202</w:t>
            </w:r>
            <w:r w:rsidRPr="00A46F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46F7C" w:rsidRDefault="00187494" w:rsidP="0010095E">
            <w:pPr>
              <w:pStyle w:val="EPLogo"/>
            </w:pPr>
            <w:r w:rsidRPr="00A46F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6F7C" w:rsidRDefault="00D058B8" w:rsidP="004C5D52">
      <w:pPr>
        <w:pStyle w:val="LineTop"/>
      </w:pPr>
    </w:p>
    <w:p w:rsidR="00680577" w:rsidRPr="00A46F7C" w:rsidRDefault="002F6AE4" w:rsidP="00680577">
      <w:pPr>
        <w:pStyle w:val="EPBodyTA1"/>
      </w:pPr>
      <w:r w:rsidRPr="00A46F7C">
        <w:t>TEXTOS APROVADOS</w:t>
      </w:r>
    </w:p>
    <w:p w:rsidR="00D058B8" w:rsidRPr="00A46F7C" w:rsidRDefault="00D058B8" w:rsidP="00D058B8">
      <w:pPr>
        <w:pStyle w:val="LineBottom"/>
      </w:pPr>
    </w:p>
    <w:p w:rsidR="002F6AE4" w:rsidRPr="00A46F7C" w:rsidRDefault="002F6AE4" w:rsidP="002F6AE4">
      <w:pPr>
        <w:pStyle w:val="ATHeading1"/>
      </w:pPr>
      <w:bookmarkStart w:id="0" w:name="TANumber"/>
      <w:r w:rsidRPr="00A46F7C">
        <w:t>P10_</w:t>
      </w:r>
      <w:proofErr w:type="gramStart"/>
      <w:r w:rsidRPr="00A46F7C">
        <w:t>TA(</w:t>
      </w:r>
      <w:proofErr w:type="gramEnd"/>
      <w:r w:rsidRPr="00A46F7C">
        <w:t>2025)00</w:t>
      </w:r>
      <w:r w:rsidR="005A15D5">
        <w:t>98</w:t>
      </w:r>
      <w:bookmarkStart w:id="1" w:name="_GoBack"/>
      <w:bookmarkEnd w:id="0"/>
      <w:bookmarkEnd w:id="1"/>
    </w:p>
    <w:p w:rsidR="002F6AE4" w:rsidRPr="00A46F7C" w:rsidRDefault="002F6AE4" w:rsidP="002F6AE4">
      <w:pPr>
        <w:pStyle w:val="ATHeading2"/>
      </w:pPr>
      <w:bookmarkStart w:id="2" w:name="title"/>
      <w:r w:rsidRPr="00A46F7C">
        <w:t>Nono relatório sobre a coesão económica e social</w:t>
      </w:r>
      <w:bookmarkEnd w:id="2"/>
    </w:p>
    <w:p w:rsidR="002F6AE4" w:rsidRPr="00A46F7C" w:rsidRDefault="002F6AE4" w:rsidP="002F6AE4">
      <w:pPr>
        <w:rPr>
          <w:i/>
          <w:vanish/>
        </w:rPr>
      </w:pPr>
      <w:r w:rsidRPr="00A46F7C">
        <w:rPr>
          <w:i/>
        </w:rPr>
        <w:fldChar w:fldCharType="begin"/>
      </w:r>
      <w:r w:rsidRPr="00A46F7C">
        <w:rPr>
          <w:i/>
        </w:rPr>
        <w:instrText xml:space="preserve"> TC"(</w:instrText>
      </w:r>
      <w:bookmarkStart w:id="3" w:name="DocNumber"/>
      <w:r w:rsidRPr="00A46F7C">
        <w:rPr>
          <w:i/>
        </w:rPr>
        <w:instrText>A10-0066/2025</w:instrText>
      </w:r>
      <w:bookmarkEnd w:id="3"/>
      <w:r w:rsidRPr="00A46F7C">
        <w:rPr>
          <w:i/>
        </w:rPr>
        <w:instrText xml:space="preserve"> - Relator: </w:instrText>
      </w:r>
      <w:proofErr w:type="spellStart"/>
      <w:r w:rsidRPr="00A46F7C">
        <w:rPr>
          <w:i/>
        </w:rPr>
        <w:instrText>Jacek</w:instrText>
      </w:r>
      <w:proofErr w:type="spellEnd"/>
      <w:r w:rsidRPr="00A46F7C">
        <w:rPr>
          <w:i/>
        </w:rPr>
        <w:instrText xml:space="preserve"> </w:instrText>
      </w:r>
      <w:proofErr w:type="spellStart"/>
      <w:r w:rsidRPr="00A46F7C">
        <w:rPr>
          <w:i/>
        </w:rPr>
        <w:instrText>Protas</w:instrText>
      </w:r>
      <w:proofErr w:type="spellEnd"/>
      <w:r w:rsidRPr="00A46F7C">
        <w:rPr>
          <w:i/>
        </w:rPr>
        <w:instrText xml:space="preserve">)"\l3 \n&gt; \* MERGEFORMAT </w:instrText>
      </w:r>
      <w:r w:rsidRPr="00A46F7C">
        <w:rPr>
          <w:i/>
        </w:rPr>
        <w:fldChar w:fldCharType="end"/>
      </w:r>
    </w:p>
    <w:p w:rsidR="002F6AE4" w:rsidRPr="00A46F7C" w:rsidRDefault="002F6AE4" w:rsidP="002F6AE4">
      <w:pPr>
        <w:rPr>
          <w:vanish/>
        </w:rPr>
      </w:pPr>
      <w:bookmarkStart w:id="4" w:name="Commission"/>
      <w:r w:rsidRPr="00A46F7C">
        <w:rPr>
          <w:vanish/>
        </w:rPr>
        <w:t>Comissão do Desenvolvimento Regional</w:t>
      </w:r>
      <w:bookmarkEnd w:id="4"/>
    </w:p>
    <w:p w:rsidR="002F6AE4" w:rsidRPr="00A46F7C" w:rsidRDefault="002F6AE4" w:rsidP="002F6AE4">
      <w:pPr>
        <w:rPr>
          <w:vanish/>
        </w:rPr>
      </w:pPr>
      <w:bookmarkStart w:id="5" w:name="PE"/>
      <w:r w:rsidRPr="00A46F7C">
        <w:rPr>
          <w:vanish/>
        </w:rPr>
        <w:t>PE766.926</w:t>
      </w:r>
      <w:bookmarkEnd w:id="5"/>
    </w:p>
    <w:p w:rsidR="002F6AE4" w:rsidRPr="00A46F7C" w:rsidRDefault="002F6AE4" w:rsidP="002F6AE4">
      <w:pPr>
        <w:pStyle w:val="ATHeading3"/>
      </w:pPr>
      <w:bookmarkStart w:id="6" w:name="Sujet"/>
      <w:r w:rsidRPr="00A46F7C">
        <w:t xml:space="preserve">Resolução do Parlamento Europeu, de </w:t>
      </w:r>
      <w:r w:rsidR="00A46F7C">
        <w:t>8</w:t>
      </w:r>
      <w:r w:rsidR="00A46F7C" w:rsidRPr="00A46F7C">
        <w:t xml:space="preserve"> </w:t>
      </w:r>
      <w:r w:rsidRPr="00A46F7C">
        <w:t xml:space="preserve">de </w:t>
      </w:r>
      <w:r w:rsidR="00A46F7C">
        <w:t>maio</w:t>
      </w:r>
      <w:r w:rsidR="00A46F7C" w:rsidRPr="00A46F7C">
        <w:t xml:space="preserve"> </w:t>
      </w:r>
      <w:r w:rsidRPr="00A46F7C">
        <w:t>de 2025, sobre o nono relatório sobre a coesão económica e social</w:t>
      </w:r>
      <w:bookmarkEnd w:id="6"/>
      <w:r w:rsidRPr="00A46F7C">
        <w:t xml:space="preserve"> </w:t>
      </w:r>
      <w:bookmarkStart w:id="7" w:name="References"/>
      <w:r w:rsidRPr="00A46F7C">
        <w:t>(2024/2107(INI))</w:t>
      </w:r>
      <w:bookmarkEnd w:id="7"/>
    </w:p>
    <w:p w:rsidR="00A038A8" w:rsidRPr="00A46F7C" w:rsidRDefault="00A038A8" w:rsidP="00A038A8">
      <w:pPr>
        <w:pStyle w:val="EPComma"/>
      </w:pPr>
      <w:r w:rsidRPr="00A46F7C">
        <w:rPr>
          <w:rStyle w:val="Italic"/>
        </w:rPr>
        <w:t>O Parlamento Europeu</w:t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os artigos 2.º e 3.º do Tratado da União Europeia,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os artigos 4.º, 162.º, 174.º a 178.º</w:t>
      </w:r>
      <w:r w:rsidR="007E52AE">
        <w:t>,</w:t>
      </w:r>
      <w:r w:rsidRPr="00A46F7C">
        <w:t xml:space="preserve"> e 349.º do Tratado sobre o Funcionamento da União Europeia (TFUE),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2021/1060 do Parlamento Europeu e do Conselho, de 24 de junho de 2021, que estabelece disposições comuns relativas ao Fundo Europeu de Desenvolvimento Regional, ao Fundo Social Europeu Mais, ao Fundo de Coesão, ao Fundo para uma Transição Justa e ao Fundo Europeu dos Assuntos Marítimos, das Pescas e da Aquicultura e regras financeiras aplicáveis a esses fundos e ao Fundo para o Asilo, a Migração e a Integração, ao Fundo para a Segurança Interna e ao Instrumento de Apoio Financeiro à Gestão das Fronteiras e à Política de Vistos</w:t>
      </w:r>
      <w:r w:rsidRPr="00A46F7C">
        <w:rPr>
          <w:rStyle w:val="FootnoteReference"/>
        </w:rPr>
        <w:footnoteReference w:id="1"/>
      </w:r>
      <w:r w:rsidRPr="00A46F7C">
        <w:t xml:space="preserve"> (Regulamento Disposições Comuns),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2021/1058 do Parlamento Europeu e do Conselho, de 24 de junho de 2021, relativo ao Fundo Europeu de Desenvolvimento Regional e ao Fundo de Coesão</w:t>
      </w:r>
      <w:r w:rsidRPr="00A46F7C">
        <w:rPr>
          <w:rStyle w:val="FootnoteReference"/>
        </w:rPr>
        <w:footnoteReference w:id="2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2021/1059 do Parlamento Europeu e do Conselho, de 24 de junho de 2021, que estabelece disposições específicas relativas ao objetivo de Cooperação Territorial Europeia (</w:t>
      </w:r>
      <w:proofErr w:type="spellStart"/>
      <w:r w:rsidRPr="00A46F7C">
        <w:t>Interreg</w:t>
      </w:r>
      <w:proofErr w:type="spellEnd"/>
      <w:r w:rsidRPr="00A46F7C">
        <w:t>) apoiado pelo Fundo Europeu de Desenvolvimento Regional e pelos instrumentos de financiamento externo</w:t>
      </w:r>
      <w:r w:rsidRPr="00A46F7C">
        <w:rPr>
          <w:rStyle w:val="FootnoteReference"/>
        </w:rPr>
        <w:footnoteReference w:id="3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lastRenderedPageBreak/>
        <w:t>–</w:t>
      </w:r>
      <w:r w:rsidRPr="00A46F7C">
        <w:tab/>
        <w:t>Tendo em conta o Regulamento (UE) 2021/1057 do Parlamento Europeu e do Conselho, de 24 de junho de 2021, que cria o Fundo Social Europeu Mais (FSE+) e que revoga o Regulamento (UE) n.º 1296/2013</w:t>
      </w:r>
      <w:r w:rsidRPr="00A46F7C">
        <w:rPr>
          <w:rStyle w:val="FootnoteReference"/>
        </w:rPr>
        <w:footnoteReference w:id="4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2021/1056 do Parlamento Europeu e do Conselho, de 24 de junho de 2021, que cria o Fundo para uma Transição Justa</w:t>
      </w:r>
      <w:r w:rsidRPr="00A46F7C">
        <w:rPr>
          <w:rStyle w:val="FootnoteReference"/>
        </w:rPr>
        <w:footnoteReference w:id="5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2021/2115 do Parlamento Europeu e do Conselho, de 2 de dezembro de 2021, que estabelece regras para apoiar os planos estratégicos a elaborar pelos Estados</w:t>
      </w:r>
      <w:r w:rsidRPr="00A46F7C">
        <w:noBreakHyphen/>
        <w:t>Membros no âmbito da política agrícola comum (planos estratégicos da PAC) e financiados pelo Fundo Europeu Agrícola de Garantia (FEAGA) e pelo Fundo Europeu Agrícola de Desenvolvimento Rural (FEADER), e que revoga os Regulamentos (UE) n.º 1305/2013 e (UE) n.º 1307/2013</w:t>
      </w:r>
      <w:r w:rsidRPr="00A46F7C">
        <w:rPr>
          <w:rStyle w:val="FootnoteReference"/>
        </w:rPr>
        <w:footnoteReference w:id="6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2020/460 do Parlamento Europeu e do Conselho, de 30 de março de 2020, que altera os Regulamentos (UE) n.º 1301/2013, (UE) n.º 1303/2013 e (UE) n.º 508/2014 no respeitante a medidas específicas para mobilizar investimentos nos sistemas de saúde dos Estados</w:t>
      </w:r>
      <w:r w:rsidRPr="00A46F7C">
        <w:noBreakHyphen/>
        <w:t>Membros e noutros setores das suas economias em resposta ao surto de COVID</w:t>
      </w:r>
      <w:r w:rsidRPr="00A46F7C">
        <w:noBreakHyphen/>
        <w:t>19 (Iniciativa de Investimento de Resposta ao Coronavírus)</w:t>
      </w:r>
      <w:r w:rsidRPr="00A46F7C">
        <w:rPr>
          <w:rStyle w:val="FootnoteReference"/>
        </w:rPr>
        <w:footnoteReference w:id="7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2020/558 do Parlamento Europeu e do Conselho, de 23 de abril de 2020, que altera os Regulamentos (UE) n.º 1301/2013 e (UE) n.º 1303/2013 no que respeita a medidas específicas destinadas a proporcionar uma flexibilidade excecional para a utilização dos Fundos Europeus Estruturais e de Investimento em resposta ao surto de COVID</w:t>
      </w:r>
      <w:r w:rsidRPr="00A46F7C">
        <w:noBreakHyphen/>
        <w:t>19</w:t>
      </w:r>
      <w:r w:rsidRPr="00A46F7C">
        <w:rPr>
          <w:rStyle w:val="FootnoteReference"/>
        </w:rPr>
        <w:footnoteReference w:id="8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2020/461 do Parlamento Europeu e do Conselho, de 30 de março de 2020, que altera o Regulamento (CE) n.º 2012/2002 do Conselho a fim de prestar assistência financeira aos Estados</w:t>
      </w:r>
      <w:r w:rsidRPr="00A46F7C">
        <w:noBreakHyphen/>
        <w:t>Membros e aos países que estão a negociar a sua adesão à União gravemente afetados por uma emergência de saúde pública de grande dimensão</w:t>
      </w:r>
      <w:r w:rsidRPr="00A46F7C">
        <w:rPr>
          <w:rStyle w:val="FootnoteReference"/>
        </w:rPr>
        <w:footnoteReference w:id="9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2020/2221 do Parlamento Europeu e do Conselho, de 23 de dezembro de 2020, que altera o Regulamento (UE) n.º 1303/2013 no que respeita aos recursos adicionais e às disposições de execução, a fim de prestar assistência à promoção da recuperação da crise no contexto da pandemia de COVID</w:t>
      </w:r>
      <w:r w:rsidRPr="00A46F7C">
        <w:noBreakHyphen/>
        <w:t>19 e respetivas consequências sociais e à preparação de uma recuperação ecológica, digital e resiliente da economia (REACT</w:t>
      </w:r>
      <w:r w:rsidRPr="00A46F7C">
        <w:noBreakHyphen/>
        <w:t>EU)</w:t>
      </w:r>
      <w:r w:rsidRPr="00A46F7C">
        <w:rPr>
          <w:rStyle w:val="FootnoteReference"/>
        </w:rPr>
        <w:footnoteReference w:id="10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Regulamento (UE) 2022/562 do Parlamento Europeu e do Conselho, de 6 de abril de 2022, que altera os Regulamentos (UE) n.º 1303/2013 e (UE) n.º 223/2014 no que respeita à Ação de Coesão a favor dos Refugiados na Europa (CARE)</w:t>
      </w:r>
      <w:r w:rsidRPr="00A46F7C">
        <w:rPr>
          <w:rStyle w:val="FootnoteReference"/>
        </w:rPr>
        <w:footnoteReference w:id="11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 xml:space="preserve">Tendo em conta o Regulamento (UE) 2022/2039 do Parlamento Europeu e do Conselho, de 19 de outubro de 2022, que altera os Regulamentos (UE) n.º 1303/2013 e (UE) 2021/1060 no que respeita a uma maior flexibilidade para fazer face às consequências da agressão militar da Federação da Rússia FAST (assistência flexível aos territórios) </w:t>
      </w:r>
      <w:r w:rsidR="00C32719">
        <w:t>–</w:t>
      </w:r>
      <w:r w:rsidRPr="00A46F7C">
        <w:t xml:space="preserve"> CARE</w:t>
      </w:r>
      <w:r w:rsidRPr="00A46F7C">
        <w:rPr>
          <w:rStyle w:val="FootnoteReference"/>
        </w:rPr>
        <w:footnoteReference w:id="12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programa URBACT para uma cooperação urbana sustentável, criado em 2002,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–</w:t>
      </w:r>
      <w:r w:rsidRPr="00A46F7C">
        <w:tab/>
        <w:t>Tendo em conta a Agenda Urbana da UE, de 30 de maio de 2016,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Agenda Territorial 2030, de 1 de dezembro de 2020,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nono relatório sobre a coesão, publicado pela Comissão em 27 de março de 2024</w:t>
      </w:r>
      <w:r w:rsidRPr="00A46F7C">
        <w:rPr>
          <w:rStyle w:val="FootnoteReference"/>
        </w:rPr>
        <w:footnoteReference w:id="13"/>
      </w:r>
      <w:r w:rsidRPr="00A46F7C">
        <w:t>, e a Comunicação da Comissão, de 27 de março de 2024, relativa ao nono relatório sobre a coesão (COM(2024)0149),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 xml:space="preserve">Tendo em conta o estudo intitulado «The future </w:t>
      </w:r>
      <w:proofErr w:type="spellStart"/>
      <w:r w:rsidRPr="00A46F7C">
        <w:t>of</w:t>
      </w:r>
      <w:proofErr w:type="spellEnd"/>
      <w:r w:rsidRPr="00A46F7C">
        <w:t xml:space="preserve"> EU </w:t>
      </w:r>
      <w:proofErr w:type="spellStart"/>
      <w:r w:rsidRPr="00A46F7C">
        <w:t>cohesion</w:t>
      </w:r>
      <w:proofErr w:type="spellEnd"/>
      <w:r w:rsidRPr="00A46F7C">
        <w:t xml:space="preserve">: </w:t>
      </w:r>
      <w:proofErr w:type="spellStart"/>
      <w:r w:rsidRPr="00A46F7C">
        <w:t>Scenarios</w:t>
      </w:r>
      <w:proofErr w:type="spellEnd"/>
      <w:r w:rsidRPr="00A46F7C">
        <w:t xml:space="preserve"> </w:t>
      </w:r>
      <w:proofErr w:type="spellStart"/>
      <w:r w:rsidRPr="00A46F7C">
        <w:t>and</w:t>
      </w:r>
      <w:proofErr w:type="spellEnd"/>
      <w:r w:rsidRPr="00A46F7C">
        <w:t xml:space="preserve"> </w:t>
      </w:r>
      <w:proofErr w:type="spellStart"/>
      <w:r w:rsidRPr="00A46F7C">
        <w:t>their</w:t>
      </w:r>
      <w:proofErr w:type="spellEnd"/>
      <w:r w:rsidRPr="00A46F7C">
        <w:t xml:space="preserve"> </w:t>
      </w:r>
      <w:proofErr w:type="spellStart"/>
      <w:r w:rsidRPr="00A46F7C">
        <w:t>impacts</w:t>
      </w:r>
      <w:proofErr w:type="spellEnd"/>
      <w:r w:rsidRPr="00A46F7C">
        <w:t xml:space="preserve"> </w:t>
      </w:r>
      <w:proofErr w:type="spellStart"/>
      <w:r w:rsidRPr="00A46F7C">
        <w:t>on</w:t>
      </w:r>
      <w:proofErr w:type="spellEnd"/>
      <w:r w:rsidRPr="00A46F7C">
        <w:t xml:space="preserve"> regional </w:t>
      </w:r>
      <w:proofErr w:type="spellStart"/>
      <w:r w:rsidRPr="00A46F7C">
        <w:t>inequalities</w:t>
      </w:r>
      <w:proofErr w:type="spellEnd"/>
      <w:r w:rsidRPr="00A46F7C">
        <w:t>» [O futuro da coesão da UE: cenários e as suas repercussões nas desigualdades regionais], publicado pelo Serviço de Estudos do Parlamento Europeu em dezembro de 2024,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relatório da Comissão, de fevereiro de 2024, intitulado «</w:t>
      </w:r>
      <w:proofErr w:type="spellStart"/>
      <w:r w:rsidRPr="00A46F7C">
        <w:t>Forging</w:t>
      </w:r>
      <w:proofErr w:type="spellEnd"/>
      <w:r w:rsidRPr="00A46F7C">
        <w:t xml:space="preserve"> a </w:t>
      </w:r>
      <w:proofErr w:type="spellStart"/>
      <w:r w:rsidRPr="00A46F7C">
        <w:t>sustainable</w:t>
      </w:r>
      <w:proofErr w:type="spellEnd"/>
      <w:r w:rsidRPr="00A46F7C">
        <w:t xml:space="preserve"> future </w:t>
      </w:r>
      <w:proofErr w:type="spellStart"/>
      <w:r w:rsidRPr="00A46F7C">
        <w:t>together</w:t>
      </w:r>
      <w:proofErr w:type="spellEnd"/>
      <w:r w:rsidRPr="00A46F7C">
        <w:t xml:space="preserve">: </w:t>
      </w:r>
      <w:proofErr w:type="spellStart"/>
      <w:r w:rsidRPr="00A46F7C">
        <w:t>Cohesion</w:t>
      </w:r>
      <w:proofErr w:type="spellEnd"/>
      <w:r w:rsidRPr="00A46F7C">
        <w:t xml:space="preserve"> for a </w:t>
      </w:r>
      <w:proofErr w:type="spellStart"/>
      <w:r w:rsidRPr="00A46F7C">
        <w:t>competitive</w:t>
      </w:r>
      <w:proofErr w:type="spellEnd"/>
      <w:r w:rsidRPr="00A46F7C">
        <w:t xml:space="preserve"> </w:t>
      </w:r>
      <w:proofErr w:type="spellStart"/>
      <w:r w:rsidRPr="00A46F7C">
        <w:t>and</w:t>
      </w:r>
      <w:proofErr w:type="spellEnd"/>
      <w:r w:rsidRPr="00A46F7C">
        <w:t xml:space="preserve"> inclusive </w:t>
      </w:r>
      <w:proofErr w:type="spellStart"/>
      <w:r w:rsidRPr="00A46F7C">
        <w:t>Europe</w:t>
      </w:r>
      <w:proofErr w:type="spellEnd"/>
      <w:r w:rsidRPr="00A46F7C">
        <w:t>» [Construir um futuro sustentável em conjunto: Coesão para uma Europa competitiva e inclusiva]</w:t>
      </w:r>
      <w:r w:rsidRPr="00A46F7C">
        <w:rPr>
          <w:rStyle w:val="FootnoteReference"/>
        </w:rPr>
        <w:footnoteReference w:id="14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Parecer do Comité Económico e Social Europeu, de 31 de maio de 2024, sobre o nono relatório sobre a coesão</w:t>
      </w:r>
      <w:r w:rsidRPr="00A46F7C">
        <w:rPr>
          <w:rStyle w:val="FootnoteReference"/>
        </w:rPr>
        <w:footnoteReference w:id="15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Parecer do Comité das Regiões, de 21 de novembro de 2024, intitulado «Uma política de coesão renovada após 2027 que não deixe ninguém para trás</w:t>
      </w:r>
      <w:r w:rsidR="00C32719">
        <w:t>–</w:t>
      </w:r>
      <w:r w:rsidRPr="00A46F7C">
        <w:t>Respostas do CR ao nono relatório sobre a coesão e ao relatório do Grupo de Alto Nível sobre o futuro da política de coesão»,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 xml:space="preserve">Tendo em conta o relatório intitulado «The future </w:t>
      </w:r>
      <w:proofErr w:type="spellStart"/>
      <w:r w:rsidRPr="00A46F7C">
        <w:t>of</w:t>
      </w:r>
      <w:proofErr w:type="spellEnd"/>
      <w:r w:rsidRPr="00A46F7C">
        <w:t xml:space="preserve"> </w:t>
      </w:r>
      <w:proofErr w:type="spellStart"/>
      <w:r w:rsidRPr="00A46F7C">
        <w:t>European</w:t>
      </w:r>
      <w:proofErr w:type="spellEnd"/>
      <w:r w:rsidRPr="00A46F7C">
        <w:t xml:space="preserve"> </w:t>
      </w:r>
      <w:proofErr w:type="spellStart"/>
      <w:r w:rsidRPr="00A46F7C">
        <w:t>competitiveness</w:t>
      </w:r>
      <w:proofErr w:type="spellEnd"/>
      <w:r w:rsidRPr="00A46F7C">
        <w:t xml:space="preserve"> — A </w:t>
      </w:r>
      <w:proofErr w:type="spellStart"/>
      <w:r w:rsidRPr="00A46F7C">
        <w:t>competitiveness</w:t>
      </w:r>
      <w:proofErr w:type="spellEnd"/>
      <w:r w:rsidRPr="00A46F7C">
        <w:t xml:space="preserve"> </w:t>
      </w:r>
      <w:proofErr w:type="spellStart"/>
      <w:r w:rsidRPr="00A46F7C">
        <w:t>strategy</w:t>
      </w:r>
      <w:proofErr w:type="spellEnd"/>
      <w:r w:rsidRPr="00A46F7C">
        <w:t xml:space="preserve"> for </w:t>
      </w:r>
      <w:proofErr w:type="spellStart"/>
      <w:r w:rsidRPr="00A46F7C">
        <w:t>Europe</w:t>
      </w:r>
      <w:proofErr w:type="spellEnd"/>
      <w:r w:rsidRPr="00A46F7C">
        <w:t>» [O futuro da competitividade europeia — Uma estratégia de competitividade para a Europa], publicado pela Comissão em 9 de setembro de 2024,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acordo adotado na 21.ª Conferência das Partes na Convenção</w:t>
      </w:r>
      <w:r w:rsidRPr="00A46F7C">
        <w:noBreakHyphen/>
        <w:t>Quadro das Nações Unidas sobre Alterações Climáticas (COP 21), realizada em Paris em 12 de dezembro de 2015 (o Acordo de Paris),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estudo intitulado «</w:t>
      </w:r>
      <w:proofErr w:type="spellStart"/>
      <w:r w:rsidRPr="00A46F7C">
        <w:t>Streamlining</w:t>
      </w:r>
      <w:proofErr w:type="spellEnd"/>
      <w:r w:rsidRPr="00A46F7C">
        <w:t xml:space="preserve"> EU </w:t>
      </w:r>
      <w:proofErr w:type="spellStart"/>
      <w:r w:rsidRPr="00A46F7C">
        <w:t>Cohesion</w:t>
      </w:r>
      <w:proofErr w:type="spellEnd"/>
      <w:r w:rsidRPr="00A46F7C">
        <w:t xml:space="preserve"> </w:t>
      </w:r>
      <w:proofErr w:type="spellStart"/>
      <w:r w:rsidRPr="00A46F7C">
        <w:t>Funds</w:t>
      </w:r>
      <w:proofErr w:type="spellEnd"/>
      <w:r w:rsidRPr="00A46F7C">
        <w:t xml:space="preserve">: </w:t>
      </w:r>
      <w:proofErr w:type="spellStart"/>
      <w:r w:rsidRPr="00A46F7C">
        <w:t>addressing</w:t>
      </w:r>
      <w:proofErr w:type="spellEnd"/>
      <w:r w:rsidRPr="00A46F7C">
        <w:t xml:space="preserve"> </w:t>
      </w:r>
      <w:proofErr w:type="spellStart"/>
      <w:r w:rsidRPr="00A46F7C">
        <w:t>administrative</w:t>
      </w:r>
      <w:proofErr w:type="spellEnd"/>
      <w:r w:rsidRPr="00A46F7C">
        <w:t xml:space="preserve"> </w:t>
      </w:r>
      <w:proofErr w:type="spellStart"/>
      <w:r w:rsidRPr="00A46F7C">
        <w:t>burdens</w:t>
      </w:r>
      <w:proofErr w:type="spellEnd"/>
      <w:r w:rsidRPr="00A46F7C">
        <w:t xml:space="preserve"> </w:t>
      </w:r>
      <w:proofErr w:type="spellStart"/>
      <w:r w:rsidRPr="00A46F7C">
        <w:t>and</w:t>
      </w:r>
      <w:proofErr w:type="spellEnd"/>
      <w:r w:rsidRPr="00A46F7C">
        <w:t xml:space="preserve"> </w:t>
      </w:r>
      <w:proofErr w:type="spellStart"/>
      <w:r w:rsidRPr="00A46F7C">
        <w:t>redundancy</w:t>
      </w:r>
      <w:proofErr w:type="spellEnd"/>
      <w:r w:rsidRPr="00A46F7C">
        <w:t>» [Racionalização dos fundos de coesão da UE: abordar os encargos administrativos e a redundância], publicado pela sua Direção</w:t>
      </w:r>
      <w:r w:rsidRPr="00A46F7C">
        <w:noBreakHyphen/>
        <w:t>Geral das Políticas Internas da União em novembro de 2024</w:t>
      </w:r>
      <w:r w:rsidRPr="00A46F7C">
        <w:rPr>
          <w:rStyle w:val="FootnoteReference"/>
        </w:rPr>
        <w:footnoteReference w:id="16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 xml:space="preserve">Tendo em conta o Regulamento (UE) 2025/XXXX do Parlamento Europeu e do Conselho, de </w:t>
      </w:r>
      <w:r w:rsidR="00C32719">
        <w:t>7 de maio de 2025</w:t>
      </w:r>
      <w:r w:rsidRPr="00A46F7C">
        <w:t>, sobre um Instrumento para o desenvolvimento e o crescimento das regiões fronteiriças na UE (</w:t>
      </w:r>
      <w:proofErr w:type="spellStart"/>
      <w:r w:rsidRPr="00A46F7C">
        <w:t>BRIDGEforEU</w:t>
      </w:r>
      <w:proofErr w:type="spellEnd"/>
      <w:r w:rsidRPr="00A46F7C">
        <w:t>)</w:t>
      </w:r>
      <w:r w:rsidR="00C32719">
        <w:rPr>
          <w:rStyle w:val="FootnoteReference"/>
        </w:rPr>
        <w:footnoteReference w:id="17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Comunicação da Comissão, de 3 de maio de 2022, intitulada «Dar prioridade às pessoas, garantir o crescimento sustentável e inclusivo, realizar o potencial das regiões ultraperiféricas da UE» (</w:t>
      </w:r>
      <w:proofErr w:type="gramStart"/>
      <w:r w:rsidRPr="00A46F7C">
        <w:t>COM(</w:t>
      </w:r>
      <w:proofErr w:type="gramEnd"/>
      <w:r w:rsidRPr="00A46F7C">
        <w:t>2022)0198),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parecer sob a forma de carta da Comissão da Agricultura e do Desenvolvimento Rural</w:t>
      </w:r>
      <w:r w:rsidR="00C32719">
        <w:rPr>
          <w:rStyle w:val="FootnoteReference"/>
        </w:rPr>
        <w:footnoteReference w:id="18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sua resolução, de 25 de março de 2021, sobre política de coesão e estratégias ambientais regionais na luta contra as alterações climáticas</w:t>
      </w:r>
      <w:r w:rsidRPr="00A46F7C">
        <w:rPr>
          <w:rStyle w:val="FootnoteReference"/>
        </w:rPr>
        <w:footnoteReference w:id="19"/>
      </w:r>
      <w:r w:rsidRPr="00A46F7C">
        <w:t>,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–</w:t>
      </w:r>
      <w:r w:rsidRPr="00A46F7C">
        <w:tab/>
        <w:t>Tendo em conta a sua resolução, de 20 de maio de 2021, sobre o tema «Inverter as tendências demográficas nas regiões da UE utilizando os instrumentos da política de coesão»</w:t>
      </w:r>
      <w:r w:rsidRPr="00A46F7C">
        <w:rPr>
          <w:rStyle w:val="FootnoteReference"/>
        </w:rPr>
        <w:footnoteReference w:id="20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sua resolução, de 14 de setembro de 2021, para um reforço da parceria com as regiões ultraperiféricas da União</w:t>
      </w:r>
      <w:r w:rsidRPr="00A46F7C">
        <w:rPr>
          <w:rStyle w:val="FootnoteReference"/>
        </w:rPr>
        <w:footnoteReference w:id="21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sua resolução, de 15 de setembro de 2022, sobre coesão económica, social e territorial na União Europeia: oitavo relatório sobre a coesão</w:t>
      </w:r>
      <w:r w:rsidRPr="00A46F7C">
        <w:rPr>
          <w:rStyle w:val="FootnoteReference"/>
        </w:rPr>
        <w:footnoteReference w:id="22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sua resolução, de 21 de novembro de 2023, sobre as possibilidades de melhorar a fiabilidade das auditorias e dos controlos realizados pelas autoridades nacionais no âmbito da gestão partilhada</w:t>
      </w:r>
      <w:r w:rsidRPr="00A46F7C">
        <w:rPr>
          <w:rStyle w:val="FootnoteReference"/>
        </w:rPr>
        <w:footnoteReference w:id="23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sua resolução, de 23 de novembro de 2023, sobre o aproveitamento dos talentos nas regiões da Europa</w:t>
      </w:r>
      <w:r w:rsidRPr="00A46F7C">
        <w:rPr>
          <w:rStyle w:val="FootnoteReference"/>
        </w:rPr>
        <w:footnoteReference w:id="24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a sua resolução, de 14 de março de 2024, intitulada «Política de coesão 2014</w:t>
      </w:r>
      <w:r w:rsidRPr="00A46F7C">
        <w:noBreakHyphen/>
        <w:t>2020: execução e resultados nos Estados</w:t>
      </w:r>
      <w:r w:rsidRPr="00A46F7C">
        <w:noBreakHyphen/>
        <w:t>Membros»</w:t>
      </w:r>
      <w:r w:rsidRPr="00A46F7C">
        <w:rPr>
          <w:rStyle w:val="FootnoteReference"/>
        </w:rPr>
        <w:footnoteReference w:id="25"/>
      </w:r>
      <w:r w:rsidRPr="00A46F7C">
        <w:t>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artigo 55.º do seu Regimento,</w:t>
      </w:r>
    </w:p>
    <w:p w:rsidR="00A038A8" w:rsidRPr="00A46F7C" w:rsidRDefault="00A038A8" w:rsidP="00A038A8">
      <w:pPr>
        <w:pStyle w:val="NormalHanging12a"/>
      </w:pPr>
      <w:r w:rsidRPr="00A46F7C">
        <w:t>–</w:t>
      </w:r>
      <w:r w:rsidRPr="00A46F7C">
        <w:tab/>
        <w:t>Tendo em conta o relatório da Comissão do Desenvolvimento Regional (A10</w:t>
      </w:r>
      <w:r w:rsidRPr="00A46F7C">
        <w:noBreakHyphen/>
        <w:t>0066/2025),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A.</w:t>
      </w:r>
      <w:r w:rsidRPr="00A46F7C">
        <w:tab/>
        <w:t>Considerando que a política de coesão está no cerne das políticas da UE e que é o principal instrumento da UE para investir no desenvolvimento económico, social e territorial sustentável e contribuir para os objetivos do Pacto Ecológico Europeu em toda a UE no âmbito dos seus quadros financeiros plurianuais para os períodos 2014</w:t>
      </w:r>
      <w:r w:rsidRPr="00A46F7C">
        <w:noBreakHyphen/>
        <w:t>2020 e 2021</w:t>
      </w:r>
      <w:r w:rsidRPr="00A46F7C">
        <w:noBreakHyphen/>
        <w:t>2027</w:t>
      </w:r>
      <w:r w:rsidR="003C1D6D">
        <w:t>; considerando que</w:t>
      </w:r>
      <w:r w:rsidRPr="00A46F7C">
        <w:t xml:space="preserve"> a política de coesão, tal como prevista nos Tratados, é fundamental para o bom funcionamento e a prosperidade do mercado interno mediante a promoção do desenvolvimento de todas as regiões da UE e, em especial, das menos desenvolvidas;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B.</w:t>
      </w:r>
      <w:r w:rsidRPr="00A46F7C">
        <w:tab/>
        <w:t>Considerando que a política de coesão promoveu a convergência económica, social e territorial na UE, nomeadamente através do aumento dos produtos internos brutos, por exemplo, dos Estados</w:t>
      </w:r>
      <w:r w:rsidRPr="00A46F7C">
        <w:noBreakHyphen/>
        <w:t>Membros do centro e leste da UE, que passaram de 43 % da média da UE em 1995 para cerca de 80 % em 2023</w:t>
      </w:r>
      <w:r w:rsidR="003C1D6D">
        <w:t>; considerando que</w:t>
      </w:r>
      <w:r w:rsidRPr="00A46F7C">
        <w:t xml:space="preserve"> o nono relatório sobre a coesão salienta que, até ao final de 2022, a política de coesão apoiou mais de 4,4 milhões de empresas, criando mais de 370 000 postos de trabalho nessas empresas</w:t>
      </w:r>
      <w:r w:rsidR="003C1D6D">
        <w:t>; considerando que</w:t>
      </w:r>
      <w:r w:rsidRPr="00A46F7C">
        <w:t xml:space="preserve"> o relatório sublinha igualmente que a política de coesão gera um retorno significativo do investimento e que cada euro investido nos programas 2014</w:t>
      </w:r>
      <w:r w:rsidRPr="00A46F7C">
        <w:noBreakHyphen/>
        <w:t>2020 e 2021</w:t>
      </w:r>
      <w:r w:rsidRPr="00A46F7C">
        <w:noBreakHyphen/>
        <w:t>2027 terá gerado 1,3 EUR de PIB adicional na União até 2030</w:t>
      </w:r>
      <w:r w:rsidR="003C1D6D">
        <w:t>; considerando que</w:t>
      </w:r>
      <w:r w:rsidRPr="00A46F7C">
        <w:t xml:space="preserve"> a política de coesão representou, em média, cerca de 13 % do investimento público total na UE</w:t>
      </w:r>
      <w:r w:rsidRPr="00A46F7C">
        <w:rPr>
          <w:vertAlign w:val="superscript"/>
        </w:rPr>
        <w:footnoteReference w:id="26"/>
      </w:r>
      <w:r w:rsidRPr="00A46F7C">
        <w:t>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C.</w:t>
      </w:r>
      <w:r w:rsidRPr="00A46F7C">
        <w:tab/>
        <w:t>Considerando que o relatório da Comissão intitulado «A visão a longo prazo para as zonas rurais da UE: resultados principais e vias a seguir», apresentado juntamente com o nono relatório sobre a coesão, sublinha que 24,6 mil milhões de EUR, ou seja, 8 % do pilar do desenvolvimento rural da política agrícola comum, se destinam a investimentos em zonas rurais além dos investimentos agrícolas, abrindo caminho para um debate sobre o futuro das zonas rurais;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D.</w:t>
      </w:r>
      <w:r w:rsidRPr="00A46F7C">
        <w:tab/>
        <w:t>Considerando que, entre 2021 e 2027, a política de coesão terá investido mais de 140 mil milhões de EUR nas transições ecológica e digital</w:t>
      </w:r>
      <w:r w:rsidRPr="00A46F7C">
        <w:rPr>
          <w:rStyle w:val="FootnoteReference"/>
        </w:rPr>
        <w:footnoteReference w:id="27"/>
      </w:r>
      <w:r w:rsidRPr="00A46F7C">
        <w:t>, a fim de ajudar a melhorar as redes e as infraestruturas, apoiar a conservação da natureza, melhorar as competências ecológicas e digitais e promover a criação de emprego e de serviços para a população;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E.</w:t>
      </w:r>
      <w:r w:rsidRPr="00A46F7C">
        <w:tab/>
        <w:t>Considerando que, apesar do impacto positivo amplamente reconhecido e comprovado da política de coesão na convergência social, económica e territorial, subsistem desafios significativos, marcados, nomeadamente, pelas disparidades de desenvolvimento ao nível infranacional, no interior das regiões e em regiões presas numa situação de estagnação do desenvolvimento, e pelo impacto das alterações climáticas, em termos demográficos, de transição digital e ecológica e de conectividade, mas também em termos de desenvolvimento económico sustentável, em particular nas regiões menos desenvolvidas e nas zonas rurais e remotas;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F.</w:t>
      </w:r>
      <w:r w:rsidRPr="00A46F7C">
        <w:tab/>
        <w:t>Considerando que a política de coesão e os programas setoriais da UE ajudaram reiteradamente e de forma eficiente as regiões a responderem eficazmente a emergências e choques assimétricos, como a crise da COVID</w:t>
      </w:r>
      <w:r w:rsidRPr="00A46F7C">
        <w:noBreakHyphen/>
        <w:t xml:space="preserve">19, o </w:t>
      </w:r>
      <w:proofErr w:type="spellStart"/>
      <w:r w:rsidRPr="00A46F7C">
        <w:t>Brexit</w:t>
      </w:r>
      <w:proofErr w:type="spellEnd"/>
      <w:r w:rsidRPr="00A46F7C">
        <w:t xml:space="preserve"> e a crise energética e a crise dos refugiados causada pela invasão da Ucrânia pela Rússia, bem como catástrofes naturais, embora se trate de uma política estrutural de longo prazo e não um instrumento de gestão de crises ou o mecanismo «preferencial» de financiamento da resposta de emergência</w:t>
      </w:r>
      <w:r w:rsidR="003C1D6D">
        <w:t>; considerando que</w:t>
      </w:r>
      <w:r w:rsidRPr="00A46F7C">
        <w:t xml:space="preserve"> estas crises atrasaram a execução dos Fundos Europeus Estruturais e de Investimento e que um número considerável de projetos financiados com fundos do Mecanismo de Recuperação e Resiliência (MRR) foram, na sua maioria, retirados de projetos que deveriam ser objeto de investimento no quadro da política de coesão;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G.</w:t>
      </w:r>
      <w:r w:rsidRPr="00A46F7C">
        <w:tab/>
        <w:t>Considerando que, apesar das medidas já tomadas para os períodos 2014</w:t>
      </w:r>
      <w:r w:rsidRPr="00A46F7C">
        <w:noBreakHyphen/>
        <w:t>2020 e 2021</w:t>
      </w:r>
      <w:r w:rsidRPr="00A46F7C">
        <w:noBreakHyphen/>
        <w:t>2027, o quadro regulamentar que rege a utilização e a administração dos instrumentos e fundos da política de coesão deve ser ainda mais simplificado e as ferramentas digitais interoperáveis devem ser mais bem utilizadas e desenvolvidas, designadamente com a criação de centros de serviços digitalizados do género «balcão único», com o objetivo de racionalizar os procedimentos, reforçar a confiança das partes interessadas, reduzir os encargos administrativos, aumentar a flexibilidade na gestão dos fundos e acelerar os pagamentos, não só para as autoridades competentes, mas também para os beneficiários finais</w:t>
      </w:r>
      <w:r w:rsidR="003C1D6D">
        <w:t>; considerando que</w:t>
      </w:r>
      <w:r w:rsidRPr="00A46F7C">
        <w:t xml:space="preserve"> é necessário aumentar as possibilidades de utilização dos fundos de modo mais flexível, notadamente a hipótese de financiar o desenvolvimento de produtos de dupla utilização</w:t>
      </w:r>
      <w:r w:rsidR="003C1D6D">
        <w:t>; considerando que</w:t>
      </w:r>
      <w:r w:rsidRPr="00A46F7C">
        <w:t xml:space="preserve"> é da maior importância formular qualquer futura política de coesão com um impulso estratégico ao longo de todo o período de financiamento, o qual poderá, no entanto, ser alvo de uma reavaliação intercalar;</w:t>
      </w:r>
    </w:p>
    <w:p w:rsidR="00A038A8" w:rsidRPr="00A46F7C" w:rsidRDefault="00A038A8" w:rsidP="00A038A8">
      <w:pPr>
        <w:pStyle w:val="NormalHanging12a"/>
      </w:pPr>
      <w:r w:rsidRPr="00A46F7C">
        <w:t>H.</w:t>
      </w:r>
      <w:r w:rsidRPr="00A46F7C">
        <w:tab/>
        <w:t>Considerando que a baixa taxa de absorção dos fundos da política de coesão para o período 2021</w:t>
      </w:r>
      <w:r w:rsidRPr="00A46F7C">
        <w:noBreakHyphen/>
        <w:t>2027, atualmente de apenas 6 %, não se deve à falta de necessidade por parte dos Estados</w:t>
      </w:r>
      <w:r w:rsidRPr="00A46F7C">
        <w:noBreakHyphen/>
        <w:t xml:space="preserve">Membros ou das regiões, mas, sim, a atrasos na aprovação dos programas operacionais, ao período de transição entre quadros financeiros, à definição de prioridades do </w:t>
      </w:r>
      <w:proofErr w:type="spellStart"/>
      <w:r w:rsidRPr="00A46F7C">
        <w:t>NextGenerationEU</w:t>
      </w:r>
      <w:proofErr w:type="spellEnd"/>
      <w:r w:rsidRPr="00A46F7C">
        <w:t xml:space="preserve"> pelas autoridades de gestão nacionais, à capacidade administrativa limitada e à complexidade dos procedimentos burocráticos</w:t>
      </w:r>
      <w:r w:rsidR="003C1D6D">
        <w:t>; considerando que</w:t>
      </w:r>
      <w:r w:rsidRPr="00A46F7C">
        <w:t xml:space="preserve"> os Estados</w:t>
      </w:r>
      <w:r w:rsidRPr="00A46F7C">
        <w:noBreakHyphen/>
        <w:t>Membros e as regiões não podem apressar</w:t>
      </w:r>
      <w:r w:rsidRPr="00A46F7C">
        <w:noBreakHyphen/>
        <w:t>se a absorver todos os fundos disponíveis, uma vez que preveem uma eventual prorrogação ao abrigo das regras N+2 ou N+3;</w:t>
      </w:r>
    </w:p>
    <w:p w:rsidR="00A038A8" w:rsidRPr="00A46F7C" w:rsidRDefault="00A038A8" w:rsidP="00A038A8">
      <w:pPr>
        <w:pStyle w:val="NormalHanging12a"/>
        <w:rPr>
          <w:szCs w:val="24"/>
        </w:rPr>
      </w:pPr>
      <w:proofErr w:type="gramStart"/>
      <w:r w:rsidRPr="00A46F7C">
        <w:t>I.</w:t>
      </w:r>
      <w:r w:rsidRPr="00A46F7C">
        <w:tab/>
        <w:t>Considerando</w:t>
      </w:r>
      <w:proofErr w:type="gramEnd"/>
      <w:r w:rsidRPr="00A46F7C">
        <w:t xml:space="preserve"> que alterações radicais do quadro regulamentar da coesão, de um período de programação para o seguinte, contribuem para a criação de insegurança entre as autoridades responsáveis e os beneficiários, a </w:t>
      </w:r>
      <w:proofErr w:type="spellStart"/>
      <w:r w:rsidRPr="00A46F7C">
        <w:t>sobrerregulação</w:t>
      </w:r>
      <w:proofErr w:type="spellEnd"/>
      <w:r w:rsidRPr="00A46F7C">
        <w:t xml:space="preserve"> da legislação, o aumento das taxas de erro (e respetivas consequências negativas em termos de reputação e de financiamento), os atrasos na execução e, em última análise, o descontentamento entre os beneficiários e a população em geral;</w:t>
      </w:r>
    </w:p>
    <w:p w:rsidR="00A038A8" w:rsidRPr="00A46F7C" w:rsidRDefault="00A038A8" w:rsidP="00A038A8">
      <w:pPr>
        <w:pStyle w:val="NormalHanging12a"/>
      </w:pPr>
      <w:proofErr w:type="gramStart"/>
      <w:r w:rsidRPr="00A46F7C">
        <w:t>J.</w:t>
      </w:r>
      <w:r w:rsidRPr="00A46F7C">
        <w:tab/>
        <w:t>Considerando</w:t>
      </w:r>
      <w:proofErr w:type="gramEnd"/>
      <w:r w:rsidRPr="00A46F7C">
        <w:t xml:space="preserve"> que, por vezes, existe concorrência entre os fundos de coesão, os fundos de emergência e as políticas setoriais;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K.</w:t>
      </w:r>
      <w:r w:rsidRPr="00A46F7C">
        <w:tab/>
        <w:t>Considerando que as alterações demográficas variam significativamente entre as regiões da UE, prevendo</w:t>
      </w:r>
      <w:r w:rsidRPr="00A46F7C">
        <w:noBreakHyphen/>
        <w:t>se que as populações de alguns Estados</w:t>
      </w:r>
      <w:r w:rsidRPr="00A46F7C">
        <w:noBreakHyphen/>
        <w:t>Membros sofram um declínio nos próximos anos enquanto outras deverão crescer</w:t>
      </w:r>
      <w:r w:rsidR="003C1D6D">
        <w:t>; considerando que</w:t>
      </w:r>
      <w:r w:rsidRPr="00A46F7C">
        <w:t xml:space="preserve"> as alterações demográficas também ocorrem entre regiões, inclusive com êxodo das regiões ultraperiféricas, mas dão</w:t>
      </w:r>
      <w:r w:rsidRPr="00A46F7C">
        <w:noBreakHyphen/>
        <w:t>se geralmente sob a forma de êxodos de zonas rurais para zonas urbanas no interior dos Estados</w:t>
      </w:r>
      <w:r w:rsidRPr="00A46F7C">
        <w:noBreakHyphen/>
        <w:t>Membros, sendo as mulheres, mais do que os homens, a abandonar as zonas rurais, mas também para as áreas metropolitanas, deparando</w:t>
      </w:r>
      <w:r w:rsidRPr="00A46F7C">
        <w:noBreakHyphen/>
        <w:t>se as aldeias em torno das grandes cidades com dificuldades em investir em infraestruturas de base</w:t>
      </w:r>
      <w:r w:rsidR="003C1D6D">
        <w:t>; considerando que</w:t>
      </w:r>
      <w:r w:rsidRPr="00A46F7C">
        <w:t xml:space="preserve"> a prestação de serviços essenciais, como os cuidados de saúde, a educação e os transportes, deve ser reforçada em todas as regiões, com especial destaque para as zonas rurais e remotas</w:t>
      </w:r>
      <w:r w:rsidR="003C1D6D">
        <w:t>; considerando que</w:t>
      </w:r>
      <w:r w:rsidRPr="00A46F7C">
        <w:t xml:space="preserve"> é necessário prestar especial atenção às zonas afetadas pelo despovoamento e pela inadequação dos serviços, o que exige medidas específicas para incentivar os jovens a nelas permanecerem através de projetos de empreendedorismo, de uma agricultura de alta qualidade e do turismo sustentável;</w:t>
      </w:r>
    </w:p>
    <w:p w:rsidR="00A038A8" w:rsidRPr="00A46F7C" w:rsidRDefault="00A038A8" w:rsidP="00A038A8">
      <w:pPr>
        <w:pStyle w:val="NormalHanging12a"/>
      </w:pPr>
      <w:proofErr w:type="gramStart"/>
      <w:r w:rsidRPr="00A46F7C">
        <w:t>L.</w:t>
      </w:r>
      <w:r w:rsidRPr="00A46F7C">
        <w:tab/>
        <w:t>Considerando</w:t>
      </w:r>
      <w:proofErr w:type="gramEnd"/>
      <w:r w:rsidRPr="00A46F7C">
        <w:t xml:space="preserve"> que é crucial ter em conta o envelhecimento da população para garantir a justiça entre as gerações e, deste modo, reforçar a participação, especialmente entre os jovens;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M.</w:t>
      </w:r>
      <w:r w:rsidRPr="00A46F7C">
        <w:tab/>
        <w:t>Considerando que as zonas urbanas estão sobrecarregadas por novos desafios resultantes do afluxo populacional para as cidades, bem como pelo aumento dos preços da habitação e da energia, que exigem o necessário desenvolvimento habitacional e novas medidas de proteção do ambiente e de poupança de energia, a saber, renovações profundas e céleres para combater a pobreza energética e promover a eficiência energética</w:t>
      </w:r>
      <w:r w:rsidR="003C1D6D">
        <w:t>; considerando que</w:t>
      </w:r>
      <w:r w:rsidRPr="00A46F7C">
        <w:t xml:space="preserve"> a política de coesão da UE deve contribuir para um mercado da habitação acessível e a preços comportáveis para todas as pessoas na UE, especialmente os agregados familiares de rendimentos baixos e médios, os residentes das zonas urbanas, as famílias com crianças, as mulheres e os jovens;</w:t>
      </w:r>
    </w:p>
    <w:p w:rsidR="00A038A8" w:rsidRPr="00A46F7C" w:rsidRDefault="00A038A8" w:rsidP="00A038A8">
      <w:pPr>
        <w:pStyle w:val="NormalHanging12a"/>
      </w:pPr>
      <w:proofErr w:type="gramStart"/>
      <w:r w:rsidRPr="00A46F7C">
        <w:t>N.</w:t>
      </w:r>
      <w:r w:rsidRPr="00A46F7C">
        <w:tab/>
        <w:t>Considerando</w:t>
      </w:r>
      <w:proofErr w:type="gramEnd"/>
      <w:r w:rsidRPr="00A46F7C">
        <w:t xml:space="preserve"> que a aplicação efetiva da Agenda Urbana da UE pode reforçar a capacidade das cidades de contribuir para os objetivos de coesão, melhorando assim a qualidade de vida dos cidadãos e assegurando uma utilização mais eficiente dos recursos financeiros da UE;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O.</w:t>
      </w:r>
      <w:r w:rsidRPr="00A46F7C">
        <w:tab/>
        <w:t>Considerando que deve ser prestada especial atenção às zonas rurais, bem como às zonas afetadas pela transição industrial e às regiões da UE com limitações naturais ou demográficas graves e permanentes, situações de fuga de cérebros, riscos relacionados com o clima e escassez de água, como as regiões ultraperiféricas, e mormente as ilhas situadas na sua periferia ou na periferia da UE, as regiões com baixa densidade populacional, as ilhas, as zonas montanhosas e as regiões transfronteiriças, bem como as regiões costeiras e marítimas;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P.</w:t>
      </w:r>
      <w:r w:rsidRPr="00A46F7C">
        <w:tab/>
        <w:t>Considerando que a guerra de agressão da Rússia contra a Ucrânia deu origem a uma nova realidade geopolítica que teve um forte impacto no emprego, no desenvolvimento económico e nas oportunidades, assim como no bem</w:t>
      </w:r>
      <w:r w:rsidRPr="00A46F7C">
        <w:noBreakHyphen/>
        <w:t>estar geral da população que vive em regiões limítrofes da Ucrânia, da Bielorrússia e da Rússia, e em países candidatos como a Ucrânia e a Moldávia, que, por conseguinte, necessitam de especial atenção e apoio, incluindo por meio da consequente adaptação da política de coesão</w:t>
      </w:r>
      <w:r w:rsidR="003C1D6D">
        <w:t>; considerando que</w:t>
      </w:r>
      <w:r w:rsidRPr="00A46F7C">
        <w:t xml:space="preserve"> esta guerra conduziu a um número sem precedentes de pessoas que procuram abrigo na UE, o que representa um encargo adicional para as comunidades e os serviços locais</w:t>
      </w:r>
      <w:r w:rsidR="003C1D6D">
        <w:t>; considerando que</w:t>
      </w:r>
      <w:r w:rsidRPr="00A46F7C">
        <w:t xml:space="preserve"> a segurança coletiva da UE depende fortemente da vitalidade e do bem</w:t>
      </w:r>
      <w:r w:rsidRPr="00A46F7C">
        <w:noBreakHyphen/>
        <w:t>estar das regiões situadas nas fronteiras externas da UE;</w:t>
      </w:r>
    </w:p>
    <w:p w:rsidR="00A038A8" w:rsidRPr="00A46F7C" w:rsidRDefault="00A038A8" w:rsidP="00A038A8">
      <w:pPr>
        <w:pStyle w:val="NormalHanging12a"/>
      </w:pPr>
      <w:proofErr w:type="gramStart"/>
      <w:r w:rsidRPr="00A46F7C">
        <w:t>Q.</w:t>
      </w:r>
      <w:r w:rsidRPr="00A46F7C">
        <w:tab/>
        <w:t>Considerando</w:t>
      </w:r>
      <w:proofErr w:type="gramEnd"/>
      <w:r w:rsidRPr="00A46F7C">
        <w:t xml:space="preserve"> que a situação única da Irlanda do Norte exige uma abordagem à medida, com base nas vantagens dos programas PEACE, que analise de que forma uma política de coesão mais ampla pode beneficiar o processo de reconciliação;</w:t>
      </w:r>
    </w:p>
    <w:p w:rsidR="00A038A8" w:rsidRPr="00A46F7C" w:rsidRDefault="00A038A8" w:rsidP="00A038A8">
      <w:pPr>
        <w:pStyle w:val="NormalHanging12a"/>
      </w:pPr>
      <w:r w:rsidRPr="00A46F7C">
        <w:t>R.</w:t>
      </w:r>
      <w:r w:rsidRPr="00A46F7C">
        <w:tab/>
        <w:t>Considerando que 79 % dos cidadãos que têm conhecimento de projetos financiados pela UE no âmbito da política de coesão creem que os projetos financiados pela UE têm um impacto positivo nas regiões</w:t>
      </w:r>
      <w:r w:rsidRPr="00A46F7C">
        <w:rPr>
          <w:vertAlign w:val="superscript"/>
        </w:rPr>
        <w:footnoteReference w:id="28"/>
      </w:r>
      <w:r w:rsidRPr="00A46F7C">
        <w:t xml:space="preserve">, o que contribui para uma atitude </w:t>
      </w:r>
      <w:proofErr w:type="spellStart"/>
      <w:r w:rsidRPr="00A46F7C">
        <w:t>pró</w:t>
      </w:r>
      <w:r w:rsidRPr="00A46F7C">
        <w:noBreakHyphen/>
        <w:t>UE</w:t>
      </w:r>
      <w:proofErr w:type="spellEnd"/>
      <w:r w:rsidRPr="00A46F7C">
        <w:t>;</w:t>
      </w:r>
    </w:p>
    <w:p w:rsidR="00A038A8" w:rsidRPr="00A46F7C" w:rsidRDefault="00A038A8" w:rsidP="00A038A8">
      <w:pPr>
        <w:pStyle w:val="NormalHanging12a"/>
      </w:pPr>
      <w:r w:rsidRPr="00A46F7C">
        <w:t>S.</w:t>
      </w:r>
      <w:r w:rsidRPr="00A46F7C">
        <w:tab/>
        <w:t>Considerando que a sensibilização geral para os projetos financiados pela UE no âmbito da política de coesão diminuiu 2 pontos percentuais desde 2021</w:t>
      </w:r>
      <w:r w:rsidRPr="00A46F7C">
        <w:rPr>
          <w:vertAlign w:val="superscript"/>
        </w:rPr>
        <w:footnoteReference w:id="29"/>
      </w:r>
      <w:r w:rsidRPr="00A46F7C">
        <w:t>, implicando que deve almejar</w:t>
      </w:r>
      <w:r w:rsidRPr="00A46F7C">
        <w:noBreakHyphen/>
        <w:t>se maior descentralização para aproximar ainda mais a política de coesão dos cidadãos;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1.</w:t>
      </w:r>
      <w:r w:rsidRPr="00A46F7C">
        <w:tab/>
        <w:t>Insiste em que o enfoque regional e local, a abordagem de base local e o planeamento estratégico da política de coesão, bem como o seu modelo descentralizado de programação e execução baseado no princípio da parceria com uma aplicação reforçada do código de conduta europeu, na participação de intervenientes económicos e da sociedade civil e na governação a vários níveis, são elementos fundamentais e positivos da política e determinam a sua eficácia; está firmemente convicto de que este modelo de política de coesão deve ser mantido em todas as regiões e aprofundado onde for possível enquanto o principal instrumento de investimento a longo prazo da UE para reduzir as disparidades, assegurar a coesão económica, social e territorial e estimular o crescimento sustentável a nível regional e local em conformidade com as estratégias da UE, protegendo o ambiente, e enquanto contributo fundamental para a competitividade da UE e para uma transição justa, bem como para ajudar a fazer face a desafios futuros;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2.</w:t>
      </w:r>
      <w:r w:rsidRPr="00A46F7C">
        <w:tab/>
        <w:t>Solicita uma demarcação clara entre a política de coesão e outros instrumentos, a fim de evitar sobreposições e concorrência entre os instrumentos da UE, assegurar a complementaridade das diversas intervenções e aumentar a visibilidade e legibilidade do apoio da UE; observa, neste contexto, que os fundos do MRR estão afetados ao desenvolvimento e ao crescimento económicos sem se centrarem especificamente na coesão económica, social e territorial entre as regiões; manifesta preocupação com a intenção da Comissão de aplicar uma abordagem baseada no desempenho aos Fundos Europeus Estruturais e de Investimento (FEEI); reconhece que os mecanismos baseados no desempenho podem ser fulcrais para tornar a política mais eficiente e orientada para os resultados, mas adverte contra uma imposição do modelo aplicável a todos os casos e manifesta sérias dúvidas quanto às ideias de associar o desembolso dos FEEI ao cumprimento dos objetivos de reforma definidos ao nível central, mormente se os objetivos de reforma não forem abrangidos pelo âmbito de competência do nível regional;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3.</w:t>
      </w:r>
      <w:r w:rsidRPr="00A46F7C">
        <w:tab/>
        <w:t>Opõe</w:t>
      </w:r>
      <w:r w:rsidRPr="00A46F7C">
        <w:noBreakHyphen/>
        <w:t>se a todo e qualquer tipo de reforma que vise a centralização descendente dos programas de financiamento da UE, incluindo os programas em regime de gestão partilhada, como a política de coesão e a política agrícola comum, e defende uma maior descentralização da tomada de decisões para os níveis local e regional; solicita a participação reforçada das autoridades locais e regionais e dos intervenientes económicos e da sociedade civil em todas as fases dos programas de gestão partilhada da UE, desde a preparação e programação até à execução, realização e avaliação, tendo em conta que o desenvolvimento económico e social das regiões e a coesão territorial entre estas só podem ser concretizados com base numa boa cooperação entre todos os intervenientes;</w:t>
      </w:r>
    </w:p>
    <w:p w:rsidR="00A038A8" w:rsidRPr="00A46F7C" w:rsidRDefault="00A038A8" w:rsidP="00A038A8">
      <w:pPr>
        <w:pStyle w:val="NormalHanging12a"/>
        <w:rPr>
          <w:szCs w:val="24"/>
        </w:rPr>
      </w:pPr>
      <w:proofErr w:type="gramStart"/>
      <w:r w:rsidRPr="00A46F7C">
        <w:t>4.</w:t>
      </w:r>
      <w:r w:rsidRPr="00A46F7C">
        <w:tab/>
        <w:t>Destaca</w:t>
      </w:r>
      <w:proofErr w:type="gramEnd"/>
      <w:r w:rsidRPr="00A46F7C">
        <w:t xml:space="preserve"> que o Fundo Europeu Agrícola de Desenvolvimento Rural (FEADER) desempenha um papel fundamental, juntamente com os fundos da política de coesão, no apoio às zonas rurais; frisa que a conceção do FEADER deve estar em consonância com as regras dos fundos da política de coesão, a fim de impulsionar sinergias e facilitar projetos de desenvolvimento rural com financiamento múltiplo;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5.</w:t>
      </w:r>
      <w:r w:rsidRPr="00A46F7C">
        <w:tab/>
        <w:t>Está convicto de que a política de coesão só pode continuar a desempenhar o seu papel se dispuser de um financiamento sólido; sublinha que tal implica que a futura política de coesão deve ser dotada de um financiamento sólido para o período financeiro pós</w:t>
      </w:r>
      <w:r w:rsidRPr="00A46F7C">
        <w:noBreakHyphen/>
        <w:t>2027; salienta que é necessário prever um financiamento suficientemente ambicioso e de fácil acesso para permitir que a política de coesão continue a desempenhar o seu papel enquanto principal política de investimento da UE, mantendo simultaneamente a flexibilidade para enfrentar potenciais novos desafios, incluindo a possibilidade de financiar o desenvolvimento de produtos de dupla utilização, e para possibilitar às autoridades locais, às partes interessadas e aos beneficiários fomentar eficazmente o desenvolvimento local; acredita veementemente que a capacidade de oferecer respostas flexíveis a desafios imprevisíveis não deve surgir em detrimento da clara orientação estratégica a longo prazo e dos objetivos da política de coesão;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6.</w:t>
      </w:r>
      <w:r w:rsidRPr="00A46F7C">
        <w:tab/>
        <w:t>Sublinha a importância do próximo quadro financeiro plurianual (QFP) da UE e da revisão intercalar dos programas da política de coesão 2021</w:t>
      </w:r>
      <w:r w:rsidRPr="00A46F7C">
        <w:noBreakHyphen/>
        <w:t>2027 para moldar o futuro da política de coesão; reitera a necessidade de uma política de coesão pós</w:t>
      </w:r>
      <w:r w:rsidRPr="00A46F7C">
        <w:noBreakHyphen/>
        <w:t>2027 mais ambiciosa no próximo QFP 2028</w:t>
      </w:r>
      <w:r w:rsidRPr="00A46F7C">
        <w:noBreakHyphen/>
        <w:t>2034; apela, pois, para que o próximo QFP assegure que a política de coesão continue a receber, pelo menos, o mesmo nível de financiamento que o atual período em termos reais; solicita, além disso, que a política de coesão continue a ser uma rubrica distinta no novo QFP; frisa que a política de coesão deve ser protegida contra efeitos estatísticos suscetíveis de afetar a elegibilidade das regiões ao alterar o PIB médio da UE; reafirma a necessidade de novos recursos próprios da UE;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7.</w:t>
      </w:r>
      <w:r w:rsidRPr="00A46F7C">
        <w:tab/>
        <w:t>Propõe, por conseguinte, que o próximo QFP responda melhor às necessidades imprevistas, nomeadamente com margens e flexibilidades suficientes desde o início; enfatiza, porém, a este respeito, que a política de coesão não é um instrumento de crise e que não deve desviar</w:t>
      </w:r>
      <w:r w:rsidRPr="00A46F7C">
        <w:noBreakHyphen/>
        <w:t>se dos seus principais objetivos, notadamente da sua natureza de investimento a longo prazo; solicita o reforço do Fundo de Solidariedade da União Europeia, incluindo no seu pré</w:t>
      </w:r>
      <w:r w:rsidRPr="00A46F7C">
        <w:noBreakHyphen/>
        <w:t>financiamento, tornando</w:t>
      </w:r>
      <w:r w:rsidRPr="00A46F7C">
        <w:noBreakHyphen/>
        <w:t>o menos burocrático e mais facilmente acessível, visando desenvolver um instrumento adequado capaz de dar resposta apropriada às consequências económicas, sociais e territoriais de futuras catástrofes naturais ou emergências sanitárias; salienta a necessidade de o Parlamento ter controlo adequado sobre quaisquer fundos e instrumentos de emergência;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8.</w:t>
      </w:r>
      <w:r w:rsidRPr="00A46F7C">
        <w:tab/>
        <w:t xml:space="preserve">Reconhece a necessidade de utilizar também a nomenclatura das unidades territoriais estatísticas (NUTS) 3 para casos específicos, de uma forma que reconheça a existência de desigualdades no desenvolvimento em todas as regiões NUTS 2; é de opinião que o PIB regional </w:t>
      </w:r>
      <w:r w:rsidRPr="00A46F7C">
        <w:rPr>
          <w:i/>
          <w:iCs/>
        </w:rPr>
        <w:t>per capita</w:t>
      </w:r>
      <w:r w:rsidRPr="00A46F7C">
        <w:t xml:space="preserve"> deve continuar a ser o principal critério para determinar as dotações dos Estados</w:t>
      </w:r>
      <w:r w:rsidRPr="00A46F7C">
        <w:noBreakHyphen/>
        <w:t>Membros ao abrigo da política de coesão; congratula</w:t>
      </w:r>
      <w:r w:rsidRPr="00A46F7C">
        <w:noBreakHyphen/>
        <w:t>se com o facto de, na sequência dos pedidos persistentes do Parlamento, a Comissão ter começado a ponderar critérios adicionais</w:t>
      </w:r>
      <w:r w:rsidRPr="00A46F7C">
        <w:rPr>
          <w:vertAlign w:val="superscript"/>
        </w:rPr>
        <w:footnoteReference w:id="30"/>
      </w:r>
      <w:r w:rsidRPr="00A46F7C">
        <w:t>, como as emissões de gases com efeito de estufa, a densidade populacional, os níveis de escolaridade e as taxas de desemprego, a fim de proporcionar uma melhor visão socioeconómica das regiões;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9.</w:t>
      </w:r>
      <w:r w:rsidRPr="00A46F7C">
        <w:tab/>
        <w:t>Frisa que a condicionalidade do Estado de direito é uma condicionalidade global, que reconhece e impõe o respeito pelo Estado de direito, também como condição favorável ao financiamento da política de coesão, para garantir que os recursos da União sejam utilizados de forma transparente, justa e responsável mantendo uma boa gestão financeira; considera necessário reforçar o respeito pelo Estado de direito e pelos direitos fundamentais e assegurar que todas as ações sejam coerentes com o apoio aos princípios democráticos, à igualdade de género e aos direitos humanos, incluindo os direitos dos trabalhadores, os direitos das pessoas com deficiência e os direitos das crianças, aquando da execução da política de coesão; realça o importante papel do Organismo Europeu de Luta Antifraude e da Procuradoria Europeia na proteção dos interesses financeiros da União;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10.</w:t>
      </w:r>
      <w:r w:rsidRPr="00A46F7C">
        <w:tab/>
        <w:t>Solicita que sejam envidados mais esforços para simplificar, flexibilizar e racionalizar as regras e os procedimentos administrativos que regem os fundos da política de coesão aos níveis da UE, nacional e regional, bem como para fortalecer as suas sinergias, tirando pleno partido das tecnologias disponíveis para o aumento da acessibilidade e da eficiência, baseando</w:t>
      </w:r>
      <w:r w:rsidRPr="00A46F7C">
        <w:noBreakHyphen/>
        <w:t>se no quadro de gestão partilhada existente e bem estabelecido, a fim de reforçar a confiança entre os utilizadores, incentivando assim a participação de um leque mais vasto de intervenientes económicos e da sociedade civil nos projetos apoiados e maximizando o impacto dos fundos; reclama novas iniciativas que permitam uma melhor absorção dos fundos de coesão, designadamente níveis acrescidos de cofinanciamento, pré</w:t>
      </w:r>
      <w:r w:rsidRPr="00A46F7C">
        <w:noBreakHyphen/>
        <w:t>financiamento mais elevado e reembolsos de investimentos mais rápidos; solicita que as administrações locais, em particular as que representam comunidades mais pequenas, recebam formação técnica para uma melhor gestão administrativa dos fundos; frisa, por conseguinte, a importância de reforçar o princípio da auditoria única, de alargar ainda mais as opções de custos simplificados e de reduzir a duplicação de controlos e auditorias que se sobrepõem à supervisão nacional e regional do mesmo projeto e beneficiário, com vista a eliminar a possibilidade de se darem os mesmos erros nos anos de execução posteriores;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11.</w:t>
      </w:r>
      <w:r w:rsidRPr="00A46F7C">
        <w:tab/>
        <w:t>Insta a Comissão e os Estados</w:t>
      </w:r>
      <w:r w:rsidRPr="00A46F7C">
        <w:noBreakHyphen/>
        <w:t>Membros a concederem às regiões uma maior flexibilidade já na fase de programação, no intuito de dar resposta às suas necessidades e especificidades concretas, destacando a necessidade de chamar os intervenientes económicos e da sociedade civil a participar; sublinha que a concentração temática constituiu um elemento fulcral para alinhar a política de coesão com os objetivos da Estratégia Europa 2020; solicita, portanto, à Comissão que apresente todas as conclusões relacionadas com a aplicação da concentração temática e que retire ensinamentos para futuras propostas legislativas;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12.</w:t>
      </w:r>
      <w:r w:rsidRPr="00A46F7C">
        <w:tab/>
        <w:t>Reconhece que as transições ecológica, digital e demográfica colocam desafios consideráveis, mas, ao mesmo tempo, criam oportunidades para a consecução do objetivo de coesão económica, social e territorial; reconhece que, estatisticamente, as zonas de elevado rendimento podem mascarar os problemas económicos de uma região; está ciente do risco de agravamento das disparidades regionais, de agravamento das desigualdades sociais e de aumento da «geografia do descontentamento» relacionada com o processo de transição; sublinha a necessidade de alcançar os objetivos climáticos e de sustentabilidade da UE e de manter um crescimento económico partilhado através do reforço da competitividade da União; preconiza, por isso, uma estratégia europeia que garanta o crescimento harmonioso no seio da União Europeia, satisfazendo as necessidades especificas das suas diferentes regiões; reafirma o seu empenho para com as transições ecológica e digital, uma vez que criará oportunidades para melhorar a competitividade da UE; sublinha a necessidade de investir em projetos de infraestruturas que reforcem a conectividade, em particular nos transportes sustentáveis e inteligentes e nas redes energéticas e digitais, assegurando que todas as regiões, incluindo as remotas e menos desenvolvidas, estejam plenamente integradas no mercado único e beneficiem equitativamente das oportunidades que este proporciona; salienta, neste contexto, a necessidade de apoiar o desenvolvimento de indústrias verdes, promovendo as especificidades e tradições locais para aumentar a resiliência do ambiente económico e da sociedade civil aos desafios futuros;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13.</w:t>
      </w:r>
      <w:r w:rsidRPr="00A46F7C">
        <w:tab/>
        <w:t xml:space="preserve">Exorta a que a política de coesão se mantenha coerente com um impulso no sentido de aumentar a inovação e concluir o mercado único da UE, em conformidade com as conclusões do relatório </w:t>
      </w:r>
      <w:proofErr w:type="spellStart"/>
      <w:r w:rsidRPr="00A46F7C">
        <w:t>Draghi</w:t>
      </w:r>
      <w:proofErr w:type="spellEnd"/>
      <w:r w:rsidRPr="00A46F7C">
        <w:t xml:space="preserve"> sobre a competitividade europeia; sublinha, no contexto das disparidades regionais, o problema do fosso persistente em matéria de inovação e defende uma abordagem adaptada e de base local para promover a inovação e a convergência económica entre as regiões e reduzir o défice de inovação; reclama o reforço do papel da inovação local e regional na criação de ecossistemas de investigação e inovação competitivos e na promoção da coesão territorial; chama a atenção para novas iniciativas da UE, como os vales regionais de inovação e as parcerias para a inovação regional, que visam ligar os territórios com diferentes níveis de desempenho em matéria de inovação e colmatar o défice de inovação; considera que esta abordagem reforçará a autonomia regional, permitindo que as autoridades locais e regionais definam as políticas e os objetivos da UE em função das suas necessidades, características e capacidades específicas, salvaguardando simultaneamente o princípio da parceria;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14.</w:t>
      </w:r>
      <w:r w:rsidRPr="00A46F7C">
        <w:tab/>
        <w:t>Está convicto de que a política de coesão deve continuar a promover o princípio da transição justa, dando resposta às necessidades específicas das regiões, sem deixar nenhum território nem ninguém para trás; preconiza a continuação do financiamento do processo de transição justa, sendo o Fundo para uma Transição Justa plenamente integrado no Regulamento Disposições Comuns e dotado de meios financeiros reforçados para o período de programação pós</w:t>
      </w:r>
      <w:r w:rsidRPr="00A46F7C">
        <w:noBreakHyphen/>
        <w:t>2027; destaca, no entanto, a necessidade de avaliar as repercussões do Fundo para uma Transição Justa na transformação das regiões elegíveis e, não deixando de assegurar que continua a fazer parte da política de coesão, aperfeiçoar a sua estratégia no novo QFP com base nas conclusões e medidas concretas para assegurar o bem</w:t>
      </w:r>
      <w:r w:rsidRPr="00A46F7C">
        <w:noBreakHyphen/>
        <w:t>estar económico e social das comunidades afetadas;</w:t>
      </w:r>
    </w:p>
    <w:p w:rsidR="00A038A8" w:rsidRPr="00A46F7C" w:rsidRDefault="00A038A8" w:rsidP="00A038A8">
      <w:pPr>
        <w:pStyle w:val="NormalHanging12a"/>
      </w:pPr>
      <w:r w:rsidRPr="00A46F7C">
        <w:t>15.</w:t>
      </w:r>
      <w:r w:rsidRPr="00A46F7C">
        <w:tab/>
        <w:t>Sublinha a necessidade de melhorar a relação entre a política de coesão e a governação económica da UE, evitando uma abordagem punitiva; salienta que o Semestre Europeu deve cumprir os objetivos da política de coesão nos termos dos artigos 174.º e 175.º do TFUE; defende a participação das regiões no cumprimento destes objetivos e uma abordagem territorial mais forte; pede que se inicie um processo de reflexão sobre o conceito de condicionalidade macroeconómica e que seja explorada a possibilidade de substituir este conceito por novas formas de condicionalidade, que correspondam melhor aos novos desafios que se avizinham;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16.</w:t>
      </w:r>
      <w:r w:rsidRPr="00A46F7C">
        <w:tab/>
        <w:t>Manifesta preocupação com o número crescente de regiões presas na armadilha do desenvolvimento, que estão em estagnação económica e sofrem de um declínio demográfico acentuado e de um acesso limitado a serviços essenciais; solicita, assim, um ajuste em alta do cofinanciamento de projetos destinados a reforçar os serviços essenciais; frisa o papel dos instrumentos da política de coesão no apoio às diferentes regiões e zonas locais que enfrentam a evolução demográfica que afeta o direito efetivo de permanência das pessoas, incluindo, entre outros, os desafios relacionados com o despovoamento, o envelhecimento, os desequilíbrios de género, a fuga de cérebros, a escassez de competências e os desequilíbrios de mão de obra nas regiões; reconhece a necessidade de incentivos económicos direcionados e de intervenções estruturais para combater estes fenómenos; preconiza, neste contexto, a execução de programas específicos para atrair, desenvolver e reter talentos, em especial nas regiões que registam saídas significativas de trabalhadores qualificados, mediante a promoção de ecossistemas de educação, empreendedorismo e inovação alinhados com as necessidades e oportunidades económicas locais e regionais;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17.</w:t>
      </w:r>
      <w:r w:rsidRPr="00A46F7C">
        <w:tab/>
        <w:t>Reconhece a importância de apoiar e financiar soluções específicas para as regiões com dificuldades económicas graves e de longa data ou com sérias limitações naturais e demográficas permanentes; reitera a necessidade de manter e melhorar a prestação de serviços essenciais de qualidade (como a educação e os cuidados de saúde), os transportes e a conectividade digital destas regiões, fomentando a sua diversificação económica e a criação de emprego e ajudando</w:t>
      </w:r>
      <w:r w:rsidRPr="00A46F7C">
        <w:noBreakHyphen/>
        <w:t>as a dar resposta a desafios como a desertificação rural, o envelhecimento da população, a pobreza, o despovoamento, a solidão e o isolamento, bem como a falta de oportunidades para as pessoas vulneráveis, como sejam as pessoas com deficiência; sublinha a necessidade de dar prioridade ao desenvolvimento e ao financiamento adequado de setores estratégicos, como as energias renováveis, o turismo sustentável, as infraestruturas e a inovação digital, de forma adaptada ao potencial económico e aos recursos de cada região, no intuito de criar condições mais amplas para o crescimento endógeno e o desenvolvimento equilibrado em todas as regiões, mormente nas zonas rurais, remotas e menos desenvolvidas, e nas regiões fronteiriças, insulares e ultraperiféricas; recorda a importância de haver fortes ligações entre as zonas rurais e urbanas, e um apoio especial às mulheres nas zonas rurais;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18.</w:t>
      </w:r>
      <w:r w:rsidRPr="00A46F7C">
        <w:tab/>
        <w:t>Salienta a necessidade de uma abordagem adaptada às regiões ultraperiféricas, tal como definidas no artigo 349.º do TFUE, que enfrentam desafios estruturais únicos e cumulativos devido ao seu afastamento, à pequena dimensão do seu mercado, à sua vulnerabilidade às alterações climáticas e às suas dependências económicas; sublinha que estes condicionalismos permanentes, incluindo a pequena dimensão da sua economia, a grande distância do continente europeu, a localização perto de países terceiros, a dupla insularidade para a maioria delas e a diversificação limitada do setor produtivo resultam em custos suplementares e na redução da competitividade, tornando a sua adaptação à transição ecológica e digital particularmente complexa e dispendiosa; destaca o seu grande potencial para continuar a desenvolver, nomeadamente através de uma melhor conectividade regional, setores</w:t>
      </w:r>
      <w:r w:rsidRPr="00A46F7C">
        <w:noBreakHyphen/>
        <w:t>chave como a economia azul, a agricultura sustentável, as energias renováveis, as atividades espaciais, a investigação ou o ecoturismo; reitera o seu pedido de longa data à Comissão para que tenha devidamente em conta o impacto de todas as novas propostas legislativas nas regiões ultraperiféricas, com vista a evitar encargos regulamentares desproporcionados e efeitos adversos nas economias destas regiões;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19.</w:t>
      </w:r>
      <w:r w:rsidRPr="00A46F7C">
        <w:tab/>
        <w:t>Sublinha que as cidades e as áreas metropolitanas têm desafios próprios, como bolsas consideráveis de pobreza, problemas de habitação, congestionamento do tráfego e má qualidade do ar, gerando desafios para a coesão social e económica criados por um desenvolvimento territorial pouco harmonioso; enfatiza a necessidade de uma agenda específica para as cidades e convida ao aprofundamento das suas ligações com as zonas urbanas funcionais, abrangendo as cidades e localidades de menor dimensão, para assegurar que os benefícios económicos e sociais sejam repartidos de forma mais equitativa por todo o território; realça a necessidade de reforçar a coordenação entre as iniciativas da Agenda Urbana da UE e os instrumentos da política de coesão, favorecendo uma abordagem integrada que tenha em conta as especificidades territoriais e os desafios emergentes; reclama, ademais, um acesso mais direto ao financiamento da UE por parte das autoridades locais e regionais, bem como dos municípios e das autoridades urbanas, designadamente através do alargamento da utilização de investimentos territoriais integrados;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20.</w:t>
      </w:r>
      <w:r w:rsidRPr="00A46F7C">
        <w:tab/>
        <w:t>Frisa a necessidade de prosseguir o reforço dos investimentos em habitação a preços comportáveis no quadro da política de coesão, reconhecendo a sua importância tanto para as regiões como para os municípios; realça a necessidade de promover as mudanças da política de coesão que são pertinentes para investir na habitação além das duas possibilidades atuais (eficiência energética e habitação social); enfatiza o importante papel que a política de coesão desempenha na implantação e coordenação destas iniciativas; entende, além disso, que é importante incluir a comportabilidade dos preços da habitação na iniciativa URBACT;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21.</w:t>
      </w:r>
      <w:r w:rsidRPr="00A46F7C">
        <w:tab/>
        <w:t>Frisa a importância estratégica da existência de regiões fronteiriças externas fortes para a segurança e a resiliência da UE; insta a Comissão a apoiar os Estados</w:t>
      </w:r>
      <w:r w:rsidRPr="00A46F7C">
        <w:noBreakHyphen/>
        <w:t>Membros e as regiões afetados pela guerra de agressão da Rússia contra a Ucrânia, em especial as regiões localizadas na fronteira oriental da UE, mediante a revisão das Orientações relativas aos auxílios estatais com finalidade regional</w:t>
      </w:r>
      <w:r w:rsidRPr="00A46F7C">
        <w:rPr>
          <w:vertAlign w:val="superscript"/>
        </w:rPr>
        <w:footnoteReference w:id="31"/>
      </w:r>
      <w:r w:rsidRPr="00A46F7C">
        <w:t>, através de instrumentos e investimentos à medida no âmbito da política de coesão, bem como a ajudá</w:t>
      </w:r>
      <w:r w:rsidRPr="00A46F7C">
        <w:noBreakHyphen/>
        <w:t xml:space="preserve">los a tirar o máximo partido das possibilidades oferecidas pelos fundos da política de coesão, incluindo o </w:t>
      </w:r>
      <w:proofErr w:type="spellStart"/>
      <w:r w:rsidRPr="00A46F7C">
        <w:t>Interreg</w:t>
      </w:r>
      <w:proofErr w:type="spellEnd"/>
      <w:r w:rsidRPr="00A46F7C">
        <w:t>, de forma flexível, para que possam fazer face ao impacto socioeconómico negativo da guerra nas suas populações e nos seus territórios; solicita, além disso, que seja dado apoio às regiões limítrofes dos países candidatos, como a Ucrânia e a Moldávia, a fim de reforçar as ligações e promover a sua integração na UE;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22.</w:t>
      </w:r>
      <w:r w:rsidRPr="00A46F7C">
        <w:tab/>
        <w:t xml:space="preserve">Destaca o valor acrescentado da cooperação territorial em geral e da cooperação transfronteiriça em particular; sublinha a importância do </w:t>
      </w:r>
      <w:proofErr w:type="spellStart"/>
      <w:r w:rsidRPr="00A46F7C">
        <w:t>Interreg</w:t>
      </w:r>
      <w:proofErr w:type="spellEnd"/>
      <w:r w:rsidRPr="00A46F7C">
        <w:t xml:space="preserve"> para as regiões transfronteiriças, incluindo as regiões ultraperiféricas; realça o importante papel do </w:t>
      </w:r>
      <w:proofErr w:type="spellStart"/>
      <w:r w:rsidRPr="00A46F7C">
        <w:t>Interreg</w:t>
      </w:r>
      <w:proofErr w:type="spellEnd"/>
      <w:r w:rsidRPr="00A46F7C">
        <w:t> no contributo para o desenvolvimento destas regiões e na superação dos obstáculos transfronteiriços, inclusive o reforço da confiança além</w:t>
      </w:r>
      <w:r w:rsidRPr="00A46F7C">
        <w:noBreakHyphen/>
        <w:t xml:space="preserve">fronteiras, o desenvolvimento de ligações de transporte, a identificação e redução dos obstáculos jurídicos e administrativos e o aumento da prestação e utilização de serviços públicos transfronteiriços, entre outros; considera o </w:t>
      </w:r>
      <w:proofErr w:type="spellStart"/>
      <w:r w:rsidRPr="00A46F7C">
        <w:t>Interreg</w:t>
      </w:r>
      <w:proofErr w:type="spellEnd"/>
      <w:r w:rsidRPr="00A46F7C">
        <w:t xml:space="preserve"> o principal instrumento da UE para enfrentar os obstáculos transfronteiriços persistentes com que se deparam os serviços de emergência, e propõe que seja dada maior ênfase a estes serviços; sublinha que as zonas transfronteiriças, nomeadamente as situadas nas fronteiras externas da UE e limítrofes com países agressores, enfrentam frequentemente desafios específicos; considera que as regiões fronteiriças da UE, confrontadas com múltiplos desafios, devem ser apoiadas e entende que devem ser dotadas de meios acrescidos; saúda o novo regulamento relativo ao </w:t>
      </w:r>
      <w:proofErr w:type="spellStart"/>
      <w:r w:rsidRPr="00A46F7C">
        <w:t>BRIDGEforEU</w:t>
      </w:r>
      <w:proofErr w:type="spellEnd"/>
      <w:r w:rsidRPr="00A46F7C">
        <w:t>; destaca a importância dos projetos de pequena escala e transfronteiriços e frisa a necessidade de uma aplicação eficaz no terreno; insta a Comissão a incentivar os Estados</w:t>
      </w:r>
      <w:r w:rsidRPr="00A46F7C">
        <w:noBreakHyphen/>
        <w:t>Membros a apoiarem ativamente campanhas de sensibilização nas regiões fronteiriças, a fim de maximizar o impacto da cooperação transfronteiriça;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23.</w:t>
      </w:r>
      <w:r w:rsidRPr="00A46F7C">
        <w:tab/>
        <w:t xml:space="preserve">Recorda a necessidade de «apoiar a coesão» em vez de simplesmente confiar no princípio de «não prejudicar a coesão», em virtude do qual nenhuma ação deve prejudicar o processo de convergência ou contribuir para as disparidades regionais; solicita uma integração mais forte destes princípios enquanto transversais a todas as políticas da UE, de modo que estas apoiem os objetivos de coesão social, económica e territorial, tal como previsto nos artigos 3.º e 174.º do TFUE; insta, além disso, a Comissão a emitir orientações específicas sobre a forma de aplicar e fazer cumprir estes princípios em todas as políticas da UE, prestando especial atenção aos efeitos da legislação da UE na competitividade das regiões menos desenvolvidas; insiste em que as novas propostas legislativas devem ter devidamente em conta as realidades locais e regionais; propõe que a Comissão recorra a instrumentos inovadores, como a </w:t>
      </w:r>
      <w:proofErr w:type="spellStart"/>
      <w:r w:rsidRPr="00A46F7C">
        <w:t>RegHub</w:t>
      </w:r>
      <w:proofErr w:type="spellEnd"/>
      <w:r w:rsidRPr="00A46F7C">
        <w:t xml:space="preserve"> (Rede de Polos Regionais), para recolher dados sobre o impacto das políticas europeias nas regiões; sublinha, para o efeito, a necessidade de reforçar a avaliação do impacto territorial da legislação da UE, reforçando simultaneamente os aspetos territoriais de outras políticas pertinentes; reitera que a promoção da coesão também deve ser entendida como um modo de fomentar a solidariedade e o apoio mútuo entre Estados</w:t>
      </w:r>
      <w:r w:rsidRPr="00A46F7C">
        <w:noBreakHyphen/>
        <w:t>Membros e respetivas regiões; Insta a Comissão e os Estados</w:t>
      </w:r>
      <w:r w:rsidRPr="00A46F7C">
        <w:noBreakHyphen/>
        <w:t>Membros a prosseguirem os seus esforços em matéria de comunicação e visibilidade dos benefícios da política de coesão, demonstrando aos cidadão o impacto tangível da UE e funcionando como um instrumento basilar na resposta ao euroceticismo; congratula</w:t>
      </w:r>
      <w:r w:rsidRPr="00A46F7C">
        <w:noBreakHyphen/>
        <w:t xml:space="preserve">se com o lançamento da versão multilingue da plataforma </w:t>
      </w:r>
      <w:proofErr w:type="spellStart"/>
      <w:r w:rsidRPr="00A46F7C">
        <w:t>Kohesio</w:t>
      </w:r>
      <w:proofErr w:type="spellEnd"/>
      <w:r w:rsidRPr="00A46F7C">
        <w:t>;</w:t>
      </w:r>
    </w:p>
    <w:p w:rsidR="00A038A8" w:rsidRPr="00A46F7C" w:rsidRDefault="00A038A8" w:rsidP="00A038A8">
      <w:pPr>
        <w:pStyle w:val="NormalHanging12a"/>
      </w:pPr>
      <w:proofErr w:type="gramStart"/>
      <w:r w:rsidRPr="00A46F7C">
        <w:t>24.</w:t>
      </w:r>
      <w:r w:rsidRPr="00A46F7C">
        <w:tab/>
        <w:t>Observa</w:t>
      </w:r>
      <w:proofErr w:type="gramEnd"/>
      <w:r w:rsidRPr="00A46F7C">
        <w:t xml:space="preserve"> com preocupação que, nos últimos anos, o financiamento nacional dos Estados</w:t>
      </w:r>
      <w:r w:rsidRPr="00A46F7C">
        <w:noBreakHyphen/>
        <w:t xml:space="preserve">Membros para as suas regiões mais pobres diminuiu acentuadamente; recorda a importância do respeito pelo princípio da </w:t>
      </w:r>
      <w:proofErr w:type="spellStart"/>
      <w:r w:rsidRPr="00A46F7C">
        <w:t>adicionalidade</w:t>
      </w:r>
      <w:proofErr w:type="spellEnd"/>
      <w:r w:rsidRPr="00A46F7C">
        <w:t xml:space="preserve"> da UE; insta a Comissão a assegurar que as autoridades nacionais têm em devida conta a coesão interna aquando da elaboração e execução dos projetos dos Fundos Estruturais e de Investimento;</w:t>
      </w:r>
    </w:p>
    <w:p w:rsidR="00A038A8" w:rsidRPr="00A46F7C" w:rsidRDefault="00A038A8" w:rsidP="00A038A8">
      <w:pPr>
        <w:shd w:val="clear" w:color="auto" w:fill="FFFFFF"/>
        <w:spacing w:after="240"/>
        <w:ind w:left="567" w:hanging="567"/>
        <w:jc w:val="both"/>
        <w:rPr>
          <w:iCs/>
        </w:rPr>
      </w:pPr>
      <w:r w:rsidRPr="00A46F7C">
        <w:t>25.</w:t>
      </w:r>
      <w:r w:rsidRPr="00A46F7C">
        <w:tab/>
        <w:t>Insiste em que, além de ajustada às necessidades regionais, a política de coesão deve ser adaptada à escala mais pequena, ou seja, os fundos devem ser acessíveis aos projetos e aos responsáveis de projetos de menor dimensão; assinala que as suas iniciativas são frequentemente as mais inovadoras e têm um impacto significativo no desenvolvimento rural; reitera que estes fundos devem ser acessíveis a todos, independentemente da sua dimensão ou âmbito; aprova o apelo da Aliança pela Coesão «para uma política de coesão após 2027 que não deixe ninguém para trás»;</w:t>
      </w:r>
    </w:p>
    <w:p w:rsidR="00A038A8" w:rsidRPr="00A46F7C" w:rsidRDefault="00A038A8" w:rsidP="00A038A8">
      <w:pPr>
        <w:pStyle w:val="NormalHanging12a"/>
        <w:rPr>
          <w:szCs w:val="24"/>
        </w:rPr>
      </w:pPr>
      <w:r w:rsidRPr="00A46F7C">
        <w:t>26.</w:t>
      </w:r>
      <w:r w:rsidRPr="00A46F7C">
        <w:tab/>
        <w:t>Frisa que os atrasos nas negociações do QFP, em conjunção com o facto de os Estados</w:t>
      </w:r>
      <w:r w:rsidRPr="00A46F7C">
        <w:noBreakHyphen/>
        <w:t>Membros terem dado maior ênfase à programação dos fundos do MRR, conduziram a atrasos consideráveis no período de programação 2021</w:t>
      </w:r>
      <w:r w:rsidRPr="00A46F7C">
        <w:noBreakHyphen/>
        <w:t>2027; salienta a importância de alcançar um acordo atempado para o próximo quadro e, como tal, solicita que o Regulamento Disposições Comuns (RDC) e as negociações orçamentais sejam concluídos, pelo menos, um ano antes do início do novo período de financiamento, de modo que os Estados</w:t>
      </w:r>
      <w:r w:rsidRPr="00A46F7C">
        <w:noBreakHyphen/>
        <w:t>Membros possam desenvolver as suas estratégias nacionais e regionais de financiamento em tempo útil para assegurar uma transição bem</w:t>
      </w:r>
      <w:r w:rsidRPr="00A46F7C">
        <w:noBreakHyphen/>
        <w:t>sucedida para o próximo período de financiamento e a continuação dos projetos existentes dos FEEI;</w:t>
      </w:r>
    </w:p>
    <w:p w:rsidR="00B60AC9" w:rsidRPr="00A46F7C" w:rsidRDefault="00A038A8" w:rsidP="00B60AC9">
      <w:pPr>
        <w:pStyle w:val="NormalHanging12a"/>
      </w:pPr>
      <w:proofErr w:type="gramStart"/>
      <w:r w:rsidRPr="00A46F7C">
        <w:t>27.</w:t>
      </w:r>
      <w:r w:rsidRPr="00A46F7C">
        <w:tab/>
        <w:t>Encarrega</w:t>
      </w:r>
      <w:proofErr w:type="gramEnd"/>
      <w:r w:rsidRPr="00A46F7C">
        <w:t xml:space="preserve"> a sua Presidente de transmitir a presente resolução ao Conselho e à Comissão, bem como ao Comité Económico e Social Europeu, ao Comité das Regiões Europeu e aos parlamentos nacionais e regionais dos Estados</w:t>
      </w:r>
      <w:r w:rsidRPr="00A46F7C">
        <w:noBreakHyphen/>
        <w:t>Membros.</w:t>
      </w:r>
    </w:p>
    <w:p w:rsidR="00E365E1" w:rsidRPr="00A46F7C" w:rsidRDefault="00E365E1" w:rsidP="002F6AE4"/>
    <w:sectPr w:rsidR="00E365E1" w:rsidRPr="00A46F7C" w:rsidSect="00B60A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AE4" w:rsidRPr="00B60AC9" w:rsidRDefault="002F6AE4">
      <w:r w:rsidRPr="00B60AC9">
        <w:separator/>
      </w:r>
    </w:p>
  </w:endnote>
  <w:endnote w:type="continuationSeparator" w:id="0">
    <w:p w:rsidR="002F6AE4" w:rsidRPr="00B60AC9" w:rsidRDefault="002F6AE4">
      <w:r w:rsidRPr="00B60A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A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A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A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AE4" w:rsidRPr="00B60AC9" w:rsidRDefault="002F6AE4">
      <w:r w:rsidRPr="00B60AC9">
        <w:separator/>
      </w:r>
    </w:p>
  </w:footnote>
  <w:footnote w:type="continuationSeparator" w:id="0">
    <w:p w:rsidR="002F6AE4" w:rsidRPr="00B60AC9" w:rsidRDefault="002F6AE4">
      <w:r w:rsidRPr="00B60AC9">
        <w:continuationSeparator/>
      </w:r>
    </w:p>
  </w:footnote>
  <w:footnote w:id="1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231 de 30.6.2021, p. 159, ELI:</w:t>
      </w:r>
      <w:hyperlink r:id="rId1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http://data.europa.eu/eli/reg/2021/1060/oj.</w:t>
        </w:r>
      </w:hyperlink>
    </w:p>
  </w:footnote>
  <w:footnote w:id="2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231 de 30.6.2021, p. 60, ELI:</w:t>
      </w:r>
      <w:hyperlink r:id="rId2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http://data.europa.eu/eli/reg/2021/1058/oj.</w:t>
        </w:r>
      </w:hyperlink>
    </w:p>
  </w:footnote>
  <w:footnote w:id="3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231 de 30.6.2021, p. 94, ELI:</w:t>
      </w:r>
      <w:hyperlink r:id="rId3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http://data.europa.eu/eli/reg/2021/1059/oj.</w:t>
        </w:r>
      </w:hyperlink>
    </w:p>
  </w:footnote>
  <w:footnote w:id="4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231 de 30.6.2021, p. 21, ELI:</w:t>
      </w:r>
      <w:hyperlink r:id="rId4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http://data.europa.eu/eli/reg/2021/1057/oj.</w:t>
        </w:r>
      </w:hyperlink>
    </w:p>
  </w:footnote>
  <w:footnote w:id="5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231 de 30.6.2021, p. 1, ELI:</w:t>
      </w:r>
      <w:hyperlink r:id="rId5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http://data.europa.eu/eli/reg/2021/1056/oj.</w:t>
        </w:r>
      </w:hyperlink>
    </w:p>
  </w:footnote>
  <w:footnote w:id="6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 L 435 de 6.12.2021, p. 1, ELI:</w:t>
      </w:r>
      <w:hyperlink r:id="rId6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http://data.europa.eu/eli/reg/2021/2115/oj.</w:t>
        </w:r>
      </w:hyperlink>
    </w:p>
  </w:footnote>
  <w:footnote w:id="7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99 de 31.3.2020, p. 5, ELI:</w:t>
      </w:r>
      <w:hyperlink r:id="rId7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http://data.europa.eu/eli/reg/2020/460/oj.</w:t>
        </w:r>
      </w:hyperlink>
    </w:p>
  </w:footnote>
  <w:footnote w:id="8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130 de 24.4.2020, p. 1, ELI:</w:t>
      </w:r>
      <w:hyperlink r:id="rId8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http://data.europa.eu/eli/reg/2020/558/oj.</w:t>
        </w:r>
      </w:hyperlink>
    </w:p>
  </w:footnote>
  <w:footnote w:id="9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 99 de 31.3.2020, p. 9, ELI:</w:t>
      </w:r>
      <w:hyperlink r:id="rId9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http://data.europa.eu/eli/reg/2020/461/oj.</w:t>
        </w:r>
      </w:hyperlink>
    </w:p>
  </w:footnote>
  <w:footnote w:id="10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 L 437 de 28.12.2020, p. 30, ELI:</w:t>
      </w:r>
      <w:hyperlink r:id="rId10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http://data.europa.eu/eli/reg/2020/2221/oj.</w:t>
        </w:r>
      </w:hyperlink>
    </w:p>
  </w:footnote>
  <w:footnote w:id="11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 L 109 de 8.4.2022, p. 1, ELI:</w:t>
      </w:r>
      <w:hyperlink r:id="rId11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http://data.europa.eu/eli/reg/2022/562/oj.</w:t>
        </w:r>
      </w:hyperlink>
    </w:p>
  </w:footnote>
  <w:footnote w:id="12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="007E52AE" w:rsidRPr="005A15D5">
        <w:rPr>
          <w:lang w:val="fi-FI"/>
        </w:rPr>
        <w:t>JO L 275 de 25.10.2022, p. 23 ELI:</w:t>
      </w:r>
      <w:hyperlink r:id="rId12" w:history="1">
        <w:r w:rsidRPr="005A15D5">
          <w:rPr>
            <w:color w:val="0000FF"/>
            <w:u w:val="single" w:color="0000FF"/>
            <w:lang w:val="fi-FI"/>
          </w:rPr>
          <w:t xml:space="preserve"> http://data.europa.eu/eli/reg/2022/2039/oj.</w:t>
        </w:r>
      </w:hyperlink>
    </w:p>
  </w:footnote>
  <w:footnote w:id="13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r w:rsidRPr="00B60AC9">
        <w:rPr>
          <w:lang w:val="pt-PT"/>
        </w:rPr>
        <w:t>Comissão Europeia: Direção</w:t>
      </w:r>
      <w:r w:rsidRPr="00B60AC9">
        <w:rPr>
          <w:lang w:val="pt-PT"/>
        </w:rPr>
        <w:noBreakHyphen/>
        <w:t xml:space="preserve">Geral da Política Regional e Urbana, </w:t>
      </w:r>
      <w:r w:rsidRPr="00B60AC9">
        <w:rPr>
          <w:rStyle w:val="Italic"/>
          <w:lang w:val="pt-PT"/>
        </w:rPr>
        <w:t>Nono relatório sobre a coesão económica, social e territorial</w:t>
      </w:r>
      <w:r w:rsidRPr="00B60AC9">
        <w:rPr>
          <w:lang w:val="pt-PT"/>
        </w:rPr>
        <w:t>, 2024.</w:t>
      </w:r>
    </w:p>
  </w:footnote>
  <w:footnote w:id="14">
    <w:p w:rsidR="00A038A8" w:rsidRPr="005A15D5" w:rsidRDefault="00A038A8" w:rsidP="00B60AC9">
      <w:pPr>
        <w:pStyle w:val="FootnoteText"/>
        <w:ind w:left="567" w:hanging="567"/>
        <w:rPr>
          <w:lang w:val="en-GB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en-GB"/>
        </w:rPr>
        <w:t xml:space="preserve"> </w:t>
      </w:r>
      <w:r w:rsidR="00B60AC9" w:rsidRPr="005A15D5">
        <w:rPr>
          <w:lang w:val="en-GB"/>
        </w:rPr>
        <w:tab/>
      </w:r>
      <w:proofErr w:type="spellStart"/>
      <w:r w:rsidRPr="005A15D5">
        <w:rPr>
          <w:lang w:val="en-GB"/>
        </w:rPr>
        <w:t>Comissão</w:t>
      </w:r>
      <w:proofErr w:type="spellEnd"/>
      <w:r w:rsidRPr="005A15D5">
        <w:rPr>
          <w:lang w:val="en-GB"/>
        </w:rPr>
        <w:t xml:space="preserve"> </w:t>
      </w:r>
      <w:proofErr w:type="spellStart"/>
      <w:r w:rsidRPr="005A15D5">
        <w:rPr>
          <w:lang w:val="en-GB"/>
        </w:rPr>
        <w:t>Europeia</w:t>
      </w:r>
      <w:proofErr w:type="spellEnd"/>
      <w:r w:rsidRPr="005A15D5">
        <w:rPr>
          <w:lang w:val="en-GB"/>
        </w:rPr>
        <w:t xml:space="preserve">: </w:t>
      </w:r>
      <w:proofErr w:type="spellStart"/>
      <w:r w:rsidRPr="005A15D5">
        <w:rPr>
          <w:lang w:val="en-GB"/>
        </w:rPr>
        <w:t>Direção</w:t>
      </w:r>
      <w:r w:rsidRPr="005A15D5">
        <w:rPr>
          <w:lang w:val="en-GB"/>
        </w:rPr>
        <w:noBreakHyphen/>
        <w:t>Geral</w:t>
      </w:r>
      <w:proofErr w:type="spellEnd"/>
      <w:r w:rsidRPr="005A15D5">
        <w:rPr>
          <w:lang w:val="en-GB"/>
        </w:rPr>
        <w:t xml:space="preserve"> da </w:t>
      </w:r>
      <w:proofErr w:type="spellStart"/>
      <w:r w:rsidRPr="005A15D5">
        <w:rPr>
          <w:lang w:val="en-GB"/>
        </w:rPr>
        <w:t>Política</w:t>
      </w:r>
      <w:proofErr w:type="spellEnd"/>
      <w:r w:rsidRPr="005A15D5">
        <w:rPr>
          <w:lang w:val="en-GB"/>
        </w:rPr>
        <w:t xml:space="preserve"> Regional e Urbana, </w:t>
      </w:r>
      <w:r w:rsidRPr="005A15D5">
        <w:rPr>
          <w:rStyle w:val="Italic"/>
          <w:lang w:val="en-GB"/>
        </w:rPr>
        <w:t>Forging a sustainable future together: Cohesion for a competitive and inclusive Europe — Report of the High</w:t>
      </w:r>
      <w:r w:rsidRPr="005A15D5">
        <w:rPr>
          <w:rStyle w:val="Italic"/>
          <w:lang w:val="en-GB"/>
        </w:rPr>
        <w:noBreakHyphen/>
        <w:t xml:space="preserve">Level Group on the Future of Cohesion Policy, </w:t>
      </w:r>
      <w:proofErr w:type="spellStart"/>
      <w:r w:rsidRPr="005A15D5">
        <w:rPr>
          <w:rStyle w:val="Italic"/>
          <w:lang w:val="en-GB"/>
        </w:rPr>
        <w:t>fevereiro</w:t>
      </w:r>
      <w:proofErr w:type="spellEnd"/>
      <w:r w:rsidRPr="005A15D5">
        <w:rPr>
          <w:rStyle w:val="Italic"/>
          <w:lang w:val="en-GB"/>
        </w:rPr>
        <w:t xml:space="preserve"> de 2024.</w:t>
      </w:r>
    </w:p>
  </w:footnote>
  <w:footnote w:id="15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Pr="005A15D5">
        <w:rPr>
          <w:lang w:val="fi-FI"/>
        </w:rPr>
        <w:t>JO C, C/2024/4668, 9.8.2024, ELI: http://data.europa.eu/eli/C/2024/4668/oj.</w:t>
      </w:r>
    </w:p>
  </w:footnote>
  <w:footnote w:id="16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r w:rsidRPr="00B60AC9">
        <w:rPr>
          <w:lang w:val="pt-PT"/>
        </w:rPr>
        <w:t>Parlamento Europeu: Departamento Temático das Políticas Estruturais e de Coesão, Direção</w:t>
      </w:r>
      <w:r w:rsidRPr="00B60AC9">
        <w:rPr>
          <w:lang w:val="pt-PT"/>
        </w:rPr>
        <w:noBreakHyphen/>
        <w:t xml:space="preserve">Geral das Políticas Internas, </w:t>
      </w:r>
      <w:proofErr w:type="spellStart"/>
      <w:r w:rsidRPr="00B60AC9">
        <w:rPr>
          <w:rStyle w:val="Italic"/>
          <w:lang w:val="pt-PT"/>
        </w:rPr>
        <w:t>Streamlining</w:t>
      </w:r>
      <w:proofErr w:type="spellEnd"/>
      <w:r w:rsidRPr="00B60AC9">
        <w:rPr>
          <w:rStyle w:val="Italic"/>
          <w:lang w:val="pt-PT"/>
        </w:rPr>
        <w:t xml:space="preserve"> EU </w:t>
      </w:r>
      <w:proofErr w:type="spellStart"/>
      <w:r w:rsidRPr="00B60AC9">
        <w:rPr>
          <w:rStyle w:val="Italic"/>
          <w:lang w:val="pt-PT"/>
        </w:rPr>
        <w:t>Cohesion</w:t>
      </w:r>
      <w:proofErr w:type="spellEnd"/>
      <w:r w:rsidRPr="00B60AC9">
        <w:rPr>
          <w:rStyle w:val="Italic"/>
          <w:lang w:val="pt-PT"/>
        </w:rPr>
        <w:t xml:space="preserve"> </w:t>
      </w:r>
      <w:proofErr w:type="spellStart"/>
      <w:r w:rsidRPr="00B60AC9">
        <w:rPr>
          <w:rStyle w:val="Italic"/>
          <w:lang w:val="pt-PT"/>
        </w:rPr>
        <w:t>funds</w:t>
      </w:r>
      <w:proofErr w:type="spellEnd"/>
      <w:r w:rsidRPr="00B60AC9">
        <w:rPr>
          <w:rStyle w:val="Italic"/>
          <w:lang w:val="pt-PT"/>
        </w:rPr>
        <w:t xml:space="preserve">: </w:t>
      </w:r>
      <w:proofErr w:type="spellStart"/>
      <w:r w:rsidRPr="00B60AC9">
        <w:rPr>
          <w:rStyle w:val="Italic"/>
          <w:lang w:val="pt-PT"/>
        </w:rPr>
        <w:t>addressing</w:t>
      </w:r>
      <w:proofErr w:type="spellEnd"/>
      <w:r w:rsidRPr="00B60AC9">
        <w:rPr>
          <w:rStyle w:val="Italic"/>
          <w:lang w:val="pt-PT"/>
        </w:rPr>
        <w:t xml:space="preserve"> </w:t>
      </w:r>
      <w:proofErr w:type="spellStart"/>
      <w:r w:rsidRPr="00B60AC9">
        <w:rPr>
          <w:rStyle w:val="Italic"/>
          <w:lang w:val="pt-PT"/>
        </w:rPr>
        <w:t>administrative</w:t>
      </w:r>
      <w:proofErr w:type="spellEnd"/>
      <w:r w:rsidRPr="00B60AC9">
        <w:rPr>
          <w:rStyle w:val="Italic"/>
          <w:lang w:val="pt-PT"/>
        </w:rPr>
        <w:t xml:space="preserve"> </w:t>
      </w:r>
      <w:proofErr w:type="spellStart"/>
      <w:r w:rsidRPr="00B60AC9">
        <w:rPr>
          <w:rStyle w:val="Italic"/>
          <w:lang w:val="pt-PT"/>
        </w:rPr>
        <w:t>burden</w:t>
      </w:r>
      <w:proofErr w:type="spellEnd"/>
      <w:r w:rsidRPr="00B60AC9">
        <w:rPr>
          <w:rStyle w:val="Italic"/>
          <w:lang w:val="pt-PT"/>
        </w:rPr>
        <w:t xml:space="preserve"> </w:t>
      </w:r>
      <w:proofErr w:type="spellStart"/>
      <w:r w:rsidRPr="00B60AC9">
        <w:rPr>
          <w:rStyle w:val="Italic"/>
          <w:lang w:val="pt-PT"/>
        </w:rPr>
        <w:t>and</w:t>
      </w:r>
      <w:proofErr w:type="spellEnd"/>
      <w:r w:rsidRPr="00B60AC9">
        <w:rPr>
          <w:rStyle w:val="Italic"/>
          <w:lang w:val="pt-PT"/>
        </w:rPr>
        <w:t xml:space="preserve"> </w:t>
      </w:r>
      <w:proofErr w:type="spellStart"/>
      <w:r w:rsidRPr="00B60AC9">
        <w:rPr>
          <w:rStyle w:val="Italic"/>
          <w:lang w:val="pt-PT"/>
        </w:rPr>
        <w:t>redundancy</w:t>
      </w:r>
      <w:proofErr w:type="spellEnd"/>
      <w:r w:rsidRPr="00B60AC9">
        <w:rPr>
          <w:lang w:val="pt-PT"/>
        </w:rPr>
        <w:t>, 2024.</w:t>
      </w:r>
    </w:p>
  </w:footnote>
  <w:footnote w:id="17">
    <w:p w:rsidR="00C32719" w:rsidRPr="005A15D5" w:rsidRDefault="00C32719" w:rsidP="005A15D5">
      <w:pPr>
        <w:pStyle w:val="FootnoteText"/>
        <w:ind w:left="567" w:hanging="567"/>
        <w:rPr>
          <w:lang w:val="pt-PT"/>
        </w:rPr>
      </w:pPr>
      <w:r>
        <w:rPr>
          <w:rStyle w:val="FootnoteReference"/>
        </w:rPr>
        <w:footnoteRef/>
      </w:r>
      <w:r w:rsidRPr="005A15D5">
        <w:rPr>
          <w:lang w:val="pt-PT"/>
        </w:rPr>
        <w:t xml:space="preserve"> </w:t>
      </w:r>
      <w:r>
        <w:rPr>
          <w:lang w:val="pt-PT"/>
        </w:rPr>
        <w:tab/>
        <w:t>Ainda não publicado no Jornal Oficial.</w:t>
      </w:r>
    </w:p>
  </w:footnote>
  <w:footnote w:id="18">
    <w:p w:rsidR="00C32719" w:rsidRPr="005A15D5" w:rsidRDefault="00C32719" w:rsidP="005A15D5">
      <w:pPr>
        <w:pStyle w:val="FootnoteText"/>
        <w:ind w:left="567" w:hanging="567"/>
        <w:rPr>
          <w:lang w:val="pt-PT"/>
        </w:rPr>
      </w:pPr>
      <w:r>
        <w:rPr>
          <w:rStyle w:val="FootnoteReference"/>
        </w:rPr>
        <w:footnoteRef/>
      </w:r>
      <w:r w:rsidRPr="005A15D5">
        <w:rPr>
          <w:lang w:val="pt-PT"/>
        </w:rPr>
        <w:t xml:space="preserve"> </w:t>
      </w:r>
      <w:r>
        <w:rPr>
          <w:lang w:val="pt-PT"/>
        </w:rPr>
        <w:tab/>
        <w:t>Ainda não publicado no Jornal Oficial.</w:t>
      </w:r>
    </w:p>
  </w:footnote>
  <w:footnote w:id="19">
    <w:p w:rsidR="00A038A8" w:rsidRPr="005A15D5" w:rsidRDefault="00A038A8" w:rsidP="00B60AC9">
      <w:pPr>
        <w:pStyle w:val="FootnoteText"/>
        <w:ind w:left="567" w:hanging="567"/>
        <w:rPr>
          <w:lang w:val="da-DK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da-DK"/>
        </w:rPr>
        <w:t xml:space="preserve"> </w:t>
      </w:r>
      <w:r w:rsidR="00B60AC9" w:rsidRPr="005A15D5">
        <w:rPr>
          <w:lang w:val="da-DK"/>
        </w:rPr>
        <w:tab/>
      </w:r>
      <w:r w:rsidRPr="005A15D5">
        <w:rPr>
          <w:lang w:val="da-DK"/>
        </w:rPr>
        <w:t>JO C 494 de 8.12.2021, p. 26.</w:t>
      </w:r>
    </w:p>
  </w:footnote>
  <w:footnote w:id="20">
    <w:p w:rsidR="00A038A8" w:rsidRPr="005A15D5" w:rsidRDefault="00A038A8" w:rsidP="00B60AC9">
      <w:pPr>
        <w:pStyle w:val="FootnoteText"/>
        <w:ind w:left="567" w:hanging="567"/>
        <w:rPr>
          <w:lang w:val="da-DK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da-DK"/>
        </w:rPr>
        <w:t xml:space="preserve"> </w:t>
      </w:r>
      <w:r w:rsidR="00B60AC9" w:rsidRPr="005A15D5">
        <w:rPr>
          <w:lang w:val="da-DK"/>
        </w:rPr>
        <w:tab/>
      </w:r>
      <w:r w:rsidRPr="005A15D5">
        <w:rPr>
          <w:lang w:val="da-DK"/>
        </w:rPr>
        <w:t>JO C 15 de 12.1.2022, p. 125.</w:t>
      </w:r>
    </w:p>
  </w:footnote>
  <w:footnote w:id="21">
    <w:p w:rsidR="00A038A8" w:rsidRPr="005A15D5" w:rsidRDefault="00A038A8" w:rsidP="00B60AC9">
      <w:pPr>
        <w:pStyle w:val="FootnoteText"/>
        <w:ind w:left="567" w:hanging="567"/>
        <w:rPr>
          <w:lang w:val="da-DK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da-DK"/>
        </w:rPr>
        <w:t xml:space="preserve"> </w:t>
      </w:r>
      <w:r w:rsidR="00B60AC9" w:rsidRPr="005A15D5">
        <w:rPr>
          <w:lang w:val="da-DK"/>
        </w:rPr>
        <w:tab/>
      </w:r>
      <w:r w:rsidRPr="005A15D5">
        <w:rPr>
          <w:lang w:val="da-DK"/>
        </w:rPr>
        <w:t>JO C 117 de 11.3.2022, p. 18.</w:t>
      </w:r>
    </w:p>
  </w:footnote>
  <w:footnote w:id="22">
    <w:p w:rsidR="00A038A8" w:rsidRPr="005A15D5" w:rsidRDefault="00A038A8" w:rsidP="00B60AC9">
      <w:pPr>
        <w:pStyle w:val="FootnoteText"/>
        <w:ind w:left="567" w:hanging="567"/>
        <w:rPr>
          <w:lang w:val="da-DK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da-DK"/>
        </w:rPr>
        <w:t xml:space="preserve"> </w:t>
      </w:r>
      <w:r w:rsidR="00B60AC9" w:rsidRPr="005A15D5">
        <w:rPr>
          <w:lang w:val="da-DK"/>
        </w:rPr>
        <w:tab/>
      </w:r>
      <w:r w:rsidR="007E52AE" w:rsidRPr="005A15D5">
        <w:rPr>
          <w:lang w:val="da-DK"/>
        </w:rPr>
        <w:t>JO C 125 de 5.4.2023, p. 100</w:t>
      </w:r>
      <w:r w:rsidRPr="005A15D5">
        <w:rPr>
          <w:lang w:val="da-DK"/>
        </w:rPr>
        <w:t>.</w:t>
      </w:r>
    </w:p>
  </w:footnote>
  <w:footnote w:id="23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Pr="005A15D5">
        <w:rPr>
          <w:lang w:val="fi-FI"/>
        </w:rPr>
        <w:t>JO C, C/2024/4207, 24.7.2024, ELI:</w:t>
      </w:r>
      <w:r w:rsidRPr="005A15D5">
        <w:rPr>
          <w:rStyle w:val="Emphasis"/>
          <w:i w:val="0"/>
          <w:color w:val="000000" w:themeColor="text1"/>
          <w:shd w:val="clear" w:color="auto" w:fill="FFFFFF"/>
          <w:lang w:val="fi-FI"/>
        </w:rPr>
        <w:t> </w:t>
      </w:r>
      <w:hyperlink r:id="rId13" w:history="1">
        <w:r w:rsidR="003C1D6D" w:rsidRPr="005A15D5">
          <w:rPr>
            <w:rStyle w:val="Hyperlink"/>
            <w:lang w:val="fi-FI"/>
          </w:rPr>
          <w:t>http://data.europa.eu/eli/C/2024/4207/oj</w:t>
        </w:r>
      </w:hyperlink>
      <w:r w:rsidRPr="005A15D5">
        <w:rPr>
          <w:rStyle w:val="Emphasis"/>
          <w:color w:val="000000" w:themeColor="text1"/>
          <w:shd w:val="clear" w:color="auto" w:fill="FFFFFF"/>
          <w:lang w:val="fi-FI"/>
        </w:rPr>
        <w:t>.</w:t>
      </w:r>
    </w:p>
  </w:footnote>
  <w:footnote w:id="24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Pr="005A15D5">
        <w:rPr>
          <w:lang w:val="fi-FI"/>
        </w:rPr>
        <w:t xml:space="preserve">JO C, C/2024/4225, 24.7.2024, ELI: </w:t>
      </w:r>
      <w:hyperlink r:id="rId14" w:history="1">
        <w:r w:rsidRPr="005A15D5">
          <w:rPr>
            <w:rStyle w:val="Hyperlink"/>
            <w:lang w:val="fi-FI"/>
          </w:rPr>
          <w:t>http://data.europa.eu/eli/C/2024/4225/oj</w:t>
        </w:r>
      </w:hyperlink>
      <w:r w:rsidRPr="005A15D5">
        <w:rPr>
          <w:lang w:val="fi-FI"/>
        </w:rPr>
        <w:t>.</w:t>
      </w:r>
    </w:p>
  </w:footnote>
  <w:footnote w:id="25">
    <w:p w:rsidR="00A038A8" w:rsidRPr="005A15D5" w:rsidRDefault="00A038A8" w:rsidP="00B60AC9">
      <w:pPr>
        <w:pStyle w:val="FootnoteText"/>
        <w:ind w:left="567" w:hanging="567"/>
        <w:rPr>
          <w:lang w:val="fi-FI"/>
        </w:rPr>
      </w:pPr>
      <w:r w:rsidRPr="00B60AC9">
        <w:rPr>
          <w:rStyle w:val="FootnoteReference"/>
          <w:lang w:val="pt-PT"/>
        </w:rPr>
        <w:footnoteRef/>
      </w:r>
      <w:r w:rsidR="00B60AC9" w:rsidRPr="005A15D5">
        <w:rPr>
          <w:lang w:val="fi-FI"/>
        </w:rPr>
        <w:t xml:space="preserve"> </w:t>
      </w:r>
      <w:r w:rsidR="00B60AC9" w:rsidRPr="005A15D5">
        <w:rPr>
          <w:lang w:val="fi-FI"/>
        </w:rPr>
        <w:tab/>
      </w:r>
      <w:r w:rsidRPr="005A15D5">
        <w:rPr>
          <w:lang w:val="fi-FI"/>
        </w:rPr>
        <w:t xml:space="preserve">JO C, C/2024/6562, 12.11.2024, ELI: </w:t>
      </w:r>
      <w:hyperlink r:id="rId15" w:history="1">
        <w:r w:rsidRPr="005A15D5">
          <w:rPr>
            <w:rStyle w:val="Hyperlink"/>
            <w:lang w:val="fi-FI"/>
          </w:rPr>
          <w:t>http://data.europa.eu/eli/C/2024/6562/oj</w:t>
        </w:r>
      </w:hyperlink>
      <w:r w:rsidRPr="005A15D5">
        <w:rPr>
          <w:lang w:val="fi-FI"/>
        </w:rPr>
        <w:t>.</w:t>
      </w:r>
    </w:p>
  </w:footnote>
  <w:footnote w:id="26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r w:rsidRPr="00B60AC9">
        <w:rPr>
          <w:lang w:val="pt-PT"/>
        </w:rPr>
        <w:t xml:space="preserve">Comissão Europeia, </w:t>
      </w:r>
      <w:r w:rsidRPr="00B60AC9">
        <w:rPr>
          <w:i/>
          <w:lang w:val="pt-PT"/>
        </w:rPr>
        <w:t>Nono relatório sobre a coesão económica, social e territorial</w:t>
      </w:r>
      <w:r w:rsidRPr="00B60AC9">
        <w:rPr>
          <w:lang w:val="pt-PT"/>
        </w:rPr>
        <w:t>, op. cit.</w:t>
      </w:r>
    </w:p>
  </w:footnote>
  <w:footnote w:id="27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r w:rsidRPr="00B60AC9">
        <w:rPr>
          <w:lang w:val="pt-PT"/>
        </w:rPr>
        <w:t xml:space="preserve">Comissão Europeia: </w:t>
      </w:r>
      <w:r w:rsidRPr="00B60AC9">
        <w:rPr>
          <w:i/>
          <w:lang w:val="pt-PT"/>
        </w:rPr>
        <w:t>Nono relatório sobre a coesão económica, social e territorial</w:t>
      </w:r>
      <w:r w:rsidRPr="00B60AC9">
        <w:rPr>
          <w:lang w:val="pt-PT"/>
        </w:rPr>
        <w:t>, op. cit.</w:t>
      </w:r>
    </w:p>
  </w:footnote>
  <w:footnote w:id="28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r w:rsidRPr="00B60AC9">
        <w:rPr>
          <w:lang w:val="pt-PT"/>
        </w:rPr>
        <w:t>Comissão Europeia: Direção</w:t>
      </w:r>
      <w:r w:rsidRPr="00B60AC9">
        <w:rPr>
          <w:lang w:val="pt-PT"/>
        </w:rPr>
        <w:noBreakHyphen/>
        <w:t>Geral da Política Regional e Urbana e Direção</w:t>
      </w:r>
      <w:r w:rsidRPr="00B60AC9">
        <w:rPr>
          <w:lang w:val="pt-PT"/>
        </w:rPr>
        <w:noBreakHyphen/>
        <w:t xml:space="preserve">Geral da Comunicação, </w:t>
      </w:r>
      <w:r w:rsidRPr="00B60AC9">
        <w:rPr>
          <w:i/>
          <w:lang w:val="pt-PT"/>
        </w:rPr>
        <w:t>Sensibilização e perceção dos cidadãos em relação à Política Regional da UE</w:t>
      </w:r>
      <w:r w:rsidRPr="00B60AC9">
        <w:rPr>
          <w:lang w:val="pt-PT"/>
        </w:rPr>
        <w:t xml:space="preserve">, </w:t>
      </w:r>
      <w:proofErr w:type="spellStart"/>
      <w:r w:rsidRPr="00B60AC9">
        <w:rPr>
          <w:lang w:val="pt-PT"/>
        </w:rPr>
        <w:t>Eurobarómetro</w:t>
      </w:r>
      <w:proofErr w:type="spellEnd"/>
      <w:r w:rsidRPr="00B60AC9">
        <w:rPr>
          <w:lang w:val="pt-PT"/>
        </w:rPr>
        <w:t xml:space="preserve"> Flash 531, 2023.</w:t>
      </w:r>
    </w:p>
  </w:footnote>
  <w:footnote w:id="29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proofErr w:type="spellStart"/>
      <w:r w:rsidRPr="00B60AC9">
        <w:rPr>
          <w:lang w:val="pt-PT"/>
        </w:rPr>
        <w:t>Eurobarómetro</w:t>
      </w:r>
      <w:proofErr w:type="spellEnd"/>
      <w:r w:rsidRPr="00B60AC9">
        <w:rPr>
          <w:lang w:val="pt-PT"/>
        </w:rPr>
        <w:t xml:space="preserve"> Flash 531, op. cit.</w:t>
      </w:r>
    </w:p>
  </w:footnote>
  <w:footnote w:id="30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r w:rsidRPr="00B60AC9">
        <w:rPr>
          <w:lang w:val="pt-PT"/>
        </w:rPr>
        <w:t xml:space="preserve">Tribunal de Contas Europeu, </w:t>
      </w:r>
      <w:r w:rsidRPr="00B60AC9">
        <w:rPr>
          <w:i/>
          <w:lang w:val="pt-PT"/>
        </w:rPr>
        <w:t>Exame Rápido de Casos — Atribuição do financiamento da política de coesão aos Estados Membros no período de 2021</w:t>
      </w:r>
      <w:r w:rsidRPr="00B60AC9">
        <w:rPr>
          <w:i/>
          <w:lang w:val="pt-PT"/>
        </w:rPr>
        <w:noBreakHyphen/>
        <w:t>2027</w:t>
      </w:r>
      <w:r w:rsidRPr="00B60AC9">
        <w:rPr>
          <w:lang w:val="pt-PT"/>
        </w:rPr>
        <w:t>, março de 2019.</w:t>
      </w:r>
    </w:p>
  </w:footnote>
  <w:footnote w:id="31">
    <w:p w:rsidR="00A038A8" w:rsidRPr="00B60AC9" w:rsidRDefault="00A038A8" w:rsidP="00B60AC9">
      <w:pPr>
        <w:pStyle w:val="FootnoteText"/>
        <w:ind w:left="567" w:hanging="567"/>
        <w:rPr>
          <w:lang w:val="pt-PT"/>
        </w:rPr>
      </w:pPr>
      <w:r w:rsidRPr="00B60AC9">
        <w:rPr>
          <w:rStyle w:val="FootnoteReference"/>
          <w:lang w:val="pt-PT"/>
        </w:rPr>
        <w:footnoteRef/>
      </w:r>
      <w:r w:rsidR="00B60AC9" w:rsidRPr="00B60AC9">
        <w:rPr>
          <w:lang w:val="pt-PT"/>
        </w:rPr>
        <w:t xml:space="preserve"> </w:t>
      </w:r>
      <w:r w:rsidR="00B60AC9" w:rsidRPr="00B60AC9">
        <w:rPr>
          <w:lang w:val="pt-PT"/>
        </w:rPr>
        <w:tab/>
      </w:r>
      <w:r w:rsidRPr="00B60AC9">
        <w:rPr>
          <w:lang w:val="pt-PT"/>
        </w:rPr>
        <w:t>Comunicação da Comissão, de 29 de abril de 2021, intitulada «Orientações relativas aos auxílios estatais com finalidade regional» (JO C 153 de 29.4.2021, p.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A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A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0A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6/2025"/>
    <w:docVar w:name="dvlangue" w:val="PT"/>
    <w:docVar w:name="dvnumam" w:val="0"/>
    <w:docVar w:name="dvpe" w:val="766.926"/>
    <w:docVar w:name="dvrapporteur" w:val="Relator: "/>
    <w:docVar w:name="dvtitre" w:val="Resolução do Parlamento Europeu, de ... de ... de 2025,_x000d__x000a_ sobre o nono relatório sobre a coesão económica e social(2024/2107(INI))"/>
  </w:docVars>
  <w:rsids>
    <w:rsidRoot w:val="002F6A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AE4"/>
    <w:rsid w:val="00343214"/>
    <w:rsid w:val="00361C00"/>
    <w:rsid w:val="00395FA1"/>
    <w:rsid w:val="003C1D6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5D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2A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8A8"/>
    <w:rsid w:val="00A1687D"/>
    <w:rsid w:val="00A43E52"/>
    <w:rsid w:val="00A4678D"/>
    <w:rsid w:val="00A46F7C"/>
    <w:rsid w:val="00A60654"/>
    <w:rsid w:val="00A778C7"/>
    <w:rsid w:val="00AB441E"/>
    <w:rsid w:val="00AB6293"/>
    <w:rsid w:val="00AE0928"/>
    <w:rsid w:val="00AF3B82"/>
    <w:rsid w:val="00B12E95"/>
    <w:rsid w:val="00B22876"/>
    <w:rsid w:val="00B558F0"/>
    <w:rsid w:val="00B60AC9"/>
    <w:rsid w:val="00BD48FE"/>
    <w:rsid w:val="00BD7BD8"/>
    <w:rsid w:val="00BE6ADC"/>
    <w:rsid w:val="00C05BFE"/>
    <w:rsid w:val="00C23CD4"/>
    <w:rsid w:val="00C3271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EDA1B"/>
  <w15:chartTrackingRefBased/>
  <w15:docId w15:val="{57D59DA3-CEAD-4B9A-BCA5-60B453F5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7E52AE"/>
    <w:pPr>
      <w:keepLines/>
      <w:widowControl/>
      <w:spacing w:line="260" w:lineRule="exact"/>
      <w:ind w:left="425" w:hanging="425"/>
    </w:pPr>
    <w:rPr>
      <w:lang w:val="fr-FR" w:eastAsia="fr-FR"/>
    </w:rPr>
  </w:style>
  <w:style w:type="character" w:customStyle="1" w:styleId="FootnoteTextChar">
    <w:name w:val="Footnote Text Char"/>
    <w:link w:val="FootnoteText"/>
    <w:rsid w:val="007E52AE"/>
    <w:rPr>
      <w:sz w:val="24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38A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A038A8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A038A8"/>
    <w:rPr>
      <w:i/>
    </w:rPr>
  </w:style>
  <w:style w:type="character" w:customStyle="1" w:styleId="NormalHanging12aChar">
    <w:name w:val="NormalHanging12a Char"/>
    <w:basedOn w:val="DefaultParagraphFont"/>
    <w:link w:val="NormalHanging12a"/>
    <w:rsid w:val="00A038A8"/>
    <w:rPr>
      <w:snapToGrid w:val="0"/>
      <w:sz w:val="24"/>
      <w:lang w:val="pt-PT" w:eastAsia="en-US"/>
    </w:rPr>
  </w:style>
  <w:style w:type="character" w:styleId="Emphasis">
    <w:name w:val="Emphasis"/>
    <w:basedOn w:val="DefaultParagraphFont"/>
    <w:uiPriority w:val="20"/>
    <w:qFormat/>
    <w:rsid w:val="00A038A8"/>
    <w:rPr>
      <w:i/>
      <w:iCs/>
    </w:rPr>
  </w:style>
  <w:style w:type="character" w:styleId="Hyperlink">
    <w:name w:val="Hyperlink"/>
    <w:basedOn w:val="DefaultParagraphFont"/>
    <w:uiPriority w:val="99"/>
    <w:unhideWhenUsed/>
    <w:rsid w:val="00A038A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E52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52AE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558/oj" TargetMode="External"/><Relationship Id="rId13" Type="http://schemas.openxmlformats.org/officeDocument/2006/relationships/hyperlink" Target="http://data.europa.eu/eli/C/2024/4207/oj" TargetMode="External"/><Relationship Id="rId3" Type="http://schemas.openxmlformats.org/officeDocument/2006/relationships/hyperlink" Target="http://data.europa.eu/eli/reg/2021/1059/oj" TargetMode="External"/><Relationship Id="rId7" Type="http://schemas.openxmlformats.org/officeDocument/2006/relationships/hyperlink" Target="http://data.europa.eu/eli/reg/2020/460/oj" TargetMode="External"/><Relationship Id="rId12" Type="http://schemas.openxmlformats.org/officeDocument/2006/relationships/hyperlink" Target="http://data.europa.eu/eli/reg/2022/2039/oj" TargetMode="External"/><Relationship Id="rId2" Type="http://schemas.openxmlformats.org/officeDocument/2006/relationships/hyperlink" Target="http://data.europa.eu/eli/reg/2021/1058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22/562/oj" TargetMode="External"/><Relationship Id="rId5" Type="http://schemas.openxmlformats.org/officeDocument/2006/relationships/hyperlink" Target="http://data.europa.eu/eli/reg/2021/1056/oj" TargetMode="External"/><Relationship Id="rId15" Type="http://schemas.openxmlformats.org/officeDocument/2006/relationships/hyperlink" Target="http://data.europa.eu/eli/C/2024/6562/oj" TargetMode="External"/><Relationship Id="rId10" Type="http://schemas.openxmlformats.org/officeDocument/2006/relationships/hyperlink" Target="http://data.europa.eu/eli/reg/2020/2221/oj" TargetMode="External"/><Relationship Id="rId4" Type="http://schemas.openxmlformats.org/officeDocument/2006/relationships/hyperlink" Target="http://data.europa.eu/eli/reg/2021/1057/oj" TargetMode="External"/><Relationship Id="rId9" Type="http://schemas.openxmlformats.org/officeDocument/2006/relationships/hyperlink" Target="http://data.europa.eu/eli/reg/2020/461/oj" TargetMode="External"/><Relationship Id="rId14" Type="http://schemas.openxmlformats.org/officeDocument/2006/relationships/hyperlink" Target="http://data.europa.eu/eli/C/2024/42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B7BC-DE54-44E8-9474-B3840AF7B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6684</Words>
  <Characters>38105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2025-05-08T11:43:00Z</dcterms:created>
  <dcterms:modified xsi:type="dcterms:W3CDTF">2025-05-08T11:43:00Z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A10-0066/2025</vt:lpwstr>
  </property>
  <property fmtid="{D5CDD505-2E9C-101B-9397-08002B2CF9AE}" pid="4" name="&lt;Type&gt;">
    <vt:lpwstr>RR</vt:lpwstr>
  </property>
</Properties>
</file>