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FB314C" w14:paraId="442100B6" w14:textId="77777777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E2FC19" w14:textId="77777777" w:rsidR="00FB314C" w:rsidRDefault="006A104C">
            <w:pPr>
              <w:pStyle w:val="EPName"/>
            </w:pPr>
            <w:r>
              <w:t>Európsky parlament</w:t>
            </w:r>
          </w:p>
          <w:p w14:paraId="36EE413F" w14:textId="77777777" w:rsidR="00FB314C" w:rsidRDefault="006A104C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D49D298" w14:textId="77777777" w:rsidR="00FB314C" w:rsidRDefault="006A104C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 wp14:anchorId="3D4F870D" wp14:editId="2EFCD6A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252ABF" w14:textId="77777777" w:rsidR="00FB314C" w:rsidRDefault="00FB314C">
      <w:pPr>
        <w:pStyle w:val="LineTop"/>
      </w:pPr>
    </w:p>
    <w:p w14:paraId="49E5B90D" w14:textId="77777777" w:rsidR="00FB314C" w:rsidRDefault="006A104C">
      <w:pPr>
        <w:pStyle w:val="EPBodyTA1"/>
      </w:pPr>
      <w:r>
        <w:t>PRIJATÉ TEXTY</w:t>
      </w:r>
    </w:p>
    <w:p w14:paraId="0CF9157F" w14:textId="77777777" w:rsidR="00FB314C" w:rsidRDefault="00FB314C">
      <w:pPr>
        <w:pStyle w:val="LineBottom"/>
      </w:pPr>
    </w:p>
    <w:p w14:paraId="4ABA6095" w14:textId="77777777" w:rsidR="00FB314C" w:rsidRDefault="006A104C">
      <w:pPr>
        <w:pStyle w:val="ATHeading1"/>
      </w:pPr>
      <w:bookmarkStart w:id="0" w:name="TANumber"/>
      <w:r>
        <w:t>P10_TA(2025)0098</w:t>
      </w:r>
      <w:bookmarkEnd w:id="0"/>
    </w:p>
    <w:p w14:paraId="6B181DDA" w14:textId="77777777" w:rsidR="00FB314C" w:rsidRDefault="006A104C">
      <w:pPr>
        <w:pStyle w:val="ATHeading2"/>
      </w:pPr>
      <w:bookmarkStart w:id="1" w:name="title"/>
      <w:r>
        <w:t>Deviata správa o hospodárskej a sociálnej súdržnosti</w:t>
      </w:r>
      <w:bookmarkEnd w:id="1"/>
    </w:p>
    <w:p w14:paraId="173E195A" w14:textId="77777777" w:rsidR="00FB314C" w:rsidRDefault="006A104C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A10-0066/2025</w:instrText>
      </w:r>
      <w:bookmarkEnd w:id="2"/>
      <w:r>
        <w:rPr>
          <w:i/>
        </w:rPr>
        <w:instrText xml:space="preserve"> - Spravodajca: </w:instrText>
      </w:r>
      <w:proofErr w:type="spellStart"/>
      <w:r>
        <w:rPr>
          <w:i/>
        </w:rPr>
        <w:instrText>Jacek</w:instrText>
      </w:r>
      <w:proofErr w:type="spellEnd"/>
      <w:r>
        <w:rPr>
          <w:i/>
        </w:rPr>
        <w:instrText xml:space="preserve"> </w:instrText>
      </w:r>
      <w:proofErr w:type="spellStart"/>
      <w:r>
        <w:rPr>
          <w:i/>
        </w:rPr>
        <w:instrText>Protas</w:instrText>
      </w:r>
      <w:proofErr w:type="spellEnd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14:paraId="445F4D90" w14:textId="77777777" w:rsidR="00FB314C" w:rsidRDefault="006A104C">
      <w:pPr>
        <w:rPr>
          <w:vanish/>
        </w:rPr>
      </w:pPr>
      <w:bookmarkStart w:id="3" w:name="Commission"/>
      <w:r>
        <w:rPr>
          <w:vanish/>
        </w:rPr>
        <w:t>Výbor pre regionálny rozvoj</w:t>
      </w:r>
      <w:bookmarkEnd w:id="3"/>
    </w:p>
    <w:p w14:paraId="172F6C2D" w14:textId="77777777" w:rsidR="00FB314C" w:rsidRDefault="006A104C">
      <w:pPr>
        <w:rPr>
          <w:vanish/>
        </w:rPr>
      </w:pPr>
      <w:bookmarkStart w:id="4" w:name="PE"/>
      <w:r>
        <w:rPr>
          <w:vanish/>
        </w:rPr>
        <w:t>PE766.926</w:t>
      </w:r>
      <w:bookmarkEnd w:id="4"/>
    </w:p>
    <w:p w14:paraId="1155AC2E" w14:textId="77777777" w:rsidR="00FB314C" w:rsidRDefault="006A104C">
      <w:pPr>
        <w:pStyle w:val="ATHeading3"/>
      </w:pPr>
      <w:bookmarkStart w:id="5" w:name="Sujet"/>
      <w:r>
        <w:t xml:space="preserve">Uznesenie </w:t>
      </w:r>
      <w:r>
        <w:t>Európskeho parlamentu z 8. mája 2025 o deviatej správe o hospodárskej a sociálnej súdržnosti</w:t>
      </w:r>
      <w:bookmarkEnd w:id="5"/>
      <w:r>
        <w:t xml:space="preserve"> </w:t>
      </w:r>
      <w:bookmarkStart w:id="6" w:name="References"/>
      <w:r>
        <w:t>(2024/2107(INI))</w:t>
      </w:r>
      <w:bookmarkEnd w:id="6"/>
    </w:p>
    <w:p w14:paraId="1EBB0C2C" w14:textId="77777777" w:rsidR="00FB314C" w:rsidRDefault="006A104C">
      <w:pPr>
        <w:pStyle w:val="EPComma"/>
      </w:pPr>
      <w:r>
        <w:rPr>
          <w:rStyle w:val="Italic"/>
        </w:rPr>
        <w:t>Európsky parlament</w:t>
      </w:r>
      <w:r>
        <w:t>,</w:t>
      </w:r>
    </w:p>
    <w:p w14:paraId="08CEB4F3" w14:textId="77777777" w:rsidR="00FB314C" w:rsidRDefault="006A104C">
      <w:pPr>
        <w:pStyle w:val="NormalHanging12a"/>
      </w:pPr>
      <w:r>
        <w:t>–</w:t>
      </w:r>
      <w:r>
        <w:tab/>
      </w:r>
      <w:r>
        <w:t>so zreteľom na články 2 a 3 Zmluvy o Európskej únii,</w:t>
      </w:r>
    </w:p>
    <w:p w14:paraId="7D009442" w14:textId="77777777" w:rsidR="00FB314C" w:rsidRDefault="006A104C">
      <w:pPr>
        <w:pStyle w:val="NormalHanging12a"/>
      </w:pPr>
      <w:r>
        <w:t>–</w:t>
      </w:r>
      <w:r>
        <w:tab/>
      </w:r>
      <w:r>
        <w:t>so zreteľom na článok 4, článok 162, články 174 až 178 a článok 349 Zmluvy o fungovaní Európskej únie (ďalej len „ZFEÚ“),</w:t>
      </w:r>
    </w:p>
    <w:p w14:paraId="1A449AD8" w14:textId="77777777" w:rsidR="00FB314C" w:rsidRDefault="006A104C">
      <w:pPr>
        <w:pStyle w:val="NormalHanging12a"/>
      </w:pPr>
      <w:r>
        <w:t>–</w:t>
      </w:r>
      <w:r>
        <w:tab/>
      </w:r>
      <w:r>
        <w:t xml:space="preserve">so zreteľom na nariadenie Európskeho parlamentu a Rady (EÚ) 2021/1060 z 24. júna 2021, ktorým sa stanovujú spoločné ustanovenia o Európskom fonde regionálneho rozvoja, Európskom sociálnom fonde plus, Kohéznom fonde, Fonde na spravodlivú transformáciu a Európskom námornom, rybolovnom a </w:t>
      </w:r>
      <w:proofErr w:type="spellStart"/>
      <w:r>
        <w:t>akvakultúrnom</w:t>
      </w:r>
      <w:proofErr w:type="spellEnd"/>
      <w:r>
        <w:t xml:space="preserve"> fonde a rozpočtové pravidlá pre uvedené fondy, ako aj pre Fond pre azyl, migráciu a integráciu, Fond pre vnútornú bezpečnosť a Nástroj finančnej podpory na riadenie hraníc a vízovú politiku</w:t>
      </w:r>
      <w:r>
        <w:rPr>
          <w:rStyle w:val="FootnoteReference"/>
        </w:rPr>
        <w:footnoteReference w:id="1"/>
      </w:r>
      <w:r>
        <w:t xml:space="preserve"> (ďalej len „nariadenie o spoločných ustanoveniach“),</w:t>
      </w:r>
    </w:p>
    <w:p w14:paraId="54F5157A" w14:textId="77777777" w:rsidR="00FB314C" w:rsidRDefault="006A104C">
      <w:pPr>
        <w:pStyle w:val="NormalHanging12a"/>
      </w:pPr>
      <w:r>
        <w:t>–</w:t>
      </w:r>
      <w:r>
        <w:tab/>
      </w:r>
      <w:r>
        <w:t>so zreteľom na nariadenie Európskeho parlamentu a Rady (EÚ) 2021/1058 z 24. júna 2021 o Európskom fonde regionálneho rozvoja a Kohéznom fonde</w:t>
      </w:r>
      <w:r>
        <w:rPr>
          <w:rStyle w:val="FootnoteReference"/>
        </w:rPr>
        <w:footnoteReference w:id="2"/>
      </w:r>
      <w:r>
        <w:t>,</w:t>
      </w:r>
    </w:p>
    <w:p w14:paraId="5945CE53" w14:textId="77777777" w:rsidR="00FB314C" w:rsidRDefault="006A104C">
      <w:pPr>
        <w:pStyle w:val="NormalHanging12a"/>
      </w:pPr>
      <w:r>
        <w:t>–</w:t>
      </w:r>
      <w:r>
        <w:tab/>
      </w:r>
      <w:r>
        <w:t xml:space="preserve">so zreteľom na </w:t>
      </w:r>
      <w:r>
        <w:t>nariadenie Európskeho parlamentu a Rady (EÚ) 2021/1059 z 24. júna 2021 o osobitných ustanoveniach týkajúcich sa cieľa Európska územná spolupráca (</w:t>
      </w:r>
      <w:proofErr w:type="spellStart"/>
      <w:r>
        <w:t>Interreg</w:t>
      </w:r>
      <w:proofErr w:type="spellEnd"/>
      <w:r>
        <w:t>) podporovaného z Európskeho fondu regionálneho rozvoja a vonkajších finančných nástrojov</w:t>
      </w:r>
      <w:r>
        <w:rPr>
          <w:rStyle w:val="FootnoteReference"/>
        </w:rPr>
        <w:footnoteReference w:id="3"/>
      </w:r>
      <w:r>
        <w:t>,</w:t>
      </w:r>
    </w:p>
    <w:p w14:paraId="66091A4B" w14:textId="77777777" w:rsidR="00FB314C" w:rsidRDefault="006A104C">
      <w:pPr>
        <w:pStyle w:val="NormalHanging12a"/>
      </w:pPr>
      <w:r>
        <w:t>–</w:t>
      </w:r>
      <w:r>
        <w:tab/>
      </w:r>
      <w:r>
        <w:t>so zreteľom na nariadenie Európskeho parlamentu a Rady (EÚ) 2021/1057 z 24. júna 2021, ktorým sa zriaďuje Európsky sociálny fond plus (ESF+) a zrušuje nariadenie (EÚ) č. 1296/2013</w:t>
      </w:r>
      <w:r>
        <w:rPr>
          <w:rStyle w:val="FootnoteReference"/>
        </w:rPr>
        <w:footnoteReference w:id="4"/>
      </w:r>
      <w:r>
        <w:t>,</w:t>
      </w:r>
    </w:p>
    <w:p w14:paraId="0642AEC7" w14:textId="77777777" w:rsidR="00FB314C" w:rsidRDefault="006A104C">
      <w:pPr>
        <w:pStyle w:val="NormalHanging12a"/>
      </w:pPr>
      <w:r>
        <w:lastRenderedPageBreak/>
        <w:t>–</w:t>
      </w:r>
      <w:r>
        <w:tab/>
      </w:r>
      <w:r>
        <w:t>so zreteľom na nariadenie Európskeho parlamentu a Rady (EÚ) 2021/1056 z 24. júna 2021, ktorým sa zriaďuje Fond na spravodlivú transformáciu</w:t>
      </w:r>
      <w:r>
        <w:rPr>
          <w:rStyle w:val="FootnoteReference"/>
        </w:rPr>
        <w:footnoteReference w:id="5"/>
      </w:r>
      <w:r>
        <w:t>,</w:t>
      </w:r>
    </w:p>
    <w:p w14:paraId="4737C19D" w14:textId="77777777" w:rsidR="00FB314C" w:rsidRDefault="006A104C">
      <w:pPr>
        <w:pStyle w:val="NormalHanging12a"/>
      </w:pPr>
      <w:r>
        <w:t>–</w:t>
      </w:r>
      <w:r>
        <w:tab/>
      </w:r>
      <w:r>
        <w:t>so zreteľom na nariadenie Európskeho parlamentu a Rady (EÚ) 2021/2115 z 2. decembra 2021, ktorým sa stanovujú pravidlá podpory strategických plánov, ktoré majú zostaviť členské štáty v rámci spoločnej poľnohospodárskej politiky (strategické plány SPP) a ktoré sú financované z Európskeho poľnohospodárskeho záručného fondu (EPZF) a Európskeho poľnohospodárskeho fondu pre rozvoj vidieka (ďalej len „EPFRV“), a ktorým sa zrušujú nariadenia (EÚ) č. 1305/2013 a (EÚ) č. 1307/2013</w:t>
      </w:r>
      <w:r>
        <w:rPr>
          <w:rStyle w:val="FootnoteReference"/>
        </w:rPr>
        <w:footnoteReference w:id="6"/>
      </w:r>
      <w:r>
        <w:t>,</w:t>
      </w:r>
    </w:p>
    <w:p w14:paraId="410B7C27" w14:textId="77777777" w:rsidR="00FB314C" w:rsidRDefault="006A104C">
      <w:pPr>
        <w:pStyle w:val="NormalHanging12a"/>
      </w:pPr>
      <w:r>
        <w:t>–</w:t>
      </w:r>
      <w:r>
        <w:tab/>
      </w:r>
      <w:r>
        <w:t>so zreteľom na nariadenie Európskeho parlamentu a Rady (EÚ) 2020/460 z 30. marca 2020, ktorým sa menia nariadenia (EÚ) č. 1301/2013, (EÚ) č. 1303/2013 a (EÚ) č. 508/2014, pokiaľ ide o osobitné opatrenia na mobilizáciu investícií v systémoch zdravotnej starostlivosti členských štátov a v iných odvetviach ich hospodárstiev v reakcii na výskyt ochorenia COVID-19 (Investičná iniciatíva v reakcii na koronavírus)</w:t>
      </w:r>
      <w:r>
        <w:rPr>
          <w:rStyle w:val="FootnoteReference"/>
        </w:rPr>
        <w:footnoteReference w:id="7"/>
      </w:r>
      <w:r>
        <w:t>,</w:t>
      </w:r>
    </w:p>
    <w:p w14:paraId="70A6AF05" w14:textId="77777777" w:rsidR="00FB314C" w:rsidRDefault="006A104C">
      <w:pPr>
        <w:pStyle w:val="NormalHanging12a"/>
      </w:pPr>
      <w:r>
        <w:t>–</w:t>
      </w:r>
      <w:r>
        <w:tab/>
      </w:r>
      <w:r>
        <w:t>so zreteľom na nariadenie Európskeho parlamentu a Rady (EÚ) 2020/558 z 23. apríla 2020, ktorým sa menia nariadenia (EÚ) č. 1301/2013 a (EÚ) č. 1303/2013, pokiaľ ide o špecifické opatrenia na zabezpečenie mimoriadnej flexibility pri využívaní európskych štrukturálnych a investičných fondov v reakcii na výskyt ochorenia COVID-19</w:t>
      </w:r>
      <w:r>
        <w:rPr>
          <w:rStyle w:val="FootnoteReference"/>
        </w:rPr>
        <w:footnoteReference w:id="8"/>
      </w:r>
      <w:r>
        <w:t>,</w:t>
      </w:r>
    </w:p>
    <w:p w14:paraId="45953E43" w14:textId="77777777" w:rsidR="00FB314C" w:rsidRDefault="006A104C">
      <w:pPr>
        <w:pStyle w:val="NormalHanging12a"/>
      </w:pPr>
      <w:r>
        <w:t>–</w:t>
      </w:r>
      <w:r>
        <w:tab/>
      </w:r>
      <w:r>
        <w:t>so zreteľom na nariadenie Európskeho parlamentu a Rady (EÚ) 2020/461 z 30. marca 2020, ktorým sa mení nariadenie Rady (ES) č. 2012/2002 s cieľom poskytnúť finančnú pomoc členským štátom a krajinám rokujúcim o pristúpení k Únii, ktoré sú vážne postihnuté závažným ohrozením verejného zdravia</w:t>
      </w:r>
      <w:r>
        <w:rPr>
          <w:rStyle w:val="FootnoteReference"/>
        </w:rPr>
        <w:footnoteReference w:id="9"/>
      </w:r>
      <w:r>
        <w:t>,</w:t>
      </w:r>
    </w:p>
    <w:p w14:paraId="09827C77" w14:textId="77777777" w:rsidR="00FB314C" w:rsidRDefault="006A104C">
      <w:pPr>
        <w:pStyle w:val="NormalHanging12a"/>
      </w:pPr>
      <w:r>
        <w:t>–</w:t>
      </w:r>
      <w:r>
        <w:tab/>
      </w:r>
      <w:r>
        <w:t>so zreteľom na nariadenie Európskeho parlamentu a Rady (EÚ) 2020/2221 z 23. decembra 2020, ktorým sa mení nariadenie (EÚ) č. 1303/2013, pokiaľ ide o dodatočné zdroje a vykonávacie opatrenia na poskytovanie pomoci na podporu obnovy po kríze spojenej s pandémiou ochorenia COVID-19 vrátane jej sociálnych dôsledkov a na prípravu zeleného, digitálneho a odolného oživenia hospodárstva (REACT-EU)</w:t>
      </w:r>
      <w:r>
        <w:rPr>
          <w:rStyle w:val="FootnoteReference"/>
        </w:rPr>
        <w:footnoteReference w:id="10"/>
      </w:r>
      <w:r>
        <w:t>,</w:t>
      </w:r>
    </w:p>
    <w:p w14:paraId="6DED98D3" w14:textId="77777777" w:rsidR="00FB314C" w:rsidRDefault="006A104C">
      <w:pPr>
        <w:pStyle w:val="NormalHanging12a"/>
      </w:pPr>
      <w:r>
        <w:t>–</w:t>
      </w:r>
      <w:r>
        <w:tab/>
      </w:r>
      <w:r>
        <w:t>so zreteľom na nariadenie Európskeho parlamentu a Rady (EÚ) 2022/562 zo 6. apríla 2022, ktorým sa menia nariadenia (EÚ) č. 1303/2013 a (EÚ) č. 223/2014, pokiaľ ide o Kohézne opatrenia na podporu utečencov v Európe (CARE)</w:t>
      </w:r>
      <w:r>
        <w:rPr>
          <w:rStyle w:val="FootnoteReference"/>
        </w:rPr>
        <w:footnoteReference w:id="11"/>
      </w:r>
      <w:r>
        <w:t>,</w:t>
      </w:r>
    </w:p>
    <w:p w14:paraId="4F0CCE50" w14:textId="77777777" w:rsidR="00FB314C" w:rsidRDefault="006A104C">
      <w:pPr>
        <w:pStyle w:val="NormalHanging12a"/>
      </w:pPr>
      <w:r>
        <w:t>–</w:t>
      </w:r>
      <w:r>
        <w:tab/>
      </w:r>
      <w:r>
        <w:t>so zreteľom na nariadenie Európskeho parlamentu a Rady (EÚ) 2022/2039 z 19. októbra 2022, ktorým sa menia nariadenia (EÚ) č. 1303/2013 a (EÚ) 2021/1060, pokiaľ ide o dodatočnú flexibilitu na riešenie dôsledkov vojenskej agresie Ruskej federácie FAST (Flexibilná pomoc územiam) – CARE</w:t>
      </w:r>
      <w:r>
        <w:rPr>
          <w:rStyle w:val="FootnoteReference"/>
        </w:rPr>
        <w:footnoteReference w:id="12"/>
      </w:r>
      <w:r>
        <w:t>,</w:t>
      </w:r>
    </w:p>
    <w:p w14:paraId="3953B00D" w14:textId="77777777" w:rsidR="00FB314C" w:rsidRDefault="006A104C">
      <w:pPr>
        <w:pStyle w:val="NormalHanging12a"/>
      </w:pPr>
      <w:r>
        <w:lastRenderedPageBreak/>
        <w:t>–</w:t>
      </w:r>
      <w:r>
        <w:tab/>
      </w:r>
      <w:r>
        <w:t xml:space="preserve">so zreteľom na program URBACT pre </w:t>
      </w:r>
      <w:r>
        <w:t>udržateľnú spoluprácu miest, ktorý vznikol v roku 2002,</w:t>
      </w:r>
    </w:p>
    <w:p w14:paraId="5A95A628" w14:textId="77777777" w:rsidR="00FB314C" w:rsidRDefault="006A104C">
      <w:pPr>
        <w:pStyle w:val="NormalHanging12a"/>
        <w:rPr>
          <w:szCs w:val="24"/>
        </w:rPr>
      </w:pPr>
      <w:r>
        <w:t>–</w:t>
      </w:r>
      <w:r>
        <w:tab/>
      </w:r>
      <w:r>
        <w:t>so zreteľom na Urbánnu agendu pre EÚ z 30. mája 2016,</w:t>
      </w:r>
    </w:p>
    <w:p w14:paraId="3A1438A7" w14:textId="77777777" w:rsidR="00FB314C" w:rsidRDefault="006A104C">
      <w:pPr>
        <w:pStyle w:val="NormalHanging12a"/>
      </w:pPr>
      <w:r>
        <w:t>–</w:t>
      </w:r>
      <w:r>
        <w:tab/>
      </w:r>
      <w:r>
        <w:t>so zreteľom na Územnú agendu 2030 z 1. decembra 2020,</w:t>
      </w:r>
    </w:p>
    <w:p w14:paraId="34CE3CA1" w14:textId="77777777" w:rsidR="00FB314C" w:rsidRDefault="006A104C">
      <w:pPr>
        <w:pStyle w:val="NormalHanging12a"/>
      </w:pPr>
      <w:r>
        <w:t>–</w:t>
      </w:r>
      <w:r>
        <w:tab/>
      </w:r>
      <w:r>
        <w:t>so zreteľom na deviatu správu o súdržnosti, ktorú Komisia uverejnila 27. marca 2024</w:t>
      </w:r>
      <w:r>
        <w:rPr>
          <w:rStyle w:val="FootnoteReference"/>
        </w:rPr>
        <w:footnoteReference w:id="13"/>
      </w:r>
      <w:r>
        <w:t>, a na oznámenie Komisie z 27. marca 2024 o deviatej správe o súdržnosti (COM(2024)0149),</w:t>
      </w:r>
    </w:p>
    <w:p w14:paraId="66F8BDC9" w14:textId="77777777" w:rsidR="00FB314C" w:rsidRDefault="006A104C">
      <w:pPr>
        <w:pStyle w:val="NormalHanging12a"/>
      </w:pPr>
      <w:r>
        <w:t>–</w:t>
      </w:r>
      <w:r>
        <w:tab/>
      </w:r>
      <w:r>
        <w:t>so zreteľom na štúdiu s názvom Budúcnosť súdržnosti EÚ: scenáre a ich vplyv na regionálne nerovnosti, ktorú uverejnila Výskumná služba Európskeho parlamentu v decembri 2024,</w:t>
      </w:r>
    </w:p>
    <w:p w14:paraId="6F95A4EE" w14:textId="77777777" w:rsidR="00FB314C" w:rsidRDefault="006A104C">
      <w:pPr>
        <w:pStyle w:val="NormalHanging12a"/>
      </w:pPr>
      <w:r>
        <w:t>–</w:t>
      </w:r>
      <w:r>
        <w:tab/>
      </w:r>
      <w:r>
        <w:t>so zreteľom na správu Komisie z februára 2024 s názvom Budovanie udržateľnej budúcnosti spoločne – Súdržnosť pre konkurencieschopnú a inkluzívnu Európu</w:t>
      </w:r>
      <w:r>
        <w:rPr>
          <w:rStyle w:val="FootnoteReference"/>
        </w:rPr>
        <w:footnoteReference w:id="14"/>
      </w:r>
      <w:r>
        <w:t>,</w:t>
      </w:r>
    </w:p>
    <w:p w14:paraId="5AE5214A" w14:textId="77777777" w:rsidR="00FB314C" w:rsidRDefault="006A104C">
      <w:pPr>
        <w:pStyle w:val="NormalHanging12a"/>
      </w:pPr>
      <w:r>
        <w:t>–</w:t>
      </w:r>
      <w:r>
        <w:tab/>
      </w:r>
      <w:r>
        <w:t>so zreteľom na stanovisko Európskeho hospodárskeho a sociálneho výboru z 31. mája 2024 k deviatej správe Komisie o súdržnosti</w:t>
      </w:r>
      <w:r>
        <w:rPr>
          <w:rStyle w:val="FootnoteReference"/>
        </w:rPr>
        <w:footnoteReference w:id="15"/>
      </w:r>
      <w:r>
        <w:t>,</w:t>
      </w:r>
    </w:p>
    <w:p w14:paraId="233B0434" w14:textId="77777777" w:rsidR="00FB314C" w:rsidRDefault="006A104C">
      <w:pPr>
        <w:pStyle w:val="NormalHanging12a"/>
      </w:pPr>
      <w:r>
        <w:t>–</w:t>
      </w:r>
      <w:r>
        <w:tab/>
      </w:r>
      <w:r>
        <w:t>so zreteľom na stanovisko Výboru regiónov z 21. novembra 2024 s názvom Obnovená politika súdržnosti po roku 2027, pri ktorej sa na nikoho nezabudne – reakcia VR na 9. správu o súdržnosti a správu skupiny odborníkov na vysokej úrovni pre budúcnosť politiky súdržnosti,</w:t>
      </w:r>
    </w:p>
    <w:p w14:paraId="2A1CFD15" w14:textId="77777777" w:rsidR="00FB314C" w:rsidRDefault="006A104C">
      <w:pPr>
        <w:pStyle w:val="NormalHanging12a"/>
      </w:pPr>
      <w:r>
        <w:t>–</w:t>
      </w:r>
      <w:r>
        <w:tab/>
      </w:r>
      <w:r>
        <w:t>so zreteľom na správu s názvom Budúcnosť európskej konkurencieschopnosti – stratégia konkurencieschopnosti pre Európu, ktorú uverejnila Komisia 9. septembra 2024,</w:t>
      </w:r>
    </w:p>
    <w:p w14:paraId="3525DF54" w14:textId="77777777" w:rsidR="00FB314C" w:rsidRDefault="006A104C">
      <w:pPr>
        <w:pStyle w:val="NormalHanging12a"/>
      </w:pPr>
      <w:r>
        <w:t>–</w:t>
      </w:r>
      <w:r>
        <w:tab/>
      </w:r>
      <w:r>
        <w:t>so zreteľom na dohodu prijatú 12. decembra 2015 na 21. konferencii zmluvných strán Rámcového dohovoru OSN o zmene klímy (COP21) v Paríži (Parížska dohoda),</w:t>
      </w:r>
    </w:p>
    <w:p w14:paraId="08F5650C" w14:textId="77777777" w:rsidR="00FB314C" w:rsidRDefault="006A104C">
      <w:pPr>
        <w:pStyle w:val="NormalHanging12a"/>
      </w:pPr>
      <w:r>
        <w:t>–</w:t>
      </w:r>
      <w:r>
        <w:tab/>
      </w:r>
      <w:r>
        <w:t>so zreteľom na štúdiu s názvom Zjednodušenie kohéznych fondov EÚ: riešenie administratívnej záťaže a nadbytočnosti, ktorú uverejnilo generálne riaditeľstvo pre vnútorné politiky Únie v novembri 2024</w:t>
      </w:r>
      <w:r>
        <w:rPr>
          <w:rStyle w:val="FootnoteReference"/>
        </w:rPr>
        <w:footnoteReference w:id="16"/>
      </w:r>
      <w:r>
        <w:t>,</w:t>
      </w:r>
    </w:p>
    <w:p w14:paraId="4932346E" w14:textId="77777777" w:rsidR="00FB314C" w:rsidRDefault="006A104C">
      <w:pPr>
        <w:pStyle w:val="NormalHanging12a"/>
      </w:pPr>
      <w:r>
        <w:t>–</w:t>
      </w:r>
      <w:r>
        <w:tab/>
      </w:r>
      <w:r>
        <w:t>so zreteľom na nariadenie Európskeho parlamentu a Rady zo 7. mája 2025 o nástroji pre rozvoj a rast pohraničných regiónov v EÚ (</w:t>
      </w:r>
      <w:proofErr w:type="spellStart"/>
      <w:r>
        <w:t>BRIDGEforEU</w:t>
      </w:r>
      <w:proofErr w:type="spellEnd"/>
      <w:r>
        <w:t>)</w:t>
      </w:r>
      <w:r>
        <w:rPr>
          <w:rStyle w:val="FootnoteReference"/>
        </w:rPr>
        <w:footnoteReference w:id="17"/>
      </w:r>
      <w:r>
        <w:t>,</w:t>
      </w:r>
    </w:p>
    <w:p w14:paraId="26124D35" w14:textId="77777777" w:rsidR="00FB314C" w:rsidRDefault="006A104C">
      <w:pPr>
        <w:pStyle w:val="NormalHanging12a"/>
      </w:pPr>
      <w:r>
        <w:lastRenderedPageBreak/>
        <w:t>–</w:t>
      </w:r>
      <w:r>
        <w:tab/>
      </w:r>
      <w:r>
        <w:t>so zreteľom na oznámenie Komisie z 3. mája 2022 s názvom Ľudia na prvom mieste, zabezpečenie udržateľného a inkluzívneho rastu a využívanie potenciálu najvzdialenejších regiónov EÚ (COM(2022)0198),</w:t>
      </w:r>
    </w:p>
    <w:p w14:paraId="2728BDA7" w14:textId="77777777" w:rsidR="00FB314C" w:rsidRDefault="006A104C">
      <w:pPr>
        <w:pStyle w:val="NormalHanging12a"/>
      </w:pPr>
      <w:r>
        <w:t>–</w:t>
      </w:r>
      <w:r>
        <w:tab/>
      </w:r>
      <w:r>
        <w:t>so zreteľom na stanovisko vo forme listu Výboru pre poľnohospodárstvo a rozvoj vidieka</w:t>
      </w:r>
      <w:r>
        <w:rPr>
          <w:rStyle w:val="FootnoteReference"/>
        </w:rPr>
        <w:footnoteReference w:id="18"/>
      </w:r>
      <w:r>
        <w:t>,</w:t>
      </w:r>
    </w:p>
    <w:p w14:paraId="61006983" w14:textId="77777777" w:rsidR="00FB314C" w:rsidRDefault="006A104C">
      <w:pPr>
        <w:pStyle w:val="NormalHanging12a"/>
      </w:pPr>
      <w:r>
        <w:t>–</w:t>
      </w:r>
      <w:r>
        <w:tab/>
      </w:r>
      <w:r>
        <w:t>so zreteľom na svoje uznesenie z 25. marca 2021 o politike súdržnosti a regionálnych stratégiách v oblasti životného prostredia v boji proti zmene klímy</w:t>
      </w:r>
      <w:r>
        <w:rPr>
          <w:rStyle w:val="FootnoteReference"/>
        </w:rPr>
        <w:footnoteReference w:id="19"/>
      </w:r>
      <w:r>
        <w:t>,</w:t>
      </w:r>
    </w:p>
    <w:p w14:paraId="67DCA91E" w14:textId="77777777" w:rsidR="00FB314C" w:rsidRDefault="006A104C">
      <w:pPr>
        <w:pStyle w:val="NormalHanging12a"/>
        <w:rPr>
          <w:szCs w:val="24"/>
        </w:rPr>
      </w:pPr>
      <w:r>
        <w:t>–</w:t>
      </w:r>
      <w:r>
        <w:tab/>
      </w:r>
      <w:r>
        <w:t>so zreteľom na svoje uznesenie z 20. mája 2021 o zvrátení demografických trendov v regiónoch EÚ pomocou nástrojov politiky súdržnosti</w:t>
      </w:r>
      <w:r>
        <w:rPr>
          <w:rStyle w:val="FootnoteReference"/>
        </w:rPr>
        <w:footnoteReference w:id="20"/>
      </w:r>
      <w:r>
        <w:t>,</w:t>
      </w:r>
    </w:p>
    <w:p w14:paraId="1750DEA2" w14:textId="77777777" w:rsidR="00FB314C" w:rsidRDefault="006A104C">
      <w:pPr>
        <w:pStyle w:val="NormalHanging12a"/>
      </w:pPr>
      <w:r>
        <w:t>–</w:t>
      </w:r>
      <w:r>
        <w:tab/>
      </w:r>
      <w:r>
        <w:t>so zreteľom na svoje uznesenie zo 14. septembra 2021 o posilnení partnerstva s najvzdialenejšími regiónmi Únie</w:t>
      </w:r>
      <w:r>
        <w:rPr>
          <w:rStyle w:val="FootnoteReference"/>
        </w:rPr>
        <w:footnoteReference w:id="21"/>
      </w:r>
      <w:r>
        <w:t>,</w:t>
      </w:r>
    </w:p>
    <w:p w14:paraId="1479B490" w14:textId="77777777" w:rsidR="00FB314C" w:rsidRDefault="006A104C">
      <w:pPr>
        <w:pStyle w:val="NormalHanging12a"/>
      </w:pPr>
      <w:r>
        <w:t>–</w:t>
      </w:r>
      <w:r>
        <w:tab/>
      </w:r>
      <w:r>
        <w:t>so zreteľom na svoje uznesenie z 15. septembra 2022 o hospodárskej, sociálnej a územnej súdržnosti v EÚ: ôsma správa o súdržnosti</w:t>
      </w:r>
      <w:r>
        <w:rPr>
          <w:rStyle w:val="FootnoteReference"/>
        </w:rPr>
        <w:footnoteReference w:id="22"/>
      </w:r>
      <w:r>
        <w:t>,</w:t>
      </w:r>
    </w:p>
    <w:p w14:paraId="1C10A546" w14:textId="77777777" w:rsidR="00FB314C" w:rsidRDefault="006A104C">
      <w:pPr>
        <w:pStyle w:val="NormalHanging12a"/>
      </w:pPr>
      <w:r>
        <w:t>–</w:t>
      </w:r>
      <w:r>
        <w:tab/>
      </w:r>
      <w:r>
        <w:t>so zreteľom na svoje uznesenie z 21. novembra 2023 o možnostiach zvýšenia spoľahlivosti auditov a kontrol vykonávaných vnútroštátnymi orgánmi v rámci zdieľaného riadenia</w:t>
      </w:r>
      <w:r>
        <w:rPr>
          <w:rStyle w:val="FootnoteReference"/>
        </w:rPr>
        <w:footnoteReference w:id="23"/>
      </w:r>
      <w:r>
        <w:t>,</w:t>
      </w:r>
    </w:p>
    <w:p w14:paraId="45A1214E" w14:textId="77777777" w:rsidR="00FB314C" w:rsidRDefault="006A104C">
      <w:pPr>
        <w:pStyle w:val="NormalHanging12a"/>
      </w:pPr>
      <w:r>
        <w:t>–</w:t>
      </w:r>
      <w:r>
        <w:tab/>
      </w:r>
      <w:r>
        <w:t>so zreteľom na svoje uznesenie z 23. novembra 2023 o využití talentov v regiónoch Európy</w:t>
      </w:r>
      <w:r>
        <w:rPr>
          <w:rStyle w:val="FootnoteReference"/>
        </w:rPr>
        <w:footnoteReference w:id="24"/>
      </w:r>
      <w:r>
        <w:t>,</w:t>
      </w:r>
    </w:p>
    <w:p w14:paraId="518793FD" w14:textId="77777777" w:rsidR="00FB314C" w:rsidRDefault="006A104C">
      <w:pPr>
        <w:pStyle w:val="NormalHanging12a"/>
      </w:pPr>
      <w:r>
        <w:t>–</w:t>
      </w:r>
      <w:r>
        <w:tab/>
      </w:r>
      <w:r>
        <w:t>so zreteľom na uznesenie Európskeho parlamentu zo 14. marca 2024 s názvom Politika súdržnosti v období 2014 – 2020 – vykonávanie a výsledky v členských štátoch</w:t>
      </w:r>
      <w:r>
        <w:rPr>
          <w:rStyle w:val="FootnoteReference"/>
        </w:rPr>
        <w:footnoteReference w:id="25"/>
      </w:r>
      <w:r>
        <w:t>,</w:t>
      </w:r>
    </w:p>
    <w:p w14:paraId="594524E7" w14:textId="77777777" w:rsidR="00FB314C" w:rsidRDefault="006A104C">
      <w:pPr>
        <w:pStyle w:val="NormalHanging12a"/>
      </w:pPr>
      <w:r>
        <w:t>–</w:t>
      </w:r>
      <w:r>
        <w:tab/>
      </w:r>
      <w:r>
        <w:t>so zreteľom na článok 55 rokovacieho poriadku,</w:t>
      </w:r>
    </w:p>
    <w:p w14:paraId="4CA5A382" w14:textId="77777777" w:rsidR="00FB314C" w:rsidRDefault="006A104C">
      <w:pPr>
        <w:pStyle w:val="NormalHanging12a"/>
      </w:pPr>
      <w:r>
        <w:t>–</w:t>
      </w:r>
      <w:r>
        <w:tab/>
        <w:t xml:space="preserve">so </w:t>
      </w:r>
      <w:r>
        <w:t>zreteľom na správu Výboru pre regionálny rozvoj (A10-0066/2025),</w:t>
      </w:r>
    </w:p>
    <w:p w14:paraId="097E9A28" w14:textId="77777777" w:rsidR="00FB314C" w:rsidRDefault="006A104C">
      <w:pPr>
        <w:pStyle w:val="NormalHanging12a"/>
        <w:rPr>
          <w:szCs w:val="24"/>
        </w:rPr>
      </w:pPr>
      <w:r>
        <w:t>A.</w:t>
      </w:r>
      <w:r>
        <w:tab/>
        <w:t>keďže politika súdržnosti je jadrom politík EÚ a hlavným nástrojom EÚ na investovanie do udržateľného hospodárskeho, sociálneho a územného rozvoja v celej EÚ a prispieva k cieľom Zelenej dohody v kontexte jej viacročných finančných rámcov na roky 2014 – 2020 a 2021 – 2027; keďže politika súdržnosti, ako sa stanovuje v zmluvách, je základom pre dobre fungujúci a prosperujúci vnútorný trh tým, že podporuje rozvoj všetkých regiónov EÚ, a najmä tých menej rozvinutých;</w:t>
      </w:r>
    </w:p>
    <w:p w14:paraId="58ECA188" w14:textId="77777777" w:rsidR="00FB314C" w:rsidRDefault="006A104C">
      <w:pPr>
        <w:pStyle w:val="NormalHanging12a"/>
        <w:rPr>
          <w:szCs w:val="24"/>
        </w:rPr>
      </w:pPr>
      <w:r>
        <w:t>B.</w:t>
      </w:r>
      <w:r>
        <w:tab/>
        <w:t xml:space="preserve">keďže politikou súdržnosti sa podporuje hospodárska, sociálna a územná konvergencia v EÚ, najmä zvyšovaním hrubého domáceho produktu členských štátov, napríklad v členských štátoch EÚ zo strednej a východnej Európy, ktorý vzrástol zo 43 % priemeru </w:t>
      </w:r>
      <w:r>
        <w:lastRenderedPageBreak/>
        <w:t xml:space="preserve">EÚ v roku 1995 na približne 80 % v roku 2023; keďže v deviatej správe o súdržnosti sa zdôrazňuje, že do konca roka 2022 sa politikou súdržnosti podporilo viac ako 4,4 milióna podnikov, v ktorých sa vytvorilo viac ako 370 000 pracovných miest; keďže sa v nej tiež </w:t>
      </w:r>
      <w:r>
        <w:t>zdôrazňuje, že politika súdržnosti prináša významnú návratnosť investícií a že každé euro investované do programov na roky 2014 – 2020 a 2021 – 2027 prinesie do roku 2030 1,3 eura dodatočného HDP v Únii; keďže politika súdržnosti predstavovala v priemere približne 13 % celkových verejných investícií v EÚ</w:t>
      </w:r>
      <w:r>
        <w:rPr>
          <w:vertAlign w:val="superscript"/>
        </w:rPr>
        <w:footnoteReference w:id="26"/>
      </w:r>
      <w:r>
        <w:t>;</w:t>
      </w:r>
    </w:p>
    <w:p w14:paraId="08FDD6AB" w14:textId="77777777" w:rsidR="00FB314C" w:rsidRDefault="006A104C">
      <w:pPr>
        <w:pStyle w:val="NormalHanging12a"/>
        <w:rPr>
          <w:szCs w:val="24"/>
        </w:rPr>
      </w:pPr>
      <w:r>
        <w:t>C.</w:t>
      </w:r>
      <w:r>
        <w:tab/>
        <w:t>keďže v správe Komisie s názvom „Dlhodobá vízia pre vidiecke oblasti EÚ: hlavné úspechy a ďalší vývoj“, ktorá bola predložená spolu s deviatou správou o súdržnosti, sa zdôrazňuje, že 24,6 miliardy EUR, t. j. 8 % piliera spoločnej poľnohospodárskej politiky zameraného na rozvoj vidieka, smeruje do investícií vo vidieckych oblastiach nad rámec investícií do poľnohospodárstva, čím sa vytvára priestor na diskusiu o budúcnosti vidieckych oblastí;</w:t>
      </w:r>
    </w:p>
    <w:p w14:paraId="0D21260E" w14:textId="77777777" w:rsidR="00FB314C" w:rsidRDefault="006A104C">
      <w:pPr>
        <w:pStyle w:val="NormalHanging12a"/>
        <w:rPr>
          <w:szCs w:val="24"/>
        </w:rPr>
      </w:pPr>
      <w:r>
        <w:t>D.</w:t>
      </w:r>
      <w:r>
        <w:tab/>
        <w:t>keďže v rokoch 2021 až 2027 sa v rámci politiky súdržnosti investuje viac ako 140 miliárd EUR do súbežnej zelenej a digitálnej transformácie</w:t>
      </w:r>
      <w:r>
        <w:rPr>
          <w:rStyle w:val="FootnoteReference"/>
        </w:rPr>
        <w:footnoteReference w:id="27"/>
      </w:r>
      <w:r>
        <w:t xml:space="preserve"> s cieľom pomôcť zlepšiť siete a infraštruktúru, podporiť ochranu prírody, zlepšiť zelené a digitálne zručnosti a podporiť tvorbu pracovných miest a služieb pre verejnosť;</w:t>
      </w:r>
    </w:p>
    <w:p w14:paraId="4BBDA8F3" w14:textId="77777777" w:rsidR="00FB314C" w:rsidRDefault="006A104C">
      <w:pPr>
        <w:pStyle w:val="NormalHanging12a"/>
        <w:rPr>
          <w:szCs w:val="24"/>
        </w:rPr>
      </w:pPr>
      <w:r>
        <w:t>E.</w:t>
      </w:r>
      <w:r>
        <w:tab/>
        <w:t xml:space="preserve">keďže napriek všeobecne uznávanému a preukázanému pozitívnemu vplyvu politiky súdržnosti na sociálnu, hospodársku a územnú konvergenciu pretrvávajú značné problémy, najmä pokiaľ ide o rozdiely v rozvoji na nižšej ako celoštátnej úrovni, v rámci regiónov a v regiónoch, ktoré uviazli v pasci rozvoja, a o dosah zmeny klímy na demografiu, digitálnu a zelenú transformáciu a </w:t>
      </w:r>
      <w:proofErr w:type="spellStart"/>
      <w:r>
        <w:t>pripojiteľnosť</w:t>
      </w:r>
      <w:proofErr w:type="spellEnd"/>
      <w:r>
        <w:t>, ale tiež na udržateľný hospodársky rozvoj, najmä v najmenej rozvinutých regiónoch a vo vidieckych a vzdialených regiónoch;</w:t>
      </w:r>
    </w:p>
    <w:p w14:paraId="46073F27" w14:textId="77777777" w:rsidR="00FB314C" w:rsidRDefault="006A104C">
      <w:pPr>
        <w:pStyle w:val="NormalHanging12a"/>
        <w:rPr>
          <w:szCs w:val="24"/>
        </w:rPr>
      </w:pPr>
      <w:r>
        <w:t>F.</w:t>
      </w:r>
      <w:r>
        <w:tab/>
        <w:t xml:space="preserve">keďže politika súdržnosti a sektorové programy EÚ opakovane a efektívne pomáhajú regiónom účinne reagovať na núdzové situácie a asymetrické otrasy, akými boli napríklad kríza spôsobená ochorením COVID-19, </w:t>
      </w:r>
      <w:proofErr w:type="spellStart"/>
      <w:r>
        <w:t>brexit</w:t>
      </w:r>
      <w:proofErr w:type="spellEnd"/>
      <w:r>
        <w:t>, energetická kríza a utečenecká kríza spôsobená ruskou inváziou na Ukrajinu, ako aj prírodné katastrofy, hoci je to dlhodobá, štrukturálna politika, nie mechanizmus krízového riadenia ani mechanizmus finančnej pomoci, ktorý sa má „automaticky“ použiť v núdzových situáciách; keďže tieto krízy onesko</w:t>
      </w:r>
      <w:r>
        <w:t>rili vykonávanie európskych štrukturálnych a investičných fondov, zatiaľ čo značná časť projektov financovaných z finančných prostriedkov Mechanizmu na podporu obnovy a odolnosti (RRF) bola z veľkej časti prevzatá z projektov, ktoré boli určené na investície v rámci politiky súdržnosti;</w:t>
      </w:r>
    </w:p>
    <w:p w14:paraId="1F0EA2F2" w14:textId="77777777" w:rsidR="00FB314C" w:rsidRDefault="006A104C">
      <w:pPr>
        <w:pStyle w:val="NormalHanging12a"/>
        <w:rPr>
          <w:szCs w:val="24"/>
        </w:rPr>
      </w:pPr>
      <w:r>
        <w:t>G.</w:t>
      </w:r>
      <w:r>
        <w:tab/>
        <w:t xml:space="preserve">keďže napriek opatreniam, ktoré sa už prijali na obdobia 2014 – 2020 a 2021 – 2027, by sa regulačný rámec upravujúci využívanie a správu nástrojov a fondov politiky súdržnosti mal ešte viac zjednodušiť popri lepšom využívaní a vyvíjaní </w:t>
      </w:r>
      <w:proofErr w:type="spellStart"/>
      <w:r>
        <w:t>interoperabilných</w:t>
      </w:r>
      <w:proofErr w:type="spellEnd"/>
      <w:r>
        <w:t xml:space="preserve"> digitálnych nástrojov vrátane zriadenia digitalizovaných centier služieb na jednom mieste s cieľom zjednodušiť postupy, zvýšiť dôveru zainteresovaných strán, znížiť administratívnu záťaž, zvýšiť flexibilitu pri správe fondov a urýchliť platby nielen pre prí</w:t>
      </w:r>
      <w:r>
        <w:t xml:space="preserve">slušné orgány, ale aj pre konečných príjemcov; </w:t>
      </w:r>
      <w:r>
        <w:lastRenderedPageBreak/>
        <w:t>keďže je potrebné rozšíriť možnosti flexibilnejšieho využívania finančných prostriedkov vrátane možnosti financovať vývoj výrobkov s dvojakým použitím; keďže je mimoriadne dôležité, aby sa každá budúca politika súdržnosti tvorila so strategickým impulzom počas celého obdobia financovania, ktorý by sa však mohol prehodnotiť v polovici obdobia;</w:t>
      </w:r>
    </w:p>
    <w:p w14:paraId="0F8DE759" w14:textId="77777777" w:rsidR="00FB314C" w:rsidRDefault="006A104C">
      <w:pPr>
        <w:pStyle w:val="NormalHanging12a"/>
      </w:pPr>
      <w:r>
        <w:t>H.</w:t>
      </w:r>
      <w:r>
        <w:tab/>
        <w:t xml:space="preserve">keďže nízka miera, v súčasnosti iba 6 %, čerpania prostriedkov z fondov politiky súdržnosti na roky 2021 – 2027 nie je spôsobená nedostatočnou potrebou zo strany členských štátov alebo regiónov, ale skôr následkom oneskorení pri schvaľovaní operačných programov, prechodného obdobia medzi finančnými rámcami, uprednostňovania nástroja </w:t>
      </w:r>
      <w:proofErr w:type="spellStart"/>
      <w:r>
        <w:t>NextGenerationEU</w:t>
      </w:r>
      <w:proofErr w:type="spellEnd"/>
      <w:r>
        <w:t xml:space="preserve"> vnútroštátnymi riadiacimi orgánmi, obmedzených administratívnych kapacít a zložitých byrokratických postupov; keďže členské štáty a regióny sa nemusia ponáhľať</w:t>
      </w:r>
      <w:r>
        <w:t xml:space="preserve"> využiť všetky dostupné finančné prostriedky, pretože rátajú s možným predĺžením podľa pravidiel N + 2 alebo N + 3;</w:t>
      </w:r>
    </w:p>
    <w:p w14:paraId="51F0F51B" w14:textId="77777777" w:rsidR="00FB314C" w:rsidRDefault="006A104C">
      <w:pPr>
        <w:pStyle w:val="NormalHanging12a"/>
        <w:rPr>
          <w:szCs w:val="24"/>
        </w:rPr>
      </w:pPr>
      <w:r>
        <w:t>I.</w:t>
      </w:r>
      <w:r>
        <w:tab/>
        <w:t xml:space="preserve">keďže radikálne zmeny regulačného rámca súdržnosti medzi jednotlivými programovými obdobiami prispievajú k vzniku neistoty medzi zodpovednými orgánmi a príjemcami, tzv. </w:t>
      </w:r>
      <w:proofErr w:type="spellStart"/>
      <w:r>
        <w:t>gold-platingu</w:t>
      </w:r>
      <w:proofErr w:type="spellEnd"/>
      <w:r>
        <w:t xml:space="preserve"> právnych predpisov, k zvýšeniu chybovosti (a s ňou súvisiacim negatívnym vplyvom na dobré meno a finančným dôsledkom), oneskoreniam vo vykonávaní a v konečnom dôsledku k nespokojnosti príjemcov i širokej verejnosti;</w:t>
      </w:r>
    </w:p>
    <w:p w14:paraId="23F7FA5B" w14:textId="77777777" w:rsidR="00FB314C" w:rsidRDefault="006A104C">
      <w:pPr>
        <w:pStyle w:val="NormalHanging12a"/>
      </w:pPr>
      <w:r>
        <w:t>J.</w:t>
      </w:r>
      <w:r>
        <w:tab/>
        <w:t>keďže niekedy existuje konkurencia medzi kohéznymi fondmi, núdzovými fondmi a sektorovými politikami;</w:t>
      </w:r>
    </w:p>
    <w:p w14:paraId="7B4C3DF6" w14:textId="77777777" w:rsidR="00FB314C" w:rsidRDefault="006A104C">
      <w:pPr>
        <w:pStyle w:val="NormalHanging12a"/>
        <w:rPr>
          <w:szCs w:val="24"/>
        </w:rPr>
      </w:pPr>
      <w:r>
        <w:t>K.</w:t>
      </w:r>
      <w:r>
        <w:tab/>
        <w:t xml:space="preserve">keďže demografický vývoj je v jednotlivých regiónoch EÚ výrazne odlišný a predpokladá sa, že v niektorých členských štátoch bude počet </w:t>
      </w:r>
      <w:r>
        <w:t xml:space="preserve">obyvateľov v nadchádzajúcich rokoch klesať a v iných zase rásť; keďže k demografickým zmenám dochádza aj medzi regiónmi vrátane odchodu z najvzdialenejších regiónov, ale vo všeobecnosti sa považujú za odchody z vidieckych do mestských oblastí v rámci členských štátov, pričom ženy opúšťajú vidiecke oblasti vo väčšom počte ako muži, ale aj do metropolitných oblastí, kde sa obce v okolí veľkých miest stretávajú s ťažkosťami s investovaním do základnej infraštruktúry; keďže poskytovanie základných služieb, ako </w:t>
      </w:r>
      <w:r>
        <w:t>sú zdravotná starostlivosť, vzdelávanie a doprava treba posilniť vo všetkých regiónoch s osobitným zameraním na vidiecke a odľahlé oblasti; keďže treba klásť väčší dôraz na oblasti postihnuté vyľudňovaním a nedostatočnými službami, čo si vyžaduje cielené opatrenia na podporu zotrvávania mladých ľudí v podobe podnikateľských projektov, kvalitného poľnohospodárstva a udržateľného cestovného ruchu;</w:t>
      </w:r>
    </w:p>
    <w:p w14:paraId="36F1FC74" w14:textId="77777777" w:rsidR="00FB314C" w:rsidRDefault="006A104C">
      <w:pPr>
        <w:pStyle w:val="NormalHanging12a"/>
      </w:pPr>
      <w:r>
        <w:t>L.</w:t>
      </w:r>
      <w:r>
        <w:tab/>
        <w:t>keďže zohľadnenie starnutia populácie má zásadný význam pre zabezpečenie spravodlivosti medzi generáciami, a tým aj zvýšenú participáciu najmä medzi mladými ľuďmi;</w:t>
      </w:r>
    </w:p>
    <w:p w14:paraId="7C6ED22B" w14:textId="77777777" w:rsidR="00FB314C" w:rsidRDefault="006A104C">
      <w:pPr>
        <w:pStyle w:val="NormalHanging12a"/>
        <w:rPr>
          <w:szCs w:val="24"/>
        </w:rPr>
      </w:pPr>
      <w:r>
        <w:t>M.</w:t>
      </w:r>
      <w:r>
        <w:tab/>
        <w:t>keďže mestské oblasti sú zaťažené novými výzvami vyplývajúcimi z prílevu obyvateľstva do miest, ako aj z rastúcich cien bývania a energií, ktoré si vyžadujú nevyhnutný rozvoj bývania, nové opatrenia na ochranu životného prostredia a úspory energie, napríklad urýchlenú hĺbkovú renováciu na boj proti energetickej chudobe a podporu energetickej účinnosti; keďže politika súdržnosti EÚ by mala prispieť k tomu, aby bol trh s bývaním cenovo dostupný a prístupný pre všetkých obyvateľov EÚ, najmä pre domácnosti s n</w:t>
      </w:r>
      <w:r>
        <w:t>ízkymi a so strednými príjmami, obyvateľov miest, rodiny s deťmi, ženy a mladých ľudí;</w:t>
      </w:r>
    </w:p>
    <w:p w14:paraId="4281A844" w14:textId="77777777" w:rsidR="00FB314C" w:rsidRDefault="006A104C">
      <w:pPr>
        <w:pStyle w:val="NormalHanging12a"/>
      </w:pPr>
      <w:r>
        <w:lastRenderedPageBreak/>
        <w:t>N.</w:t>
      </w:r>
      <w:r>
        <w:tab/>
        <w:t>keďže účinné vykonávanie Urbánnej agendy EÚ môže posilniť schopnosť miest prispievať k cieľom súdržnosti, a tým zlepšiť kvalitu života občanov a zaručiť efektívnejšie využívanie finančných zdrojov EÚ;</w:t>
      </w:r>
    </w:p>
    <w:p w14:paraId="0321213B" w14:textId="77777777" w:rsidR="00FB314C" w:rsidRDefault="006A104C">
      <w:pPr>
        <w:pStyle w:val="NormalHanging12a"/>
        <w:rPr>
          <w:szCs w:val="24"/>
        </w:rPr>
      </w:pPr>
      <w:r>
        <w:t>O.</w:t>
      </w:r>
      <w:r>
        <w:tab/>
        <w:t>keďže osobitnú pozornosť treba venovať vidieckym oblastiam, oblastiam zasiahnutým zmenami v priemysle a regiónom EÚ závažne a trvalo znevýhodneným prírodnými a demografickými podmienkami, únikom mozgov, rizikami spojenými s klímou a nedostatkom vody, ako sú najvzdialenejšie regióny, a najmä ostrovy na ich periférii alebo na periférii EÚ, riedko osídlené regióny, ostrovy, horské oblasti a cezhraničné regióny, ale aj pobrežné a prímorské regióny;</w:t>
      </w:r>
    </w:p>
    <w:p w14:paraId="290496D2" w14:textId="77777777" w:rsidR="00FB314C" w:rsidRDefault="006A104C">
      <w:pPr>
        <w:pStyle w:val="NormalHanging12a"/>
        <w:rPr>
          <w:szCs w:val="24"/>
        </w:rPr>
      </w:pPr>
      <w:r>
        <w:t>P.</w:t>
      </w:r>
      <w:r>
        <w:tab/>
        <w:t>keďže útočná vojna Ruska proti Ukrajine vytvorila novú geopolitickú realitu, ktorá má významný vplyv na zamestnanosť, hospodársky rozvoj a príležitosti a všeobecné blaho obyvateľstva žijúceho v regiónoch hraničiacich s Ukrajinou, Bieloruskom a Ruskom, ako aj v kandidátskych krajinách, ako je Ukrajina a Moldavsko, ktoré si preto vyžadujú osobitnú pozornosť a podporu, a to aj prostredníctvom zodpovedajúceho prispôsobenia politiky súdržnosti; keďže v dôsledku tejto vojny hľadá bezprecedentný počet ľudí útočis</w:t>
      </w:r>
      <w:r>
        <w:t>ko v EÚ, čo ešte viac zaťažuje miestne komunity a služby; keďže kolektívna bezpečnosť EÚ vo veľkej miere závisí od životaschopnosti a blahobytu regiónov ležiacich na vonkajších hraniciach EÚ;</w:t>
      </w:r>
    </w:p>
    <w:p w14:paraId="301ACD96" w14:textId="77777777" w:rsidR="00FB314C" w:rsidRDefault="006A104C">
      <w:pPr>
        <w:pStyle w:val="NormalHanging12a"/>
      </w:pPr>
      <w:r>
        <w:t>Q.</w:t>
      </w:r>
      <w:r>
        <w:tab/>
        <w:t>keďže osobitá situácia Severného Írska si vyžaduje individualizovaný prístup založený na prínosoch programov PEACE, ktorým sa preskúma, ako môže byť širšia politika súdržnosti prospešná v procese zmierenia;</w:t>
      </w:r>
    </w:p>
    <w:p w14:paraId="0F4DAF10" w14:textId="77777777" w:rsidR="00FB314C" w:rsidRDefault="006A104C">
      <w:pPr>
        <w:pStyle w:val="NormalHanging12a"/>
      </w:pPr>
      <w:r>
        <w:t>R.</w:t>
      </w:r>
      <w:r>
        <w:tab/>
        <w:t>keďže 79 % občanov, ktorí vedia o projektoch financovaných EÚ v rámci politiky súdržnosti, sa domnieva, že projekty financované EÚ majú pozitívny vplyv na regióny</w:t>
      </w:r>
      <w:r>
        <w:rPr>
          <w:vertAlign w:val="superscript"/>
        </w:rPr>
        <w:footnoteReference w:id="28"/>
      </w:r>
      <w:r>
        <w:t xml:space="preserve">, čo prispieva k </w:t>
      </w:r>
      <w:proofErr w:type="spellStart"/>
      <w:r>
        <w:t>proeurópskemu</w:t>
      </w:r>
      <w:proofErr w:type="spellEnd"/>
      <w:r>
        <w:t xml:space="preserve"> postoju;</w:t>
      </w:r>
    </w:p>
    <w:p w14:paraId="3241BBCD" w14:textId="77777777" w:rsidR="00FB314C" w:rsidRDefault="006A104C">
      <w:pPr>
        <w:pStyle w:val="NormalHanging12a"/>
      </w:pPr>
      <w:r>
        <w:t>S.</w:t>
      </w:r>
      <w:r>
        <w:tab/>
        <w:t>keďže celková informovanosť o projektoch financovaných EÚ v rámci politiky súdržnosti sa od roku 2021</w:t>
      </w:r>
      <w:r>
        <w:rPr>
          <w:vertAlign w:val="superscript"/>
        </w:rPr>
        <w:footnoteReference w:id="29"/>
      </w:r>
      <w:r>
        <w:t xml:space="preserve"> znížila o 2 percentuálne body, to znamená, že by sa mala presadzovať väčšia decentralizácia, aby sa politika súdržnosti ešte viac priblížila občanom;</w:t>
      </w:r>
    </w:p>
    <w:p w14:paraId="1ECE69C9" w14:textId="77777777" w:rsidR="00FB314C" w:rsidRDefault="006A104C">
      <w:pPr>
        <w:pStyle w:val="NormalHanging12a"/>
        <w:rPr>
          <w:szCs w:val="24"/>
        </w:rPr>
      </w:pPr>
      <w:r>
        <w:t>1.</w:t>
      </w:r>
      <w:r>
        <w:tab/>
        <w:t xml:space="preserve">trvá na tom, že regionálne a lokálne zameranie, prístup zameraný na konkrétne miesto a strategické plánovanie politiky súdržnosti, ako aj jej decentralizovaný model programovania a vykonávania založený na zásade partnerstva s posilneným uplatňovaním európskeho kódexu správania, zapojenie hospodárskych subjektov a subjektov občianskej spoločnosti a viacúrovňové riadenie sú kľúčovými a pozitívnymi prvkami tejto politiky a rozhodujú o jej účinnosti; je pevne presvedčený, že tento model politiky súdržnosti by </w:t>
      </w:r>
      <w:r>
        <w:t xml:space="preserve">sa mal naďalej uplatňovať vo všetkých regiónoch a podľa možnosti prehĺbiť ako hlavný dlhodobý investičný nástroj EÚ na znižovanie rozdielov, zaisťovanie hospodárskej, sociálnej a územnej súdržnosti a podporu regionálneho a miestneho udržateľného rastu v súlade so stratégiami EÚ, ochranu životného prostredia </w:t>
      </w:r>
      <w:r>
        <w:lastRenderedPageBreak/>
        <w:t>a kľúčovým prostriedkom, ktorý prispieva ku konkurencieschopnosti a spravodlivej transformácii EÚ, a zároveň by mal pomáhať pri riešení nových budúcich výziev;</w:t>
      </w:r>
    </w:p>
    <w:p w14:paraId="6FBD1457" w14:textId="77777777" w:rsidR="00FB314C" w:rsidRDefault="006A104C">
      <w:pPr>
        <w:pStyle w:val="NormalHanging12a"/>
        <w:rPr>
          <w:szCs w:val="24"/>
        </w:rPr>
      </w:pPr>
      <w:r>
        <w:t>2.</w:t>
      </w:r>
      <w:r>
        <w:tab/>
        <w:t>vyzýva na vymedzenie jasnej hranice medzi politikou súdržnosti a inými nástrojmi, aby nedochádzalo k prekrývaniu a hospodárskej súťaži medzi nástrojmi EÚ, na zabezpečenie komplementárnosti rôznych intervencií a na lepšiu viditeľnosť a čitateľnosť podpory EÚ; v tejto súvislosti konštatuje, že finančné prostriedky Mechanizmu na podporu obnovy a odolnosti sú viazané na hospodársky rozvoj, rast a nie sú konkrétne zamerané na hospodársku, sociálnu a územnú súdržnosť medzi regiónmi; vyjadruje znepokojenie nad pl</w:t>
      </w:r>
      <w:r>
        <w:t>ánmi Komisie uplatňovať na európske štrukturálne a investičné fondy (EŠIF) prístup založený na výkonnosti; uznáva, že mechanizmy založené na výkonnosti môžu byť nápomocné pri zefektívňovaní politiky a jej orientácii na výsledky, ale varuje pred univerzálnym zavádzaním tohto modelu a vyjadruje vážne pochybnosti o myšlienkach viazať vyplácanie EŠIF na plnenie centrálne určených reformných cieľov, a to tým skôr, ak reformné ciele nespadajú do kompetencie regionálnej úrovne;</w:t>
      </w:r>
    </w:p>
    <w:p w14:paraId="43C24305" w14:textId="77777777" w:rsidR="00FB314C" w:rsidRDefault="006A104C">
      <w:pPr>
        <w:pStyle w:val="NormalHanging12a"/>
        <w:rPr>
          <w:szCs w:val="24"/>
        </w:rPr>
      </w:pPr>
      <w:r>
        <w:t>3.</w:t>
      </w:r>
      <w:r>
        <w:tab/>
        <w:t>namieta proti akejkoľvek forme centralizovanej reformy programov financovania EÚ zhora nadol, vrátane programov v rámci zdieľaného riadenia, ako sú politika súdržnosti a spoločná poľnohospodárska politika, a zasadzuje sa za väčšiu decentralizáciu rozhodovania na miestnu a regionálnu úroveň; vyzýva na väčšie zapojenie miestnych a regionálnych orgánov a aktérov hospodárskej a občianskej spoločnosti do všetkých fáz programov EÚ v rámci zdieľaného riadenia, od prípravy a programovania až po realizáciu, vykonáv</w:t>
      </w:r>
      <w:r>
        <w:t>anie a hodnotenie, pričom treba mať na pamäti, že hospodársky a sociálny rozvoj regiónov a územnú súdržnosť medzi nimi možno dosiahnuť len na základe dobrej spolupráce medzi všetkými aktérmi;</w:t>
      </w:r>
    </w:p>
    <w:p w14:paraId="0E91E292" w14:textId="77777777" w:rsidR="00FB314C" w:rsidRDefault="006A104C">
      <w:pPr>
        <w:pStyle w:val="NormalHanging12a"/>
        <w:rPr>
          <w:szCs w:val="24"/>
        </w:rPr>
      </w:pPr>
      <w:r>
        <w:t>4.</w:t>
      </w:r>
      <w:r>
        <w:tab/>
        <w:t>zdôrazňuje, že Európsky poľnohospodársky fond pre rozvoj vidieka (EPFRV) zohráva kľúčovú úlohu popri fondoch politiky súdržnosti pri podpore vidieckych oblastí; zdôrazňuje, že koncepcia EPFRV musí byť v súlade s pravidlami fondov politiky súdržnosti s cieľom zvýšiť synergické účinky a uľahčiť projekty rozvoja vidieka financované z viacerých zdrojov;</w:t>
      </w:r>
    </w:p>
    <w:p w14:paraId="0DADC705" w14:textId="77777777" w:rsidR="00FB314C" w:rsidRDefault="006A104C">
      <w:pPr>
        <w:pStyle w:val="NormalHanging12a"/>
        <w:rPr>
          <w:szCs w:val="24"/>
        </w:rPr>
      </w:pPr>
      <w:r>
        <w:t>5.</w:t>
      </w:r>
      <w:r>
        <w:tab/>
        <w:t xml:space="preserve">je presvedčený, že politika súdržnosti môže svoju úlohu plniť naďalej len vtedy, ak bude mať k dispozícii dostatočné finančné prostriedky; zdôrazňuje, že to znamená, že na budúcu politiku súdržnosti bude treba vyčleniť značné finančné prostriedky na finančné obdobie po roku 2027; zdôrazňuje, že treba poskytovať dostatočne ambiciózne a ľahko dostupné finančné prostriedky, aby politika súdržnosti mohla aj naďalej plniť svoju úlohu hlavnej investičnej politiky EÚ a zároveň si ponechať flexibilitu na riešenie </w:t>
      </w:r>
      <w:r>
        <w:t>potenciálnych nových výziev vrátane možnosti financovať vývoj produktov s dvojakým použitím a umožniť miestnym orgánom, zainteresovaným stranám a príjemcom účinne podporovať miestny rozvoj; je presvedčený, že schopnosť pružne reagovať na nepredvídateľné výzvy by nemala byť na úkor jasného dlhodobého strategického zamerania a cieľov politiky súdržnosti;</w:t>
      </w:r>
    </w:p>
    <w:p w14:paraId="5EB8C555" w14:textId="77777777" w:rsidR="00FB314C" w:rsidRDefault="006A104C">
      <w:pPr>
        <w:pStyle w:val="NormalHanging12a"/>
        <w:rPr>
          <w:szCs w:val="24"/>
        </w:rPr>
      </w:pPr>
      <w:r>
        <w:t>6.</w:t>
      </w:r>
      <w:r>
        <w:tab/>
      </w:r>
      <w:r>
        <w:t xml:space="preserve">podčiarkuje význam budúceho viacročného finančného rámca EÚ (ďalej len „VFR“) a preskúmania programov politiky súdržnosti na roky 2021 – 2027 v polovici trvania pri formovaní budúcnosti politiky súdržnosti; pripomína, že v budúcom VFR na roky 2028 – 2034 je potrebná ambicióznejšia politika súdržnosti po roku 2027; žiada preto, aby sa v nadchádzajúcom VFR zabezpečilo, že politika súdržnosti dosiahne v reálnych číslach aspoň takú mieru financovania ako v súčasnom období; okrem toho žiada, aby politika </w:t>
      </w:r>
      <w:r>
        <w:lastRenderedPageBreak/>
        <w:t>súdržno</w:t>
      </w:r>
      <w:r>
        <w:t>sti zostala v novom VFR osobitným okruhom; zdôrazňuje, že politika súdržnosti by mala byť chránená pred štatistickými účinkami, ktoré môžu ovplyvniť legitímnosť regiónov zmenou priemerného HDP EÚ; opätovne zdôrazňuje potrebu nových vlastných zdrojov EÚ;</w:t>
      </w:r>
    </w:p>
    <w:p w14:paraId="717748C2" w14:textId="77777777" w:rsidR="00FB314C" w:rsidRDefault="006A104C">
      <w:pPr>
        <w:pStyle w:val="NormalHanging12a"/>
        <w:rPr>
          <w:szCs w:val="24"/>
        </w:rPr>
      </w:pPr>
      <w:r>
        <w:t>7.</w:t>
      </w:r>
      <w:r>
        <w:tab/>
        <w:t>navrhuje preto, aby budúci VFR už od začiatku lepšie reagoval na nepredvídané potreby, a to aj dostatočnými rezervami a flexibilitou; v tejto súvislosti však zdôrazňuje, že politika súdržnosti nie je krízovým nástrojom a že by sa nemala odchyľovať od svojich hlavných cieľov, a to od svojho dlhodobého investičného charakteru; žiada, aby sa posilnil Fond solidarity Európskej únie, a to aj v oblasti predbežného financovania, aby sa znížila jeho byrokratická náročnosť a aby bol ľahšie prístupný, s cieľom vytvo</w:t>
      </w:r>
      <w:r>
        <w:t>riť vhodný nástroj, ktorý by dokázal primerane reagovať na hospodárske, sociálne a územné dôsledky budúcich prírodných katastrof alebo núdzových zdravotných situácií; zdôrazňuje, že Európsky parlament musí mať primeranú kontrolu nad všetkými núdzovými fondmi a nástrojmi;</w:t>
      </w:r>
    </w:p>
    <w:p w14:paraId="082F367D" w14:textId="77777777" w:rsidR="00FB314C" w:rsidRDefault="006A104C">
      <w:pPr>
        <w:pStyle w:val="NormalHanging12a"/>
        <w:rPr>
          <w:szCs w:val="24"/>
        </w:rPr>
      </w:pPr>
      <w:r>
        <w:t>8.</w:t>
      </w:r>
      <w:r>
        <w:tab/>
        <w:t>uznáva, že v konkrétnych prípadoch je potrebné používať aj nomenklatúru územných jednotiek pre štatistické účely (NUTS) 3, a to spôsobom, ktorý uznáva, že nerovnosti v rozvoji existujú vo všetkých regiónoch NUTS 2; zastáva názor, že regionálny HDP na obyvateľa musí zostať hlavným kritériom pri stanovovaní finančných prostriedkov pridelených členským štátom v rámci politiky súdržnosti; víta skutočnosť, že na základe vytrvalých výziev Európskeho parlamentu začala Komisia zvažovať ďalšie kritériá</w:t>
      </w:r>
      <w:r>
        <w:rPr>
          <w:vertAlign w:val="superscript"/>
        </w:rPr>
        <w:footnoteReference w:id="30"/>
      </w:r>
      <w:r>
        <w:t>, ako sú emisie skleníkových plynov, hustota obyvateľstva, úroveň vzdelania a miera nezamestnanosti, aby poskytla lepší sociálno-ekonomický prehľad regiónov;</w:t>
      </w:r>
    </w:p>
    <w:p w14:paraId="1649FE34" w14:textId="77777777" w:rsidR="00FB314C" w:rsidRDefault="006A104C">
      <w:pPr>
        <w:pStyle w:val="NormalHanging12a"/>
        <w:rPr>
          <w:szCs w:val="24"/>
        </w:rPr>
      </w:pPr>
      <w:r>
        <w:t>9.</w:t>
      </w:r>
      <w:r>
        <w:tab/>
        <w:t>zdôrazňuje, že podmienenosť právnym štátom je zastrešujúcou požiadavkou, ktorou sa uznáva a presadzuje dodržiavanie zásad právneho štátu, a zároveň základným predpokladom finančnej podpory z politiky súdržnosti s cieľom zabezpečiť, aby sa zdroje Únie využívali transparentným, spravodlivým a zodpovedným spôsobom pri riadnom finančnom hospodárení; považuje za potrebné posilniť dodržiavanie zásad právneho štátu a základných práv a zabezpečiť, aby všetky opatrenia boli v súlade s podporou demokratických zásad,</w:t>
      </w:r>
      <w:r>
        <w:t xml:space="preserve"> rodovej rovnosti a ľudských práv vrátane práv pracovníkov, práv osôb so zdravotným postihnutím a práv detí pri vykonávaní politiky súdržnosti; zdôrazňuje dôležitú úlohu Európskeho úradu pre boj proti podvodom a Európskej prokuratúry pri ochrane finančných záujmov Únie;</w:t>
      </w:r>
    </w:p>
    <w:p w14:paraId="2FA9CB7C" w14:textId="77777777" w:rsidR="00FB314C" w:rsidRDefault="006A104C">
      <w:pPr>
        <w:pStyle w:val="NormalHanging12a"/>
        <w:rPr>
          <w:szCs w:val="24"/>
        </w:rPr>
      </w:pPr>
      <w:r>
        <w:t>10.</w:t>
      </w:r>
      <w:r>
        <w:tab/>
        <w:t>vyzýva na ďalšie úsilie o zjednodušenie, spružnenie a posilnenie synergií a zefektívnenie pravidiel a administratívnych postupov, ktorými sa riadia fondy politiky súdržnosti na úrovni EÚ, vnútroštátnej a regionálnej úrovni, pri plnom využití technológií dostupných na zvýšenie prístupnosti a účinnosti, a na základe existujúceho a dobre zavedeného rámca zdieľaného riadenia, s cieľom posilniť dôveru medzi používateľmi, a tým podporiť účasť širšej škály hospodárskych subjektov a subjektov občianskej spoločnost</w:t>
      </w:r>
      <w:r>
        <w:t xml:space="preserve">i na podporovaných projektoch a maximalizovať vplyv fondov; vyzýva na ďalšie iniciatívy, ktoré umožnia lepšie čerpanie kohéznych fondov vrátane zvýšenej úrovne spolufinancovania, vyššieho predbežného financovania a rýchlejších úhrad investícií; žiada, aby miestna samospráva, najmä v menších obciach, bola technicky vyškolená na lepšie administratívne riadenie fondov; zdôrazňuje preto, že je dôležité posilniť zásadu jednotného auditu, ďalej rozšíriť možnosti zjednodušených </w:t>
      </w:r>
      <w:r>
        <w:lastRenderedPageBreak/>
        <w:t>nákladov a obmedziť duplicitné kontr</w:t>
      </w:r>
      <w:r>
        <w:t>oly a audity, ktoré sa prekrývajú s vnútroštátnym a regionálnym dohľadom nad tým istým projektom a príjemcom, s cieľom eliminovať možnosť opakovania chýb v nasledujúcich rokoch vykonávania;</w:t>
      </w:r>
    </w:p>
    <w:p w14:paraId="1FF02F89" w14:textId="77777777" w:rsidR="00FB314C" w:rsidRDefault="006A104C">
      <w:pPr>
        <w:pStyle w:val="NormalHanging12a"/>
        <w:rPr>
          <w:szCs w:val="24"/>
        </w:rPr>
      </w:pPr>
      <w:r>
        <w:t>11.</w:t>
      </w:r>
      <w:r>
        <w:tab/>
        <w:t>vyzýva Komisiu a členské štáty, aby regiónom poskytli väčšiu flexibilitu už vo fáze programovania s cieľom uspokojiť ich osobitné potreby a špecifiká a zdôrazňuje potrebu zapojenia ekonomických a aktérov občianskej spoločnosti; zdôrazňuje, že tematická koncentrácia bola kľúčovým prvkom zosúladenia politiky súdržnosti s cieľmi stratégie Európa 2020; žiada preto Komisiu, aby predložila všetky zistenia týkajúce sa realizácie tematickej koncentrácie a vyvodila závery pre budúce legislatívne návrhy;</w:t>
      </w:r>
    </w:p>
    <w:p w14:paraId="5C5C6C4A" w14:textId="77777777" w:rsidR="00FB314C" w:rsidRDefault="006A104C">
      <w:pPr>
        <w:pStyle w:val="NormalHanging12a"/>
        <w:rPr>
          <w:szCs w:val="24"/>
        </w:rPr>
      </w:pPr>
      <w:r>
        <w:t>12.</w:t>
      </w:r>
      <w:r>
        <w:tab/>
        <w:t>uznáva, že zelená, digitálna a demografická transformácia predstavujú významné výzvy, no zároveň aj príležitosti na dosiahnutie cieľa hospodárskej, sociálnej a územnej súdržnosti; uznáva, že oblasti so štatisticky vysokými príjmami môžu ukrývať hospodárske problémy v regióne; uvedomuje si riziko zväčšovania regionálnych rozdielov, prehlbovania sociálnych nerovností a rastúcej „geografie nespokojnosti“ v súvislosti s procesom transformácie; zdôrazňuje potrebu dosiahnuť ciele EÚ v oblasti udržateľnosti a klí</w:t>
      </w:r>
      <w:r>
        <w:t>my a zachovať spoločný hospodársky rast posilnením konkurencieschopnosti Únie; požaduje preto vypracovanie európskej stratégie, ktorá zaručí harmonický rast v rámci Únie a bude zodpovedať špecifickým potrebám príslušných regiónov; opätovne potvrdzuje svoj záväzok pokračovať v zelenej a digitálnej transformácii, pretože to vytvorí príležitosti na zlepšenie konkurencieschopnosti EÚ; zdôrazňuje potrebu investovať do projektov infraštruktúry, ktoré zlepšujú prepojenosť, najmä v udržateľnej a inteligentnej dopra</w:t>
      </w:r>
      <w:r>
        <w:t>ve, a do energetických a digitálnych sietí, tak aby všetky regióny, vrátane odľahlých a menej rozvinutých regiónov, boli plne integrované do jednotného trhu a spravodlivo využívali príležitosti, ktoré ponúka; v tejto súvislosti zdôrazňuje potrebu podporovať rozvoj ekologických priemyselných odvetví, podporovať miestne špecifiká a tradície v záujme zvýšenia odolnosti hospodárskych odvetví a občianskej spoločnosti voči budúcim výzvam;</w:t>
      </w:r>
    </w:p>
    <w:p w14:paraId="60B344B2" w14:textId="77777777" w:rsidR="00FB314C" w:rsidRDefault="006A104C">
      <w:pPr>
        <w:pStyle w:val="NormalHanging12a"/>
        <w:rPr>
          <w:szCs w:val="24"/>
        </w:rPr>
      </w:pPr>
      <w:r>
        <w:t>13.</w:t>
      </w:r>
      <w:r>
        <w:tab/>
        <w:t xml:space="preserve">naliehavo žiada, aby politika súdržnosti bola aj naďalej v súlade s úsilím o zvýšenie inovácií a dokončenie jednotného trhu EÚ v nadväznosti na závery </w:t>
      </w:r>
      <w:proofErr w:type="spellStart"/>
      <w:r>
        <w:t>Draghiho</w:t>
      </w:r>
      <w:proofErr w:type="spellEnd"/>
      <w:r>
        <w:t xml:space="preserve"> správy o európskej konkurencieschopnosti; v súvislosti s regionálnymi rozdielmi zdôrazňuje problém pretrvávajúcich nerovností v oblasti inovácií a zasadzuje sa za prispôsobený, miestne orientovaný prístup k podpore inovácií a hospodárskej konvergencie medzi regiónmi a k zmenšovaniu inovačnej priepasti; vyzýva na posilnenie úlohy miestnych a regionál</w:t>
      </w:r>
      <w:r>
        <w:t>nych inovácií pri budovaní konkurencieschopných výskumných a inovačných ekosystémov a podpore územnej súdržnosti; dáva do pozornosti nové iniciatívy EÚ, ako sú regionálne inovačné údolia a partnerstvá pre regionálne inovácie, ktorých cieľom je prepojiť územia s rôznymi úrovňami inovačnej výkonnosti a riešiť inovačnú priepasť; domnieva sa, že týmto prístupom sa posilní regionálna autonómia, umožní miestnym a regionálnym samosprávam formovať politiky a ciele EÚ v súlade s ich špecifickými potrebami, charakter</w:t>
      </w:r>
      <w:r>
        <w:t>istikami a kapacitami a zároveň sa zachová zásada partnerstva;</w:t>
      </w:r>
    </w:p>
    <w:p w14:paraId="585F5D7E" w14:textId="77777777" w:rsidR="00FB314C" w:rsidRDefault="006A104C">
      <w:pPr>
        <w:pStyle w:val="NormalHanging12a"/>
        <w:rPr>
          <w:szCs w:val="24"/>
        </w:rPr>
      </w:pPr>
      <w:r>
        <w:t>14.</w:t>
      </w:r>
      <w:r>
        <w:tab/>
        <w:t xml:space="preserve">je presvedčený, že politika súdržnosti musí aj naďalej presadzovať zásadu spravodlivej transformácie a riešiť osobitné potreby regiónov, pričom na žiadne územie a na nikoho sa nesmie zabudnúť; žiada, aby sa pokračovalo vo financovaní procesu spravodlivej transformácie, pričom Fond na spravodlivú transformáciu bude plne začlenený do nariadenia o spoločných ustanoveniach a bude mať k dispozícii posilnené finančné prostriedky na programové obdobie po roku 2027; zdôrazňuje však, že je potrebné </w:t>
      </w:r>
      <w:r>
        <w:lastRenderedPageBreak/>
        <w:t>posúdiť vplyv Fo</w:t>
      </w:r>
      <w:r>
        <w:t>ndu na spravodlivú transformáciu na transformáciu oprávnených regiónov a zároveň zabezpečiť, aby zostal súčasťou politiky súdržnosti, a na základe zistení a konkrétnych opatrení na zabezpečenie hospodárskeho a sociálneho blahobytu dotknutých komunít spresniť jeho prístup v novom VFR;</w:t>
      </w:r>
    </w:p>
    <w:p w14:paraId="5D929C23" w14:textId="77777777" w:rsidR="00FB314C" w:rsidRDefault="006A104C">
      <w:pPr>
        <w:pStyle w:val="NormalHanging12a"/>
      </w:pPr>
      <w:r>
        <w:t>15.</w:t>
      </w:r>
      <w:r>
        <w:tab/>
        <w:t>zdôrazňuje, že treba zlepšiť vzťah medzi politikou súdržnosti a správou hospodárskych záležitostí EÚ a zároveň sa vyvarovať represívnemu prístupu; zdôrazňuje, že európsky semester by mal byť v súlade s cieľmi politiky súdržnosti podľa článkov 174 a 175 ZFEÚ; vyzýva na zapojenie regiónov do plnenia týchto cieľov a na posilnenie územného prístupu; vyzýva na prehodnotenie koncepcie makroekonomickej podmienenosti a na preskúmanie možnosti nahradiť túto koncepciu novými formami podmienenosti, ktoré by lepšie od</w:t>
      </w:r>
      <w:r>
        <w:t>rážali nové výzvy;</w:t>
      </w:r>
    </w:p>
    <w:p w14:paraId="5C7CE419" w14:textId="77777777" w:rsidR="00FB314C" w:rsidRDefault="006A104C">
      <w:pPr>
        <w:pStyle w:val="NormalHanging12a"/>
        <w:rPr>
          <w:szCs w:val="24"/>
        </w:rPr>
      </w:pPr>
      <w:r>
        <w:t>16.</w:t>
      </w:r>
      <w:r>
        <w:tab/>
        <w:t>je znepokojený rastúcim počtom regiónov v pasci rozvoja, ktoré hospodársky stagnujú a trpia prudkým demografickým poklesom a obmedzeným prístupom k základným službám; žiada preto úpravu spolufinancovania projektov zameraných na posilnenie základných služieb smerom nahor; vyzdvihuje význam nástrojov politiky súdržnosti pri podpore rôznych regiónov a miestnych oblastí zápasiacich s demografickými zmenami, ktoré ovplyvňujú účinné právo obyvateľov na pobyt, ktoré zahŕňajú okrem iného výzvy súvisiace s vyľudňov</w:t>
      </w:r>
      <w:r>
        <w:t>aním, starnutím obyvateľstva, rodovou nerovnováhou, únikom mozgov, nedostatkom zručností a nerovnováhou pracovných síl v jednotlivých regiónoch; uznáva potrebu cielených ekonomických stimulov a štrukturálnych zásahov proti týmto javom; v tejto súvislosti vyzýva na vykonávanie cielených programov na prilákanie, rozvoj a udržanie talentov, najmä v regiónoch, v ktorých dochádza k značnému odlivu kvalifikovaných pracovníkov, a to podporou vzdelávacích, kultúrnych, podnikateľských a inovačných ekosystémov, ktoré</w:t>
      </w:r>
      <w:r>
        <w:t xml:space="preserve"> zodpovedajú miestnym a regionálnym hospodárskym potrebám a príležitostiam;</w:t>
      </w:r>
    </w:p>
    <w:p w14:paraId="3E4776D0" w14:textId="77777777" w:rsidR="00FB314C" w:rsidRDefault="006A104C">
      <w:pPr>
        <w:pStyle w:val="NormalHanging12a"/>
        <w:rPr>
          <w:szCs w:val="24"/>
        </w:rPr>
      </w:pPr>
      <w:r>
        <w:t>17.</w:t>
      </w:r>
      <w:r>
        <w:tab/>
        <w:t xml:space="preserve">uznáva význam podpory a financovania osobitných riešení pre regióny s dlhodobými a vážnymi hospodárskymi ťažkosťami alebo s vážnym trvalým prírodným a demografickým znevýhodnením; opakuje potrebu zachovať a zlepšiť poskytovanie kvalitných základných služieb (ako je vzdelávanie a zdravotná starostlivosť), dopravu a digitálnu prepojenosť týchto regiónov, podporiť ich hospodársku diverzifikáciu a tvorbu pracovných miest a pomôcť im reagovať na výzvy, ako je </w:t>
      </w:r>
      <w:proofErr w:type="spellStart"/>
      <w:r>
        <w:t>dezertifikácia</w:t>
      </w:r>
      <w:proofErr w:type="spellEnd"/>
      <w:r>
        <w:t xml:space="preserve"> vidieka, starnutie obyvateľstva, chud</w:t>
      </w:r>
      <w:r>
        <w:t>oba, vyľudňovanie, osamelosť a izolácia, ako aj nedostatok príležitostí pre zraniteľné osoby, ako sú osoby so zdravotným postihnutím; zdôrazňuje, že je potrebné uprednostniť rozvoj a primerané financovanie strategických odvetví, ako sú energia z obnoviteľných zdrojov, udržateľný cestovný ruch, digitálne inovácie a infraštruktúra, a to spôsobom, ktorý je prispôsobený hospodárskemu potenciálu a zdrojom každého regiónu, s cieľom vytvoriť širšie podmienky na endogénny rast a vyvážený rozvoj vo všetkých regiónoc</w:t>
      </w:r>
      <w:r>
        <w:t>h, najmä vo vidieckych, vzdialených a menej rozvinutých regiónoch, pohraničných regiónoch, na ostrovoch a v najvzdialenejších regiónoch; pripomína význam pevných vzťahov medzi vidiekom a mestom a osobitnú podporu pre ženy žijúce na vidieku;</w:t>
      </w:r>
    </w:p>
    <w:p w14:paraId="56A5DA56" w14:textId="77777777" w:rsidR="00FB314C" w:rsidRDefault="006A104C">
      <w:pPr>
        <w:pStyle w:val="NormalHanging12a"/>
        <w:rPr>
          <w:szCs w:val="24"/>
        </w:rPr>
      </w:pPr>
      <w:r>
        <w:t>18.</w:t>
      </w:r>
      <w:r>
        <w:tab/>
        <w:t xml:space="preserve">zdôrazňuje potrebu individuálneho prístupu k najvzdialenejším regiónom vymedzeným v článku 349 ZFEÚ, ktoré čelia ojedinelým a kumulatívnym štrukturálnym výzvam z dôvodu ich odľahlosti, malej veľkosti trhu, zraniteľnosti voči zmene klímy a hospodárskej závislosti; zdôrazňuje, že tieto trvalé obmedzenia vrátane malej veľkosti domáceho hospodárstva, veľkej vzdialenosti od európskeho kontinentu, umiestnenia v blízkosti tretích krajín, dvojitého ostrovného charakteru pre väčšinu z nich a </w:t>
      </w:r>
      <w:r>
        <w:lastRenderedPageBreak/>
        <w:t>obmedzenej diverzifikác</w:t>
      </w:r>
      <w:r>
        <w:t xml:space="preserve">ie výrobného odvetvia majú za následok dodatočné náklady a nižšiu konkurencieschopnosť, v dôsledku čoho je ich prispôsobenie zelenej a digitálnej transformácii mimoriadne zložité a nákladné; zdôrazňuje ich veľký potenciál na ďalší rozvoj kľúčových odvetví okrem iného prostredníctvom zlepšenia regionálnej prepojenosti, ako sú modrá ekonomika, udržateľné poľnohospodárstvo, energia z obnoviteľných zdrojov, vesmírne činnosti, výskum alebo </w:t>
      </w:r>
      <w:proofErr w:type="spellStart"/>
      <w:r>
        <w:t>ekoturistika</w:t>
      </w:r>
      <w:proofErr w:type="spellEnd"/>
      <w:r>
        <w:t xml:space="preserve">; opakuje svoju dlhodobú výzvu Komisii, aby náležite zvážila </w:t>
      </w:r>
      <w:r>
        <w:t>vplyv všetkých nových návrhov právnych predpisov na najvzdialenejšie regióny s cieľom zabrániť neprimeranému regulačnému zaťaženiu a nepriaznivým účinkom na hospodárstva týchto regiónov;</w:t>
      </w:r>
    </w:p>
    <w:p w14:paraId="33B5E7BD" w14:textId="77777777" w:rsidR="00FB314C" w:rsidRDefault="006A104C">
      <w:pPr>
        <w:pStyle w:val="NormalHanging12a"/>
        <w:rPr>
          <w:szCs w:val="24"/>
        </w:rPr>
      </w:pPr>
      <w:r>
        <w:t>19.</w:t>
      </w:r>
      <w:r>
        <w:tab/>
        <w:t>zdôrazňuje skutočnosť, že mestá a metropolitné oblasti zápasia s vlastnými výzvami, ako sú veľké ostrovy chudoby, problémy s bývaním, dopravné zápchy a zlá kvalita ovzdušia, ktoré predstavujú výzvy pre sociálnu a hospodársku súdržnosť ako dôsledok nesúrodého územného rozvoja; zdôrazňuje potrebu osobitnej agendy pre mestá a vyzýva na prehĺbenie ich väzieb s funkčnými mestskými oblasťami, do ktorých patria aj menšie mestá a obce, s cieľom zabezpečiť, aby boli hospodárske a sociálne prínosy rovnomernejšie roz</w:t>
      </w:r>
      <w:r>
        <w:t>ložené na celom území; zdôrazňuje, že je potrebné posilniť koordináciu medzi iniciatívami Urbánnej agendy EÚ a nástrojmi politiky súdržnosti a uprednostňovať integrovaný prístup, ktorý zohľadňuje územné špecifiká a vznikajúce výzvy; okrem toho vyzýva na priamejší prístup regionálnych a miestnych orgánov, ako aj miest a mestských orgánov k finančným prostriedkom EÚ, a to okrem iného prostredníctvom širšieho využívania integrovaných územných investícií (IÚI);</w:t>
      </w:r>
    </w:p>
    <w:p w14:paraId="648816F9" w14:textId="77777777" w:rsidR="00FB314C" w:rsidRDefault="006A104C">
      <w:pPr>
        <w:pStyle w:val="NormalHanging12a"/>
        <w:rPr>
          <w:szCs w:val="24"/>
        </w:rPr>
      </w:pPr>
      <w:r>
        <w:t>20.</w:t>
      </w:r>
      <w:r>
        <w:tab/>
        <w:t xml:space="preserve">zdôrazňuje potrebu pokračovať v investíciách do cenovo dostupného bývania v rámci politiky súdržnosti a posilniť ich, pričom uznáva jeho význam v regiónoch i v mestách; zdôrazňuje, že je potrebné podporiť zmeny týkajúce sa investícií do bývania nad rámec dvoch súčasných možností (energetická efektívnosť a sociálne bývanie); zdôrazňuje dôležitú úlohu, ktorú politika súdržnosti zohráva pri zavádzaní a koordinácii týchto iniciatív; okrem toho sa domnieva, že je dôležité zahrnúť do iniciatívy URBACT aj cenovú </w:t>
      </w:r>
      <w:r>
        <w:t>dostupnosť bývania;</w:t>
      </w:r>
    </w:p>
    <w:p w14:paraId="53E63C14" w14:textId="77777777" w:rsidR="00FB314C" w:rsidRDefault="006A104C">
      <w:pPr>
        <w:pStyle w:val="NormalHanging12a"/>
        <w:rPr>
          <w:szCs w:val="24"/>
        </w:rPr>
      </w:pPr>
      <w:r>
        <w:t>21.</w:t>
      </w:r>
      <w:r>
        <w:tab/>
        <w:t>zdôrazňuje strategický význam silných vonkajších pohraničných regiónov pre bezpečnosť a odolnosť EÚ; vyzýva Komisiu, aby podporovala členské štáty a regióny postihnuté útočnou vojnou Ruska proti Ukrajine, zvlášť regióny na východnej hranici EÚ, a to revíziou usmernení o regionálnej štátnej pomoci</w:t>
      </w:r>
      <w:r>
        <w:rPr>
          <w:vertAlign w:val="superscript"/>
        </w:rPr>
        <w:footnoteReference w:id="31"/>
      </w:r>
      <w:r>
        <w:t xml:space="preserve">, špeciálnymi nástrojmi a investíciami v rámci politiky súdržnosti a aby ich nabádala čo najviac a flexibilne využívať možnosti fondov politiky súdržnosti vrátane </w:t>
      </w:r>
      <w:proofErr w:type="spellStart"/>
      <w:r>
        <w:t>Interregu</w:t>
      </w:r>
      <w:proofErr w:type="spellEnd"/>
      <w:r>
        <w:t xml:space="preserve"> pri vyrovnávaní sa so škodlivými sociálno-ekonomickými dôsledkami vojny na ich obyvateľstvo a územia; okrem toho vyzýva na podporu regiónov susediacich s kandidátskymi krajinami, ako sú Ukrajina a Moldavsko, s cieľom posilniť ich väzby a podporiť ich integráciu do EÚ;</w:t>
      </w:r>
    </w:p>
    <w:p w14:paraId="429B9B24" w14:textId="77777777" w:rsidR="00FB314C" w:rsidRDefault="006A104C">
      <w:pPr>
        <w:pStyle w:val="NormalHanging12a"/>
        <w:rPr>
          <w:szCs w:val="24"/>
        </w:rPr>
      </w:pPr>
      <w:r>
        <w:t>22.</w:t>
      </w:r>
      <w:r>
        <w:tab/>
        <w:t xml:space="preserve">zdôrazňuje pridanú hodnotu územnej spolupráce vo všeobecnosti a najmä cezhraničnej spolupráce; zdôrazňuje význam programu </w:t>
      </w:r>
      <w:proofErr w:type="spellStart"/>
      <w:r>
        <w:t>Interreg</w:t>
      </w:r>
      <w:proofErr w:type="spellEnd"/>
      <w:r>
        <w:t xml:space="preserve"> pre cezhraničné regióny vrátane najvzdialenejších regiónov; zdôrazňuje jeho dôležitú úlohu pri ich rozvoji a pri prekonávaní cezhraničných prekážok, okrem iného vrátane budovania cezhraničnej dôvery, rozvoja dopravných spojení, identifikácie a znižovania právnych a administratívnych prekážok a zvyšovania poskytovania a využívania cezhraničných verejných služieb; považuje progra</w:t>
      </w:r>
      <w:r>
        <w:t xml:space="preserve">m </w:t>
      </w:r>
      <w:proofErr w:type="spellStart"/>
      <w:r>
        <w:t>Interreg</w:t>
      </w:r>
      <w:proofErr w:type="spellEnd"/>
      <w:r>
        <w:t xml:space="preserve"> za hlavný nástroj EÚ na riešenie </w:t>
      </w:r>
      <w:r>
        <w:lastRenderedPageBreak/>
        <w:t xml:space="preserve">pretrvávajúcich cezhraničných prekážok, ktorým čelia záchranné služby, a navrhuje, aby sa na tieto služby kládol väčší dôraz; zdôrazňuje skutočnosť, že cezhraničné oblasti vrátane oblastí na vonkajších hraniciach EÚ, ktoré hraničia s agresorskými krajinami, často čelia špecifickým výzvam; je presvedčený, že pohraničné regióny EÚ, ktoré čelia viacerým výzvam, treba podporovať, a zastáva názor, že im treba poskytnúť viac prostriedkov; víta nové nariadenie o </w:t>
      </w:r>
      <w:proofErr w:type="spellStart"/>
      <w:r>
        <w:t>BRIDGEfo</w:t>
      </w:r>
      <w:r>
        <w:t>rEU</w:t>
      </w:r>
      <w:proofErr w:type="spellEnd"/>
      <w:r>
        <w:t>; zdôrazňuje význam malých a cezhraničných projektov a zdôrazňuje potrebu ich účinnej realizácie na mieste; vyzýva Komisiu, aby nabádala členské štáty aktívne podporovať kampane na zvyšovanie informovanosti v pohraničných regiónoch s cieľom maximalizovať vplyv cezhraničnej spolupráce;</w:t>
      </w:r>
    </w:p>
    <w:p w14:paraId="669B7FAE" w14:textId="77777777" w:rsidR="00FB314C" w:rsidRDefault="006A104C">
      <w:pPr>
        <w:pStyle w:val="NormalHanging12a"/>
        <w:rPr>
          <w:szCs w:val="24"/>
        </w:rPr>
      </w:pPr>
      <w:r>
        <w:t>23.</w:t>
      </w:r>
      <w:r>
        <w:tab/>
        <w:t xml:space="preserve">pripomína, že je potrebné „podporovať súdržnosť“ a nespoliehať sa len na zásadu „nenarušiť súdržnosť“, to znamená, že žiadne opatrenie by nemalo prekážať konvergencii ani posilňovať regionálne rozdiely; vyzýva na prísnejšie začlenenie týchto zásad ako prierezovej zásady do všetkých politík EÚ s cieľom zabezpečiť, aby podporovali ciele sociálnej, hospodárskej a územnej súdržnosti, ako sa uvádza v článkoch 3 a 174 ZFEÚ; ďalej vyzýva Komisiu, aby vydala konkrétne usmernenia o tom, ako vykonávať a presadzovať </w:t>
      </w:r>
      <w:r>
        <w:t xml:space="preserve">tieto zásady vo všetkých politikách EÚ, pričom by mala venovať osobitnú pozornosť vplyvu právnych predpisov EÚ na konkurencieschopnosť menej rozvinutých regiónov; pripomína, že nové legislatívne návrhy musia náležite zohľadňovať miestne a regionálne podmienky; navrhuje, aby Komisia čerpala z inovatívnych nástrojov, ako je </w:t>
      </w:r>
      <w:proofErr w:type="spellStart"/>
      <w:r>
        <w:t>RegHub</w:t>
      </w:r>
      <w:proofErr w:type="spellEnd"/>
      <w:r>
        <w:t xml:space="preserve"> (sieť regionálnych centier), ktoré zbierajú údaje o vplyve politík EÚ v regiónoch; v tejto súvislosti zdôrazňuje, že je potrebné posilniť hodnotenie územného vplyvu právnych predpis</w:t>
      </w:r>
      <w:r>
        <w:t xml:space="preserve">ov EÚ a zároveň posilniť územné aspekty iných príslušných politík; trvá na tom, že podpora súdržnosti by sa mala chápať aj ako spôsob posilňovania solidarity a vzájomnej podpory medzi členskými štátmi a ich regiónmi; vyzýva Komisiu a členské štáty, aby pokračovali vo svojom úsilí o komunikáciu a zviditeľnenie prínosov politiky súdržnosti, aby občanom ukázali hmatateľný vplyv EÚ a aby slúžili ako kľúčový nástroj na riešenie euroskepticizmu; víta spustenie viacjazyčnej verzie platformy </w:t>
      </w:r>
      <w:proofErr w:type="spellStart"/>
      <w:r>
        <w:t>Kohesio</w:t>
      </w:r>
      <w:proofErr w:type="spellEnd"/>
      <w:r>
        <w:t>;</w:t>
      </w:r>
    </w:p>
    <w:p w14:paraId="767E1A9D" w14:textId="77777777" w:rsidR="00FB314C" w:rsidRDefault="006A104C">
      <w:pPr>
        <w:pStyle w:val="NormalHanging12a"/>
      </w:pPr>
      <w:r>
        <w:t>24.</w:t>
      </w:r>
      <w:r>
        <w:tab/>
        <w:t>so znepokojením konštatuje, že v posledných rokoch došlo k výraznému poklesu primeraných úrovní vnútroštátneho financovania členských štátov vo vzťahu k ich chudobnejším regiónom; pripomína, že je dôležité dodržiavať pravidlo EÚ o doplnkovosti; vyzýva Komisiu, aby zabezpečila, že vnútroštátne orgány budú pri navrhovaní a realizácii projektov štrukturálnych a investičných fondov náležite zohľadňovať aj vnútornú súdržnosť;</w:t>
      </w:r>
    </w:p>
    <w:p w14:paraId="5ECFE228" w14:textId="77777777" w:rsidR="00FB314C" w:rsidRDefault="006A104C">
      <w:pPr>
        <w:shd w:val="clear" w:color="auto" w:fill="FFFFFF"/>
        <w:spacing w:after="240"/>
        <w:ind w:left="567" w:hanging="567"/>
        <w:jc w:val="both"/>
        <w:rPr>
          <w:iCs/>
        </w:rPr>
      </w:pPr>
      <w:r>
        <w:t>25.</w:t>
      </w:r>
      <w:r>
        <w:tab/>
        <w:t>trvá na tom, že okrem prispôsobenia sa regionálnym potrebám je potrebné prispôsobiť politiku súdržnosti najmenším, t. j. finančné prostriedky musia byť dostupné pre najmenšie projekty a nositeľov projektov; poukazuje na to, že ich iniciatívy sú často najinovatívnejšie a majú významný vplyv na rozvoj vidieka; opakuje, že tieto finančné prostriedky by mali byť dostupné pre všetkých bez ohľadu na ich veľkosť alebo rozsah; schvaľuje výzvu Združenia pre súdržnosť s názvom Pre politiku súdržnosti po roku 2027, p</w:t>
      </w:r>
      <w:r>
        <w:t>ri ktorej sa na nikoho nezabudne;</w:t>
      </w:r>
    </w:p>
    <w:p w14:paraId="682412BD" w14:textId="77777777" w:rsidR="00FB314C" w:rsidRDefault="006A104C">
      <w:pPr>
        <w:pStyle w:val="NormalHanging12a"/>
        <w:rPr>
          <w:szCs w:val="24"/>
        </w:rPr>
      </w:pPr>
      <w:r>
        <w:t>26.</w:t>
      </w:r>
      <w:r>
        <w:tab/>
        <w:t xml:space="preserve">zdôrazňuje, že oneskorenia v rokovaniach o VFR spolu so skutočnosťou, že členské štáty kládli väčší dôraz na programovanie finančných prostriedkov Mechanizmu na podporu obnovy a odolnosti, viedli k značnému oneskoreniu programového obdobia 2021 – 2027; zdôrazňuje význam včasnej dohody v budúcom rámci, a preto žiada, aby sa nariadenie o spoločných ustanoveniach a rokovania o rozpočte dokončili aspoň rok </w:t>
      </w:r>
      <w:r>
        <w:lastRenderedPageBreak/>
        <w:t>pred začiatkom nového obdobia financovania, tak aby členské štáty mohli včas vypracovať svoje vnútroštátn</w:t>
      </w:r>
      <w:r>
        <w:t>e a regionálne stratégie financovania s cieľom zabezpečiť úspešný prechod na ďalšie obdobie financovania aj pokračovanie existujúcich projektov financovaných z EŠIF;</w:t>
      </w:r>
    </w:p>
    <w:p w14:paraId="4AEFC050" w14:textId="77777777" w:rsidR="00FB314C" w:rsidRDefault="006A104C">
      <w:pPr>
        <w:pStyle w:val="NormalHanging12a"/>
      </w:pPr>
      <w:r>
        <w:t>27.</w:t>
      </w:r>
      <w:r>
        <w:tab/>
        <w:t>poveruje svoju predsedníčku, aby postúpila toto uznesenie Rade, Komisii, Európskemu hospodárskemu a sociálnemu výboru, Európskemu výboru regiónov a národným a regionálnym parlamentom členských štátov.</w:t>
      </w:r>
    </w:p>
    <w:p w14:paraId="6AB1AD3A" w14:textId="77777777" w:rsidR="00FB314C" w:rsidRDefault="00FB314C"/>
    <w:sectPr w:rsidR="00FB31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01375" w14:textId="77777777" w:rsidR="00FB314C" w:rsidRDefault="006A104C">
      <w:r>
        <w:separator/>
      </w:r>
    </w:p>
  </w:endnote>
  <w:endnote w:type="continuationSeparator" w:id="0">
    <w:p w14:paraId="0DA5106B" w14:textId="77777777" w:rsidR="00FB314C" w:rsidRDefault="006A1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42B76" w14:textId="77777777" w:rsidR="00FB314C" w:rsidRDefault="00FB314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146F6" w14:textId="77777777" w:rsidR="00FB314C" w:rsidRDefault="00FB314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8C5C9" w14:textId="77777777" w:rsidR="00FB314C" w:rsidRDefault="00FB314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2263F" w14:textId="77777777" w:rsidR="00FB314C" w:rsidRDefault="006A104C">
      <w:r>
        <w:separator/>
      </w:r>
    </w:p>
  </w:footnote>
  <w:footnote w:type="continuationSeparator" w:id="0">
    <w:p w14:paraId="21F122D6" w14:textId="77777777" w:rsidR="00FB314C" w:rsidRDefault="006A104C">
      <w:r>
        <w:continuationSeparator/>
      </w:r>
    </w:p>
  </w:footnote>
  <w:footnote w:id="1">
    <w:p w14:paraId="2DE4266F" w14:textId="77777777" w:rsidR="00FB314C" w:rsidRDefault="006A104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color w:val="0000FF"/>
          <w:sz w:val="24"/>
          <w:u w:val="single" w:color="0000FF"/>
          <w:lang w:val="sk-SK"/>
        </w:rPr>
        <w:t>Ú. v. EÚ L 231, 30.6.2021, s. 159, ELI:</w:t>
      </w:r>
      <w:hyperlink r:id="rId1" w:history="1">
        <w:r>
          <w:rPr>
            <w:color w:val="0000FF"/>
            <w:sz w:val="24"/>
            <w:u w:val="single" w:color="0000FF"/>
            <w:lang w:val="sk-SK"/>
          </w:rPr>
          <w:t xml:space="preserve"> http://data.europa.eu/eli/reg/2021/1060/oj</w:t>
        </w:r>
      </w:hyperlink>
      <w:r>
        <w:rPr>
          <w:sz w:val="24"/>
          <w:lang w:val="sk-SK"/>
        </w:rPr>
        <w:t>.</w:t>
      </w:r>
    </w:p>
  </w:footnote>
  <w:footnote w:id="2">
    <w:p w14:paraId="24A34CCA" w14:textId="77777777" w:rsidR="00FB314C" w:rsidRDefault="006A104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color w:val="0000FF"/>
          <w:sz w:val="24"/>
          <w:u w:val="single" w:color="0000FF"/>
          <w:lang w:val="sk-SK"/>
        </w:rPr>
        <w:t>Ú. v. EÚ L 231, 30.6.2021, s. 60, ELI:</w:t>
      </w:r>
      <w:hyperlink r:id="rId2" w:history="1">
        <w:r>
          <w:rPr>
            <w:color w:val="0000FF"/>
            <w:sz w:val="24"/>
            <w:u w:val="single" w:color="0000FF"/>
            <w:lang w:val="sk-SK"/>
          </w:rPr>
          <w:t xml:space="preserve"> http://data.europa.eu/eli/reg/2021/1058/oj</w:t>
        </w:r>
      </w:hyperlink>
      <w:r>
        <w:rPr>
          <w:sz w:val="24"/>
          <w:lang w:val="sk-SK"/>
        </w:rPr>
        <w:t>.</w:t>
      </w:r>
    </w:p>
  </w:footnote>
  <w:footnote w:id="3">
    <w:p w14:paraId="27C59A68" w14:textId="77777777" w:rsidR="00FB314C" w:rsidRDefault="006A104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color w:val="0000FF"/>
          <w:sz w:val="24"/>
          <w:u w:val="single" w:color="0000FF"/>
          <w:lang w:val="sk-SK"/>
        </w:rPr>
        <w:t>Ú. v. EÚ L 231, 30.6.2021, s. 94, ELI:</w:t>
      </w:r>
      <w:hyperlink r:id="rId3" w:history="1">
        <w:r>
          <w:rPr>
            <w:color w:val="0000FF"/>
            <w:sz w:val="24"/>
            <w:u w:val="single" w:color="0000FF"/>
            <w:lang w:val="sk-SK"/>
          </w:rPr>
          <w:t xml:space="preserve"> http://data.europa.eu/eli/reg/2021/1059/oj</w:t>
        </w:r>
      </w:hyperlink>
      <w:r>
        <w:rPr>
          <w:sz w:val="24"/>
          <w:lang w:val="sk-SK"/>
        </w:rPr>
        <w:t>.</w:t>
      </w:r>
    </w:p>
  </w:footnote>
  <w:footnote w:id="4">
    <w:p w14:paraId="62C14406" w14:textId="77777777" w:rsidR="00FB314C" w:rsidRDefault="006A104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color w:val="0000FF"/>
          <w:sz w:val="24"/>
          <w:u w:val="single" w:color="0000FF"/>
          <w:lang w:val="sk-SK"/>
        </w:rPr>
        <w:t>Ú. v. EÚ L 231, 30.6.2021, s. 21, ELI:</w:t>
      </w:r>
      <w:hyperlink r:id="rId4" w:history="1">
        <w:r>
          <w:rPr>
            <w:color w:val="0000FF"/>
            <w:sz w:val="24"/>
            <w:u w:val="single" w:color="0000FF"/>
            <w:lang w:val="sk-SK"/>
          </w:rPr>
          <w:t xml:space="preserve"> http://data.europa.eu/eli/reg/2021/1057/oj</w:t>
        </w:r>
      </w:hyperlink>
      <w:r>
        <w:rPr>
          <w:sz w:val="24"/>
          <w:lang w:val="sk-SK"/>
        </w:rPr>
        <w:t>.</w:t>
      </w:r>
    </w:p>
  </w:footnote>
  <w:footnote w:id="5">
    <w:p w14:paraId="2B5B7585" w14:textId="77777777" w:rsidR="00FB314C" w:rsidRDefault="006A104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color w:val="0000FF"/>
          <w:sz w:val="24"/>
          <w:u w:val="single" w:color="0000FF"/>
          <w:lang w:val="sk-SK"/>
        </w:rPr>
        <w:t>Ú. v. EÚ L 231, 30.6.2021, s. 1, ELI:</w:t>
      </w:r>
      <w:hyperlink r:id="rId5" w:history="1">
        <w:r>
          <w:rPr>
            <w:color w:val="0000FF"/>
            <w:sz w:val="24"/>
            <w:u w:val="single" w:color="0000FF"/>
            <w:lang w:val="sk-SK"/>
          </w:rPr>
          <w:t xml:space="preserve"> http://data.europa.eu/eli/reg/2021/1056/oj</w:t>
        </w:r>
      </w:hyperlink>
      <w:r>
        <w:rPr>
          <w:sz w:val="24"/>
          <w:lang w:val="sk-SK"/>
        </w:rPr>
        <w:t>.</w:t>
      </w:r>
    </w:p>
  </w:footnote>
  <w:footnote w:id="6">
    <w:p w14:paraId="6EB832E6" w14:textId="77777777" w:rsidR="00FB314C" w:rsidRDefault="006A104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color w:val="0000FF"/>
          <w:sz w:val="24"/>
          <w:u w:val="single" w:color="0000FF"/>
          <w:lang w:val="sk-SK"/>
        </w:rPr>
        <w:t xml:space="preserve">Ú. v. EÚ L 435, 6.12.2021, s. 1, </w:t>
      </w:r>
      <w:r>
        <w:rPr>
          <w:color w:val="0000FF"/>
          <w:sz w:val="24"/>
          <w:u w:val="single" w:color="0000FF"/>
          <w:lang w:val="sk-SK"/>
        </w:rPr>
        <w:t>ELI:</w:t>
      </w:r>
      <w:hyperlink r:id="rId6" w:history="1">
        <w:r>
          <w:rPr>
            <w:color w:val="0000FF"/>
            <w:sz w:val="24"/>
            <w:u w:val="single" w:color="0000FF"/>
            <w:lang w:val="sk-SK"/>
          </w:rPr>
          <w:t xml:space="preserve"> http://data.europa.eu/eli/reg/2021/2115/oj</w:t>
        </w:r>
      </w:hyperlink>
      <w:r>
        <w:rPr>
          <w:sz w:val="24"/>
          <w:lang w:val="sk-SK"/>
        </w:rPr>
        <w:t>.</w:t>
      </w:r>
    </w:p>
  </w:footnote>
  <w:footnote w:id="7">
    <w:p w14:paraId="2B859B9D" w14:textId="77777777" w:rsidR="00FB314C" w:rsidRDefault="006A104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color w:val="0000FF"/>
          <w:sz w:val="24"/>
          <w:u w:val="single" w:color="0000FF"/>
          <w:lang w:val="sk-SK"/>
        </w:rPr>
        <w:t>Ú. v. EÚ L 99, 31.3.2020, s. 5, ELI:</w:t>
      </w:r>
      <w:hyperlink r:id="rId7" w:history="1">
        <w:r>
          <w:rPr>
            <w:color w:val="0000FF"/>
            <w:sz w:val="24"/>
            <w:u w:val="single" w:color="0000FF"/>
            <w:lang w:val="sk-SK"/>
          </w:rPr>
          <w:t xml:space="preserve"> http://data.europa.eu/eli/reg/2020/460/oj</w:t>
        </w:r>
      </w:hyperlink>
      <w:r>
        <w:rPr>
          <w:sz w:val="24"/>
          <w:lang w:val="sk-SK"/>
        </w:rPr>
        <w:t>.</w:t>
      </w:r>
    </w:p>
  </w:footnote>
  <w:footnote w:id="8">
    <w:p w14:paraId="3FAFABD4" w14:textId="77777777" w:rsidR="00FB314C" w:rsidRDefault="006A104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color w:val="0000FF"/>
          <w:sz w:val="24"/>
          <w:u w:val="single" w:color="0000FF"/>
          <w:lang w:val="sk-SK"/>
        </w:rPr>
        <w:t>Ú. v. EÚ L 130, 24.4.2020, s. 1, ELI:</w:t>
      </w:r>
      <w:hyperlink r:id="rId8" w:history="1">
        <w:r>
          <w:rPr>
            <w:color w:val="0000FF"/>
            <w:sz w:val="24"/>
            <w:u w:val="single" w:color="0000FF"/>
            <w:lang w:val="sk-SK"/>
          </w:rPr>
          <w:t xml:space="preserve"> http://data.europa.eu/eli/reg/2020/558/oj</w:t>
        </w:r>
      </w:hyperlink>
      <w:r>
        <w:rPr>
          <w:sz w:val="24"/>
          <w:lang w:val="sk-SK"/>
        </w:rPr>
        <w:t>.</w:t>
      </w:r>
    </w:p>
  </w:footnote>
  <w:footnote w:id="9">
    <w:p w14:paraId="515FBD08" w14:textId="77777777" w:rsidR="00FB314C" w:rsidRDefault="006A104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color w:val="0000FF"/>
          <w:sz w:val="24"/>
          <w:u w:val="single" w:color="0000FF"/>
          <w:lang w:val="sk-SK"/>
        </w:rPr>
        <w:t>Ú. v. EÚ L 99, 31.3.2020, s. 9, ELI:</w:t>
      </w:r>
      <w:hyperlink r:id="rId9" w:history="1">
        <w:r>
          <w:rPr>
            <w:color w:val="0000FF"/>
            <w:sz w:val="24"/>
            <w:u w:val="single" w:color="0000FF"/>
            <w:lang w:val="sk-SK"/>
          </w:rPr>
          <w:t xml:space="preserve"> http://data.europa.eu/eli/reg/2020/461/oj</w:t>
        </w:r>
      </w:hyperlink>
      <w:r>
        <w:rPr>
          <w:sz w:val="24"/>
          <w:lang w:val="sk-SK"/>
        </w:rPr>
        <w:t>.</w:t>
      </w:r>
    </w:p>
  </w:footnote>
  <w:footnote w:id="10">
    <w:p w14:paraId="60E3ADA7" w14:textId="77777777" w:rsidR="00FB314C" w:rsidRDefault="006A104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color w:val="0000FF"/>
          <w:sz w:val="24"/>
          <w:u w:val="single" w:color="0000FF"/>
          <w:lang w:val="sk-SK"/>
        </w:rPr>
        <w:t>Ú. v. EÚ L 437, 28.12.2020, s. 30, ELI:</w:t>
      </w:r>
      <w:hyperlink r:id="rId10" w:history="1">
        <w:r>
          <w:rPr>
            <w:color w:val="0000FF"/>
            <w:sz w:val="24"/>
            <w:u w:val="single" w:color="0000FF"/>
            <w:lang w:val="sk-SK"/>
          </w:rPr>
          <w:t xml:space="preserve"> http://data.europa.eu/eli/reg/2020/2221/oj</w:t>
        </w:r>
      </w:hyperlink>
      <w:r>
        <w:rPr>
          <w:sz w:val="24"/>
          <w:lang w:val="sk-SK"/>
        </w:rPr>
        <w:t>.</w:t>
      </w:r>
    </w:p>
  </w:footnote>
  <w:footnote w:id="11">
    <w:p w14:paraId="1989C007" w14:textId="77777777" w:rsidR="00FB314C" w:rsidRDefault="006A104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color w:val="0000FF"/>
          <w:sz w:val="24"/>
          <w:u w:val="single" w:color="0000FF"/>
          <w:lang w:val="sk-SK"/>
        </w:rPr>
        <w:t>Ú. v. EÚ L 109, 8.4.2022, s. 1, ELI:</w:t>
      </w:r>
      <w:hyperlink r:id="rId11" w:history="1">
        <w:r>
          <w:rPr>
            <w:color w:val="0000FF"/>
            <w:sz w:val="24"/>
            <w:u w:val="single" w:color="0000FF"/>
            <w:lang w:val="sk-SK"/>
          </w:rPr>
          <w:t xml:space="preserve"> http://data.europa.eu/eli/reg/2022/562/oj</w:t>
        </w:r>
      </w:hyperlink>
      <w:r>
        <w:rPr>
          <w:sz w:val="24"/>
          <w:lang w:val="sk-SK"/>
        </w:rPr>
        <w:t>.</w:t>
      </w:r>
    </w:p>
  </w:footnote>
  <w:footnote w:id="12">
    <w:p w14:paraId="549896A5" w14:textId="77777777" w:rsidR="00FB314C" w:rsidRDefault="006A104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color w:val="0000FF"/>
          <w:sz w:val="24"/>
          <w:u w:val="single" w:color="0000FF"/>
          <w:lang w:val="sk-SK"/>
        </w:rPr>
        <w:t>Ú. v. EÚ L 275, 25.10.2022, s. 23, ELI:</w:t>
      </w:r>
      <w:hyperlink r:id="rId12" w:history="1">
        <w:r>
          <w:rPr>
            <w:color w:val="0000FF"/>
            <w:sz w:val="24"/>
            <w:u w:val="single" w:color="0000FF"/>
            <w:lang w:val="sk-SK"/>
          </w:rPr>
          <w:t xml:space="preserve"> http://data.europa.eu/eli/reg/2022/2039/oj</w:t>
        </w:r>
      </w:hyperlink>
      <w:r>
        <w:rPr>
          <w:sz w:val="24"/>
          <w:lang w:val="sk-SK"/>
        </w:rPr>
        <w:t>.</w:t>
      </w:r>
    </w:p>
  </w:footnote>
  <w:footnote w:id="13">
    <w:p w14:paraId="7CD82A6E" w14:textId="77777777" w:rsidR="00FB314C" w:rsidRDefault="006A104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Európska komisia: Generálne riaditeľstvo pre regionálnu a mestskú politiku, </w:t>
      </w:r>
      <w:r>
        <w:rPr>
          <w:rStyle w:val="Italic"/>
          <w:sz w:val="24"/>
          <w:lang w:val="sk-SK"/>
        </w:rPr>
        <w:t>Deviata správa o hospodárskej, sociálnej a územnej súdržnosti</w:t>
      </w:r>
      <w:r>
        <w:rPr>
          <w:sz w:val="24"/>
          <w:lang w:val="sk-SK"/>
        </w:rPr>
        <w:t>, 2024.</w:t>
      </w:r>
    </w:p>
  </w:footnote>
  <w:footnote w:id="14">
    <w:p w14:paraId="0BE0ACC9" w14:textId="77777777" w:rsidR="00FB314C" w:rsidRDefault="006A104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Európska komisia: Generálne riaditeľstvo pre regionálnu a mestskú politiku, </w:t>
      </w:r>
      <w:r>
        <w:rPr>
          <w:rStyle w:val="Italic"/>
          <w:sz w:val="24"/>
          <w:lang w:val="sk-SK"/>
        </w:rPr>
        <w:t>Spoločné vytváranie udržateľnej budúcnosti: súdržnosť pre konkurencieschopnú a inkluzívnu Európu“, skupina na vysokej úrovni pre budúcnosť politiky súdržnosti, február 2024</w:t>
      </w:r>
      <w:r>
        <w:rPr>
          <w:sz w:val="24"/>
          <w:lang w:val="sk-SK"/>
        </w:rPr>
        <w:t>.</w:t>
      </w:r>
    </w:p>
  </w:footnote>
  <w:footnote w:id="15">
    <w:p w14:paraId="45514102" w14:textId="77777777" w:rsidR="00FB314C" w:rsidRDefault="006A104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Ú. v. EÚ C, C/2024/4668, 9.8.2024, ELI: </w:t>
      </w:r>
      <w:hyperlink r:id="rId13" w:history="1">
        <w:r>
          <w:rPr>
            <w:rStyle w:val="Hyperlink"/>
            <w:sz w:val="24"/>
            <w:lang w:val="sk-SK"/>
          </w:rPr>
          <w:t>http://data.europa.eu/eli/C/2024/4668/oj</w:t>
        </w:r>
      </w:hyperlink>
      <w:r>
        <w:rPr>
          <w:sz w:val="24"/>
          <w:lang w:val="sk-SK"/>
        </w:rPr>
        <w:t>.</w:t>
      </w:r>
    </w:p>
  </w:footnote>
  <w:footnote w:id="16">
    <w:p w14:paraId="5937C716" w14:textId="77777777" w:rsidR="00FB314C" w:rsidRDefault="006A104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Európsky parlament: tematická sekcia pre štrukturálne politiky a politiky súdržnosti, Generálne riaditeľstvo pre vnútorné politiky, </w:t>
      </w:r>
      <w:r>
        <w:rPr>
          <w:rStyle w:val="Italic"/>
          <w:sz w:val="24"/>
          <w:lang w:val="sk-SK"/>
        </w:rPr>
        <w:t>Zjednodušenie kohéznych fondov EÚ – riešenie administratívnej záťaže a nadbytočnosti</w:t>
      </w:r>
      <w:r>
        <w:rPr>
          <w:sz w:val="24"/>
          <w:lang w:val="sk-SK"/>
        </w:rPr>
        <w:t>, 2024.</w:t>
      </w:r>
    </w:p>
  </w:footnote>
  <w:footnote w:id="17">
    <w:p w14:paraId="4BDD7D45" w14:textId="77777777" w:rsidR="00FB314C" w:rsidRDefault="006A104C">
      <w:pPr>
        <w:pStyle w:val="FootnoteText"/>
        <w:ind w:left="567" w:hanging="567"/>
        <w:rPr>
          <w:lang w:val="sk-SK"/>
        </w:rPr>
      </w:pPr>
      <w:r>
        <w:rPr>
          <w:rStyle w:val="FootnoteReference"/>
        </w:rPr>
        <w:footnoteRef/>
      </w:r>
      <w:r>
        <w:rPr>
          <w:lang w:val="sk-SK"/>
        </w:rPr>
        <w:t xml:space="preserve"> </w:t>
      </w:r>
      <w:r>
        <w:rPr>
          <w:lang w:val="sk-SK"/>
        </w:rPr>
        <w:tab/>
      </w:r>
      <w:r>
        <w:rPr>
          <w:sz w:val="24"/>
          <w:szCs w:val="24"/>
          <w:lang w:val="sk-SK"/>
        </w:rPr>
        <w:t>Zatiaľ neuverejnené v úradnom vestníku.</w:t>
      </w:r>
    </w:p>
  </w:footnote>
  <w:footnote w:id="18">
    <w:p w14:paraId="0B1B9796" w14:textId="77777777" w:rsidR="00FB314C" w:rsidRDefault="006A104C">
      <w:pPr>
        <w:pStyle w:val="FootnoteText"/>
        <w:ind w:left="567" w:hanging="567"/>
        <w:rPr>
          <w:lang w:val="sk-SK"/>
        </w:rPr>
      </w:pPr>
      <w:r>
        <w:rPr>
          <w:rStyle w:val="FootnoteReference"/>
        </w:rPr>
        <w:footnoteRef/>
      </w:r>
      <w:r>
        <w:rPr>
          <w:lang w:val="sk-SK"/>
        </w:rPr>
        <w:t xml:space="preserve"> </w:t>
      </w:r>
      <w:r>
        <w:rPr>
          <w:lang w:val="sk-SK"/>
        </w:rPr>
        <w:tab/>
      </w:r>
      <w:r>
        <w:rPr>
          <w:sz w:val="24"/>
          <w:szCs w:val="24"/>
          <w:lang w:val="sk-SK"/>
        </w:rPr>
        <w:t>Zatiaľ neuverejnené v úradnom vestníku.</w:t>
      </w:r>
    </w:p>
  </w:footnote>
  <w:footnote w:id="19">
    <w:p w14:paraId="3C930EF6" w14:textId="77777777" w:rsidR="00FB314C" w:rsidRDefault="006A104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>Ú. v. EÚ C 494, 8.12.2021, s. 26.</w:t>
      </w:r>
    </w:p>
  </w:footnote>
  <w:footnote w:id="20">
    <w:p w14:paraId="70B1D96B" w14:textId="77777777" w:rsidR="00FB314C" w:rsidRDefault="006A104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>Ú. v. EÚ C 15, 12.1.2022, s. 125.</w:t>
      </w:r>
    </w:p>
  </w:footnote>
  <w:footnote w:id="21">
    <w:p w14:paraId="71EEC6D8" w14:textId="77777777" w:rsidR="00FB314C" w:rsidRDefault="006A104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>Ú. v. EÚ C 117, 11.3.2022, s. 18.</w:t>
      </w:r>
    </w:p>
  </w:footnote>
  <w:footnote w:id="22">
    <w:p w14:paraId="704F38BD" w14:textId="77777777" w:rsidR="00FB314C" w:rsidRDefault="006A104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hyperlink r:id="rId14" w:history="1">
        <w:r w:rsidRPr="006A104C">
          <w:rPr>
            <w:sz w:val="24"/>
            <w:lang w:val="sk-SK"/>
          </w:rPr>
          <w:t>Ú. v. EÚ C 125, 5.4.2023, s. 100</w:t>
        </w:r>
        <w:r>
          <w:rPr>
            <w:color w:val="0000FF"/>
            <w:sz w:val="24"/>
            <w:u w:val="single" w:color="0000FF"/>
            <w:lang w:val="sk-SK"/>
          </w:rPr>
          <w:t>.</w:t>
        </w:r>
      </w:hyperlink>
    </w:p>
  </w:footnote>
  <w:footnote w:id="23">
    <w:p w14:paraId="2A4096A2" w14:textId="646F2908" w:rsidR="00FB314C" w:rsidRDefault="006A104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Ú. v. EÚ C, </w:t>
      </w:r>
      <w:r>
        <w:rPr>
          <w:sz w:val="24"/>
          <w:lang w:val="sk-SK"/>
        </w:rPr>
        <w:t>C/2024/4207, 24.7.2024</w:t>
      </w:r>
      <w:r>
        <w:rPr>
          <w:color w:val="000000" w:themeColor="text1"/>
          <w:sz w:val="24"/>
          <w:lang w:val="sk-SK"/>
        </w:rPr>
        <w:t xml:space="preserve">, </w:t>
      </w:r>
      <w:r>
        <w:rPr>
          <w:rStyle w:val="Emphasis"/>
          <w:i w:val="0"/>
          <w:color w:val="000000" w:themeColor="text1"/>
          <w:sz w:val="24"/>
          <w:shd w:val="clear" w:color="auto" w:fill="FFFFFF"/>
          <w:lang w:val="sk-SK"/>
        </w:rPr>
        <w:t>ELI</w:t>
      </w:r>
      <w:r>
        <w:rPr>
          <w:rStyle w:val="Emphasis"/>
          <w:color w:val="000000" w:themeColor="text1"/>
          <w:sz w:val="24"/>
          <w:shd w:val="clear" w:color="auto" w:fill="FFFFFF"/>
          <w:lang w:val="sk-SK"/>
        </w:rPr>
        <w:t>: </w:t>
      </w:r>
      <w:hyperlink r:id="rId15" w:tgtFrame="_blank" w:tooltip="Umožňuje prístup k tomuto dokumentu prostredníctvom jeho ELI URI." w:history="1">
        <w:r>
          <w:rPr>
            <w:rStyle w:val="Hyperlink"/>
            <w:color w:val="000000" w:themeColor="text1"/>
            <w:sz w:val="24"/>
            <w:lang w:val="sk-SK"/>
          </w:rPr>
          <w:t>http://data.europa.eu/eli/C/2024/4207/oj</w:t>
        </w:r>
      </w:hyperlink>
      <w:r>
        <w:rPr>
          <w:rStyle w:val="Emphasis"/>
          <w:color w:val="000000" w:themeColor="text1"/>
          <w:sz w:val="24"/>
          <w:shd w:val="clear" w:color="auto" w:fill="FFFFFF"/>
          <w:lang w:val="sk-SK"/>
        </w:rPr>
        <w:t>.</w:t>
      </w:r>
    </w:p>
  </w:footnote>
  <w:footnote w:id="24">
    <w:p w14:paraId="0ADF94F4" w14:textId="2404BD06" w:rsidR="00FB314C" w:rsidRDefault="006A104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Ú. v. EÚ C, </w:t>
      </w:r>
      <w:r>
        <w:rPr>
          <w:sz w:val="24"/>
          <w:lang w:val="sk-SK"/>
        </w:rPr>
        <w:t xml:space="preserve">C/2024/4225, 24.7.2024, ELI: </w:t>
      </w:r>
      <w:hyperlink r:id="rId16" w:history="1">
        <w:r>
          <w:rPr>
            <w:rStyle w:val="Hyperlink"/>
            <w:sz w:val="24"/>
            <w:lang w:val="sk-SK"/>
          </w:rPr>
          <w:t>http://data.europa.eu/eli/C/2024/4225/oj</w:t>
        </w:r>
      </w:hyperlink>
      <w:r>
        <w:rPr>
          <w:sz w:val="24"/>
          <w:lang w:val="sk-SK"/>
        </w:rPr>
        <w:t>.</w:t>
      </w:r>
    </w:p>
  </w:footnote>
  <w:footnote w:id="25">
    <w:p w14:paraId="3E620EC9" w14:textId="77777777" w:rsidR="00FB314C" w:rsidRDefault="006A104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Ú. v. EÚ C, C/2024/6562, 12.11.2024, ELI: </w:t>
      </w:r>
      <w:hyperlink r:id="rId17" w:history="1">
        <w:r>
          <w:rPr>
            <w:rStyle w:val="Hyperlink"/>
            <w:sz w:val="24"/>
            <w:lang w:val="sk-SK"/>
          </w:rPr>
          <w:t>http://data.europa.eu/eli/C/2024/6562/oj</w:t>
        </w:r>
      </w:hyperlink>
      <w:r>
        <w:rPr>
          <w:sz w:val="24"/>
          <w:lang w:val="sk-SK"/>
        </w:rPr>
        <w:t>.</w:t>
      </w:r>
    </w:p>
  </w:footnote>
  <w:footnote w:id="26">
    <w:p w14:paraId="52DE0D0F" w14:textId="77777777" w:rsidR="00FB314C" w:rsidRDefault="006A104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 xml:space="preserve">Európska komisia, </w:t>
      </w:r>
      <w:r>
        <w:rPr>
          <w:i/>
          <w:sz w:val="24"/>
          <w:lang w:val="sk-SK"/>
        </w:rPr>
        <w:t>Deviata správa o hospodárskej, sociálnej a územnej súdržnosti</w:t>
      </w:r>
      <w:r>
        <w:rPr>
          <w:sz w:val="24"/>
          <w:lang w:val="sk-SK"/>
        </w:rPr>
        <w:t xml:space="preserve">, </w:t>
      </w:r>
      <w:proofErr w:type="spellStart"/>
      <w:r>
        <w:rPr>
          <w:sz w:val="24"/>
          <w:lang w:val="sk-SK"/>
        </w:rPr>
        <w:t>op</w:t>
      </w:r>
      <w:proofErr w:type="spellEnd"/>
      <w:r>
        <w:rPr>
          <w:sz w:val="24"/>
          <w:lang w:val="sk-SK"/>
        </w:rPr>
        <w:t>. cit.</w:t>
      </w:r>
    </w:p>
  </w:footnote>
  <w:footnote w:id="27">
    <w:p w14:paraId="2BA7E2B3" w14:textId="77777777" w:rsidR="00FB314C" w:rsidRDefault="006A104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Európska komisia: </w:t>
      </w:r>
      <w:r>
        <w:rPr>
          <w:i/>
          <w:sz w:val="24"/>
          <w:lang w:val="sk-SK"/>
        </w:rPr>
        <w:t>Deviata správa o hospodárskej, sociálnej a územnej súdržnosti</w:t>
      </w:r>
      <w:r>
        <w:rPr>
          <w:sz w:val="24"/>
          <w:lang w:val="sk-SK"/>
        </w:rPr>
        <w:t xml:space="preserve">, </w:t>
      </w:r>
      <w:proofErr w:type="spellStart"/>
      <w:r>
        <w:rPr>
          <w:sz w:val="24"/>
          <w:lang w:val="sk-SK"/>
        </w:rPr>
        <w:t>op</w:t>
      </w:r>
      <w:proofErr w:type="spellEnd"/>
      <w:r>
        <w:rPr>
          <w:sz w:val="24"/>
          <w:lang w:val="sk-SK"/>
        </w:rPr>
        <w:t>. cit.</w:t>
      </w:r>
    </w:p>
  </w:footnote>
  <w:footnote w:id="28">
    <w:p w14:paraId="62B0B63B" w14:textId="77777777" w:rsidR="00FB314C" w:rsidRDefault="006A104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>Európska komisia: Generálne riaditeľstvo pre regionálnu a mestskú politiku a Generálne riaditeľstvo pre komunikáciu</w:t>
      </w:r>
      <w:r>
        <w:rPr>
          <w:i/>
          <w:sz w:val="24"/>
          <w:lang w:val="sk-SK"/>
        </w:rPr>
        <w:t>, Informovanosť občanov o regionálnej politike EÚ a jej vnímanie</w:t>
      </w:r>
      <w:r>
        <w:rPr>
          <w:sz w:val="24"/>
          <w:lang w:val="sk-SK"/>
        </w:rPr>
        <w:t xml:space="preserve">, rýchly prieskum </w:t>
      </w:r>
      <w:proofErr w:type="spellStart"/>
      <w:r>
        <w:rPr>
          <w:sz w:val="24"/>
          <w:lang w:val="sk-SK"/>
        </w:rPr>
        <w:t>Eurobarometra</w:t>
      </w:r>
      <w:proofErr w:type="spellEnd"/>
      <w:r>
        <w:rPr>
          <w:sz w:val="24"/>
          <w:lang w:val="sk-SK"/>
        </w:rPr>
        <w:t xml:space="preserve"> č. 531, 2023.</w:t>
      </w:r>
    </w:p>
  </w:footnote>
  <w:footnote w:id="29">
    <w:p w14:paraId="304BE108" w14:textId="77777777" w:rsidR="00FB314C" w:rsidRDefault="006A104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Rýchly prieskum </w:t>
      </w:r>
      <w:proofErr w:type="spellStart"/>
      <w:r>
        <w:rPr>
          <w:sz w:val="24"/>
          <w:lang w:val="sk-SK"/>
        </w:rPr>
        <w:t>Eurobarometra</w:t>
      </w:r>
      <w:proofErr w:type="spellEnd"/>
      <w:r>
        <w:rPr>
          <w:sz w:val="24"/>
          <w:lang w:val="sk-SK"/>
        </w:rPr>
        <w:t xml:space="preserve"> č. 531, </w:t>
      </w:r>
      <w:proofErr w:type="spellStart"/>
      <w:r>
        <w:rPr>
          <w:sz w:val="24"/>
          <w:lang w:val="sk-SK"/>
        </w:rPr>
        <w:t>op</w:t>
      </w:r>
      <w:proofErr w:type="spellEnd"/>
      <w:r>
        <w:rPr>
          <w:sz w:val="24"/>
          <w:lang w:val="sk-SK"/>
        </w:rPr>
        <w:t>. cit.</w:t>
      </w:r>
    </w:p>
  </w:footnote>
  <w:footnote w:id="30">
    <w:p w14:paraId="6A04C373" w14:textId="77777777" w:rsidR="00FB314C" w:rsidRDefault="006A104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Európsky dvor audítorov, </w:t>
      </w:r>
      <w:r>
        <w:rPr>
          <w:i/>
          <w:sz w:val="24"/>
          <w:lang w:val="sk-SK"/>
        </w:rPr>
        <w:t>Rýchle preskúmanie – Prideľovanie finančných prostriedkov na politiku súdržnosti na obdobie 2021 – 2027 medzi členské štáty</w:t>
      </w:r>
      <w:r>
        <w:rPr>
          <w:sz w:val="24"/>
          <w:lang w:val="sk-SK"/>
        </w:rPr>
        <w:t>, marec 2019.</w:t>
      </w:r>
    </w:p>
  </w:footnote>
  <w:footnote w:id="31">
    <w:p w14:paraId="53CB00EC" w14:textId="77777777" w:rsidR="00FB314C" w:rsidRDefault="006A104C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Oznámenie Komisie z 29. apríla 2021 s názvom Usmernenia o regionálnej štátnej pomoci (Ú. v. EÚ C 153, 29.4.2021, s.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D38D3" w14:textId="77777777" w:rsidR="00FB314C" w:rsidRDefault="00FB314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110B2" w14:textId="77777777" w:rsidR="00FB314C" w:rsidRDefault="00FB314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26BCB" w14:textId="77777777" w:rsidR="00FB314C" w:rsidRDefault="00FB314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49832786">
    <w:abstractNumId w:val="9"/>
  </w:num>
  <w:num w:numId="2" w16cid:durableId="1219705594">
    <w:abstractNumId w:val="9"/>
  </w:num>
  <w:num w:numId="3" w16cid:durableId="1032731963">
    <w:abstractNumId w:val="7"/>
  </w:num>
  <w:num w:numId="4" w16cid:durableId="1219782040">
    <w:abstractNumId w:val="7"/>
  </w:num>
  <w:num w:numId="5" w16cid:durableId="1429542910">
    <w:abstractNumId w:val="6"/>
  </w:num>
  <w:num w:numId="6" w16cid:durableId="1121846973">
    <w:abstractNumId w:val="6"/>
  </w:num>
  <w:num w:numId="7" w16cid:durableId="817458985">
    <w:abstractNumId w:val="5"/>
  </w:num>
  <w:num w:numId="8" w16cid:durableId="485782516">
    <w:abstractNumId w:val="5"/>
  </w:num>
  <w:num w:numId="9" w16cid:durableId="2019886519">
    <w:abstractNumId w:val="4"/>
  </w:num>
  <w:num w:numId="10" w16cid:durableId="2110083189">
    <w:abstractNumId w:val="4"/>
  </w:num>
  <w:num w:numId="11" w16cid:durableId="11541866">
    <w:abstractNumId w:val="8"/>
  </w:num>
  <w:num w:numId="12" w16cid:durableId="1454130676">
    <w:abstractNumId w:val="8"/>
  </w:num>
  <w:num w:numId="13" w16cid:durableId="2141726793">
    <w:abstractNumId w:val="3"/>
  </w:num>
  <w:num w:numId="14" w16cid:durableId="1978994892">
    <w:abstractNumId w:val="3"/>
  </w:num>
  <w:num w:numId="15" w16cid:durableId="1942447772">
    <w:abstractNumId w:val="2"/>
  </w:num>
  <w:num w:numId="16" w16cid:durableId="1957445804">
    <w:abstractNumId w:val="2"/>
  </w:num>
  <w:num w:numId="17" w16cid:durableId="525948911">
    <w:abstractNumId w:val="1"/>
  </w:num>
  <w:num w:numId="18" w16cid:durableId="2046706987">
    <w:abstractNumId w:val="1"/>
  </w:num>
  <w:num w:numId="19" w16cid:durableId="1100761633">
    <w:abstractNumId w:val="0"/>
  </w:num>
  <w:num w:numId="20" w16cid:durableId="1679312229">
    <w:abstractNumId w:val="0"/>
  </w:num>
  <w:num w:numId="21" w16cid:durableId="423112622">
    <w:abstractNumId w:val="9"/>
  </w:num>
  <w:num w:numId="22" w16cid:durableId="687175319">
    <w:abstractNumId w:val="7"/>
  </w:num>
  <w:num w:numId="23" w16cid:durableId="944383916">
    <w:abstractNumId w:val="6"/>
  </w:num>
  <w:num w:numId="24" w16cid:durableId="2113159166">
    <w:abstractNumId w:val="5"/>
  </w:num>
  <w:num w:numId="25" w16cid:durableId="1113862298">
    <w:abstractNumId w:val="4"/>
  </w:num>
  <w:num w:numId="26" w16cid:durableId="258828681">
    <w:abstractNumId w:val="8"/>
  </w:num>
  <w:num w:numId="27" w16cid:durableId="1977485906">
    <w:abstractNumId w:val="3"/>
  </w:num>
  <w:num w:numId="28" w16cid:durableId="1584997181">
    <w:abstractNumId w:val="2"/>
  </w:num>
  <w:num w:numId="29" w16cid:durableId="1735548807">
    <w:abstractNumId w:val="1"/>
  </w:num>
  <w:num w:numId="30" w16cid:durableId="1460997279">
    <w:abstractNumId w:val="0"/>
  </w:num>
  <w:num w:numId="31" w16cid:durableId="2117364462">
    <w:abstractNumId w:val="9"/>
  </w:num>
  <w:num w:numId="32" w16cid:durableId="796803492">
    <w:abstractNumId w:val="7"/>
  </w:num>
  <w:num w:numId="33" w16cid:durableId="188841315">
    <w:abstractNumId w:val="6"/>
  </w:num>
  <w:num w:numId="34" w16cid:durableId="1975863433">
    <w:abstractNumId w:val="5"/>
  </w:num>
  <w:num w:numId="35" w16cid:durableId="1533231541">
    <w:abstractNumId w:val="4"/>
  </w:num>
  <w:num w:numId="36" w16cid:durableId="999045767">
    <w:abstractNumId w:val="8"/>
  </w:num>
  <w:num w:numId="37" w16cid:durableId="310599506">
    <w:abstractNumId w:val="3"/>
  </w:num>
  <w:num w:numId="38" w16cid:durableId="1635405312">
    <w:abstractNumId w:val="2"/>
  </w:num>
  <w:num w:numId="39" w16cid:durableId="464078688">
    <w:abstractNumId w:val="1"/>
  </w:num>
  <w:num w:numId="40" w16cid:durableId="790054273">
    <w:abstractNumId w:val="0"/>
  </w:num>
  <w:num w:numId="41" w16cid:durableId="1499034420">
    <w:abstractNumId w:val="10"/>
  </w:num>
  <w:num w:numId="42" w16cid:durableId="2060476639">
    <w:abstractNumId w:val="10"/>
  </w:num>
  <w:num w:numId="43" w16cid:durableId="1020745210">
    <w:abstractNumId w:val="10"/>
  </w:num>
  <w:num w:numId="44" w16cid:durableId="20952026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66/2025"/>
    <w:docVar w:name="dvlangue" w:val="SK"/>
    <w:docVar w:name="dvnumam" w:val="0"/>
    <w:docVar w:name="dvpe" w:val="766.926"/>
    <w:docVar w:name="dvrapporteur" w:val="Spravodajca: "/>
    <w:docVar w:name="dvtitre" w:val="Uznesenie Európskeho parlamentu z xx. mája 2025 o deviatej správe o hospodárskej a sociálnej súdržnosti(2024/2107(INI))"/>
  </w:docVars>
  <w:rsids>
    <w:rsidRoot w:val="00FB314C"/>
    <w:rsid w:val="006A104C"/>
    <w:rsid w:val="00BA7D7D"/>
    <w:rsid w:val="00FB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0231A2"/>
  <w15:chartTrackingRefBased/>
  <w15:docId w15:val="{EA1B988C-9035-47D6-9F88-D75C2508B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Italic">
    <w:name w:val="Italic"/>
    <w:uiPriority w:val="1"/>
    <w:rPr>
      <w:i/>
    </w:rPr>
  </w:style>
  <w:style w:type="character" w:customStyle="1" w:styleId="NormalHanging12aChar">
    <w:name w:val="NormalHanging12a Char"/>
    <w:basedOn w:val="DefaultParagraphFont"/>
    <w:link w:val="NormalHanging12a"/>
    <w:rPr>
      <w:snapToGrid w:val="0"/>
      <w:sz w:val="24"/>
      <w:lang w:val="sk-SK" w:eastAsia="en-US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0/558/oj" TargetMode="External"/><Relationship Id="rId13" Type="http://schemas.openxmlformats.org/officeDocument/2006/relationships/hyperlink" Target="http://data.europa.eu/eli/C/2024/4668/oj" TargetMode="External"/><Relationship Id="rId3" Type="http://schemas.openxmlformats.org/officeDocument/2006/relationships/hyperlink" Target="http://data.europa.eu/eli/reg/2021/1059/oj" TargetMode="External"/><Relationship Id="rId7" Type="http://schemas.openxmlformats.org/officeDocument/2006/relationships/hyperlink" Target="http://data.europa.eu/eli/reg/2020/460/oj" TargetMode="External"/><Relationship Id="rId12" Type="http://schemas.openxmlformats.org/officeDocument/2006/relationships/hyperlink" Target="http://data.europa.eu/eli/reg/2022/2039/oj" TargetMode="External"/><Relationship Id="rId17" Type="http://schemas.openxmlformats.org/officeDocument/2006/relationships/hyperlink" Target="http://data.europa.eu/eli/C/2024/6562/oj" TargetMode="External"/><Relationship Id="rId2" Type="http://schemas.openxmlformats.org/officeDocument/2006/relationships/hyperlink" Target="http://data.europa.eu/eli/reg/2021/1058/oj" TargetMode="External"/><Relationship Id="rId16" Type="http://schemas.openxmlformats.org/officeDocument/2006/relationships/hyperlink" Target="http://data.europa.eu/eli/C/2024/4225/oj" TargetMode="External"/><Relationship Id="rId1" Type="http://schemas.openxmlformats.org/officeDocument/2006/relationships/hyperlink" Target="http://data.europa.eu/eli/reg/2021/1060/oj" TargetMode="External"/><Relationship Id="rId6" Type="http://schemas.openxmlformats.org/officeDocument/2006/relationships/hyperlink" Target="http://data.europa.eu/eli/reg/2021/2115/oj" TargetMode="External"/><Relationship Id="rId11" Type="http://schemas.openxmlformats.org/officeDocument/2006/relationships/hyperlink" Target="http://data.europa.eu/eli/reg/2022/562/oj" TargetMode="External"/><Relationship Id="rId5" Type="http://schemas.openxmlformats.org/officeDocument/2006/relationships/hyperlink" Target="http://data.europa.eu/eli/reg/2021/1056/oj" TargetMode="External"/><Relationship Id="rId15" Type="http://schemas.openxmlformats.org/officeDocument/2006/relationships/hyperlink" Target="http://data.europa.eu/eli/C/2024/4207/oj" TargetMode="External"/><Relationship Id="rId10" Type="http://schemas.openxmlformats.org/officeDocument/2006/relationships/hyperlink" Target="http://data.europa.eu/eli/reg/2020/2221/oj" TargetMode="External"/><Relationship Id="rId4" Type="http://schemas.openxmlformats.org/officeDocument/2006/relationships/hyperlink" Target="http://data.europa.eu/eli/reg/2021/1057/oj" TargetMode="External"/><Relationship Id="rId9" Type="http://schemas.openxmlformats.org/officeDocument/2006/relationships/hyperlink" Target="http://data.europa.eu/eli/reg/2020/461/oj" TargetMode="External"/><Relationship Id="rId14" Type="http://schemas.openxmlformats.org/officeDocument/2006/relationships/hyperlink" Target="https://eur-lex.europa.eu/legal-content/SK/TXT/?uri=uriserv:OJ.C_.2023.125.01.0100.01.E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A368C-25B0-4E27-AF4D-064F4C64A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5449</Words>
  <Characters>34313</Characters>
  <Application>Microsoft Office Word</Application>
  <DocSecurity>0</DocSecurity>
  <Lines>285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PESA Karina</cp:lastModifiedBy>
  <cp:revision>5</cp:revision>
  <cp:lastPrinted>2004-11-19T15:42:00Z</cp:lastPrinted>
  <dcterms:created xsi:type="dcterms:W3CDTF">2025-05-08T09:55:00Z</dcterms:created>
  <dcterms:modified xsi:type="dcterms:W3CDTF">2025-10-13T14:00:00Z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A10-0066/2025</vt:lpwstr>
  </property>
  <property fmtid="{D5CDD505-2E9C-101B-9397-08002B2CF9AE}" pid="4" name="&lt;Type&gt;">
    <vt:lpwstr>RR</vt:lpwstr>
  </property>
</Properties>
</file>