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19326E" w14:paraId="1B9F0383" w14:textId="77777777" w:rsidTr="00425111">
        <w:trPr>
          <w:trHeight w:hRule="exact" w:val="1418"/>
        </w:trPr>
        <w:tc>
          <w:tcPr>
            <w:tcW w:w="6804" w:type="dxa"/>
            <w:shd w:val="clear" w:color="auto" w:fill="auto"/>
            <w:vAlign w:val="center"/>
          </w:tcPr>
          <w:p w14:paraId="51E8C4EA" w14:textId="77777777" w:rsidR="00757DD5" w:rsidRPr="0019326E" w:rsidRDefault="00814466" w:rsidP="00425111">
            <w:pPr>
              <w:pStyle w:val="EPName"/>
              <w:rPr>
                <w:lang w:val="en-GB"/>
              </w:rPr>
            </w:pPr>
            <w:proofErr w:type="spellStart"/>
            <w:r w:rsidRPr="0019326E">
              <w:rPr>
                <w:lang w:val="en-GB"/>
              </w:rPr>
              <w:t>Eiropas</w:t>
            </w:r>
            <w:proofErr w:type="spellEnd"/>
            <w:r w:rsidRPr="0019326E">
              <w:rPr>
                <w:lang w:val="en-GB"/>
              </w:rPr>
              <w:t xml:space="preserve"> </w:t>
            </w:r>
            <w:proofErr w:type="spellStart"/>
            <w:r w:rsidRPr="0019326E">
              <w:rPr>
                <w:lang w:val="en-GB"/>
              </w:rPr>
              <w:t>Parlaments</w:t>
            </w:r>
            <w:proofErr w:type="spellEnd"/>
          </w:p>
          <w:p w14:paraId="69D72E6E" w14:textId="77777777" w:rsidR="00757DD5" w:rsidRPr="0019326E" w:rsidRDefault="00814466" w:rsidP="00425111">
            <w:pPr>
              <w:pStyle w:val="EPTerm"/>
              <w:rPr>
                <w:rStyle w:val="HideTWBExt"/>
                <w:vanish w:val="0"/>
                <w:lang w:val="en-GB"/>
              </w:rPr>
            </w:pPr>
            <w:r w:rsidRPr="0019326E">
              <w:rPr>
                <w:lang w:val="en-GB"/>
              </w:rPr>
              <w:t>2024-2029</w:t>
            </w:r>
          </w:p>
        </w:tc>
        <w:tc>
          <w:tcPr>
            <w:tcW w:w="2268" w:type="dxa"/>
            <w:shd w:val="clear" w:color="auto" w:fill="auto"/>
          </w:tcPr>
          <w:p w14:paraId="7F1D219A" w14:textId="77777777" w:rsidR="00757DD5" w:rsidRPr="0019326E" w:rsidRDefault="00172070" w:rsidP="00425111">
            <w:pPr>
              <w:pStyle w:val="EPLogo"/>
            </w:pPr>
            <w:r w:rsidRPr="0019326E">
              <w:rPr>
                <w:noProof/>
                <w:lang w:val="pl-PL" w:eastAsia="pl-PL"/>
              </w:rPr>
              <w:drawing>
                <wp:inline distT="0" distB="0" distL="0" distR="0" wp14:anchorId="1347BF9B" wp14:editId="428E52BC">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3E568817" w14:textId="77777777" w:rsidR="008E7632" w:rsidRPr="0019326E" w:rsidRDefault="008E7632" w:rsidP="008E7632">
      <w:pPr>
        <w:pStyle w:val="LineTop"/>
        <w:rPr>
          <w:lang w:val="en-GB"/>
        </w:rPr>
      </w:pPr>
    </w:p>
    <w:p w14:paraId="18AFA97C" w14:textId="77777777" w:rsidR="008E7632" w:rsidRPr="0019326E" w:rsidRDefault="00814466" w:rsidP="008E7632">
      <w:pPr>
        <w:pStyle w:val="ZSessionDoc"/>
        <w:rPr>
          <w:b/>
          <w:i w:val="0"/>
        </w:rPr>
      </w:pPr>
      <w:r w:rsidRPr="0019326E">
        <w:rPr>
          <w:b/>
          <w:i w:val="0"/>
        </w:rPr>
        <w:t>PIEŅEMTIE TEKSTI</w:t>
      </w:r>
    </w:p>
    <w:p w14:paraId="2605A655" w14:textId="77777777" w:rsidR="008E7632" w:rsidRPr="0019326E" w:rsidRDefault="00814466" w:rsidP="008E7632">
      <w:pPr>
        <w:pStyle w:val="LineBottom"/>
      </w:pPr>
      <w:r w:rsidRPr="0019326E">
        <w:rPr>
          <w:rFonts w:cs="Arial"/>
          <w:i/>
          <w:sz w:val="20"/>
          <w:szCs w:val="22"/>
        </w:rPr>
        <w:t xml:space="preserve"> </w:t>
      </w:r>
    </w:p>
    <w:p w14:paraId="41CACBC4" w14:textId="77777777" w:rsidR="009C4014" w:rsidRPr="0019326E" w:rsidRDefault="00814466" w:rsidP="008E7632">
      <w:pPr>
        <w:pStyle w:val="ATHeading1"/>
        <w:spacing w:before="480"/>
        <w:rPr>
          <w:lang w:val="en-GB"/>
        </w:rPr>
      </w:pPr>
      <w:bookmarkStart w:id="0" w:name="TA_Heading"/>
      <w:r w:rsidRPr="0019326E">
        <w:rPr>
          <w:lang w:val="en-GB"/>
        </w:rPr>
        <w:t>P10_TA(2025)</w:t>
      </w:r>
      <w:bookmarkStart w:id="1" w:name="TANumber"/>
      <w:bookmarkEnd w:id="0"/>
      <w:r w:rsidRPr="0019326E">
        <w:rPr>
          <w:lang w:val="en-GB"/>
        </w:rPr>
        <w:t>00</w:t>
      </w:r>
      <w:bookmarkEnd w:id="1"/>
      <w:r w:rsidR="0019326E" w:rsidRPr="0019326E">
        <w:rPr>
          <w:lang w:val="en-GB"/>
        </w:rPr>
        <w:t>99</w:t>
      </w:r>
    </w:p>
    <w:p w14:paraId="1BF80395" w14:textId="77777777" w:rsidR="009C4014" w:rsidRPr="0019326E" w:rsidRDefault="00814466" w:rsidP="00814466">
      <w:pPr>
        <w:pStyle w:val="ATHeading2"/>
        <w:rPr>
          <w:lang w:val="en-GB"/>
        </w:rPr>
      </w:pPr>
      <w:bookmarkStart w:id="2" w:name="title"/>
      <w:r w:rsidRPr="0019326E">
        <w:rPr>
          <w:lang w:val="en-GB"/>
        </w:rPr>
        <w:t>Jaunu vieglo pasažieru automobiļu un jaunu vieglo komerciālo transportlīdzekļu CO2 emisiju standarti 2025.–2027. kalendārajā gadā</w:t>
      </w:r>
      <w:bookmarkEnd w:id="2"/>
      <w:r w:rsidR="009C4014" w:rsidRPr="0019326E">
        <w:rPr>
          <w:lang w:val="en-GB"/>
        </w:rPr>
        <w:t xml:space="preserve"> </w:t>
      </w:r>
      <w:bookmarkStart w:id="3" w:name="Etoiles"/>
      <w:bookmarkEnd w:id="3"/>
    </w:p>
    <w:p w14:paraId="14AE3BC1" w14:textId="77777777" w:rsidR="009C4014" w:rsidRPr="0019326E" w:rsidRDefault="009C4014" w:rsidP="009C4014">
      <w:pPr>
        <w:rPr>
          <w:i/>
          <w:vanish/>
          <w:lang w:val="en-GB"/>
        </w:rPr>
      </w:pPr>
      <w:r w:rsidRPr="0019326E">
        <w:rPr>
          <w:i/>
        </w:rPr>
        <w:fldChar w:fldCharType="begin"/>
      </w:r>
      <w:r w:rsidRPr="0019326E">
        <w:rPr>
          <w:i/>
          <w:lang w:val="en-GB"/>
        </w:rPr>
        <w:instrText xml:space="preserve"> TC"</w:instrText>
      </w:r>
      <w:bookmarkStart w:id="4" w:name="DocNumber"/>
      <w:r w:rsidR="00814466" w:rsidRPr="0019326E">
        <w:rPr>
          <w:i/>
          <w:lang w:val="en-GB"/>
        </w:rPr>
        <w:instrText>(C10-0062/2025)</w:instrText>
      </w:r>
      <w:bookmarkEnd w:id="4"/>
      <w:r w:rsidRPr="0019326E">
        <w:rPr>
          <w:i/>
          <w:lang w:val="en-GB"/>
        </w:rPr>
        <w:instrText xml:space="preserve">"\l3 \n&gt; \* MERGEFORMAT </w:instrText>
      </w:r>
      <w:r w:rsidRPr="0019326E">
        <w:rPr>
          <w:i/>
        </w:rPr>
        <w:fldChar w:fldCharType="end"/>
      </w:r>
    </w:p>
    <w:p w14:paraId="7B371FAB" w14:textId="77777777" w:rsidR="00814466" w:rsidRPr="0019326E" w:rsidRDefault="00814466" w:rsidP="009C4014">
      <w:pPr>
        <w:rPr>
          <w:vanish/>
          <w:lang w:val="fi-FI"/>
        </w:rPr>
      </w:pPr>
      <w:bookmarkStart w:id="5" w:name="Commission"/>
      <w:r w:rsidRPr="0019326E">
        <w:rPr>
          <w:vanish/>
          <w:lang w:val="fi-FI"/>
        </w:rPr>
        <w:t>Vides, klimata un pārtikas nekaitīguma komiteja</w:t>
      </w:r>
    </w:p>
    <w:p w14:paraId="0CC6EB0B" w14:textId="77777777" w:rsidR="009C4014" w:rsidRPr="0019326E" w:rsidRDefault="001012E3" w:rsidP="009C4014">
      <w:pPr>
        <w:rPr>
          <w:vanish/>
          <w:lang w:val="fi-FI"/>
        </w:rPr>
      </w:pPr>
      <w:bookmarkStart w:id="6" w:name="PE"/>
      <w:bookmarkEnd w:id="5"/>
      <w:r w:rsidRPr="0019326E">
        <w:rPr>
          <w:vanish/>
          <w:lang w:val="fi-FI"/>
        </w:rPr>
        <w:t>PE773</w:t>
      </w:r>
      <w:r w:rsidR="00A91F82" w:rsidRPr="0019326E">
        <w:rPr>
          <w:vanish/>
          <w:lang w:val="fi-FI"/>
        </w:rPr>
        <w:t>.</w:t>
      </w:r>
      <w:bookmarkEnd w:id="6"/>
      <w:r w:rsidRPr="0019326E">
        <w:rPr>
          <w:vanish/>
          <w:lang w:val="fi-FI"/>
        </w:rPr>
        <w:t>631</w:t>
      </w:r>
    </w:p>
    <w:p w14:paraId="4633CBA7" w14:textId="77777777" w:rsidR="009C4014" w:rsidRPr="0019326E" w:rsidRDefault="00814466" w:rsidP="00814466">
      <w:pPr>
        <w:pStyle w:val="ATHeading3"/>
        <w:rPr>
          <w:lang w:val="fi-FI"/>
        </w:rPr>
      </w:pPr>
      <w:bookmarkStart w:id="7" w:name="Sujet"/>
      <w:bookmarkStart w:id="8" w:name="References"/>
      <w:r w:rsidRPr="0019326E">
        <w:rPr>
          <w:lang w:val="fi-FI"/>
        </w:rPr>
        <w:t xml:space="preserve">Eiropas Parlamenta 2025. gada 8. maija normatīvā rezolūcija par priekšlikumu Eiropas Parlamenta un Padomes </w:t>
      </w:r>
      <w:bookmarkEnd w:id="7"/>
      <w:r w:rsidR="00A91F82" w:rsidRPr="0019326E">
        <w:rPr>
          <w:lang w:val="fi-FI"/>
        </w:rPr>
        <w:t>regulai</w:t>
      </w:r>
      <w:r w:rsidR="00A91F82" w:rsidRPr="0019326E">
        <w:rPr>
          <w:lang w:val="lv-LV"/>
        </w:rPr>
        <w:t xml:space="preserve">, </w:t>
      </w:r>
      <w:r w:rsidR="00A91F82" w:rsidRPr="0019326E">
        <w:rPr>
          <w:rFonts w:eastAsia="Calibri"/>
          <w:lang w:val="lv-LV"/>
        </w:rPr>
        <w:t>ar ko groza Regulu (ES) 2019/631, lai iekļautu papildu elastību attiecībā uz to, kā aprēķināma ražotāju atbilstība jaunu vieglo pasažieru automobiļu un jaunu vieglo komerciālo transportlīdzekļu CO</w:t>
      </w:r>
      <w:r w:rsidR="00A91F82" w:rsidRPr="0019326E">
        <w:rPr>
          <w:rFonts w:eastAsia="Calibri"/>
          <w:vertAlign w:val="subscript"/>
          <w:lang w:val="lv-LV"/>
        </w:rPr>
        <w:t>2</w:t>
      </w:r>
      <w:r w:rsidR="00A91F82" w:rsidRPr="0019326E">
        <w:rPr>
          <w:rFonts w:eastAsia="Calibri"/>
          <w:lang w:val="lv-LV"/>
        </w:rPr>
        <w:t xml:space="preserve"> emisiju standartiem 2025.–2027. kalendārajā gadā</w:t>
      </w:r>
      <w:r w:rsidRPr="0019326E">
        <w:rPr>
          <w:lang w:val="fi-FI"/>
        </w:rPr>
        <w:t>(</w:t>
      </w:r>
      <w:r w:rsidR="00A91F82" w:rsidRPr="0019326E">
        <w:rPr>
          <w:lang w:val="fi-FI"/>
        </w:rPr>
        <w:t>COM(2025)0136 – C10-0062/2025 – 2025/0070(COD)</w:t>
      </w:r>
      <w:r w:rsidRPr="0019326E">
        <w:rPr>
          <w:lang w:val="fi-FI"/>
        </w:rPr>
        <w:t>)</w:t>
      </w:r>
      <w:bookmarkEnd w:id="8"/>
    </w:p>
    <w:p w14:paraId="4C18AA85" w14:textId="77777777" w:rsidR="00814466" w:rsidRPr="0019326E" w:rsidRDefault="00814466" w:rsidP="00814466">
      <w:pPr>
        <w:pStyle w:val="Normal12Bold"/>
      </w:pPr>
      <w:bookmarkStart w:id="9" w:name="TextBodyBegin"/>
      <w:bookmarkEnd w:id="9"/>
      <w:r w:rsidRPr="0019326E">
        <w:t>(Parastā likumdošanas procedūra: pirmais lasījums)</w:t>
      </w:r>
    </w:p>
    <w:p w14:paraId="69529CE3" w14:textId="77777777" w:rsidR="00814466" w:rsidRPr="0019326E" w:rsidRDefault="00814466" w:rsidP="00814466">
      <w:pPr>
        <w:pStyle w:val="Normal12"/>
        <w:spacing w:before="360"/>
        <w:rPr>
          <w:i/>
          <w:szCs w:val="24"/>
          <w:lang w:val="lv-LV"/>
        </w:rPr>
      </w:pPr>
      <w:r w:rsidRPr="0019326E">
        <w:rPr>
          <w:i/>
          <w:szCs w:val="24"/>
          <w:lang w:val="lv-LV"/>
        </w:rPr>
        <w:t>Eiropas Parlaments,</w:t>
      </w:r>
    </w:p>
    <w:p w14:paraId="215991E0" w14:textId="77777777" w:rsidR="00814466" w:rsidRPr="0019326E" w:rsidRDefault="00814466" w:rsidP="00814466">
      <w:pPr>
        <w:pStyle w:val="NormalHanging12a"/>
      </w:pPr>
      <w:r w:rsidRPr="0019326E">
        <w:t>–</w:t>
      </w:r>
      <w:r w:rsidRPr="0019326E">
        <w:tab/>
        <w:t>ņemot vērā Komisijas priekšlikumu Eiropas Parlamentam un Padomei (COM(2025)01</w:t>
      </w:r>
      <w:r w:rsidR="00A91F82" w:rsidRPr="0019326E">
        <w:t>3</w:t>
      </w:r>
      <w:r w:rsidRPr="0019326E">
        <w:t>6),</w:t>
      </w:r>
    </w:p>
    <w:p w14:paraId="043DF6F3" w14:textId="77777777" w:rsidR="00814466" w:rsidRPr="0019326E" w:rsidRDefault="00814466" w:rsidP="00814466">
      <w:pPr>
        <w:pStyle w:val="NormalHanging12a"/>
      </w:pPr>
      <w:r w:rsidRPr="0019326E">
        <w:t>–</w:t>
      </w:r>
      <w:r w:rsidRPr="0019326E">
        <w:tab/>
        <w:t xml:space="preserve">ņemot vērā Līguma par Eiropas Savienības darbību 294. panta 2. punktu un </w:t>
      </w:r>
      <w:r w:rsidR="00A91F82" w:rsidRPr="0019326E">
        <w:t>114</w:t>
      </w:r>
      <w:r w:rsidRPr="0019326E">
        <w:t>. </w:t>
      </w:r>
      <w:r w:rsidR="00A91F82" w:rsidRPr="0019326E">
        <w:t>pantu un 168. panta 4. punkta b) apakšpunktu</w:t>
      </w:r>
      <w:r w:rsidRPr="0019326E">
        <w:t>, saskaņā ar kuriem Komisija tam ir iesniegusi priekšlikumu (C10</w:t>
      </w:r>
      <w:r w:rsidRPr="0019326E">
        <w:noBreakHyphen/>
        <w:t>00</w:t>
      </w:r>
      <w:r w:rsidR="00A91F82" w:rsidRPr="0019326E">
        <w:t>62</w:t>
      </w:r>
      <w:r w:rsidRPr="0019326E">
        <w:t>/2025),</w:t>
      </w:r>
    </w:p>
    <w:p w14:paraId="58378112" w14:textId="77777777" w:rsidR="00814466" w:rsidRPr="0019326E" w:rsidRDefault="00814466" w:rsidP="00814466">
      <w:pPr>
        <w:pStyle w:val="NormalHanging12a"/>
      </w:pPr>
      <w:r w:rsidRPr="0019326E">
        <w:t>–</w:t>
      </w:r>
      <w:r w:rsidRPr="0019326E">
        <w:tab/>
        <w:t>ņemot vērā Līguma par Eiropas Savienības darbību 294. panta 3. punktu,</w:t>
      </w:r>
    </w:p>
    <w:p w14:paraId="645F839A" w14:textId="77777777" w:rsidR="00814466" w:rsidRPr="0019326E" w:rsidRDefault="00814466" w:rsidP="00814466">
      <w:pPr>
        <w:pStyle w:val="NormalHanging12a"/>
        <w:rPr>
          <w:rFonts w:cs="Mangal"/>
          <w:lang w:bidi="sa-IN"/>
        </w:rPr>
      </w:pPr>
      <w:r w:rsidRPr="0019326E">
        <w:rPr>
          <w:rFonts w:cs="Mangal"/>
          <w:lang w:bidi="sa-IN"/>
        </w:rPr>
        <w:t>–</w:t>
      </w:r>
      <w:r w:rsidRPr="0019326E">
        <w:rPr>
          <w:rFonts w:cs="Mangal"/>
          <w:lang w:bidi="sa-IN"/>
        </w:rPr>
        <w:tab/>
        <w:t xml:space="preserve">ņemot vērā Eiropas Ekonomikas un sociālo lietu komitejas 2025. gada </w:t>
      </w:r>
      <w:r w:rsidR="00A91F82" w:rsidRPr="0019326E">
        <w:rPr>
          <w:rFonts w:cs="Mangal"/>
          <w:lang w:bidi="sa-IN"/>
        </w:rPr>
        <w:t>29</w:t>
      </w:r>
      <w:r w:rsidRPr="0019326E">
        <w:rPr>
          <w:rFonts w:cs="Mangal"/>
          <w:lang w:bidi="sa-IN"/>
        </w:rPr>
        <w:t>. aprīļa atzinumu</w:t>
      </w:r>
      <w:r w:rsidRPr="0019326E">
        <w:rPr>
          <w:rStyle w:val="FootnoteReference"/>
          <w:rFonts w:cs="Mangal"/>
          <w:lang w:bidi="sa-IN"/>
        </w:rPr>
        <w:footnoteReference w:id="1"/>
      </w:r>
      <w:r w:rsidRPr="0019326E">
        <w:rPr>
          <w:rFonts w:cs="Mangal"/>
          <w:lang w:bidi="sa-IN"/>
        </w:rPr>
        <w:t>,</w:t>
      </w:r>
    </w:p>
    <w:p w14:paraId="3F4892A5" w14:textId="77777777" w:rsidR="00814466" w:rsidRPr="0019326E" w:rsidRDefault="00814466" w:rsidP="00814466">
      <w:pPr>
        <w:pStyle w:val="NormalHanging12a"/>
        <w:rPr>
          <w:rFonts w:cs="Mangal"/>
          <w:lang w:bidi="sa-IN"/>
        </w:rPr>
      </w:pPr>
      <w:r w:rsidRPr="0019326E">
        <w:rPr>
          <w:rFonts w:cs="Mangal"/>
          <w:lang w:bidi="sa-IN"/>
        </w:rPr>
        <w:t>–</w:t>
      </w:r>
      <w:r w:rsidRPr="0019326E">
        <w:rPr>
          <w:rFonts w:cs="Mangal"/>
          <w:lang w:bidi="sa-IN"/>
        </w:rPr>
        <w:tab/>
        <w:t>pēc apspriešanās ar Reģionu komiteju,</w:t>
      </w:r>
    </w:p>
    <w:p w14:paraId="5E2EACC4" w14:textId="77777777" w:rsidR="00814466" w:rsidRPr="0019326E" w:rsidRDefault="00814466" w:rsidP="00814466">
      <w:pPr>
        <w:pStyle w:val="NormalHanging12a"/>
      </w:pPr>
      <w:r w:rsidRPr="0019326E">
        <w:t>–</w:t>
      </w:r>
      <w:r w:rsidRPr="0019326E">
        <w:tab/>
        <w:t>ņemot vērā Reglamenta 60. un 170. pantu,</w:t>
      </w:r>
    </w:p>
    <w:p w14:paraId="3FA6B977" w14:textId="77777777" w:rsidR="00814466" w:rsidRPr="0019326E" w:rsidRDefault="00814466" w:rsidP="00814466">
      <w:pPr>
        <w:pStyle w:val="NormalHanging12a"/>
      </w:pPr>
      <w:r w:rsidRPr="0019326E">
        <w:t>1.</w:t>
      </w:r>
      <w:r w:rsidRPr="0019326E">
        <w:tab/>
        <w:t>pieņem pirmajā lasījumā turpmāk izklāstīto nostāju;</w:t>
      </w:r>
    </w:p>
    <w:p w14:paraId="7A25D109" w14:textId="77777777" w:rsidR="00814466" w:rsidRPr="0019326E" w:rsidRDefault="00814466" w:rsidP="00814466">
      <w:pPr>
        <w:pStyle w:val="NormalHanging12a"/>
        <w:rPr>
          <w:szCs w:val="24"/>
        </w:rPr>
      </w:pPr>
      <w:r w:rsidRPr="0019326E">
        <w:t>2.</w:t>
      </w:r>
      <w:r w:rsidRPr="0019326E">
        <w:tab/>
        <w:t>prasa Komisijai priekšlikumu Parlamentam iesniegt vēlreiz, ja tā savu priekšlikumu aizstāj, būtiski groza vai ir paredzējusi to būtiski grozīt;</w:t>
      </w:r>
    </w:p>
    <w:p w14:paraId="17D13910" w14:textId="77777777" w:rsidR="00814466" w:rsidRPr="0019326E" w:rsidRDefault="00814466" w:rsidP="00814466">
      <w:pPr>
        <w:pStyle w:val="NormalHanging12a"/>
      </w:pPr>
      <w:r w:rsidRPr="0019326E">
        <w:t>3.</w:t>
      </w:r>
      <w:r w:rsidRPr="0019326E">
        <w:tab/>
        <w:t>uzdod priekšsēdētājai Parlamenta nostāju nosūtīt Padomei un Komisijai, kā arī dalībvalstu parlamentiem.</w:t>
      </w:r>
    </w:p>
    <w:p w14:paraId="5086D8C7" w14:textId="77777777" w:rsidR="00814466" w:rsidRPr="0019326E" w:rsidRDefault="00814466" w:rsidP="00814466">
      <w:pPr>
        <w:pStyle w:val="NormalHanging12a"/>
        <w:rPr>
          <w:b/>
        </w:rPr>
        <w:sectPr w:rsidR="00814466" w:rsidRPr="0019326E"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14:paraId="60372C73" w14:textId="77777777" w:rsidR="00814466" w:rsidRPr="0019326E" w:rsidRDefault="00814466" w:rsidP="00814466">
      <w:pPr>
        <w:pStyle w:val="NormalHanging12a"/>
        <w:rPr>
          <w:b/>
        </w:rPr>
      </w:pPr>
      <w:r w:rsidRPr="0019326E">
        <w:rPr>
          <w:b/>
        </w:rPr>
        <w:lastRenderedPageBreak/>
        <w:t>P10_TC1-COD(2025)00</w:t>
      </w:r>
      <w:r w:rsidR="0064399A" w:rsidRPr="0019326E">
        <w:rPr>
          <w:b/>
        </w:rPr>
        <w:t>70</w:t>
      </w:r>
    </w:p>
    <w:p w14:paraId="3FB10FAB" w14:textId="77777777" w:rsidR="00A91F82" w:rsidRDefault="00814466" w:rsidP="00A91F82">
      <w:pPr>
        <w:pStyle w:val="Titreobjet"/>
        <w:spacing w:before="120"/>
        <w:jc w:val="left"/>
        <w:rPr>
          <w:rFonts w:eastAsia="Calibri"/>
          <w:lang w:val="lv-LV"/>
        </w:rPr>
      </w:pPr>
      <w:r w:rsidRPr="0019326E">
        <w:rPr>
          <w:lang w:val="lv-LV"/>
        </w:rPr>
        <w:t>Eiropas Parlamenta nostāja, pieņemta pirmajā lasījumā 2025. gada 8. maij</w:t>
      </w:r>
      <w:r w:rsidR="00A91F82" w:rsidRPr="0019326E">
        <w:rPr>
          <w:lang w:val="lv-LV"/>
        </w:rPr>
        <w:t>ā</w:t>
      </w:r>
      <w:r w:rsidRPr="0019326E">
        <w:rPr>
          <w:lang w:val="lv-LV"/>
        </w:rPr>
        <w:t xml:space="preserve">, lai pieņemtu Eiropas Parlamenta un Padomes </w:t>
      </w:r>
      <w:r w:rsidR="00A91F82" w:rsidRPr="0019326E">
        <w:rPr>
          <w:lang w:val="lv-LV"/>
        </w:rPr>
        <w:t>Regula</w:t>
      </w:r>
      <w:r w:rsidRPr="0019326E">
        <w:rPr>
          <w:lang w:val="lv-LV"/>
        </w:rPr>
        <w:t xml:space="preserve"> (ES) 2025/..., </w:t>
      </w:r>
      <w:r w:rsidR="00A91F82" w:rsidRPr="0019326E">
        <w:rPr>
          <w:rFonts w:eastAsia="Calibri"/>
          <w:lang w:val="lv-LV"/>
        </w:rPr>
        <w:t>ar ko groza Regulu (ES) 2019/631, lai iekļautu papildu elastību attiecībā uz to, kā aprēķināma ražotāju atbilstība jaunu vieglo pasažieru automobiļu un jaunu vieglo komerciālo transportlīdzekļu CO</w:t>
      </w:r>
      <w:r w:rsidR="00A91F82" w:rsidRPr="0019326E">
        <w:rPr>
          <w:rFonts w:eastAsia="Calibri"/>
          <w:vertAlign w:val="subscript"/>
          <w:lang w:val="lv-LV"/>
        </w:rPr>
        <w:t>2</w:t>
      </w:r>
      <w:r w:rsidR="00A91F82" w:rsidRPr="0019326E">
        <w:rPr>
          <w:rFonts w:eastAsia="Calibri"/>
          <w:lang w:val="lv-LV"/>
        </w:rPr>
        <w:t xml:space="preserve"> emisiju standartiem 2025.–2027. kalendārajā gadā</w:t>
      </w:r>
    </w:p>
    <w:p w14:paraId="7DE36708" w14:textId="6AF26E8C" w:rsidR="00337FA3" w:rsidRPr="00337FA3" w:rsidRDefault="00337FA3" w:rsidP="00337FA3">
      <w:pPr>
        <w:rPr>
          <w:i/>
          <w:lang w:val="lv-LV"/>
        </w:rPr>
      </w:pPr>
      <w:r w:rsidRPr="00337FA3">
        <w:rPr>
          <w:i/>
          <w:lang w:val="lv-LV"/>
        </w:rPr>
        <w:t>(Tā kā starp Parlamentu un Padomi tika panākta vienošanās, Parlamenta nostāja atbilst galīgajam tiesību aktam Regulai (ES) 2025/</w:t>
      </w:r>
      <w:r w:rsidRPr="00337FA3">
        <w:rPr>
          <w:i/>
          <w:lang w:val="lv-LV"/>
        </w:rPr>
        <w:t>1214</w:t>
      </w:r>
      <w:r w:rsidRPr="00337FA3">
        <w:rPr>
          <w:i/>
          <w:lang w:val="lv-LV"/>
        </w:rPr>
        <w:t>.)</w:t>
      </w:r>
    </w:p>
    <w:sectPr w:rsidR="00337FA3" w:rsidRPr="00337FA3" w:rsidSect="00814466">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4BFE3" w14:textId="77777777" w:rsidR="00814466" w:rsidRDefault="00814466" w:rsidP="009C4014">
      <w:r>
        <w:separator/>
      </w:r>
    </w:p>
  </w:endnote>
  <w:endnote w:type="continuationSeparator" w:id="0">
    <w:p w14:paraId="440581BA" w14:textId="77777777" w:rsidR="00814466" w:rsidRDefault="00814466"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C3892"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FAFDD"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6CC4C"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420DA" w14:textId="77777777" w:rsidR="00814466" w:rsidRDefault="00814466" w:rsidP="009C4014">
      <w:r>
        <w:separator/>
      </w:r>
    </w:p>
  </w:footnote>
  <w:footnote w:type="continuationSeparator" w:id="0">
    <w:p w14:paraId="3AFB0164" w14:textId="77777777" w:rsidR="00814466" w:rsidRDefault="00814466" w:rsidP="009C4014">
      <w:r>
        <w:continuationSeparator/>
      </w:r>
    </w:p>
  </w:footnote>
  <w:footnote w:id="1">
    <w:p w14:paraId="7F5480B6" w14:textId="43C2DB2D" w:rsidR="00814466" w:rsidRPr="007C5DC2" w:rsidRDefault="00814466" w:rsidP="00337FA3">
      <w:pPr>
        <w:pStyle w:val="FootnoteText"/>
        <w:ind w:left="567" w:hanging="567"/>
        <w:rPr>
          <w:rFonts w:cs="Mangal"/>
          <w:sz w:val="24"/>
          <w:szCs w:val="24"/>
          <w:lang w:val="fi-FI" w:bidi="sa-IN"/>
        </w:rPr>
      </w:pPr>
      <w:r w:rsidRPr="007C5DC2">
        <w:rPr>
          <w:rStyle w:val="FootnoteReference"/>
          <w:rFonts w:cs="Mangal"/>
          <w:sz w:val="24"/>
          <w:szCs w:val="24"/>
          <w:lang w:bidi="sa-IN"/>
        </w:rPr>
        <w:footnoteRef/>
      </w:r>
      <w:r w:rsidRPr="007C5DC2">
        <w:rPr>
          <w:rFonts w:cs="Mangal"/>
          <w:sz w:val="24"/>
          <w:szCs w:val="24"/>
          <w:lang w:val="fi-FI" w:bidi="sa-IN"/>
        </w:rPr>
        <w:t xml:space="preserve"> </w:t>
      </w:r>
      <w:r w:rsidRPr="007C5DC2">
        <w:rPr>
          <w:rFonts w:cs="Mangal"/>
          <w:sz w:val="24"/>
          <w:szCs w:val="24"/>
          <w:lang w:val="fi-FI" w:bidi="sa-IN"/>
        </w:rPr>
        <w:tab/>
      </w:r>
      <w:proofErr w:type="spellStart"/>
      <w:r w:rsidRPr="007C5DC2">
        <w:rPr>
          <w:rFonts w:cs="Mangal"/>
          <w:i/>
          <w:sz w:val="24"/>
          <w:szCs w:val="24"/>
          <w:lang w:val="fi-FI" w:bidi="sa-IN"/>
        </w:rPr>
        <w:t>Oficiālājā</w:t>
      </w:r>
      <w:proofErr w:type="spellEnd"/>
      <w:r w:rsidRPr="007C5DC2">
        <w:rPr>
          <w:rFonts w:cs="Mangal"/>
          <w:i/>
          <w:sz w:val="24"/>
          <w:szCs w:val="24"/>
          <w:lang w:val="fi-FI" w:bidi="sa-IN"/>
        </w:rPr>
        <w:t xml:space="preserve"> </w:t>
      </w:r>
      <w:proofErr w:type="spellStart"/>
      <w:r w:rsidRPr="007C5DC2">
        <w:rPr>
          <w:rFonts w:cs="Mangal"/>
          <w:i/>
          <w:sz w:val="24"/>
          <w:szCs w:val="24"/>
          <w:lang w:val="fi-FI" w:bidi="sa-IN"/>
        </w:rPr>
        <w:t>Vēstnesī</w:t>
      </w:r>
      <w:proofErr w:type="spellEnd"/>
      <w:r w:rsidRPr="007C5DC2">
        <w:rPr>
          <w:rFonts w:cs="Mangal"/>
          <w:sz w:val="24"/>
          <w:szCs w:val="24"/>
          <w:lang w:val="fi-FI" w:bidi="sa-IN"/>
        </w:rPr>
        <w:t xml:space="preserve"> </w:t>
      </w:r>
      <w:proofErr w:type="spellStart"/>
      <w:r w:rsidRPr="007C5DC2">
        <w:rPr>
          <w:rFonts w:cs="Mangal"/>
          <w:sz w:val="24"/>
          <w:szCs w:val="24"/>
          <w:lang w:val="fi-FI" w:bidi="sa-IN"/>
        </w:rPr>
        <w:t>vēl</w:t>
      </w:r>
      <w:proofErr w:type="spellEnd"/>
      <w:r w:rsidRPr="007C5DC2">
        <w:rPr>
          <w:rFonts w:cs="Mangal"/>
          <w:sz w:val="24"/>
          <w:szCs w:val="24"/>
          <w:lang w:val="fi-FI" w:bidi="sa-IN"/>
        </w:rPr>
        <w:t xml:space="preserve"> </w:t>
      </w:r>
      <w:proofErr w:type="spellStart"/>
      <w:r w:rsidRPr="007C5DC2">
        <w:rPr>
          <w:rFonts w:cs="Mangal"/>
          <w:sz w:val="24"/>
          <w:szCs w:val="24"/>
          <w:lang w:val="fi-FI" w:bidi="sa-IN"/>
        </w:rPr>
        <w:t>nav</w:t>
      </w:r>
      <w:proofErr w:type="spellEnd"/>
      <w:r w:rsidRPr="007C5DC2">
        <w:rPr>
          <w:rFonts w:cs="Mangal"/>
          <w:sz w:val="24"/>
          <w:szCs w:val="24"/>
          <w:lang w:val="fi-FI" w:bidi="sa-IN"/>
        </w:rPr>
        <w:t xml:space="preserve"> </w:t>
      </w:r>
      <w:proofErr w:type="spellStart"/>
      <w:r w:rsidRPr="007C5DC2">
        <w:rPr>
          <w:rFonts w:cs="Mangal"/>
          <w:sz w:val="24"/>
          <w:szCs w:val="24"/>
          <w:lang w:val="fi-FI" w:bidi="sa-IN"/>
        </w:rPr>
        <w:t>publicēts</w:t>
      </w:r>
      <w:proofErr w:type="spellEnd"/>
      <w:r w:rsidRPr="007C5DC2">
        <w:rPr>
          <w:rFonts w:cs="Mangal"/>
          <w:sz w:val="24"/>
          <w:szCs w:val="24"/>
          <w:lang w:val="fi-FI" w:bidi="sa-I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FF617"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7D5B6"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03520"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385524044">
    <w:abstractNumId w:val="3"/>
  </w:num>
  <w:num w:numId="2" w16cid:durableId="925069068">
    <w:abstractNumId w:val="2"/>
  </w:num>
  <w:num w:numId="3" w16cid:durableId="1580599537">
    <w:abstractNumId w:val="1"/>
  </w:num>
  <w:num w:numId="4" w16cid:durableId="1515069335">
    <w:abstractNumId w:val="0"/>
  </w:num>
  <w:num w:numId="5" w16cid:durableId="654334816">
    <w:abstractNumId w:val="6"/>
  </w:num>
  <w:num w:numId="6" w16cid:durableId="475533979">
    <w:abstractNumId w:val="5"/>
  </w:num>
  <w:num w:numId="7" w16cid:durableId="1861625368">
    <w:abstractNumId w:val="4"/>
  </w:num>
  <w:num w:numId="8" w16cid:durableId="2072803538">
    <w:abstractNumId w:val="7"/>
  </w:num>
  <w:num w:numId="9" w16cid:durableId="15226651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466"/>
    <w:rsid w:val="00013B2A"/>
    <w:rsid w:val="000C2BFE"/>
    <w:rsid w:val="000C633F"/>
    <w:rsid w:val="000E2BCC"/>
    <w:rsid w:val="000F27A9"/>
    <w:rsid w:val="000F6208"/>
    <w:rsid w:val="001012E3"/>
    <w:rsid w:val="00125CBC"/>
    <w:rsid w:val="00172070"/>
    <w:rsid w:val="00185E15"/>
    <w:rsid w:val="0019326E"/>
    <w:rsid w:val="001D4BBF"/>
    <w:rsid w:val="001D63A8"/>
    <w:rsid w:val="002924A9"/>
    <w:rsid w:val="002A1D4E"/>
    <w:rsid w:val="002B4BCF"/>
    <w:rsid w:val="002F1925"/>
    <w:rsid w:val="00300C61"/>
    <w:rsid w:val="00312A38"/>
    <w:rsid w:val="003202DD"/>
    <w:rsid w:val="00330B9A"/>
    <w:rsid w:val="00337FA3"/>
    <w:rsid w:val="003775B9"/>
    <w:rsid w:val="00397B2A"/>
    <w:rsid w:val="003E1189"/>
    <w:rsid w:val="003F4DFE"/>
    <w:rsid w:val="0042511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4399A"/>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14466"/>
    <w:rsid w:val="008512F3"/>
    <w:rsid w:val="00857458"/>
    <w:rsid w:val="00873A0F"/>
    <w:rsid w:val="00895FA0"/>
    <w:rsid w:val="008B1C2E"/>
    <w:rsid w:val="008D7C16"/>
    <w:rsid w:val="008E7632"/>
    <w:rsid w:val="008F0108"/>
    <w:rsid w:val="008F7F1C"/>
    <w:rsid w:val="00907FE0"/>
    <w:rsid w:val="009865B7"/>
    <w:rsid w:val="009B7E10"/>
    <w:rsid w:val="009C4014"/>
    <w:rsid w:val="009F28EF"/>
    <w:rsid w:val="00A1739E"/>
    <w:rsid w:val="00A710C8"/>
    <w:rsid w:val="00A91F82"/>
    <w:rsid w:val="00B54C72"/>
    <w:rsid w:val="00B758E5"/>
    <w:rsid w:val="00B85C1E"/>
    <w:rsid w:val="00C15516"/>
    <w:rsid w:val="00C16C81"/>
    <w:rsid w:val="00C57739"/>
    <w:rsid w:val="00C65BE8"/>
    <w:rsid w:val="00CB451F"/>
    <w:rsid w:val="00CC4897"/>
    <w:rsid w:val="00D202A4"/>
    <w:rsid w:val="00D91669"/>
    <w:rsid w:val="00DF097A"/>
    <w:rsid w:val="00DF53A8"/>
    <w:rsid w:val="00E039BF"/>
    <w:rsid w:val="00E11822"/>
    <w:rsid w:val="00E73B02"/>
    <w:rsid w:val="00E74BF3"/>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7CD285"/>
  <w15:chartTrackingRefBased/>
  <w15:docId w15:val="{F67BEC4D-922F-4289-BA5B-24BE24893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814466"/>
    <w:rPr>
      <w:sz w:val="22"/>
      <w:lang w:val="fr-FR"/>
    </w:rPr>
  </w:style>
  <w:style w:type="paragraph" w:customStyle="1" w:styleId="NormalHanging12a">
    <w:name w:val="NormalHanging12a"/>
    <w:basedOn w:val="Normal"/>
    <w:rsid w:val="00814466"/>
    <w:pPr>
      <w:widowControl w:val="0"/>
      <w:spacing w:after="240"/>
      <w:ind w:left="567" w:hanging="567"/>
    </w:pPr>
    <w:rPr>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814466"/>
    <w:pPr>
      <w:spacing w:after="160" w:line="240" w:lineRule="exact"/>
    </w:pPr>
    <w:rPr>
      <w:sz w:val="20"/>
      <w:vertAlign w:val="superscript"/>
      <w:lang w:val="en-GB"/>
    </w:rPr>
  </w:style>
  <w:style w:type="paragraph" w:customStyle="1" w:styleId="Normal12Bold">
    <w:name w:val="Normal12Bold"/>
    <w:basedOn w:val="Normal12"/>
    <w:rsid w:val="00814466"/>
    <w:rPr>
      <w:b/>
      <w:snapToGrid/>
      <w:lang w:val="lv-LV" w:eastAsia="lv-LV" w:bidi="lv-LV"/>
    </w:rPr>
  </w:style>
  <w:style w:type="paragraph" w:styleId="BalloonText">
    <w:name w:val="Balloon Text"/>
    <w:basedOn w:val="Normal"/>
    <w:link w:val="BalloonTextChar"/>
    <w:rsid w:val="00814466"/>
    <w:rPr>
      <w:rFonts w:ascii="Segoe UI" w:hAnsi="Segoe UI" w:cs="Segoe UI"/>
      <w:sz w:val="18"/>
      <w:szCs w:val="18"/>
    </w:rPr>
  </w:style>
  <w:style w:type="character" w:customStyle="1" w:styleId="BalloonTextChar">
    <w:name w:val="Balloon Text Char"/>
    <w:basedOn w:val="DefaultParagraphFont"/>
    <w:link w:val="BalloonText"/>
    <w:rsid w:val="00814466"/>
    <w:rPr>
      <w:rFonts w:ascii="Segoe UI" w:hAnsi="Segoe UI" w:cs="Segoe UI"/>
      <w:sz w:val="18"/>
      <w:szCs w:val="18"/>
      <w:lang w:val="fr-FR"/>
    </w:rPr>
  </w:style>
  <w:style w:type="character" w:styleId="Hyperlink">
    <w:name w:val="Hyperlink"/>
    <w:uiPriority w:val="99"/>
    <w:rsid w:val="00A91F82"/>
    <w:rPr>
      <w:color w:val="0000FF"/>
      <w:u w:val="single"/>
    </w:rPr>
  </w:style>
  <w:style w:type="paragraph" w:customStyle="1" w:styleId="Titreobjet">
    <w:name w:val="Titre objet"/>
    <w:basedOn w:val="Normal"/>
    <w:next w:val="Normal"/>
    <w:rsid w:val="00A91F82"/>
    <w:pPr>
      <w:spacing w:before="360" w:after="360"/>
      <w:jc w:val="center"/>
    </w:pPr>
    <w:rPr>
      <w:rFonts w:eastAsiaTheme="minorHAnsi"/>
      <w:b/>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FD1C0-D65C-47BF-8183-9C475DE79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Pages>
  <Words>266</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Karina Pesa</dc:creator>
  <cp:keywords/>
  <cp:lastModifiedBy>PESA Karina</cp:lastModifiedBy>
  <cp:revision>2</cp:revision>
  <cp:lastPrinted>2014-08-07T13:15:00Z</cp:lastPrinted>
  <dcterms:created xsi:type="dcterms:W3CDTF">2025-09-19T05:39:00Z</dcterms:created>
  <dcterms:modified xsi:type="dcterms:W3CDTF">2025-09-19T05:39:00Z</dcterms:modified>
</cp:coreProperties>
</file>