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16E94" w14:paraId="455D953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85F62E" w14:textId="77777777" w:rsidR="00757DD5" w:rsidRPr="00D16E94" w:rsidRDefault="00D552E0" w:rsidP="00425111">
            <w:pPr>
              <w:pStyle w:val="EPName"/>
              <w:rPr>
                <w:lang w:val="sk-SK"/>
              </w:rPr>
            </w:pPr>
            <w:r w:rsidRPr="00D16E94">
              <w:rPr>
                <w:lang w:val="sk-SK"/>
              </w:rPr>
              <w:t>Európsky parlament</w:t>
            </w:r>
          </w:p>
          <w:p w14:paraId="54421C19" w14:textId="77777777" w:rsidR="00757DD5" w:rsidRPr="00D16E94" w:rsidRDefault="00D552E0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D16E94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73CDFAD" w14:textId="77777777" w:rsidR="00757DD5" w:rsidRPr="00D16E94" w:rsidRDefault="00172070" w:rsidP="00425111">
            <w:pPr>
              <w:pStyle w:val="EPLogo"/>
              <w:rPr>
                <w:lang w:val="sk-SK"/>
              </w:rPr>
            </w:pPr>
            <w:r w:rsidRPr="00D16E94">
              <w:rPr>
                <w:noProof/>
              </w:rPr>
              <w:drawing>
                <wp:inline distT="0" distB="0" distL="0" distR="0" wp14:anchorId="647B387A" wp14:editId="66327A75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331123" w14:textId="77777777" w:rsidR="008E7632" w:rsidRPr="00D16E94" w:rsidRDefault="008E7632" w:rsidP="008E7632">
      <w:pPr>
        <w:pStyle w:val="LineTop"/>
        <w:rPr>
          <w:lang w:val="sk-SK"/>
        </w:rPr>
      </w:pPr>
    </w:p>
    <w:p w14:paraId="6C254C98" w14:textId="77777777" w:rsidR="008E7632" w:rsidRPr="00D16E94" w:rsidRDefault="00D552E0" w:rsidP="008E7632">
      <w:pPr>
        <w:pStyle w:val="ZSessionDoc"/>
        <w:rPr>
          <w:b/>
          <w:i w:val="0"/>
          <w:lang w:val="sk-SK"/>
        </w:rPr>
      </w:pPr>
      <w:r w:rsidRPr="00D16E94">
        <w:rPr>
          <w:b/>
          <w:i w:val="0"/>
          <w:lang w:val="sk-SK"/>
        </w:rPr>
        <w:t>PRIJATÉ TEXTY</w:t>
      </w:r>
    </w:p>
    <w:p w14:paraId="6DF85E19" w14:textId="77777777" w:rsidR="008E7632" w:rsidRPr="00D16E94" w:rsidRDefault="00D552E0" w:rsidP="008E7632">
      <w:pPr>
        <w:pStyle w:val="LineBottom"/>
        <w:rPr>
          <w:lang w:val="sk-SK"/>
        </w:rPr>
      </w:pPr>
      <w:r w:rsidRPr="00D16E94">
        <w:rPr>
          <w:rFonts w:cs="Arial"/>
          <w:i/>
          <w:sz w:val="20"/>
          <w:szCs w:val="22"/>
          <w:lang w:val="sk-SK"/>
        </w:rPr>
        <w:t xml:space="preserve"> </w:t>
      </w:r>
    </w:p>
    <w:p w14:paraId="6C3EE116" w14:textId="77777777" w:rsidR="009C4014" w:rsidRPr="00D16E94" w:rsidRDefault="00D552E0" w:rsidP="008E7632">
      <w:pPr>
        <w:pStyle w:val="ATHeading1"/>
        <w:spacing w:before="480"/>
        <w:rPr>
          <w:lang w:val="sk-SK"/>
        </w:rPr>
      </w:pPr>
      <w:bookmarkStart w:id="0" w:name="TA_Heading"/>
      <w:r w:rsidRPr="00D16E94">
        <w:rPr>
          <w:lang w:val="sk-SK"/>
        </w:rPr>
        <w:t>P10_TA(2025)</w:t>
      </w:r>
      <w:bookmarkStart w:id="1" w:name="TANumber"/>
      <w:bookmarkEnd w:id="0"/>
      <w:r w:rsidRPr="00D16E94">
        <w:rPr>
          <w:lang w:val="sk-SK"/>
        </w:rPr>
        <w:t>0</w:t>
      </w:r>
      <w:r w:rsidR="00D16E94" w:rsidRPr="00D16E94">
        <w:rPr>
          <w:lang w:val="sk-SK"/>
        </w:rPr>
        <w:t>1</w:t>
      </w:r>
      <w:r w:rsidRPr="00D16E94">
        <w:rPr>
          <w:lang w:val="sk-SK"/>
        </w:rPr>
        <w:t>00</w:t>
      </w:r>
      <w:bookmarkEnd w:id="1"/>
    </w:p>
    <w:p w14:paraId="434DFA82" w14:textId="77777777" w:rsidR="009C4014" w:rsidRPr="00D16E94" w:rsidRDefault="00D552E0" w:rsidP="00D552E0">
      <w:pPr>
        <w:pStyle w:val="ATHeading2"/>
        <w:rPr>
          <w:lang w:val="sk-SK"/>
        </w:rPr>
      </w:pPr>
      <w:bookmarkStart w:id="2" w:name="title"/>
      <w:r w:rsidRPr="00D16E94">
        <w:rPr>
          <w:lang w:val="sk-SK"/>
        </w:rPr>
        <w:t>Stav ochrany vlka (Canis lupus)</w:t>
      </w:r>
      <w:bookmarkEnd w:id="2"/>
      <w:r w:rsidR="009C4014" w:rsidRPr="00D16E94">
        <w:rPr>
          <w:lang w:val="sk-SK"/>
        </w:rPr>
        <w:t xml:space="preserve"> </w:t>
      </w:r>
      <w:bookmarkStart w:id="3" w:name="Etoiles"/>
      <w:bookmarkEnd w:id="3"/>
    </w:p>
    <w:p w14:paraId="21902E43" w14:textId="77777777" w:rsidR="009C4014" w:rsidRPr="00D16E94" w:rsidRDefault="009C4014" w:rsidP="009C4014">
      <w:pPr>
        <w:rPr>
          <w:i/>
          <w:vanish/>
          <w:lang w:val="sk-SK"/>
        </w:rPr>
      </w:pPr>
      <w:r w:rsidRPr="00D16E94">
        <w:rPr>
          <w:i/>
          <w:lang w:val="sk-SK"/>
        </w:rPr>
        <w:fldChar w:fldCharType="begin"/>
      </w:r>
      <w:r w:rsidRPr="00D16E94">
        <w:rPr>
          <w:i/>
          <w:lang w:val="sk-SK"/>
        </w:rPr>
        <w:instrText xml:space="preserve"> TC"</w:instrText>
      </w:r>
      <w:bookmarkStart w:id="4" w:name="DocNumber"/>
      <w:r w:rsidR="00D552E0" w:rsidRPr="00D16E94">
        <w:rPr>
          <w:i/>
          <w:lang w:val="sk-SK"/>
        </w:rPr>
        <w:instrText>(C10-0044/2025)</w:instrText>
      </w:r>
      <w:bookmarkEnd w:id="4"/>
      <w:r w:rsidRPr="00D16E94">
        <w:rPr>
          <w:i/>
          <w:lang w:val="sk-SK"/>
        </w:rPr>
        <w:instrText xml:space="preserve">"\l3 \n&gt; \* MERGEFORMAT </w:instrText>
      </w:r>
      <w:r w:rsidRPr="00D16E94">
        <w:rPr>
          <w:i/>
          <w:lang w:val="sk-SK"/>
        </w:rPr>
        <w:fldChar w:fldCharType="end"/>
      </w:r>
    </w:p>
    <w:p w14:paraId="334B7C6F" w14:textId="77777777" w:rsidR="00D552E0" w:rsidRPr="00D16E94" w:rsidRDefault="00D552E0" w:rsidP="009C4014">
      <w:pPr>
        <w:rPr>
          <w:vanish/>
          <w:lang w:val="sk-SK"/>
        </w:rPr>
      </w:pPr>
      <w:bookmarkStart w:id="5" w:name="Commission"/>
      <w:r w:rsidRPr="00D16E94">
        <w:rPr>
          <w:vanish/>
          <w:lang w:val="sk-SK"/>
        </w:rPr>
        <w:t>Výbor pre životné prostredie, klímu a bezpečnosť potravín</w:t>
      </w:r>
    </w:p>
    <w:p w14:paraId="71F17BB9" w14:textId="77777777" w:rsidR="009C4014" w:rsidRPr="00D16E94" w:rsidRDefault="00D552E0" w:rsidP="009C4014">
      <w:pPr>
        <w:rPr>
          <w:vanish/>
          <w:lang w:val="sk-SK"/>
        </w:rPr>
      </w:pPr>
      <w:bookmarkStart w:id="6" w:name="PE"/>
      <w:bookmarkEnd w:id="5"/>
      <w:r w:rsidRPr="00D16E94">
        <w:rPr>
          <w:vanish/>
          <w:lang w:val="sk-SK"/>
        </w:rPr>
        <w:t>PE773.631</w:t>
      </w:r>
      <w:bookmarkEnd w:id="6"/>
    </w:p>
    <w:p w14:paraId="58245A66" w14:textId="77777777" w:rsidR="009C4014" w:rsidRPr="00D16E94" w:rsidRDefault="00D552E0" w:rsidP="00D552E0">
      <w:pPr>
        <w:pStyle w:val="ATHeading3"/>
        <w:rPr>
          <w:lang w:val="sk-SK"/>
        </w:rPr>
      </w:pPr>
      <w:bookmarkStart w:id="7" w:name="Sujet"/>
      <w:r w:rsidRPr="00D16E94">
        <w:rPr>
          <w:lang w:val="sk-SK"/>
        </w:rPr>
        <w:t>Legislatívne uznesenie Európskeho parlamentu z 8. mája 2025 o návrhu smernice Európskeho parlamentu a Rady, ktorou sa mení smernica Rady 92/43/EHS, pokiaľ ide o stav ochrany vlka (Canis lupus)</w:t>
      </w:r>
      <w:bookmarkEnd w:id="7"/>
      <w:r w:rsidR="00E73B02" w:rsidRPr="00D16E94">
        <w:rPr>
          <w:lang w:val="sk-SK"/>
        </w:rPr>
        <w:t xml:space="preserve"> </w:t>
      </w:r>
      <w:bookmarkStart w:id="8" w:name="References"/>
      <w:r w:rsidRPr="00D16E94">
        <w:rPr>
          <w:lang w:val="sk-SK"/>
        </w:rPr>
        <w:t>(COM(2025)0106 – C10-0044/2025 – 2025/0058(COD))</w:t>
      </w:r>
      <w:bookmarkEnd w:id="8"/>
    </w:p>
    <w:p w14:paraId="05ACCE01" w14:textId="77777777" w:rsidR="00D552E0" w:rsidRPr="00D16E94" w:rsidRDefault="00D97517" w:rsidP="00D16E94">
      <w:pPr>
        <w:widowControl w:val="0"/>
        <w:spacing w:before="240" w:after="240"/>
        <w:ind w:left="567" w:hanging="567"/>
        <w:rPr>
          <w:b/>
          <w:lang w:val="sk-SK"/>
        </w:rPr>
      </w:pPr>
      <w:r w:rsidRPr="00D16E94">
        <w:rPr>
          <w:b/>
          <w:lang w:val="sk-SK"/>
        </w:rPr>
        <w:t>(Riadny legislatívny postup: prvé čítanie)</w:t>
      </w:r>
    </w:p>
    <w:p w14:paraId="5167B2C3" w14:textId="77777777" w:rsidR="006E5420" w:rsidRPr="00D16E94" w:rsidRDefault="00D552E0" w:rsidP="008B1C2E">
      <w:pPr>
        <w:pStyle w:val="Normal12"/>
        <w:spacing w:before="360"/>
        <w:rPr>
          <w:i/>
          <w:szCs w:val="24"/>
          <w:lang w:val="sk-SK"/>
        </w:rPr>
      </w:pPr>
      <w:bookmarkStart w:id="9" w:name="TextBodyBegin"/>
      <w:bookmarkEnd w:id="9"/>
      <w:r w:rsidRPr="00D16E94">
        <w:rPr>
          <w:i/>
          <w:szCs w:val="24"/>
          <w:lang w:val="sk-SK"/>
        </w:rPr>
        <w:t>Európsky parlament,</w:t>
      </w:r>
    </w:p>
    <w:p w14:paraId="1241B7BD" w14:textId="77777777" w:rsidR="00D97517" w:rsidRPr="00D16E94" w:rsidRDefault="00D97517" w:rsidP="00D97517">
      <w:pPr>
        <w:widowControl w:val="0"/>
        <w:spacing w:after="240"/>
        <w:ind w:left="567" w:hanging="567"/>
        <w:rPr>
          <w:lang w:val="sk-SK"/>
        </w:rPr>
      </w:pPr>
      <w:r w:rsidRPr="00D16E94">
        <w:rPr>
          <w:lang w:val="sk-SK"/>
        </w:rPr>
        <w:t>–</w:t>
      </w:r>
      <w:r w:rsidRPr="00D16E94">
        <w:rPr>
          <w:lang w:val="sk-SK"/>
        </w:rPr>
        <w:tab/>
        <w:t>so zreteľom na návrh Komisie pre Európsky parlament a Radu (COM(2025)0</w:t>
      </w:r>
      <w:r w:rsidR="00AA5E25" w:rsidRPr="00D16E94">
        <w:rPr>
          <w:lang w:val="sk-SK"/>
        </w:rPr>
        <w:t>106</w:t>
      </w:r>
      <w:r w:rsidRPr="00D16E94">
        <w:rPr>
          <w:lang w:val="sk-SK"/>
        </w:rPr>
        <w:t>),</w:t>
      </w:r>
    </w:p>
    <w:p w14:paraId="7E32796A" w14:textId="77777777" w:rsidR="00D97517" w:rsidRPr="00D16E94" w:rsidRDefault="00D97517" w:rsidP="00D97517">
      <w:pPr>
        <w:widowControl w:val="0"/>
        <w:spacing w:after="240"/>
        <w:ind w:left="567" w:hanging="567"/>
        <w:rPr>
          <w:lang w:val="sk-SK"/>
        </w:rPr>
      </w:pPr>
      <w:r w:rsidRPr="00D16E94">
        <w:rPr>
          <w:lang w:val="sk-SK"/>
        </w:rPr>
        <w:t>–</w:t>
      </w:r>
      <w:r w:rsidRPr="00D16E94">
        <w:rPr>
          <w:lang w:val="sk-SK"/>
        </w:rPr>
        <w:tab/>
        <w:t>so zreteľom na článok 294 ods. 2 a člán</w:t>
      </w:r>
      <w:r w:rsidR="00AA5E25" w:rsidRPr="00D16E94">
        <w:rPr>
          <w:lang w:val="sk-SK"/>
        </w:rPr>
        <w:t>o</w:t>
      </w:r>
      <w:r w:rsidRPr="00D16E94">
        <w:rPr>
          <w:lang w:val="sk-SK"/>
        </w:rPr>
        <w:t xml:space="preserve">k </w:t>
      </w:r>
      <w:r w:rsidR="00AA5E25" w:rsidRPr="00D16E94">
        <w:rPr>
          <w:lang w:val="sk-SK"/>
        </w:rPr>
        <w:t>192 ods. 1</w:t>
      </w:r>
      <w:r w:rsidRPr="00D16E94">
        <w:rPr>
          <w:lang w:val="sk-SK"/>
        </w:rPr>
        <w:t xml:space="preserve"> Zmluvy o fungovaní Európskej únie, v súlade s ktorými Komisia predložila návrh Európskemu parlamentu (C10</w:t>
      </w:r>
      <w:r w:rsidRPr="00D16E94">
        <w:rPr>
          <w:lang w:val="sk-SK"/>
        </w:rPr>
        <w:noBreakHyphen/>
        <w:t>00</w:t>
      </w:r>
      <w:r w:rsidR="00AA5E25" w:rsidRPr="00D16E94">
        <w:rPr>
          <w:lang w:val="sk-SK"/>
        </w:rPr>
        <w:t>44</w:t>
      </w:r>
      <w:r w:rsidRPr="00D16E94">
        <w:rPr>
          <w:lang w:val="sk-SK"/>
        </w:rPr>
        <w:t>/2025),</w:t>
      </w:r>
    </w:p>
    <w:p w14:paraId="7168DAB4" w14:textId="77777777" w:rsidR="00D97517" w:rsidRPr="00D16E94" w:rsidRDefault="00D97517" w:rsidP="00D97517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D16E94">
        <w:rPr>
          <w:rFonts w:ascii="Symbol" w:hAnsi="Symbol"/>
          <w:lang w:val="sk-SK"/>
        </w:rPr>
        <w:sym w:font="Symbol" w:char="F02D"/>
      </w:r>
      <w:r w:rsidRPr="00D16E94">
        <w:rPr>
          <w:lang w:val="sk-SK"/>
        </w:rPr>
        <w:tab/>
        <w:t>so zreteľom na článok 294 ods. 3 Zmluvy o fungovaní Európskej únie,</w:t>
      </w:r>
    </w:p>
    <w:p w14:paraId="5E9B2DB0" w14:textId="77777777" w:rsidR="00D97517" w:rsidRPr="00D16E94" w:rsidRDefault="00D97517" w:rsidP="00D97517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D16E94">
        <w:rPr>
          <w:lang w:val="sk-SK"/>
        </w:rPr>
        <w:t>–</w:t>
      </w:r>
      <w:r w:rsidRPr="00D16E94">
        <w:rPr>
          <w:lang w:val="sk-SK"/>
        </w:rPr>
        <w:tab/>
        <w:t>so zreteľom na stanovisko Európskeho hospodárskeho a sociálneho výboru z </w:t>
      </w:r>
      <w:r w:rsidR="00AA5E25" w:rsidRPr="00D16E94">
        <w:rPr>
          <w:lang w:val="sk-SK"/>
        </w:rPr>
        <w:t>30</w:t>
      </w:r>
      <w:r w:rsidRPr="00D16E94">
        <w:rPr>
          <w:lang w:val="sk-SK"/>
        </w:rPr>
        <w:t xml:space="preserve">. </w:t>
      </w:r>
      <w:r w:rsidR="00AA5E25" w:rsidRPr="00D16E94">
        <w:rPr>
          <w:lang w:val="sk-SK"/>
        </w:rPr>
        <w:t>apríla</w:t>
      </w:r>
      <w:r w:rsidRPr="00D16E94">
        <w:rPr>
          <w:lang w:val="sk-SK"/>
        </w:rPr>
        <w:t xml:space="preserve"> 2025</w:t>
      </w:r>
      <w:r w:rsidRPr="00D16E94">
        <w:rPr>
          <w:rStyle w:val="FootnoteReference"/>
          <w:lang w:val="sk-SK"/>
        </w:rPr>
        <w:footnoteReference w:id="1"/>
      </w:r>
      <w:r w:rsidRPr="00D16E94">
        <w:rPr>
          <w:lang w:val="sk-SK"/>
        </w:rPr>
        <w:t>,</w:t>
      </w:r>
    </w:p>
    <w:p w14:paraId="0234B459" w14:textId="77777777" w:rsidR="00AA5E25" w:rsidRPr="00D16E94" w:rsidRDefault="00AA5E25" w:rsidP="00D97517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D16E94">
        <w:rPr>
          <w:lang w:val="sk-SK"/>
        </w:rPr>
        <w:t>–</w:t>
      </w:r>
      <w:r w:rsidRPr="00D16E94">
        <w:rPr>
          <w:lang w:val="sk-SK"/>
        </w:rPr>
        <w:tab/>
        <w:t>po porade s Výborom regiónov,</w:t>
      </w:r>
    </w:p>
    <w:p w14:paraId="3AF77407" w14:textId="77777777" w:rsidR="00D97517" w:rsidRPr="00D16E94" w:rsidRDefault="00D97517" w:rsidP="00D97517">
      <w:pPr>
        <w:widowControl w:val="0"/>
        <w:spacing w:after="240"/>
        <w:ind w:left="567" w:hanging="567"/>
        <w:rPr>
          <w:lang w:val="sk-SK"/>
        </w:rPr>
      </w:pPr>
      <w:r w:rsidRPr="00D16E94">
        <w:rPr>
          <w:lang w:val="sk-SK"/>
        </w:rPr>
        <w:t>–</w:t>
      </w:r>
      <w:r w:rsidRPr="00D16E94">
        <w:rPr>
          <w:lang w:val="sk-SK"/>
        </w:rPr>
        <w:tab/>
        <w:t>so zreteľom na články 60 a 170 rokovacieho poriadku,</w:t>
      </w:r>
    </w:p>
    <w:p w14:paraId="422B0524" w14:textId="77777777" w:rsidR="00D97517" w:rsidRPr="00D16E94" w:rsidRDefault="00D97517" w:rsidP="00D97517">
      <w:pPr>
        <w:widowControl w:val="0"/>
        <w:spacing w:after="240"/>
        <w:ind w:left="567" w:hanging="567"/>
        <w:rPr>
          <w:lang w:val="sk-SK"/>
        </w:rPr>
      </w:pPr>
      <w:r w:rsidRPr="00D16E94">
        <w:rPr>
          <w:lang w:val="sk-SK"/>
        </w:rPr>
        <w:t>1.</w:t>
      </w:r>
      <w:r w:rsidRPr="00D16E94">
        <w:rPr>
          <w:lang w:val="sk-SK"/>
        </w:rPr>
        <w:tab/>
        <w:t>prijíma nasledujúcu pozíciu v prvom čítaní;</w:t>
      </w:r>
    </w:p>
    <w:p w14:paraId="07710355" w14:textId="77777777" w:rsidR="00D97517" w:rsidRPr="00D16E94" w:rsidRDefault="00D97517" w:rsidP="00D97517">
      <w:pPr>
        <w:widowControl w:val="0"/>
        <w:spacing w:after="240"/>
        <w:ind w:left="567" w:hanging="567"/>
        <w:rPr>
          <w:lang w:val="sk-SK"/>
        </w:rPr>
      </w:pPr>
      <w:r w:rsidRPr="00D16E94">
        <w:rPr>
          <w:lang w:val="sk-SK"/>
        </w:rPr>
        <w:t>2.</w:t>
      </w:r>
      <w:r w:rsidRPr="00D16E94">
        <w:rPr>
          <w:lang w:val="sk-SK"/>
        </w:rPr>
        <w:tab/>
        <w:t>žiada Komisiu, aby mu vec znovu predložila, ak nahrádza, podstatne mení alebo má v úmysle podstatne zmeniť svoj návrh;</w:t>
      </w:r>
    </w:p>
    <w:p w14:paraId="159991C6" w14:textId="77777777" w:rsidR="00D97517" w:rsidRPr="00D16E94" w:rsidRDefault="00D97517" w:rsidP="00D97517">
      <w:pPr>
        <w:widowControl w:val="0"/>
        <w:spacing w:after="240"/>
        <w:ind w:left="567" w:hanging="567"/>
        <w:rPr>
          <w:lang w:val="sk-SK"/>
        </w:rPr>
      </w:pPr>
      <w:r w:rsidRPr="00D16E94">
        <w:rPr>
          <w:lang w:val="sk-SK"/>
        </w:rPr>
        <w:t>3.</w:t>
      </w:r>
      <w:r w:rsidRPr="00D16E94">
        <w:rPr>
          <w:lang w:val="sk-SK"/>
        </w:rPr>
        <w:tab/>
        <w:t>poveruje svoju predsedníčku, aby postúpila túto pozíciu Rade, Komisii a národným parlamentom.</w:t>
      </w:r>
    </w:p>
    <w:p w14:paraId="3F7A0DC1" w14:textId="77777777" w:rsidR="00D97517" w:rsidRPr="00D16E94" w:rsidRDefault="00D97517" w:rsidP="009F28EF">
      <w:pPr>
        <w:pStyle w:val="Normal12"/>
        <w:rPr>
          <w:szCs w:val="24"/>
          <w:lang w:val="sk-SK"/>
        </w:rPr>
        <w:sectPr w:rsidR="00D97517" w:rsidRPr="00D16E9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86E8120" w14:textId="77777777" w:rsidR="00D97517" w:rsidRPr="00D16E94" w:rsidRDefault="00D97517" w:rsidP="00D97517">
      <w:pPr>
        <w:spacing w:after="240"/>
        <w:rPr>
          <w:b/>
          <w:lang w:val="sk-SK"/>
        </w:rPr>
      </w:pPr>
      <w:r w:rsidRPr="00D16E94">
        <w:rPr>
          <w:b/>
          <w:lang w:val="sk-SK"/>
        </w:rPr>
        <w:lastRenderedPageBreak/>
        <w:t>P10_TC1-COD(2025)00</w:t>
      </w:r>
      <w:r w:rsidR="00CF42EC" w:rsidRPr="00D16E94">
        <w:rPr>
          <w:b/>
          <w:lang w:val="sk-SK"/>
        </w:rPr>
        <w:t>58</w:t>
      </w:r>
    </w:p>
    <w:p w14:paraId="525C8490" w14:textId="77777777" w:rsidR="00CF42EC" w:rsidRDefault="00D97517" w:rsidP="00CF42EC">
      <w:pPr>
        <w:widowControl w:val="0"/>
        <w:spacing w:after="240"/>
        <w:rPr>
          <w:rFonts w:eastAsia="Calibri"/>
          <w:b/>
          <w:noProof/>
          <w:szCs w:val="22"/>
          <w:lang w:val="sk-SK" w:eastAsia="en-US"/>
        </w:rPr>
      </w:pPr>
      <w:r w:rsidRPr="00D16E94">
        <w:rPr>
          <w:b/>
          <w:lang w:val="sk-SK"/>
        </w:rPr>
        <w:t xml:space="preserve">Pozícia Európskeho parlamentu prijatá v prvom čítaní </w:t>
      </w:r>
      <w:r w:rsidR="00CF42EC" w:rsidRPr="00D16E94">
        <w:rPr>
          <w:b/>
          <w:lang w:val="sk-SK"/>
        </w:rPr>
        <w:t>8</w:t>
      </w:r>
      <w:r w:rsidRPr="00D16E94">
        <w:rPr>
          <w:b/>
          <w:lang w:val="sk-SK"/>
        </w:rPr>
        <w:t xml:space="preserve">. </w:t>
      </w:r>
      <w:r w:rsidR="00CF42EC" w:rsidRPr="00D16E94">
        <w:rPr>
          <w:b/>
          <w:lang w:val="sk-SK"/>
        </w:rPr>
        <w:t>mája</w:t>
      </w:r>
      <w:r w:rsidRPr="00D16E94">
        <w:rPr>
          <w:b/>
          <w:color w:val="FFFF00"/>
          <w:lang w:val="sk-SK"/>
        </w:rPr>
        <w:t xml:space="preserve"> </w:t>
      </w:r>
      <w:r w:rsidRPr="00D16E94">
        <w:rPr>
          <w:b/>
          <w:lang w:val="sk-SK"/>
        </w:rPr>
        <w:t xml:space="preserve">2025 na účely prijatia smernice Európskeho parlamentu a Rady (EÚ) 2025/..., </w:t>
      </w:r>
      <w:r w:rsidR="00CF42EC" w:rsidRPr="00D16E94">
        <w:rPr>
          <w:rFonts w:eastAsia="Calibri"/>
          <w:b/>
          <w:noProof/>
          <w:szCs w:val="22"/>
          <w:lang w:val="sk-SK" w:eastAsia="en-US"/>
        </w:rPr>
        <w:t>ktorou sa mení smernica Rady 92/43/EHS, pokiaľ ide o úroveň ochrany vlka (</w:t>
      </w:r>
      <w:r w:rsidR="00CF42EC" w:rsidRPr="00D16E94">
        <w:rPr>
          <w:rFonts w:eastAsia="Calibri"/>
          <w:b/>
          <w:i/>
          <w:noProof/>
          <w:szCs w:val="22"/>
          <w:lang w:val="sk-SK" w:eastAsia="en-US"/>
        </w:rPr>
        <w:t>Canis lupus</w:t>
      </w:r>
      <w:r w:rsidR="00CF42EC" w:rsidRPr="00D16E94">
        <w:rPr>
          <w:rFonts w:eastAsia="Calibri"/>
          <w:b/>
          <w:noProof/>
          <w:szCs w:val="22"/>
          <w:lang w:val="sk-SK" w:eastAsia="en-US"/>
        </w:rPr>
        <w:t>)</w:t>
      </w:r>
    </w:p>
    <w:p w14:paraId="69BC0B64" w14:textId="77777777" w:rsidR="00CB63B5" w:rsidRDefault="00CB63B5" w:rsidP="00CF42EC">
      <w:pPr>
        <w:widowControl w:val="0"/>
        <w:spacing w:after="240"/>
        <w:rPr>
          <w:rFonts w:eastAsia="Calibri"/>
          <w:b/>
          <w:noProof/>
          <w:szCs w:val="22"/>
          <w:lang w:val="sk-SK" w:eastAsia="en-US"/>
        </w:rPr>
      </w:pPr>
    </w:p>
    <w:p w14:paraId="26134923" w14:textId="6025AE99" w:rsidR="00CB63B5" w:rsidRPr="008E5180" w:rsidRDefault="00CB63B5" w:rsidP="008E5180">
      <w:pPr>
        <w:rPr>
          <w:lang w:val="sk-SK"/>
        </w:rPr>
      </w:pPr>
      <w:r w:rsidRPr="00731EF8">
        <w:rPr>
          <w:i/>
          <w:iCs/>
          <w:lang w:val="sk-SK"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  <w:lang w:val="sk-SK"/>
        </w:rPr>
        <w:t>smernici</w:t>
      </w:r>
      <w:r w:rsidRPr="00CB63B5">
        <w:rPr>
          <w:i/>
          <w:iCs/>
          <w:lang w:val="sk-SK"/>
        </w:rPr>
        <w:t xml:space="preserve"> (EÚ) 2025/</w:t>
      </w:r>
      <w:r>
        <w:rPr>
          <w:i/>
          <w:iCs/>
          <w:lang w:val="sk-SK"/>
        </w:rPr>
        <w:t>1237</w:t>
      </w:r>
      <w:r w:rsidRPr="00CB63B5">
        <w:rPr>
          <w:i/>
          <w:iCs/>
          <w:lang w:val="sk-SK"/>
        </w:rPr>
        <w:t>.)</w:t>
      </w:r>
    </w:p>
    <w:sectPr w:rsidR="00CB63B5" w:rsidRPr="008E5180" w:rsidSect="00D9751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4BF2A" w14:textId="77777777" w:rsidR="00D552E0" w:rsidRDefault="00D552E0" w:rsidP="009C4014">
      <w:r>
        <w:separator/>
      </w:r>
    </w:p>
  </w:endnote>
  <w:endnote w:type="continuationSeparator" w:id="0">
    <w:p w14:paraId="1014F5A7" w14:textId="77777777" w:rsidR="00D552E0" w:rsidRDefault="00D552E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AE8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A3A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B95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763A2" w14:textId="77777777" w:rsidR="00D552E0" w:rsidRDefault="00D552E0" w:rsidP="009C4014">
      <w:r>
        <w:separator/>
      </w:r>
    </w:p>
  </w:footnote>
  <w:footnote w:type="continuationSeparator" w:id="0">
    <w:p w14:paraId="2AD3E6A7" w14:textId="77777777" w:rsidR="00D552E0" w:rsidRDefault="00D552E0" w:rsidP="009C4014">
      <w:r>
        <w:continuationSeparator/>
      </w:r>
    </w:p>
  </w:footnote>
  <w:footnote w:id="1">
    <w:p w14:paraId="7F96B0FE" w14:textId="77777777" w:rsidR="00D97517" w:rsidRPr="008637DE" w:rsidRDefault="00D97517" w:rsidP="00D97517">
      <w:pPr>
        <w:pStyle w:val="FootnoteText"/>
        <w:ind w:left="567" w:hanging="567"/>
        <w:rPr>
          <w:sz w:val="24"/>
          <w:szCs w:val="24"/>
          <w:lang w:val="sk-SK"/>
        </w:rPr>
      </w:pPr>
      <w:r w:rsidRPr="008637DE">
        <w:rPr>
          <w:rStyle w:val="FootnoteReference"/>
          <w:sz w:val="24"/>
          <w:szCs w:val="24"/>
        </w:rPr>
        <w:footnoteRef/>
      </w:r>
      <w:r w:rsidRPr="008637DE">
        <w:rPr>
          <w:sz w:val="24"/>
          <w:szCs w:val="24"/>
        </w:rPr>
        <w:t xml:space="preserve"> </w:t>
      </w:r>
      <w:r w:rsidRPr="008637DE">
        <w:rPr>
          <w:sz w:val="24"/>
          <w:szCs w:val="24"/>
          <w:lang w:val="sk-SK"/>
        </w:rPr>
        <w:tab/>
        <w:t>Zatiaľ neuverejnené v 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F0F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E95F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4099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3096499">
    <w:abstractNumId w:val="3"/>
  </w:num>
  <w:num w:numId="2" w16cid:durableId="1008946119">
    <w:abstractNumId w:val="2"/>
  </w:num>
  <w:num w:numId="3" w16cid:durableId="1151023146">
    <w:abstractNumId w:val="1"/>
  </w:num>
  <w:num w:numId="4" w16cid:durableId="1766227382">
    <w:abstractNumId w:val="0"/>
  </w:num>
  <w:num w:numId="5" w16cid:durableId="462504624">
    <w:abstractNumId w:val="6"/>
  </w:num>
  <w:num w:numId="6" w16cid:durableId="1306350820">
    <w:abstractNumId w:val="5"/>
  </w:num>
  <w:num w:numId="7" w16cid:durableId="598489116">
    <w:abstractNumId w:val="4"/>
  </w:num>
  <w:num w:numId="8" w16cid:durableId="2033023225">
    <w:abstractNumId w:val="7"/>
  </w:num>
  <w:num w:numId="9" w16cid:durableId="2135918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E0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06D6"/>
    <w:rsid w:val="008512F3"/>
    <w:rsid w:val="00857458"/>
    <w:rsid w:val="00873A0F"/>
    <w:rsid w:val="00895FA0"/>
    <w:rsid w:val="008B1C2E"/>
    <w:rsid w:val="008D7C16"/>
    <w:rsid w:val="008E5180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A5E25"/>
    <w:rsid w:val="00AE1C81"/>
    <w:rsid w:val="00B54C72"/>
    <w:rsid w:val="00B85C1E"/>
    <w:rsid w:val="00C15516"/>
    <w:rsid w:val="00C16C81"/>
    <w:rsid w:val="00C57739"/>
    <w:rsid w:val="00C65BE8"/>
    <w:rsid w:val="00CB451F"/>
    <w:rsid w:val="00CB63B5"/>
    <w:rsid w:val="00CC4897"/>
    <w:rsid w:val="00CF42EC"/>
    <w:rsid w:val="00D16E94"/>
    <w:rsid w:val="00D202A4"/>
    <w:rsid w:val="00D552E0"/>
    <w:rsid w:val="00D91669"/>
    <w:rsid w:val="00D97517"/>
    <w:rsid w:val="00DF097A"/>
    <w:rsid w:val="00DF53A8"/>
    <w:rsid w:val="00E039BF"/>
    <w:rsid w:val="00E11822"/>
    <w:rsid w:val="00E73B02"/>
    <w:rsid w:val="00E74BF3"/>
    <w:rsid w:val="00EC1845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027E0"/>
  <w15:chartTrackingRefBased/>
  <w15:docId w15:val="{13ECE185-A5DE-4188-A0DF-9AAE1384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CF42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450CA-0369-4F87-A653-910E3628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223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2</cp:revision>
  <cp:lastPrinted>2014-08-07T13:15:00Z</cp:lastPrinted>
  <dcterms:created xsi:type="dcterms:W3CDTF">2025-09-18T13:34:00Z</dcterms:created>
  <dcterms:modified xsi:type="dcterms:W3CDTF">2025-09-18T13:34:00Z</dcterms:modified>
</cp:coreProperties>
</file>