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5CD6" w:rsidTr="0010095E">
        <w:trPr>
          <w:trHeight w:hRule="exact" w:val="1418"/>
        </w:trPr>
        <w:tc>
          <w:tcPr>
            <w:tcW w:w="6804" w:type="dxa"/>
            <w:shd w:val="clear" w:color="auto" w:fill="auto"/>
            <w:vAlign w:val="center"/>
          </w:tcPr>
          <w:p w:rsidR="00751A4A" w:rsidRPr="007B5CD6" w:rsidRDefault="00AD2873" w:rsidP="0010095E">
            <w:pPr>
              <w:pStyle w:val="EPName"/>
            </w:pPr>
            <w:r w:rsidRPr="007B5CD6">
              <w:t>Evropský parlament</w:t>
            </w:r>
          </w:p>
          <w:p w:rsidR="00751A4A" w:rsidRPr="007B5CD6" w:rsidRDefault="005F1B17" w:rsidP="005F1B17">
            <w:pPr>
              <w:pStyle w:val="EPTerm"/>
              <w:rPr>
                <w:rStyle w:val="HideTWBExt"/>
                <w:noProof w:val="0"/>
                <w:vanish w:val="0"/>
                <w:color w:val="auto"/>
              </w:rPr>
            </w:pPr>
            <w:r w:rsidRPr="007B5CD6">
              <w:t>2024</w:t>
            </w:r>
            <w:r w:rsidR="00817416" w:rsidRPr="007B5CD6">
              <w:t>-202</w:t>
            </w:r>
            <w:r w:rsidRPr="007B5CD6">
              <w:t>9</w:t>
            </w:r>
          </w:p>
        </w:tc>
        <w:tc>
          <w:tcPr>
            <w:tcW w:w="2268" w:type="dxa"/>
            <w:shd w:val="clear" w:color="auto" w:fill="auto"/>
          </w:tcPr>
          <w:p w:rsidR="00751A4A" w:rsidRPr="007B5CD6" w:rsidRDefault="00187494" w:rsidP="0010095E">
            <w:pPr>
              <w:pStyle w:val="EPLogo"/>
            </w:pPr>
            <w:r w:rsidRPr="007B5C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5CD6" w:rsidRDefault="00D058B8" w:rsidP="004C5D52">
      <w:pPr>
        <w:pStyle w:val="LineTop"/>
      </w:pPr>
    </w:p>
    <w:p w:rsidR="00680577" w:rsidRPr="007B5CD6" w:rsidRDefault="00AD2873" w:rsidP="00680577">
      <w:pPr>
        <w:pStyle w:val="EPBodyTA1"/>
      </w:pPr>
      <w:r w:rsidRPr="007B5CD6">
        <w:t>PŘIJATÉ TEXTY</w:t>
      </w:r>
    </w:p>
    <w:p w:rsidR="00D058B8" w:rsidRPr="007B5CD6" w:rsidRDefault="00D058B8" w:rsidP="00D058B8">
      <w:pPr>
        <w:pStyle w:val="LineBottom"/>
      </w:pPr>
    </w:p>
    <w:p w:rsidR="00AD2873" w:rsidRPr="007B5CD6" w:rsidRDefault="00AD2873" w:rsidP="00AD2873">
      <w:pPr>
        <w:pStyle w:val="ATHeading1"/>
      </w:pPr>
      <w:bookmarkStart w:id="0" w:name="TANumber"/>
      <w:r w:rsidRPr="007B5CD6">
        <w:t>P10_TA(2025)0</w:t>
      </w:r>
      <w:bookmarkEnd w:id="0"/>
      <w:r w:rsidR="00304941">
        <w:t>101</w:t>
      </w:r>
    </w:p>
    <w:p w:rsidR="00AD2873" w:rsidRPr="007B5CD6" w:rsidRDefault="00EE4C93" w:rsidP="00AD2873">
      <w:pPr>
        <w:pStyle w:val="ATHeading2"/>
      </w:pPr>
      <w:r w:rsidRPr="00EE4C93">
        <w:t>Úloha uskladňování zemního plynu pro zajištění jeho dodávek před zimním obdobím</w:t>
      </w:r>
    </w:p>
    <w:p w:rsidR="00AD2873" w:rsidRPr="007B5CD6" w:rsidRDefault="00AD2873" w:rsidP="00AD2873">
      <w:pPr>
        <w:rPr>
          <w:i/>
          <w:vanish/>
        </w:rPr>
      </w:pPr>
      <w:r w:rsidRPr="007B5CD6">
        <w:rPr>
          <w:i/>
        </w:rPr>
        <w:fldChar w:fldCharType="begin"/>
      </w:r>
      <w:r w:rsidRPr="007B5CD6">
        <w:rPr>
          <w:i/>
        </w:rPr>
        <w:instrText xml:space="preserve"> TC"(</w:instrText>
      </w:r>
      <w:bookmarkStart w:id="1" w:name="DocNumber"/>
      <w:r w:rsidRPr="007B5CD6">
        <w:rPr>
          <w:i/>
        </w:rPr>
        <w:instrText>A10-0079/2025</w:instrText>
      </w:r>
      <w:bookmarkEnd w:id="1"/>
      <w:r w:rsidRPr="007B5CD6">
        <w:rPr>
          <w:i/>
        </w:rPr>
        <w:instrText xml:space="preserve"> - Zpravodaj: Borys Budka)"\l3 \n&gt; \* MERGEFORMAT </w:instrText>
      </w:r>
      <w:r w:rsidRPr="007B5CD6">
        <w:rPr>
          <w:i/>
        </w:rPr>
        <w:fldChar w:fldCharType="end"/>
      </w:r>
    </w:p>
    <w:p w:rsidR="00AD2873" w:rsidRPr="007B5CD6" w:rsidRDefault="00AD2873" w:rsidP="00AD2873">
      <w:pPr>
        <w:rPr>
          <w:vanish/>
        </w:rPr>
      </w:pPr>
      <w:bookmarkStart w:id="2" w:name="Commission"/>
      <w:r w:rsidRPr="007B5CD6">
        <w:rPr>
          <w:vanish/>
        </w:rPr>
        <w:t>Výbor pro průmysl, výzkum a energetiku</w:t>
      </w:r>
      <w:bookmarkEnd w:id="2"/>
    </w:p>
    <w:p w:rsidR="00AD2873" w:rsidRPr="007B5CD6" w:rsidRDefault="00AD2873" w:rsidP="00AD2873">
      <w:pPr>
        <w:rPr>
          <w:vanish/>
        </w:rPr>
      </w:pPr>
      <w:bookmarkStart w:id="3" w:name="PE"/>
      <w:r w:rsidRPr="007B5CD6">
        <w:rPr>
          <w:vanish/>
        </w:rPr>
        <w:t>PE772.015</w:t>
      </w:r>
      <w:bookmarkEnd w:id="3"/>
    </w:p>
    <w:p w:rsidR="00AD2873" w:rsidRPr="007B5CD6" w:rsidRDefault="00304941" w:rsidP="00AD2873">
      <w:pPr>
        <w:pStyle w:val="ATHeading3"/>
      </w:pPr>
      <w:bookmarkStart w:id="4" w:name="Sujet"/>
      <w:r w:rsidRPr="00B50930">
        <w:t>Pozměňovací návrh</w:t>
      </w:r>
      <w:r>
        <w:t>y př</w:t>
      </w:r>
      <w:r w:rsidR="00B81C79">
        <w:t>ijaté Evropským parlamentem dne</w:t>
      </w:r>
      <w:r>
        <w:t xml:space="preserve"> 8</w:t>
      </w:r>
      <w:r w:rsidR="00EE4C93">
        <w:t>. května</w:t>
      </w:r>
      <w:r w:rsidR="00AD2873" w:rsidRPr="007B5CD6">
        <w:t xml:space="preserve"> 2025 </w:t>
      </w:r>
      <w:r>
        <w:t>k</w:t>
      </w:r>
      <w:r w:rsidRPr="007B5CD6">
        <w:t xml:space="preserve"> </w:t>
      </w:r>
      <w:r w:rsidR="00AD2873" w:rsidRPr="007B5CD6">
        <w:t>návrhu nařízení Evropského parlamentu a Rady, kterým se mění nařízení (EU) 2017/1938, pokud jde o úlohu uskladňování zemního plynu pro zajištění jeho dodávek před zimním obdobím</w:t>
      </w:r>
      <w:bookmarkEnd w:id="4"/>
      <w:r w:rsidR="00AD2873" w:rsidRPr="007B5CD6">
        <w:t xml:space="preserve"> </w:t>
      </w:r>
      <w:bookmarkStart w:id="5" w:name="References"/>
      <w:r w:rsidR="00AD2873" w:rsidRPr="007B5CD6">
        <w:t>(</w:t>
      </w:r>
      <w:proofErr w:type="gramStart"/>
      <w:r w:rsidR="00AD2873" w:rsidRPr="007B5CD6">
        <w:t>COM(2025</w:t>
      </w:r>
      <w:proofErr w:type="gramEnd"/>
      <w:r w:rsidR="00AD2873" w:rsidRPr="007B5CD6">
        <w:t>)0099 – C10-0041/2025 – 2025/0051(COD))</w:t>
      </w:r>
      <w:bookmarkEnd w:id="5"/>
      <w:r>
        <w:rPr>
          <w:rStyle w:val="FootnoteReference"/>
        </w:rPr>
        <w:footnoteReference w:id="1"/>
      </w:r>
    </w:p>
    <w:p w:rsidR="00AD2873" w:rsidRPr="007B5CD6" w:rsidRDefault="00AD2873" w:rsidP="00AD2873"/>
    <w:p w:rsidR="00F70A05" w:rsidRPr="007B5CD6" w:rsidRDefault="00F70A05" w:rsidP="00F70A05">
      <w:pPr>
        <w:pStyle w:val="NormalBold"/>
      </w:pPr>
      <w:bookmarkStart w:id="6" w:name="TextBodyBegin"/>
      <w:bookmarkEnd w:id="6"/>
      <w:r w:rsidRPr="007B5CD6">
        <w:t>(Řádný legislativní postup: první čtení)</w:t>
      </w:r>
    </w:p>
    <w:p w:rsidR="00F70A05" w:rsidRPr="007B5CD6" w:rsidRDefault="00F70A05" w:rsidP="00F70A05">
      <w:pPr>
        <w:pStyle w:val="NormalHanging12a"/>
      </w:pPr>
    </w:p>
    <w:p w:rsidR="00B81C79" w:rsidRPr="00B81C79" w:rsidRDefault="00296C8A" w:rsidP="00B81C79">
      <w:pPr>
        <w:pStyle w:val="AmHeadingConsam"/>
        <w:jc w:val="left"/>
        <w:rPr>
          <w:b/>
          <w:lang w:val="cs-CZ"/>
        </w:rPr>
      </w:pPr>
      <w:r w:rsidRPr="00B81C79">
        <w:rPr>
          <w:b/>
          <w:lang w:val="cs-CZ"/>
        </w:rPr>
        <w:t>[Pozměňovací návrh 1, pokud není určeno jinak]</w:t>
      </w:r>
    </w:p>
    <w:p w:rsidR="00F70A05" w:rsidRPr="007B5CD6" w:rsidRDefault="00F70A05" w:rsidP="00F70A05">
      <w:pPr>
        <w:pStyle w:val="AmHeadingConsam"/>
        <w:rPr>
          <w:lang w:val="cs-CZ"/>
        </w:rPr>
      </w:pPr>
      <w:r w:rsidRPr="007B5CD6">
        <w:rPr>
          <w:lang w:val="cs-CZ"/>
        </w:rPr>
        <w:t>POZMĚŇOVACÍ NÁVRHY EVROPSKÉHO PARLAMENTU</w:t>
      </w:r>
      <w:r w:rsidRPr="007B5CD6">
        <w:rPr>
          <w:rStyle w:val="FootnoteReference"/>
          <w:lang w:val="cs-CZ"/>
        </w:rPr>
        <w:footnoteReference w:customMarkFollows="1" w:id="2"/>
        <w:t>*</w:t>
      </w:r>
    </w:p>
    <w:p w:rsidR="00F70A05" w:rsidRPr="007B5CD6" w:rsidRDefault="00F70A05" w:rsidP="00F70A05">
      <w:pPr>
        <w:pStyle w:val="NormalCenter12a"/>
        <w:rPr>
          <w:lang w:val="cs-CZ"/>
        </w:rPr>
      </w:pPr>
      <w:r w:rsidRPr="007B5CD6">
        <w:rPr>
          <w:lang w:val="cs-CZ"/>
        </w:rPr>
        <w:t>k návrhu Komise</w:t>
      </w:r>
    </w:p>
    <w:p w:rsidR="00F70A05" w:rsidRPr="007B5CD6" w:rsidRDefault="00F70A05" w:rsidP="00F70A05">
      <w:pPr>
        <w:pStyle w:val="NormalCenter12a"/>
        <w:rPr>
          <w:lang w:val="cs-CZ"/>
        </w:rPr>
      </w:pPr>
      <w:r w:rsidRPr="007B5CD6">
        <w:rPr>
          <w:lang w:val="cs-CZ"/>
        </w:rPr>
        <w:t>---------------------------------------------------------</w:t>
      </w:r>
    </w:p>
    <w:p w:rsidR="00F70A05" w:rsidRPr="007B5CD6" w:rsidRDefault="00F70A05" w:rsidP="00F70A05">
      <w:pPr>
        <w:pStyle w:val="NormalCenter12a"/>
        <w:rPr>
          <w:lang w:val="cs-CZ"/>
        </w:rPr>
      </w:pPr>
    </w:p>
    <w:p w:rsidR="00F70A05" w:rsidRPr="007B5CD6" w:rsidRDefault="00F70A05" w:rsidP="00F70A05">
      <w:pPr>
        <w:pStyle w:val="NormalCenter12a"/>
        <w:rPr>
          <w:b/>
          <w:lang w:val="cs-CZ"/>
        </w:rPr>
      </w:pPr>
      <w:r w:rsidRPr="007B5CD6">
        <w:rPr>
          <w:b/>
          <w:lang w:val="cs-CZ"/>
        </w:rPr>
        <w:t>NAŘÍZENÍ EVROPSKÉHO PARLAMENTU A RADY,</w:t>
      </w:r>
    </w:p>
    <w:p w:rsidR="00F70A05" w:rsidRPr="007B5CD6" w:rsidRDefault="00F70A05" w:rsidP="00F70A05">
      <w:pPr>
        <w:pStyle w:val="NormalCenter12a"/>
        <w:rPr>
          <w:lang w:val="cs-CZ"/>
        </w:rPr>
      </w:pPr>
      <w:r w:rsidRPr="007B5CD6">
        <w:rPr>
          <w:b/>
          <w:lang w:val="cs-CZ"/>
        </w:rPr>
        <w:t>kterým se mění nařízení (EU) 2017/1938, pokud jde o úlohu uskladňování zemního plynu pro zajištění jeho dodávek před zimním obdobím</w:t>
      </w:r>
    </w:p>
    <w:p w:rsidR="00F70A05" w:rsidRPr="007B5CD6" w:rsidRDefault="00F70A05" w:rsidP="00F70A05">
      <w:pPr>
        <w:pStyle w:val="NormalCenter12a"/>
        <w:jc w:val="left"/>
        <w:rPr>
          <w:lang w:val="cs-CZ"/>
        </w:rPr>
      </w:pPr>
      <w:r w:rsidRPr="007B5CD6">
        <w:rPr>
          <w:lang w:val="cs-CZ"/>
        </w:rPr>
        <w:t>EVROPSKÝ PARLAMENT A RADA EVROPSKÉ UNIE,</w:t>
      </w:r>
    </w:p>
    <w:p w:rsidR="00F70A05" w:rsidRPr="007B5CD6" w:rsidRDefault="00F70A05" w:rsidP="00F70A05">
      <w:pPr>
        <w:pStyle w:val="NormalCenter12a"/>
        <w:jc w:val="left"/>
        <w:rPr>
          <w:lang w:val="cs-CZ"/>
        </w:rPr>
      </w:pPr>
      <w:r w:rsidRPr="007B5CD6">
        <w:rPr>
          <w:lang w:val="cs-CZ"/>
        </w:rPr>
        <w:lastRenderedPageBreak/>
        <w:t xml:space="preserve">s ohledem na Smlouvu o fungování Evropské unie, a zejména na čl. 194 odst. 2 </w:t>
      </w:r>
      <w:proofErr w:type="gramStart"/>
      <w:r w:rsidRPr="007B5CD6">
        <w:rPr>
          <w:lang w:val="cs-CZ"/>
        </w:rPr>
        <w:t>této</w:t>
      </w:r>
      <w:proofErr w:type="gramEnd"/>
      <w:r w:rsidRPr="007B5CD6">
        <w:rPr>
          <w:lang w:val="cs-CZ"/>
        </w:rPr>
        <w:t xml:space="preserve"> smlouvy,</w:t>
      </w:r>
    </w:p>
    <w:p w:rsidR="00F70A05" w:rsidRPr="007B5CD6" w:rsidRDefault="00F70A05" w:rsidP="00F70A05">
      <w:pPr>
        <w:pStyle w:val="NormalCenter12a"/>
        <w:jc w:val="left"/>
        <w:rPr>
          <w:lang w:val="cs-CZ"/>
        </w:rPr>
      </w:pPr>
      <w:r w:rsidRPr="007B5CD6">
        <w:rPr>
          <w:lang w:val="cs-CZ"/>
        </w:rPr>
        <w:t>s ohledem na návrh Evropské komise,</w:t>
      </w:r>
    </w:p>
    <w:p w:rsidR="00F70A05" w:rsidRPr="007B5CD6" w:rsidRDefault="00F70A05" w:rsidP="00F70A05">
      <w:pPr>
        <w:pStyle w:val="NormalCenter12a"/>
        <w:jc w:val="left"/>
        <w:rPr>
          <w:lang w:val="cs-CZ"/>
        </w:rPr>
      </w:pPr>
      <w:r w:rsidRPr="007B5CD6">
        <w:rPr>
          <w:lang w:val="cs-CZ"/>
        </w:rPr>
        <w:t>po postoupení návrhu legislativního aktu vnitrostátním parlamentům,</w:t>
      </w:r>
    </w:p>
    <w:p w:rsidR="00F70A05" w:rsidRPr="007B5CD6" w:rsidRDefault="00F70A05" w:rsidP="00F70A05">
      <w:pPr>
        <w:pStyle w:val="NormalCenter12a"/>
        <w:jc w:val="left"/>
        <w:rPr>
          <w:lang w:val="cs-CZ"/>
        </w:rPr>
      </w:pPr>
      <w:r w:rsidRPr="007B5CD6">
        <w:rPr>
          <w:lang w:val="cs-CZ"/>
        </w:rPr>
        <w:t>v souladu s řádným legislativním postupem,</w:t>
      </w:r>
    </w:p>
    <w:p w:rsidR="00F70A05" w:rsidRPr="007B5CD6" w:rsidRDefault="00F70A05" w:rsidP="00F70A05">
      <w:pPr>
        <w:pStyle w:val="NormalCenter12a"/>
        <w:jc w:val="left"/>
        <w:rPr>
          <w:lang w:val="cs-CZ"/>
        </w:rPr>
      </w:pPr>
      <w:r w:rsidRPr="007B5CD6">
        <w:rPr>
          <w:lang w:val="cs-CZ"/>
        </w:rPr>
        <w:t>vzhledem k těmto důvodům:</w:t>
      </w:r>
    </w:p>
    <w:p w:rsidR="00F70A05" w:rsidRDefault="00F70A05" w:rsidP="00F70A05">
      <w:pPr>
        <w:pStyle w:val="NormalHanging12a"/>
        <w:ind w:left="851" w:hanging="851"/>
      </w:pPr>
      <w:r w:rsidRPr="007B5CD6">
        <w:t>(1)</w:t>
      </w:r>
      <w:r w:rsidRPr="007B5CD6">
        <w:tab/>
        <w:t xml:space="preserve">V reakci na krizi v oblasti dodávek zemního plynu a bezprecedentní nárůst cen způsobený eskalací </w:t>
      </w:r>
      <w:r w:rsidRPr="007B5CD6">
        <w:rPr>
          <w:b/>
          <w:i/>
        </w:rPr>
        <w:t>neodůvodněné a nevyprovokované války Ruska proti</w:t>
      </w:r>
      <w:r w:rsidRPr="007B5CD6">
        <w:t xml:space="preserve"> Ukrajině</w:t>
      </w:r>
      <w:r w:rsidRPr="007B5CD6">
        <w:rPr>
          <w:b/>
          <w:i/>
        </w:rPr>
        <w:t>, která probíhá</w:t>
      </w:r>
      <w:r w:rsidRPr="007B5CD6">
        <w:t xml:space="preserve"> od února 2022, které Unii přiměly jednat koordinovaně a komplexně s cílem zabránit potenciálním rizikům plynoucím z dalšího narušení dodávek plynu, bylo přijato nařízení Evropského parlamentu a Rady (EU) 2022/10321</w:t>
      </w:r>
      <w:r w:rsidRPr="007B5CD6">
        <w:rPr>
          <w:vertAlign w:val="superscript"/>
        </w:rPr>
        <w:footnoteReference w:id="3"/>
      </w:r>
      <w:r w:rsidRPr="007B5CD6">
        <w:t>.</w:t>
      </w:r>
    </w:p>
    <w:p w:rsidR="00B532D6" w:rsidRPr="00296C8A" w:rsidRDefault="00296C8A" w:rsidP="00F70A05">
      <w:pPr>
        <w:pStyle w:val="NormalHanging12a"/>
        <w:ind w:left="851" w:hanging="851"/>
        <w:rPr>
          <w:szCs w:val="24"/>
        </w:rPr>
      </w:pPr>
      <w:r w:rsidRPr="00B81C79">
        <w:rPr>
          <w:b/>
          <w:i/>
        </w:rPr>
        <w:t>(1a)</w:t>
      </w:r>
      <w:r w:rsidR="00B532D6" w:rsidRPr="00296C8A">
        <w:rPr>
          <w:b/>
          <w:i/>
        </w:rPr>
        <w:tab/>
        <w:t>Vzhledem k probíhající válce Ruska proti Ukrajině a v souladu se strategickým závazkem Unie ukončit závislost na ruských fosilních palivech by se členské státy měly zdržet uskladňování plynu ruského původu. V této souvislosti by Unie měla usilovat o zavedení okamžitých koordinovaných sankc</w:t>
      </w:r>
      <w:r w:rsidR="00B532D6" w:rsidRPr="00B81C79">
        <w:rPr>
          <w:b/>
          <w:i/>
        </w:rPr>
        <w:t>í na dovoz a nákup veškerého ruského plynu, včetně zkapalněného zemního plynu (LNG). Ve výhledu týkajícím se zimních dodávek na období 2024–2025 vypracovaném sítí ENTSOG se potvrzuje, že Unie může dosáhnout svých cílů v oblasti skladování plynu a zachovat bezpečnost dodávek, aniž by byla závislá na ruském plynu, a to kombinací opatření, včetně dalšího snižování poptávky. Proto je nezbytné zavést úplné embargo na ruský plyn, které je proveditelné, přičemž jeho rychlé zavedení by přispělo k posílení energetické suverenity a geopolitické odolnosti Unie.</w:t>
      </w:r>
      <w:r>
        <w:rPr>
          <w:b/>
          <w:i/>
        </w:rPr>
        <w:t xml:space="preserve"> </w:t>
      </w:r>
      <w:r w:rsidRPr="00B81C79">
        <w:rPr>
          <w:b/>
        </w:rPr>
        <w:t>[</w:t>
      </w:r>
      <w:proofErr w:type="spellStart"/>
      <w:r w:rsidRPr="00B81C79">
        <w:rPr>
          <w:b/>
        </w:rPr>
        <w:t>pozm</w:t>
      </w:r>
      <w:proofErr w:type="spellEnd"/>
      <w:r w:rsidRPr="00B81C79">
        <w:rPr>
          <w:b/>
        </w:rPr>
        <w:t>. návrh 7]</w:t>
      </w:r>
    </w:p>
    <w:p w:rsidR="00F70A05" w:rsidRPr="007B5CD6" w:rsidRDefault="00F70A05" w:rsidP="00F70A05">
      <w:pPr>
        <w:pStyle w:val="NormalCenter12a"/>
        <w:ind w:left="851" w:hanging="851"/>
        <w:jc w:val="left"/>
        <w:rPr>
          <w:lang w:val="cs-CZ"/>
        </w:rPr>
      </w:pPr>
      <w:r w:rsidRPr="007B5CD6">
        <w:rPr>
          <w:lang w:val="cs-CZ"/>
        </w:rPr>
        <w:t>(2)</w:t>
      </w:r>
      <w:r w:rsidRPr="007B5CD6">
        <w:rPr>
          <w:lang w:val="cs-CZ"/>
        </w:rPr>
        <w:tab/>
        <w:t>Nařízení (EU) 2022/1032 zavedlo změnou nařízení (EU) 2017/1938 dočasný právní rámec pro opatření týkající se úrovně naplnění podzemních zásobníků s cílem posílit bezpečnost dodávek zemního plynu v Unii, zejména chráněným zákazníkům.</w:t>
      </w:r>
    </w:p>
    <w:p w:rsidR="00F70A05" w:rsidRPr="007B5CD6" w:rsidRDefault="00F70A05" w:rsidP="00F70A05">
      <w:pPr>
        <w:pStyle w:val="NormalHanging12a"/>
        <w:ind w:left="851" w:hanging="851"/>
        <w:rPr>
          <w:szCs w:val="24"/>
        </w:rPr>
      </w:pPr>
      <w:r w:rsidRPr="007B5CD6">
        <w:t>(3)</w:t>
      </w:r>
      <w:r w:rsidRPr="007B5CD6">
        <w:tab/>
        <w:t>Zásobníky plynu zajišťují v zimních měsících 30 % spotřeby zemního plynu v Unii, dostatečně naplněné podzemní zásobníky a </w:t>
      </w:r>
      <w:r w:rsidRPr="007B5CD6">
        <w:rPr>
          <w:b/>
          <w:i/>
        </w:rPr>
        <w:t>snížení poptávky po plynu</w:t>
      </w:r>
      <w:r w:rsidRPr="007B5CD6">
        <w:t xml:space="preserve"> významně přispívají k bezpečnosti dodávek zemního plynu, neboť v případě vysoké poptávky nebo narušení dodávek poskytují dodatečný zdroj.</w:t>
      </w:r>
    </w:p>
    <w:p w:rsidR="00F70A05" w:rsidRPr="007B5CD6" w:rsidRDefault="00F70A05" w:rsidP="00F70A05">
      <w:pPr>
        <w:pStyle w:val="NormalHanging12a"/>
        <w:ind w:left="851" w:hanging="851"/>
        <w:rPr>
          <w:szCs w:val="24"/>
        </w:rPr>
      </w:pPr>
      <w:r w:rsidRPr="007B5CD6">
        <w:t>(4)</w:t>
      </w:r>
      <w:r w:rsidRPr="007B5CD6">
        <w:tab/>
        <w:t xml:space="preserve">Stanovení povinného cíle, který má zajistit, aby zásobníky plynu byly do 1. listopadu naplněny z 90 % (cíl naplnění), doplněného o řadu průběžných cílů pro každý členský stát na únor, květen, červenec a září následujícího roku (trajektorie naplňování), sehrálo </w:t>
      </w:r>
      <w:r w:rsidRPr="007B5CD6">
        <w:rPr>
          <w:b/>
          <w:i/>
        </w:rPr>
        <w:t>během</w:t>
      </w:r>
      <w:r w:rsidRPr="007B5CD6">
        <w:t xml:space="preserve"> energetické krize vyvolané </w:t>
      </w:r>
      <w:r w:rsidRPr="007B5CD6">
        <w:rPr>
          <w:b/>
          <w:i/>
        </w:rPr>
        <w:t>válečnou agresí Ruska vůči Ukrajině a </w:t>
      </w:r>
      <w:r w:rsidRPr="007B5CD6">
        <w:t>tím, že</w:t>
      </w:r>
      <w:bookmarkStart w:id="7" w:name="_GoBack"/>
      <w:bookmarkEnd w:id="7"/>
      <w:r w:rsidRPr="007B5CD6">
        <w:t xml:space="preserve"> Rusko zneužilo dodávky </w:t>
      </w:r>
      <w:r w:rsidRPr="007B5CD6">
        <w:rPr>
          <w:b/>
          <w:i/>
        </w:rPr>
        <w:t>svého</w:t>
      </w:r>
      <w:r w:rsidRPr="007B5CD6">
        <w:t xml:space="preserve"> plynu jako zbraň, zásadní roli při: i) zvládání výpadků dodávek zemního plynu a </w:t>
      </w:r>
      <w:proofErr w:type="spellStart"/>
      <w:r w:rsidRPr="007B5CD6">
        <w:t>ii</w:t>
      </w:r>
      <w:proofErr w:type="spellEnd"/>
      <w:r w:rsidRPr="007B5CD6">
        <w:t>) snižování nejistoty na trhu a cenové volatility.</w:t>
      </w:r>
    </w:p>
    <w:p w:rsidR="00F70A05" w:rsidRPr="007B5CD6" w:rsidRDefault="00F70A05" w:rsidP="00F70A05">
      <w:pPr>
        <w:pStyle w:val="NormalHanging12a"/>
        <w:ind w:left="851" w:hanging="851"/>
        <w:rPr>
          <w:szCs w:val="24"/>
        </w:rPr>
      </w:pPr>
      <w:r w:rsidRPr="007B5CD6">
        <w:t>(5)</w:t>
      </w:r>
      <w:r w:rsidRPr="007B5CD6">
        <w:tab/>
        <w:t xml:space="preserve">Navzdory tomu, že se situace na trhu s plynem oproti období 2022–2023 podstatně </w:t>
      </w:r>
      <w:r w:rsidRPr="007B5CD6">
        <w:lastRenderedPageBreak/>
        <w:t>zlepšila, zůstává evropský trh s touto komoditou napjatý a </w:t>
      </w:r>
      <w:r w:rsidRPr="007B5CD6">
        <w:rPr>
          <w:b/>
          <w:i/>
        </w:rPr>
        <w:t>geopolitická situace nejasná</w:t>
      </w:r>
      <w:r w:rsidRPr="007B5CD6">
        <w:t>.</w:t>
      </w:r>
      <w:r w:rsidRPr="007B5CD6">
        <w:rPr>
          <w:b/>
          <w:i/>
        </w:rPr>
        <w:t xml:space="preserve"> </w:t>
      </w:r>
      <w:r w:rsidRPr="007B5CD6">
        <w:t>Intenzivnější soutěž o celosvětové dodávky LNG může členské státy vystavit většímu riziku cenové volatility. ▌Za takové situace hrají zásobníky plynu i nadále stěžejní úlohu. ▌</w:t>
      </w:r>
    </w:p>
    <w:p w:rsidR="00F70A05" w:rsidRPr="007B5CD6" w:rsidRDefault="00F70A05" w:rsidP="00F70A05">
      <w:pPr>
        <w:pStyle w:val="NormalCenter12a"/>
        <w:ind w:left="851" w:hanging="851"/>
        <w:jc w:val="left"/>
        <w:rPr>
          <w:lang w:val="cs-CZ"/>
        </w:rPr>
      </w:pPr>
      <w:r w:rsidRPr="007B5CD6">
        <w:rPr>
          <w:lang w:val="cs-CZ"/>
        </w:rPr>
        <w:t>(6)</w:t>
      </w:r>
      <w:r w:rsidRPr="007B5CD6">
        <w:rPr>
          <w:lang w:val="cs-CZ"/>
        </w:rPr>
        <w:tab/>
        <w:t>Povinnost členských států řídit se roční trajektorií naplňování a zajistit, aby bylo každoročně do 1. listopadu dosaženo cíle naplnění, skončí podle nařízení (EU) 2017/1938 dne 31. prosince 2025.</w:t>
      </w:r>
    </w:p>
    <w:p w:rsidR="00F70A05" w:rsidRPr="007B5CD6" w:rsidRDefault="00F70A05" w:rsidP="00F70A05">
      <w:pPr>
        <w:pStyle w:val="NormalHanging12a"/>
        <w:ind w:left="851" w:hanging="851"/>
        <w:rPr>
          <w:b/>
          <w:i/>
          <w:szCs w:val="24"/>
        </w:rPr>
      </w:pPr>
      <w:r w:rsidRPr="007B5CD6">
        <w:rPr>
          <w:b/>
          <w:i/>
        </w:rPr>
        <w:t>(6a)</w:t>
      </w:r>
      <w:r w:rsidRPr="007B5CD6">
        <w:rPr>
          <w:b/>
          <w:i/>
        </w:rPr>
        <w:tab/>
        <w:t xml:space="preserve">Od roku 2022 se Unii do značné míry podařilo zvýšit bezpečnost dodávek plynu navýšením dovozu LNG od důvěryhodných globálních partnerů a cílem Unie je úplné odstranění závislosti na ruských fosilních palivech, přičemž vychází z pokroku dosaženého v rámci plánu </w:t>
      </w:r>
      <w:proofErr w:type="spellStart"/>
      <w:r w:rsidRPr="007B5CD6">
        <w:rPr>
          <w:b/>
          <w:i/>
        </w:rPr>
        <w:t>REPowerEU</w:t>
      </w:r>
      <w:proofErr w:type="spellEnd"/>
      <w:r w:rsidRPr="007B5CD6">
        <w:rPr>
          <w:b/>
          <w:i/>
        </w:rPr>
        <w:t>. Vybudovala nová zařízení na zpětné zplyňování a přístavní terminály a zároveň vytvořila trh se zkapalněným plynem, který zajišťuje silnou odolnost vůči případným výpadkům v dodávkách ze zbývajících ruských plynovodů.</w:t>
      </w:r>
    </w:p>
    <w:p w:rsidR="00F70A05" w:rsidRPr="007B5CD6" w:rsidRDefault="00F70A05" w:rsidP="00F70A05">
      <w:pPr>
        <w:pStyle w:val="NormalHanging12a"/>
        <w:ind w:left="851" w:hanging="851"/>
        <w:rPr>
          <w:b/>
          <w:i/>
          <w:szCs w:val="24"/>
        </w:rPr>
      </w:pPr>
      <w:r w:rsidRPr="007B5CD6">
        <w:rPr>
          <w:b/>
          <w:i/>
        </w:rPr>
        <w:t>(6b)</w:t>
      </w:r>
      <w:r w:rsidRPr="007B5CD6">
        <w:rPr>
          <w:b/>
          <w:i/>
        </w:rPr>
        <w:tab/>
        <w:t>Pokud jde o spolehlivost dodavatelů plynu a zemí dodávajících plyn, je třeba vzít v úvahu změněnou globální politickou situaci.</w:t>
      </w:r>
    </w:p>
    <w:p w:rsidR="00F70A05" w:rsidRPr="007B5CD6" w:rsidRDefault="00F70A05" w:rsidP="00F70A05">
      <w:pPr>
        <w:pStyle w:val="NormalHanging12a"/>
        <w:ind w:left="851" w:hanging="851"/>
        <w:rPr>
          <w:szCs w:val="24"/>
        </w:rPr>
      </w:pPr>
      <w:r w:rsidRPr="007B5CD6">
        <w:t>(7)</w:t>
      </w:r>
      <w:r w:rsidRPr="007B5CD6">
        <w:tab/>
      </w:r>
      <w:r w:rsidRPr="007B5CD6">
        <w:rPr>
          <w:b/>
          <w:i/>
        </w:rPr>
        <w:t>S ohledem na to, že se Evropě daří snižovat riziko v její struktuře dovozu plynu,</w:t>
      </w:r>
      <w:r w:rsidRPr="007B5CD6">
        <w:t xml:space="preserve"> musí celkový rámec pro </w:t>
      </w:r>
      <w:r w:rsidRPr="007B5CD6">
        <w:rPr>
          <w:b/>
          <w:i/>
        </w:rPr>
        <w:t>pokrytí potřeby Unie v oblasti zemního plynu zajistit rovnováhu mezi energetickou bezpečností a návratem k tržním zásadám. Musí být tedy</w:t>
      </w:r>
      <w:r w:rsidRPr="007B5CD6">
        <w:t xml:space="preserve"> během </w:t>
      </w:r>
      <w:proofErr w:type="spellStart"/>
      <w:r w:rsidRPr="007B5CD6">
        <w:t>vtláčecího</w:t>
      </w:r>
      <w:proofErr w:type="spellEnd"/>
      <w:r w:rsidRPr="007B5CD6">
        <w:t xml:space="preserve"> období dostatečně flexibilní, aby bylo možné rychle reagovat na neustále se měnící tržní podmínky, a zejména využít nejlepší nákupní podmínky</w:t>
      </w:r>
      <w:r w:rsidRPr="007B5CD6">
        <w:rPr>
          <w:b/>
          <w:i/>
        </w:rPr>
        <w:t>, a snížit tak ceny plynu v Evropě.</w:t>
      </w:r>
      <w:r w:rsidRPr="007B5CD6">
        <w:t xml:space="preserve"> </w:t>
      </w:r>
      <w:r w:rsidRPr="007B5CD6">
        <w:rPr>
          <w:b/>
          <w:i/>
        </w:rPr>
        <w:t>Cíl naplnění by proto měl být snížen na 83 %.</w:t>
      </w:r>
    </w:p>
    <w:p w:rsidR="00F70A05" w:rsidRPr="007B5CD6" w:rsidRDefault="00F70A05" w:rsidP="00F70A05">
      <w:pPr>
        <w:pStyle w:val="NormalHanging12a"/>
        <w:ind w:left="851" w:hanging="851"/>
        <w:rPr>
          <w:szCs w:val="24"/>
        </w:rPr>
      </w:pPr>
      <w:r w:rsidRPr="007B5CD6">
        <w:t>(8)</w:t>
      </w:r>
      <w:r w:rsidRPr="007B5CD6">
        <w:tab/>
      </w:r>
      <w:r w:rsidRPr="007B5CD6">
        <w:rPr>
          <w:b/>
          <w:i/>
        </w:rPr>
        <w:t>V zájmu zvýšení tržní stability a zmírnění rizika nepřiměřené cenové volatility, která by mohla být vyvolána</w:t>
      </w:r>
      <w:r w:rsidRPr="007B5CD6">
        <w:t xml:space="preserve"> průběžnými cíli naplnění</w:t>
      </w:r>
      <w:r w:rsidRPr="007B5CD6">
        <w:rPr>
          <w:b/>
          <w:i/>
        </w:rPr>
        <w:t>, je vhodné zajistit větší flexibilitu trajektorie plnění zásobníků.</w:t>
      </w:r>
      <w:r w:rsidRPr="007B5CD6">
        <w:t xml:space="preserve"> Členské státy </w:t>
      </w:r>
      <w:r w:rsidRPr="007B5CD6">
        <w:rPr>
          <w:b/>
          <w:i/>
        </w:rPr>
        <w:t>by proto měly každý rok poskytovat orientační plány naplňování, které by případně mohly zahrnovat</w:t>
      </w:r>
      <w:r w:rsidRPr="007B5CD6">
        <w:t xml:space="preserve"> orientační </w:t>
      </w:r>
      <w:r w:rsidRPr="007B5CD6">
        <w:rPr>
          <w:b/>
          <w:i/>
        </w:rPr>
        <w:t>trajektorii naplňování</w:t>
      </w:r>
      <w:r w:rsidRPr="007B5CD6">
        <w:t xml:space="preserve"> a měly by umožňovat plnění zásobníků takovým způsobem, aby účastníci trhu měli v průběhu roku dostatečnou flexibilitu s </w:t>
      </w:r>
      <w:r w:rsidRPr="007B5CD6">
        <w:rPr>
          <w:b/>
          <w:i/>
        </w:rPr>
        <w:t>přihlédnutím k </w:t>
      </w:r>
      <w:r w:rsidRPr="007B5CD6">
        <w:t xml:space="preserve">doporučení </w:t>
      </w:r>
      <w:r w:rsidRPr="007B5CD6">
        <w:rPr>
          <w:b/>
          <w:i/>
        </w:rPr>
        <w:t>(2025)1481</w:t>
      </w:r>
      <w:r w:rsidRPr="007B5CD6">
        <w:t>.</w:t>
      </w:r>
    </w:p>
    <w:p w:rsidR="00F70A05" w:rsidRPr="007B5CD6" w:rsidRDefault="00F70A05" w:rsidP="00F70A05">
      <w:pPr>
        <w:pStyle w:val="NormalHanging12a"/>
        <w:ind w:left="851" w:hanging="851"/>
        <w:rPr>
          <w:b/>
          <w:i/>
          <w:szCs w:val="24"/>
        </w:rPr>
      </w:pPr>
      <w:r w:rsidRPr="007B5CD6">
        <w:rPr>
          <w:b/>
          <w:i/>
        </w:rPr>
        <w:t>(8a)</w:t>
      </w:r>
      <w:r w:rsidRPr="007B5CD6">
        <w:rPr>
          <w:b/>
          <w:i/>
        </w:rPr>
        <w:tab/>
        <w:t>Členské státy by měly mít možnost odchýlit se od cíle naplnění až o čtyři procentní body v případě nepříznivých tržních podmínek, jimiž jsou mimo jiné takové faktory, jako je nabídka a poptávka a hospodářská soutěž, nebo v případě obchodních činností, které brání nákladově efektivnímu plnění zásobníků, což významně omezuje schopnost zajistit plnění zásobníků plynu v souladu s tímto nařízením.</w:t>
      </w:r>
    </w:p>
    <w:p w:rsidR="00F70A05" w:rsidRPr="007B5CD6" w:rsidRDefault="00F70A05" w:rsidP="00F70A05">
      <w:pPr>
        <w:pStyle w:val="NormalHanging12a"/>
        <w:ind w:left="851" w:hanging="851"/>
        <w:rPr>
          <w:b/>
          <w:i/>
          <w:szCs w:val="24"/>
        </w:rPr>
      </w:pPr>
      <w:r w:rsidRPr="007B5CD6">
        <w:rPr>
          <w:b/>
          <w:i/>
        </w:rPr>
        <w:t>(8b)</w:t>
      </w:r>
      <w:r w:rsidRPr="007B5CD6">
        <w:rPr>
          <w:b/>
          <w:i/>
        </w:rPr>
        <w:tab/>
        <w:t xml:space="preserve">Komise by navíc měla být zmocněna k přijímání aktů v přenesené pravomoci, kterými by v případě přetrvávajících nepříznivých tržních podmínek změnila na jedno </w:t>
      </w:r>
      <w:proofErr w:type="spellStart"/>
      <w:r w:rsidRPr="007B5CD6">
        <w:rPr>
          <w:b/>
          <w:i/>
        </w:rPr>
        <w:t>vtláčecí</w:t>
      </w:r>
      <w:proofErr w:type="spellEnd"/>
      <w:r w:rsidRPr="007B5CD6">
        <w:rPr>
          <w:b/>
          <w:i/>
        </w:rPr>
        <w:t xml:space="preserve"> období úroveň povolené odchylky ve výši čtyř procentních bodů tak, že by ji navýšila o další čtyři procentní body.</w:t>
      </w:r>
    </w:p>
    <w:p w:rsidR="00F70A05" w:rsidRPr="007B5CD6" w:rsidRDefault="00F70A05" w:rsidP="00F70A05">
      <w:pPr>
        <w:pStyle w:val="NormalHanging12a"/>
        <w:ind w:left="851" w:hanging="851"/>
        <w:rPr>
          <w:b/>
          <w:i/>
          <w:szCs w:val="24"/>
        </w:rPr>
      </w:pPr>
      <w:r w:rsidRPr="007B5CD6">
        <w:rPr>
          <w:b/>
          <w:i/>
        </w:rPr>
        <w:t>(8c)</w:t>
      </w:r>
      <w:r w:rsidRPr="007B5CD6">
        <w:rPr>
          <w:b/>
          <w:i/>
        </w:rPr>
        <w:tab/>
        <w:t>Kumulativní účinky flexibilit a odchylek podle tohoto nařízení by neměly snížit povinnost celkového naplnění zásobníků pod 75 %.</w:t>
      </w:r>
    </w:p>
    <w:p w:rsidR="00F70A05" w:rsidRPr="007B5CD6" w:rsidRDefault="00F70A05" w:rsidP="00F70A05">
      <w:pPr>
        <w:pStyle w:val="NormalHanging12a"/>
        <w:ind w:left="851" w:hanging="851"/>
        <w:rPr>
          <w:szCs w:val="24"/>
        </w:rPr>
      </w:pPr>
      <w:r w:rsidRPr="007B5CD6">
        <w:t>(9)</w:t>
      </w:r>
      <w:r w:rsidRPr="007B5CD6">
        <w:tab/>
        <w:t xml:space="preserve">Posouzení stávajícího rámce energetické bezpečnosti provedené Komisí potvrdilo pozitivní dopad požadavků týkajících se naplňování zásobníků na bezpečnost </w:t>
      </w:r>
      <w:r w:rsidRPr="007B5CD6">
        <w:lastRenderedPageBreak/>
        <w:t xml:space="preserve">dodávek plynu a tyto pozitivní účinky by měly být zachovány i po roce 2025. </w:t>
      </w:r>
      <w:r w:rsidRPr="007B5CD6">
        <w:rPr>
          <w:b/>
          <w:i/>
        </w:rPr>
        <w:t>Prodloužení těchto opatření by jednak přispělo k trvalému zajištění bezpečnosti dodávek a jednak bylo by rozhodujícím nástrojem pro snahy Unie o odstranění její závislosti na dovozu ruského plynu.</w:t>
      </w:r>
    </w:p>
    <w:p w:rsidR="00F70A05" w:rsidRPr="007B5CD6" w:rsidRDefault="00F70A05" w:rsidP="00F70A05">
      <w:pPr>
        <w:pStyle w:val="NormalHanging12a"/>
        <w:ind w:left="851" w:hanging="851"/>
        <w:rPr>
          <w:b/>
          <w:i/>
          <w:szCs w:val="24"/>
        </w:rPr>
      </w:pPr>
      <w:r w:rsidRPr="007B5CD6">
        <w:rPr>
          <w:b/>
          <w:i/>
        </w:rPr>
        <w:t>(9a)</w:t>
      </w:r>
      <w:r w:rsidRPr="007B5CD6">
        <w:rPr>
          <w:b/>
          <w:i/>
        </w:rPr>
        <w:tab/>
        <w:t>Zároveň by toto nařízení mělo reagovat na současné a budoucí změny na trzích se zemním plynem a přispět k plnění strategického cíle, kterým je snížení cen energie a usnadnění postupného návratu k tržním mechanismům při naplňování zásobníků.</w:t>
      </w:r>
    </w:p>
    <w:p w:rsidR="00F70A05" w:rsidRPr="007B5CD6" w:rsidRDefault="00F70A05" w:rsidP="00F70A05">
      <w:pPr>
        <w:pStyle w:val="NormalHanging12a"/>
        <w:ind w:left="851" w:hanging="851"/>
        <w:rPr>
          <w:b/>
          <w:i/>
          <w:szCs w:val="24"/>
        </w:rPr>
      </w:pPr>
      <w:r w:rsidRPr="007B5CD6">
        <w:rPr>
          <w:b/>
          <w:i/>
        </w:rPr>
        <w:t>(9b)</w:t>
      </w:r>
      <w:r w:rsidRPr="007B5CD6">
        <w:rPr>
          <w:b/>
          <w:i/>
        </w:rPr>
        <w:tab/>
        <w:t>V zájmu zachování bezpečnosti dodávek a přiměřené úrovně naplňování by Komise měla průběžně sledovat trh a hledat možnosti, jak pomoci splnit cíl naplnění, například s využitím mechanismu agregace poptávky a společného nákupu.</w:t>
      </w:r>
    </w:p>
    <w:p w:rsidR="00F70A05" w:rsidRPr="007B5CD6" w:rsidRDefault="00F70A05" w:rsidP="00F70A05">
      <w:pPr>
        <w:pStyle w:val="NormalHanging12a"/>
        <w:ind w:left="851" w:hanging="851"/>
        <w:rPr>
          <w:szCs w:val="24"/>
        </w:rPr>
      </w:pPr>
      <w:r w:rsidRPr="007B5CD6">
        <w:t>(10)</w:t>
      </w:r>
      <w:r w:rsidRPr="007B5CD6">
        <w:tab/>
        <w:t>Je proto nezbytné o dva roky prodloužit příslušná ustanovení o naplňování zásobníků plynu, která zajišťují předvídatelnost a transparentnost, pokud jde o využívání zásobníků plynu v celé Unii</w:t>
      </w:r>
      <w:r w:rsidRPr="007B5CD6">
        <w:rPr>
          <w:b/>
          <w:i/>
        </w:rPr>
        <w:t>, a současně vnést do tohoto nařízení určitou flexibilitu</w:t>
      </w:r>
      <w:r w:rsidRPr="007B5CD6">
        <w:t>.</w:t>
      </w:r>
    </w:p>
    <w:p w:rsidR="00F70A05" w:rsidRPr="007B5CD6" w:rsidRDefault="00F70A05" w:rsidP="00F70A05">
      <w:pPr>
        <w:pStyle w:val="NormalHanging12a"/>
        <w:ind w:left="851" w:hanging="851"/>
        <w:rPr>
          <w:b/>
          <w:i/>
          <w:szCs w:val="24"/>
        </w:rPr>
      </w:pPr>
      <w:r w:rsidRPr="007B5CD6">
        <w:rPr>
          <w:b/>
          <w:i/>
        </w:rPr>
        <w:t>(10a)</w:t>
      </w:r>
      <w:r w:rsidRPr="007B5CD6">
        <w:rPr>
          <w:b/>
          <w:i/>
        </w:rPr>
        <w:tab/>
        <w:t>V souladu se závazkem Komise ke zlepšení právní úpravy a zjednodušení a s přihlédnutím k celkovému zlepšení rámce energetické bezpečnosti Unie by se při kontrole dodržování tohoto nařízení mělo více důvěřovat správním kapacitám členských států. Zátěž Komise spojená s dohledem by měla být odpovídajícím způsobem snížena, přičemž by se mělo přejít na méně náročné oznamovací povinnosti a zjednodušené postupy. Tento přístup posiluje zásadu subsidiarity, zabraňuje zbytečné složitosti administrativních postupů a je v souladu s úsilím Komise o zjednodušení, jak je uvedeno v jejím pracovním programu na rok 2025.</w:t>
      </w:r>
    </w:p>
    <w:p w:rsidR="00F70A05" w:rsidRPr="007B5CD6" w:rsidRDefault="00F70A05" w:rsidP="00F70A05">
      <w:pPr>
        <w:pStyle w:val="NormalHanging12a"/>
        <w:ind w:left="851" w:hanging="851"/>
        <w:rPr>
          <w:b/>
          <w:i/>
          <w:szCs w:val="24"/>
        </w:rPr>
      </w:pPr>
      <w:r w:rsidRPr="007B5CD6">
        <w:rPr>
          <w:b/>
          <w:i/>
        </w:rPr>
        <w:t>(10b)</w:t>
      </w:r>
      <w:r w:rsidRPr="007B5CD6">
        <w:rPr>
          <w:b/>
          <w:i/>
        </w:rPr>
        <w:tab/>
        <w:t>Komise by měla včas a před rokem 2027 nařízení (EU) 2017/1938 zrevidovat a přizpůsobit jej vývoji situace v oblasti energetiky a budoucím potřebám uskladňování plynu. Případné změny by měly být mimo jiné zaměřeny na omezení stávající definice „chráněných zákazníků“, zamezení spekulacím na trzích s plynem a spekulativním aktivitám, které uměle zvyšují ceny, na úlohu opatření ke zvýšení energetické účinnosti, která vedou k ověřitelnému snížení poptávky po plynu, a na to, jak by je členské státy mohly využít pro další flexibilitu. Současně by v případných změnách měl být zohledněn rámec související s měnící se skladbou zdrojů energie, v níž budou větší roli hrát alternativní zdroje k plynu, např. obnovitelné zdroje energie a vodík, a úloha energetické účinnosti.</w:t>
      </w:r>
    </w:p>
    <w:p w:rsidR="00F70A05" w:rsidRPr="007B5CD6" w:rsidRDefault="00F70A05" w:rsidP="00F70A05">
      <w:pPr>
        <w:pStyle w:val="NormalCenter12a"/>
        <w:ind w:left="851" w:hanging="851"/>
        <w:jc w:val="left"/>
        <w:rPr>
          <w:lang w:val="cs-CZ"/>
        </w:rPr>
      </w:pPr>
      <w:r w:rsidRPr="007B5CD6">
        <w:rPr>
          <w:lang w:val="cs-CZ"/>
        </w:rPr>
        <w:t>(11)</w:t>
      </w:r>
      <w:r w:rsidRPr="007B5CD6">
        <w:rPr>
          <w:lang w:val="cs-CZ"/>
        </w:rPr>
        <w:tab/>
        <w:t>Nařízení (EU) 2017/1938 by proto mělo být odpovídajícím způsobem změněno,</w:t>
      </w:r>
    </w:p>
    <w:p w:rsidR="00F70A05" w:rsidRPr="007B5CD6" w:rsidRDefault="00F70A05" w:rsidP="00F70A05">
      <w:pPr>
        <w:pStyle w:val="NormalCenter12a"/>
        <w:jc w:val="left"/>
        <w:rPr>
          <w:lang w:val="cs-CZ"/>
        </w:rPr>
      </w:pPr>
      <w:r w:rsidRPr="007B5CD6">
        <w:rPr>
          <w:lang w:val="cs-CZ"/>
        </w:rPr>
        <w:t>PŘIJALY TOTO NAŘÍZENÍ:</w:t>
      </w:r>
    </w:p>
    <w:p w:rsidR="00F70A05" w:rsidRPr="007B5CD6" w:rsidRDefault="00F70A05" w:rsidP="00F70A05">
      <w:pPr>
        <w:pStyle w:val="Titrearticle"/>
        <w:rPr>
          <w:noProof/>
          <w:lang w:val="cs-CZ"/>
        </w:rPr>
      </w:pPr>
      <w:r w:rsidRPr="007B5CD6">
        <w:rPr>
          <w:lang w:val="cs-CZ"/>
        </w:rPr>
        <w:t>Článek 1</w:t>
      </w:r>
    </w:p>
    <w:p w:rsidR="00F70A05" w:rsidRPr="007B5CD6" w:rsidRDefault="00F70A05" w:rsidP="00F70A05">
      <w:pPr>
        <w:jc w:val="center"/>
        <w:rPr>
          <w:b/>
          <w:bCs/>
          <w:noProof/>
        </w:rPr>
      </w:pPr>
      <w:r w:rsidRPr="007B5CD6">
        <w:rPr>
          <w:b/>
        </w:rPr>
        <w:t>Změna nařízení (EU) 2017/1938</w:t>
      </w:r>
    </w:p>
    <w:p w:rsidR="00F70A05" w:rsidRPr="007B5CD6" w:rsidRDefault="00F70A05" w:rsidP="00F70A05">
      <w:pPr>
        <w:rPr>
          <w:noProof/>
        </w:rPr>
      </w:pPr>
    </w:p>
    <w:p w:rsidR="00F70A05" w:rsidRPr="007B5CD6" w:rsidRDefault="00F70A05" w:rsidP="00F70A05">
      <w:pPr>
        <w:pStyle w:val="NormalHanging12a"/>
        <w:rPr>
          <w:szCs w:val="24"/>
        </w:rPr>
      </w:pPr>
      <w:r w:rsidRPr="007B5CD6">
        <w:t xml:space="preserve">▌Nařízení (EU) 2017/1938 </w:t>
      </w:r>
      <w:r w:rsidRPr="007B5CD6">
        <w:rPr>
          <w:b/>
          <w:i/>
        </w:rPr>
        <w:t>se mění takto:</w:t>
      </w:r>
    </w:p>
    <w:p w:rsidR="00F70A05" w:rsidRPr="007B5CD6" w:rsidRDefault="00F70A05" w:rsidP="00F70A05">
      <w:pPr>
        <w:pStyle w:val="NormalHanging12a"/>
        <w:ind w:left="851" w:hanging="851"/>
        <w:rPr>
          <w:b/>
          <w:i/>
          <w:szCs w:val="24"/>
        </w:rPr>
      </w:pPr>
      <w:r w:rsidRPr="007B5CD6">
        <w:rPr>
          <w:b/>
          <w:i/>
        </w:rPr>
        <w:t>1)</w:t>
      </w:r>
      <w:r w:rsidRPr="007B5CD6">
        <w:rPr>
          <w:b/>
          <w:i/>
        </w:rPr>
        <w:tab/>
        <w:t>v článku 2 se zrušuje bod 27;</w:t>
      </w:r>
    </w:p>
    <w:p w:rsidR="00F70A05" w:rsidRPr="007B5CD6" w:rsidRDefault="00F70A05" w:rsidP="00F70A05">
      <w:pPr>
        <w:pStyle w:val="NormalHanging12a"/>
        <w:ind w:left="851" w:hanging="851"/>
        <w:rPr>
          <w:b/>
          <w:i/>
          <w:szCs w:val="24"/>
        </w:rPr>
      </w:pPr>
      <w:r w:rsidRPr="007B5CD6">
        <w:rPr>
          <w:b/>
          <w:i/>
        </w:rPr>
        <w:t>2)</w:t>
      </w:r>
      <w:r w:rsidRPr="007B5CD6">
        <w:rPr>
          <w:b/>
          <w:i/>
        </w:rPr>
        <w:tab/>
        <w:t>článek 6a se mění takto:</w:t>
      </w:r>
    </w:p>
    <w:p w:rsidR="00F70A05" w:rsidRPr="007B5CD6" w:rsidRDefault="00F70A05" w:rsidP="00F70A05">
      <w:pPr>
        <w:pStyle w:val="NormalHanging12a"/>
        <w:ind w:left="1418"/>
        <w:rPr>
          <w:b/>
          <w:i/>
        </w:rPr>
      </w:pPr>
      <w:r w:rsidRPr="007B5CD6">
        <w:rPr>
          <w:b/>
          <w:i/>
        </w:rPr>
        <w:lastRenderedPageBreak/>
        <w:t>a)</w:t>
      </w:r>
      <w:r w:rsidRPr="007B5CD6">
        <w:rPr>
          <w:b/>
          <w:i/>
        </w:rPr>
        <w:tab/>
        <w:t>název se nahrazuje tímto: „Cíl naplnění“;</w:t>
      </w:r>
    </w:p>
    <w:p w:rsidR="00F70A05" w:rsidRPr="007B5CD6" w:rsidRDefault="00F70A05" w:rsidP="00F70A05">
      <w:pPr>
        <w:pStyle w:val="NormalHanging12a"/>
        <w:ind w:left="1418"/>
        <w:rPr>
          <w:b/>
          <w:i/>
        </w:rPr>
      </w:pPr>
      <w:r w:rsidRPr="007B5CD6">
        <w:rPr>
          <w:b/>
          <w:i/>
        </w:rPr>
        <w:t>b)</w:t>
      </w:r>
      <w:r w:rsidRPr="007B5CD6">
        <w:rPr>
          <w:b/>
          <w:i/>
        </w:rPr>
        <w:tab/>
        <w:t>v odstavci 1 se první pododstavec nahrazuje tímto:</w:t>
      </w:r>
    </w:p>
    <w:p w:rsidR="00F70A05" w:rsidRDefault="00F70A05" w:rsidP="00F70A05">
      <w:pPr>
        <w:pStyle w:val="NormalHanging12a"/>
        <w:ind w:left="1985"/>
        <w:rPr>
          <w:b/>
          <w:i/>
        </w:rPr>
      </w:pPr>
      <w:r w:rsidRPr="007B5CD6">
        <w:rPr>
          <w:b/>
          <w:i/>
        </w:rPr>
        <w:t>„1.</w:t>
      </w:r>
      <w:r w:rsidRPr="007B5CD6">
        <w:rPr>
          <w:b/>
          <w:i/>
        </w:rPr>
        <w:tab/>
        <w:t xml:space="preserve">S výhradou odstavců 2 až 5 členské státy každoročně kdykoli v období od 1. října do 1. prosince splní cíl naplnění ve výši 83 % pro souhrnnou kapacitu všech podzemních zásobníků plynu, které se nacházejí na jejich území a jsou přímo propojeny s oblastí trhu na jejich území, a pro skladovací zařízení uvedená v příloze </w:t>
      </w:r>
      <w:proofErr w:type="spellStart"/>
      <w:r w:rsidRPr="007B5CD6">
        <w:rPr>
          <w:b/>
          <w:i/>
        </w:rPr>
        <w:t>Ib</w:t>
      </w:r>
      <w:proofErr w:type="spellEnd"/>
      <w:r w:rsidRPr="007B5CD6">
        <w:rPr>
          <w:b/>
          <w:i/>
        </w:rPr>
        <w:t>:</w:t>
      </w:r>
    </w:p>
    <w:p w:rsidR="00EE4C93" w:rsidRDefault="00296C8A" w:rsidP="00621BB0">
      <w:pPr>
        <w:pStyle w:val="NormalHanging12a"/>
        <w:ind w:left="1418"/>
        <w:rPr>
          <w:b/>
          <w:i/>
          <w:szCs w:val="24"/>
        </w:rPr>
      </w:pPr>
      <w:r>
        <w:rPr>
          <w:b/>
          <w:i/>
          <w:szCs w:val="24"/>
        </w:rPr>
        <w:t>c</w:t>
      </w:r>
      <w:r w:rsidR="00EE4C93" w:rsidRPr="00621BB0">
        <w:rPr>
          <w:b/>
          <w:i/>
          <w:szCs w:val="24"/>
        </w:rPr>
        <w:t>)</w:t>
      </w:r>
      <w:r w:rsidR="00EE4C93" w:rsidRPr="00621BB0">
        <w:rPr>
          <w:b/>
          <w:i/>
          <w:szCs w:val="24"/>
        </w:rPr>
        <w:tab/>
      </w:r>
      <w:r w:rsidR="00EE4C93" w:rsidRPr="00EE4C93">
        <w:rPr>
          <w:b/>
          <w:i/>
          <w:szCs w:val="24"/>
        </w:rPr>
        <w:t>odstavec 2 se nahrazuje tímto:</w:t>
      </w:r>
    </w:p>
    <w:p w:rsidR="00EE4C93" w:rsidRPr="00621BB0" w:rsidRDefault="00ED049F" w:rsidP="00621BB0">
      <w:pPr>
        <w:pStyle w:val="NormalHanging12a"/>
        <w:ind w:left="1985"/>
        <w:rPr>
          <w:b/>
          <w:i/>
          <w:szCs w:val="24"/>
        </w:rPr>
      </w:pPr>
      <w:r>
        <w:rPr>
          <w:b/>
          <w:i/>
          <w:szCs w:val="24"/>
        </w:rPr>
        <w:t>„2.</w:t>
      </w:r>
      <w:r>
        <w:rPr>
          <w:b/>
          <w:i/>
          <w:szCs w:val="24"/>
        </w:rPr>
        <w:tab/>
      </w:r>
      <w:r w:rsidR="00EE4C93" w:rsidRPr="00EE4C93">
        <w:rPr>
          <w:b/>
          <w:i/>
          <w:szCs w:val="24"/>
        </w:rPr>
        <w:t xml:space="preserve">Bez ohledu na </w:t>
      </w:r>
      <w:proofErr w:type="gramStart"/>
      <w:r w:rsidR="00EE4C93" w:rsidRPr="00EE4C93">
        <w:rPr>
          <w:b/>
          <w:i/>
          <w:szCs w:val="24"/>
        </w:rPr>
        <w:t>odstavec 1 a aniž</w:t>
      </w:r>
      <w:proofErr w:type="gramEnd"/>
      <w:r w:rsidR="00EE4C93" w:rsidRPr="00EE4C93">
        <w:rPr>
          <w:b/>
          <w:i/>
          <w:szCs w:val="24"/>
        </w:rPr>
        <w:t xml:space="preserve"> jsou dotčeny povinnosti jiných členských států týkající se naplňování dotyčných podzemních zásobníků plynu, je cíl naplnění pro každý členský stát, ve kterém se podzemní zásobníky plynu nacházejí, omezen na objem odpovídající 3</w:t>
      </w:r>
      <w:r w:rsidR="00EE4C93">
        <w:rPr>
          <w:b/>
          <w:i/>
          <w:szCs w:val="24"/>
        </w:rPr>
        <w:t>2,28</w:t>
      </w:r>
      <w:r w:rsidR="00EE4C93" w:rsidRPr="00EE4C93">
        <w:rPr>
          <w:b/>
          <w:i/>
          <w:szCs w:val="24"/>
        </w:rPr>
        <w:t xml:space="preserve"> % jeho průměrné roční spotřeby plynu v předcházejících pěti letech.</w:t>
      </w:r>
      <w:r>
        <w:rPr>
          <w:b/>
          <w:i/>
          <w:szCs w:val="24"/>
        </w:rPr>
        <w:t>“;</w:t>
      </w:r>
    </w:p>
    <w:p w:rsidR="00F70A05" w:rsidRPr="007B5CD6" w:rsidRDefault="00296C8A" w:rsidP="00F70A05">
      <w:pPr>
        <w:pStyle w:val="NormalHanging12a"/>
        <w:ind w:left="1418"/>
        <w:rPr>
          <w:b/>
          <w:i/>
        </w:rPr>
      </w:pPr>
      <w:r>
        <w:rPr>
          <w:b/>
          <w:i/>
        </w:rPr>
        <w:t>d</w:t>
      </w:r>
      <w:r w:rsidR="00F70A05" w:rsidRPr="007B5CD6">
        <w:rPr>
          <w:b/>
          <w:i/>
        </w:rPr>
        <w:t>)</w:t>
      </w:r>
      <w:r w:rsidR="00F70A05" w:rsidRPr="007B5CD6">
        <w:rPr>
          <w:b/>
          <w:i/>
        </w:rPr>
        <w:tab/>
        <w:t>vkládají se nové odstavce, které znějí:</w:t>
      </w:r>
    </w:p>
    <w:p w:rsidR="00F70A05" w:rsidRPr="007B5CD6" w:rsidRDefault="00F70A05" w:rsidP="00F70A05">
      <w:pPr>
        <w:pStyle w:val="NormalHanging12a"/>
        <w:ind w:left="1985"/>
        <w:rPr>
          <w:b/>
          <w:i/>
          <w:szCs w:val="24"/>
        </w:rPr>
      </w:pPr>
      <w:r w:rsidRPr="007B5CD6">
        <w:rPr>
          <w:b/>
          <w:i/>
        </w:rPr>
        <w:t xml:space="preserve">„5a. </w:t>
      </w:r>
      <w:r w:rsidRPr="007B5CD6">
        <w:rPr>
          <w:b/>
          <w:i/>
        </w:rPr>
        <w:tab/>
        <w:t>Bez ohledu na odstavec 1, a aniž je dotčena povinnost jiných členských států týkající se naplňování dotyčných podzemních zásobníků plynu, mohou se členské státy rozhodnout, že se odchýlí až o čtyři procentní body od cíle naplnění stanoveného v odstavci 1 pro každý členský stát, pokud jsou tržní podmínky pro naplňování podzemních zásobníků plynu nepříznivé.</w:t>
      </w:r>
    </w:p>
    <w:p w:rsidR="00F70A05" w:rsidRPr="007B5CD6" w:rsidRDefault="00F70A05" w:rsidP="00F70A05">
      <w:pPr>
        <w:pStyle w:val="NormalHanging12a"/>
        <w:ind w:left="1985"/>
        <w:rPr>
          <w:b/>
          <w:i/>
          <w:szCs w:val="24"/>
        </w:rPr>
      </w:pPr>
      <w:r w:rsidRPr="007B5CD6">
        <w:rPr>
          <w:b/>
          <w:i/>
        </w:rPr>
        <w:t>5b.</w:t>
      </w:r>
      <w:r w:rsidRPr="007B5CD6">
        <w:rPr>
          <w:b/>
          <w:i/>
        </w:rPr>
        <w:tab/>
        <w:t>V řádně odůvodněných případech přetrvávajících nepříznivých tržních podmínek a za předpokladu, že není ohrožena bezpečnost dodávek v Unii a v členských státech, je Komise v souladu s článkem 19 zmocněna k přijímání aktů v přenesené pravomoci za účelem změny tohoto nařízení zvýšením povolené odchylky pro členské státy stanovené v odstavci 5a až o čtyři procentní body.</w:t>
      </w:r>
    </w:p>
    <w:p w:rsidR="00F70A05" w:rsidRPr="007B5CD6" w:rsidRDefault="00F70A05" w:rsidP="00F70A05">
      <w:pPr>
        <w:pStyle w:val="NormalHanging12a"/>
        <w:ind w:left="1985" w:firstLine="0"/>
        <w:rPr>
          <w:b/>
          <w:i/>
          <w:szCs w:val="24"/>
        </w:rPr>
      </w:pPr>
      <w:r w:rsidRPr="007B5CD6">
        <w:rPr>
          <w:b/>
          <w:i/>
        </w:rPr>
        <w:t>Komise ve svém posouzení zohlední zejména úroveň naplňování zásobníků v členských státech, celosvětové dodávky plynu, sezónní výhled dodávek zveřejněný sítí ENTSOG a náznaky manipulace s trhem. Může také zohlednit opatření členských států, jako jsou opatření ke snížení poptávky po plynu k dosažení rovnocenného snížení spotřeby plynu během následujícího těžebního období.</w:t>
      </w:r>
    </w:p>
    <w:p w:rsidR="00F70A05" w:rsidRPr="007B5CD6" w:rsidRDefault="00F70A05" w:rsidP="00F70A05">
      <w:pPr>
        <w:pStyle w:val="NormalHanging12a"/>
        <w:ind w:left="1985"/>
        <w:rPr>
          <w:b/>
          <w:i/>
          <w:szCs w:val="24"/>
        </w:rPr>
      </w:pPr>
      <w:r w:rsidRPr="007B5CD6">
        <w:rPr>
          <w:b/>
          <w:i/>
        </w:rPr>
        <w:t>5c.</w:t>
      </w:r>
      <w:r w:rsidRPr="007B5CD6">
        <w:rPr>
          <w:b/>
          <w:i/>
        </w:rPr>
        <w:tab/>
        <w:t>Členské státy podle odstavce 2 se za týchž podmínek, jaké jsou stanoveny v odstavci 5a, mohou rozhodnout pro odchylku až o 1,55 % pod objem stanovený v odstavci 2.</w:t>
      </w:r>
    </w:p>
    <w:p w:rsidR="00F70A05" w:rsidRPr="007B5CD6" w:rsidRDefault="00F70A05" w:rsidP="00F70A05">
      <w:pPr>
        <w:pStyle w:val="NormalHanging12a"/>
        <w:ind w:left="1985"/>
        <w:rPr>
          <w:b/>
          <w:i/>
          <w:szCs w:val="24"/>
        </w:rPr>
      </w:pPr>
      <w:r w:rsidRPr="007B5CD6">
        <w:rPr>
          <w:b/>
          <w:i/>
        </w:rPr>
        <w:t>5d.</w:t>
      </w:r>
      <w:r w:rsidRPr="007B5CD6">
        <w:rPr>
          <w:b/>
          <w:i/>
        </w:rPr>
        <w:tab/>
        <w:t>Před uplatněním jakékoli odchylky podle odstavců 5a a 5c vede každý členský stát konzultace s Komisí a neprodleně předloží odůvodnění svého rozhodnutí. Komise neprodleně informuje Koordinační skupinu pro otázky plynu (díle jen „skupinu GCG“) o kumulativních účincích všech odchylek podle odstavců 5a a 5c a o všech přímo dotčených členských státech.</w:t>
      </w:r>
    </w:p>
    <w:p w:rsidR="00F70A05" w:rsidRPr="007B5CD6" w:rsidRDefault="00296C8A" w:rsidP="00F70A05">
      <w:pPr>
        <w:pStyle w:val="NormalHanging12a"/>
        <w:ind w:left="1418"/>
        <w:rPr>
          <w:b/>
          <w:i/>
        </w:rPr>
      </w:pPr>
      <w:r>
        <w:rPr>
          <w:b/>
          <w:i/>
        </w:rPr>
        <w:lastRenderedPageBreak/>
        <w:t>e</w:t>
      </w:r>
      <w:r w:rsidR="00F70A05" w:rsidRPr="007B5CD6">
        <w:rPr>
          <w:b/>
          <w:i/>
        </w:rPr>
        <w:t>)</w:t>
      </w:r>
      <w:r w:rsidR="00F70A05" w:rsidRPr="007B5CD6">
        <w:rPr>
          <w:b/>
          <w:i/>
        </w:rPr>
        <w:tab/>
        <w:t>odstavce 6 a 7 se nahrazují tímto:</w:t>
      </w:r>
    </w:p>
    <w:p w:rsidR="00F70A05" w:rsidRPr="007B5CD6" w:rsidRDefault="00F70A05" w:rsidP="00F70A05">
      <w:pPr>
        <w:pStyle w:val="NormalHanging12a"/>
        <w:ind w:left="1985"/>
        <w:rPr>
          <w:szCs w:val="24"/>
        </w:rPr>
      </w:pPr>
      <w:r w:rsidRPr="007B5CD6">
        <w:rPr>
          <w:b/>
          <w:i/>
        </w:rPr>
        <w:t>„6.</w:t>
      </w:r>
      <w:r w:rsidRPr="007B5CD6">
        <w:tab/>
      </w:r>
      <w:r w:rsidRPr="007B5CD6">
        <w:rPr>
          <w:b/>
          <w:bCs/>
          <w:i/>
          <w:iCs/>
        </w:rPr>
        <w:t>V zájmu dosažení cíle naplnění přijmou členské státy veškerá nezbytná opatření a snaží se dodržovat plán naplňování stanovený v souladu s odstavcem 7.</w:t>
      </w:r>
    </w:p>
    <w:p w:rsidR="00F70A05" w:rsidRPr="007B5CD6" w:rsidRDefault="00F70A05" w:rsidP="00F70A05">
      <w:pPr>
        <w:pStyle w:val="NormalHanging12a"/>
        <w:ind w:left="1985"/>
      </w:pPr>
      <w:r w:rsidRPr="007B5CD6">
        <w:rPr>
          <w:b/>
          <w:i/>
        </w:rPr>
        <w:t>7.</w:t>
      </w:r>
      <w:r w:rsidRPr="007B5CD6">
        <w:tab/>
      </w:r>
      <w:r w:rsidRPr="007B5CD6">
        <w:rPr>
          <w:b/>
          <w:i/>
        </w:rPr>
        <w:t>Členské státy s podzemními zásobníky plynu předloží Komisi včas orientační plán naplňování na celý kalendářní rok, aby bylo dosaženo ročního cíle naplnění zásobníků plynu stanoveného v odstavci 1. Plán obsahuje technické informace o podzemních zásobnících plynu na území daného členského státu a nabízí údaje v souhrnné podobě přímo propojené s jeho oblastí trhu.</w:t>
      </w:r>
    </w:p>
    <w:p w:rsidR="00F70A05" w:rsidRPr="007B5CD6" w:rsidRDefault="00296C8A" w:rsidP="00F70A05">
      <w:pPr>
        <w:pStyle w:val="NormalHanging12a"/>
        <w:ind w:left="1418"/>
        <w:rPr>
          <w:b/>
          <w:i/>
        </w:rPr>
      </w:pPr>
      <w:r>
        <w:rPr>
          <w:b/>
          <w:i/>
        </w:rPr>
        <w:t>f</w:t>
      </w:r>
      <w:r w:rsidR="00F70A05" w:rsidRPr="007B5CD6">
        <w:rPr>
          <w:b/>
          <w:i/>
        </w:rPr>
        <w:t>)</w:t>
      </w:r>
      <w:r w:rsidR="00F70A05" w:rsidRPr="007B5CD6">
        <w:rPr>
          <w:b/>
          <w:i/>
        </w:rPr>
        <w:tab/>
        <w:t>odstavec 8 se zrušuje;</w:t>
      </w:r>
    </w:p>
    <w:p w:rsidR="00F70A05" w:rsidRPr="007B5CD6" w:rsidRDefault="00296C8A" w:rsidP="00F70A05">
      <w:pPr>
        <w:pStyle w:val="NormalHanging12a"/>
        <w:ind w:left="1418"/>
        <w:rPr>
          <w:b/>
          <w:i/>
        </w:rPr>
      </w:pPr>
      <w:r>
        <w:rPr>
          <w:b/>
          <w:i/>
        </w:rPr>
        <w:t>g</w:t>
      </w:r>
      <w:r w:rsidR="00F70A05" w:rsidRPr="007B5CD6">
        <w:rPr>
          <w:b/>
          <w:i/>
        </w:rPr>
        <w:t>)</w:t>
      </w:r>
      <w:r w:rsidR="00F70A05" w:rsidRPr="007B5CD6">
        <w:rPr>
          <w:b/>
          <w:i/>
        </w:rPr>
        <w:tab/>
        <w:t>odstavce 2 a 11 se nahrazují tímto:</w:t>
      </w:r>
    </w:p>
    <w:p w:rsidR="00F70A05" w:rsidRPr="007B5CD6" w:rsidRDefault="00F70A05" w:rsidP="00F70A05">
      <w:pPr>
        <w:pStyle w:val="NormalHanging12a"/>
        <w:ind w:left="1985"/>
        <w:rPr>
          <w:b/>
          <w:i/>
        </w:rPr>
      </w:pPr>
      <w:r w:rsidRPr="007B5CD6">
        <w:rPr>
          <w:b/>
          <w:i/>
        </w:rPr>
        <w:t>„10.</w:t>
      </w:r>
      <w:r w:rsidRPr="007B5CD6">
        <w:rPr>
          <w:b/>
          <w:i/>
        </w:rPr>
        <w:tab/>
        <w:t>Příslušný orgán každého členského státu průběžně monitoruje dodržování cíle naplnění stanoveného v plánu naplňování a pravidelně a nejméně jednou měsíčně podává zprávy Komisi a skupině GCG. Pokud se předpokládá, že cíl nelze splnit, přijme příslušný orgán neprodleně účinná opatření k jeho splnění. Členské státy o přijatých opatřeních uvědomí Komisi a skupinu GCG.</w:t>
      </w:r>
    </w:p>
    <w:p w:rsidR="00F70A05" w:rsidRPr="007B5CD6" w:rsidRDefault="00F70A05" w:rsidP="00F70A05">
      <w:pPr>
        <w:pStyle w:val="NormalHanging12a"/>
        <w:ind w:left="1985"/>
        <w:rPr>
          <w:b/>
          <w:i/>
          <w:szCs w:val="24"/>
        </w:rPr>
      </w:pPr>
      <w:r w:rsidRPr="007B5CD6">
        <w:rPr>
          <w:b/>
          <w:i/>
        </w:rPr>
        <w:t>11.</w:t>
      </w:r>
      <w:r w:rsidRPr="007B5CD6">
        <w:rPr>
          <w:b/>
          <w:i/>
        </w:rPr>
        <w:tab/>
        <w:t>V případě podstatného a trvalého odchýlení od plánu naplňování členským státem, které ohrožuje splnění cíle naplnění, nebo v případě odchýlení od cíle naplnění vydá Komise případně po konzultaci se skupinou GCG a dotčenými členskými státy doporučení tomuto členskému státu nebo ostatním dotčeným členským státům, týkající se opatření, která mají být neprodleně přijata k nápravě odchylky nebo k minimalizaci dopadu na bezpečnost dodávek, mimo jiné s ohledem na možné nepříznivé tržní podmínky a specifika členských států, např. pokud jde o technické vlastnosti a objem podzemních zásobníků plynu ve vztahu k vnitrostátní spotřebě plynu, klesající význam podzemních zásobníků plynu s nízkou výhřevností pro bezpečnost dodávek plynu a stávající skladovací kapacity LNG.</w:t>
      </w:r>
    </w:p>
    <w:p w:rsidR="00F70A05" w:rsidRPr="007B5CD6" w:rsidRDefault="00F70A05" w:rsidP="00F70A05">
      <w:pPr>
        <w:pStyle w:val="NormalHanging12a"/>
        <w:ind w:left="1985"/>
        <w:rPr>
          <w:szCs w:val="24"/>
        </w:rPr>
      </w:pPr>
      <w:r w:rsidRPr="007B5CD6">
        <w:rPr>
          <w:b/>
          <w:i/>
        </w:rPr>
        <w:t>11a.</w:t>
      </w:r>
      <w:r w:rsidRPr="007B5CD6">
        <w:rPr>
          <w:b/>
          <w:i/>
        </w:rPr>
        <w:tab/>
        <w:t>Pokud členský stát nedosáhne cíle naplnění stanoveného v odstavci 1, čímž ohrožuje bezpečnost dodávek v Unii, přijme Komise prováděcí akt, kterým stanoví plán naplňování pro daný členský stát na následující rok, a to na základě technických informací poskytnutých každým členským státem a s přihlédnutím k posouzení skupinou GCG. Tento prováděcí akt se přijímá přezkumným postupem podle čl. 18a odst. 2. Vychází z posouzení celkové situace v oblasti bezpečnosti dodávek plynu a vývoje poptávky po plynu a jeho nabídky v Unii a jednotlivých členských státech s cílem zaručit bezpečnost dodávek plynu.</w:t>
      </w:r>
    </w:p>
    <w:p w:rsidR="00F70A05" w:rsidRPr="007B5CD6" w:rsidRDefault="00F70A05" w:rsidP="00F70A05">
      <w:pPr>
        <w:pStyle w:val="NormalHanging12a"/>
        <w:ind w:left="851" w:hanging="851"/>
        <w:rPr>
          <w:b/>
          <w:i/>
          <w:szCs w:val="24"/>
        </w:rPr>
      </w:pPr>
      <w:r w:rsidRPr="007B5CD6">
        <w:rPr>
          <w:b/>
          <w:i/>
        </w:rPr>
        <w:t>3)</w:t>
      </w:r>
      <w:r w:rsidRPr="007B5CD6">
        <w:rPr>
          <w:b/>
          <w:i/>
        </w:rPr>
        <w:tab/>
        <w:t>Článek 6b se mění takto:</w:t>
      </w:r>
    </w:p>
    <w:p w:rsidR="00F70A05" w:rsidRPr="007B5CD6" w:rsidRDefault="00F70A05" w:rsidP="00F70A05">
      <w:pPr>
        <w:pStyle w:val="NormalHanging12a"/>
        <w:ind w:left="1418"/>
        <w:rPr>
          <w:b/>
          <w:i/>
        </w:rPr>
      </w:pPr>
      <w:r w:rsidRPr="007B5CD6">
        <w:rPr>
          <w:b/>
          <w:i/>
        </w:rPr>
        <w:t>a)</w:t>
      </w:r>
      <w:r w:rsidRPr="007B5CD6">
        <w:rPr>
          <w:b/>
          <w:i/>
        </w:rPr>
        <w:tab/>
        <w:t>nadpis se nahrazuje tímto: „Provádění cíle naplnění“;</w:t>
      </w:r>
    </w:p>
    <w:p w:rsidR="00F70A05" w:rsidRPr="007B5CD6" w:rsidRDefault="00F70A05" w:rsidP="00F70A05">
      <w:pPr>
        <w:pStyle w:val="NormalHanging12a"/>
        <w:ind w:left="1418"/>
        <w:rPr>
          <w:b/>
          <w:i/>
        </w:rPr>
      </w:pPr>
      <w:r w:rsidRPr="007B5CD6">
        <w:rPr>
          <w:b/>
          <w:i/>
        </w:rPr>
        <w:t>b)</w:t>
      </w:r>
      <w:r w:rsidRPr="007B5CD6">
        <w:rPr>
          <w:b/>
          <w:i/>
        </w:rPr>
        <w:tab/>
        <w:t>v odstavci 1 se první pododstavec nahrazuje tímto:</w:t>
      </w:r>
    </w:p>
    <w:p w:rsidR="00F70A05" w:rsidRPr="007B5CD6" w:rsidRDefault="00F70A05" w:rsidP="00F70A05">
      <w:pPr>
        <w:pStyle w:val="NormalHanging12a"/>
        <w:ind w:left="1985"/>
        <w:rPr>
          <w:szCs w:val="24"/>
        </w:rPr>
      </w:pPr>
      <w:r w:rsidRPr="007B5CD6">
        <w:lastRenderedPageBreak/>
        <w:t>„</w:t>
      </w:r>
      <w:r w:rsidRPr="007B5CD6">
        <w:rPr>
          <w:b/>
          <w:bCs/>
          <w:i/>
          <w:iCs/>
        </w:rPr>
        <w:t>1.</w:t>
      </w:r>
      <w:r w:rsidRPr="007B5CD6">
        <w:rPr>
          <w:b/>
          <w:i/>
        </w:rPr>
        <w:tab/>
        <w:t>Členské státy přijmou veškerá nezbytná opatření, aby splnily cíl naplnění stanovený podle článku 6a. Při zajišťování plnění cíle naplnění členské státy pokud možno upřednostňují tržní opatření.“;</w:t>
      </w:r>
    </w:p>
    <w:p w:rsidR="00F70A05" w:rsidRPr="007B5CD6" w:rsidRDefault="00F70A05" w:rsidP="00F70A05">
      <w:pPr>
        <w:pStyle w:val="NormalHanging12a"/>
        <w:ind w:left="1418"/>
        <w:rPr>
          <w:b/>
          <w:i/>
        </w:rPr>
      </w:pPr>
      <w:r w:rsidRPr="007B5CD6">
        <w:rPr>
          <w:b/>
          <w:i/>
        </w:rPr>
        <w:t>c)</w:t>
      </w:r>
      <w:r w:rsidRPr="007B5CD6">
        <w:rPr>
          <w:b/>
          <w:i/>
        </w:rPr>
        <w:tab/>
        <w:t xml:space="preserve">Odstavec 2 se nahrazuje tímto: </w:t>
      </w:r>
    </w:p>
    <w:p w:rsidR="00F70A05" w:rsidRPr="007B5CD6" w:rsidRDefault="00F70A05" w:rsidP="00F70A05">
      <w:pPr>
        <w:pStyle w:val="NormalHanging12a"/>
        <w:ind w:left="1985"/>
        <w:rPr>
          <w:szCs w:val="24"/>
        </w:rPr>
      </w:pPr>
      <w:r w:rsidRPr="007B5CD6">
        <w:rPr>
          <w:b/>
          <w:i/>
        </w:rPr>
        <w:t>„2.</w:t>
      </w:r>
      <w:r w:rsidRPr="007B5CD6">
        <w:rPr>
          <w:b/>
          <w:i/>
        </w:rPr>
        <w:tab/>
        <w:t>Opatření přijatá členskými státy podle odstavce 1 se omezí na to, co je nezbytné pro splnění cíle naplnění. Opatření musejí být jasně vymezená, transparentní, přiměřená, nediskriminační a prokazatelná. Nesmějí nepřiměřeně narušovat hospodářskou soutěž nebo řádné fungování vnitřního trhu se zemním plynem, nepřiměřeně zvyšovat ceny energií ani ohrožovat bezpečnost dodávek plynu v jiných členských státech nebo v Unii.</w:t>
      </w:r>
      <w:r w:rsidRPr="007B5CD6">
        <w:t xml:space="preserve"> </w:t>
      </w:r>
      <w:r w:rsidRPr="007B5CD6">
        <w:rPr>
          <w:b/>
          <w:i/>
        </w:rPr>
        <w:t>Členské státy o těchto opatřeních informují Komisi a skupinu GCG.“;</w:t>
      </w:r>
    </w:p>
    <w:p w:rsidR="00F70A05" w:rsidRPr="007B5CD6" w:rsidRDefault="00F70A05" w:rsidP="00F70A05">
      <w:pPr>
        <w:pStyle w:val="NormalHanging12a"/>
        <w:ind w:left="851" w:hanging="851"/>
        <w:rPr>
          <w:b/>
          <w:i/>
          <w:szCs w:val="24"/>
        </w:rPr>
      </w:pPr>
      <w:r w:rsidRPr="007B5CD6">
        <w:rPr>
          <w:b/>
          <w:i/>
        </w:rPr>
        <w:t>4)</w:t>
      </w:r>
      <w:r w:rsidRPr="007B5CD6">
        <w:rPr>
          <w:b/>
          <w:i/>
        </w:rPr>
        <w:tab/>
        <w:t>Článek 6c se mění takto:</w:t>
      </w:r>
    </w:p>
    <w:p w:rsidR="00F70A05" w:rsidRPr="007B5CD6" w:rsidRDefault="00F70A05" w:rsidP="00F70A05">
      <w:pPr>
        <w:pStyle w:val="NormalHanging12a"/>
        <w:ind w:left="1418"/>
        <w:rPr>
          <w:b/>
          <w:i/>
        </w:rPr>
      </w:pPr>
      <w:r w:rsidRPr="007B5CD6">
        <w:rPr>
          <w:b/>
          <w:i/>
        </w:rPr>
        <w:t>a)</w:t>
      </w:r>
      <w:r w:rsidRPr="007B5CD6">
        <w:rPr>
          <w:b/>
          <w:i/>
        </w:rPr>
        <w:tab/>
        <w:t>v odstavci 1 se první pododstavec nahrazuje tímto:</w:t>
      </w:r>
    </w:p>
    <w:p w:rsidR="00F70A05" w:rsidRPr="007B5CD6" w:rsidRDefault="00F70A05" w:rsidP="00F70A05">
      <w:pPr>
        <w:pStyle w:val="NormalHanging12a"/>
        <w:ind w:left="1985"/>
        <w:rPr>
          <w:b/>
          <w:i/>
          <w:szCs w:val="24"/>
        </w:rPr>
      </w:pPr>
      <w:r w:rsidRPr="007B5CD6">
        <w:rPr>
          <w:b/>
          <w:i/>
        </w:rPr>
        <w:t>‘1.</w:t>
      </w:r>
      <w:r w:rsidRPr="007B5CD6">
        <w:rPr>
          <w:b/>
          <w:i/>
        </w:rPr>
        <w:tab/>
        <w:t>Členský stát bez podzemních zásobníků plynu zajistí, aby existovala ujednání mezi účastníky trhu v tomto členském státě a provozovateli podzemních zásobníků plynu nebo jinými účastníky trhu v členských státech, které podzemní zásobníky plynu mají. Tato ujednání poskytují možnost využít do 1. prosince objemy zásob odpovídající alespoň 15 % průměrné roční spotřeby plynu v členském státě bez podzemních zásobníků plynu v předcházejících pěti letech. Pokud však přeshraniční přepravní kapacita nebo jiná technická omezení členskému státu bez podzemních zásobníků plynu neumožňují uvedených 15 % objemů zásob plně využít, uloží tento členský stát pouze takové objemy, které je technicky schopen uložit.“;</w:t>
      </w:r>
    </w:p>
    <w:p w:rsidR="00F70A05" w:rsidRPr="007B5CD6" w:rsidRDefault="00F70A05" w:rsidP="00F70A05">
      <w:pPr>
        <w:pStyle w:val="NormalHanging12a"/>
        <w:ind w:left="1418"/>
        <w:rPr>
          <w:b/>
          <w:i/>
          <w:szCs w:val="22"/>
        </w:rPr>
      </w:pPr>
      <w:r w:rsidRPr="007B5CD6">
        <w:rPr>
          <w:b/>
          <w:i/>
        </w:rPr>
        <w:t>b)</w:t>
      </w:r>
      <w:r w:rsidRPr="007B5CD6">
        <w:rPr>
          <w:b/>
          <w:i/>
        </w:rPr>
        <w:tab/>
        <w:t>v odstavci 2 se druhý pododstavec nahrazuje tímto:</w:t>
      </w:r>
    </w:p>
    <w:p w:rsidR="00F70A05" w:rsidRPr="007B5CD6" w:rsidRDefault="00F70A05" w:rsidP="00F70A05">
      <w:pPr>
        <w:pStyle w:val="NormalHanging12a"/>
        <w:ind w:left="1418" w:firstLine="0"/>
        <w:rPr>
          <w:b/>
          <w:i/>
          <w:szCs w:val="24"/>
        </w:rPr>
      </w:pPr>
      <w:r w:rsidRPr="007B5CD6">
        <w:rPr>
          <w:b/>
          <w:i/>
        </w:rPr>
        <w:t>Členské státy bez podzemních zásobníků plynu prokáží, že splňují odstavec 1, a uvědomí o tom Komisi.“;</w:t>
      </w:r>
    </w:p>
    <w:p w:rsidR="00F70A05" w:rsidRPr="007B5CD6" w:rsidRDefault="00F70A05" w:rsidP="00F70A05">
      <w:pPr>
        <w:pStyle w:val="NormalHanging12a"/>
        <w:tabs>
          <w:tab w:val="left" w:pos="1418"/>
        </w:tabs>
        <w:ind w:left="1418"/>
      </w:pPr>
      <w:r w:rsidRPr="007B5CD6">
        <w:rPr>
          <w:b/>
          <w:i/>
        </w:rPr>
        <w:t>c)</w:t>
      </w:r>
      <w:r w:rsidRPr="007B5CD6">
        <w:rPr>
          <w:b/>
          <w:i/>
        </w:rPr>
        <w:tab/>
        <w:t>v odst. 5 prvním pododstavci se písmeno a) nahrazuje tímto:</w:t>
      </w:r>
      <w:r w:rsidRPr="007B5CD6">
        <w:t xml:space="preserve"> </w:t>
      </w:r>
    </w:p>
    <w:p w:rsidR="00F70A05" w:rsidRPr="007B5CD6" w:rsidRDefault="00F70A05" w:rsidP="00F70A05">
      <w:pPr>
        <w:pStyle w:val="NormalHanging12a"/>
        <w:ind w:left="1985"/>
        <w:rPr>
          <w:b/>
          <w:i/>
          <w:szCs w:val="24"/>
        </w:rPr>
      </w:pPr>
      <w:r w:rsidRPr="007B5CD6">
        <w:rPr>
          <w:b/>
          <w:i/>
        </w:rPr>
        <w:t>„a)</w:t>
      </w:r>
      <w:r w:rsidRPr="007B5CD6">
        <w:rPr>
          <w:b/>
          <w:i/>
        </w:rPr>
        <w:tab/>
        <w:t>zajistí, aby objemy zásob do 1. prosince odpovídaly alespoň průměrnému využití skladovací kapacity v předcházejících pěti letech, určenému mimo jiné s přihlédnutím k tokům během těžebního období v předcházejících pěti letech z členských států, v nichž se zásobníky nacházejí; nebo“;</w:t>
      </w:r>
    </w:p>
    <w:p w:rsidR="00F70A05" w:rsidRPr="007B5CD6" w:rsidRDefault="00F70A05" w:rsidP="00F70A05">
      <w:pPr>
        <w:pStyle w:val="NormalHanging12a"/>
        <w:ind w:left="1418"/>
        <w:rPr>
          <w:b/>
          <w:i/>
        </w:rPr>
      </w:pPr>
      <w:r w:rsidRPr="007B5CD6">
        <w:rPr>
          <w:b/>
          <w:i/>
        </w:rPr>
        <w:t>d)</w:t>
      </w:r>
      <w:r w:rsidRPr="007B5CD6">
        <w:rPr>
          <w:b/>
          <w:i/>
        </w:rPr>
        <w:tab/>
        <w:t>odstavec 6 se nahrazuje tímto:</w:t>
      </w:r>
    </w:p>
    <w:p w:rsidR="00F70A05" w:rsidRPr="007B5CD6" w:rsidRDefault="00F70A05" w:rsidP="00F70A05">
      <w:pPr>
        <w:pStyle w:val="NormalHanging12a"/>
        <w:ind w:left="1985"/>
        <w:rPr>
          <w:b/>
          <w:i/>
          <w:szCs w:val="24"/>
        </w:rPr>
      </w:pPr>
      <w:r w:rsidRPr="007B5CD6">
        <w:rPr>
          <w:b/>
          <w:i/>
        </w:rPr>
        <w:t>„6.</w:t>
      </w:r>
      <w:r w:rsidRPr="007B5CD6">
        <w:rPr>
          <w:b/>
          <w:i/>
        </w:rPr>
        <w:tab/>
        <w:t xml:space="preserve">Není-li v příloze </w:t>
      </w:r>
      <w:proofErr w:type="spellStart"/>
      <w:r w:rsidRPr="007B5CD6">
        <w:rPr>
          <w:b/>
          <w:i/>
        </w:rPr>
        <w:t>Ib</w:t>
      </w:r>
      <w:proofErr w:type="spellEnd"/>
      <w:r w:rsidRPr="007B5CD6">
        <w:rPr>
          <w:b/>
          <w:i/>
        </w:rPr>
        <w:t xml:space="preserve"> stanoveno jinak, v případě podzemních zásobníků plynu nacházejících se v jednom členském státě, na které se nevztahuje odstavec 5, avšak jsou přímo propojeny s oblastí trhu jiného členského státu, tento jiný členský stát zajistí, aby objemy zásob v období od 1. října do 1. prosince odpovídaly alespoň průměru skladovací kapacity rezervované v příslušném přeshraničním bodě v předcházejících pěti </w:t>
      </w:r>
      <w:r w:rsidRPr="007B5CD6">
        <w:rPr>
          <w:b/>
          <w:i/>
        </w:rPr>
        <w:lastRenderedPageBreak/>
        <w:t>letech.“;</w:t>
      </w:r>
    </w:p>
    <w:p w:rsidR="00F70A05" w:rsidRPr="007B5CD6" w:rsidRDefault="00F70A05" w:rsidP="00F70A05">
      <w:pPr>
        <w:pStyle w:val="NormalHanging12a"/>
        <w:ind w:left="851" w:hanging="851"/>
        <w:rPr>
          <w:b/>
          <w:i/>
        </w:rPr>
      </w:pPr>
      <w:r w:rsidRPr="007B5CD6">
        <w:rPr>
          <w:b/>
          <w:i/>
        </w:rPr>
        <w:t>5)</w:t>
      </w:r>
      <w:r w:rsidRPr="007B5CD6">
        <w:rPr>
          <w:b/>
          <w:i/>
        </w:rPr>
        <w:tab/>
        <w:t>Článek 6d se mění takto:</w:t>
      </w:r>
    </w:p>
    <w:p w:rsidR="00F70A05" w:rsidRPr="007B5CD6" w:rsidRDefault="00F70A05" w:rsidP="00F70A05">
      <w:pPr>
        <w:pStyle w:val="NormalHanging12a"/>
        <w:ind w:left="1418"/>
        <w:rPr>
          <w:b/>
          <w:i/>
        </w:rPr>
      </w:pPr>
      <w:r w:rsidRPr="007B5CD6">
        <w:rPr>
          <w:b/>
          <w:i/>
        </w:rPr>
        <w:t>a)</w:t>
      </w:r>
      <w:r w:rsidRPr="007B5CD6">
        <w:rPr>
          <w:b/>
          <w:i/>
        </w:rPr>
        <w:tab/>
        <w:t>odstavce 1 a 2 se nahrazují tímto:</w:t>
      </w:r>
    </w:p>
    <w:p w:rsidR="00F70A05" w:rsidRPr="007B5CD6" w:rsidRDefault="00F70A05" w:rsidP="00F70A05">
      <w:pPr>
        <w:pStyle w:val="NormalHanging12a"/>
        <w:ind w:left="1985"/>
        <w:rPr>
          <w:b/>
          <w:i/>
          <w:szCs w:val="24"/>
        </w:rPr>
      </w:pPr>
      <w:r w:rsidRPr="007B5CD6">
        <w:rPr>
          <w:b/>
          <w:i/>
        </w:rPr>
        <w:t>„1.</w:t>
      </w:r>
      <w:r w:rsidRPr="007B5CD6">
        <w:rPr>
          <w:b/>
          <w:i/>
        </w:rPr>
        <w:tab/>
        <w:t>Provozovatelé skladovacích zařízení podávají příslušnému orgánu v každém členském státě, v němž se nacházejí dotčené podzemní zásobníky plynu, a případně subjektu určenému tímto členským státem (dále jen „určený subjekt“) zprávu o úrovni naplňování, jak je stanoveno podle článku 6a.</w:t>
      </w:r>
    </w:p>
    <w:p w:rsidR="00F70A05" w:rsidRPr="007B5CD6" w:rsidRDefault="00F70A05" w:rsidP="00F70A05">
      <w:pPr>
        <w:pStyle w:val="NormalHanging12a"/>
        <w:ind w:left="1985"/>
        <w:rPr>
          <w:szCs w:val="24"/>
        </w:rPr>
      </w:pPr>
      <w:r w:rsidRPr="007B5CD6">
        <w:rPr>
          <w:b/>
          <w:i/>
        </w:rPr>
        <w:t>2.</w:t>
      </w:r>
      <w:r w:rsidRPr="007B5CD6">
        <w:rPr>
          <w:b/>
          <w:i/>
        </w:rPr>
        <w:tab/>
        <w:t>Příslušný orgán a případně určený subjekt každého členského státu na konci každého měsíce monitorují úrovně naplňování podzemních zásobníků plynu na svém území a bez odkladu podávají Komisi každý měsíc zprávu o výsledcích. Příslušný orgán rovněž uvede informace o podílu plynu z Ruské federace skladovaného v daném členském státě, pokud jsou tyto informace k dispozici.</w:t>
      </w:r>
    </w:p>
    <w:p w:rsidR="00F70A05" w:rsidRPr="007B5CD6" w:rsidRDefault="00F70A05" w:rsidP="00F70A05">
      <w:pPr>
        <w:pStyle w:val="NormalHanging12a"/>
        <w:ind w:left="1985" w:firstLine="0"/>
        <w:rPr>
          <w:b/>
          <w:i/>
        </w:rPr>
      </w:pPr>
      <w:r w:rsidRPr="007B5CD6">
        <w:rPr>
          <w:b/>
          <w:i/>
        </w:rPr>
        <w:t>Komise může případně přizvat Agenturu Evropské unie pro spolupráci energetických regulačních orgánů (ACER), aby byla při tomto monitorování nápomocna.“;</w:t>
      </w:r>
    </w:p>
    <w:p w:rsidR="00F70A05" w:rsidRPr="007B5CD6" w:rsidRDefault="00F70A05" w:rsidP="00F70A05">
      <w:pPr>
        <w:pStyle w:val="NormalHanging12a"/>
        <w:ind w:left="1418"/>
        <w:rPr>
          <w:b/>
          <w:i/>
        </w:rPr>
      </w:pPr>
      <w:r w:rsidRPr="007B5CD6">
        <w:rPr>
          <w:b/>
          <w:i/>
        </w:rPr>
        <w:t>b)</w:t>
      </w:r>
      <w:r w:rsidRPr="007B5CD6">
        <w:rPr>
          <w:b/>
          <w:i/>
        </w:rPr>
        <w:tab/>
        <w:t>odstavce 4 a 5 se nahrazují tímto:</w:t>
      </w:r>
    </w:p>
    <w:p w:rsidR="00F70A05" w:rsidRPr="007B5CD6" w:rsidRDefault="00F70A05" w:rsidP="00F70A05">
      <w:pPr>
        <w:pStyle w:val="NormalHanging12a"/>
        <w:ind w:left="1985"/>
        <w:rPr>
          <w:b/>
          <w:i/>
          <w:szCs w:val="24"/>
        </w:rPr>
      </w:pPr>
      <w:r w:rsidRPr="007B5CD6">
        <w:rPr>
          <w:b/>
          <w:i/>
        </w:rPr>
        <w:t>„4.</w:t>
      </w:r>
      <w:r w:rsidRPr="007B5CD6">
        <w:rPr>
          <w:b/>
          <w:i/>
        </w:rPr>
        <w:tab/>
        <w:t>Skupina GCG je nápomocna Komisi při monitorování cíle naplnění a vypracovává pro Komisi pokyny ohledně vhodných opatření k zajištění lepšího sladění v případě, že míry naplňování členských států ohrožují dosažení cíle naplnění, nebo k zajištění souladu s cílem naplnění.</w:t>
      </w:r>
    </w:p>
    <w:p w:rsidR="00F70A05" w:rsidRPr="007B5CD6" w:rsidRDefault="00F70A05" w:rsidP="00F70A05">
      <w:pPr>
        <w:pStyle w:val="NormalHanging12a"/>
        <w:ind w:left="1985"/>
        <w:rPr>
          <w:b/>
          <w:i/>
          <w:szCs w:val="24"/>
        </w:rPr>
      </w:pPr>
      <w:r w:rsidRPr="007B5CD6">
        <w:rPr>
          <w:b/>
          <w:i/>
        </w:rPr>
        <w:t>4a.</w:t>
      </w:r>
      <w:r w:rsidRPr="007B5CD6">
        <w:rPr>
          <w:b/>
          <w:i/>
        </w:rPr>
        <w:tab/>
        <w:t>Komise případně zavede opatření, která členským státům pomohou dosáhnout cíle naplnění, včetně opatření na podporu účasti na mechanismu agregace poptávky a společného nákupu zřízeného nařízením (EU) 2022/2576 prostřednictvím platformy („</w:t>
      </w:r>
      <w:proofErr w:type="spellStart"/>
      <w:r w:rsidRPr="007B5CD6">
        <w:rPr>
          <w:b/>
          <w:i/>
        </w:rPr>
        <w:t>AggregateEU</w:t>
      </w:r>
      <w:proofErr w:type="spellEnd"/>
      <w:r w:rsidRPr="007B5CD6">
        <w:rPr>
          <w:b/>
          <w:i/>
        </w:rPr>
        <w:t>“)</w:t>
      </w:r>
      <w:r w:rsidRPr="007B5CD6">
        <w:rPr>
          <w:b/>
          <w:i/>
          <w:vertAlign w:val="superscript"/>
        </w:rPr>
        <w:t>*</w:t>
      </w:r>
      <w:r w:rsidRPr="007B5CD6">
        <w:rPr>
          <w:rStyle w:val="FootnoteReference"/>
          <w:b/>
          <w:i/>
        </w:rPr>
        <w:t xml:space="preserve"> </w:t>
      </w:r>
      <w:r w:rsidRPr="007B5CD6">
        <w:rPr>
          <w:b/>
          <w:i/>
        </w:rPr>
        <w:t>.</w:t>
      </w:r>
    </w:p>
    <w:p w:rsidR="00F70A05" w:rsidRPr="007B5CD6" w:rsidRDefault="00F70A05" w:rsidP="00F70A05">
      <w:pPr>
        <w:pStyle w:val="NormalHanging12a"/>
        <w:ind w:left="1985"/>
        <w:rPr>
          <w:b/>
          <w:i/>
        </w:rPr>
      </w:pPr>
      <w:r w:rsidRPr="007B5CD6">
        <w:rPr>
          <w:b/>
          <w:i/>
        </w:rPr>
        <w:t>5.</w:t>
      </w:r>
      <w:r w:rsidRPr="007B5CD6">
        <w:rPr>
          <w:b/>
          <w:i/>
        </w:rPr>
        <w:tab/>
        <w:t>Členské státy a případně Komise přijmou nezbytná opatření k plnění cíle naplnění a k prosazování povinností uskladňování vůči účastníkům trhu. Tato opatření mohou zahrnovat dostatečně odrazující sankce a pokuty, například přiměřené finanční postihy.</w:t>
      </w:r>
    </w:p>
    <w:p w:rsidR="00F70A05" w:rsidRPr="007B5CD6" w:rsidRDefault="00F70A05" w:rsidP="00F70A05">
      <w:pPr>
        <w:pStyle w:val="NormalHanging12a"/>
        <w:ind w:left="1985"/>
        <w:rPr>
          <w:b/>
          <w:i/>
        </w:rPr>
      </w:pPr>
      <w:r w:rsidRPr="007B5CD6">
        <w:rPr>
          <w:b/>
          <w:i/>
        </w:rPr>
        <w:t>___________________</w:t>
      </w:r>
    </w:p>
    <w:p w:rsidR="00F70A05" w:rsidRPr="007B5CD6" w:rsidRDefault="00F70A05" w:rsidP="00F70A05">
      <w:pPr>
        <w:pStyle w:val="NormalHanging12a"/>
        <w:ind w:left="1985"/>
        <w:rPr>
          <w:b/>
          <w:i/>
        </w:rPr>
      </w:pPr>
      <w:r w:rsidRPr="007B5CD6">
        <w:rPr>
          <w:b/>
          <w:i/>
        </w:rPr>
        <w:t>*</w:t>
      </w:r>
      <w:r w:rsidRPr="007B5CD6">
        <w:rPr>
          <w:b/>
          <w:i/>
        </w:rPr>
        <w:tab/>
        <w:t>Nařízení Rady (EU) 2022/2576 ze dne 19. prosince 2022 o posílení solidarity prostřednictvím lepší koordinace nákupu plynu, spolehlivých referenčních cen a přeshraničních výměn plynu (</w:t>
      </w:r>
      <w:proofErr w:type="spellStart"/>
      <w:r w:rsidRPr="007B5CD6">
        <w:rPr>
          <w:b/>
          <w:i/>
        </w:rPr>
        <w:t>Úř</w:t>
      </w:r>
      <w:proofErr w:type="spellEnd"/>
      <w:r w:rsidRPr="007B5CD6">
        <w:rPr>
          <w:b/>
          <w:i/>
        </w:rPr>
        <w:t>. </w:t>
      </w:r>
      <w:proofErr w:type="spellStart"/>
      <w:proofErr w:type="gramStart"/>
      <w:r w:rsidRPr="007B5CD6">
        <w:rPr>
          <w:b/>
          <w:i/>
        </w:rPr>
        <w:t>věst</w:t>
      </w:r>
      <w:proofErr w:type="spellEnd"/>
      <w:proofErr w:type="gramEnd"/>
      <w:r w:rsidRPr="007B5CD6">
        <w:rPr>
          <w:b/>
          <w:i/>
        </w:rPr>
        <w:t xml:space="preserve">. L 335, </w:t>
      </w:r>
      <w:proofErr w:type="gramStart"/>
      <w:r w:rsidRPr="007B5CD6">
        <w:rPr>
          <w:b/>
          <w:i/>
        </w:rPr>
        <w:t>29.12.2022</w:t>
      </w:r>
      <w:proofErr w:type="gramEnd"/>
      <w:r w:rsidRPr="007B5CD6">
        <w:rPr>
          <w:b/>
          <w:i/>
        </w:rPr>
        <w:t>, s. 1, ELI: http://data.europa.eu/eli/reg/2022/2576/oj).“;</w:t>
      </w:r>
    </w:p>
    <w:p w:rsidR="00F70A05" w:rsidRPr="007B5CD6" w:rsidRDefault="00F70A05" w:rsidP="00F70A05">
      <w:pPr>
        <w:pStyle w:val="NormalHanging12a"/>
        <w:ind w:left="851" w:hanging="851"/>
        <w:rPr>
          <w:b/>
          <w:i/>
          <w:szCs w:val="24"/>
        </w:rPr>
      </w:pPr>
      <w:r w:rsidRPr="007B5CD6">
        <w:rPr>
          <w:b/>
          <w:i/>
        </w:rPr>
        <w:t>6)</w:t>
      </w:r>
      <w:r w:rsidRPr="007B5CD6">
        <w:rPr>
          <w:b/>
          <w:i/>
        </w:rPr>
        <w:tab/>
        <w:t>V čl. 17a odst. 1 se doplňuje nové písmeno, které zní:</w:t>
      </w:r>
    </w:p>
    <w:p w:rsidR="00F70A05" w:rsidRPr="007B5CD6" w:rsidRDefault="00F70A05" w:rsidP="00F70A05">
      <w:pPr>
        <w:pStyle w:val="NormalHanging12a"/>
        <w:ind w:left="1418"/>
        <w:rPr>
          <w:b/>
          <w:i/>
          <w:szCs w:val="24"/>
        </w:rPr>
      </w:pPr>
      <w:r w:rsidRPr="007B5CD6">
        <w:rPr>
          <w:b/>
          <w:i/>
        </w:rPr>
        <w:t>„da)</w:t>
      </w:r>
      <w:r w:rsidRPr="007B5CD6">
        <w:rPr>
          <w:b/>
          <w:i/>
        </w:rPr>
        <w:tab/>
        <w:t xml:space="preserve">informace o podílu plynu z Ruské federace uskladněného v zásobnících EU, </w:t>
      </w:r>
      <w:r w:rsidRPr="007B5CD6">
        <w:rPr>
          <w:b/>
          <w:i/>
        </w:rPr>
        <w:lastRenderedPageBreak/>
        <w:t>které poskytly členské státy v souladu s čl. 6d odst. 2.“;</w:t>
      </w:r>
    </w:p>
    <w:p w:rsidR="00F70A05" w:rsidRPr="007B5CD6" w:rsidRDefault="00F70A05" w:rsidP="00F70A05">
      <w:pPr>
        <w:pStyle w:val="NormalHanging12a"/>
        <w:ind w:left="851" w:hanging="851"/>
        <w:rPr>
          <w:b/>
          <w:i/>
          <w:szCs w:val="24"/>
        </w:rPr>
      </w:pPr>
      <w:r w:rsidRPr="007B5CD6">
        <w:rPr>
          <w:b/>
          <w:i/>
        </w:rPr>
        <w:t>7)</w:t>
      </w:r>
      <w:r w:rsidRPr="007B5CD6">
        <w:rPr>
          <w:b/>
          <w:i/>
        </w:rPr>
        <w:tab/>
        <w:t>V článku 22 se čtvrtý pododstavec nahrazuje tímto:</w:t>
      </w:r>
    </w:p>
    <w:p w:rsidR="00F70A05" w:rsidRPr="007B5CD6" w:rsidRDefault="00F70A05" w:rsidP="00F70A05">
      <w:pPr>
        <w:pStyle w:val="NormalHanging12a"/>
        <w:ind w:left="851" w:firstLine="0"/>
        <w:rPr>
          <w:b/>
          <w:i/>
          <w:szCs w:val="24"/>
        </w:rPr>
      </w:pPr>
      <w:r w:rsidRPr="007B5CD6">
        <w:rPr>
          <w:b/>
          <w:i/>
        </w:rPr>
        <w:t>„Ustanovení čl. 2 bodů 27 až 31, článků 6a až 6d, čl. 16 odst. 3, článku 17a, článku 18a, čl. 20 odst. 4 a přílohy </w:t>
      </w:r>
      <w:proofErr w:type="spellStart"/>
      <w:r w:rsidRPr="007B5CD6">
        <w:rPr>
          <w:b/>
          <w:i/>
        </w:rPr>
        <w:t>Ib</w:t>
      </w:r>
      <w:proofErr w:type="spellEnd"/>
      <w:r w:rsidRPr="007B5CD6">
        <w:rPr>
          <w:b/>
          <w:i/>
        </w:rPr>
        <w:t xml:space="preserve"> se použijí do 31. prosince 2027.“;</w:t>
      </w:r>
    </w:p>
    <w:p w:rsidR="00F70A05" w:rsidRPr="007B5CD6" w:rsidRDefault="00F70A05" w:rsidP="00F70A05">
      <w:pPr>
        <w:pStyle w:val="NormalHanging12a"/>
        <w:ind w:left="851" w:hanging="851"/>
        <w:rPr>
          <w:b/>
          <w:i/>
          <w:szCs w:val="24"/>
        </w:rPr>
      </w:pPr>
      <w:r w:rsidRPr="007B5CD6">
        <w:rPr>
          <w:b/>
          <w:i/>
        </w:rPr>
        <w:t>8)</w:t>
      </w:r>
      <w:r w:rsidRPr="007B5CD6">
        <w:rPr>
          <w:b/>
          <w:i/>
        </w:rPr>
        <w:tab/>
        <w:t xml:space="preserve">Příloha </w:t>
      </w:r>
      <w:proofErr w:type="spellStart"/>
      <w:r w:rsidRPr="007B5CD6">
        <w:rPr>
          <w:b/>
          <w:i/>
        </w:rPr>
        <w:t>Ia</w:t>
      </w:r>
      <w:proofErr w:type="spellEnd"/>
      <w:r w:rsidRPr="007B5CD6">
        <w:rPr>
          <w:b/>
          <w:i/>
        </w:rPr>
        <w:t> se zrušuje.</w:t>
      </w:r>
    </w:p>
    <w:p w:rsidR="00F70A05" w:rsidRPr="007B5CD6" w:rsidRDefault="00F70A05" w:rsidP="00F70A05">
      <w:pPr>
        <w:rPr>
          <w:noProof/>
        </w:rPr>
      </w:pPr>
    </w:p>
    <w:p w:rsidR="00F70A05" w:rsidRPr="007B5CD6" w:rsidRDefault="00F70A05" w:rsidP="00F70A05">
      <w:pPr>
        <w:pStyle w:val="Titrearticle"/>
        <w:rPr>
          <w:noProof/>
          <w:lang w:val="cs-CZ"/>
        </w:rPr>
      </w:pPr>
      <w:r w:rsidRPr="007B5CD6">
        <w:rPr>
          <w:lang w:val="cs-CZ"/>
        </w:rPr>
        <w:t>Článek 2</w:t>
      </w:r>
    </w:p>
    <w:p w:rsidR="00F70A05" w:rsidRPr="007B5CD6" w:rsidRDefault="00F70A05" w:rsidP="00F70A05">
      <w:pPr>
        <w:jc w:val="center"/>
        <w:rPr>
          <w:b/>
          <w:bCs/>
          <w:noProof/>
        </w:rPr>
      </w:pPr>
      <w:r w:rsidRPr="007B5CD6">
        <w:rPr>
          <w:b/>
        </w:rPr>
        <w:t>Vstup v platnost</w:t>
      </w:r>
    </w:p>
    <w:p w:rsidR="00F70A05" w:rsidRPr="007B5CD6" w:rsidRDefault="00F70A05" w:rsidP="00621BB0">
      <w:pPr>
        <w:pStyle w:val="NormalHanging12a"/>
        <w:spacing w:before="240"/>
        <w:ind w:left="0" w:firstLine="0"/>
        <w:rPr>
          <w:szCs w:val="24"/>
        </w:rPr>
      </w:pPr>
      <w:r w:rsidRPr="007B5CD6">
        <w:t>Toto nařízení vstupuje v platnost a použije se prvním dnem po vyhlášení v Úředním věstníku Evropské unie a použije se od téhož dne.</w:t>
      </w:r>
    </w:p>
    <w:p w:rsidR="00F70A05" w:rsidRPr="007B5CD6" w:rsidRDefault="00F70A05" w:rsidP="00F70A05">
      <w:pPr>
        <w:pStyle w:val="NormalCenter12a"/>
        <w:jc w:val="left"/>
        <w:rPr>
          <w:lang w:val="cs-CZ"/>
        </w:rPr>
      </w:pPr>
      <w:r w:rsidRPr="007B5CD6">
        <w:rPr>
          <w:lang w:val="cs-CZ"/>
        </w:rPr>
        <w:t>Toto nařízení je závazné v celém rozsahu a přímo použitelné ve všech členských státech.</w:t>
      </w:r>
    </w:p>
    <w:p w:rsidR="00F70A05" w:rsidRPr="007B5CD6" w:rsidRDefault="00F70A05" w:rsidP="00F70A05">
      <w:pPr>
        <w:pStyle w:val="NormalCenter12a"/>
        <w:jc w:val="left"/>
        <w:rPr>
          <w:lang w:val="cs-CZ"/>
        </w:rPr>
      </w:pPr>
      <w:r w:rsidRPr="007B5CD6">
        <w:rPr>
          <w:lang w:val="cs-CZ"/>
        </w:rPr>
        <w:t>V Bruselu dne</w:t>
      </w:r>
    </w:p>
    <w:p w:rsidR="00F70A05" w:rsidRPr="007B5CD6" w:rsidRDefault="00F70A05" w:rsidP="00F70A05">
      <w:pPr>
        <w:pStyle w:val="NormalCenter12a"/>
        <w:jc w:val="left"/>
        <w:rPr>
          <w:lang w:val="cs-CZ"/>
        </w:rPr>
      </w:pPr>
      <w:r w:rsidRPr="007B5CD6">
        <w:rPr>
          <w:lang w:val="cs-CZ"/>
        </w:rPr>
        <w:t>Za Evropský parlament</w:t>
      </w:r>
    </w:p>
    <w:p w:rsidR="00F70A05" w:rsidRPr="007B5CD6" w:rsidRDefault="00F70A05" w:rsidP="00F70A05">
      <w:pPr>
        <w:pStyle w:val="NormalCenter12a"/>
        <w:jc w:val="left"/>
        <w:rPr>
          <w:lang w:val="cs-CZ"/>
        </w:rPr>
      </w:pPr>
      <w:r w:rsidRPr="007B5CD6">
        <w:rPr>
          <w:lang w:val="cs-CZ"/>
        </w:rPr>
        <w:t>předsedkyně</w:t>
      </w:r>
    </w:p>
    <w:p w:rsidR="00F70A05" w:rsidRPr="007B5CD6" w:rsidRDefault="00F70A05" w:rsidP="00F70A05">
      <w:pPr>
        <w:pStyle w:val="NormalCenter12a"/>
        <w:jc w:val="left"/>
        <w:rPr>
          <w:lang w:val="cs-CZ"/>
        </w:rPr>
      </w:pPr>
      <w:r w:rsidRPr="007B5CD6">
        <w:rPr>
          <w:lang w:val="cs-CZ"/>
        </w:rPr>
        <w:t>Za Radu</w:t>
      </w:r>
    </w:p>
    <w:p w:rsidR="007B5CD6" w:rsidRPr="00EE4C93" w:rsidRDefault="00F70A05" w:rsidP="007B5CD6">
      <w:pPr>
        <w:pStyle w:val="NormalCenter12a"/>
        <w:jc w:val="left"/>
        <w:rPr>
          <w:lang w:val="cs-CZ"/>
        </w:rPr>
      </w:pPr>
      <w:r w:rsidRPr="007B5CD6">
        <w:rPr>
          <w:lang w:val="cs-CZ"/>
        </w:rPr>
        <w:t>předseda</w:t>
      </w:r>
      <w:r w:rsidR="002B3480">
        <w:rPr>
          <w:lang w:val="cs-CZ"/>
        </w:rPr>
        <w:t xml:space="preserve"> nebo </w:t>
      </w:r>
      <w:r w:rsidRPr="007B5CD6">
        <w:rPr>
          <w:lang w:val="cs-CZ"/>
        </w:rPr>
        <w:t>předsedkyně</w:t>
      </w:r>
    </w:p>
    <w:p w:rsidR="00E365E1" w:rsidRPr="007B5CD6" w:rsidRDefault="00E365E1" w:rsidP="00AD2873"/>
    <w:sectPr w:rsidR="00E365E1" w:rsidRPr="007B5CD6" w:rsidSect="007B5C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873" w:rsidRPr="007B5CD6" w:rsidRDefault="00AD2873">
      <w:r w:rsidRPr="007B5CD6">
        <w:separator/>
      </w:r>
    </w:p>
  </w:endnote>
  <w:endnote w:type="continuationSeparator" w:id="0">
    <w:p w:rsidR="00AD2873" w:rsidRPr="007B5CD6" w:rsidRDefault="00AD2873">
      <w:r w:rsidRPr="007B5C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C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C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C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873" w:rsidRPr="007B5CD6" w:rsidRDefault="00AD2873">
      <w:r w:rsidRPr="007B5CD6">
        <w:separator/>
      </w:r>
    </w:p>
  </w:footnote>
  <w:footnote w:type="continuationSeparator" w:id="0">
    <w:p w:rsidR="00AD2873" w:rsidRPr="007B5CD6" w:rsidRDefault="00AD2873">
      <w:r w:rsidRPr="007B5CD6">
        <w:continuationSeparator/>
      </w:r>
    </w:p>
  </w:footnote>
  <w:footnote w:id="1">
    <w:p w:rsidR="00304941" w:rsidRPr="0098336F" w:rsidRDefault="00304941" w:rsidP="00B81C79">
      <w:pPr>
        <w:pStyle w:val="FootnoteText"/>
        <w:ind w:left="851" w:hanging="851"/>
        <w:rPr>
          <w:sz w:val="24"/>
          <w:szCs w:val="24"/>
          <w:lang w:val="cs-CZ"/>
        </w:rPr>
      </w:pPr>
      <w:r>
        <w:rPr>
          <w:rStyle w:val="FootnoteReference"/>
        </w:rPr>
        <w:footnoteRef/>
      </w:r>
      <w:r>
        <w:t xml:space="preserve"> </w:t>
      </w:r>
      <w:r>
        <w:rPr>
          <w:lang w:val="cs-CZ"/>
        </w:rPr>
        <w:tab/>
      </w:r>
      <w:proofErr w:type="spellStart"/>
      <w:r w:rsidRPr="0098336F">
        <w:rPr>
          <w:sz w:val="24"/>
          <w:szCs w:val="24"/>
        </w:rPr>
        <w:t>Věc</w:t>
      </w:r>
      <w:proofErr w:type="spellEnd"/>
      <w:r w:rsidRPr="0098336F">
        <w:rPr>
          <w:sz w:val="24"/>
          <w:szCs w:val="24"/>
        </w:rPr>
        <w:t xml:space="preserve"> </w:t>
      </w:r>
      <w:proofErr w:type="spellStart"/>
      <w:r w:rsidRPr="0098336F">
        <w:rPr>
          <w:sz w:val="24"/>
          <w:szCs w:val="24"/>
        </w:rPr>
        <w:t>byla</w:t>
      </w:r>
      <w:proofErr w:type="spellEnd"/>
      <w:r w:rsidRPr="0098336F">
        <w:rPr>
          <w:sz w:val="24"/>
          <w:szCs w:val="24"/>
        </w:rPr>
        <w:t xml:space="preserve"> </w:t>
      </w:r>
      <w:proofErr w:type="spellStart"/>
      <w:r w:rsidRPr="0098336F">
        <w:rPr>
          <w:sz w:val="24"/>
          <w:szCs w:val="24"/>
        </w:rPr>
        <w:t>vrácena</w:t>
      </w:r>
      <w:proofErr w:type="spellEnd"/>
      <w:r w:rsidRPr="0098336F">
        <w:rPr>
          <w:sz w:val="24"/>
          <w:szCs w:val="24"/>
        </w:rPr>
        <w:t xml:space="preserve"> </w:t>
      </w:r>
      <w:proofErr w:type="spellStart"/>
      <w:r w:rsidRPr="0098336F">
        <w:rPr>
          <w:sz w:val="24"/>
          <w:szCs w:val="24"/>
        </w:rPr>
        <w:t>příslušnému</w:t>
      </w:r>
      <w:proofErr w:type="spellEnd"/>
      <w:r w:rsidRPr="0098336F">
        <w:rPr>
          <w:sz w:val="24"/>
          <w:szCs w:val="24"/>
        </w:rPr>
        <w:t xml:space="preserve"> </w:t>
      </w:r>
      <w:proofErr w:type="spellStart"/>
      <w:r w:rsidRPr="0098336F">
        <w:rPr>
          <w:sz w:val="24"/>
          <w:szCs w:val="24"/>
        </w:rPr>
        <w:t>výboru</w:t>
      </w:r>
      <w:proofErr w:type="spellEnd"/>
      <w:r w:rsidRPr="0098336F">
        <w:rPr>
          <w:sz w:val="24"/>
          <w:szCs w:val="24"/>
        </w:rPr>
        <w:t xml:space="preserve"> pro </w:t>
      </w:r>
      <w:proofErr w:type="spellStart"/>
      <w:r w:rsidRPr="0098336F">
        <w:rPr>
          <w:sz w:val="24"/>
          <w:szCs w:val="24"/>
        </w:rPr>
        <w:t>účely</w:t>
      </w:r>
      <w:proofErr w:type="spellEnd"/>
      <w:r w:rsidRPr="0098336F">
        <w:rPr>
          <w:sz w:val="24"/>
          <w:szCs w:val="24"/>
        </w:rPr>
        <w:t xml:space="preserve"> </w:t>
      </w:r>
      <w:proofErr w:type="spellStart"/>
      <w:r w:rsidRPr="0098336F">
        <w:rPr>
          <w:sz w:val="24"/>
          <w:szCs w:val="24"/>
        </w:rPr>
        <w:t>interinstit</w:t>
      </w:r>
      <w:r w:rsidR="00296C8A">
        <w:rPr>
          <w:sz w:val="24"/>
          <w:szCs w:val="24"/>
        </w:rPr>
        <w:t>ucionálních</w:t>
      </w:r>
      <w:proofErr w:type="spellEnd"/>
      <w:r w:rsidR="00296C8A">
        <w:rPr>
          <w:sz w:val="24"/>
          <w:szCs w:val="24"/>
        </w:rPr>
        <w:t xml:space="preserve"> </w:t>
      </w:r>
      <w:proofErr w:type="spellStart"/>
      <w:r w:rsidR="00296C8A">
        <w:rPr>
          <w:sz w:val="24"/>
          <w:szCs w:val="24"/>
        </w:rPr>
        <w:t>jednání</w:t>
      </w:r>
      <w:proofErr w:type="spellEnd"/>
      <w:r w:rsidR="00296C8A">
        <w:rPr>
          <w:sz w:val="24"/>
          <w:szCs w:val="24"/>
        </w:rPr>
        <w:t xml:space="preserve"> </w:t>
      </w:r>
      <w:proofErr w:type="spellStart"/>
      <w:r w:rsidR="00296C8A">
        <w:rPr>
          <w:sz w:val="24"/>
          <w:szCs w:val="24"/>
        </w:rPr>
        <w:t>podle</w:t>
      </w:r>
      <w:proofErr w:type="spellEnd"/>
      <w:r w:rsidR="00296C8A">
        <w:rPr>
          <w:sz w:val="24"/>
          <w:szCs w:val="24"/>
        </w:rPr>
        <w:t xml:space="preserve"> </w:t>
      </w:r>
      <w:proofErr w:type="spellStart"/>
      <w:r w:rsidR="00296C8A">
        <w:rPr>
          <w:sz w:val="24"/>
          <w:szCs w:val="24"/>
        </w:rPr>
        <w:t>čl</w:t>
      </w:r>
      <w:proofErr w:type="spellEnd"/>
      <w:r w:rsidR="00296C8A">
        <w:rPr>
          <w:sz w:val="24"/>
          <w:szCs w:val="24"/>
        </w:rPr>
        <w:t>. 60</w:t>
      </w:r>
      <w:r w:rsidRPr="0098336F">
        <w:rPr>
          <w:sz w:val="24"/>
          <w:szCs w:val="24"/>
        </w:rPr>
        <w:t xml:space="preserve"> </w:t>
      </w:r>
      <w:proofErr w:type="spellStart"/>
      <w:r w:rsidRPr="0098336F">
        <w:rPr>
          <w:sz w:val="24"/>
          <w:szCs w:val="24"/>
        </w:rPr>
        <w:t>odst</w:t>
      </w:r>
      <w:proofErr w:type="spellEnd"/>
      <w:r w:rsidRPr="0098336F">
        <w:rPr>
          <w:sz w:val="24"/>
          <w:szCs w:val="24"/>
        </w:rPr>
        <w:t xml:space="preserve">. 4 </w:t>
      </w:r>
      <w:proofErr w:type="spellStart"/>
      <w:r w:rsidRPr="0098336F">
        <w:rPr>
          <w:sz w:val="24"/>
          <w:szCs w:val="24"/>
        </w:rPr>
        <w:t>čtvrtého</w:t>
      </w:r>
      <w:proofErr w:type="spellEnd"/>
      <w:r>
        <w:rPr>
          <w:sz w:val="24"/>
          <w:szCs w:val="24"/>
        </w:rPr>
        <w:t xml:space="preserve"> </w:t>
      </w:r>
      <w:proofErr w:type="spellStart"/>
      <w:r>
        <w:rPr>
          <w:sz w:val="24"/>
          <w:szCs w:val="24"/>
        </w:rPr>
        <w:t>pododstavce</w:t>
      </w:r>
      <w:proofErr w:type="spellEnd"/>
      <w:r>
        <w:rPr>
          <w:sz w:val="24"/>
          <w:szCs w:val="24"/>
        </w:rPr>
        <w:t xml:space="preserve"> (A10-0079/2025</w:t>
      </w:r>
      <w:r w:rsidRPr="0098336F">
        <w:rPr>
          <w:sz w:val="24"/>
          <w:szCs w:val="24"/>
        </w:rPr>
        <w:t>).</w:t>
      </w:r>
    </w:p>
  </w:footnote>
  <w:footnote w:id="2">
    <w:p w:rsidR="00F70A05" w:rsidRPr="007B5CD6" w:rsidRDefault="00F70A05" w:rsidP="00B81C79">
      <w:pPr>
        <w:pStyle w:val="FootnoteText"/>
        <w:ind w:left="851" w:hanging="851"/>
        <w:rPr>
          <w:sz w:val="24"/>
          <w:lang w:val="cs-CZ"/>
        </w:rPr>
      </w:pPr>
      <w:r w:rsidRPr="007B5CD6">
        <w:rPr>
          <w:rStyle w:val="FootnoteReference"/>
          <w:sz w:val="24"/>
          <w:lang w:val="cs-CZ"/>
        </w:rPr>
        <w:t>*</w:t>
      </w:r>
      <w:r w:rsidR="007B5CD6" w:rsidRPr="007B5CD6">
        <w:rPr>
          <w:sz w:val="24"/>
          <w:lang w:val="cs-CZ"/>
        </w:rPr>
        <w:t xml:space="preserve"> </w:t>
      </w:r>
      <w:r w:rsidR="007B5CD6" w:rsidRPr="007B5CD6">
        <w:rPr>
          <w:sz w:val="24"/>
          <w:lang w:val="cs-CZ"/>
        </w:rPr>
        <w:tab/>
      </w:r>
      <w:r w:rsidRPr="007B5CD6">
        <w:rPr>
          <w:sz w:val="24"/>
          <w:lang w:val="cs-CZ"/>
        </w:rPr>
        <w:t>Pozměňovací návrhy: Nový nebo pozměněný text je zvýrazněn tučnou kurzívou; vypuštění je označeno symbolem ▌.</w:t>
      </w:r>
    </w:p>
  </w:footnote>
  <w:footnote w:id="3">
    <w:p w:rsidR="00F70A05" w:rsidRPr="007B5CD6" w:rsidRDefault="00F70A05" w:rsidP="00B81C79">
      <w:pPr>
        <w:pStyle w:val="FootnoteText"/>
        <w:ind w:left="851" w:hanging="851"/>
        <w:rPr>
          <w:sz w:val="24"/>
          <w:lang w:val="cs-CZ"/>
        </w:rPr>
      </w:pPr>
      <w:r w:rsidRPr="007B5CD6">
        <w:rPr>
          <w:rStyle w:val="FootnoteReference"/>
          <w:sz w:val="24"/>
          <w:lang w:val="cs-CZ"/>
        </w:rPr>
        <w:footnoteRef/>
      </w:r>
      <w:r w:rsidR="007B5CD6" w:rsidRPr="007B5CD6">
        <w:rPr>
          <w:sz w:val="24"/>
          <w:lang w:val="cs-CZ"/>
        </w:rPr>
        <w:t xml:space="preserve"> </w:t>
      </w:r>
      <w:r w:rsidR="007B5CD6" w:rsidRPr="007B5CD6">
        <w:rPr>
          <w:sz w:val="24"/>
          <w:lang w:val="cs-CZ"/>
        </w:rPr>
        <w:tab/>
      </w:r>
      <w:r w:rsidRPr="007B5CD6">
        <w:rPr>
          <w:sz w:val="24"/>
          <w:lang w:val="cs-CZ"/>
        </w:rPr>
        <w:t>Nařízení Evropského parlamentu a Rady (EU) 2022/1032 ze dne 29. června 2022, kterým se mění nařízení (EU) 2017/1938 a (ES) č. 715/2009, pokud jde o uskladňování zemního plynu (</w:t>
      </w:r>
      <w:proofErr w:type="spellStart"/>
      <w:r w:rsidRPr="007B5CD6">
        <w:rPr>
          <w:sz w:val="24"/>
          <w:lang w:val="cs-CZ"/>
        </w:rPr>
        <w:t>Úř</w:t>
      </w:r>
      <w:proofErr w:type="spellEnd"/>
      <w:r w:rsidRPr="007B5CD6">
        <w:rPr>
          <w:sz w:val="24"/>
          <w:lang w:val="cs-CZ"/>
        </w:rPr>
        <w:t>. </w:t>
      </w:r>
      <w:proofErr w:type="spellStart"/>
      <w:proofErr w:type="gramStart"/>
      <w:r w:rsidRPr="007B5CD6">
        <w:rPr>
          <w:sz w:val="24"/>
          <w:lang w:val="cs-CZ"/>
        </w:rPr>
        <w:t>věst</w:t>
      </w:r>
      <w:proofErr w:type="spellEnd"/>
      <w:proofErr w:type="gramEnd"/>
      <w:r w:rsidRPr="007B5CD6">
        <w:rPr>
          <w:sz w:val="24"/>
          <w:lang w:val="cs-CZ"/>
        </w:rPr>
        <w:t xml:space="preserve">. L 173, </w:t>
      </w:r>
      <w:proofErr w:type="gramStart"/>
      <w:r w:rsidRPr="007B5CD6">
        <w:rPr>
          <w:sz w:val="24"/>
          <w:lang w:val="cs-CZ"/>
        </w:rPr>
        <w:t>30.6.2022</w:t>
      </w:r>
      <w:proofErr w:type="gramEnd"/>
      <w:r w:rsidRPr="007B5CD6">
        <w:rPr>
          <w:sz w:val="24"/>
          <w:lang w:val="cs-CZ"/>
        </w:rPr>
        <w:t>, s.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C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C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C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CS"/>
    <w:docVar w:name="dvnumam" w:val="0"/>
    <w:docVar w:name="dvpe" w:val="772.015"/>
    <w:docVar w:name="dvrapporteur" w:val="Zpravodaj: "/>
    <w:docVar w:name="dvstar" w:val="***I"/>
    <w:docVar w:name="dvtitre" w:val="Legislativní usnesení Evropského parlamentu ze dne.... 2025 o návrhu nařízení Evropského parlamentu a Rady, kterým se mění nařízení (EU) 2017/1938, pokud jde o úlohu uskladňování zemního plynu pro zajištění jeho dodávek před zimním obdobím(COM(2025)0099 – C10-0041/2025 – 2025/0051(COD))"/>
  </w:docVars>
  <w:rsids>
    <w:rsidRoot w:val="00AD2873"/>
    <w:rsid w:val="00002272"/>
    <w:rsid w:val="0004117E"/>
    <w:rsid w:val="00064002"/>
    <w:rsid w:val="000677B9"/>
    <w:rsid w:val="000831BA"/>
    <w:rsid w:val="000A42CC"/>
    <w:rsid w:val="000E7DD9"/>
    <w:rsid w:val="0010095E"/>
    <w:rsid w:val="00125B37"/>
    <w:rsid w:val="00187494"/>
    <w:rsid w:val="001F32AE"/>
    <w:rsid w:val="002767FF"/>
    <w:rsid w:val="00296C8A"/>
    <w:rsid w:val="002B18FE"/>
    <w:rsid w:val="002B3480"/>
    <w:rsid w:val="002B5493"/>
    <w:rsid w:val="0030494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1BB0"/>
    <w:rsid w:val="006631B6"/>
    <w:rsid w:val="00680577"/>
    <w:rsid w:val="006F74FA"/>
    <w:rsid w:val="00731ADD"/>
    <w:rsid w:val="00734777"/>
    <w:rsid w:val="00747932"/>
    <w:rsid w:val="00751A4A"/>
    <w:rsid w:val="00756632"/>
    <w:rsid w:val="00762C74"/>
    <w:rsid w:val="00786EC0"/>
    <w:rsid w:val="007B5CD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873"/>
    <w:rsid w:val="00AE0928"/>
    <w:rsid w:val="00AF3B82"/>
    <w:rsid w:val="00B12E95"/>
    <w:rsid w:val="00B22876"/>
    <w:rsid w:val="00B532D6"/>
    <w:rsid w:val="00B558F0"/>
    <w:rsid w:val="00B81C7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049F"/>
    <w:rsid w:val="00ED169E"/>
    <w:rsid w:val="00ED4235"/>
    <w:rsid w:val="00EE4C93"/>
    <w:rsid w:val="00F04346"/>
    <w:rsid w:val="00F075DC"/>
    <w:rsid w:val="00F149E9"/>
    <w:rsid w:val="00F5134D"/>
    <w:rsid w:val="00F70A0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83E0B"/>
  <w15:chartTrackingRefBased/>
  <w15:docId w15:val="{B75019EE-3A49-4A6A-B8D3-C46873A34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0A05"/>
    <w:pPr>
      <w:spacing w:before="480" w:after="240"/>
    </w:pPr>
  </w:style>
  <w:style w:type="paragraph" w:customStyle="1" w:styleId="NormalBold">
    <w:name w:val="NormalBold"/>
    <w:basedOn w:val="Normal"/>
    <w:rsid w:val="00F70A05"/>
    <w:rPr>
      <w:b/>
    </w:rPr>
  </w:style>
  <w:style w:type="paragraph" w:customStyle="1" w:styleId="NormalHanging12a">
    <w:name w:val="NormalHanging12a"/>
    <w:basedOn w:val="Normal"/>
    <w:link w:val="NormalHanging12aChar"/>
    <w:rsid w:val="00F70A05"/>
    <w:pPr>
      <w:spacing w:after="240"/>
      <w:ind w:left="567" w:hanging="567"/>
    </w:pPr>
  </w:style>
  <w:style w:type="paragraph" w:customStyle="1" w:styleId="NormalCenter12a">
    <w:name w:val="NormalCenter12a"/>
    <w:basedOn w:val="Normal"/>
    <w:rsid w:val="00F70A05"/>
    <w:pPr>
      <w:spacing w:after="240"/>
      <w:jc w:val="center"/>
    </w:pPr>
    <w:rPr>
      <w:lang w:val="en-GB"/>
    </w:rPr>
  </w:style>
  <w:style w:type="paragraph" w:customStyle="1" w:styleId="AmNumberTabs">
    <w:name w:val="AmNumberTabs"/>
    <w:basedOn w:val="Normal"/>
    <w:rsid w:val="00F70A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AmHeadingConsam">
    <w:name w:val="AmHeadingConsam"/>
    <w:basedOn w:val="Normal"/>
    <w:next w:val="NormalCenter12a"/>
    <w:rsid w:val="00F70A05"/>
    <w:pPr>
      <w:spacing w:before="720" w:after="240"/>
      <w:jc w:val="center"/>
    </w:pPr>
    <w:rPr>
      <w:lang w:val="en-GB"/>
    </w:rPr>
  </w:style>
  <w:style w:type="paragraph" w:customStyle="1" w:styleId="Titrearticle">
    <w:name w:val="Titre article"/>
    <w:basedOn w:val="Normal"/>
    <w:next w:val="Normal"/>
    <w:rsid w:val="00F70A05"/>
    <w:pPr>
      <w:keepNext/>
      <w:widowControl/>
      <w:spacing w:before="360" w:after="120"/>
      <w:jc w:val="center"/>
    </w:pPr>
    <w:rPr>
      <w:rFonts w:eastAsiaTheme="minorHAnsi"/>
      <w:i/>
      <w:szCs w:val="22"/>
      <w:lang w:val="en-GB" w:eastAsia="en-US"/>
    </w:rPr>
  </w:style>
  <w:style w:type="character" w:customStyle="1" w:styleId="NormalHanging12aChar">
    <w:name w:val="NormalHanging12a Char"/>
    <w:basedOn w:val="DefaultParagraphFont"/>
    <w:link w:val="NormalHanging12a"/>
    <w:rsid w:val="00F70A05"/>
    <w:rPr>
      <w:sz w:val="24"/>
      <w:lang w:val="cs-CZ"/>
    </w:rPr>
  </w:style>
  <w:style w:type="paragraph" w:styleId="BalloonText">
    <w:name w:val="Balloon Text"/>
    <w:basedOn w:val="Normal"/>
    <w:link w:val="BalloonTextChar"/>
    <w:rsid w:val="00EE4C93"/>
    <w:rPr>
      <w:rFonts w:ascii="Segoe UI" w:hAnsi="Segoe UI" w:cs="Segoe UI"/>
      <w:sz w:val="18"/>
      <w:szCs w:val="18"/>
    </w:rPr>
  </w:style>
  <w:style w:type="character" w:customStyle="1" w:styleId="BalloonTextChar">
    <w:name w:val="Balloon Text Char"/>
    <w:basedOn w:val="DefaultParagraphFont"/>
    <w:link w:val="BalloonText"/>
    <w:rsid w:val="00EE4C93"/>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B9F8-2096-49D6-9B10-47827BEB6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2883</Words>
  <Characters>16679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2025-05-08T13:27:00Z</dcterms:created>
  <dcterms:modified xsi:type="dcterms:W3CDTF">2025-05-08T13:27:00Z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A10-0079/2025</vt:lpwstr>
  </property>
  <property fmtid="{D5CDD505-2E9C-101B-9397-08002B2CF9AE}" pid="4" name="&lt;Type&gt;">
    <vt:lpwstr>RR</vt:lpwstr>
  </property>
</Properties>
</file>