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4CF1" w:rsidTr="0010095E">
        <w:trPr>
          <w:trHeight w:hRule="exact" w:val="1418"/>
        </w:trPr>
        <w:tc>
          <w:tcPr>
            <w:tcW w:w="6804" w:type="dxa"/>
            <w:shd w:val="clear" w:color="auto" w:fill="auto"/>
            <w:vAlign w:val="center"/>
          </w:tcPr>
          <w:p w:rsidR="00751A4A" w:rsidRPr="00BF4CF1" w:rsidRDefault="00D220AE" w:rsidP="0010095E">
            <w:pPr>
              <w:pStyle w:val="EPName"/>
            </w:pPr>
            <w:bookmarkStart w:id="0" w:name="_GoBack"/>
            <w:bookmarkEnd w:id="0"/>
            <w:r w:rsidRPr="00C56C61">
              <w:t>Europa-Parlamentet</w:t>
            </w:r>
          </w:p>
          <w:p w:rsidR="00751A4A" w:rsidRPr="00BF4CF1" w:rsidRDefault="005F1B17" w:rsidP="005F1B17">
            <w:pPr>
              <w:pStyle w:val="EPTerm"/>
              <w:rPr>
                <w:rStyle w:val="HideTWBExt"/>
                <w:noProof w:val="0"/>
                <w:vanish w:val="0"/>
                <w:color w:val="auto"/>
              </w:rPr>
            </w:pPr>
            <w:r w:rsidRPr="00BF4CF1">
              <w:t>2024</w:t>
            </w:r>
            <w:r w:rsidR="00817416" w:rsidRPr="00BF4CF1">
              <w:t>-202</w:t>
            </w:r>
            <w:r w:rsidRPr="00BF4CF1">
              <w:t>9</w:t>
            </w:r>
          </w:p>
        </w:tc>
        <w:tc>
          <w:tcPr>
            <w:tcW w:w="2268" w:type="dxa"/>
            <w:shd w:val="clear" w:color="auto" w:fill="auto"/>
          </w:tcPr>
          <w:p w:rsidR="00751A4A" w:rsidRPr="00C56C61" w:rsidRDefault="00187494" w:rsidP="0010095E">
            <w:pPr>
              <w:pStyle w:val="EPLogo"/>
            </w:pPr>
            <w:r w:rsidRPr="00C56C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4CF1" w:rsidRDefault="00D058B8" w:rsidP="004C5D52">
      <w:pPr>
        <w:pStyle w:val="LineTop"/>
      </w:pPr>
    </w:p>
    <w:p w:rsidR="00680577" w:rsidRPr="00BF4CF1" w:rsidRDefault="00D220AE" w:rsidP="00680577">
      <w:pPr>
        <w:pStyle w:val="EPBodyTA1"/>
      </w:pPr>
      <w:r w:rsidRPr="00BF4CF1">
        <w:t>VEDTAGNE TEKSTER</w:t>
      </w:r>
    </w:p>
    <w:p w:rsidR="00D058B8" w:rsidRPr="00BF4CF1" w:rsidRDefault="00D058B8" w:rsidP="00D058B8">
      <w:pPr>
        <w:pStyle w:val="LineBottom"/>
      </w:pPr>
    </w:p>
    <w:p w:rsidR="00D220AE" w:rsidRPr="003B4608" w:rsidRDefault="00D220AE" w:rsidP="00D220AE">
      <w:pPr>
        <w:pStyle w:val="ATHeading1"/>
      </w:pPr>
      <w:bookmarkStart w:id="1" w:name="TANumber"/>
      <w:r w:rsidRPr="003B4608">
        <w:t>P10_</w:t>
      </w:r>
      <w:proofErr w:type="gramStart"/>
      <w:r w:rsidRPr="003B4608">
        <w:t>TA(</w:t>
      </w:r>
      <w:proofErr w:type="gramEnd"/>
      <w:r w:rsidRPr="003B4608">
        <w:t>2025)0</w:t>
      </w:r>
      <w:r w:rsidR="00094C0B">
        <w:t>101</w:t>
      </w:r>
      <w:bookmarkEnd w:id="1"/>
    </w:p>
    <w:p w:rsidR="00D220AE" w:rsidRPr="003B4608" w:rsidRDefault="00D220AE" w:rsidP="00D220AE">
      <w:pPr>
        <w:pStyle w:val="ATHeading2"/>
      </w:pPr>
      <w:bookmarkStart w:id="2" w:name="title"/>
      <w:r w:rsidRPr="003B4608">
        <w:t>Gasoplagringens rolle med hensyn til at sikre gasforsyningen forud for vintersæsonen</w:t>
      </w:r>
      <w:bookmarkEnd w:id="2"/>
    </w:p>
    <w:p w:rsidR="00D220AE" w:rsidRPr="00C56C61" w:rsidRDefault="00D220AE" w:rsidP="00D220AE">
      <w:pPr>
        <w:rPr>
          <w:i/>
          <w:vanish/>
        </w:rPr>
      </w:pPr>
      <w:r w:rsidRPr="00C56C61">
        <w:rPr>
          <w:i/>
        </w:rPr>
        <w:fldChar w:fldCharType="begin"/>
      </w:r>
      <w:r w:rsidRPr="00C56C61">
        <w:rPr>
          <w:i/>
        </w:rPr>
        <w:instrText xml:space="preserve"> TC"(</w:instrText>
      </w:r>
      <w:bookmarkStart w:id="3" w:name="DocNumber"/>
      <w:r w:rsidRPr="00C56C61">
        <w:rPr>
          <w:i/>
        </w:rPr>
        <w:instrText>A10-0079/2025</w:instrText>
      </w:r>
      <w:bookmarkEnd w:id="3"/>
      <w:r w:rsidRPr="00C56C61">
        <w:rPr>
          <w:i/>
        </w:rPr>
        <w:instrText xml:space="preserve"> - Ordfører: </w:instrText>
      </w:r>
      <w:proofErr w:type="spellStart"/>
      <w:r w:rsidRPr="00C56C61">
        <w:rPr>
          <w:i/>
        </w:rPr>
        <w:instrText>Borys</w:instrText>
      </w:r>
      <w:proofErr w:type="spellEnd"/>
      <w:r w:rsidRPr="00C56C61">
        <w:rPr>
          <w:i/>
        </w:rPr>
        <w:instrText xml:space="preserve"> </w:instrText>
      </w:r>
      <w:proofErr w:type="spellStart"/>
      <w:r w:rsidRPr="00C56C61">
        <w:rPr>
          <w:i/>
        </w:rPr>
        <w:instrText>Budka</w:instrText>
      </w:r>
      <w:proofErr w:type="spellEnd"/>
      <w:r w:rsidRPr="00C56C61">
        <w:rPr>
          <w:i/>
        </w:rPr>
        <w:instrText xml:space="preserve">)"\l3 \n&gt; \* MERGEFORMAT </w:instrText>
      </w:r>
      <w:r w:rsidRPr="00C56C61">
        <w:rPr>
          <w:i/>
        </w:rPr>
        <w:fldChar w:fldCharType="end"/>
      </w:r>
    </w:p>
    <w:p w:rsidR="00D220AE" w:rsidRPr="003B4608" w:rsidRDefault="00D220AE" w:rsidP="00D220AE">
      <w:pPr>
        <w:rPr>
          <w:vanish/>
        </w:rPr>
      </w:pPr>
      <w:bookmarkStart w:id="4" w:name="Commission"/>
      <w:r w:rsidRPr="00BF4CF1">
        <w:rPr>
          <w:vanish/>
        </w:rPr>
        <w:t xml:space="preserve">Udvalget om Industri, Forskning </w:t>
      </w:r>
      <w:r w:rsidRPr="003B4608">
        <w:rPr>
          <w:vanish/>
        </w:rPr>
        <w:t>og Energi</w:t>
      </w:r>
      <w:bookmarkEnd w:id="4"/>
    </w:p>
    <w:p w:rsidR="00D220AE" w:rsidRPr="003B4608" w:rsidRDefault="00D220AE" w:rsidP="00D220AE">
      <w:pPr>
        <w:rPr>
          <w:vanish/>
        </w:rPr>
      </w:pPr>
      <w:bookmarkStart w:id="5" w:name="PE"/>
      <w:r w:rsidRPr="003B4608">
        <w:rPr>
          <w:vanish/>
        </w:rPr>
        <w:t>PE772.015</w:t>
      </w:r>
      <w:bookmarkEnd w:id="5"/>
    </w:p>
    <w:p w:rsidR="00D220AE" w:rsidRPr="003B4608" w:rsidRDefault="00002798" w:rsidP="00D220AE">
      <w:pPr>
        <w:pStyle w:val="ATHeading3"/>
      </w:pPr>
      <w:bookmarkStart w:id="6" w:name="Sujet"/>
      <w:r>
        <w:t xml:space="preserve">Ændringer vedtaget af Europa-Parlamentet den </w:t>
      </w:r>
      <w:r w:rsidR="00094C0B">
        <w:t>8</w:t>
      </w:r>
      <w:r w:rsidR="00D220AE" w:rsidRPr="003B4608">
        <w:t>. maj 2025 om forslag til Europa-Parlamentets og Rådets forordning om ændring af forordning (EU) 2017/1938 for så vidt angår gasoplagringens rolle med hensyn til at sikre gasforsyningen forud for vintersæsonen</w:t>
      </w:r>
      <w:bookmarkEnd w:id="6"/>
      <w:r w:rsidR="00D220AE" w:rsidRPr="003B4608">
        <w:t xml:space="preserve"> </w:t>
      </w:r>
      <w:bookmarkStart w:id="7" w:name="References"/>
      <w:r w:rsidR="00D220AE" w:rsidRPr="003B4608">
        <w:t>(COM(2025)0099 – C10-0041/2025 – 2025/0051(COD))</w:t>
      </w:r>
      <w:bookmarkEnd w:id="7"/>
      <w:r w:rsidR="00094C0B">
        <w:rPr>
          <w:rStyle w:val="FootnoteReference"/>
        </w:rPr>
        <w:footnoteReference w:id="1"/>
      </w:r>
    </w:p>
    <w:p w:rsidR="00D220AE" w:rsidRPr="00C56C61" w:rsidRDefault="00D220AE" w:rsidP="00D220AE"/>
    <w:p w:rsidR="00BB4BE8" w:rsidRPr="003B4608" w:rsidRDefault="00BB4BE8" w:rsidP="00BB4BE8">
      <w:pPr>
        <w:pStyle w:val="NormalBold"/>
      </w:pPr>
      <w:bookmarkStart w:id="8" w:name="TextBodyBegin"/>
      <w:bookmarkEnd w:id="8"/>
      <w:r w:rsidRPr="003B4608">
        <w:t>(Almindelig lovgivningsprocedure: førstebehandling)</w:t>
      </w:r>
    </w:p>
    <w:p w:rsidR="00BB4BE8" w:rsidRPr="003B4608" w:rsidRDefault="007D00B9" w:rsidP="00BB4BE8">
      <w:pPr>
        <w:pStyle w:val="AmNumberTabs"/>
        <w:keepNext/>
      </w:pPr>
      <w:r>
        <w:t>[</w:t>
      </w:r>
      <w:r w:rsidR="00BB4BE8" w:rsidRPr="003B4608">
        <w:t>Ændring</w:t>
      </w:r>
      <w:r w:rsidR="00BB4BE8" w:rsidRPr="003B4608">
        <w:tab/>
      </w:r>
      <w:r w:rsidR="00BB4BE8" w:rsidRPr="003B4608">
        <w:tab/>
        <w:t>1</w:t>
      </w:r>
      <w:r>
        <w:t xml:space="preserve"> med mindre andet er angivet]</w:t>
      </w:r>
    </w:p>
    <w:p w:rsidR="00BB4BE8" w:rsidRPr="003B4608" w:rsidRDefault="00BB4BE8" w:rsidP="00BB4BE8">
      <w:pPr>
        <w:pStyle w:val="AmHeadingConsam"/>
      </w:pPr>
      <w:r w:rsidRPr="003B4608">
        <w:t>EUROPA-PARLAMENTETS ÆNDRING</w:t>
      </w:r>
      <w:r w:rsidRPr="003B4608">
        <w:rPr>
          <w:rStyle w:val="FootnoteReference"/>
        </w:rPr>
        <w:footnoteReference w:customMarkFollows="1" w:id="2"/>
        <w:t>*</w:t>
      </w:r>
    </w:p>
    <w:p w:rsidR="00BB4BE8" w:rsidRPr="003B4608" w:rsidRDefault="00BB4BE8" w:rsidP="00BB4BE8">
      <w:pPr>
        <w:pStyle w:val="NormalCenter12a"/>
      </w:pPr>
      <w:r w:rsidRPr="003B4608">
        <w:t>til Kommissionens forslag</w:t>
      </w:r>
    </w:p>
    <w:p w:rsidR="00BB4BE8" w:rsidRPr="003B4608" w:rsidRDefault="00BB4BE8" w:rsidP="00BB4BE8">
      <w:pPr>
        <w:pStyle w:val="NormalCenter12a"/>
      </w:pPr>
      <w:r w:rsidRPr="003B4608">
        <w:t>---------------------------------------------------------</w:t>
      </w:r>
    </w:p>
    <w:p w:rsidR="00BB4BE8" w:rsidRPr="003B4608" w:rsidRDefault="00BB4BE8" w:rsidP="00BB4BE8">
      <w:pPr>
        <w:pStyle w:val="NormalCenter12a"/>
      </w:pPr>
    </w:p>
    <w:p w:rsidR="00BB4BE8" w:rsidRPr="003B4608" w:rsidRDefault="00BB4BE8" w:rsidP="00BB4BE8">
      <w:pPr>
        <w:pStyle w:val="NormalCenter12a"/>
        <w:rPr>
          <w:b/>
        </w:rPr>
      </w:pPr>
      <w:r w:rsidRPr="003B4608">
        <w:rPr>
          <w:b/>
        </w:rPr>
        <w:t>EUROPA-PARLAMENTETS OG RÅDETS FORORDNING</w:t>
      </w:r>
    </w:p>
    <w:p w:rsidR="00BB4BE8" w:rsidRPr="003B4608" w:rsidRDefault="00BB4BE8" w:rsidP="00BB4BE8">
      <w:pPr>
        <w:pStyle w:val="NormalCenter12a"/>
      </w:pPr>
      <w:r w:rsidRPr="003B4608">
        <w:rPr>
          <w:b/>
        </w:rPr>
        <w:t>om ændring af forordning (EU) 2017/1938 for så vidt angår gasoplagringens rolle med hensyn til at sikre gasforsyningen forud for vintersæsonen</w:t>
      </w:r>
    </w:p>
    <w:p w:rsidR="00BB4BE8" w:rsidRPr="003B4608" w:rsidRDefault="00BB4BE8" w:rsidP="00BB4BE8">
      <w:pPr>
        <w:pStyle w:val="NormalCenter12a"/>
        <w:jc w:val="left"/>
      </w:pPr>
      <w:r w:rsidRPr="003B4608">
        <w:t>EUROPA-PARLAMENTET OG RÅDET FOR DEN EUROPÆISKE UNION HAR –</w:t>
      </w:r>
    </w:p>
    <w:p w:rsidR="00BB4BE8" w:rsidRPr="003B4608" w:rsidRDefault="00BB4BE8" w:rsidP="00BB4BE8">
      <w:pPr>
        <w:pStyle w:val="NormalCenter12a"/>
        <w:jc w:val="left"/>
      </w:pPr>
      <w:r w:rsidRPr="003B4608">
        <w:t>under henvisning til traktaten om Den Europæiske Unions funktionsmåde, særlig artikel 194, stk. 2,</w:t>
      </w:r>
    </w:p>
    <w:p w:rsidR="00BB4BE8" w:rsidRPr="003B4608" w:rsidRDefault="00BB4BE8" w:rsidP="00BB4BE8">
      <w:pPr>
        <w:pStyle w:val="NormalCenter12a"/>
        <w:jc w:val="left"/>
      </w:pPr>
      <w:r w:rsidRPr="003B4608">
        <w:t>under henvisning til forslag fra Europa-Kommissionen,</w:t>
      </w:r>
    </w:p>
    <w:p w:rsidR="00BB4BE8" w:rsidRPr="003B4608" w:rsidRDefault="00BB4BE8" w:rsidP="00BB4BE8">
      <w:pPr>
        <w:pStyle w:val="NormalCenter12a"/>
        <w:jc w:val="left"/>
      </w:pPr>
      <w:r w:rsidRPr="003B4608">
        <w:t>efter fremsendelse af udkast til lovgivningsmæssig retsakt til de nationale parlamenter,</w:t>
      </w:r>
    </w:p>
    <w:p w:rsidR="00BB4BE8" w:rsidRPr="003B4608" w:rsidRDefault="00BB4BE8" w:rsidP="00BB4BE8">
      <w:pPr>
        <w:pStyle w:val="NormalCenter12a"/>
        <w:jc w:val="left"/>
      </w:pPr>
      <w:r w:rsidRPr="003B4608">
        <w:t>efter den almindelige lovgivningsprocedure, og</w:t>
      </w:r>
    </w:p>
    <w:p w:rsidR="00BB4BE8" w:rsidRPr="003B4608" w:rsidRDefault="00BB4BE8" w:rsidP="00BB4BE8">
      <w:pPr>
        <w:pStyle w:val="NormalCenter12a"/>
        <w:jc w:val="left"/>
      </w:pPr>
      <w:r w:rsidRPr="003B4608">
        <w:t>ud fra følgende betragtninger:</w:t>
      </w:r>
    </w:p>
    <w:p w:rsidR="00BB4BE8" w:rsidRDefault="00BB4BE8" w:rsidP="00BB4BE8">
      <w:pPr>
        <w:pStyle w:val="NormalHanging12a"/>
        <w:ind w:left="851" w:hanging="851"/>
      </w:pPr>
      <w:r w:rsidRPr="003B4608">
        <w:t>(1)</w:t>
      </w:r>
      <w:r w:rsidRPr="003B4608">
        <w:tab/>
        <w:t>Europa-Parlamentets og Rådets forordning (EU) 2022/1032</w:t>
      </w:r>
      <w:r w:rsidRPr="00C56C61">
        <w:rPr>
          <w:vertAlign w:val="superscript"/>
        </w:rPr>
        <w:footnoteReference w:id="3"/>
      </w:r>
      <w:r w:rsidRPr="00C56C61">
        <w:t xml:space="preserve"> blev vedtaget som reak</w:t>
      </w:r>
      <w:r w:rsidRPr="003B4608">
        <w:t xml:space="preserve">tion på den gasforsyningskrise og de hidtil usete prisstigninger, der fulgte af optrapningen af Ruslands </w:t>
      </w:r>
      <w:r w:rsidRPr="003B4608">
        <w:rPr>
          <w:b/>
          <w:i/>
        </w:rPr>
        <w:t>igangværende uberettigede og uprovokerede angrebskrig</w:t>
      </w:r>
      <w:r w:rsidRPr="003B4608">
        <w:t xml:space="preserve"> mod Ukraine siden februar 2022, og som tilskyndede Unionen til at handle på en koordineret og omfattende måde for at undgå eventuelle risici som følge af yderligere gasforsyningsafbrydelser.</w:t>
      </w:r>
    </w:p>
    <w:p w:rsidR="00094C0B" w:rsidRPr="003B4608" w:rsidRDefault="00094C0B" w:rsidP="00BB4BE8">
      <w:pPr>
        <w:pStyle w:val="NormalHanging12a"/>
        <w:ind w:left="851" w:hanging="851"/>
        <w:rPr>
          <w:szCs w:val="24"/>
        </w:rPr>
      </w:pPr>
      <w:r w:rsidRPr="00147894">
        <w:rPr>
          <w:b/>
          <w:i/>
          <w:szCs w:val="24"/>
        </w:rPr>
        <w:t>(</w:t>
      </w:r>
      <w:r>
        <w:rPr>
          <w:b/>
          <w:i/>
          <w:szCs w:val="24"/>
        </w:rPr>
        <w:t>1</w:t>
      </w:r>
      <w:r w:rsidRPr="00147894">
        <w:rPr>
          <w:b/>
          <w:i/>
          <w:szCs w:val="24"/>
        </w:rPr>
        <w:t>a)</w:t>
      </w:r>
      <w:r w:rsidRPr="00147894">
        <w:rPr>
          <w:b/>
          <w:i/>
          <w:szCs w:val="24"/>
        </w:rPr>
        <w:tab/>
        <w:t xml:space="preserve">I lyset af den igangværende russiske krig mod Ukraine og i overensstemmelse med Unionens strategiske forpligtelse til at afslutte sin afhængighed af russiske fossile brændstoffer bør medlemsstaterne afstå fra at lagre gas af russisk oprindelse. I denne forbindelse bør Unionen forfølge koordinerede og øjeblikkelige sanktioner mod import og køb af al russisk gas, herunder flydende naturgas (LNG). </w:t>
      </w:r>
      <w:proofErr w:type="spellStart"/>
      <w:r w:rsidRPr="00147894">
        <w:rPr>
          <w:b/>
          <w:i/>
          <w:szCs w:val="24"/>
        </w:rPr>
        <w:t>ENTSOG's</w:t>
      </w:r>
      <w:proofErr w:type="spellEnd"/>
      <w:r w:rsidRPr="00147894">
        <w:rPr>
          <w:b/>
          <w:i/>
          <w:szCs w:val="24"/>
        </w:rPr>
        <w:t xml:space="preserve"> vinterprognoser for forsyningen 2024-2025 bekræfter, at Unionen kan nå sine lagringsmål og opretholde forsyningssikkerheden uden at være afhængig af russisk gas ved at gennemføre en kombination af foranstaltninger, herunder </w:t>
      </w:r>
      <w:r w:rsidRPr="00147894">
        <w:rPr>
          <w:b/>
          <w:i/>
          <w:szCs w:val="24"/>
        </w:rPr>
        <w:lastRenderedPageBreak/>
        <w:t>fortsat efterspørgselsreduktion. En fuld embargo på russisk gas er derfor både nødvendig og mulig, og en hurtig gennemførelse vil bidrage til at styrke Unionens energisuverænitet og geopolitiske modstandsdygtighed.</w:t>
      </w:r>
      <w:r w:rsidR="007D00B9">
        <w:rPr>
          <w:b/>
          <w:i/>
          <w:szCs w:val="24"/>
        </w:rPr>
        <w:t xml:space="preserve"> [Ændring 7]</w:t>
      </w:r>
    </w:p>
    <w:p w:rsidR="00BB4BE8" w:rsidRPr="003B4608" w:rsidRDefault="00BB4BE8" w:rsidP="00BB4BE8">
      <w:pPr>
        <w:pStyle w:val="NormalCenter12a"/>
        <w:ind w:left="851" w:hanging="851"/>
        <w:jc w:val="left"/>
      </w:pPr>
      <w:r w:rsidRPr="003B4608">
        <w:t>(2)</w:t>
      </w:r>
      <w:r w:rsidRPr="003B4608">
        <w:tab/>
        <w:t>Med forordning (EU) 2022/1032 blev forordning (EU) 2017/1938 ændret, idet der blev indført en midlertidig retlig ramme for foranstaltninger vedrørende fyldningsniveauet for underjordiske lagerfaciliteter med henblik på at styrke gasforsyningssikkerheden i Unionen, navnlig gasforsyningen til beskyttede kunder.</w:t>
      </w:r>
    </w:p>
    <w:p w:rsidR="00BB4BE8" w:rsidRPr="003B4608" w:rsidRDefault="00BB4BE8" w:rsidP="00BB4BE8">
      <w:pPr>
        <w:pStyle w:val="NormalHanging12a"/>
        <w:ind w:left="851" w:hanging="851"/>
        <w:rPr>
          <w:szCs w:val="24"/>
        </w:rPr>
      </w:pPr>
      <w:r w:rsidRPr="003B4608">
        <w:t>(3)</w:t>
      </w:r>
      <w:r w:rsidRPr="003B4608">
        <w:tab/>
        <w:t xml:space="preserve">Gaslagerfaciliteter leverer 30 % af den gas, Unionen forbruger i vintermånederne, og velfyldte underjordiske gaslagerfaciliteter </w:t>
      </w:r>
      <w:r w:rsidRPr="003B4608">
        <w:rPr>
          <w:b/>
          <w:i/>
        </w:rPr>
        <w:t>samt en reduktion af gasefterspørgslen</w:t>
      </w:r>
      <w:r w:rsidRPr="003B4608">
        <w:t xml:space="preserve"> bidrager betydeligt til gasforsyningssikkerheden ved at levere yderligere gas i tilfælde af stor efterspørgsel eller forsyningsafbrydelser.</w:t>
      </w:r>
    </w:p>
    <w:p w:rsidR="00BB4BE8" w:rsidRPr="003B4608" w:rsidRDefault="00BB4BE8" w:rsidP="00BB4BE8">
      <w:pPr>
        <w:pStyle w:val="NormalHanging12a"/>
        <w:ind w:left="851" w:hanging="851"/>
        <w:rPr>
          <w:szCs w:val="24"/>
        </w:rPr>
      </w:pPr>
      <w:r w:rsidRPr="003B4608">
        <w:t>(4)</w:t>
      </w:r>
      <w:r w:rsidRPr="003B4608">
        <w:tab/>
        <w:t xml:space="preserve">Fastsættelsen af et obligatorisk mål for at sikre, at gaslagerfaciliteterne er 90 % fyldt senest den 1. november (fyldningsmål), med en række mellemliggende mål for hver medlemsstat i februar, maj, juli og september i </w:t>
      </w:r>
      <w:r w:rsidRPr="003B4608">
        <w:rPr>
          <w:b/>
          <w:i/>
        </w:rPr>
        <w:t>det følgende år</w:t>
      </w:r>
      <w:r w:rsidRPr="003B4608">
        <w:t xml:space="preserve"> (fyldningsforløb), viste sig at være af afgørende betydning </w:t>
      </w:r>
      <w:r w:rsidRPr="003B4608">
        <w:rPr>
          <w:b/>
          <w:i/>
        </w:rPr>
        <w:t>under</w:t>
      </w:r>
      <w:r w:rsidRPr="003B4608">
        <w:t xml:space="preserve"> den energikrise, der blev udløst af </w:t>
      </w:r>
      <w:r w:rsidRPr="003B4608">
        <w:rPr>
          <w:b/>
          <w:i/>
        </w:rPr>
        <w:t>Ruslands angrebskrig mod Ukraine og Ruslands anvendelse</w:t>
      </w:r>
      <w:r w:rsidRPr="003B4608">
        <w:t xml:space="preserve"> af </w:t>
      </w:r>
      <w:r w:rsidRPr="003B4608">
        <w:rPr>
          <w:b/>
          <w:i/>
        </w:rPr>
        <w:t>sine</w:t>
      </w:r>
      <w:r w:rsidRPr="003B4608">
        <w:t xml:space="preserve"> gasforsyninger som våben, både med hensyn til at i) håndtere gasforsyningsknapheder og ii) mindske markedsusikkerheden og </w:t>
      </w:r>
      <w:proofErr w:type="spellStart"/>
      <w:r w:rsidRPr="003B4608">
        <w:t>prisvolatiliteten</w:t>
      </w:r>
      <w:proofErr w:type="spellEnd"/>
      <w:r w:rsidRPr="003B4608">
        <w:t>.</w:t>
      </w:r>
    </w:p>
    <w:p w:rsidR="00BB4BE8" w:rsidRPr="003B4608" w:rsidRDefault="00BB4BE8" w:rsidP="00BB4BE8">
      <w:pPr>
        <w:pStyle w:val="NormalHanging12a"/>
        <w:ind w:left="851" w:hanging="851"/>
        <w:rPr>
          <w:szCs w:val="24"/>
        </w:rPr>
      </w:pPr>
      <w:r w:rsidRPr="003B4608">
        <w:t>(5)</w:t>
      </w:r>
      <w:r w:rsidRPr="003B4608">
        <w:tab/>
        <w:t>På trods af den betydelige forbedring af situationen på gasmarkedet i forhold til perioden 2022-2023 er det europæiske gasmarked fortsat presset</w:t>
      </w:r>
      <w:r w:rsidRPr="003B4608">
        <w:rPr>
          <w:b/>
          <w:i/>
        </w:rPr>
        <w:t xml:space="preserve">, og den geopolitiske situation er fortsat uklar. </w:t>
      </w:r>
      <w:r w:rsidRPr="003B4608">
        <w:t xml:space="preserve">En mere intens konkurrence om globale LNG-forsyninger kan øge medlemsstaternes eksponering over for </w:t>
      </w:r>
      <w:proofErr w:type="spellStart"/>
      <w:r w:rsidRPr="003B4608">
        <w:t>prisvolatilitet</w:t>
      </w:r>
      <w:proofErr w:type="spellEnd"/>
      <w:r w:rsidRPr="003B4608">
        <w:t>. I en sådan situation spiller gasoplagringen fortsat en altafgørende rolle. ▌</w:t>
      </w:r>
    </w:p>
    <w:p w:rsidR="00BB4BE8" w:rsidRPr="003B4608" w:rsidRDefault="00BB4BE8" w:rsidP="00BB4BE8">
      <w:pPr>
        <w:pStyle w:val="NormalCenter12a"/>
        <w:ind w:left="851" w:hanging="851"/>
        <w:jc w:val="left"/>
      </w:pPr>
      <w:r w:rsidRPr="003B4608">
        <w:t>(6)</w:t>
      </w:r>
      <w:r w:rsidRPr="003B4608">
        <w:tab/>
        <w:t>Medlemsstaternes forpligtelse til at følge et årligt fyldningsforløb og sikre, at fyldningsmålet er nået senest den 1. november hvert år, ophører den 31. december 2025 i henhold til forordning (EU) 2017/1938.</w:t>
      </w:r>
    </w:p>
    <w:p w:rsidR="00BB4BE8" w:rsidRPr="003B4608" w:rsidRDefault="00BB4BE8" w:rsidP="00BB4BE8">
      <w:pPr>
        <w:pStyle w:val="NormalHanging12a"/>
        <w:ind w:left="851" w:hanging="851"/>
        <w:rPr>
          <w:b/>
          <w:i/>
          <w:szCs w:val="24"/>
        </w:rPr>
      </w:pPr>
      <w:r w:rsidRPr="003B4608">
        <w:rPr>
          <w:b/>
          <w:i/>
        </w:rPr>
        <w:t>(6a)</w:t>
      </w:r>
      <w:r w:rsidRPr="003B4608">
        <w:rPr>
          <w:b/>
          <w:i/>
        </w:rPr>
        <w:tab/>
        <w:t xml:space="preserve">Siden 2022 har Unionen i væsentlig grad formået at gøre gasforsyningerne mere sikre ved at øge LNG-importen fra troværdige globale partnere, og den sigter mod fuldt ud at fjerne Unionens afhængighed af russiske fossile brændstoffer ved at bygge på fremskridtene med </w:t>
      </w:r>
      <w:proofErr w:type="spellStart"/>
      <w:r w:rsidRPr="003B4608">
        <w:rPr>
          <w:b/>
          <w:i/>
        </w:rPr>
        <w:t>REPowerEU</w:t>
      </w:r>
      <w:proofErr w:type="spellEnd"/>
      <w:r w:rsidRPr="003B4608">
        <w:rPr>
          <w:b/>
          <w:i/>
        </w:rPr>
        <w:t>. Unionen har udviklet nye genforgasningsanlæg og havneterminaler og samtidig etableret et marked for flydende gas, der sikrer stærk modstandsdygtighed over for potentielle forstyrrelser i de resterende russiske rørledningsforsyninger.</w:t>
      </w:r>
    </w:p>
    <w:p w:rsidR="00BB4BE8" w:rsidRPr="003B4608" w:rsidRDefault="00BB4BE8" w:rsidP="00BB4BE8">
      <w:pPr>
        <w:pStyle w:val="NormalHanging12a"/>
        <w:ind w:left="851" w:hanging="851"/>
        <w:rPr>
          <w:b/>
          <w:i/>
          <w:szCs w:val="24"/>
        </w:rPr>
      </w:pPr>
      <w:r w:rsidRPr="003B4608">
        <w:rPr>
          <w:b/>
          <w:i/>
        </w:rPr>
        <w:t>(6b)</w:t>
      </w:r>
      <w:r w:rsidRPr="003B4608">
        <w:rPr>
          <w:b/>
          <w:i/>
        </w:rPr>
        <w:tab/>
        <w:t>Der skal tages hensyn til det ændrede globale politiske miljø med hensyn til gasleverandørernes og gasforsyningslandenes pålidelighed.</w:t>
      </w:r>
    </w:p>
    <w:p w:rsidR="00094C0B" w:rsidRPr="00094C0B" w:rsidRDefault="00BB4BE8" w:rsidP="00BB4BE8">
      <w:pPr>
        <w:pStyle w:val="NormalHanging12a"/>
        <w:ind w:left="851" w:hanging="851"/>
        <w:rPr>
          <w:szCs w:val="24"/>
        </w:rPr>
      </w:pPr>
      <w:r w:rsidRPr="003B4608">
        <w:t>(7)</w:t>
      </w:r>
      <w:r w:rsidRPr="003B4608">
        <w:tab/>
      </w:r>
      <w:r w:rsidRPr="003B4608">
        <w:rPr>
          <w:b/>
          <w:i/>
        </w:rPr>
        <w:t>I lyset af den europæiske succes med at risikobegrænse sin gasimportstruktur</w:t>
      </w:r>
      <w:r w:rsidRPr="003B4608">
        <w:t xml:space="preserve"> skal de overordnede rammer</w:t>
      </w:r>
      <w:r w:rsidRPr="003B4608">
        <w:rPr>
          <w:b/>
          <w:i/>
        </w:rPr>
        <w:t xml:space="preserve"> for at imødekomme Unionens behov for naturgas finde en balance mellem energisikkerhed og tilbagevenden til markedsbaserede principper. De skal således</w:t>
      </w:r>
      <w:r w:rsidRPr="003B4608">
        <w:t xml:space="preserve"> være tilstrækkeligt fleksible i fyldningssæsonen til, at der hurtigt kan reageres på de konstant skiftende markedsvilkår, og især at de bedste indkøbsbetingelser kan udnyttes </w:t>
      </w:r>
      <w:r w:rsidRPr="003B4608">
        <w:rPr>
          <w:b/>
          <w:i/>
        </w:rPr>
        <w:t>med henblik på at nedbringe gaspriserne i Europa.</w:t>
      </w:r>
      <w:r w:rsidRPr="003B4608">
        <w:t xml:space="preserve"> </w:t>
      </w:r>
      <w:r w:rsidRPr="003B4608">
        <w:rPr>
          <w:b/>
          <w:i/>
        </w:rPr>
        <w:t>Fyldningsmålet bør derfor sænkes til 83 %.</w:t>
      </w:r>
    </w:p>
    <w:p w:rsidR="00BB4BE8" w:rsidRPr="003B4608" w:rsidRDefault="00BB4BE8" w:rsidP="00BB4BE8">
      <w:pPr>
        <w:pStyle w:val="NormalHanging12a"/>
        <w:ind w:left="851" w:hanging="851"/>
        <w:rPr>
          <w:szCs w:val="24"/>
        </w:rPr>
      </w:pPr>
      <w:r w:rsidRPr="003B4608">
        <w:lastRenderedPageBreak/>
        <w:t>(8)</w:t>
      </w:r>
      <w:r w:rsidRPr="003B4608">
        <w:tab/>
      </w:r>
      <w:r w:rsidRPr="003B4608">
        <w:rPr>
          <w:b/>
          <w:i/>
        </w:rPr>
        <w:t xml:space="preserve">For at øge markedsstabiliteten og mindske risikoen for unødig </w:t>
      </w:r>
      <w:proofErr w:type="spellStart"/>
      <w:r w:rsidRPr="003B4608">
        <w:rPr>
          <w:b/>
          <w:i/>
        </w:rPr>
        <w:t>prisvolatilitet</w:t>
      </w:r>
      <w:proofErr w:type="spellEnd"/>
      <w:r w:rsidRPr="003B4608">
        <w:rPr>
          <w:b/>
          <w:i/>
        </w:rPr>
        <w:t>, der potentielt kan udløses af</w:t>
      </w:r>
      <w:r w:rsidRPr="003B4608">
        <w:t xml:space="preserve"> mellemliggende fyldningsmål</w:t>
      </w:r>
      <w:r w:rsidRPr="003B4608">
        <w:rPr>
          <w:b/>
          <w:i/>
        </w:rPr>
        <w:t>, er det hensigtsmæssigt at skabe øget fleksibilitet til opfyldning af lagrene.</w:t>
      </w:r>
      <w:r w:rsidRPr="003B4608">
        <w:t xml:space="preserve"> </w:t>
      </w:r>
      <w:r w:rsidRPr="003B4608">
        <w:rPr>
          <w:b/>
          <w:i/>
        </w:rPr>
        <w:t>Medlemsstaterne bør derfor forelægge vejledende fyldningsplaner på årsbasis der, hvor det er relevant, kan omfatte et</w:t>
      </w:r>
      <w:r w:rsidRPr="003B4608">
        <w:t xml:space="preserve"> vejledende </w:t>
      </w:r>
      <w:r w:rsidRPr="003B4608">
        <w:rPr>
          <w:b/>
          <w:i/>
        </w:rPr>
        <w:t>fyldningsforløb</w:t>
      </w:r>
      <w:r w:rsidRPr="003B4608">
        <w:t xml:space="preserve"> og bør muliggøre opfyldning af lagrene på en måde, så markedsdeltagerne har tilstrækkelig fleksibilitet i løbet af året </w:t>
      </w:r>
      <w:r w:rsidRPr="003B4608">
        <w:rPr>
          <w:b/>
          <w:i/>
        </w:rPr>
        <w:t>under hensyntagen til</w:t>
      </w:r>
      <w:r w:rsidRPr="003B4608">
        <w:t xml:space="preserve"> henstilling </w:t>
      </w:r>
      <w:r w:rsidRPr="003B4608">
        <w:rPr>
          <w:b/>
          <w:i/>
        </w:rPr>
        <w:t>(2025)1481</w:t>
      </w:r>
      <w:r w:rsidRPr="003B4608">
        <w:t>.</w:t>
      </w:r>
    </w:p>
    <w:p w:rsidR="00BB4BE8" w:rsidRPr="003B4608" w:rsidRDefault="00BB4BE8" w:rsidP="00BB4BE8">
      <w:pPr>
        <w:pStyle w:val="NormalHanging12a"/>
        <w:ind w:left="851" w:hanging="851"/>
        <w:rPr>
          <w:b/>
          <w:i/>
          <w:szCs w:val="24"/>
        </w:rPr>
      </w:pPr>
      <w:r w:rsidRPr="003B4608">
        <w:rPr>
          <w:b/>
          <w:i/>
        </w:rPr>
        <w:t>(8a)</w:t>
      </w:r>
      <w:r w:rsidRPr="003B4608">
        <w:rPr>
          <w:b/>
          <w:i/>
        </w:rPr>
        <w:tab/>
        <w:t>Medlemsstaterne bør have mulighed for at afvige med op til fire procentpoint fra fyldningsmålet i tilfælde af ugunstige markedsforhold, der bl.a. hænger sammen med faktorer som udbud og efterspørgsel og konkurrence eller handelsaktiviteter, der forhindrer en omkostningseffektiv lageropfyldning, og som i væsentlig grad begrænser muligheden for at sikre, at gaslagrene fyldes i overensstemmelse med denne forordning.</w:t>
      </w:r>
    </w:p>
    <w:p w:rsidR="00BB4BE8" w:rsidRPr="003B4608" w:rsidRDefault="00BB4BE8" w:rsidP="00BB4BE8">
      <w:pPr>
        <w:pStyle w:val="NormalHanging12a"/>
        <w:ind w:left="851" w:hanging="851"/>
        <w:rPr>
          <w:b/>
          <w:i/>
          <w:szCs w:val="24"/>
        </w:rPr>
      </w:pPr>
      <w:r w:rsidRPr="003B4608">
        <w:rPr>
          <w:b/>
          <w:i/>
        </w:rPr>
        <w:t>(8b)</w:t>
      </w:r>
      <w:r w:rsidRPr="003B4608">
        <w:rPr>
          <w:b/>
          <w:i/>
        </w:rPr>
        <w:tab/>
        <w:t>Desuden bør Kommissionen tillægges beføjelser til at vedtage delegerede retsakter for at ændre niveauet for den tilladte afvigelse på fire procentpoint for en fyldningssæson ved at øge den med op til yderligere fire procentpoint i tilfælde af vedvarende ugunstige markedsvilkår.</w:t>
      </w:r>
    </w:p>
    <w:p w:rsidR="00BB4BE8" w:rsidRPr="003B4608" w:rsidRDefault="00BB4BE8" w:rsidP="00BB4BE8">
      <w:pPr>
        <w:pStyle w:val="NormalHanging12a"/>
        <w:ind w:left="851" w:hanging="851"/>
        <w:rPr>
          <w:b/>
          <w:i/>
          <w:szCs w:val="24"/>
        </w:rPr>
      </w:pPr>
      <w:r w:rsidRPr="003B4608">
        <w:rPr>
          <w:b/>
          <w:i/>
        </w:rPr>
        <w:t>(8c)</w:t>
      </w:r>
      <w:r w:rsidRPr="003B4608">
        <w:rPr>
          <w:b/>
          <w:i/>
        </w:rPr>
        <w:tab/>
        <w:t>De kumulative virkninger af fleksibiliteten og undtagelserne i denne forordning bør ikke nedbringe de samlede lagerfyldningskrav til under 75 %.</w:t>
      </w:r>
    </w:p>
    <w:p w:rsidR="00BB4BE8" w:rsidRPr="003B4608" w:rsidRDefault="00BB4BE8" w:rsidP="00BB4BE8">
      <w:pPr>
        <w:pStyle w:val="NormalHanging12a"/>
        <w:ind w:left="851" w:hanging="851"/>
        <w:rPr>
          <w:szCs w:val="24"/>
        </w:rPr>
      </w:pPr>
      <w:r w:rsidRPr="003B4608">
        <w:t>(9)</w:t>
      </w:r>
      <w:r w:rsidRPr="003B4608">
        <w:tab/>
        <w:t xml:space="preserve">Kommissionens vurdering af den nuværende ramme for energisikkerhed har bekræftet den positive indvirkning, som lagerfyldningskravene har på gasforsyningssikkerheden, og disse positive virkninger bør bestå efter 2025. </w:t>
      </w:r>
      <w:r w:rsidRPr="003B4608">
        <w:rPr>
          <w:b/>
          <w:i/>
        </w:rPr>
        <w:t>En udvidelse af disse foranstaltninger vil ikke kun bidrage til den fortsatte sikring af forsyningssikkerheden, men vil også udgøre et centralt instrument i Unionens bestræbelser på at eliminere sin afhængighed af import af gas fra Den Russiske Føderation.</w:t>
      </w:r>
    </w:p>
    <w:p w:rsidR="00BB4BE8" w:rsidRPr="003B4608" w:rsidRDefault="00BB4BE8" w:rsidP="00BB4BE8">
      <w:pPr>
        <w:pStyle w:val="NormalHanging12a"/>
        <w:ind w:left="851" w:hanging="851"/>
        <w:rPr>
          <w:b/>
          <w:i/>
          <w:szCs w:val="24"/>
        </w:rPr>
      </w:pPr>
      <w:r w:rsidRPr="003B4608">
        <w:rPr>
          <w:b/>
          <w:i/>
        </w:rPr>
        <w:t>(9a)</w:t>
      </w:r>
      <w:r w:rsidRPr="003B4608">
        <w:rPr>
          <w:b/>
          <w:i/>
        </w:rPr>
        <w:tab/>
        <w:t>Samtidig bør denne forordning reagere på nuværende og fremtidige ændringer på naturgasmarkederne og bidrage til det strategiske mål om at sænke energipriserne og lette den gradvise tilbagevenden til markedsbaserede mekanismer til genopfyldning af lagrene.</w:t>
      </w:r>
    </w:p>
    <w:p w:rsidR="00BB4BE8" w:rsidRPr="003B4608" w:rsidRDefault="00BB4BE8" w:rsidP="00BB4BE8">
      <w:pPr>
        <w:pStyle w:val="NormalHanging12a"/>
        <w:ind w:left="851" w:hanging="851"/>
        <w:rPr>
          <w:b/>
          <w:i/>
          <w:szCs w:val="24"/>
        </w:rPr>
      </w:pPr>
      <w:r w:rsidRPr="003B4608">
        <w:rPr>
          <w:b/>
          <w:i/>
        </w:rPr>
        <w:t>(9b)</w:t>
      </w:r>
      <w:r w:rsidRPr="003B4608">
        <w:rPr>
          <w:b/>
          <w:i/>
        </w:rPr>
        <w:tab/>
        <w:t>For at opretholde forsyningssikkerheden og et passende fyldningsniveau bør Kommissionen løbende overvåge markedet og udforske måder, der kan bidrage til at opfylde fyldningsmålet, f.eks. ved hjælp af efterspørgselsaggregering og en mekanisme for fælles indkøb.</w:t>
      </w:r>
    </w:p>
    <w:p w:rsidR="00BB4BE8" w:rsidRPr="003B4608" w:rsidRDefault="00BB4BE8" w:rsidP="00BB4BE8">
      <w:pPr>
        <w:pStyle w:val="NormalHanging12a"/>
        <w:ind w:left="851" w:hanging="851"/>
        <w:rPr>
          <w:szCs w:val="24"/>
        </w:rPr>
      </w:pPr>
      <w:r w:rsidRPr="003B4608">
        <w:t>(10)</w:t>
      </w:r>
      <w:r w:rsidRPr="003B4608">
        <w:tab/>
        <w:t>De pågældende bestemmelser om fyldning af gaslagre, som skaber forudsigelighed og gennemsigtighed med hensyn til anvendelsen af gaslagerfaciliteter i hele Unionen, bør derfor forlænges med to år</w:t>
      </w:r>
      <w:r w:rsidRPr="003B4608">
        <w:rPr>
          <w:b/>
          <w:i/>
        </w:rPr>
        <w:t>, samtidig med at der indføres en vis fleksibilitet i denne forordning</w:t>
      </w:r>
      <w:r w:rsidRPr="003B4608">
        <w:t>.</w:t>
      </w:r>
    </w:p>
    <w:p w:rsidR="00BB4BE8" w:rsidRPr="003B4608" w:rsidRDefault="00BB4BE8" w:rsidP="00BB4BE8">
      <w:pPr>
        <w:pStyle w:val="NormalHanging12a"/>
        <w:ind w:left="851" w:hanging="851"/>
        <w:rPr>
          <w:b/>
          <w:i/>
          <w:szCs w:val="24"/>
        </w:rPr>
      </w:pPr>
      <w:r w:rsidRPr="003B4608">
        <w:rPr>
          <w:b/>
          <w:i/>
        </w:rPr>
        <w:t>(10a)</w:t>
      </w:r>
      <w:r w:rsidRPr="003B4608">
        <w:rPr>
          <w:b/>
          <w:i/>
        </w:rPr>
        <w:tab/>
        <w:t xml:space="preserve">I overensstemmelse med Kommissionens tilsagn om bedre regulering og forenkling og som en afspejling af den generelle forbedring af Unionens rammer for energisikkerhed bør overvågningen af overholdelsen af denne forordning skabe større tillid til medlemsstaternes administrative kapacitet. Tilsynsbyrden for Kommissionen bør reduceres tilsvarende med et skift i retning af lettere </w:t>
      </w:r>
      <w:r w:rsidRPr="003B4608">
        <w:rPr>
          <w:b/>
          <w:i/>
        </w:rPr>
        <w:lastRenderedPageBreak/>
        <w:t>rapporteringsforpligtelser og strømlinede procedurer. Med denne tilgang styrkes nærhedsprincippet, ligesom man undgår unødvendig administrativ kompleksitet, og den er i overensstemmelse med Kommissionens forenklingsindsats som skitseret i arbejdsprogrammet for 2025.</w:t>
      </w:r>
    </w:p>
    <w:p w:rsidR="00BB4BE8" w:rsidRPr="003B4608" w:rsidRDefault="00BB4BE8" w:rsidP="00BB4BE8">
      <w:pPr>
        <w:pStyle w:val="NormalHanging12a"/>
        <w:ind w:left="851" w:hanging="851"/>
        <w:rPr>
          <w:b/>
          <w:i/>
          <w:szCs w:val="24"/>
        </w:rPr>
      </w:pPr>
      <w:r w:rsidRPr="003B4608">
        <w:rPr>
          <w:b/>
          <w:i/>
        </w:rPr>
        <w:t>(10b)</w:t>
      </w:r>
      <w:r w:rsidRPr="003B4608">
        <w:rPr>
          <w:b/>
          <w:i/>
        </w:rPr>
        <w:tab/>
        <w:t>Forordning (EU) 2017/1938 bør revideres af Kommissionen i god tid og inden 2027 for at blive tilpasset til energilandskabet, der er i konstant udvikling, og for at afspejle de fremtidige behov for gaslagring. Blandt de spørgsmål, som eventuelle ændringer bør vedrøre, er begrænsningerne i den nuværende definition af "beskyttede kunder", forebyggelse af spekulation på gasmarkederne og spekulative aktiviteter, der kunstigt øger priserne, energieffektivitetsforanstaltningernes rolle, der fører til en kontrollerbar reduktion af efterspørgslen efter gas, og hvordan dette kan bruges af medlemsstaterne til yderligere fleksibilitet, ligesom de skal bruges til at overveje rammerne for et energimiks i udvikling, der vil give en øget rolle til alternative kilder til gas såsom vedvarende energikilder og brint samt energieffektivitet.</w:t>
      </w:r>
    </w:p>
    <w:p w:rsidR="00BB4BE8" w:rsidRPr="003B4608" w:rsidRDefault="00BB4BE8" w:rsidP="00BB4BE8">
      <w:pPr>
        <w:pStyle w:val="NormalCenter12a"/>
        <w:ind w:left="851" w:hanging="851"/>
        <w:jc w:val="left"/>
      </w:pPr>
      <w:r w:rsidRPr="003B4608">
        <w:t>(11)</w:t>
      </w:r>
      <w:r w:rsidRPr="003B4608">
        <w:tab/>
        <w:t>Forordning (EU) 2017/1938 bør derfor ændres –</w:t>
      </w:r>
    </w:p>
    <w:p w:rsidR="00BB4BE8" w:rsidRPr="003B4608" w:rsidRDefault="00BB4BE8" w:rsidP="00BB4BE8">
      <w:pPr>
        <w:pStyle w:val="NormalCenter12a"/>
        <w:jc w:val="left"/>
      </w:pPr>
      <w:r w:rsidRPr="003B4608">
        <w:t>VEDTAGET DENNE FORORDNING:</w:t>
      </w:r>
    </w:p>
    <w:p w:rsidR="00BB4BE8" w:rsidRPr="003B4608" w:rsidRDefault="00BB4BE8" w:rsidP="00BB4BE8">
      <w:pPr>
        <w:pStyle w:val="Titrearticle"/>
      </w:pPr>
      <w:r w:rsidRPr="003B4608">
        <w:t>Artikel 1</w:t>
      </w:r>
    </w:p>
    <w:p w:rsidR="00BB4BE8" w:rsidRPr="003B4608" w:rsidRDefault="00BB4BE8" w:rsidP="00BB4BE8">
      <w:pPr>
        <w:jc w:val="center"/>
        <w:rPr>
          <w:b/>
          <w:bCs/>
        </w:rPr>
      </w:pPr>
      <w:r w:rsidRPr="003B4608">
        <w:rPr>
          <w:b/>
        </w:rPr>
        <w:t>Ændring af forordning (EU) 2017/1938</w:t>
      </w:r>
    </w:p>
    <w:p w:rsidR="00BB4BE8" w:rsidRPr="003B4608" w:rsidRDefault="00BB4BE8" w:rsidP="00BB4BE8"/>
    <w:p w:rsidR="00BB4BE8" w:rsidRPr="003B4608" w:rsidRDefault="00BB4BE8" w:rsidP="00BB4BE8">
      <w:pPr>
        <w:pStyle w:val="NormalHanging12a"/>
        <w:rPr>
          <w:szCs w:val="24"/>
        </w:rPr>
      </w:pPr>
      <w:r w:rsidRPr="003B4608">
        <w:t xml:space="preserve">▌I forordning (EU) 2017/1938 </w:t>
      </w:r>
      <w:r w:rsidRPr="003B4608">
        <w:rPr>
          <w:b/>
          <w:i/>
        </w:rPr>
        <w:t>foretages følgende ændringer</w:t>
      </w:r>
      <w:r w:rsidRPr="003B4608">
        <w:t>:</w:t>
      </w:r>
    </w:p>
    <w:p w:rsidR="00BB4BE8" w:rsidRPr="003B4608" w:rsidRDefault="00BB4BE8" w:rsidP="00BB4BE8">
      <w:pPr>
        <w:pStyle w:val="NormalHanging12a"/>
        <w:ind w:left="851" w:hanging="851"/>
        <w:rPr>
          <w:b/>
          <w:i/>
          <w:szCs w:val="24"/>
        </w:rPr>
      </w:pPr>
      <w:r w:rsidRPr="003B4608">
        <w:rPr>
          <w:b/>
          <w:i/>
        </w:rPr>
        <w:t>1)</w:t>
      </w:r>
      <w:r w:rsidRPr="003B4608">
        <w:rPr>
          <w:b/>
          <w:i/>
        </w:rPr>
        <w:tab/>
        <w:t>Artikel 2, nr. 27), udgår.</w:t>
      </w:r>
    </w:p>
    <w:p w:rsidR="00BB4BE8" w:rsidRPr="003B4608" w:rsidRDefault="00BB4BE8" w:rsidP="00BB4BE8">
      <w:pPr>
        <w:pStyle w:val="NormalHanging12a"/>
        <w:ind w:left="851" w:hanging="851"/>
        <w:rPr>
          <w:b/>
          <w:i/>
          <w:szCs w:val="24"/>
        </w:rPr>
      </w:pPr>
      <w:r w:rsidRPr="003B4608">
        <w:rPr>
          <w:b/>
          <w:i/>
        </w:rPr>
        <w:t>2)</w:t>
      </w:r>
      <w:r w:rsidRPr="003B4608">
        <w:rPr>
          <w:b/>
          <w:i/>
        </w:rPr>
        <w:tab/>
        <w:t>I artikel 6a foretages følgende ændringer:</w:t>
      </w:r>
    </w:p>
    <w:p w:rsidR="00BB4BE8" w:rsidRPr="003B4608" w:rsidRDefault="00BB4BE8" w:rsidP="00BB4BE8">
      <w:pPr>
        <w:pStyle w:val="NormalHanging12a"/>
        <w:ind w:left="1418"/>
        <w:rPr>
          <w:b/>
          <w:i/>
        </w:rPr>
      </w:pPr>
      <w:r w:rsidRPr="003B4608">
        <w:rPr>
          <w:b/>
          <w:i/>
        </w:rPr>
        <w:t>a)</w:t>
      </w:r>
      <w:r w:rsidRPr="003B4608">
        <w:rPr>
          <w:b/>
          <w:i/>
        </w:rPr>
        <w:tab/>
        <w:t>Overskriften affattes således: "Fyldningsmål"</w:t>
      </w:r>
    </w:p>
    <w:p w:rsidR="00BB4BE8" w:rsidRPr="003B4608" w:rsidRDefault="00BB4BE8" w:rsidP="00BB4BE8">
      <w:pPr>
        <w:pStyle w:val="NormalHanging12a"/>
        <w:ind w:left="1418"/>
        <w:rPr>
          <w:b/>
          <w:i/>
        </w:rPr>
      </w:pPr>
      <w:r w:rsidRPr="003B4608">
        <w:rPr>
          <w:b/>
          <w:i/>
        </w:rPr>
        <w:t>b)</w:t>
      </w:r>
      <w:r w:rsidRPr="003B4608">
        <w:rPr>
          <w:b/>
          <w:i/>
        </w:rPr>
        <w:tab/>
        <w:t>Stk. 1, første afsnit, affattes således:</w:t>
      </w:r>
    </w:p>
    <w:p w:rsidR="00BB4BE8" w:rsidRPr="003B4608" w:rsidRDefault="00BB4BE8" w:rsidP="00BB4BE8">
      <w:pPr>
        <w:pStyle w:val="NormalHanging12a"/>
        <w:ind w:left="1985"/>
        <w:rPr>
          <w:b/>
          <w:i/>
        </w:rPr>
      </w:pPr>
      <w:r w:rsidRPr="003B4608">
        <w:rPr>
          <w:b/>
          <w:i/>
        </w:rPr>
        <w:t>"1.</w:t>
      </w:r>
      <w:r w:rsidRPr="003B4608">
        <w:rPr>
          <w:b/>
          <w:i/>
        </w:rPr>
        <w:tab/>
        <w:t>Med forbehold af stk. 2-5 skal medlemsstaterne opfylde fyldningsmålet på 83 % for den aggregerede kapacitet for alle underjordiske gaslagerfaciliteter, som er beliggende på deres område og er direkte sammenkoblet med et markedsområde på deres område, og for lagerfaciliteter anført i bilag Ib på et hvilket som helst tidspunkt mellem den 1. oktober og den 1. december hvert år."</w:t>
      </w:r>
    </w:p>
    <w:p w:rsidR="00CD5443" w:rsidRPr="003B4608" w:rsidRDefault="007D00B9" w:rsidP="003B4608">
      <w:pPr>
        <w:pStyle w:val="Normal12a"/>
        <w:ind w:left="1560" w:hanging="709"/>
        <w:rPr>
          <w:b/>
          <w:i/>
        </w:rPr>
      </w:pPr>
      <w:r>
        <w:rPr>
          <w:b/>
          <w:i/>
        </w:rPr>
        <w:t>c</w:t>
      </w:r>
      <w:r w:rsidR="00CD5443" w:rsidRPr="003B4608">
        <w:rPr>
          <w:b/>
          <w:i/>
        </w:rPr>
        <w:t>)</w:t>
      </w:r>
      <w:r w:rsidR="00CD5443" w:rsidRPr="003B4608">
        <w:rPr>
          <w:b/>
          <w:i/>
        </w:rPr>
        <w:tab/>
        <w:t>Stk. 2 affattes således:</w:t>
      </w:r>
    </w:p>
    <w:p w:rsidR="00CD5443" w:rsidRPr="003B4608" w:rsidRDefault="00CD5443" w:rsidP="00CD5443">
      <w:pPr>
        <w:pStyle w:val="NormalHanging12a"/>
        <w:ind w:left="1985"/>
        <w:rPr>
          <w:szCs w:val="24"/>
        </w:rPr>
      </w:pPr>
      <w:r w:rsidRPr="003B4608">
        <w:rPr>
          <w:b/>
          <w:i/>
        </w:rPr>
        <w:t>"2.</w:t>
      </w:r>
      <w:r w:rsidRPr="003B4608">
        <w:rPr>
          <w:b/>
          <w:i/>
        </w:rPr>
        <w:tab/>
        <w:t>Uanset stk. 1, og uden at det berører andre medlemsstaters forpligtelser til at fylde de pågældende underjordiske gaslagerfaciliteter, reduceres fyldningsmålet for hver medlemsstat, hvor de underjordiske gaslagerfaciliteter er beliggende, til en mængde, der svarer til 32,28 % af det gennemsnitlige årlige gasforbrug i de foregående fem år i den pågældende medlemsstat."</w:t>
      </w:r>
    </w:p>
    <w:p w:rsidR="00BB4BE8" w:rsidRPr="003B4608" w:rsidRDefault="007D00B9" w:rsidP="00BB4BE8">
      <w:pPr>
        <w:pStyle w:val="NormalHanging12a"/>
        <w:ind w:left="1418"/>
        <w:rPr>
          <w:b/>
          <w:i/>
        </w:rPr>
      </w:pPr>
      <w:r>
        <w:rPr>
          <w:b/>
          <w:i/>
        </w:rPr>
        <w:t>d</w:t>
      </w:r>
      <w:r w:rsidR="00BB4BE8" w:rsidRPr="003B4608">
        <w:rPr>
          <w:b/>
          <w:i/>
        </w:rPr>
        <w:t>)</w:t>
      </w:r>
      <w:r w:rsidR="00BB4BE8" w:rsidRPr="003B4608">
        <w:rPr>
          <w:b/>
          <w:i/>
        </w:rPr>
        <w:tab/>
        <w:t>Følgende stykker indsættes:</w:t>
      </w:r>
    </w:p>
    <w:p w:rsidR="00BB4BE8" w:rsidRPr="003B4608" w:rsidRDefault="00BB4BE8" w:rsidP="00BB4BE8">
      <w:pPr>
        <w:pStyle w:val="NormalHanging12a"/>
        <w:ind w:left="1985"/>
        <w:rPr>
          <w:b/>
          <w:i/>
          <w:szCs w:val="24"/>
        </w:rPr>
      </w:pPr>
      <w:r w:rsidRPr="003B4608">
        <w:rPr>
          <w:b/>
          <w:i/>
        </w:rPr>
        <w:lastRenderedPageBreak/>
        <w:t xml:space="preserve">"5a. </w:t>
      </w:r>
      <w:r w:rsidRPr="003B4608">
        <w:rPr>
          <w:b/>
          <w:i/>
        </w:rPr>
        <w:tab/>
        <w:t>Uanset stk. 1, og uden at det berører andre medlemsstaters forpligtelse til at fylde de pågældende underjordiske gaslagerfaciliteter, kan medlemsstaterne beslutte at afvige med op til fire procentpoint fra det fyldningsmål, der er fastsat i stk. 1, for den enkelte medlemsstat, hvis markedsforholdene er ugunstige for fyldning af underjordiske gaslagerfaciliteter.</w:t>
      </w:r>
    </w:p>
    <w:p w:rsidR="00BB4BE8" w:rsidRPr="003B4608" w:rsidRDefault="00BB4BE8" w:rsidP="00BB4BE8">
      <w:pPr>
        <w:pStyle w:val="NormalHanging12a"/>
        <w:ind w:left="1985"/>
        <w:rPr>
          <w:b/>
          <w:i/>
          <w:szCs w:val="24"/>
        </w:rPr>
      </w:pPr>
      <w:r w:rsidRPr="003B4608">
        <w:rPr>
          <w:b/>
          <w:i/>
        </w:rPr>
        <w:t>5b.</w:t>
      </w:r>
      <w:r w:rsidRPr="003B4608">
        <w:rPr>
          <w:b/>
          <w:i/>
        </w:rPr>
        <w:tab/>
        <w:t>I behørigt begrundede tilfælde af vedvarende ugunstige markedsforhold, og forudsat at Unionens og medlemsstaternes forsyningssikkerhed ikke undermineres, tillægges Kommissionen beføjelse til at vedtage delegerede retsakter i overensstemmelse med artikel 19 med henblik på at ændre denne forordning ved at øge den tilladte afvigelse for medlemsstaterne som fastsat i stk. 5a med op til fire procentpoint.</w:t>
      </w:r>
    </w:p>
    <w:p w:rsidR="00BB4BE8" w:rsidRPr="003B4608" w:rsidRDefault="00BB4BE8" w:rsidP="00BB4BE8">
      <w:pPr>
        <w:pStyle w:val="NormalHanging12a"/>
        <w:ind w:left="1985" w:firstLine="0"/>
        <w:rPr>
          <w:b/>
          <w:i/>
          <w:szCs w:val="24"/>
        </w:rPr>
      </w:pPr>
      <w:r w:rsidRPr="003B4608">
        <w:rPr>
          <w:b/>
          <w:i/>
        </w:rPr>
        <w:t xml:space="preserve">I sin vurdering skal Kommissionen særligt tage hensyn til lagerfyldningsniveauet i medlemsstaterne, den globale gasforsyning, </w:t>
      </w:r>
      <w:proofErr w:type="spellStart"/>
      <w:r w:rsidRPr="003B4608">
        <w:rPr>
          <w:b/>
          <w:i/>
        </w:rPr>
        <w:t>ENTSOG's</w:t>
      </w:r>
      <w:proofErr w:type="spellEnd"/>
      <w:r w:rsidRPr="003B4608">
        <w:rPr>
          <w:b/>
          <w:i/>
        </w:rPr>
        <w:t xml:space="preserve"> sæsonprognoser for forsyningen og tegn på markedsmanipulation. Den kan også tage hensyn til medlemsstaternes foranstaltninger såsom indførelsen af foranstaltninger til reduktion af gasefterspørgslen efter gas, der opnår tilsvarende gasreduktioner i den følgende udtræksperiode.</w:t>
      </w:r>
    </w:p>
    <w:p w:rsidR="00BB4BE8" w:rsidRPr="003B4608" w:rsidRDefault="00BB4BE8" w:rsidP="00BB4BE8">
      <w:pPr>
        <w:pStyle w:val="NormalHanging12a"/>
        <w:ind w:left="1985"/>
        <w:rPr>
          <w:b/>
          <w:i/>
          <w:szCs w:val="24"/>
        </w:rPr>
      </w:pPr>
      <w:r w:rsidRPr="003B4608">
        <w:rPr>
          <w:b/>
          <w:i/>
        </w:rPr>
        <w:t>5c.</w:t>
      </w:r>
      <w:r w:rsidRPr="003B4608">
        <w:rPr>
          <w:b/>
          <w:i/>
        </w:rPr>
        <w:tab/>
        <w:t>De medlemsstater, der er omhandlet i stk. 2, kan på de samme betingelser som dem, der er fastsat i stk. 5a, beslutte at afvige med op til 1,55 % fra den mængde, der er fastsat i stk. 2.</w:t>
      </w:r>
    </w:p>
    <w:p w:rsidR="00BB4BE8" w:rsidRPr="003B4608" w:rsidRDefault="00BB4BE8" w:rsidP="00BB4BE8">
      <w:pPr>
        <w:pStyle w:val="NormalHanging12a"/>
        <w:ind w:left="1985"/>
        <w:rPr>
          <w:b/>
          <w:i/>
          <w:szCs w:val="24"/>
        </w:rPr>
      </w:pPr>
      <w:r w:rsidRPr="003B4608">
        <w:rPr>
          <w:b/>
          <w:i/>
        </w:rPr>
        <w:t>5d.</w:t>
      </w:r>
      <w:r w:rsidRPr="003B4608">
        <w:rPr>
          <w:b/>
          <w:i/>
        </w:rPr>
        <w:tab/>
        <w:t>Inden den enkelte medlemsstat anvender nogen af de afvigelser, der er omhandlet i stk. 5a og 5c, skal den høre Kommissionen og uden unødigt ophold fremlægge en begrundelse for sin beslutning. Kommissionen underretter straks Gaskoordinationsgruppen om de kumulative virkninger af alle afvigelser i henhold til stk. 5a og 5c og eventuelle direkte berørte medlemsstater."</w:t>
      </w:r>
    </w:p>
    <w:p w:rsidR="00BB4BE8" w:rsidRPr="003B4608" w:rsidRDefault="007D00B9" w:rsidP="00BB4BE8">
      <w:pPr>
        <w:pStyle w:val="NormalHanging12a"/>
        <w:ind w:left="1418"/>
        <w:rPr>
          <w:b/>
          <w:i/>
        </w:rPr>
      </w:pPr>
      <w:r>
        <w:rPr>
          <w:b/>
          <w:i/>
        </w:rPr>
        <w:t>e</w:t>
      </w:r>
      <w:r w:rsidR="00BB4BE8" w:rsidRPr="003B4608">
        <w:rPr>
          <w:b/>
          <w:i/>
        </w:rPr>
        <w:t>)</w:t>
      </w:r>
      <w:r w:rsidR="00BB4BE8" w:rsidRPr="003B4608">
        <w:rPr>
          <w:b/>
          <w:i/>
        </w:rPr>
        <w:tab/>
        <w:t>Stk. 6 og 7 affattes således:</w:t>
      </w:r>
    </w:p>
    <w:p w:rsidR="00BB4BE8" w:rsidRPr="003B4608" w:rsidRDefault="00BB4BE8" w:rsidP="00BB4BE8">
      <w:pPr>
        <w:pStyle w:val="NormalHanging12a"/>
        <w:ind w:left="1985"/>
        <w:rPr>
          <w:szCs w:val="24"/>
        </w:rPr>
      </w:pPr>
      <w:r w:rsidRPr="003B4608">
        <w:rPr>
          <w:b/>
          <w:i/>
        </w:rPr>
        <w:t>"6.</w:t>
      </w:r>
      <w:r w:rsidRPr="003B4608">
        <w:tab/>
      </w:r>
      <w:r w:rsidRPr="003B4608">
        <w:rPr>
          <w:b/>
          <w:i/>
        </w:rPr>
        <w:t>For at opfylde fyldningsmålet træffer Medlemsstaterne alle nødvendige foranstaltninger og bestræber sig på at følge den fyldningsplan, der er defineret i overensstemmelse med stk. 7.</w:t>
      </w:r>
    </w:p>
    <w:p w:rsidR="00BB4BE8" w:rsidRPr="003B4608" w:rsidRDefault="00BB4BE8" w:rsidP="00BB4BE8">
      <w:pPr>
        <w:pStyle w:val="NormalHanging12a"/>
        <w:ind w:left="1985"/>
      </w:pPr>
      <w:r w:rsidRPr="003B4608">
        <w:rPr>
          <w:b/>
          <w:i/>
        </w:rPr>
        <w:t>7.</w:t>
      </w:r>
      <w:r w:rsidRPr="003B4608">
        <w:tab/>
      </w:r>
      <w:r w:rsidRPr="003B4608">
        <w:rPr>
          <w:b/>
          <w:i/>
        </w:rPr>
        <w:t>Medlemsstater med underjordiske gaslagerfaciliteter forelægger i god tid Kommissionen en vejledende fyldningsplan for hele kalenderåret med henblik på at nå det årlige gaslagerfyldningsmål, der er fastsat i stk. 1. Planen skal indeholde tekniske oplysninger om de underjordiske gaslagerfaciliteter, der er beliggende på dens område, og skal være direkte sammenkoblet med dens markedsområde i aggregeret form."</w:t>
      </w:r>
    </w:p>
    <w:p w:rsidR="00BB4BE8" w:rsidRPr="003B4608" w:rsidRDefault="007D00B9" w:rsidP="00BB4BE8">
      <w:pPr>
        <w:pStyle w:val="NormalHanging12a"/>
        <w:ind w:left="1418"/>
        <w:rPr>
          <w:b/>
          <w:i/>
        </w:rPr>
      </w:pPr>
      <w:r>
        <w:rPr>
          <w:b/>
          <w:i/>
        </w:rPr>
        <w:t>f</w:t>
      </w:r>
      <w:r w:rsidR="00BB4BE8" w:rsidRPr="003B4608">
        <w:rPr>
          <w:b/>
          <w:i/>
        </w:rPr>
        <w:t>)</w:t>
      </w:r>
      <w:r w:rsidR="00BB4BE8" w:rsidRPr="003B4608">
        <w:rPr>
          <w:b/>
          <w:i/>
        </w:rPr>
        <w:tab/>
        <w:t>Stk. 8 udgår.</w:t>
      </w:r>
    </w:p>
    <w:p w:rsidR="00BB4BE8" w:rsidRPr="003B4608" w:rsidRDefault="007D00B9" w:rsidP="00BB4BE8">
      <w:pPr>
        <w:pStyle w:val="NormalHanging12a"/>
        <w:ind w:left="1418"/>
        <w:rPr>
          <w:b/>
          <w:i/>
        </w:rPr>
      </w:pPr>
      <w:r>
        <w:rPr>
          <w:b/>
          <w:i/>
        </w:rPr>
        <w:t>g</w:t>
      </w:r>
      <w:r w:rsidR="00BB4BE8" w:rsidRPr="003B4608">
        <w:rPr>
          <w:b/>
          <w:i/>
        </w:rPr>
        <w:t>)</w:t>
      </w:r>
      <w:r w:rsidR="00BB4BE8" w:rsidRPr="003B4608">
        <w:rPr>
          <w:b/>
          <w:i/>
        </w:rPr>
        <w:tab/>
        <w:t>Stk. 10 og 11 affattes således:</w:t>
      </w:r>
    </w:p>
    <w:p w:rsidR="00BB4BE8" w:rsidRPr="003B4608" w:rsidRDefault="00BB4BE8" w:rsidP="00BB4BE8">
      <w:pPr>
        <w:pStyle w:val="NormalHanging12a"/>
        <w:ind w:left="1985"/>
        <w:rPr>
          <w:b/>
          <w:i/>
        </w:rPr>
      </w:pPr>
      <w:r w:rsidRPr="003B4608">
        <w:rPr>
          <w:b/>
          <w:i/>
        </w:rPr>
        <w:t>"10.</w:t>
      </w:r>
      <w:r w:rsidRPr="003B4608">
        <w:rPr>
          <w:b/>
          <w:i/>
        </w:rPr>
        <w:tab/>
        <w:t xml:space="preserve">Den enkelte medlemsstats kompetente myndighed overvåger løbende </w:t>
      </w:r>
      <w:r w:rsidRPr="003B4608">
        <w:rPr>
          <w:b/>
          <w:i/>
        </w:rPr>
        <w:lastRenderedPageBreak/>
        <w:t>overholdelsen af fyldningsmålet som fastsat i fyldningsplanen og aflægger regelmæssigt og mindst én gang om måneden rapport til Kommissionen og Gaskoordinationsgruppen. Hvis det forudses, at målet ikke kan opfyldes, træffer den kompetente myndighed straks effektive foranstaltninger til at opfylde målet. Medlemsstaterne underretter Kommissionen og Gaskoordinationsgruppen om de trufne foranstaltninger.</w:t>
      </w:r>
    </w:p>
    <w:p w:rsidR="00BB4BE8" w:rsidRPr="003B4608" w:rsidRDefault="00BB4BE8" w:rsidP="00BB4BE8">
      <w:pPr>
        <w:pStyle w:val="NormalHanging12a"/>
        <w:ind w:left="1985"/>
        <w:rPr>
          <w:b/>
          <w:i/>
          <w:szCs w:val="24"/>
        </w:rPr>
      </w:pPr>
      <w:r w:rsidRPr="003B4608">
        <w:rPr>
          <w:b/>
          <w:i/>
        </w:rPr>
        <w:t>11.</w:t>
      </w:r>
      <w:r w:rsidRPr="003B4608">
        <w:rPr>
          <w:b/>
          <w:i/>
        </w:rPr>
        <w:tab/>
        <w:t>I tilfælde af en medlemsstats væsentlige og vedvarende afvigelse fra fyldningsplanen, som bringer opnåelsen af fyldningsmålet i fare, eller i tilfælde af en afvigelse fra fyldningsmålet udsteder Kommissionen efter høring af Gaskoordinationsgruppen og de berørte medlemsstater, hvor det er relevant, en henstilling til den pågældende medlemsstat eller til de andre berørte medlemsstater vedrørende foranstaltninger, der skal træffes omgående for at afhjælpe afvigelsen eller for at minimere indvirkningen på forsyningssikkerheden, under hensyntagen til bl.a. eventuelle ugunstige markedsforhold og særlige forhold i medlemsstaterne såsom de underjordiske gaslagerfaciliteters tekniske egenskaber og størrelse i forhold til det indenlandske gasforbrug, den faldende betydning af de underjordiske lagerfaciliteter for gas med lav brændværdi for gasforsyningssikkerheden og den eksisterende LNG-lagerkapacitet.</w:t>
      </w:r>
    </w:p>
    <w:p w:rsidR="00BB4BE8" w:rsidRPr="003B4608" w:rsidRDefault="00BB4BE8" w:rsidP="00BB4BE8">
      <w:pPr>
        <w:pStyle w:val="NormalHanging12a"/>
        <w:ind w:left="1985"/>
        <w:rPr>
          <w:szCs w:val="24"/>
        </w:rPr>
      </w:pPr>
      <w:r w:rsidRPr="003B4608">
        <w:rPr>
          <w:b/>
          <w:i/>
        </w:rPr>
        <w:t>11a.</w:t>
      </w:r>
      <w:r w:rsidRPr="003B4608">
        <w:rPr>
          <w:b/>
          <w:i/>
        </w:rPr>
        <w:tab/>
        <w:t>Når en medlemsstat ikke lever op til det fyldningsmål, der er fastsat i stk. 1, og dermed bringer Unionens forsyningssikkerhed i fare, vedtager Kommissionen en gennemførelsesretsakt om fastsættelse af en fyldningsplan for den pågældende medlemsstat for det følgende år på grundlag af de tekniske oplysninger, som den enkelte medlemsstat har forelagt, og under hensyntagen til den globale koordineringsgruppes vurdering. Denne gennemførelsesretsakt vedtages efter undersøgelsesproceduren i artikel 18a, stk. 2. Den baseres på en vurdering af den generelle situation med hensyn til gasforsyningssikkerheden og udviklingen i gasefterspørgslen og - forsyningen i Unionen og de enkelte medlemsstater med henblik på at sikre gasforsyningssikkerheden."</w:t>
      </w:r>
    </w:p>
    <w:p w:rsidR="00BB4BE8" w:rsidRPr="003B4608" w:rsidRDefault="00BB4BE8" w:rsidP="00BB4BE8">
      <w:pPr>
        <w:pStyle w:val="NormalHanging12a"/>
        <w:ind w:left="851" w:hanging="851"/>
        <w:rPr>
          <w:b/>
          <w:i/>
          <w:szCs w:val="24"/>
        </w:rPr>
      </w:pPr>
      <w:r w:rsidRPr="003B4608">
        <w:rPr>
          <w:b/>
          <w:i/>
        </w:rPr>
        <w:t>3)</w:t>
      </w:r>
      <w:r w:rsidRPr="003B4608">
        <w:rPr>
          <w:b/>
          <w:i/>
        </w:rPr>
        <w:tab/>
        <w:t>I artikel 6b foretages følgende ændringer:</w:t>
      </w:r>
    </w:p>
    <w:p w:rsidR="00BB4BE8" w:rsidRPr="003B4608" w:rsidRDefault="00BB4BE8" w:rsidP="00BB4BE8">
      <w:pPr>
        <w:pStyle w:val="NormalHanging12a"/>
        <w:ind w:left="1418"/>
        <w:rPr>
          <w:b/>
          <w:i/>
        </w:rPr>
      </w:pPr>
      <w:r w:rsidRPr="003B4608">
        <w:rPr>
          <w:b/>
          <w:i/>
        </w:rPr>
        <w:t>a)</w:t>
      </w:r>
      <w:r w:rsidRPr="003B4608">
        <w:rPr>
          <w:b/>
          <w:i/>
        </w:rPr>
        <w:tab/>
        <w:t>Titlen affattes således: "Gennemførelse af opfyldningsmålet"</w:t>
      </w:r>
    </w:p>
    <w:p w:rsidR="00BB4BE8" w:rsidRPr="003B4608" w:rsidRDefault="00BB4BE8" w:rsidP="00BB4BE8">
      <w:pPr>
        <w:pStyle w:val="NormalHanging12a"/>
        <w:ind w:left="1418"/>
        <w:rPr>
          <w:b/>
          <w:i/>
        </w:rPr>
      </w:pPr>
      <w:r w:rsidRPr="003B4608">
        <w:rPr>
          <w:b/>
          <w:i/>
        </w:rPr>
        <w:t>b)</w:t>
      </w:r>
      <w:r w:rsidRPr="003B4608">
        <w:rPr>
          <w:b/>
          <w:i/>
        </w:rPr>
        <w:tab/>
        <w:t>Stk. 1, første afsnit, affattes således:</w:t>
      </w:r>
    </w:p>
    <w:p w:rsidR="00BB4BE8" w:rsidRPr="003B4608" w:rsidRDefault="00BB4BE8" w:rsidP="00BB4BE8">
      <w:pPr>
        <w:pStyle w:val="NormalHanging12a"/>
        <w:ind w:left="1985"/>
        <w:rPr>
          <w:szCs w:val="24"/>
        </w:rPr>
      </w:pPr>
      <w:r w:rsidRPr="003B4608">
        <w:t>"</w:t>
      </w:r>
      <w:r w:rsidRPr="003B4608">
        <w:rPr>
          <w:b/>
          <w:i/>
        </w:rPr>
        <w:t>1.</w:t>
      </w:r>
      <w:r w:rsidRPr="003B4608">
        <w:rPr>
          <w:b/>
          <w:i/>
        </w:rPr>
        <w:tab/>
        <w:t>Medlemsstaterne træffer alle nødvendige foranstaltninger for at nå det fyldningsmål, der er fastsat i henhold til artikel 6a. Når medlemsstaterne sikrer opfyldelsen af fyldningsmålet, prioriterer de, hvor det er muligt, markedsbaserede foranstaltninger."</w:t>
      </w:r>
    </w:p>
    <w:p w:rsidR="00BB4BE8" w:rsidRPr="003B4608" w:rsidRDefault="00BB4BE8" w:rsidP="00BB4BE8">
      <w:pPr>
        <w:pStyle w:val="NormalHanging12a"/>
        <w:ind w:left="1418"/>
        <w:rPr>
          <w:b/>
          <w:i/>
        </w:rPr>
      </w:pPr>
      <w:r w:rsidRPr="003B4608">
        <w:rPr>
          <w:b/>
          <w:i/>
        </w:rPr>
        <w:t>c)</w:t>
      </w:r>
      <w:r w:rsidRPr="003B4608">
        <w:rPr>
          <w:b/>
          <w:i/>
        </w:rPr>
        <w:tab/>
        <w:t xml:space="preserve">Stk. 2 affattes således: </w:t>
      </w:r>
    </w:p>
    <w:p w:rsidR="00BB4BE8" w:rsidRPr="003B4608" w:rsidRDefault="00BB4BE8" w:rsidP="00BB4BE8">
      <w:pPr>
        <w:pStyle w:val="NormalHanging12a"/>
        <w:ind w:left="1985"/>
        <w:rPr>
          <w:szCs w:val="24"/>
        </w:rPr>
      </w:pPr>
      <w:r w:rsidRPr="003B4608">
        <w:rPr>
          <w:b/>
          <w:i/>
        </w:rPr>
        <w:t>"2.</w:t>
      </w:r>
      <w:r w:rsidRPr="003B4608">
        <w:rPr>
          <w:b/>
          <w:i/>
        </w:rPr>
        <w:tab/>
        <w:t xml:space="preserve">De foranstaltninger, der træffes af medlemsstaterne i henhold til stk. 1, begrænses til, hvad der er nødvendigt for at nå fyldningsmålet. De skal </w:t>
      </w:r>
      <w:r w:rsidRPr="003B4608">
        <w:rPr>
          <w:b/>
          <w:i/>
        </w:rPr>
        <w:lastRenderedPageBreak/>
        <w:t>være klart definerede, gennemsigtige, forholdsmæssige, ikkediskriminerende og kontrollerbare. De må ikke uretmæssigt forvride konkurrencen eller det indre gasmarked funktion, forhøje energiomkostningerne unødigt eller bringe gasforsyningssikkerheden i andre medlemsstater eller i Unionen i fare.</w:t>
      </w:r>
      <w:r w:rsidRPr="003B4608">
        <w:t xml:space="preserve"> </w:t>
      </w:r>
      <w:r w:rsidRPr="003B4608">
        <w:rPr>
          <w:b/>
          <w:i/>
        </w:rPr>
        <w:t>Medlemsstaterne underretter Kommissionen og Gaskoordinationsgruppen om sådanne foranstaltninger."</w:t>
      </w:r>
    </w:p>
    <w:p w:rsidR="00BB4BE8" w:rsidRPr="003B4608" w:rsidRDefault="00BB4BE8" w:rsidP="00BB4BE8">
      <w:pPr>
        <w:pStyle w:val="NormalHanging12a"/>
        <w:ind w:left="851" w:hanging="851"/>
        <w:rPr>
          <w:b/>
          <w:i/>
          <w:szCs w:val="24"/>
        </w:rPr>
      </w:pPr>
      <w:r w:rsidRPr="003B4608">
        <w:rPr>
          <w:b/>
          <w:i/>
        </w:rPr>
        <w:t>4)</w:t>
      </w:r>
      <w:r w:rsidRPr="003B4608">
        <w:rPr>
          <w:b/>
          <w:i/>
        </w:rPr>
        <w:tab/>
        <w:t>I artikel 6c foretages følgende ændringer:</w:t>
      </w:r>
    </w:p>
    <w:p w:rsidR="00BB4BE8" w:rsidRPr="003B4608" w:rsidRDefault="00BB4BE8" w:rsidP="00BB4BE8">
      <w:pPr>
        <w:pStyle w:val="NormalHanging12a"/>
        <w:ind w:left="1418"/>
        <w:rPr>
          <w:b/>
          <w:i/>
        </w:rPr>
      </w:pPr>
      <w:r w:rsidRPr="003B4608">
        <w:rPr>
          <w:b/>
          <w:i/>
        </w:rPr>
        <w:t>a)</w:t>
      </w:r>
      <w:r w:rsidRPr="003B4608">
        <w:rPr>
          <w:b/>
          <w:i/>
        </w:rPr>
        <w:tab/>
        <w:t>Stk. 1, første afsnit, affattes således:</w:t>
      </w:r>
    </w:p>
    <w:p w:rsidR="00BB4BE8" w:rsidRPr="003B4608" w:rsidRDefault="00BB4BE8" w:rsidP="00BB4BE8">
      <w:pPr>
        <w:pStyle w:val="NormalHanging12a"/>
        <w:ind w:left="1985"/>
        <w:rPr>
          <w:b/>
          <w:i/>
          <w:szCs w:val="24"/>
        </w:rPr>
      </w:pPr>
      <w:r w:rsidRPr="003B4608">
        <w:rPr>
          <w:b/>
          <w:i/>
        </w:rPr>
        <w:t>"1.</w:t>
      </w:r>
      <w:r w:rsidRPr="003B4608">
        <w:rPr>
          <w:b/>
          <w:i/>
        </w:rPr>
        <w:tab/>
        <w:t>Medlemsstater uden underjordiske gaslagerfaciliteter sikrer, at markedsdeltagere i den pågældende medlemsstat har indført ordninger med operatører af underjordiske lagersystemer eller andre markedsdeltagere i medlemsstater med underjordiske gaslagerfaciliteter. Disse ordninger skal sikre, at der senest den 1. december er udnyttet lagermængder svarende til mindst 15 % af det gennemsnitlige årlige gasforbrug i de foregående fem år hos den medlemsstat, der ikke har underjordiske gaslagerfaciliteter. Hvis grænseoverskridende transmissionskapacitet eller andre tekniske begrænsninger imidlertid hindrer en medlemsstat uden underjordiske gaslagerfaciliteter i at udnytte 15 % af disse lagermængder fuldt ud, oplagrer den pågældende medlemsstat kun de mængder, som er teknisk muligt."</w:t>
      </w:r>
    </w:p>
    <w:p w:rsidR="00BB4BE8" w:rsidRPr="003B4608" w:rsidRDefault="00BB4BE8" w:rsidP="00BB4BE8">
      <w:pPr>
        <w:pStyle w:val="NormalHanging12a"/>
        <w:ind w:left="1418"/>
        <w:rPr>
          <w:b/>
          <w:i/>
          <w:szCs w:val="22"/>
        </w:rPr>
      </w:pPr>
      <w:r w:rsidRPr="003B4608">
        <w:rPr>
          <w:b/>
          <w:i/>
        </w:rPr>
        <w:t>b)</w:t>
      </w:r>
      <w:r w:rsidRPr="003B4608">
        <w:rPr>
          <w:b/>
          <w:i/>
        </w:rPr>
        <w:tab/>
        <w:t>Stk. 2, andet afsnit, erstattes af følgende:</w:t>
      </w:r>
    </w:p>
    <w:p w:rsidR="00BB4BE8" w:rsidRPr="003B4608" w:rsidRDefault="00BB4BE8" w:rsidP="00BB4BE8">
      <w:pPr>
        <w:pStyle w:val="NormalHanging12a"/>
        <w:ind w:left="1418" w:firstLine="0"/>
        <w:rPr>
          <w:b/>
          <w:i/>
          <w:szCs w:val="24"/>
        </w:rPr>
      </w:pPr>
      <w:r w:rsidRPr="003B4608">
        <w:rPr>
          <w:b/>
          <w:i/>
        </w:rPr>
        <w:t>"Medlemsstater uden underjordiske gaslagerfaciliteter skal påvise, at de overholder stk. 1, og underrette Kommissionen herom."</w:t>
      </w:r>
    </w:p>
    <w:p w:rsidR="00BB4BE8" w:rsidRPr="003B4608" w:rsidRDefault="00BB4BE8" w:rsidP="00BB4BE8">
      <w:pPr>
        <w:pStyle w:val="NormalHanging12a"/>
        <w:tabs>
          <w:tab w:val="left" w:pos="1418"/>
        </w:tabs>
        <w:ind w:left="1418"/>
      </w:pPr>
      <w:r w:rsidRPr="003B4608">
        <w:rPr>
          <w:b/>
          <w:i/>
        </w:rPr>
        <w:t>c)</w:t>
      </w:r>
      <w:r w:rsidRPr="003B4608">
        <w:rPr>
          <w:b/>
          <w:i/>
        </w:rPr>
        <w:tab/>
        <w:t>Stk. 5, første afsnit, litra a), affattes således:</w:t>
      </w:r>
      <w:r w:rsidRPr="003B4608">
        <w:t xml:space="preserve"> </w:t>
      </w:r>
    </w:p>
    <w:p w:rsidR="00BB4BE8" w:rsidRPr="003B4608" w:rsidRDefault="00BB4BE8" w:rsidP="00BB4BE8">
      <w:pPr>
        <w:pStyle w:val="NormalHanging12a"/>
        <w:ind w:left="1985"/>
        <w:rPr>
          <w:b/>
          <w:i/>
          <w:szCs w:val="24"/>
        </w:rPr>
      </w:pPr>
      <w:r w:rsidRPr="003B4608">
        <w:rPr>
          <w:b/>
          <w:i/>
        </w:rPr>
        <w:t>"a)</w:t>
      </w:r>
      <w:r w:rsidRPr="003B4608">
        <w:rPr>
          <w:b/>
          <w:i/>
        </w:rPr>
        <w:tab/>
        <w:t>sikre at lagermængderne senest den 1. december mindst svarer til den gennemsnitlige udnyttelse af lagerkapaciteten i de foregående fem år, der er fastsat bl.a. under hensyntagen til strømmene i udtræksperioden i de foregående fem år fra de medlemsstater, hvor lagerfaciliteterne er beliggende, eller"</w:t>
      </w:r>
    </w:p>
    <w:p w:rsidR="00BB4BE8" w:rsidRPr="003B4608" w:rsidRDefault="00BB4BE8" w:rsidP="00BB4BE8">
      <w:pPr>
        <w:pStyle w:val="NormalHanging12a"/>
        <w:ind w:left="1418"/>
        <w:rPr>
          <w:b/>
          <w:i/>
        </w:rPr>
      </w:pPr>
      <w:r w:rsidRPr="003B4608">
        <w:rPr>
          <w:b/>
          <w:i/>
        </w:rPr>
        <w:t>d)</w:t>
      </w:r>
      <w:r w:rsidRPr="003B4608">
        <w:rPr>
          <w:b/>
          <w:i/>
        </w:rPr>
        <w:tab/>
        <w:t>Stk. 6 affattes således:</w:t>
      </w:r>
    </w:p>
    <w:p w:rsidR="00BB4BE8" w:rsidRPr="003B4608" w:rsidRDefault="00BB4BE8" w:rsidP="00BB4BE8">
      <w:pPr>
        <w:pStyle w:val="NormalHanging12a"/>
        <w:ind w:left="1985"/>
        <w:rPr>
          <w:b/>
          <w:i/>
          <w:szCs w:val="24"/>
        </w:rPr>
      </w:pPr>
      <w:r w:rsidRPr="003B4608">
        <w:rPr>
          <w:b/>
          <w:i/>
        </w:rPr>
        <w:t>"6.</w:t>
      </w:r>
      <w:r w:rsidRPr="003B4608">
        <w:rPr>
          <w:b/>
          <w:i/>
        </w:rPr>
        <w:tab/>
        <w:t>Medmindre andet er fastsat i bilag Ib gælder for så vidt angår underjordiske gaslagerfaciliteter beliggende i en medlemsstat, som ikke er omfattet af stk. 5, men som er direkte forbundet med markedsområdet i en anden medlemsstat, at den pågældende anden medlemsstat skal sikre, at lagermængderne mellem den 1. oktober og den 1. december mindst svarer til gennemsnittet af den lagerkapacitet, der er reserveret på det relevante grænseoverskridende punkt i de foregående fem år."</w:t>
      </w:r>
    </w:p>
    <w:p w:rsidR="00BB4BE8" w:rsidRPr="003B4608" w:rsidRDefault="00BB4BE8" w:rsidP="00BB4BE8">
      <w:pPr>
        <w:pStyle w:val="NormalHanging12a"/>
        <w:ind w:left="851" w:hanging="851"/>
        <w:rPr>
          <w:b/>
          <w:i/>
        </w:rPr>
      </w:pPr>
      <w:r w:rsidRPr="003B4608">
        <w:rPr>
          <w:b/>
          <w:i/>
        </w:rPr>
        <w:t>5)</w:t>
      </w:r>
      <w:r w:rsidRPr="003B4608">
        <w:rPr>
          <w:b/>
          <w:i/>
        </w:rPr>
        <w:tab/>
        <w:t>I artikel 6d foretages følgende ændringer:</w:t>
      </w:r>
    </w:p>
    <w:p w:rsidR="00BB4BE8" w:rsidRPr="003B4608" w:rsidRDefault="00BB4BE8" w:rsidP="00BB4BE8">
      <w:pPr>
        <w:pStyle w:val="NormalHanging12a"/>
        <w:ind w:left="1418"/>
        <w:rPr>
          <w:b/>
          <w:i/>
        </w:rPr>
      </w:pPr>
      <w:r w:rsidRPr="003B4608">
        <w:rPr>
          <w:b/>
          <w:i/>
        </w:rPr>
        <w:lastRenderedPageBreak/>
        <w:t>a)</w:t>
      </w:r>
      <w:r w:rsidRPr="003B4608">
        <w:rPr>
          <w:b/>
          <w:i/>
        </w:rPr>
        <w:tab/>
        <w:t>Stk. 1 og 2 affattes således:</w:t>
      </w:r>
    </w:p>
    <w:p w:rsidR="00BB4BE8" w:rsidRPr="003B4608" w:rsidRDefault="00BB4BE8" w:rsidP="00BB4BE8">
      <w:pPr>
        <w:pStyle w:val="NormalHanging12a"/>
        <w:ind w:left="1985"/>
        <w:rPr>
          <w:b/>
          <w:i/>
          <w:szCs w:val="24"/>
        </w:rPr>
      </w:pPr>
      <w:r w:rsidRPr="003B4608">
        <w:rPr>
          <w:b/>
          <w:i/>
        </w:rPr>
        <w:t>"1.</w:t>
      </w:r>
      <w:r w:rsidRPr="003B4608">
        <w:rPr>
          <w:b/>
          <w:i/>
        </w:rPr>
        <w:tab/>
        <w:t>Lagersystemoperatører indberetter fyldningsniveauet til den kompetente myndigheder i den enkelte medlemsstat, hvor de pågældende underjordiske gaslagerfaciliteter er beliggende, og, hvis det er relevant, til en enhed udpeget af den pågældende medlemsstat, ("den udpegede enhed") som fastsat i henhold til artikel 6a.</w:t>
      </w:r>
    </w:p>
    <w:p w:rsidR="00BB4BE8" w:rsidRPr="003B4608" w:rsidRDefault="00BB4BE8" w:rsidP="00BB4BE8">
      <w:pPr>
        <w:pStyle w:val="NormalHanging12a"/>
        <w:ind w:left="1985"/>
        <w:rPr>
          <w:szCs w:val="24"/>
        </w:rPr>
      </w:pPr>
      <w:r w:rsidRPr="003B4608">
        <w:rPr>
          <w:b/>
          <w:i/>
        </w:rPr>
        <w:t>2.</w:t>
      </w:r>
      <w:r w:rsidRPr="003B4608">
        <w:rPr>
          <w:b/>
          <w:i/>
        </w:rPr>
        <w:tab/>
        <w:t>Hver medlemsstats kompetente myndighed og, hvis det er relevant, udpegede enhed overvåger fyldningsniveauerne for de underjordiske gaslagerfaciliteter på deres område ved udgangen af hver måned og indberetter månedligt resultaterne til Kommissionen uden ophold. Den kompetente myndighed skal også medtage oplysninger om andelen af gas med oprindelse i Den Russiske Føderation, som opbevares i den pågældende medlemsstat, hvis sådanne oplysninger er tilgængelige.</w:t>
      </w:r>
    </w:p>
    <w:p w:rsidR="00BB4BE8" w:rsidRPr="003B4608" w:rsidRDefault="00BB4BE8" w:rsidP="00BB4BE8">
      <w:pPr>
        <w:pStyle w:val="NormalHanging12a"/>
        <w:ind w:left="1985" w:firstLine="0"/>
        <w:rPr>
          <w:b/>
          <w:i/>
        </w:rPr>
      </w:pPr>
      <w:r w:rsidRPr="003B4608">
        <w:rPr>
          <w:b/>
          <w:i/>
        </w:rPr>
        <w:t>Kommissionen kan, hvor det er relevant, opfordre Den Europæiske Unions Agentur for Samarbejde mellem Energireguleringsmyndigheder (ACER) til at bistå med en sådan overvågning."</w:t>
      </w:r>
    </w:p>
    <w:p w:rsidR="00BB4BE8" w:rsidRPr="003B4608" w:rsidRDefault="00BB4BE8" w:rsidP="00BB4BE8">
      <w:pPr>
        <w:pStyle w:val="NormalHanging12a"/>
        <w:ind w:left="1418"/>
        <w:rPr>
          <w:b/>
          <w:i/>
        </w:rPr>
      </w:pPr>
      <w:r w:rsidRPr="003B4608">
        <w:rPr>
          <w:b/>
          <w:i/>
        </w:rPr>
        <w:t>b)</w:t>
      </w:r>
      <w:r w:rsidRPr="003B4608">
        <w:rPr>
          <w:b/>
          <w:i/>
        </w:rPr>
        <w:tab/>
        <w:t>Stk. 4 og 5 affattes således:</w:t>
      </w:r>
    </w:p>
    <w:p w:rsidR="00BB4BE8" w:rsidRPr="003B4608" w:rsidRDefault="00BB4BE8" w:rsidP="00BB4BE8">
      <w:pPr>
        <w:pStyle w:val="NormalHanging12a"/>
        <w:ind w:left="1985"/>
        <w:rPr>
          <w:b/>
          <w:i/>
          <w:szCs w:val="24"/>
        </w:rPr>
      </w:pPr>
      <w:r w:rsidRPr="003B4608">
        <w:rPr>
          <w:b/>
          <w:i/>
        </w:rPr>
        <w:t>"4.</w:t>
      </w:r>
      <w:r w:rsidRPr="003B4608">
        <w:rPr>
          <w:b/>
          <w:i/>
        </w:rPr>
        <w:tab/>
        <w:t>Gaskoordinationsgruppen bistår Kommissionen med overvågningen af fyldningsmålet og udarbejder vejledning til Kommissionen om passende foranstaltninger til at sikre bedre overensstemmelse, i tilfælde af at medlemsstaternes fyldningsniveauer kompromitterer opnåelsen af fyldningsmålet, eller for at sikre overensstemmelse med fyldningsmålet.</w:t>
      </w:r>
    </w:p>
    <w:p w:rsidR="00BB4BE8" w:rsidRPr="003B4608" w:rsidRDefault="00BB4BE8" w:rsidP="00BB4BE8">
      <w:pPr>
        <w:pStyle w:val="NormalHanging12a"/>
        <w:ind w:left="1985"/>
        <w:rPr>
          <w:b/>
          <w:i/>
          <w:szCs w:val="24"/>
        </w:rPr>
      </w:pPr>
      <w:r w:rsidRPr="003B4608">
        <w:rPr>
          <w:b/>
          <w:i/>
        </w:rPr>
        <w:t>4a.</w:t>
      </w:r>
      <w:r w:rsidRPr="003B4608">
        <w:rPr>
          <w:b/>
          <w:i/>
        </w:rPr>
        <w:tab/>
        <w:t>Hvor det er relevant, gennemfører Kommissionen foranstaltninger, der hjælper medlemsstaterne med at nå fyldningsmålet, herunder foranstaltninger til at tilskynde til deltagelse i mekanismen for efterspørgselsaggregering og fælles indkøb, der er oprettet i henhold til forordning (EU) 2022/2576 ("</w:t>
      </w:r>
      <w:proofErr w:type="spellStart"/>
      <w:r w:rsidRPr="003B4608">
        <w:rPr>
          <w:b/>
          <w:i/>
        </w:rPr>
        <w:t>AggregateEU</w:t>
      </w:r>
      <w:proofErr w:type="spellEnd"/>
      <w:r w:rsidRPr="003B4608">
        <w:rPr>
          <w:b/>
          <w:i/>
        </w:rPr>
        <w:t>")</w:t>
      </w:r>
      <w:r w:rsidRPr="003B4608">
        <w:rPr>
          <w:b/>
          <w:i/>
          <w:vertAlign w:val="superscript"/>
        </w:rPr>
        <w:t>*</w:t>
      </w:r>
      <w:r w:rsidRPr="003B4608">
        <w:rPr>
          <w:rStyle w:val="FootnoteReference"/>
          <w:b/>
          <w:i/>
        </w:rPr>
        <w:t xml:space="preserve"> </w:t>
      </w:r>
      <w:r w:rsidRPr="003B4608">
        <w:rPr>
          <w:b/>
          <w:i/>
        </w:rPr>
        <w:t>.</w:t>
      </w:r>
    </w:p>
    <w:p w:rsidR="00BB4BE8" w:rsidRPr="003B4608" w:rsidRDefault="00BB4BE8" w:rsidP="00BB4BE8">
      <w:pPr>
        <w:pStyle w:val="NormalHanging12a"/>
        <w:ind w:left="1985"/>
        <w:rPr>
          <w:b/>
          <w:i/>
        </w:rPr>
      </w:pPr>
      <w:r w:rsidRPr="003B4608">
        <w:rPr>
          <w:b/>
          <w:i/>
        </w:rPr>
        <w:t>5.</w:t>
      </w:r>
      <w:r w:rsidRPr="003B4608">
        <w:rPr>
          <w:b/>
          <w:i/>
        </w:rPr>
        <w:tab/>
        <w:t>Medlemsstaterne og, hvor det er relevant, Kommissionen træffer de nødvendige foranstaltninger til at opfylde fyldningsmålet og til at håndhæve oplagringsforpligtelserne over for markedsdeltagerne. Disse foranstaltninger kan omfatte tilstrækkeligt afskrækkende sanktioner og bøder såsom passende økonomiske sanktioner.</w:t>
      </w:r>
    </w:p>
    <w:p w:rsidR="00BB4BE8" w:rsidRPr="003B4608" w:rsidRDefault="00BB4BE8" w:rsidP="00BB4BE8">
      <w:pPr>
        <w:pStyle w:val="NormalHanging12a"/>
        <w:ind w:left="1985"/>
        <w:rPr>
          <w:b/>
          <w:i/>
        </w:rPr>
      </w:pPr>
      <w:r w:rsidRPr="003B4608">
        <w:rPr>
          <w:b/>
          <w:i/>
        </w:rPr>
        <w:t>___________________</w:t>
      </w:r>
    </w:p>
    <w:p w:rsidR="00BB4BE8" w:rsidRPr="003B4608" w:rsidRDefault="00BB4BE8" w:rsidP="00BB4BE8">
      <w:pPr>
        <w:pStyle w:val="NormalHanging12a"/>
        <w:ind w:left="1985"/>
        <w:rPr>
          <w:b/>
          <w:i/>
        </w:rPr>
      </w:pPr>
      <w:r w:rsidRPr="003B4608">
        <w:rPr>
          <w:b/>
          <w:i/>
        </w:rPr>
        <w:t>*</w:t>
      </w:r>
      <w:r w:rsidRPr="003B4608">
        <w:rPr>
          <w:b/>
          <w:i/>
        </w:rPr>
        <w:tab/>
        <w:t xml:space="preserve">Rådets forordning (EU) 2022/2576 af 19. december 2022 om styrkelse af solidariteten gennem bedre koordinering af indkøb af gas, pålidelige </w:t>
      </w:r>
      <w:proofErr w:type="spellStart"/>
      <w:r w:rsidRPr="003B4608">
        <w:rPr>
          <w:b/>
          <w:i/>
        </w:rPr>
        <w:t>prisbenchmarks</w:t>
      </w:r>
      <w:proofErr w:type="spellEnd"/>
      <w:r w:rsidRPr="003B4608">
        <w:rPr>
          <w:b/>
          <w:i/>
        </w:rPr>
        <w:t xml:space="preserve"> og udveksling af gas på tværs af grænserne (EUT L 335 af 29.12.2022, s. 1, ELI: http://data.europa.eu/eli/reg/2022/2576/oj."</w:t>
      </w:r>
    </w:p>
    <w:p w:rsidR="00BB4BE8" w:rsidRPr="003B4608" w:rsidRDefault="00BB4BE8" w:rsidP="00BB4BE8">
      <w:pPr>
        <w:pStyle w:val="NormalHanging12a"/>
        <w:ind w:left="851" w:hanging="851"/>
        <w:rPr>
          <w:b/>
          <w:i/>
          <w:szCs w:val="24"/>
        </w:rPr>
      </w:pPr>
      <w:r w:rsidRPr="003B4608">
        <w:rPr>
          <w:b/>
          <w:i/>
        </w:rPr>
        <w:t>6)</w:t>
      </w:r>
      <w:r w:rsidRPr="003B4608">
        <w:rPr>
          <w:b/>
          <w:i/>
        </w:rPr>
        <w:tab/>
        <w:t>I artikel 17a, stk. 1, tilføjes følgende litraer:</w:t>
      </w:r>
    </w:p>
    <w:p w:rsidR="00BB4BE8" w:rsidRPr="003B4608" w:rsidRDefault="00BB4BE8" w:rsidP="00BB4BE8">
      <w:pPr>
        <w:pStyle w:val="NormalHanging12a"/>
        <w:ind w:left="1418"/>
        <w:rPr>
          <w:b/>
          <w:i/>
          <w:szCs w:val="24"/>
        </w:rPr>
      </w:pPr>
      <w:r w:rsidRPr="003B4608">
        <w:rPr>
          <w:b/>
          <w:i/>
        </w:rPr>
        <w:t>"da)</w:t>
      </w:r>
      <w:r w:rsidRPr="003B4608">
        <w:rPr>
          <w:b/>
          <w:i/>
        </w:rPr>
        <w:tab/>
        <w:t xml:space="preserve">de oplysninger om andelen af gas med oprindelse i Den Russiske Føderation, </w:t>
      </w:r>
      <w:r w:rsidRPr="003B4608">
        <w:rPr>
          <w:b/>
          <w:i/>
        </w:rPr>
        <w:lastRenderedPageBreak/>
        <w:t>der er oplagret i EU's lagre, som medlemsstaterne har forelagt i overensstemmelse med artikel 6d, stk. 2."</w:t>
      </w:r>
    </w:p>
    <w:p w:rsidR="00BB4BE8" w:rsidRPr="003B4608" w:rsidRDefault="00BB4BE8" w:rsidP="00BB4BE8">
      <w:pPr>
        <w:pStyle w:val="NormalHanging12a"/>
        <w:ind w:left="851" w:hanging="851"/>
        <w:rPr>
          <w:b/>
          <w:i/>
          <w:szCs w:val="24"/>
        </w:rPr>
      </w:pPr>
      <w:r w:rsidRPr="003B4608">
        <w:rPr>
          <w:b/>
          <w:i/>
        </w:rPr>
        <w:t>7)</w:t>
      </w:r>
      <w:r w:rsidRPr="003B4608">
        <w:rPr>
          <w:b/>
          <w:i/>
        </w:rPr>
        <w:tab/>
        <w:t>Artikel 22, stk. 4, affattes således:</w:t>
      </w:r>
    </w:p>
    <w:p w:rsidR="00BB4BE8" w:rsidRPr="003B4608" w:rsidRDefault="00BB4BE8" w:rsidP="00BB4BE8">
      <w:pPr>
        <w:pStyle w:val="NormalHanging12a"/>
        <w:ind w:left="851" w:firstLine="0"/>
        <w:rPr>
          <w:b/>
          <w:i/>
          <w:szCs w:val="24"/>
        </w:rPr>
      </w:pPr>
      <w:r w:rsidRPr="003B4608">
        <w:rPr>
          <w:b/>
          <w:i/>
        </w:rPr>
        <w:t>"Artikel 2, nr. 27-31, artikel 6a-6d, artikel 16, stk. 3, artikel 17a, artikel 18a, artikel 20, stk. 4, og bilag Ib finder anvendelse indtil den 31. december 2027."</w:t>
      </w:r>
    </w:p>
    <w:p w:rsidR="00BB4BE8" w:rsidRPr="003B4608" w:rsidRDefault="00BB4BE8" w:rsidP="00BB4BE8">
      <w:pPr>
        <w:pStyle w:val="NormalHanging12a"/>
        <w:ind w:left="851" w:hanging="851"/>
        <w:rPr>
          <w:b/>
          <w:i/>
          <w:szCs w:val="24"/>
        </w:rPr>
      </w:pPr>
      <w:r w:rsidRPr="003B4608">
        <w:rPr>
          <w:b/>
          <w:i/>
        </w:rPr>
        <w:t>8)</w:t>
      </w:r>
      <w:r w:rsidRPr="003B4608">
        <w:rPr>
          <w:b/>
          <w:i/>
        </w:rPr>
        <w:tab/>
        <w:t>Bilag Ia udgår.</w:t>
      </w:r>
    </w:p>
    <w:p w:rsidR="00BB4BE8" w:rsidRPr="003B4608" w:rsidRDefault="00BB4BE8" w:rsidP="00BB4BE8"/>
    <w:p w:rsidR="00BB4BE8" w:rsidRPr="003B4608" w:rsidRDefault="00BB4BE8" w:rsidP="00BB4BE8">
      <w:pPr>
        <w:pStyle w:val="Titrearticle"/>
      </w:pPr>
      <w:r w:rsidRPr="003B4608">
        <w:t>Artikel 2</w:t>
      </w:r>
    </w:p>
    <w:p w:rsidR="00BB4BE8" w:rsidRPr="003B4608" w:rsidRDefault="00BB4BE8" w:rsidP="00BB4BE8">
      <w:pPr>
        <w:jc w:val="center"/>
        <w:rPr>
          <w:b/>
          <w:bCs/>
        </w:rPr>
      </w:pPr>
      <w:r w:rsidRPr="003B4608">
        <w:rPr>
          <w:b/>
        </w:rPr>
        <w:t>Ikrafttræden</w:t>
      </w:r>
    </w:p>
    <w:p w:rsidR="00BB4BE8" w:rsidRPr="003B4608" w:rsidRDefault="00BB4BE8" w:rsidP="00BB4BE8">
      <w:pPr>
        <w:pStyle w:val="NormalHanging12a"/>
        <w:ind w:left="0" w:firstLine="0"/>
        <w:rPr>
          <w:szCs w:val="24"/>
        </w:rPr>
      </w:pPr>
      <w:r w:rsidRPr="003B4608">
        <w:t xml:space="preserve">Denne forordning træder i kraft </w:t>
      </w:r>
      <w:r w:rsidRPr="003B4608">
        <w:rPr>
          <w:b/>
          <w:i/>
        </w:rPr>
        <w:t>og finder anvendelse</w:t>
      </w:r>
      <w:r w:rsidRPr="003B4608">
        <w:t xml:space="preserve"> dagen efter offentliggørelsen i Den Europæiske Unions Tidende.</w:t>
      </w:r>
    </w:p>
    <w:p w:rsidR="00BB4BE8" w:rsidRPr="003B4608" w:rsidRDefault="00BB4BE8" w:rsidP="00BB4BE8">
      <w:pPr>
        <w:pStyle w:val="NormalCenter12a"/>
        <w:jc w:val="left"/>
      </w:pPr>
      <w:r w:rsidRPr="003B4608">
        <w:t>Denne forordning er bindende i alle enkeltheder og gælder umiddelbart i hver medlemsstat.</w:t>
      </w:r>
    </w:p>
    <w:p w:rsidR="00BB4BE8" w:rsidRPr="003B4608" w:rsidRDefault="00BB4BE8" w:rsidP="00BB4BE8">
      <w:pPr>
        <w:pStyle w:val="NormalCenter12a"/>
        <w:jc w:val="left"/>
      </w:pPr>
      <w:r w:rsidRPr="003B4608">
        <w:t>Udfærdiget i Bruxelles, den […].</w:t>
      </w:r>
    </w:p>
    <w:p w:rsidR="00BB4BE8" w:rsidRPr="003B4608" w:rsidRDefault="00BB4BE8" w:rsidP="00BB4BE8">
      <w:pPr>
        <w:pStyle w:val="NormalCenter12a"/>
        <w:jc w:val="left"/>
      </w:pPr>
      <w:r w:rsidRPr="003B4608">
        <w:t>På Europa-Parlamentets vegne</w:t>
      </w:r>
    </w:p>
    <w:p w:rsidR="00BB4BE8" w:rsidRPr="003B4608" w:rsidRDefault="00BB4BE8" w:rsidP="00BB4BE8">
      <w:pPr>
        <w:pStyle w:val="NormalCenter12a"/>
        <w:jc w:val="left"/>
      </w:pPr>
      <w:r w:rsidRPr="003B4608">
        <w:t>Formand</w:t>
      </w:r>
    </w:p>
    <w:p w:rsidR="00BB4BE8" w:rsidRPr="003B4608" w:rsidRDefault="00BB4BE8" w:rsidP="00BB4BE8">
      <w:pPr>
        <w:pStyle w:val="NormalCenter12a"/>
        <w:jc w:val="left"/>
      </w:pPr>
      <w:r w:rsidRPr="003B4608">
        <w:t>På Rådets vegne</w:t>
      </w:r>
    </w:p>
    <w:p w:rsidR="00E365E1" w:rsidRPr="003B4608" w:rsidRDefault="00BB4BE8" w:rsidP="00D20604">
      <w:r w:rsidRPr="003B4608">
        <w:t>Formand</w:t>
      </w:r>
    </w:p>
    <w:sectPr w:rsidR="00E365E1" w:rsidRPr="003B4608" w:rsidSect="00D206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0AE" w:rsidRPr="00D20604" w:rsidRDefault="00D220AE">
      <w:r w:rsidRPr="00D20604">
        <w:separator/>
      </w:r>
    </w:p>
  </w:endnote>
  <w:endnote w:type="continuationSeparator" w:id="0">
    <w:p w:rsidR="00D220AE" w:rsidRPr="00D20604" w:rsidRDefault="00D220AE">
      <w:r w:rsidRPr="00D20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6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6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6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0AE" w:rsidRPr="00D20604" w:rsidRDefault="00D220AE">
      <w:r w:rsidRPr="00D20604">
        <w:separator/>
      </w:r>
    </w:p>
  </w:footnote>
  <w:footnote w:type="continuationSeparator" w:id="0">
    <w:p w:rsidR="00D220AE" w:rsidRPr="00D20604" w:rsidRDefault="00D220AE">
      <w:r w:rsidRPr="00D20604">
        <w:continuationSeparator/>
      </w:r>
    </w:p>
  </w:footnote>
  <w:footnote w:id="1">
    <w:p w:rsidR="00094C0B" w:rsidRPr="007D00B9" w:rsidRDefault="00094C0B" w:rsidP="007D00B9">
      <w:pPr>
        <w:pStyle w:val="FootnoteText"/>
        <w:ind w:left="567" w:hanging="567"/>
        <w:rPr>
          <w:sz w:val="24"/>
          <w:szCs w:val="24"/>
        </w:rPr>
      </w:pPr>
      <w:r w:rsidRPr="007D00B9">
        <w:rPr>
          <w:rStyle w:val="FootnoteReference"/>
          <w:sz w:val="24"/>
          <w:szCs w:val="24"/>
        </w:rPr>
        <w:footnoteRef/>
      </w:r>
      <w:r w:rsidRPr="007D00B9">
        <w:rPr>
          <w:sz w:val="24"/>
          <w:szCs w:val="24"/>
        </w:rPr>
        <w:t xml:space="preserve"> </w:t>
      </w:r>
      <w:r w:rsidRPr="007D00B9">
        <w:rPr>
          <w:sz w:val="24"/>
          <w:szCs w:val="24"/>
        </w:rPr>
        <w:tab/>
      </w:r>
      <w:r w:rsidRPr="00094C0B">
        <w:rPr>
          <w:sz w:val="24"/>
          <w:szCs w:val="24"/>
          <w:lang w:val="da-DK"/>
        </w:rPr>
        <w:t xml:space="preserve">Sagen blev henvist til fornyet behandling i det kompetente udvalg med henblik på </w:t>
      </w:r>
      <w:proofErr w:type="spellStart"/>
      <w:r w:rsidRPr="00094C0B">
        <w:rPr>
          <w:sz w:val="24"/>
          <w:szCs w:val="24"/>
          <w:lang w:val="da-DK"/>
        </w:rPr>
        <w:t>interinstitutionelle</w:t>
      </w:r>
      <w:proofErr w:type="spellEnd"/>
      <w:r w:rsidRPr="00094C0B">
        <w:rPr>
          <w:sz w:val="24"/>
          <w:szCs w:val="24"/>
          <w:lang w:val="da-DK"/>
        </w:rPr>
        <w:t xml:space="preserve"> forhandlinger, jf. forretningsordenens artikel 60, stk. 4, fjerde afsnit (A10-0079/2025).</w:t>
      </w:r>
    </w:p>
  </w:footnote>
  <w:footnote w:id="2">
    <w:p w:rsidR="00BB4BE8" w:rsidRPr="00D20604" w:rsidRDefault="00BB4BE8" w:rsidP="00D20604">
      <w:pPr>
        <w:pStyle w:val="FootnoteText"/>
        <w:ind w:left="567" w:hanging="567"/>
        <w:rPr>
          <w:sz w:val="24"/>
          <w:lang w:val="da-DK"/>
        </w:rPr>
      </w:pPr>
      <w:r w:rsidRPr="00D20604">
        <w:rPr>
          <w:rStyle w:val="FootnoteReference"/>
          <w:sz w:val="24"/>
          <w:lang w:val="da-DK"/>
        </w:rPr>
        <w:t>*</w:t>
      </w:r>
      <w:r w:rsidR="00D20604" w:rsidRPr="00D20604">
        <w:rPr>
          <w:sz w:val="24"/>
          <w:lang w:val="da-DK"/>
        </w:rPr>
        <w:t xml:space="preserve"> </w:t>
      </w:r>
      <w:r w:rsidR="00D20604" w:rsidRPr="00D20604">
        <w:rPr>
          <w:sz w:val="24"/>
          <w:lang w:val="da-DK"/>
        </w:rPr>
        <w:tab/>
      </w:r>
      <w:r w:rsidRPr="00D20604">
        <w:rPr>
          <w:sz w:val="24"/>
          <w:lang w:val="da-DK"/>
        </w:rPr>
        <w:t>Ændringer: Ny eller ændret tekst er markeret med fede typer og kursiv; sletninger er angivet med symbolet ▌.</w:t>
      </w:r>
    </w:p>
  </w:footnote>
  <w:footnote w:id="3">
    <w:p w:rsidR="00BB4BE8" w:rsidRPr="00D20604" w:rsidRDefault="00BB4BE8" w:rsidP="00D20604">
      <w:pPr>
        <w:pStyle w:val="FootnoteText"/>
        <w:ind w:left="567" w:hanging="567"/>
        <w:rPr>
          <w:sz w:val="24"/>
          <w:lang w:val="da-DK"/>
        </w:rPr>
      </w:pPr>
      <w:r w:rsidRPr="00D20604">
        <w:rPr>
          <w:rStyle w:val="FootnoteReference"/>
          <w:sz w:val="24"/>
          <w:lang w:val="da-DK"/>
        </w:rPr>
        <w:footnoteRef/>
      </w:r>
      <w:r w:rsidR="00D20604" w:rsidRPr="00D20604">
        <w:rPr>
          <w:sz w:val="24"/>
          <w:lang w:val="da-DK"/>
        </w:rPr>
        <w:t xml:space="preserve"> </w:t>
      </w:r>
      <w:r w:rsidR="00D20604" w:rsidRPr="00D20604">
        <w:rPr>
          <w:sz w:val="24"/>
          <w:lang w:val="da-DK"/>
        </w:rPr>
        <w:tab/>
      </w:r>
      <w:r w:rsidRPr="00D20604">
        <w:rPr>
          <w:sz w:val="24"/>
          <w:lang w:val="da-DK"/>
        </w:rPr>
        <w:t>Europa-Parlamentets og Rådets forordning (EU) 2022/1032 af 29. juni 2022 om ændring af forordning (EU) 2017/1938 og (EF) nr. 715/2009 for så vidt angår gasoplagring (EUT L 173 af 30.6.2022, s.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6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6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6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DA"/>
    <w:docVar w:name="dvnumam" w:val="0"/>
    <w:docVar w:name="dvpe" w:val="772.015"/>
    <w:docVar w:name="dvrapporteur" w:val="Ordfører: "/>
    <w:docVar w:name="dvstar" w:val="***I"/>
    <w:docVar w:name="dvtitre" w:val="Europa-Parlamentets lovgivningsmæssige beslutning af xx. maj 2025 om forslag til Europa-Parlamentets og Rådets forordning om ændring af forordning (EU) 2017/1938 for så vidt angår gasoplagringens rolle med hensyn til at sikre gasforsyningen forud for vintersæsonen(COM(2025)0099 – C10-0041/2025 – 2025/0051(COD))"/>
  </w:docVars>
  <w:rsids>
    <w:rsidRoot w:val="00D220AE"/>
    <w:rsid w:val="00002272"/>
    <w:rsid w:val="00002798"/>
    <w:rsid w:val="00064002"/>
    <w:rsid w:val="000677B9"/>
    <w:rsid w:val="000831BA"/>
    <w:rsid w:val="00094C0B"/>
    <w:rsid w:val="000A42CC"/>
    <w:rsid w:val="000E7DD9"/>
    <w:rsid w:val="0010095E"/>
    <w:rsid w:val="00125B37"/>
    <w:rsid w:val="00187494"/>
    <w:rsid w:val="001F32AE"/>
    <w:rsid w:val="002767FF"/>
    <w:rsid w:val="002B18FE"/>
    <w:rsid w:val="002B5493"/>
    <w:rsid w:val="00343214"/>
    <w:rsid w:val="00361C00"/>
    <w:rsid w:val="00395FA1"/>
    <w:rsid w:val="003B4608"/>
    <w:rsid w:val="003E15D4"/>
    <w:rsid w:val="00411CCE"/>
    <w:rsid w:val="0041666E"/>
    <w:rsid w:val="00421060"/>
    <w:rsid w:val="00471C19"/>
    <w:rsid w:val="004867E3"/>
    <w:rsid w:val="00494A28"/>
    <w:rsid w:val="004C0004"/>
    <w:rsid w:val="004C5D52"/>
    <w:rsid w:val="004D27F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00B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BE8"/>
    <w:rsid w:val="00BD48FE"/>
    <w:rsid w:val="00BD7BD8"/>
    <w:rsid w:val="00BE6ADC"/>
    <w:rsid w:val="00BF4CF1"/>
    <w:rsid w:val="00C05BFE"/>
    <w:rsid w:val="00C23CD4"/>
    <w:rsid w:val="00C56C61"/>
    <w:rsid w:val="00C61C0C"/>
    <w:rsid w:val="00C941CB"/>
    <w:rsid w:val="00CC2357"/>
    <w:rsid w:val="00CD5443"/>
    <w:rsid w:val="00CF071A"/>
    <w:rsid w:val="00D058B8"/>
    <w:rsid w:val="00D20604"/>
    <w:rsid w:val="00D220AE"/>
    <w:rsid w:val="00D56C11"/>
    <w:rsid w:val="00D834A0"/>
    <w:rsid w:val="00D872DF"/>
    <w:rsid w:val="00D91E21"/>
    <w:rsid w:val="00DA7FCD"/>
    <w:rsid w:val="00E2781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E4871"/>
  <w15:chartTrackingRefBased/>
  <w15:docId w15:val="{4552FDF4-DBB1-4E20-ADA1-F857C408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4BE8"/>
    <w:pPr>
      <w:spacing w:before="480" w:after="240"/>
    </w:pPr>
  </w:style>
  <w:style w:type="paragraph" w:customStyle="1" w:styleId="NormalBold">
    <w:name w:val="NormalBold"/>
    <w:basedOn w:val="Normal"/>
    <w:rsid w:val="00BB4BE8"/>
    <w:rPr>
      <w:b/>
    </w:rPr>
  </w:style>
  <w:style w:type="paragraph" w:customStyle="1" w:styleId="NormalHanging12a">
    <w:name w:val="NormalHanging12a"/>
    <w:basedOn w:val="Normal"/>
    <w:link w:val="NormalHanging12aChar"/>
    <w:rsid w:val="00BB4BE8"/>
    <w:pPr>
      <w:spacing w:after="240"/>
      <w:ind w:left="567" w:hanging="567"/>
    </w:pPr>
  </w:style>
  <w:style w:type="paragraph" w:customStyle="1" w:styleId="NormalCenter12a">
    <w:name w:val="NormalCenter12a"/>
    <w:basedOn w:val="Normal"/>
    <w:rsid w:val="00BB4BE8"/>
    <w:pPr>
      <w:spacing w:after="240"/>
      <w:jc w:val="center"/>
    </w:pPr>
  </w:style>
  <w:style w:type="paragraph" w:customStyle="1" w:styleId="AmNumberTabs">
    <w:name w:val="AmNumberTabs"/>
    <w:basedOn w:val="Normal"/>
    <w:rsid w:val="00BB4B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B4BE8"/>
    <w:pPr>
      <w:spacing w:before="720" w:after="240"/>
      <w:jc w:val="center"/>
    </w:pPr>
  </w:style>
  <w:style w:type="paragraph" w:customStyle="1" w:styleId="Titrearticle">
    <w:name w:val="Titre article"/>
    <w:basedOn w:val="Normal"/>
    <w:next w:val="Normal"/>
    <w:rsid w:val="00BB4BE8"/>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BB4BE8"/>
    <w:rPr>
      <w:sz w:val="24"/>
      <w:lang w:val="da-DK"/>
    </w:rPr>
  </w:style>
  <w:style w:type="paragraph" w:customStyle="1" w:styleId="Normal12a">
    <w:name w:val="Normal12a"/>
    <w:basedOn w:val="Normal"/>
    <w:rsid w:val="00CD5443"/>
    <w:pPr>
      <w:spacing w:after="240"/>
    </w:pPr>
  </w:style>
  <w:style w:type="paragraph" w:customStyle="1" w:styleId="HeadingDate">
    <w:name w:val="HeadingDate"/>
    <w:basedOn w:val="Normal"/>
    <w:rsid w:val="00CD5443"/>
    <w:pPr>
      <w:spacing w:before="240" w:after="240"/>
    </w:pPr>
  </w:style>
  <w:style w:type="paragraph" w:styleId="BalloonText">
    <w:name w:val="Balloon Text"/>
    <w:basedOn w:val="Normal"/>
    <w:link w:val="BalloonTextChar"/>
    <w:rsid w:val="00CD5443"/>
    <w:rPr>
      <w:rFonts w:ascii="Segoe UI" w:hAnsi="Segoe UI" w:cs="Segoe UI"/>
      <w:sz w:val="18"/>
      <w:szCs w:val="18"/>
    </w:rPr>
  </w:style>
  <w:style w:type="character" w:customStyle="1" w:styleId="BalloonTextChar">
    <w:name w:val="Balloon Text Char"/>
    <w:basedOn w:val="DefaultParagraphFont"/>
    <w:link w:val="BalloonText"/>
    <w:rsid w:val="00CD544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C64F8-B5B1-482D-BB6B-22C88530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2894</Words>
  <Characters>18672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2025-05-08T13:05:00Z</dcterms:created>
  <dcterms:modified xsi:type="dcterms:W3CDTF">2025-05-08T13:05:00Z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P10_TA-PROV(2025)0101_A10-0079_2025_</vt:lpwstr>
  </property>
  <property fmtid="{D5CDD505-2E9C-101B-9397-08002B2CF9AE}" pid="4" name="&lt;Type&gt;">
    <vt:lpwstr>RR</vt:lpwstr>
  </property>
</Properties>
</file>