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D4590" w:rsidTr="0010095E">
        <w:trPr>
          <w:trHeight w:hRule="exact" w:val="1418"/>
        </w:trPr>
        <w:tc>
          <w:tcPr>
            <w:tcW w:w="6804" w:type="dxa"/>
            <w:shd w:val="clear" w:color="auto" w:fill="auto"/>
            <w:vAlign w:val="center"/>
          </w:tcPr>
          <w:p w:rsidR="00751A4A" w:rsidRPr="00CD4590" w:rsidRDefault="007467B6" w:rsidP="0010095E">
            <w:pPr>
              <w:pStyle w:val="EPName"/>
            </w:pPr>
            <w:r w:rsidRPr="00CD4590">
              <w:t>Ευρωπαϊκό Κοινοβούλιο</w:t>
            </w:r>
          </w:p>
          <w:p w:rsidR="00751A4A" w:rsidRPr="00CD4590" w:rsidRDefault="005F1B17" w:rsidP="005F1B17">
            <w:pPr>
              <w:pStyle w:val="EPTerm"/>
              <w:rPr>
                <w:rStyle w:val="HideTWBExt"/>
                <w:noProof w:val="0"/>
                <w:vanish w:val="0"/>
                <w:color w:val="auto"/>
              </w:rPr>
            </w:pPr>
            <w:r w:rsidRPr="00CD4590">
              <w:t>2024</w:t>
            </w:r>
            <w:r w:rsidR="00817416" w:rsidRPr="00CD4590">
              <w:t>-202</w:t>
            </w:r>
            <w:r w:rsidRPr="00CD4590">
              <w:t>9</w:t>
            </w:r>
          </w:p>
        </w:tc>
        <w:tc>
          <w:tcPr>
            <w:tcW w:w="2268" w:type="dxa"/>
            <w:shd w:val="clear" w:color="auto" w:fill="auto"/>
          </w:tcPr>
          <w:p w:rsidR="00751A4A" w:rsidRPr="00CD4590" w:rsidRDefault="00187494" w:rsidP="0010095E">
            <w:pPr>
              <w:pStyle w:val="EPLogo"/>
            </w:pPr>
            <w:r w:rsidRPr="00CD459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D4590" w:rsidRDefault="00D058B8" w:rsidP="004C5D52">
      <w:pPr>
        <w:pStyle w:val="LineTop"/>
      </w:pPr>
    </w:p>
    <w:p w:rsidR="00680577" w:rsidRPr="00CD4590" w:rsidRDefault="007467B6" w:rsidP="00680577">
      <w:pPr>
        <w:pStyle w:val="EPBodyTA1"/>
      </w:pPr>
      <w:r w:rsidRPr="00CD4590">
        <w:t>ΚΕΙΜΕΝΑ ΠΟΥ ΕΓΚΡΙΘΗΚΑΝ</w:t>
      </w:r>
    </w:p>
    <w:p w:rsidR="00D058B8" w:rsidRPr="00CD4590" w:rsidRDefault="00D058B8" w:rsidP="00D058B8">
      <w:pPr>
        <w:pStyle w:val="LineBottom"/>
      </w:pPr>
    </w:p>
    <w:p w:rsidR="007467B6" w:rsidRPr="00CD4590" w:rsidRDefault="007467B6" w:rsidP="007467B6">
      <w:pPr>
        <w:pStyle w:val="ATHeading1"/>
      </w:pPr>
      <w:bookmarkStart w:id="0" w:name="TANumber"/>
      <w:r w:rsidRPr="00CD4590">
        <w:t>P10_TA(2025)0</w:t>
      </w:r>
      <w:r w:rsidR="001B36DA" w:rsidRPr="00CD4590">
        <w:t>101</w:t>
      </w:r>
      <w:bookmarkEnd w:id="0"/>
    </w:p>
    <w:p w:rsidR="007467B6" w:rsidRPr="00CD4590" w:rsidRDefault="007467B6" w:rsidP="007467B6">
      <w:pPr>
        <w:pStyle w:val="ATHeading2"/>
      </w:pPr>
      <w:bookmarkStart w:id="1" w:name="title"/>
      <w:r w:rsidRPr="00CD4590">
        <w:t>Ο ρόλος της αποθήκευσης αερίου για την εξασφάλιση του εφοδιασμού με αέριο πριν από τη χειμερινή περίοδο</w:t>
      </w:r>
      <w:bookmarkEnd w:id="1"/>
    </w:p>
    <w:p w:rsidR="007467B6" w:rsidRPr="00CD4590" w:rsidRDefault="007467B6" w:rsidP="007467B6">
      <w:pPr>
        <w:rPr>
          <w:i/>
          <w:vanish/>
        </w:rPr>
      </w:pPr>
      <w:r w:rsidRPr="00CD4590">
        <w:rPr>
          <w:i/>
        </w:rPr>
        <w:fldChar w:fldCharType="begin"/>
      </w:r>
      <w:r w:rsidRPr="00CD4590">
        <w:rPr>
          <w:i/>
        </w:rPr>
        <w:instrText xml:space="preserve"> TC"(</w:instrText>
      </w:r>
      <w:bookmarkStart w:id="2" w:name="DocNumber"/>
      <w:r w:rsidRPr="00CD4590">
        <w:rPr>
          <w:i/>
        </w:rPr>
        <w:instrText>A10-0079/2025</w:instrText>
      </w:r>
      <w:bookmarkEnd w:id="2"/>
      <w:r w:rsidRPr="00CD4590">
        <w:rPr>
          <w:i/>
        </w:rPr>
        <w:instrText xml:space="preserve"> - Εισηγητής: Borys Budka)"\l3 \n&gt; \* MERGEFORMAT </w:instrText>
      </w:r>
      <w:r w:rsidRPr="00CD4590">
        <w:rPr>
          <w:i/>
        </w:rPr>
        <w:fldChar w:fldCharType="end"/>
      </w:r>
    </w:p>
    <w:p w:rsidR="007467B6" w:rsidRPr="00CD4590" w:rsidRDefault="007467B6" w:rsidP="007467B6">
      <w:pPr>
        <w:rPr>
          <w:vanish/>
        </w:rPr>
      </w:pPr>
      <w:bookmarkStart w:id="3" w:name="Commission"/>
      <w:r w:rsidRPr="00CD4590">
        <w:rPr>
          <w:vanish/>
        </w:rPr>
        <w:t>Επιτροπή Βιομηχανίας, Έρευνας και Ενέργειας</w:t>
      </w:r>
      <w:bookmarkEnd w:id="3"/>
    </w:p>
    <w:p w:rsidR="007467B6" w:rsidRPr="00CD4590" w:rsidRDefault="007467B6" w:rsidP="007467B6">
      <w:pPr>
        <w:rPr>
          <w:vanish/>
        </w:rPr>
      </w:pPr>
      <w:bookmarkStart w:id="4" w:name="PE"/>
      <w:r w:rsidRPr="00CD4590">
        <w:rPr>
          <w:vanish/>
        </w:rPr>
        <w:t>PE772.015</w:t>
      </w:r>
      <w:bookmarkEnd w:id="4"/>
    </w:p>
    <w:p w:rsidR="007467B6" w:rsidRPr="00CD4590" w:rsidRDefault="00AC7BD8" w:rsidP="007467B6">
      <w:pPr>
        <w:pStyle w:val="ATHeading3"/>
      </w:pPr>
      <w:bookmarkStart w:id="5" w:name="Sujet"/>
      <w:r w:rsidRPr="00CD4590">
        <w:t>Τροπολογίες</w:t>
      </w:r>
      <w:r w:rsidR="007467B6" w:rsidRPr="00CD4590">
        <w:t xml:space="preserve"> </w:t>
      </w:r>
      <w:r w:rsidR="007509E1">
        <w:t xml:space="preserve">του </w:t>
      </w:r>
      <w:bookmarkStart w:id="6" w:name="_GoBack"/>
      <w:bookmarkEnd w:id="6"/>
      <w:r w:rsidR="007467B6" w:rsidRPr="00CD4590">
        <w:t xml:space="preserve">Ευρωπαϊκού Κοινοβουλίου </w:t>
      </w:r>
      <w:r w:rsidR="003C12B1" w:rsidRPr="00CD4590">
        <w:t xml:space="preserve">της 8ης Μαΐου 2025 </w:t>
      </w:r>
      <w:r w:rsidR="007467B6" w:rsidRPr="00CD4590">
        <w:t>στην πρόταση κανονισμού του Ευρωπαϊκού Κοινοβουλίου και του Συμβουλίου για την τροποποίηση του κανονισμού (ΕΕ) 2017/1938 όσον αφορά τον ρόλο της αποθήκευσης αερίου για την εξασφάλιση του εφοδιασμού με αέριο πριν από τη χειμερινή περίοδο</w:t>
      </w:r>
      <w:bookmarkEnd w:id="5"/>
      <w:r w:rsidR="007467B6" w:rsidRPr="00CD4590">
        <w:t xml:space="preserve"> </w:t>
      </w:r>
      <w:bookmarkStart w:id="7" w:name="References"/>
      <w:r w:rsidR="007467B6" w:rsidRPr="00CD4590">
        <w:t>(COM(2025)0099 – C10-0041/2025 – 2025/0051(COD))</w:t>
      </w:r>
      <w:bookmarkEnd w:id="7"/>
      <w:r w:rsidRPr="00CD4590">
        <w:rPr>
          <w:rStyle w:val="FootnoteReference"/>
        </w:rPr>
        <w:footnoteReference w:id="1"/>
      </w:r>
    </w:p>
    <w:p w:rsidR="007467B6" w:rsidRPr="00CD4590" w:rsidRDefault="007467B6" w:rsidP="007467B6"/>
    <w:p w:rsidR="007A0812" w:rsidRPr="00CD4590" w:rsidRDefault="007A0812" w:rsidP="007A0812">
      <w:pPr>
        <w:pStyle w:val="NormalBold"/>
      </w:pPr>
      <w:bookmarkStart w:id="8" w:name="TextBodyBegin"/>
      <w:bookmarkEnd w:id="8"/>
      <w:r w:rsidRPr="00CD4590">
        <w:t>(Συνήθης νομοθετική διαδικασία: πρώτη ανάγνωση)</w:t>
      </w:r>
    </w:p>
    <w:p w:rsidR="00EC4DCC" w:rsidRPr="00CD4590" w:rsidRDefault="00EC4DCC" w:rsidP="007A0812">
      <w:pPr>
        <w:pStyle w:val="NormalHanging12a"/>
      </w:pPr>
    </w:p>
    <w:p w:rsidR="007A0812" w:rsidRPr="00CD4590" w:rsidRDefault="00AC7BD8" w:rsidP="007A0812">
      <w:pPr>
        <w:pStyle w:val="AmNumberTabs"/>
        <w:keepNext/>
      </w:pPr>
      <w:r w:rsidRPr="00CD4590">
        <w:t>[</w:t>
      </w:r>
      <w:r w:rsidR="007A0812" w:rsidRPr="00CD4590">
        <w:t>Τροπολογία</w:t>
      </w:r>
      <w:r w:rsidR="007A0812" w:rsidRPr="00CD4590">
        <w:tab/>
      </w:r>
      <w:r w:rsidR="007A0812" w:rsidRPr="00CD4590">
        <w:tab/>
        <w:t>1</w:t>
      </w:r>
      <w:r w:rsidRPr="00CD4590">
        <w:t xml:space="preserve"> εκτός αν ορίζεται διαφορετικά]</w:t>
      </w:r>
    </w:p>
    <w:p w:rsidR="007A0812" w:rsidRPr="00CD4590" w:rsidRDefault="007A0812" w:rsidP="00CD4590">
      <w:pPr>
        <w:pStyle w:val="AmHeadingConsam"/>
      </w:pPr>
      <w:r w:rsidRPr="00CD4590">
        <w:t>ΤΡΟΠΟΛΟΓΙΕΣ ΤΟΥ ΕΥΡΩΠΑΪΚΟΥ ΚΟΙΝΟΒΟΥΛΙΟΥ</w:t>
      </w:r>
      <w:r w:rsidRPr="00CD4590">
        <w:rPr>
          <w:rStyle w:val="FootnoteReference"/>
        </w:rPr>
        <w:footnoteReference w:customMarkFollows="1" w:id="2"/>
        <w:t>*</w:t>
      </w:r>
    </w:p>
    <w:p w:rsidR="007A0812" w:rsidRPr="00CD4590" w:rsidRDefault="007A0812" w:rsidP="00CD4590">
      <w:pPr>
        <w:pStyle w:val="NormalCenter12a"/>
      </w:pPr>
      <w:r w:rsidRPr="00CD4590">
        <w:t>στην πρόταση της Επιτροπής</w:t>
      </w:r>
    </w:p>
    <w:p w:rsidR="007A0812" w:rsidRPr="00CD4590" w:rsidRDefault="007A0812" w:rsidP="00CD4590">
      <w:pPr>
        <w:pStyle w:val="NormalCenter12a"/>
        <w:spacing w:line="360" w:lineRule="auto"/>
      </w:pPr>
      <w:r w:rsidRPr="00CD4590">
        <w:t>---------------------------------------------------------</w:t>
      </w:r>
    </w:p>
    <w:p w:rsidR="007A0812" w:rsidRPr="00CD4590" w:rsidRDefault="007A0812" w:rsidP="00CD4590">
      <w:pPr>
        <w:pStyle w:val="NormalCenter12a"/>
        <w:spacing w:before="240" w:line="360" w:lineRule="auto"/>
        <w:rPr>
          <w:b/>
        </w:rPr>
      </w:pPr>
      <w:r w:rsidRPr="00CD4590">
        <w:rPr>
          <w:b/>
        </w:rPr>
        <w:t>ΚΑΝΟΝΙΣΜΟΣ ΤΟΥ ΕΥΡΩΠΑΪΚΟΥ ΚΟΙΝΟΒΟΥΛΙΟΥ ΚΑΙ ΤΟΥ ΣΥΜΒΟΥΛΙΟΥ</w:t>
      </w:r>
    </w:p>
    <w:p w:rsidR="007A0812" w:rsidRPr="00CD4590" w:rsidRDefault="007A0812" w:rsidP="00CD4590">
      <w:pPr>
        <w:pStyle w:val="NormalCenter12a"/>
        <w:widowControl/>
        <w:spacing w:before="360" w:after="360"/>
      </w:pPr>
      <w:r w:rsidRPr="00CD4590">
        <w:rPr>
          <w:b/>
        </w:rPr>
        <w:t>για την τροποποίηση του κανονισμού (ΕΕ) 2017/1938 όσον αφορά τον ρόλο της αποθήκευσης αερίου για την εξασφάλιση του εφοδιασμού με αέριο πριν από τη χειμερινή περίοδο</w:t>
      </w:r>
    </w:p>
    <w:p w:rsidR="007A0812" w:rsidRPr="00CD4590" w:rsidRDefault="007A0812" w:rsidP="00CD4590">
      <w:pPr>
        <w:pStyle w:val="NormalCenter12a"/>
        <w:widowControl/>
        <w:spacing w:before="600" w:after="120"/>
        <w:jc w:val="left"/>
      </w:pPr>
      <w:r w:rsidRPr="00CD4590">
        <w:lastRenderedPageBreak/>
        <w:t>ΤΟ ΕΥΡΩΠΑΪΚΟ ΚΟΙΝΟΒΟΥΛΙΟ ΚΑΙ ΤΟ ΣΥΜΒΟΥΛΙΟ ΤΗΣ ΕΥΡΩΠΑΪΚΗΣ ΕΝΩΣΗΣ,</w:t>
      </w:r>
    </w:p>
    <w:p w:rsidR="007A0812" w:rsidRPr="00CD4590" w:rsidRDefault="007A0812" w:rsidP="00CD4590">
      <w:pPr>
        <w:pStyle w:val="NormalCenter12a"/>
        <w:widowControl/>
        <w:spacing w:before="120" w:after="120"/>
        <w:jc w:val="left"/>
      </w:pPr>
      <w:r w:rsidRPr="00CD4590">
        <w:t>Έχοντας υπόψη τη Συνθήκη για τη λειτουργία της Ευρωπαϊκής Ένωσης και ιδίως το άρθρο 194 παράγραφος 2,</w:t>
      </w:r>
    </w:p>
    <w:p w:rsidR="007A0812" w:rsidRPr="00CD4590" w:rsidRDefault="007A0812" w:rsidP="00CD4590">
      <w:pPr>
        <w:pStyle w:val="NormalCenter12a"/>
        <w:widowControl/>
        <w:spacing w:before="120" w:after="120"/>
        <w:jc w:val="left"/>
      </w:pPr>
      <w:r w:rsidRPr="00CD4590">
        <w:t>Έχοντας υπόψη την πρόταση της Ευρωπαϊκής Επιτροπής,</w:t>
      </w:r>
    </w:p>
    <w:p w:rsidR="007A0812" w:rsidRPr="00CD4590" w:rsidRDefault="007A0812" w:rsidP="00CD4590">
      <w:pPr>
        <w:pStyle w:val="NormalCenter12a"/>
        <w:widowControl/>
        <w:spacing w:before="120" w:after="120"/>
        <w:jc w:val="left"/>
      </w:pPr>
      <w:r w:rsidRPr="00CD4590">
        <w:t>Κατόπιν διαβίβασης του σχεδίου νομοθετικής πράξης στα εθνικά κοινοβούλια,</w:t>
      </w:r>
    </w:p>
    <w:p w:rsidR="007A0812" w:rsidRPr="00CD4590" w:rsidRDefault="007A0812" w:rsidP="00CD4590">
      <w:pPr>
        <w:pStyle w:val="NormalCenter12a"/>
        <w:widowControl/>
        <w:spacing w:before="120" w:after="120"/>
        <w:jc w:val="left"/>
      </w:pPr>
      <w:r w:rsidRPr="00CD4590">
        <w:t>Αποφασίζοντας σύμφωνα με τη συνήθη νομοθετική διαδικασία,</w:t>
      </w:r>
    </w:p>
    <w:p w:rsidR="007A0812" w:rsidRPr="00CD4590" w:rsidRDefault="007A0812" w:rsidP="00CD4590">
      <w:pPr>
        <w:pStyle w:val="NormalCenter12a"/>
        <w:widowControl/>
        <w:spacing w:before="120" w:after="120"/>
        <w:jc w:val="left"/>
      </w:pPr>
      <w:r w:rsidRPr="00CD4590">
        <w:t>Εκτιμώντας τα ακόλουθα:</w:t>
      </w:r>
    </w:p>
    <w:p w:rsidR="007A0812" w:rsidRPr="00CD4590" w:rsidRDefault="007A0812" w:rsidP="00CD4590">
      <w:pPr>
        <w:pStyle w:val="NormalHanging12a"/>
        <w:widowControl/>
        <w:spacing w:before="120" w:after="120"/>
        <w:ind w:left="851" w:hanging="851"/>
      </w:pPr>
      <w:r w:rsidRPr="00CD4590">
        <w:t>(1)</w:t>
      </w:r>
      <w:r w:rsidRPr="00CD4590">
        <w:tab/>
        <w:t>Ο κανονισμός (ΕΕ) 2022/1032 του Κοινοβουλίου και του Συμβουλίου</w:t>
      </w:r>
      <w:r w:rsidRPr="00CD4590">
        <w:rPr>
          <w:vertAlign w:val="superscript"/>
        </w:rPr>
        <w:footnoteReference w:id="3"/>
      </w:r>
      <w:r w:rsidRPr="00CD4590">
        <w:t xml:space="preserve"> εκδόθηκε ως αντίδραση στην κρίση στον εφοδιασμό με αέριο και στις πρωτοφανείς αυξήσεις των τιμών που προκλήθηκαν από την κλιμάκωση </w:t>
      </w:r>
      <w:r w:rsidRPr="00CD4590">
        <w:rPr>
          <w:b/>
          <w:bCs/>
          <w:i/>
          <w:iCs/>
        </w:rPr>
        <w:t>του συνεχιζόμενου αδικαιολόγητου και απρόκλητου επιθετικού πολέμου της Ρωσίας</w:t>
      </w:r>
      <w:r w:rsidRPr="00CD4590">
        <w:t xml:space="preserve"> κατά της Ουκρανίας από τον Φεβρουάριο του 2022, που ώθησαν την Ένωση να ενεργήσει με συντονισμένο και συνολικό τρόπο για την αποφυγή ενδεχόμενων κινδύνων που θα απέρρεαν από περαιτέρω διαταραχές στον εφοδιασμό με αέριο.</w:t>
      </w:r>
    </w:p>
    <w:p w:rsidR="00AC7BD8" w:rsidRPr="00CD4590" w:rsidRDefault="00AC7BD8" w:rsidP="00CD4590">
      <w:pPr>
        <w:pStyle w:val="NormalHanging12a"/>
        <w:widowControl/>
        <w:spacing w:before="120" w:after="120"/>
        <w:ind w:left="851" w:hanging="851"/>
        <w:rPr>
          <w:b/>
          <w:szCs w:val="24"/>
        </w:rPr>
      </w:pPr>
      <w:r w:rsidRPr="00CD4590">
        <w:rPr>
          <w:b/>
          <w:i/>
        </w:rPr>
        <w:t>(1α)</w:t>
      </w:r>
      <w:r w:rsidRPr="00CD4590">
        <w:tab/>
      </w:r>
      <w:r w:rsidRPr="00CD4590">
        <w:rPr>
          <w:b/>
          <w:i/>
        </w:rPr>
        <w:t>Ενόψει του συνεχιζόμενου πολέμου της Ρωσίας κατά της Ουκρανίας και σύμφωνα με τη στρατηγική δέσμευση της Ένωσης να τερματίσει την εξάρτησή της από τα ρωσικά ορυκτά καύσιμα, τα κράτη μέλη θα πρέπει να απέχουν από την αποθήκευση αερίου ρωσικής προέλευσης. Στο πλαίσιο αυτό, η Ένωση θα πρέπει να επιδιώξει την επιβολή συντονισμένων και άμεσων κυρώσεων στις εισαγωγές και τις αγορές όλου του ρωσικού αερίου, συμπεριλαμβανομένου του υγροποιημένου φυσικού αερίου (ΥΦΑ). Οι χειμερινές προοπτικές εφοδιασμού του ΕΔΔΣΜ Αερίου για την περίοδο 2024-2025 επιβεβαιώνουν ότι η Ένωση μπορεί να επιτύχει τους στόχους αποθήκευσης και να διατηρήσει την ασφάλεια του εφοδιασμού χωρίς να εξαρτάται από το ρωσικό αέριο, εφαρμόζοντας συνδυασμό μέτρων, συμπεριλαμβανομένης της συνεχούς μείωσης της ζήτησης. Επομένως, ένα πλήρες εμπάργκο στο ρωσικό φυσικό αέριο είναι τόσο αναγκαίο όσο και εφικτό, και η ταχεία εφαρμογή του θα συμβάλει στην ενίσχυση της ενεργειακής κυριαρχίας και της γεωπολιτικής ανθεκτικότητας της Ένωσης.</w:t>
      </w:r>
      <w:r w:rsidRPr="00CD4590">
        <w:rPr>
          <w:b/>
        </w:rPr>
        <w:t xml:space="preserve"> [Τροπολογία 7]</w:t>
      </w:r>
    </w:p>
    <w:p w:rsidR="007A0812" w:rsidRPr="00CD4590" w:rsidRDefault="007A0812" w:rsidP="00CD4590">
      <w:pPr>
        <w:pStyle w:val="NormalCenter12a"/>
        <w:widowControl/>
        <w:spacing w:before="120" w:after="120"/>
        <w:ind w:left="851" w:hanging="851"/>
        <w:jc w:val="left"/>
      </w:pPr>
      <w:r w:rsidRPr="00CD4590">
        <w:t>(2)</w:t>
      </w:r>
      <w:r w:rsidRPr="00CD4590">
        <w:tab/>
        <w:t>Ο κανονισμός (ΕΕ) 2022/1032 τροποποίησε τον κανονισμό (ΕΕ) 2017/1938 με τη θέσπιση προσωρινού νομικού πλαισίου για μέτρα σχετικά με το επίπεδο πλήρωσης των υπόγειων εγκαταστάσεων αποθήκευσης για την ενίσχυση της ασφάλειας εφοδιασμού με αέριο στην Ένωση, ιδίως τον εφοδιασμό προστατευόμενων πελατών με αέριο.</w:t>
      </w:r>
    </w:p>
    <w:p w:rsidR="007A0812" w:rsidRPr="00CD4590" w:rsidRDefault="007A0812" w:rsidP="00CD4590">
      <w:pPr>
        <w:pStyle w:val="NormalHanging12a"/>
        <w:widowControl/>
        <w:spacing w:before="120" w:after="120"/>
        <w:ind w:left="851" w:hanging="851"/>
        <w:rPr>
          <w:szCs w:val="24"/>
        </w:rPr>
      </w:pPr>
      <w:r w:rsidRPr="00CD4590">
        <w:t>(3)</w:t>
      </w:r>
      <w:r w:rsidRPr="00CD4590">
        <w:tab/>
        <w:t>Οι εγκαταστάσεις αποθήκευσης αερίου καλύπτουν το 30 % της κατανάλωσης αερίου στην Ένωση κατά τους χειμερινούς μήνες και η ικανοποιητική πλήρωση των υπόγειων εγκαταστάσεων αποθήκευσης αερίου</w:t>
      </w:r>
      <w:r w:rsidRPr="00CD4590">
        <w:rPr>
          <w:b/>
          <w:bCs/>
          <w:i/>
          <w:iCs/>
        </w:rPr>
        <w:t>, όπως επίσης η μείωση της ζήτησης για αέριο, συμβάλλουν</w:t>
      </w:r>
      <w:r w:rsidRPr="00CD4590">
        <w:t xml:space="preserve"> σημαντικά στην ασφάλεια του εφοδιασμού με αέριο παρέχοντας πρόσθετο αέριο σε περίπτωση έντονης ζήτησης ή διαταραχών του εφοδιασμού.</w:t>
      </w:r>
    </w:p>
    <w:p w:rsidR="007A0812" w:rsidRPr="00CD4590" w:rsidRDefault="007A0812" w:rsidP="00CD4590">
      <w:pPr>
        <w:pStyle w:val="NormalHanging12a"/>
        <w:widowControl/>
        <w:spacing w:before="120" w:after="120"/>
        <w:ind w:left="851" w:hanging="851"/>
        <w:rPr>
          <w:szCs w:val="24"/>
        </w:rPr>
      </w:pPr>
      <w:r w:rsidRPr="00CD4590">
        <w:lastRenderedPageBreak/>
        <w:t>(4)</w:t>
      </w:r>
      <w:r w:rsidRPr="00CD4590">
        <w:tab/>
        <w:t xml:space="preserve">Ο καθορισμός υποχρεωτικού στόχου για να διασφαλίζεται ότι οι εγκαταστάσεις αποθήκευσης αερίου είναι πλήρεις κατά 90 % έως την 1η Νοεμβρίου (στόχος πλήρωσης), με μια σειρά ενδιάμεσων στόχων για κάθε κράτος μέλος για τον Φεβρουάριο, τον Μάιο, τον Ιούλιο και τον Σεπτέμβριο του </w:t>
      </w:r>
      <w:r w:rsidRPr="00CD4590">
        <w:rPr>
          <w:b/>
          <w:i/>
        </w:rPr>
        <w:t>επόμενου</w:t>
      </w:r>
      <w:r w:rsidRPr="00CD4590">
        <w:t xml:space="preserve"> έτους (πορεία πλήρωσης), αποδείχτηκε θεμελιώδους σημασίας </w:t>
      </w:r>
      <w:r w:rsidRPr="00CD4590">
        <w:rPr>
          <w:b/>
          <w:bCs/>
          <w:i/>
          <w:iCs/>
        </w:rPr>
        <w:t>στη διάρκεια</w:t>
      </w:r>
      <w:r w:rsidRPr="00CD4590">
        <w:t xml:space="preserve"> της ενεργειακής κρίσης που </w:t>
      </w:r>
      <w:proofErr w:type="spellStart"/>
      <w:r w:rsidRPr="00CD4590">
        <w:t>πυροδοτήθηκε</w:t>
      </w:r>
      <w:proofErr w:type="spellEnd"/>
      <w:r w:rsidRPr="00CD4590">
        <w:t xml:space="preserve"> από </w:t>
      </w:r>
      <w:r w:rsidRPr="00CD4590">
        <w:rPr>
          <w:b/>
          <w:bCs/>
          <w:i/>
          <w:iCs/>
        </w:rPr>
        <w:t>τον επιθετικό πόλεμο της Ρωσίας κατά της Ουκρανίας και</w:t>
      </w:r>
      <w:r w:rsidRPr="00CD4590">
        <w:t xml:space="preserve"> τη χρήση </w:t>
      </w:r>
      <w:r w:rsidRPr="00CD4590">
        <w:rPr>
          <w:b/>
          <w:bCs/>
          <w:i/>
          <w:iCs/>
        </w:rPr>
        <w:t>από τη Ρωσία</w:t>
      </w:r>
      <w:r w:rsidRPr="00CD4590">
        <w:t xml:space="preserve"> του εφοδιασμού με ρωσικό αέριο ως όπλου όσον αφορά τόσο: i) την επιτυχή αντιμετώπιση των ελλείψεων του εφοδιασμού με αέριο· όσο και </w:t>
      </w:r>
      <w:proofErr w:type="spellStart"/>
      <w:r w:rsidRPr="00CD4590">
        <w:t>ii</w:t>
      </w:r>
      <w:proofErr w:type="spellEnd"/>
      <w:r w:rsidRPr="00CD4590">
        <w:t>) τη μείωση των αβεβαιοτήτων της αγοράς και της αστάθειας των τιμών.</w:t>
      </w:r>
    </w:p>
    <w:p w:rsidR="007A0812" w:rsidRPr="00CD4590" w:rsidRDefault="007A0812" w:rsidP="00CD4590">
      <w:pPr>
        <w:pStyle w:val="NormalHanging12a"/>
        <w:widowControl/>
        <w:spacing w:before="120" w:after="120"/>
        <w:ind w:left="851" w:hanging="851"/>
        <w:rPr>
          <w:szCs w:val="24"/>
        </w:rPr>
      </w:pPr>
      <w:r w:rsidRPr="00CD4590">
        <w:t>(5)</w:t>
      </w:r>
      <w:r w:rsidRPr="00CD4590">
        <w:tab/>
        <w:t xml:space="preserve">Παρά τη σημαντική βελτίωση της κατάστασης στην αγορά αερίου σε σύγκριση με την περίοδο 2022-2023, η ευρωπαϊκή αγορά αερίου εξακολουθεί να χαρακτηρίζεται από στενότητα </w:t>
      </w:r>
      <w:r w:rsidRPr="00CD4590">
        <w:rPr>
          <w:b/>
          <w:bCs/>
          <w:i/>
          <w:iCs/>
        </w:rPr>
        <w:t>και η γεωπολιτική κατάσταση παραμένει ασαφής</w:t>
      </w:r>
      <w:r w:rsidRPr="00CD4590">
        <w:t>.</w:t>
      </w:r>
      <w:r w:rsidRPr="00CD4590">
        <w:rPr>
          <w:b/>
          <w:i/>
        </w:rPr>
        <w:t xml:space="preserve"> </w:t>
      </w:r>
      <w:r w:rsidRPr="00CD4590">
        <w:t>Ο εντονότερος ανταγωνισμός για τον παγκόσμιο εφοδιασμό ΥΦΑ μπορεί να αυξήσει την έκθεση των κρατών μελών σε αστάθεια των τιμών. ▌Στην περίπτωση αυτή, ο ρόλος των εγκαταστάσεων αποθήκευσης αερίου παραμένει υψίστης σημασίας. ▌</w:t>
      </w:r>
    </w:p>
    <w:p w:rsidR="007A0812" w:rsidRPr="00CD4590" w:rsidRDefault="007A0812" w:rsidP="00CD4590">
      <w:pPr>
        <w:pStyle w:val="NormalCenter12a"/>
        <w:widowControl/>
        <w:spacing w:before="120" w:after="120"/>
        <w:ind w:left="851" w:hanging="851"/>
        <w:jc w:val="left"/>
      </w:pPr>
      <w:r w:rsidRPr="00CD4590">
        <w:t>(6)</w:t>
      </w:r>
      <w:r w:rsidRPr="00CD4590">
        <w:tab/>
        <w:t>Σύμφωνα με τον κανονισμό (ΕΕ) 2017/1938, η υποχρέωση των κρατών μελών να τηρούν την ετήσια πορεία πλήρωσης και να διασφαλίζουν την επίτευξη του στόχου πλήρωσης έως την 1η Νοεμβρίου κάθε έτους λήγει στις 31 Δεκεμβρίου 2025.</w:t>
      </w:r>
    </w:p>
    <w:p w:rsidR="007A0812" w:rsidRPr="00CD4590" w:rsidRDefault="007A0812" w:rsidP="00CD4590">
      <w:pPr>
        <w:pStyle w:val="NormalHanging12a"/>
        <w:widowControl/>
        <w:spacing w:before="120" w:after="120"/>
        <w:ind w:left="851" w:hanging="851"/>
        <w:rPr>
          <w:b/>
          <w:i/>
          <w:szCs w:val="24"/>
        </w:rPr>
      </w:pPr>
      <w:r w:rsidRPr="00CD4590">
        <w:rPr>
          <w:b/>
          <w:i/>
        </w:rPr>
        <w:t>(6α)</w:t>
      </w:r>
      <w:r w:rsidRPr="00CD4590">
        <w:rPr>
          <w:b/>
          <w:i/>
        </w:rPr>
        <w:tab/>
        <w:t xml:space="preserve">Από το 2022, η Ένωση έχει επιτύχει σε μεγάλο βαθμό να καταστήσει ασφαλέστερο τον εφοδιασμό με αέριο αυξάνοντας τις εισαγωγές ΥΦΑ από αξιόπιστους παγκόσμιους εταίρους και επιδιώκει την πλήρη εξάλειψη της εξάρτησης της Ένωσης από τα ρωσικά ορυκτά καύσιμα, βασιζόμενη στην πρόοδο που σημειώνει το REPowerEU. Η Ένωση έχει αναπτύξει νέες εγκαταστάσεις </w:t>
      </w:r>
      <w:proofErr w:type="spellStart"/>
      <w:r w:rsidRPr="00CD4590">
        <w:rPr>
          <w:b/>
          <w:i/>
        </w:rPr>
        <w:t>επαναεριοποίησης</w:t>
      </w:r>
      <w:proofErr w:type="spellEnd"/>
      <w:r w:rsidRPr="00CD4590">
        <w:rPr>
          <w:b/>
          <w:i/>
        </w:rPr>
        <w:t xml:space="preserve"> και λιμενικούς τερματικούς σταθμούς, δημιουργώντας παράλληλα μια αγορά υγροποιημένου φυσικού αερίου που διασφαλίζει ισχυρή ανθεκτικότητα έναντι πιθανών διαταραχών στον εναπομένοντα εφοδιασμό από ρωσικούς αγωγούς.</w:t>
      </w:r>
    </w:p>
    <w:p w:rsidR="007A0812" w:rsidRPr="00CD4590" w:rsidRDefault="007A0812" w:rsidP="00CD4590">
      <w:pPr>
        <w:pStyle w:val="NormalHanging12a"/>
        <w:widowControl/>
        <w:spacing w:before="120" w:after="120"/>
        <w:ind w:left="851" w:hanging="851"/>
        <w:rPr>
          <w:b/>
          <w:i/>
          <w:szCs w:val="24"/>
        </w:rPr>
      </w:pPr>
      <w:r w:rsidRPr="00CD4590">
        <w:rPr>
          <w:b/>
          <w:i/>
        </w:rPr>
        <w:t>(6β)</w:t>
      </w:r>
      <w:r w:rsidRPr="00CD4590">
        <w:rPr>
          <w:b/>
          <w:i/>
        </w:rPr>
        <w:tab/>
        <w:t>Το μεταβληθέν παγκόσμιο πολιτικό περιβάλλον πρέπει να λαμβάνεται υπόψη όσον αφορά την αξιοπιστία των προμηθευτών φυσικού αερίου και των χωρών που προμηθεύουν φυσικό αέριο.</w:t>
      </w:r>
    </w:p>
    <w:p w:rsidR="007A0812" w:rsidRPr="00CD4590" w:rsidRDefault="007A0812" w:rsidP="00CD4590">
      <w:pPr>
        <w:pStyle w:val="NormalHanging12a"/>
        <w:widowControl/>
        <w:spacing w:before="120" w:after="120"/>
        <w:ind w:left="851" w:hanging="851"/>
        <w:rPr>
          <w:szCs w:val="24"/>
        </w:rPr>
      </w:pPr>
      <w:r w:rsidRPr="00CD4590">
        <w:t>(7)</w:t>
      </w:r>
      <w:r w:rsidRPr="00CD4590">
        <w:tab/>
      </w:r>
      <w:r w:rsidRPr="00CD4590">
        <w:rPr>
          <w:b/>
          <w:bCs/>
          <w:i/>
          <w:iCs/>
        </w:rPr>
        <w:t xml:space="preserve">Δεδομένης της επιτυχίας της Ευρώπης να μειώσει το προφίλ κινδύνου των εισαγωγών φυσικού αερίου, το συνολικό πλαίσιο για την κάλυψη της ανάγκης της Ένωσης για φυσικό αέριο πρέπει να επιτύχει ισορροπία μεταξύ της ενεργειακής ασφάλειας και της επιστροφής σε </w:t>
      </w:r>
      <w:proofErr w:type="spellStart"/>
      <w:r w:rsidRPr="00CD4590">
        <w:rPr>
          <w:b/>
          <w:bCs/>
          <w:i/>
          <w:iCs/>
        </w:rPr>
        <w:t>αγορακεντρικές</w:t>
      </w:r>
      <w:proofErr w:type="spellEnd"/>
      <w:r w:rsidRPr="00CD4590">
        <w:rPr>
          <w:b/>
          <w:bCs/>
          <w:i/>
          <w:iCs/>
        </w:rPr>
        <w:t xml:space="preserve"> αρχές</w:t>
      </w:r>
      <w:r w:rsidRPr="00CD4590">
        <w:t>.</w:t>
      </w:r>
      <w:r w:rsidRPr="00CD4590">
        <w:rPr>
          <w:b/>
          <w:i/>
        </w:rPr>
        <w:t xml:space="preserve"> </w:t>
      </w:r>
      <w:r w:rsidRPr="00CD4590">
        <w:t xml:space="preserve">Πρέπει </w:t>
      </w:r>
      <w:r w:rsidRPr="00CD4590">
        <w:rPr>
          <w:b/>
          <w:bCs/>
          <w:i/>
          <w:iCs/>
        </w:rPr>
        <w:t>επομένως</w:t>
      </w:r>
      <w:r w:rsidRPr="00CD4590">
        <w:t xml:space="preserve"> να είναι αρκετά ευέλικτο κατά τη διάρκεια της περιόδου πλήρωσης ώστε να είναι δυνατή η ταχεία αντίδραση στις συνεχώς μεταβαλλόμενες συνθήκες της αγοράς και ιδίως η αξιοποίηση των βέλτιστων όρων αγοράς </w:t>
      </w:r>
      <w:r w:rsidRPr="00CD4590">
        <w:rPr>
          <w:b/>
          <w:bCs/>
          <w:i/>
          <w:iCs/>
        </w:rPr>
        <w:t>προκειμένου να μειωθούν οι τιμές του φυσικού αερίου στην Ευρώπη</w:t>
      </w:r>
      <w:r w:rsidRPr="00CD4590">
        <w:t xml:space="preserve">. </w:t>
      </w:r>
      <w:r w:rsidRPr="00CD4590">
        <w:rPr>
          <w:b/>
          <w:i/>
        </w:rPr>
        <w:t>Ως εκ τούτου, ο στόχος πλήρωσης θα πρέπει να μειωθεί στο 83 %.</w:t>
      </w:r>
    </w:p>
    <w:p w:rsidR="007A0812" w:rsidRPr="00CD4590" w:rsidRDefault="007A0812" w:rsidP="00CD4590">
      <w:pPr>
        <w:pStyle w:val="NormalHanging12a"/>
        <w:widowControl/>
        <w:spacing w:before="120" w:after="120"/>
        <w:ind w:left="851" w:hanging="851"/>
        <w:rPr>
          <w:szCs w:val="24"/>
        </w:rPr>
      </w:pPr>
      <w:r w:rsidRPr="00CD4590">
        <w:t>(8)</w:t>
      </w:r>
      <w:r w:rsidRPr="00CD4590">
        <w:tab/>
      </w:r>
      <w:r w:rsidRPr="00CD4590">
        <w:rPr>
          <w:b/>
          <w:bCs/>
          <w:i/>
          <w:iCs/>
        </w:rPr>
        <w:t>Για να ενισχυθεί η σταθερότητα της αγοράς και να μετριαστεί ο κίνδυνος αδικαιολόγητης αστάθειας των τιμών που ενδέχεται να προκληθεί από ενδιάμεσους στόχους</w:t>
      </w:r>
      <w:r w:rsidRPr="00CD4590">
        <w:t xml:space="preserve"> πλήρωσης</w:t>
      </w:r>
      <w:r w:rsidRPr="00CD4590">
        <w:rPr>
          <w:b/>
          <w:bCs/>
          <w:i/>
          <w:iCs/>
        </w:rPr>
        <w:t>, είναι σκόπιμο να παρασχεθεί αυξημένη ευελιξία για την πορεία πλήρωσης των εγκαταστάσεων αποθήκευσης</w:t>
      </w:r>
      <w:r w:rsidR="00BE1A1F" w:rsidRPr="00CD4590">
        <w:rPr>
          <w:b/>
          <w:bCs/>
          <w:i/>
          <w:iCs/>
        </w:rPr>
        <w:t>.</w:t>
      </w:r>
      <w:r w:rsidRPr="00CD4590">
        <w:t xml:space="preserve"> </w:t>
      </w:r>
      <w:r w:rsidRPr="00CD4590">
        <w:rPr>
          <w:b/>
          <w:bCs/>
          <w:i/>
          <w:iCs/>
        </w:rPr>
        <w:t>Τα κράτη μέλη θα πρέπει επομένως να παρέχουν ενδεικτικά σχέδια πλήρωσης σε ετήσια βάση, τα οποία να περιλαμβάνουν όπου είναι σκόπιμο ενδεικτική πορεία πλήρωσης</w:t>
      </w:r>
      <w:r w:rsidRPr="00CD4590">
        <w:t xml:space="preserve"> και να επιτρέπουν την πλήρωση των εγκαταστάσεων αποθήκευσης κατά τρόπο ώστε να υπάρχει επαρκής ευελιξία για τους συμμετέχοντες στην αγορά καθ’ όλο το έτος</w:t>
      </w:r>
      <w:r w:rsidRPr="00CD4590">
        <w:rPr>
          <w:b/>
          <w:bCs/>
          <w:i/>
          <w:iCs/>
        </w:rPr>
        <w:t>, λαμβάνοντας υπόψη τη σύσταση (2025)1481</w:t>
      </w:r>
      <w:r w:rsidR="00575FE7" w:rsidRPr="00CD4590">
        <w:rPr>
          <w:b/>
          <w:bCs/>
          <w:i/>
          <w:iCs/>
        </w:rPr>
        <w:t>.</w:t>
      </w:r>
    </w:p>
    <w:p w:rsidR="007A0812" w:rsidRPr="00CD4590" w:rsidRDefault="007A0812" w:rsidP="00CD4590">
      <w:pPr>
        <w:pStyle w:val="NormalHanging12a"/>
        <w:widowControl/>
        <w:spacing w:before="120" w:after="120"/>
        <w:ind w:left="851" w:hanging="851"/>
        <w:rPr>
          <w:b/>
          <w:i/>
          <w:szCs w:val="24"/>
        </w:rPr>
      </w:pPr>
      <w:r w:rsidRPr="00CD4590">
        <w:rPr>
          <w:b/>
          <w:i/>
        </w:rPr>
        <w:t>(8α)</w:t>
      </w:r>
      <w:r w:rsidRPr="00CD4590">
        <w:rPr>
          <w:b/>
          <w:i/>
        </w:rPr>
        <w:tab/>
        <w:t>Τα κράτη μέλη θα πρέπει να έχουν τη δυνατότητα να αποκλίνουν έως και κατά τέσσερις ποσοστιαίες μονάδες από τον στόχο πλήρωσης σε περίπτωση δυσμενών συνθηκών της αγοράς συνδεόμενων, μεταξύ άλλων, με παράγοντες όπως η προσφορά και η ζήτηση και ο ανταγωνισμός, ή σε περίπτωση εμπορικών δραστηριοτήτων που εμποδίζουν την οικονομικά αποδοτική πλήρωση των εγκαταστάσεων αποθήκευσης περιορίζοντας σημαντικά την ικανότητα διασφάλισης της πλήρωσης των εγκαταστάσεων αποθήκευσης αερίου σύμφωνα με τον παρόντα κανονισμό.</w:t>
      </w:r>
    </w:p>
    <w:p w:rsidR="007A0812" w:rsidRPr="00CD4590" w:rsidRDefault="007A0812" w:rsidP="00CD4590">
      <w:pPr>
        <w:pStyle w:val="NormalHanging12a"/>
        <w:widowControl/>
        <w:spacing w:before="120" w:after="120"/>
        <w:ind w:left="851" w:hanging="851"/>
        <w:rPr>
          <w:b/>
          <w:i/>
          <w:szCs w:val="24"/>
        </w:rPr>
      </w:pPr>
      <w:r w:rsidRPr="00CD4590">
        <w:rPr>
          <w:b/>
          <w:i/>
        </w:rPr>
        <w:t>(8β)</w:t>
      </w:r>
      <w:r w:rsidRPr="00CD4590">
        <w:rPr>
          <w:b/>
          <w:i/>
        </w:rPr>
        <w:tab/>
        <w:t>Επιπλέον, η Επιτροπή θα πρέπει να εξουσιοδοτηθεί να εκδίδει κατ’ εξουσιοδότηση πράξεις για την τροποποίηση, για μία περίοδο πλήρωσης, του επιπέδου της επιτρεπόμενης απόκλισης των τεσσάρων ποσοστιαίων μονάδων με την αύξησή της κατά έως και τέσσερις επιπλέον ποσοστιαίες μονάδες, σε περίπτωση παρατεταμένων δυσμενών συνθηκών της αγοράς.</w:t>
      </w:r>
    </w:p>
    <w:p w:rsidR="007A0812" w:rsidRPr="00CD4590" w:rsidRDefault="007A0812" w:rsidP="00CD4590">
      <w:pPr>
        <w:pStyle w:val="NormalHanging12a"/>
        <w:widowControl/>
        <w:spacing w:before="120" w:after="120"/>
        <w:ind w:left="851" w:hanging="851"/>
        <w:rPr>
          <w:b/>
          <w:i/>
          <w:szCs w:val="24"/>
        </w:rPr>
      </w:pPr>
      <w:r w:rsidRPr="00CD4590">
        <w:rPr>
          <w:b/>
          <w:i/>
        </w:rPr>
        <w:t>(8γ)</w:t>
      </w:r>
      <w:r w:rsidRPr="00CD4590">
        <w:rPr>
          <w:b/>
          <w:i/>
        </w:rPr>
        <w:tab/>
        <w:t>Οι σωρευτικές επιπτώσεις των δυνατοτήτων ευελιξίας και των παρεκκλίσεων που προβλέπονται στον παρόντα κανονισμό δεν θα πρέπει να μειώνουν τις συνολικές υποχρεώσεις πλήρωσης των εγκαταστάσεων αποθήκευσης κάτω από το 75 %.</w:t>
      </w:r>
    </w:p>
    <w:p w:rsidR="007A0812" w:rsidRPr="00CD4590" w:rsidRDefault="007A0812" w:rsidP="00CD4590">
      <w:pPr>
        <w:pStyle w:val="NormalHanging12a"/>
        <w:widowControl/>
        <w:spacing w:before="120" w:after="120"/>
        <w:ind w:left="851" w:hanging="851"/>
        <w:rPr>
          <w:szCs w:val="24"/>
        </w:rPr>
      </w:pPr>
      <w:r w:rsidRPr="00CD4590">
        <w:t>(9)</w:t>
      </w:r>
      <w:r w:rsidRPr="00CD4590">
        <w:tab/>
        <w:t xml:space="preserve">Η αξιολόγηση του ισχύοντος πλαισίου ενεργειακής ασφάλειας από την Επιτροπή επιβεβαίωσε τις θετικές επιπτώσεις που είχαν στην ασφάλεια του εφοδιασμού με αέριο οι απαιτήσεις πλήρωσης των εγκαταστάσεων αποθήκευσης και οι θετικές αυτές επιπτώσεις θα πρέπει να διατηρηθούν και πέραν του 2025. </w:t>
      </w:r>
      <w:r w:rsidRPr="00CD4590">
        <w:rPr>
          <w:b/>
          <w:i/>
        </w:rPr>
        <w:t xml:space="preserve">Η παράταση αυτών των μέτρων όχι μόνο θα συμβάλει στη συνεχή διασφάλιση της ασφάλειας του εφοδιασμού, αλλά θα αποτελέσει επίσης βασικό μέσο των προσπαθειών της Ένωσης να εξαλείψει την εξάρτησή της από τις εισαγωγές αερίου </w:t>
      </w:r>
      <w:r w:rsidR="0096649B" w:rsidRPr="00CD4590">
        <w:rPr>
          <w:b/>
          <w:i/>
        </w:rPr>
        <w:t>που προέρχεται από τη</w:t>
      </w:r>
      <w:r w:rsidRPr="00CD4590">
        <w:rPr>
          <w:b/>
          <w:i/>
        </w:rPr>
        <w:t xml:space="preserve"> Ρωσική Ομοσπονδία.</w:t>
      </w:r>
    </w:p>
    <w:p w:rsidR="007A0812" w:rsidRPr="00CD4590" w:rsidRDefault="007A0812" w:rsidP="00CD4590">
      <w:pPr>
        <w:pStyle w:val="NormalHanging12a"/>
        <w:widowControl/>
        <w:spacing w:before="120" w:after="120"/>
        <w:ind w:left="851" w:hanging="851"/>
        <w:rPr>
          <w:b/>
          <w:i/>
          <w:szCs w:val="24"/>
        </w:rPr>
      </w:pPr>
      <w:r w:rsidRPr="00CD4590">
        <w:rPr>
          <w:b/>
          <w:i/>
        </w:rPr>
        <w:t>(9α)</w:t>
      </w:r>
      <w:r w:rsidRPr="00CD4590">
        <w:rPr>
          <w:b/>
          <w:i/>
        </w:rPr>
        <w:tab/>
        <w:t xml:space="preserve">Ταυτόχρονα, ο παρών κανονισμός θα πρέπει να ανταποκρίνεται στις τρέχουσες και μελλοντικές αλλαγές στις αγορές φυσικού αερίου και να συμβάλλει στον στρατηγικό στόχο </w:t>
      </w:r>
      <w:r w:rsidR="00A11E7D" w:rsidRPr="00CD4590">
        <w:rPr>
          <w:b/>
          <w:i/>
        </w:rPr>
        <w:t>της</w:t>
      </w:r>
      <w:r w:rsidRPr="00CD4590">
        <w:rPr>
          <w:b/>
          <w:i/>
        </w:rPr>
        <w:t xml:space="preserve"> μείωση</w:t>
      </w:r>
      <w:r w:rsidR="00A11E7D" w:rsidRPr="00CD4590">
        <w:rPr>
          <w:b/>
          <w:i/>
        </w:rPr>
        <w:t>ς</w:t>
      </w:r>
      <w:r w:rsidRPr="00CD4590">
        <w:rPr>
          <w:b/>
          <w:i/>
        </w:rPr>
        <w:t xml:space="preserve"> των τιμών της ενέργειας, και να διευκολύνει τη σταδιακή επιστροφή σε αγορακεντρικούς μηχανισμούς επαναπλήρωσης των εγκαταστάσεων αποθήκευσης.</w:t>
      </w:r>
    </w:p>
    <w:p w:rsidR="007A0812" w:rsidRPr="00CD4590" w:rsidRDefault="007A0812" w:rsidP="00CD4590">
      <w:pPr>
        <w:pStyle w:val="NormalHanging12a"/>
        <w:widowControl/>
        <w:spacing w:before="120" w:after="120"/>
        <w:ind w:left="851" w:hanging="851"/>
        <w:rPr>
          <w:b/>
          <w:i/>
          <w:szCs w:val="24"/>
        </w:rPr>
      </w:pPr>
      <w:r w:rsidRPr="00CD4590">
        <w:rPr>
          <w:b/>
          <w:i/>
        </w:rPr>
        <w:t>(9β)</w:t>
      </w:r>
      <w:r w:rsidRPr="00CD4590">
        <w:rPr>
          <w:b/>
          <w:i/>
        </w:rPr>
        <w:tab/>
        <w:t>Για την προστασία της ασφάλειας του εφοδιασμού και τη διατήρηση του απαιτούμενου επιπέδου πλήρωσης, η Επιτροπή θα πρέπει να παρακολουθεί συνεχώς την αγορά και να διερευνά τρόπους που θα μπορούσαν να βοηθήσουν στην επίτευξη του στόχου πλήρωσης, για παράδειγμα με τη χρήση μηχανισμών συγκέντρωσης της ζήτησης και από κοινού αγορών.</w:t>
      </w:r>
    </w:p>
    <w:p w:rsidR="007A0812" w:rsidRPr="00CD4590" w:rsidRDefault="007A0812" w:rsidP="00CD4590">
      <w:pPr>
        <w:pStyle w:val="NormalHanging12a"/>
        <w:widowControl/>
        <w:spacing w:before="120" w:after="120"/>
        <w:ind w:left="851" w:hanging="851"/>
        <w:rPr>
          <w:szCs w:val="24"/>
        </w:rPr>
      </w:pPr>
      <w:r w:rsidRPr="00CD4590">
        <w:t>(10)</w:t>
      </w:r>
      <w:r w:rsidRPr="00CD4590">
        <w:tab/>
        <w:t>Κατά συνέπεια, είναι αναγκαίο να παραταθούν κατά δύο έτη οι σχετικές διατάξεις για την πλήρωση των εγκαταστάσεων αποθήκευσης αερίου που παρέχουν προβλεψιμότητα και διαφάνεια όσον αφορά τη χρήση των εγκαταστάσεων αποθήκευσης αερίου σε ολόκληρη την Ένωση</w:t>
      </w:r>
      <w:r w:rsidR="00140CD0" w:rsidRPr="00CD4590">
        <w:t xml:space="preserve"> </w:t>
      </w:r>
      <w:r w:rsidRPr="00CD4590">
        <w:rPr>
          <w:b/>
          <w:bCs/>
          <w:i/>
          <w:iCs/>
        </w:rPr>
        <w:t>και να εισαχθεί παράλληλα ένας βαθμός ευελιξίας στον παρόντα κανονισμό</w:t>
      </w:r>
      <w:r w:rsidRPr="00CD4590">
        <w:t>.</w:t>
      </w:r>
    </w:p>
    <w:p w:rsidR="007A0812" w:rsidRPr="00CD4590" w:rsidRDefault="007A0812" w:rsidP="00CD4590">
      <w:pPr>
        <w:pStyle w:val="NormalHanging12a"/>
        <w:widowControl/>
        <w:spacing w:before="120" w:after="120"/>
        <w:ind w:left="851" w:hanging="851"/>
        <w:rPr>
          <w:b/>
          <w:i/>
          <w:szCs w:val="24"/>
        </w:rPr>
      </w:pPr>
      <w:r w:rsidRPr="00CD4590">
        <w:rPr>
          <w:b/>
          <w:i/>
        </w:rPr>
        <w:t>(10α)</w:t>
      </w:r>
      <w:r w:rsidRPr="00CD4590">
        <w:rPr>
          <w:b/>
          <w:i/>
        </w:rPr>
        <w:tab/>
        <w:t xml:space="preserve">Σύμφωνα με τη δέσμευση της Επιτροπής για βελτίωση της νομοθεσίας και απλούστευση, και αντικατοπτρίζοντας τη συνολική βελτίωση του πλαισίου ενεργειακής ασφάλειας της Ένωσης, η παρακολούθηση της συμμόρφωσης με τον παρόντα κανονισμό θα πρέπει να ενισχύσει την εμπιστοσύνη στις διοικητικές ικανότητες των κρατών μελών. Ο εποπτικός φόρτος για την Επιτροπή θα πρέπει να μειωθεί αναλόγως, με στροφή προς ελαφρύτερες υποχρεώσεις υποβολής εκθέσεων και </w:t>
      </w:r>
      <w:proofErr w:type="spellStart"/>
      <w:r w:rsidRPr="00CD4590">
        <w:rPr>
          <w:b/>
          <w:i/>
        </w:rPr>
        <w:t>εξορθολογισμένες</w:t>
      </w:r>
      <w:proofErr w:type="spellEnd"/>
      <w:r w:rsidRPr="00CD4590">
        <w:rPr>
          <w:b/>
          <w:i/>
        </w:rPr>
        <w:t xml:space="preserve"> διαδικασίες. Η προσέγγιση αυτή ενισχύει την αρχή της επικουρικότητας, αποφεύγει την περιττή διοικητική πολυπλοκότητα και συνάδει με τις προσπάθειες απλούστευσης της Επιτροπής, όπως περιγράφεται στο πρόγραμμα εργασίας της για το 2025.</w:t>
      </w:r>
    </w:p>
    <w:p w:rsidR="007A0812" w:rsidRPr="00CD4590" w:rsidRDefault="007A0812" w:rsidP="00CD4590">
      <w:pPr>
        <w:pStyle w:val="NormalHanging12a"/>
        <w:widowControl/>
        <w:spacing w:before="120" w:after="120"/>
        <w:ind w:left="851" w:hanging="851"/>
        <w:rPr>
          <w:b/>
          <w:i/>
          <w:szCs w:val="24"/>
        </w:rPr>
      </w:pPr>
      <w:r w:rsidRPr="00CD4590">
        <w:rPr>
          <w:b/>
          <w:i/>
        </w:rPr>
        <w:t>(10β)</w:t>
      </w:r>
      <w:r w:rsidRPr="00CD4590">
        <w:rPr>
          <w:b/>
          <w:i/>
        </w:rPr>
        <w:tab/>
        <w:t>Ο κανονισμός (ΕΕ) 2017/1938 θα πρέπει να αναθεωρηθεί από την Επιτροπή σε εύθετο χρόνο και πριν από το 2027, ώστε να προσαρμοστεί στο εξελισσόμενο ενεργειακό τοπίο και να αντικατοπτρίζει τις μελλοντικές ανάγκες αποθήκευσης αερίου. Μεταξύ άλλων ζητημάτων, τυχόν τροποποιήσεις θα πρέπει να αφορούν τους περιορισμούς του ισχύοντος ορισμού των «προστατευόμενων πελατών», την πρόληψη της κερδοσκοπίας στις αγορές αερίου και τις κερδοσκοπικές δραστηριότητες που διογκώνουν τεχνητά τις τιμές, τον ρόλο των μέτρων ενεργειακής απόδοσης που οδηγούν σε επαληθεύσιμη μείωση της ζήτησης αερίου, και τον τρόπο με τον οποίον αυτό θα μπορούσε να χρησιμοποιηθεί για περαιτέρω ευελιξία από τα κράτη μέλη, όπως επίσης να εξετάζουν το πλαίσιο στο οποίο σε ένα εξελισσόμενο ενεργειακό μείγμα θα έχουν αυξημένο ρόλο οι εναλλακτικές πηγές αντί του αερίου, όπως οι ανανεώσιμες πηγές ενέργειας και το υδρογόνο, σε συνδυασμό με τον ρόλο της ενεργειακής απόδοσης.</w:t>
      </w:r>
    </w:p>
    <w:p w:rsidR="007A0812" w:rsidRPr="00CD4590" w:rsidRDefault="007A0812" w:rsidP="00CD4590">
      <w:pPr>
        <w:pStyle w:val="NormalCenter12a"/>
        <w:widowControl/>
        <w:spacing w:before="120" w:after="120"/>
        <w:ind w:left="851" w:hanging="851"/>
        <w:jc w:val="left"/>
      </w:pPr>
      <w:r w:rsidRPr="00CD4590">
        <w:t>(11)</w:t>
      </w:r>
      <w:r w:rsidRPr="00CD4590">
        <w:tab/>
        <w:t>Ως εκ τούτου, ο κανονισμός (ΕΕ) 2017/1938 θα πρέπει να τροποποιηθεί αναλόγως,</w:t>
      </w:r>
    </w:p>
    <w:p w:rsidR="007A0812" w:rsidRPr="00CD4590" w:rsidRDefault="007A0812" w:rsidP="00CD4590">
      <w:pPr>
        <w:pStyle w:val="NormalCenter12a"/>
        <w:widowControl/>
        <w:spacing w:before="120" w:after="120"/>
        <w:jc w:val="left"/>
      </w:pPr>
      <w:r w:rsidRPr="00CD4590">
        <w:t>ΕΞΕΔΩΣΑΝ ΤΟΝ ΠΑΡΟΝΤΑ ΚΑΝΟΝΙΣΜΟ:</w:t>
      </w:r>
    </w:p>
    <w:p w:rsidR="007A0812" w:rsidRPr="00CD4590" w:rsidRDefault="007A0812" w:rsidP="00CD4590">
      <w:pPr>
        <w:pStyle w:val="Titrearticle"/>
        <w:keepNext w:val="0"/>
        <w:spacing w:before="120"/>
        <w:rPr>
          <w:bCs/>
          <w:noProof/>
        </w:rPr>
      </w:pPr>
      <w:r w:rsidRPr="00CD4590">
        <w:rPr>
          <w:i w:val="0"/>
        </w:rPr>
        <w:t>Άρθρο 1</w:t>
      </w:r>
      <w:r w:rsidR="003C12B1" w:rsidRPr="00CD4590">
        <w:br/>
      </w:r>
      <w:r w:rsidRPr="00CD4590">
        <w:rPr>
          <w:i w:val="0"/>
        </w:rPr>
        <w:t>Τροποποίηση του κανονισμού (ΕΕ) 2017/1938</w:t>
      </w:r>
    </w:p>
    <w:p w:rsidR="007A0812" w:rsidRPr="00CD4590" w:rsidRDefault="007A0812" w:rsidP="00CD4590">
      <w:pPr>
        <w:pStyle w:val="NormalHanging12a"/>
        <w:widowControl/>
        <w:spacing w:before="120" w:after="120"/>
        <w:rPr>
          <w:szCs w:val="24"/>
        </w:rPr>
      </w:pPr>
      <w:r w:rsidRPr="00CD4590">
        <w:t xml:space="preserve">▌Ο κανονισμός (ΕΕ) 2017/1938 </w:t>
      </w:r>
      <w:r w:rsidRPr="00CD4590">
        <w:rPr>
          <w:b/>
          <w:i/>
        </w:rPr>
        <w:t>τροποποιείται ως εξής</w:t>
      </w:r>
      <w:r w:rsidRPr="00CD4590">
        <w:t>:</w:t>
      </w:r>
    </w:p>
    <w:p w:rsidR="007A0812" w:rsidRPr="00CD4590" w:rsidRDefault="007A0812" w:rsidP="00CD4590">
      <w:pPr>
        <w:pStyle w:val="NormalHanging12a"/>
        <w:widowControl/>
        <w:spacing w:before="120" w:after="120"/>
        <w:ind w:left="851" w:hanging="851"/>
        <w:rPr>
          <w:b/>
          <w:i/>
          <w:szCs w:val="24"/>
        </w:rPr>
      </w:pPr>
      <w:r w:rsidRPr="00CD4590">
        <w:rPr>
          <w:b/>
          <w:i/>
        </w:rPr>
        <w:t>1)</w:t>
      </w:r>
      <w:r w:rsidRPr="00CD4590">
        <w:rPr>
          <w:b/>
          <w:i/>
        </w:rPr>
        <w:tab/>
        <w:t>Στο άρθρο 2, το σημείο 27 διαγράφεται</w:t>
      </w:r>
      <w:r w:rsidR="003C12B1" w:rsidRPr="00CD4590">
        <w:rPr>
          <w:b/>
          <w:i/>
        </w:rPr>
        <w:t>.</w:t>
      </w:r>
    </w:p>
    <w:p w:rsidR="007A0812" w:rsidRPr="00CD4590" w:rsidRDefault="007A0812" w:rsidP="00CD4590">
      <w:pPr>
        <w:pStyle w:val="NormalHanging12a"/>
        <w:widowControl/>
        <w:spacing w:before="120" w:after="120"/>
        <w:ind w:left="851" w:hanging="851"/>
        <w:rPr>
          <w:b/>
          <w:i/>
          <w:szCs w:val="24"/>
        </w:rPr>
      </w:pPr>
      <w:r w:rsidRPr="00CD4590">
        <w:rPr>
          <w:b/>
          <w:i/>
        </w:rPr>
        <w:t>2)</w:t>
      </w:r>
      <w:r w:rsidRPr="00CD4590">
        <w:rPr>
          <w:b/>
          <w:i/>
        </w:rPr>
        <w:tab/>
        <w:t>Το άρθρο 6α τροποποιείται ως εξής:</w:t>
      </w:r>
    </w:p>
    <w:p w:rsidR="007A0812" w:rsidRPr="00CD4590" w:rsidRDefault="007A0812" w:rsidP="00CD4590">
      <w:pPr>
        <w:pStyle w:val="NormalHanging12a"/>
        <w:widowControl/>
        <w:spacing w:before="120" w:after="120"/>
        <w:ind w:left="1418"/>
        <w:rPr>
          <w:b/>
          <w:i/>
        </w:rPr>
      </w:pPr>
      <w:r w:rsidRPr="00CD4590">
        <w:rPr>
          <w:b/>
          <w:i/>
        </w:rPr>
        <w:t>α)</w:t>
      </w:r>
      <w:r w:rsidRPr="00CD4590">
        <w:rPr>
          <w:b/>
          <w:i/>
        </w:rPr>
        <w:tab/>
        <w:t>ο τίτλος αντικαθίσταται από το ακόλουθο κείμενο: «Στόχος πλήρωσης»·</w:t>
      </w:r>
    </w:p>
    <w:p w:rsidR="007A0812" w:rsidRPr="00CD4590" w:rsidRDefault="007A0812" w:rsidP="00CD4590">
      <w:pPr>
        <w:pStyle w:val="NormalHanging12a"/>
        <w:widowControl/>
        <w:spacing w:before="120" w:after="120"/>
        <w:ind w:left="1418"/>
        <w:rPr>
          <w:b/>
          <w:i/>
        </w:rPr>
      </w:pPr>
      <w:r w:rsidRPr="00CD4590">
        <w:rPr>
          <w:b/>
          <w:i/>
        </w:rPr>
        <w:t>β)</w:t>
      </w:r>
      <w:r w:rsidRPr="00CD4590">
        <w:rPr>
          <w:b/>
          <w:i/>
        </w:rPr>
        <w:tab/>
        <w:t>στην παράγραφο 1, το πρώτο εδάφιο αντικαθίσταται από το ακόλουθο κείμενο:</w:t>
      </w:r>
    </w:p>
    <w:p w:rsidR="007A0812" w:rsidRPr="00CD4590" w:rsidRDefault="007A0812" w:rsidP="00CD4590">
      <w:pPr>
        <w:pStyle w:val="NormalHanging12a"/>
        <w:widowControl/>
        <w:spacing w:before="120" w:after="120"/>
        <w:ind w:left="1985"/>
        <w:rPr>
          <w:b/>
          <w:i/>
        </w:rPr>
      </w:pPr>
      <w:r w:rsidRPr="00CD4590">
        <w:rPr>
          <w:b/>
          <w:i/>
        </w:rPr>
        <w:t>«1.</w:t>
      </w:r>
      <w:r w:rsidRPr="00CD4590">
        <w:rPr>
          <w:b/>
          <w:i/>
        </w:rPr>
        <w:tab/>
        <w:t>Με την επιφύλαξη των παραγράφων 2 έως 5, τα κράτη μέλη επιτυγχάνουν στόχο πλήρωσης 83 % για τη συγκεντρωτική δυναμικότητα όλων των υπόγειων εγκαταστάσεων αποθήκευσης φυσικού αερίου που βρίσκονται στην επικράτειά τους και είναι απευθείας διασυνδεδεμένες με περιοχή αγοράς στην επικράτειά τους και για τις εγκαταστάσεις αποθήκευσης που απαριθμούνται στο παράρτημα Ιβ οποιαδήποτε χρονική στιγμή μεταξύ 1ης Οκτωβρίου και 1ης Δεκεμβρίου κάθε έτους.»·</w:t>
      </w:r>
    </w:p>
    <w:p w:rsidR="003C12B1" w:rsidRPr="00CD4590" w:rsidRDefault="00CD4590" w:rsidP="00CD4590">
      <w:pPr>
        <w:pStyle w:val="NormalHanging12a"/>
        <w:widowControl/>
        <w:spacing w:before="120" w:after="120"/>
        <w:ind w:left="1418"/>
        <w:rPr>
          <w:b/>
          <w:i/>
          <w:szCs w:val="24"/>
        </w:rPr>
      </w:pPr>
      <w:r w:rsidRPr="00CD4590">
        <w:rPr>
          <w:b/>
          <w:i/>
          <w:szCs w:val="24"/>
        </w:rPr>
        <w:t>γ</w:t>
      </w:r>
      <w:r w:rsidR="003C12B1" w:rsidRPr="00CD4590">
        <w:rPr>
          <w:b/>
          <w:i/>
          <w:szCs w:val="24"/>
        </w:rPr>
        <w:t>)</w:t>
      </w:r>
      <w:r w:rsidR="003C12B1" w:rsidRPr="00CD4590">
        <w:rPr>
          <w:b/>
          <w:i/>
          <w:szCs w:val="24"/>
        </w:rPr>
        <w:tab/>
        <w:t>η παράγραφος 2 αντικαθίσταται από το ακόλουθο κείμενο:</w:t>
      </w:r>
    </w:p>
    <w:p w:rsidR="003C12B1" w:rsidRPr="00CD4590" w:rsidRDefault="003C12B1" w:rsidP="00CD4590">
      <w:pPr>
        <w:pStyle w:val="NormalHanging12a"/>
        <w:widowControl/>
        <w:spacing w:before="120" w:after="120"/>
        <w:ind w:left="1985"/>
        <w:rPr>
          <w:b/>
          <w:i/>
          <w:szCs w:val="24"/>
        </w:rPr>
      </w:pPr>
      <w:r w:rsidRPr="00CD4590">
        <w:rPr>
          <w:b/>
          <w:i/>
          <w:szCs w:val="24"/>
        </w:rPr>
        <w:t>«2.</w:t>
      </w:r>
      <w:r w:rsidRPr="00CD4590">
        <w:rPr>
          <w:b/>
          <w:i/>
          <w:szCs w:val="24"/>
        </w:rPr>
        <w:tab/>
        <w:t>Κατά παρέκκλιση από την παράγραφο 1 και με την επιφύλαξη των υποχρεώσεων των άλλων κρατών μελών όσον αφορά την πλήρωση των οικείων υπόγειων εγκαταστάσεων αποθήκευσης φυσικού αερίου, ο στόχος πλήρωσης κάθε κράτους μέλους στο οποίο βρίσκονται οι υπόγειες εγκαταστάσεις αποθήκευσης φυσικού αερίου μειώνεται σε όγκο που αντιστοιχεί στο 32,28 % της μέσης ετήσιας κατανάλωσης φυσικού αερίου στο εν λόγω κράτος μέλος κατά τα προηγούμενα πέντε έτη.»·</w:t>
      </w:r>
    </w:p>
    <w:p w:rsidR="007A0812" w:rsidRPr="00CD4590" w:rsidRDefault="00CD4590" w:rsidP="00CD4590">
      <w:pPr>
        <w:pStyle w:val="NormalHanging12a"/>
        <w:widowControl/>
        <w:spacing w:before="120" w:after="120"/>
        <w:ind w:left="1418"/>
        <w:rPr>
          <w:b/>
          <w:i/>
        </w:rPr>
      </w:pPr>
      <w:r w:rsidRPr="00CD4590">
        <w:rPr>
          <w:b/>
          <w:i/>
        </w:rPr>
        <w:t>δ</w:t>
      </w:r>
      <w:r w:rsidR="007A0812" w:rsidRPr="00CD4590">
        <w:rPr>
          <w:b/>
          <w:i/>
        </w:rPr>
        <w:t>)</w:t>
      </w:r>
      <w:r w:rsidR="007A0812" w:rsidRPr="00CD4590">
        <w:rPr>
          <w:b/>
          <w:i/>
        </w:rPr>
        <w:tab/>
        <w:t>παρεμβάλλονται οι ακόλουθες παράγραφοι:</w:t>
      </w:r>
    </w:p>
    <w:p w:rsidR="007A0812" w:rsidRPr="00CD4590" w:rsidRDefault="007A0812" w:rsidP="00CD4590">
      <w:pPr>
        <w:pStyle w:val="NormalHanging12a"/>
        <w:widowControl/>
        <w:spacing w:before="120" w:after="120"/>
        <w:ind w:left="1985"/>
        <w:rPr>
          <w:b/>
          <w:i/>
          <w:szCs w:val="24"/>
        </w:rPr>
      </w:pPr>
      <w:r w:rsidRPr="00CD4590">
        <w:rPr>
          <w:b/>
          <w:i/>
        </w:rPr>
        <w:t xml:space="preserve">«5α. </w:t>
      </w:r>
      <w:r w:rsidRPr="00CD4590">
        <w:rPr>
          <w:b/>
          <w:i/>
        </w:rPr>
        <w:tab/>
        <w:t>Κατά παρέκκλιση από την παράγραφο 1 και με την επιφύλαξη της υποχρέωσης άλλων κρατών μελών να γεμίζουν τις οικείες υπόγειες εγκαταστάσεις αποθήκευσης αερίου, τα κράτη μέλη μπορούν να αποφασίσουν να αποκλίνουν έως και τέσσερις ποσοστιαίες μονάδες από τον στόχο πλήρωσης που ορίζεται στην παράγραφο 1 για κάθε κράτος μέλος, εάν οι συνθήκες της αγοράς είναι δυσμενείς για την πλήρωση των υπόγειων εγκαταστάσεων αποθήκευσης αερίου.</w:t>
      </w:r>
    </w:p>
    <w:p w:rsidR="007A0812" w:rsidRPr="00CD4590" w:rsidRDefault="007A0812" w:rsidP="00CD4590">
      <w:pPr>
        <w:pStyle w:val="NormalHanging12a"/>
        <w:widowControl/>
        <w:spacing w:before="120" w:after="120"/>
        <w:ind w:left="1985"/>
        <w:rPr>
          <w:b/>
          <w:i/>
          <w:szCs w:val="24"/>
        </w:rPr>
      </w:pPr>
      <w:r w:rsidRPr="00CD4590">
        <w:rPr>
          <w:b/>
          <w:i/>
        </w:rPr>
        <w:t>5β.</w:t>
      </w:r>
      <w:r w:rsidRPr="00CD4590">
        <w:rPr>
          <w:b/>
          <w:i/>
        </w:rPr>
        <w:tab/>
        <w:t>Σε δεόντως αιτιολογημένες περιπτώσεις παρατεταμένων δυσμενών συνθηκών της αγοράς, και υπό την προϋπόθεση ότι δεν υπονομεύεται η ασφάλεια του εφοδιασμού της Ένωσης και των κρατών μελών, ανατίθεται στην Επιτροπή η εξουσία να εκδίδει κατ’ εξουσιοδότηση πράξεις σύμφωνα με το άρθρο 19 για την τροποποίηση του παρόντος κανονισμού με την αύξηση της επιτρεπόμενης απόκλισης για τα κράτη μέλη κατά έως και τέσσερις ποσοστιαίες μονάδες, όπως ορίζεται στην παράγραφο 5α.</w:t>
      </w:r>
    </w:p>
    <w:p w:rsidR="007A0812" w:rsidRPr="00CD4590" w:rsidRDefault="007A0812" w:rsidP="00CD4590">
      <w:pPr>
        <w:pStyle w:val="NormalHanging12a"/>
        <w:widowControl/>
        <w:spacing w:before="120" w:after="120"/>
        <w:ind w:left="1985" w:firstLine="0"/>
        <w:rPr>
          <w:b/>
          <w:i/>
          <w:szCs w:val="24"/>
        </w:rPr>
      </w:pPr>
      <w:r w:rsidRPr="00CD4590">
        <w:rPr>
          <w:b/>
          <w:i/>
        </w:rPr>
        <w:t>Στην αξιολόγησή της, η Επιτροπή λαμβάνει ιδίως υπόψη το επίπεδο πλήρωσης των εγκαταστάσεων αποθήκευσης στα κράτη μέλη, τον παγκόσμιο εφοδιασμό με αέριο, τις προοπτικές εποχικού εφοδιασμού του ΕΔΔΣΜ Αερίου και ενδείξεις χειραγώγησης της αγοράς. Μπορεί επίσης να λαμβάνει υπόψη μέτρα των κρατών μελών, όπως η ανάπτυξη μέτρων μείωσης της ζήτησης για αέριο που επιτυγχάνουν ισοδύναμες μειώσεις αερίου κατά την επόμενη περίοδο απόληψης.</w:t>
      </w:r>
    </w:p>
    <w:p w:rsidR="007A0812" w:rsidRPr="00CD4590" w:rsidRDefault="007A0812" w:rsidP="00CD4590">
      <w:pPr>
        <w:pStyle w:val="NormalHanging12a"/>
        <w:widowControl/>
        <w:spacing w:before="120" w:after="120"/>
        <w:ind w:left="1985"/>
        <w:rPr>
          <w:b/>
          <w:i/>
          <w:szCs w:val="24"/>
        </w:rPr>
      </w:pPr>
      <w:r w:rsidRPr="00CD4590">
        <w:rPr>
          <w:b/>
          <w:i/>
        </w:rPr>
        <w:t>5γ.</w:t>
      </w:r>
      <w:r w:rsidRPr="00CD4590">
        <w:rPr>
          <w:b/>
          <w:i/>
        </w:rPr>
        <w:tab/>
        <w:t xml:space="preserve">Τα κράτη μέλη που αναφέρονται στην παράγραφο 2 μπορούν, υπό τις ίδιες συνθήκες με εκείνες που καθορίζονται στην παράγραφο 5α, να αποφασίσουν να αποκλίνουν έως και 1,55 % κάτω από τον όγκο που </w:t>
      </w:r>
      <w:r w:rsidR="00CA2CBD" w:rsidRPr="00CD4590">
        <w:rPr>
          <w:b/>
          <w:i/>
        </w:rPr>
        <w:t>καθ</w:t>
      </w:r>
      <w:r w:rsidRPr="00CD4590">
        <w:rPr>
          <w:b/>
          <w:i/>
        </w:rPr>
        <w:t>ορίζεται στην παράγραφο 2.</w:t>
      </w:r>
    </w:p>
    <w:p w:rsidR="007A0812" w:rsidRPr="00CD4590" w:rsidRDefault="007A0812" w:rsidP="00CD4590">
      <w:pPr>
        <w:pStyle w:val="NormalHanging12a"/>
        <w:widowControl/>
        <w:spacing w:before="120" w:after="120"/>
        <w:ind w:left="1985"/>
        <w:rPr>
          <w:b/>
          <w:i/>
          <w:szCs w:val="24"/>
        </w:rPr>
      </w:pPr>
      <w:r w:rsidRPr="00CD4590">
        <w:rPr>
          <w:b/>
          <w:i/>
        </w:rPr>
        <w:t>5δ.</w:t>
      </w:r>
      <w:r w:rsidRPr="00CD4590">
        <w:rPr>
          <w:b/>
          <w:i/>
        </w:rPr>
        <w:tab/>
        <w:t>Πριν από τη χρήση κάποιας από τις αποκλίσεις που προβλέπονται στις παραγράφους 5α και 5γ, κάθε κράτος μέλος διαβουλεύεται με την Επιτροπή και παρέχει αμελλητί αιτιολόγηση της απόφασής του. Η Επιτροπή ενημερώνει αμέσως τη ΣΟΦΑ και τυχόν άμεσα επηρεαζόμενα κράτη μέλη σχετικά με τα σωρευτικά αποτελέσματα όλων των αποκλίσεων σύμφωνα με τις παραγράφους 5α και 5γ.»·</w:t>
      </w:r>
    </w:p>
    <w:p w:rsidR="007A0812" w:rsidRPr="00CD4590" w:rsidRDefault="00CD4590" w:rsidP="00CD4590">
      <w:pPr>
        <w:pStyle w:val="NormalHanging12a"/>
        <w:widowControl/>
        <w:spacing w:before="120" w:after="120"/>
        <w:ind w:left="1418"/>
        <w:rPr>
          <w:b/>
          <w:i/>
        </w:rPr>
      </w:pPr>
      <w:r w:rsidRPr="00CD4590">
        <w:rPr>
          <w:b/>
          <w:i/>
        </w:rPr>
        <w:t>ε</w:t>
      </w:r>
      <w:r w:rsidR="007A0812" w:rsidRPr="00CD4590">
        <w:rPr>
          <w:b/>
          <w:i/>
        </w:rPr>
        <w:t>)</w:t>
      </w:r>
      <w:r w:rsidR="007A0812" w:rsidRPr="00CD4590">
        <w:rPr>
          <w:b/>
          <w:i/>
        </w:rPr>
        <w:tab/>
        <w:t>οι παράγραφοι 6 και 7 αντικαθίστανται από το ακόλουθο κείμενο:</w:t>
      </w:r>
    </w:p>
    <w:p w:rsidR="007A0812" w:rsidRPr="00CD4590" w:rsidRDefault="007A0812" w:rsidP="00CD4590">
      <w:pPr>
        <w:pStyle w:val="NormalHanging12a"/>
        <w:widowControl/>
        <w:spacing w:before="120" w:after="120"/>
        <w:ind w:left="1985"/>
        <w:rPr>
          <w:szCs w:val="24"/>
        </w:rPr>
      </w:pPr>
      <w:r w:rsidRPr="00CD4590">
        <w:rPr>
          <w:b/>
          <w:i/>
        </w:rPr>
        <w:t>«6.</w:t>
      </w:r>
      <w:r w:rsidRPr="00CD4590">
        <w:tab/>
      </w:r>
      <w:r w:rsidRPr="00CD4590">
        <w:rPr>
          <w:b/>
          <w:bCs/>
          <w:i/>
          <w:iCs/>
        </w:rPr>
        <w:t>Προκειμένου να επιτευχθεί ο στόχος πλήρωσης, τα κράτη μέλη λαμβάνουν όλα τα αναγκαία μέτρα και επιδιώκουν την εφαρμογή του σχεδίου πλήρωσης που ορίζεται σύμφωνα με την παράγραφο 7.</w:t>
      </w:r>
    </w:p>
    <w:p w:rsidR="007A0812" w:rsidRPr="00CD4590" w:rsidRDefault="007A0812" w:rsidP="00CD4590">
      <w:pPr>
        <w:pStyle w:val="NormalHanging12a"/>
        <w:widowControl/>
        <w:spacing w:before="120" w:after="120"/>
        <w:ind w:left="1985"/>
      </w:pPr>
      <w:r w:rsidRPr="00CD4590">
        <w:rPr>
          <w:b/>
          <w:i/>
        </w:rPr>
        <w:t>7.</w:t>
      </w:r>
      <w:r w:rsidRPr="00CD4590">
        <w:tab/>
      </w:r>
      <w:r w:rsidRPr="00CD4590">
        <w:rPr>
          <w:b/>
          <w:i/>
        </w:rPr>
        <w:t>Τα κράτη μέλη με υπόγειες εγκαταστάσεις αποθήκευσης αερίου υποβάλλουν σε εύθετο χρόνο στην Επιτροπή ενδεικτικό σχέδιο πλήρωσης για ολόκληρο το ημερολογιακό έτος ώστε να επιτευχθεί ο ετήσιος στόχος πλήρωσης των εγκαταστάσεων αποθήκευσης αερίου που ορίζεται στην παράγραφο 1. Το σχέδιο περιλαμβάνει τεχνικές πληροφορίες όσον αφορά τις υπόγειες εγκαταστάσεις αποθήκευσης φυσικού αερίου στην επικράτειά του και συνδέεται άμεσα με το τμήμα αγοράς του σε συγκεντρωτική μορφή.»·</w:t>
      </w:r>
    </w:p>
    <w:p w:rsidR="007A0812" w:rsidRPr="00CD4590" w:rsidRDefault="00CD4590" w:rsidP="00CD4590">
      <w:pPr>
        <w:pStyle w:val="NormalHanging12a"/>
        <w:widowControl/>
        <w:spacing w:before="120" w:after="120"/>
        <w:ind w:left="1418"/>
        <w:rPr>
          <w:b/>
          <w:i/>
        </w:rPr>
      </w:pPr>
      <w:proofErr w:type="spellStart"/>
      <w:r w:rsidRPr="00CD4590">
        <w:rPr>
          <w:b/>
          <w:i/>
        </w:rPr>
        <w:t>στ</w:t>
      </w:r>
      <w:proofErr w:type="spellEnd"/>
      <w:r w:rsidR="007A0812" w:rsidRPr="00CD4590">
        <w:rPr>
          <w:b/>
          <w:i/>
        </w:rPr>
        <w:t>)</w:t>
      </w:r>
      <w:r w:rsidR="007A0812" w:rsidRPr="00CD4590">
        <w:rPr>
          <w:b/>
          <w:i/>
        </w:rPr>
        <w:tab/>
        <w:t>η παράγραφος 8 διαγράφεται·</w:t>
      </w:r>
    </w:p>
    <w:p w:rsidR="007A0812" w:rsidRPr="00CD4590" w:rsidRDefault="00CD4590" w:rsidP="00CD4590">
      <w:pPr>
        <w:pStyle w:val="NormalHanging12a"/>
        <w:widowControl/>
        <w:spacing w:before="120" w:after="120"/>
        <w:ind w:left="1418"/>
        <w:rPr>
          <w:b/>
          <w:i/>
        </w:rPr>
      </w:pPr>
      <w:r w:rsidRPr="00CD4590">
        <w:rPr>
          <w:b/>
          <w:i/>
        </w:rPr>
        <w:t>ζ</w:t>
      </w:r>
      <w:r w:rsidR="007A0812" w:rsidRPr="00CD4590">
        <w:rPr>
          <w:b/>
          <w:i/>
        </w:rPr>
        <w:t>)</w:t>
      </w:r>
      <w:r w:rsidR="007A0812" w:rsidRPr="00CD4590">
        <w:rPr>
          <w:b/>
          <w:i/>
        </w:rPr>
        <w:tab/>
        <w:t>οι παράγραφοι 10 και 11 αντικαθίστανται από το ακόλουθο κείμενο:</w:t>
      </w:r>
    </w:p>
    <w:p w:rsidR="007A0812" w:rsidRPr="00CD4590" w:rsidRDefault="007A0812" w:rsidP="00CD4590">
      <w:pPr>
        <w:pStyle w:val="NormalHanging12a"/>
        <w:widowControl/>
        <w:spacing w:before="120" w:after="120"/>
        <w:ind w:left="1985"/>
        <w:rPr>
          <w:b/>
          <w:i/>
        </w:rPr>
      </w:pPr>
      <w:r w:rsidRPr="00CD4590">
        <w:rPr>
          <w:b/>
          <w:i/>
        </w:rPr>
        <w:t>«10.</w:t>
      </w:r>
      <w:r w:rsidRPr="00CD4590">
        <w:rPr>
          <w:b/>
          <w:i/>
        </w:rPr>
        <w:tab/>
        <w:t>Η αρμόδια αρχή κάθε κράτους μέλους παρακολουθεί συνεχώς τη συμμόρφωση με τον στόχο πλήρωσης, όπως ορίζεται στο σχέδιο πλήρωσης, και υποβάλλει τακτικά και τουλάχιστον σε μηνιαία βάση έκθεση στην Επιτροπή και τη ΣΟΦΑ. Εάν προβλέπεται ότι ο στόχος δεν μπορεί να επιτευχθεί, η αρμόδια αρχή λαμβάνει χωρίς καθυστέρηση αποτελεσματικά μέτρα για την επίτευξη του στόχου. Τα κράτη μέλη ενημερώνουν την Επιτροπή και τη ΣΟΦΑ σχετικά με τα μέτρα που λαμβάνουν.</w:t>
      </w:r>
    </w:p>
    <w:p w:rsidR="007A0812" w:rsidRPr="00CD4590" w:rsidRDefault="007A0812" w:rsidP="00CD4590">
      <w:pPr>
        <w:pStyle w:val="NormalHanging12a"/>
        <w:widowControl/>
        <w:spacing w:before="120" w:after="120"/>
        <w:ind w:left="1985"/>
        <w:rPr>
          <w:b/>
          <w:i/>
          <w:szCs w:val="24"/>
        </w:rPr>
      </w:pPr>
      <w:r w:rsidRPr="00CD4590">
        <w:rPr>
          <w:b/>
          <w:i/>
        </w:rPr>
        <w:t>11.</w:t>
      </w:r>
      <w:r w:rsidRPr="00CD4590">
        <w:rPr>
          <w:b/>
          <w:i/>
        </w:rPr>
        <w:tab/>
        <w:t xml:space="preserve">Σε περίπτωση ουσιαστικής και διαρκούς απόκλισης ενός κράτους μέλους από το σχέδιο πλήρωσης η οποία θέτει σε κίνδυνο την επίτευξη του στόχου πλήρωσης ή σε περίπτωση απόκλισης από τον στόχο πλήρωσης, η Επιτροπή, κατά περίπτωση, έπειτα από διαβούλευση με τη ΣΟΦΑ και τα ενδιαφερόμενα κράτη μέλη, απευθύνει σύσταση στο εν λόγω κράτος μέλος ή στα άλλα </w:t>
      </w:r>
      <w:r w:rsidR="00CA2CBD" w:rsidRPr="00CD4590">
        <w:rPr>
          <w:b/>
          <w:i/>
        </w:rPr>
        <w:t xml:space="preserve">ενδιαφερόμενα </w:t>
      </w:r>
      <w:r w:rsidRPr="00CD4590">
        <w:rPr>
          <w:b/>
          <w:i/>
        </w:rPr>
        <w:t>κράτη μέλη σχετικά με τα μέτρα που πρέπει να ληφθούν αμελλητί για την αντιμετώπιση της απόκλισης ή την ελαχιστοποίηση των επιπτώσεων στην ασφάλεια του εφοδιασμού, λαμβάνοντας υπόψη, μεταξύ άλλων, πιθανές δυσμενείς συνθήκες της αγοράς και ιδιαιτερότητες των κρατών μελών, όπως τα τεχνικά χαρακτηριστικά και το μέγεθος των υπόγειων εγκαταστάσεων αποθήκευσης αερίου σε σχέση με την εγχώρια κατανάλωση αερίου, τη φθίνουσα σημασία των υπόγειων εγκαταστάσεων αποθήκευσης αερίου χαμηλής θερμογόνου δύναμης για την ασφάλεια του εφοδιασμού με αέριο και την υφιστάμενη δυναμικότητα αποθήκευσης ΥΦΑ.</w:t>
      </w:r>
    </w:p>
    <w:p w:rsidR="007A0812" w:rsidRPr="00CD4590" w:rsidRDefault="007A0812" w:rsidP="00CD4590">
      <w:pPr>
        <w:pStyle w:val="NormalHanging12a"/>
        <w:widowControl/>
        <w:spacing w:before="120" w:after="120"/>
        <w:ind w:left="1985"/>
        <w:rPr>
          <w:szCs w:val="24"/>
        </w:rPr>
      </w:pPr>
      <w:r w:rsidRPr="00CD4590">
        <w:rPr>
          <w:b/>
          <w:i/>
        </w:rPr>
        <w:t>11a.</w:t>
      </w:r>
      <w:r w:rsidRPr="00CD4590">
        <w:rPr>
          <w:b/>
          <w:i/>
        </w:rPr>
        <w:tab/>
        <w:t>Όταν κράτος μέλος δεν επιτυγχάνει τον στόχο πλήρωσης που ορίζεται στην παράγραφο 1, θέτοντας έτσι σε κίνδυνο την ασφάλεια του εφοδιασμού της Ένωσης, η Επιτροπή εκδίδει εκτελεστική πράξη για τον καθορισμό σχεδίου πλήρωσης για το εν λόγω κράτος μέλος για το επόμενο έτος, με βάση τις τεχνικές πληροφορίες που παρέχει κάθε κράτος μέλος και λαμβάνοντας υπόψη την αξιολόγηση της ΣΟΦΑ. Η εν λόγω εκτελεστική πράξη εκδίδεται σύμφωνα με τη διαδικασία εξέτασης που αναφέρεται στο άρθρο 18α παράγραφος 2. Βασίζεται σε αξιολόγηση της γενικής κατάστασης όσον αφορά την ασφάλεια του εφοδιασμού με αέριο, και της εξέλιξης της ζήτησης και της προσφοράς αερίου στην Ένωση και στα επιμέρους κράτη μέλη, με στόχο τη διαφύλαξη της ασφάλειας εφοδιασμού με αέριο.»</w:t>
      </w:r>
      <w:r w:rsidR="003C12B1" w:rsidRPr="00CD4590">
        <w:rPr>
          <w:b/>
          <w:i/>
        </w:rPr>
        <w:t>.</w:t>
      </w:r>
    </w:p>
    <w:p w:rsidR="007A0812" w:rsidRPr="00CD4590" w:rsidRDefault="007A0812" w:rsidP="00CD4590">
      <w:pPr>
        <w:pStyle w:val="NormalHanging12a"/>
        <w:widowControl/>
        <w:spacing w:before="120" w:after="120"/>
        <w:ind w:left="851" w:hanging="851"/>
        <w:rPr>
          <w:b/>
          <w:i/>
          <w:szCs w:val="24"/>
        </w:rPr>
      </w:pPr>
      <w:r w:rsidRPr="00CD4590">
        <w:rPr>
          <w:b/>
          <w:i/>
        </w:rPr>
        <w:t>3)</w:t>
      </w:r>
      <w:r w:rsidRPr="00CD4590">
        <w:rPr>
          <w:b/>
          <w:i/>
        </w:rPr>
        <w:tab/>
        <w:t>Το άρθρο 6β τροποποιείται ως εξής:</w:t>
      </w:r>
    </w:p>
    <w:p w:rsidR="007A0812" w:rsidRPr="00CD4590" w:rsidRDefault="007A0812" w:rsidP="00CD4590">
      <w:pPr>
        <w:pStyle w:val="NormalHanging12a"/>
        <w:widowControl/>
        <w:spacing w:before="120" w:after="120"/>
        <w:ind w:left="1418"/>
        <w:rPr>
          <w:b/>
          <w:i/>
        </w:rPr>
      </w:pPr>
      <w:r w:rsidRPr="00CD4590">
        <w:rPr>
          <w:b/>
          <w:i/>
        </w:rPr>
        <w:t>α)</w:t>
      </w:r>
      <w:r w:rsidRPr="00CD4590">
        <w:rPr>
          <w:b/>
          <w:i/>
        </w:rPr>
        <w:tab/>
        <w:t>ο τίτλος αντικαθίσταται από το ακόλουθο κείμενο: «Υλοποίηση του στόχου πλήρωσης»·</w:t>
      </w:r>
    </w:p>
    <w:p w:rsidR="007A0812" w:rsidRPr="00CD4590" w:rsidRDefault="007A0812" w:rsidP="00CD4590">
      <w:pPr>
        <w:pStyle w:val="NormalHanging12a"/>
        <w:widowControl/>
        <w:spacing w:before="120" w:after="120"/>
        <w:ind w:left="1418"/>
        <w:rPr>
          <w:b/>
          <w:i/>
        </w:rPr>
      </w:pPr>
      <w:r w:rsidRPr="00CD4590">
        <w:rPr>
          <w:b/>
          <w:i/>
        </w:rPr>
        <w:t>β)</w:t>
      </w:r>
      <w:r w:rsidRPr="00CD4590">
        <w:rPr>
          <w:b/>
          <w:i/>
        </w:rPr>
        <w:tab/>
        <w:t>στην παράγραφο 1, το πρώτο εδάφιο αντικαθίσταται από το ακόλουθο κείμενο:</w:t>
      </w:r>
    </w:p>
    <w:p w:rsidR="007A0812" w:rsidRPr="00CD4590" w:rsidRDefault="007A0812" w:rsidP="00CD4590">
      <w:pPr>
        <w:pStyle w:val="NormalHanging12a"/>
        <w:widowControl/>
        <w:spacing w:before="120" w:after="120"/>
        <w:ind w:left="1985"/>
        <w:rPr>
          <w:szCs w:val="24"/>
        </w:rPr>
      </w:pPr>
      <w:r w:rsidRPr="00CD4590">
        <w:rPr>
          <w:b/>
          <w:bCs/>
          <w:i/>
          <w:iCs/>
        </w:rPr>
        <w:t>«1.</w:t>
      </w:r>
      <w:r w:rsidRPr="00CD4590">
        <w:rPr>
          <w:b/>
          <w:i/>
        </w:rPr>
        <w:tab/>
        <w:t>Τα κράτη μέλη λαμβάνουν όλα τα αναγκαία μέτρα για την επίτευξη του στόχου πλήρωσης που καθορίζεται σύμφωνα με το άρθρο 6α. Όταν διασφαλίζουν την επίτευξη του στόχου πλήρωσης, τα κράτη μέλη αποδίδουν προτεραιότητα, όπου είναι δυνατό, στα μέτρα που βασίζονται στην αγορά.»·</w:t>
      </w:r>
    </w:p>
    <w:p w:rsidR="007A0812" w:rsidRPr="00CD4590" w:rsidRDefault="007A0812" w:rsidP="00CD4590">
      <w:pPr>
        <w:pStyle w:val="NormalHanging12a"/>
        <w:widowControl/>
        <w:spacing w:before="120" w:after="120"/>
        <w:ind w:left="1418"/>
        <w:rPr>
          <w:b/>
          <w:i/>
        </w:rPr>
      </w:pPr>
      <w:r w:rsidRPr="00CD4590">
        <w:rPr>
          <w:b/>
          <w:i/>
        </w:rPr>
        <w:t>γ)</w:t>
      </w:r>
      <w:r w:rsidRPr="00CD4590">
        <w:rPr>
          <w:b/>
          <w:i/>
        </w:rPr>
        <w:tab/>
        <w:t xml:space="preserve">η παράγραφος 2 αντικαθίσταται από το ακόλουθο κείμενο: </w:t>
      </w:r>
    </w:p>
    <w:p w:rsidR="007A0812" w:rsidRPr="00CD4590" w:rsidRDefault="007A0812" w:rsidP="00CD4590">
      <w:pPr>
        <w:pStyle w:val="NormalHanging12a"/>
        <w:widowControl/>
        <w:spacing w:before="120" w:after="120"/>
        <w:ind w:left="1985"/>
        <w:rPr>
          <w:szCs w:val="24"/>
        </w:rPr>
      </w:pPr>
      <w:r w:rsidRPr="00CD4590">
        <w:rPr>
          <w:b/>
          <w:i/>
        </w:rPr>
        <w:t>«2.</w:t>
      </w:r>
      <w:r w:rsidRPr="00CD4590">
        <w:rPr>
          <w:b/>
          <w:i/>
        </w:rPr>
        <w:tab/>
        <w:t>Τα μέτρα που λαμβάνονται από τα κράτη μέλη δυνάμει της παραγράφου 1 περιορίζονται στα αναγκαία για την επίτευξη του στόχου πλήρωσης. Ορίζονται σαφώς, είναι διαφανή, αναλογικά, δεν εισάγουν διακρίσεις και είναι επαληθεύσιμα. Δεν στρεβλώνουν αδικαιολόγητα τον ανταγωνισμό ή την ορθή λειτουργία της εσωτερικής αγοράς αερίου, δεν αυξάνουν αδικαιολόγητα το κόστος της ενέργειας, ούτε θέτουν σε κίνδυνο την ασφάλεια εφοδιασμού με φυσικό αέριο άλλων κρατών μελών ή της Ένωσης.</w:t>
      </w:r>
      <w:r w:rsidRPr="00CD4590">
        <w:t xml:space="preserve"> </w:t>
      </w:r>
      <w:r w:rsidRPr="00CD4590">
        <w:rPr>
          <w:b/>
          <w:i/>
        </w:rPr>
        <w:t>Τα κράτη μέλη ενημερώνουν την Επιτροπή και τη ΣΟΦΑ για τυχόν τέτοια μέτρα.»</w:t>
      </w:r>
      <w:r w:rsidR="003C12B1" w:rsidRPr="00CD4590">
        <w:rPr>
          <w:b/>
          <w:i/>
        </w:rPr>
        <w:t>.</w:t>
      </w:r>
    </w:p>
    <w:p w:rsidR="007A0812" w:rsidRPr="00CD4590" w:rsidRDefault="007A0812" w:rsidP="00CD4590">
      <w:pPr>
        <w:pStyle w:val="NormalHanging12a"/>
        <w:widowControl/>
        <w:spacing w:before="120" w:after="120"/>
        <w:ind w:left="851" w:hanging="851"/>
        <w:rPr>
          <w:b/>
          <w:i/>
          <w:szCs w:val="24"/>
        </w:rPr>
      </w:pPr>
      <w:r w:rsidRPr="00CD4590">
        <w:rPr>
          <w:b/>
          <w:i/>
        </w:rPr>
        <w:t>4)</w:t>
      </w:r>
      <w:r w:rsidRPr="00CD4590">
        <w:rPr>
          <w:b/>
          <w:i/>
        </w:rPr>
        <w:tab/>
        <w:t>Το άρθρο 6γ τροποποιείται ως εξής:</w:t>
      </w:r>
    </w:p>
    <w:p w:rsidR="007A0812" w:rsidRPr="00CD4590" w:rsidRDefault="007A0812" w:rsidP="00CD4590">
      <w:pPr>
        <w:pStyle w:val="NormalHanging12a"/>
        <w:widowControl/>
        <w:spacing w:before="120" w:after="120"/>
        <w:ind w:left="1418"/>
        <w:rPr>
          <w:b/>
          <w:i/>
        </w:rPr>
      </w:pPr>
      <w:r w:rsidRPr="00CD4590">
        <w:rPr>
          <w:b/>
          <w:i/>
        </w:rPr>
        <w:t>α)</w:t>
      </w:r>
      <w:r w:rsidRPr="00CD4590">
        <w:rPr>
          <w:b/>
          <w:i/>
        </w:rPr>
        <w:tab/>
        <w:t>στην παράγραφο 1, το πρώτο εδάφιο αντικαθίσταται από το ακόλουθο κείμενο:</w:t>
      </w:r>
    </w:p>
    <w:p w:rsidR="007A0812" w:rsidRPr="00CD4590" w:rsidRDefault="007A0812" w:rsidP="00CD4590">
      <w:pPr>
        <w:pStyle w:val="NormalHanging12a"/>
        <w:widowControl/>
        <w:spacing w:before="120" w:after="120"/>
        <w:ind w:left="1985"/>
        <w:rPr>
          <w:b/>
          <w:i/>
          <w:szCs w:val="24"/>
        </w:rPr>
      </w:pPr>
      <w:r w:rsidRPr="00CD4590">
        <w:rPr>
          <w:b/>
          <w:i/>
        </w:rPr>
        <w:t>«1.</w:t>
      </w:r>
      <w:r w:rsidRPr="00CD4590">
        <w:rPr>
          <w:b/>
          <w:i/>
        </w:rPr>
        <w:tab/>
        <w:t>Κράτος μέλος που δεν διαθέτει υπόγειες εγκαταστάσεις αποθήκευσης φυσικού αερίου διασφαλίζει ότι οι συμμετέχοντες στην αγορά εντός του εν λόγω κράτους μέλους έχουν συνομολογήσει συμφωνίες με διαχειριστές υπόγειων συστημάτων αποθήκευσης ή άλλους συμμετέχοντες στην αγορά σε κράτη μέλη που διαθέτουν υπόγειες εγκαταστάσεις αποθήκευσης φυσικού αερίου. Οι εν λόγω συμφωνίες διέπουν τη χρήση, έως την 1η Δεκεμβρίου, των όγκων αποθήκευσης που αντιστοιχούν σε ποσοστό τουλάχιστον 15 % της μέσης ετήσιας κατανάλωσης φυσικού αερίου κατά τα προηγούμενα πέντε έτη του κράτους μέλους που δεν διαθέτει υπόγειες εγκαταστάσεις αποθήκευσης φυσικού αερίου. Ωστόσο, όταν η διασυνοριακή δυναμικότητα μεταφοράς ή άλλοι τεχνικοί περιορισμοί εμποδίζουν ένα κράτος μέλος που δεν διαθέτει υπόγειες εγκαταστάσεις αποθήκευσης φυσικού αερίου να χρησιμοποιήσει πλήρως το 15 % των εν λόγω όγκων αποθήκευσης, το εν λόγω κράτος μέλος αποθηκεύει μόνο τους όγκους εκείνους που είναι τεχνικά εφικτοί.»·</w:t>
      </w:r>
    </w:p>
    <w:p w:rsidR="007A0812" w:rsidRPr="00CD4590" w:rsidRDefault="007A0812" w:rsidP="00CD4590">
      <w:pPr>
        <w:pStyle w:val="NormalHanging12a"/>
        <w:widowControl/>
        <w:spacing w:before="120" w:after="120"/>
        <w:ind w:left="1418"/>
        <w:rPr>
          <w:b/>
          <w:i/>
          <w:szCs w:val="22"/>
        </w:rPr>
      </w:pPr>
      <w:r w:rsidRPr="00CD4590">
        <w:rPr>
          <w:b/>
          <w:i/>
        </w:rPr>
        <w:t>β)</w:t>
      </w:r>
      <w:r w:rsidRPr="00CD4590">
        <w:rPr>
          <w:b/>
          <w:i/>
        </w:rPr>
        <w:tab/>
        <w:t>στην παράγραφο 2, το δεύτερο εδάφιο αντικαθίσταται από το ακόλουθο κείμενο:</w:t>
      </w:r>
    </w:p>
    <w:p w:rsidR="007A0812" w:rsidRPr="00CD4590" w:rsidRDefault="007A0812" w:rsidP="00CD4590">
      <w:pPr>
        <w:pStyle w:val="NormalHanging12a"/>
        <w:widowControl/>
        <w:spacing w:before="120" w:after="120"/>
        <w:ind w:left="1418" w:firstLine="0"/>
        <w:rPr>
          <w:b/>
          <w:i/>
          <w:szCs w:val="24"/>
        </w:rPr>
      </w:pPr>
      <w:r w:rsidRPr="00CD4590">
        <w:rPr>
          <w:b/>
          <w:i/>
        </w:rPr>
        <w:t>«Τα κράτη μέλη που δεν διαθέτουν υπόγειες εγκαταστάσεις αποθήκευσης φυσικού αερίου αποδεικνύουν ότι συμμορφώνονται με την παράγραφο 1 και ενημερώνουν σχετικά την Επιτροπή.»·</w:t>
      </w:r>
    </w:p>
    <w:p w:rsidR="007A0812" w:rsidRPr="00CD4590" w:rsidRDefault="007A0812" w:rsidP="00CD4590">
      <w:pPr>
        <w:pStyle w:val="NormalHanging12a"/>
        <w:widowControl/>
        <w:tabs>
          <w:tab w:val="left" w:pos="1418"/>
        </w:tabs>
        <w:spacing w:before="120" w:after="120"/>
        <w:ind w:left="1418"/>
      </w:pPr>
      <w:r w:rsidRPr="00CD4590">
        <w:rPr>
          <w:b/>
          <w:bCs/>
          <w:i/>
          <w:iCs/>
        </w:rPr>
        <w:t>γ)</w:t>
      </w:r>
      <w:r w:rsidRPr="00CD4590">
        <w:rPr>
          <w:b/>
          <w:i/>
        </w:rPr>
        <w:tab/>
        <w:t>στην παράγραφο 5 πρώτο εδάφιο, το στοιχείο α) αντικαθίσταται από το ακόλουθο κείμενο:</w:t>
      </w:r>
      <w:r w:rsidRPr="00CD4590">
        <w:t xml:space="preserve"> </w:t>
      </w:r>
    </w:p>
    <w:p w:rsidR="007A0812" w:rsidRPr="00CD4590" w:rsidRDefault="007A0812" w:rsidP="00CD4590">
      <w:pPr>
        <w:pStyle w:val="NormalHanging12a"/>
        <w:widowControl/>
        <w:spacing w:before="120" w:after="120"/>
        <w:ind w:left="1985"/>
        <w:rPr>
          <w:b/>
          <w:i/>
          <w:szCs w:val="24"/>
        </w:rPr>
      </w:pPr>
      <w:r w:rsidRPr="00CD4590">
        <w:rPr>
          <w:b/>
          <w:i/>
        </w:rPr>
        <w:t>«α)</w:t>
      </w:r>
      <w:r w:rsidRPr="00CD4590">
        <w:rPr>
          <w:b/>
          <w:i/>
        </w:rPr>
        <w:tab/>
        <w:t>διασφαλίζουν ότι έως την 1η Δεκεμβρίου οι όγκοι αποθήκευσης αντιστοιχούν τουλάχιστον στη μέση χρήση της δυναμικότητας αποθήκευσης των προηγούμενων πέντε ετών, η οποία καθορίζεται, μεταξύ άλλων, λαμβάνοντας υπόψη τις ροές κατά τη διάρκεια της περιόδου απόληψης κατά τα προηγούμενα πέντε έτη από τα κράτη μέλη στα οποία βρίσκονται οι εγκαταστάσεις αποθήκευσης, ή»·</w:t>
      </w:r>
    </w:p>
    <w:p w:rsidR="007A0812" w:rsidRPr="00CD4590" w:rsidRDefault="007A0812" w:rsidP="00CD4590">
      <w:pPr>
        <w:pStyle w:val="NormalHanging12a"/>
        <w:widowControl/>
        <w:spacing w:before="120" w:after="120"/>
        <w:ind w:left="1418"/>
        <w:rPr>
          <w:b/>
          <w:i/>
        </w:rPr>
      </w:pPr>
      <w:r w:rsidRPr="00CD4590">
        <w:rPr>
          <w:b/>
          <w:i/>
        </w:rPr>
        <w:t>δ)</w:t>
      </w:r>
      <w:r w:rsidRPr="00CD4590">
        <w:rPr>
          <w:b/>
          <w:i/>
        </w:rPr>
        <w:tab/>
        <w:t>η παράγραφος 6 αντικαθίσταται από το ακόλουθο κείμενο:</w:t>
      </w:r>
    </w:p>
    <w:p w:rsidR="007A0812" w:rsidRPr="00CD4590" w:rsidRDefault="007A0812" w:rsidP="00CD4590">
      <w:pPr>
        <w:pStyle w:val="NormalHanging12a"/>
        <w:widowControl/>
        <w:spacing w:before="120" w:after="120"/>
        <w:ind w:left="1985"/>
        <w:rPr>
          <w:b/>
          <w:i/>
          <w:szCs w:val="24"/>
        </w:rPr>
      </w:pPr>
      <w:r w:rsidRPr="00CD4590">
        <w:rPr>
          <w:b/>
          <w:i/>
        </w:rPr>
        <w:t>«6.</w:t>
      </w:r>
      <w:r w:rsidRPr="00CD4590">
        <w:rPr>
          <w:b/>
          <w:i/>
        </w:rPr>
        <w:tab/>
        <w:t>Εκτός εάν ορίζεται διαφορετικά στο παράρτημα Ιβ, στην περίπτωση υπόγειων εγκαταστάσεων αποθήκευσης φυσικού αερίου που βρίσκονται σε ένα κράτος μέλος οι οποίες δεν καλύπτονται από την παράγραφο 5 αλλά είναι απευθείας διασυνδεδεμένες με την περιοχή αγοράς άλλου κράτους μέλους, το εν λόγω άλλο κράτος μέλος διασφαλίζει ότι μεταξύ 1ης Οκτωβρίου και 1ης Δεκεμβρίου οι όγκοι αποθήκευσης αντιστοιχούν τουλάχιστον στον μέσο όρο της δυναμικότητας αποθήκευσης που έχει δεσμευθεί στο σχετικό διασυνοριακό σημείο κατά τα προηγούμενα πέντε έτη.»</w:t>
      </w:r>
      <w:r w:rsidR="003C12B1" w:rsidRPr="00CD4590">
        <w:rPr>
          <w:b/>
          <w:i/>
        </w:rPr>
        <w:t>.</w:t>
      </w:r>
    </w:p>
    <w:p w:rsidR="007A0812" w:rsidRPr="00CD4590" w:rsidRDefault="007A0812" w:rsidP="00CD4590">
      <w:pPr>
        <w:pStyle w:val="NormalHanging12a"/>
        <w:widowControl/>
        <w:spacing w:before="120" w:after="120"/>
        <w:ind w:left="851" w:hanging="851"/>
        <w:rPr>
          <w:b/>
          <w:i/>
        </w:rPr>
      </w:pPr>
      <w:r w:rsidRPr="00CD4590">
        <w:rPr>
          <w:b/>
          <w:i/>
        </w:rPr>
        <w:t>5)</w:t>
      </w:r>
      <w:r w:rsidRPr="00CD4590">
        <w:rPr>
          <w:b/>
          <w:i/>
        </w:rPr>
        <w:tab/>
        <w:t>Το άρθρο 6δ τροποποιείται ως εξής:</w:t>
      </w:r>
    </w:p>
    <w:p w:rsidR="007A0812" w:rsidRPr="00CD4590" w:rsidRDefault="007A0812" w:rsidP="00CD4590">
      <w:pPr>
        <w:pStyle w:val="NormalHanging12a"/>
        <w:widowControl/>
        <w:spacing w:before="120" w:after="120"/>
        <w:ind w:left="1418"/>
        <w:rPr>
          <w:b/>
          <w:i/>
        </w:rPr>
      </w:pPr>
      <w:r w:rsidRPr="00CD4590">
        <w:rPr>
          <w:b/>
          <w:i/>
        </w:rPr>
        <w:t>α)</w:t>
      </w:r>
      <w:r w:rsidRPr="00CD4590">
        <w:rPr>
          <w:b/>
          <w:i/>
        </w:rPr>
        <w:tab/>
        <w:t>οι παράγραφοι 1 και 2 αντικαθίστανται από το ακόλουθο κείμενο:</w:t>
      </w:r>
    </w:p>
    <w:p w:rsidR="007A0812" w:rsidRPr="00CD4590" w:rsidRDefault="007A0812" w:rsidP="00CD4590">
      <w:pPr>
        <w:pStyle w:val="NormalHanging12a"/>
        <w:widowControl/>
        <w:spacing w:before="120" w:after="120"/>
        <w:ind w:left="1985"/>
        <w:rPr>
          <w:b/>
          <w:i/>
          <w:szCs w:val="24"/>
        </w:rPr>
      </w:pPr>
      <w:r w:rsidRPr="00CD4590">
        <w:rPr>
          <w:b/>
          <w:i/>
        </w:rPr>
        <w:t>«1.</w:t>
      </w:r>
      <w:r w:rsidRPr="00CD4590">
        <w:rPr>
          <w:b/>
          <w:i/>
        </w:rPr>
        <w:tab/>
        <w:t>Οι διαχειριστές συστημάτων αποθήκευσης αναφέρουν το επίπεδο πλήρωσης στην αρμόδια αρχή σε κάθε κράτος μέλος όπου βρίσκονται οι οικείες υπόγειες εγκαταστάσεις αποθήκευσης φυσικού αερίου και, κατά περίπτωση, σε οντότητα που έχει οριστεί από το εν λόγω κράτος μέλος («ορισθείσα οντότητα») όπως ορίζεται δυνάμει του άρθρου 6α.</w:t>
      </w:r>
    </w:p>
    <w:p w:rsidR="007A0812" w:rsidRPr="00CD4590" w:rsidRDefault="007A0812" w:rsidP="00CD4590">
      <w:pPr>
        <w:pStyle w:val="NormalHanging12a"/>
        <w:widowControl/>
        <w:spacing w:before="120" w:after="120"/>
        <w:ind w:left="1985"/>
        <w:rPr>
          <w:szCs w:val="24"/>
        </w:rPr>
      </w:pPr>
      <w:r w:rsidRPr="00CD4590">
        <w:rPr>
          <w:b/>
          <w:i/>
        </w:rPr>
        <w:t>2.</w:t>
      </w:r>
      <w:r w:rsidRPr="00CD4590">
        <w:rPr>
          <w:b/>
          <w:i/>
        </w:rPr>
        <w:tab/>
        <w:t xml:space="preserve">Η αρμόδια αρχή και, κατά περίπτωση, η ορισθείσα οντότητα κάθε κράτους μέλους παρακολουθούν τα επίπεδα πλήρωσης των υπόγειων εγκαταστάσεων αποθήκευσης φυσικού αερίου στην επικράτειά τους στο τέλος κάθε μήνα και αναφέρουν σε μηνιαία βάση τα αποτελέσματα στην Επιτροπή χωρίς καθυστέρηση. Η αρμόδια αρχή περιλαμβάνει επίσης πληροφορίες σχετικά με το μερίδιο του αερίου </w:t>
      </w:r>
      <w:r w:rsidR="00067AC4" w:rsidRPr="00CD4590">
        <w:rPr>
          <w:b/>
          <w:i/>
        </w:rPr>
        <w:t>προελεύσεως</w:t>
      </w:r>
      <w:r w:rsidRPr="00CD4590">
        <w:rPr>
          <w:b/>
          <w:i/>
        </w:rPr>
        <w:t xml:space="preserve"> Ρωσικής Ομοσπονδίας που αποθηκεύεται στο εν λόγω κράτος μέλος, αν υπάρχουν τέτοιες πληροφορίες διαθέσιμες.</w:t>
      </w:r>
    </w:p>
    <w:p w:rsidR="007A0812" w:rsidRPr="00CD4590" w:rsidRDefault="007A0812" w:rsidP="00CD4590">
      <w:pPr>
        <w:pStyle w:val="NormalHanging12a"/>
        <w:widowControl/>
        <w:spacing w:before="120" w:after="120"/>
        <w:ind w:left="1985" w:firstLine="0"/>
        <w:rPr>
          <w:b/>
          <w:i/>
        </w:rPr>
      </w:pPr>
      <w:r w:rsidRPr="00CD4590">
        <w:rPr>
          <w:b/>
          <w:i/>
        </w:rPr>
        <w:t>Η Επιτροπή δύναται, κατά περίπτωση, να καλέσει τον Οργανισμό Συνεργασίας των Ρυθμιστικών Αρχών Ενέργειας της Ευρωπαϊκής Ένωσης (ACER) να συνδράμει σε αυτήν την παρακολούθηση.»·</w:t>
      </w:r>
    </w:p>
    <w:p w:rsidR="007A0812" w:rsidRPr="00CD4590" w:rsidRDefault="007A0812" w:rsidP="00CD4590">
      <w:pPr>
        <w:pStyle w:val="NormalHanging12a"/>
        <w:widowControl/>
        <w:spacing w:before="120" w:after="120"/>
        <w:ind w:left="1418"/>
        <w:rPr>
          <w:b/>
          <w:i/>
        </w:rPr>
      </w:pPr>
      <w:r w:rsidRPr="00CD4590">
        <w:rPr>
          <w:b/>
          <w:i/>
        </w:rPr>
        <w:t>β)</w:t>
      </w:r>
      <w:r w:rsidRPr="00CD4590">
        <w:rPr>
          <w:b/>
          <w:i/>
        </w:rPr>
        <w:tab/>
        <w:t>οι παράγραφοι 4 και 5 αντικαθίστανται από το ακόλουθο κείμενο:</w:t>
      </w:r>
    </w:p>
    <w:p w:rsidR="007A0812" w:rsidRPr="00CD4590" w:rsidRDefault="007A0812" w:rsidP="00CD4590">
      <w:pPr>
        <w:pStyle w:val="NormalHanging12a"/>
        <w:widowControl/>
        <w:spacing w:before="120" w:after="120"/>
        <w:ind w:left="1985"/>
        <w:rPr>
          <w:b/>
          <w:i/>
          <w:szCs w:val="24"/>
        </w:rPr>
      </w:pPr>
      <w:r w:rsidRPr="00CD4590">
        <w:rPr>
          <w:b/>
          <w:i/>
        </w:rPr>
        <w:t>«4.</w:t>
      </w:r>
      <w:r w:rsidRPr="00CD4590">
        <w:rPr>
          <w:b/>
          <w:i/>
        </w:rPr>
        <w:tab/>
        <w:t>Η ΣΟΦΑ βοηθά την Επιτροπή στην παρακολούθηση του στόχου πλήρωσης και αναπτύσσει καθοδήγηση για την Επιτροπή σχετικά με τη λήψη κατάλληλων μέτρων για τη διασφάλιση της καλύτερης ευθυγράμμισης σε περίπτωση που τα ποσοστά πλήρωσης των κρατών μελών υπονομεύουν την επίτευξη του στόχου πλήρωσης, ή για τη διασφάλιση της συμμόρφωσης με τον στόχο πλήρωσης.</w:t>
      </w:r>
    </w:p>
    <w:p w:rsidR="007A0812" w:rsidRPr="00CD4590" w:rsidRDefault="007A0812" w:rsidP="00CD4590">
      <w:pPr>
        <w:pStyle w:val="NormalHanging12a"/>
        <w:widowControl/>
        <w:spacing w:before="120" w:after="120"/>
        <w:ind w:left="1985"/>
        <w:rPr>
          <w:b/>
          <w:i/>
          <w:szCs w:val="24"/>
        </w:rPr>
      </w:pPr>
      <w:r w:rsidRPr="00CD4590">
        <w:rPr>
          <w:b/>
          <w:i/>
        </w:rPr>
        <w:t>4α.</w:t>
      </w:r>
      <w:r w:rsidRPr="00CD4590">
        <w:rPr>
          <w:b/>
          <w:i/>
        </w:rPr>
        <w:tab/>
        <w:t>Κατά περίπτωση, η Επιτροπή εφαρμόζει μέτρα που βοηθούν τα κράτη μέλη να επιτύχουν τον στόχο πλήρωσης, συμπεριλαμβανομένων μέτρων για την ενθάρρυνση της συμμετοχής στον μηχανισμό συγκέντρωσης της ζήτησης και των από κοινού αγορών που θεσπίζεται με τον κανονισμό (ΕΕ) 2022/2576 («</w:t>
      </w:r>
      <w:proofErr w:type="spellStart"/>
      <w:r w:rsidRPr="00CD4590">
        <w:rPr>
          <w:b/>
          <w:i/>
        </w:rPr>
        <w:t>AggregateEU</w:t>
      </w:r>
      <w:proofErr w:type="spellEnd"/>
      <w:r w:rsidRPr="00CD4590">
        <w:rPr>
          <w:b/>
          <w:i/>
        </w:rPr>
        <w:t>»)</w:t>
      </w:r>
      <w:r w:rsidRPr="00CD4590">
        <w:rPr>
          <w:b/>
          <w:i/>
          <w:vertAlign w:val="superscript"/>
        </w:rPr>
        <w:t>*</w:t>
      </w:r>
      <w:r w:rsidRPr="00CD4590">
        <w:rPr>
          <w:b/>
          <w:i/>
        </w:rPr>
        <w:t>.</w:t>
      </w:r>
    </w:p>
    <w:p w:rsidR="007A0812" w:rsidRPr="00CD4590" w:rsidRDefault="007A0812" w:rsidP="00CD4590">
      <w:pPr>
        <w:pStyle w:val="NormalHanging12a"/>
        <w:widowControl/>
        <w:spacing w:before="120" w:after="120"/>
        <w:ind w:left="1985"/>
        <w:rPr>
          <w:b/>
          <w:i/>
        </w:rPr>
      </w:pPr>
      <w:r w:rsidRPr="00CD4590">
        <w:rPr>
          <w:b/>
          <w:i/>
        </w:rPr>
        <w:t>5.</w:t>
      </w:r>
      <w:r w:rsidRPr="00CD4590">
        <w:rPr>
          <w:b/>
          <w:i/>
        </w:rPr>
        <w:tab/>
        <w:t>Τα κράτη μέλη και, όπου είναι σκόπιμο, η Επιτροπή λαμβάνουν τα αναγκαία μέτρα για την επίτευξη του στόχου πλήρωσης, καθώς και για την επιβολή των υποχρεώσεων αποθήκευσης στους συμμετέχοντες στην αγορά. Τα μέτρα αυτά μπορούν να περιλαμβάνουν επαρκώς αποτρεπτικές κυρώσεις και πρόστιμα, όπως κατάλληλες χρηματικές ποινές.</w:t>
      </w:r>
    </w:p>
    <w:p w:rsidR="007A0812" w:rsidRPr="00CD4590" w:rsidRDefault="007A0812" w:rsidP="00CD4590">
      <w:pPr>
        <w:pStyle w:val="NormalHanging12a"/>
        <w:widowControl/>
        <w:spacing w:before="120" w:after="120"/>
        <w:ind w:left="1985"/>
        <w:rPr>
          <w:b/>
          <w:i/>
        </w:rPr>
      </w:pPr>
      <w:r w:rsidRPr="00CD4590">
        <w:rPr>
          <w:b/>
          <w:i/>
        </w:rPr>
        <w:t>___________________</w:t>
      </w:r>
    </w:p>
    <w:p w:rsidR="007A0812" w:rsidRPr="00CD4590" w:rsidRDefault="007A0812" w:rsidP="00CD4590">
      <w:pPr>
        <w:pStyle w:val="NormalHanging12a"/>
        <w:widowControl/>
        <w:spacing w:before="120" w:after="120"/>
        <w:ind w:left="1985"/>
        <w:rPr>
          <w:b/>
          <w:i/>
        </w:rPr>
      </w:pPr>
      <w:r w:rsidRPr="00CD4590">
        <w:rPr>
          <w:b/>
          <w:i/>
        </w:rPr>
        <w:t>*</w:t>
      </w:r>
      <w:r w:rsidRPr="00CD4590">
        <w:rPr>
          <w:b/>
          <w:i/>
        </w:rPr>
        <w:tab/>
        <w:t>Κανονισμός (ΕΕ) 2022/2576 του Συμβουλίου, της 19ης Δεκεμβρίου 2022, για την ενίσχυση της αλληλεγγύης μέσω καλύτερου συντονισμού των αγορών αερίου, αξιόπιστων δεικτών αναφοράς για τις τιμές και διασυνοριακών ανταλλαγών αερίου (ΕΕ L 335 της 29.12.2022, σ. 1, ELI: http://data.europa.eu/eli/reg/2022/2576/oj).»</w:t>
      </w:r>
      <w:r w:rsidR="003C12B1" w:rsidRPr="00CD4590">
        <w:rPr>
          <w:b/>
          <w:i/>
        </w:rPr>
        <w:t>.</w:t>
      </w:r>
    </w:p>
    <w:p w:rsidR="007A0812" w:rsidRPr="00CD4590" w:rsidRDefault="007A0812" w:rsidP="00CD4590">
      <w:pPr>
        <w:pStyle w:val="NormalHanging12a"/>
        <w:widowControl/>
        <w:spacing w:before="120" w:after="120"/>
        <w:ind w:left="851" w:hanging="851"/>
        <w:rPr>
          <w:b/>
          <w:i/>
          <w:szCs w:val="24"/>
        </w:rPr>
      </w:pPr>
      <w:r w:rsidRPr="00CD4590">
        <w:rPr>
          <w:b/>
          <w:i/>
        </w:rPr>
        <w:t>6)</w:t>
      </w:r>
      <w:r w:rsidRPr="00CD4590">
        <w:rPr>
          <w:b/>
          <w:i/>
        </w:rPr>
        <w:tab/>
      </w:r>
      <w:r w:rsidR="003C12B1" w:rsidRPr="00CD4590">
        <w:rPr>
          <w:b/>
          <w:i/>
        </w:rPr>
        <w:t>Σ</w:t>
      </w:r>
      <w:r w:rsidRPr="00CD4590">
        <w:rPr>
          <w:b/>
          <w:i/>
        </w:rPr>
        <w:t>το άρθρο 17α παράγραφος 1, προστίθεται το ακόλουθο στοιχείο:</w:t>
      </w:r>
    </w:p>
    <w:p w:rsidR="007A0812" w:rsidRPr="00CD4590" w:rsidRDefault="007A0812" w:rsidP="00CD4590">
      <w:pPr>
        <w:pStyle w:val="NormalHanging12a"/>
        <w:widowControl/>
        <w:spacing w:before="120" w:after="120"/>
        <w:ind w:left="1418"/>
        <w:rPr>
          <w:b/>
          <w:i/>
          <w:szCs w:val="24"/>
        </w:rPr>
      </w:pPr>
      <w:r w:rsidRPr="00CD4590">
        <w:rPr>
          <w:b/>
          <w:i/>
        </w:rPr>
        <w:t>«</w:t>
      </w:r>
      <w:proofErr w:type="spellStart"/>
      <w:r w:rsidRPr="00CD4590">
        <w:rPr>
          <w:b/>
          <w:i/>
        </w:rPr>
        <w:t>δa</w:t>
      </w:r>
      <w:proofErr w:type="spellEnd"/>
      <w:r w:rsidRPr="00CD4590">
        <w:rPr>
          <w:b/>
          <w:i/>
        </w:rPr>
        <w:t>)</w:t>
      </w:r>
      <w:r w:rsidRPr="00CD4590">
        <w:rPr>
          <w:b/>
          <w:i/>
        </w:rPr>
        <w:tab/>
        <w:t xml:space="preserve">τις πληροφορίες σχετικά με το μερίδιο αερίου </w:t>
      </w:r>
      <w:r w:rsidR="00067AC4" w:rsidRPr="00CD4590">
        <w:rPr>
          <w:b/>
          <w:i/>
        </w:rPr>
        <w:t>προελεύσεως</w:t>
      </w:r>
      <w:r w:rsidRPr="00CD4590">
        <w:rPr>
          <w:b/>
          <w:i/>
        </w:rPr>
        <w:t xml:space="preserve"> Ρωσικής Ομοσπονδίας που αποθηκεύεται στις εγκαταστάσεις αποθήκευσης της ΕΕ, οι οποίες παρέχονται από τα κράτη μέλη σύμφωνα με το άρθρο 6δ παράγραφος 2</w:t>
      </w:r>
      <w:r w:rsidR="00CD4590" w:rsidRPr="00CD4590">
        <w:rPr>
          <w:b/>
          <w:i/>
        </w:rPr>
        <w:t>.</w:t>
      </w:r>
      <w:r w:rsidR="003C12B1" w:rsidRPr="00CD4590">
        <w:rPr>
          <w:b/>
          <w:i/>
        </w:rPr>
        <w:t>»</w:t>
      </w:r>
      <w:r w:rsidRPr="00CD4590">
        <w:rPr>
          <w:b/>
          <w:i/>
        </w:rPr>
        <w:t>.</w:t>
      </w:r>
    </w:p>
    <w:p w:rsidR="007A0812" w:rsidRPr="00CD4590" w:rsidRDefault="007A0812" w:rsidP="00CD4590">
      <w:pPr>
        <w:pStyle w:val="NormalHanging12a"/>
        <w:widowControl/>
        <w:spacing w:before="120" w:after="120"/>
        <w:ind w:left="851" w:hanging="851"/>
        <w:rPr>
          <w:b/>
          <w:i/>
          <w:szCs w:val="24"/>
        </w:rPr>
      </w:pPr>
      <w:r w:rsidRPr="00CD4590">
        <w:rPr>
          <w:b/>
          <w:i/>
        </w:rPr>
        <w:t>7)</w:t>
      </w:r>
      <w:r w:rsidRPr="00CD4590">
        <w:rPr>
          <w:b/>
          <w:i/>
        </w:rPr>
        <w:tab/>
      </w:r>
      <w:r w:rsidR="003C12B1" w:rsidRPr="00CD4590">
        <w:rPr>
          <w:b/>
          <w:i/>
        </w:rPr>
        <w:t>Σ</w:t>
      </w:r>
      <w:r w:rsidRPr="00CD4590">
        <w:rPr>
          <w:b/>
          <w:i/>
        </w:rPr>
        <w:t>το άρθρο 22, το τέταρτο εδάφιο αντικαθίσταται από το ακόλουθο κείμενο:</w:t>
      </w:r>
    </w:p>
    <w:p w:rsidR="007A0812" w:rsidRPr="00CD4590" w:rsidRDefault="007A0812" w:rsidP="00CD4590">
      <w:pPr>
        <w:pStyle w:val="NormalHanging12a"/>
        <w:widowControl/>
        <w:spacing w:before="120" w:after="120"/>
        <w:ind w:left="851" w:firstLine="0"/>
        <w:rPr>
          <w:b/>
          <w:i/>
          <w:szCs w:val="24"/>
        </w:rPr>
      </w:pPr>
      <w:r w:rsidRPr="00CD4590">
        <w:rPr>
          <w:b/>
          <w:i/>
        </w:rPr>
        <w:t>«Το άρθρο 2 σημεία 27) έως 31), τα άρθρα 6α έως 6δ, το άρθρο 16 παράγραφος 3, το άρθρο 17α, το άρθρο 18α, το άρθρο 20 παράγραφος 4 και το παράρτημα Ιβ εφαρμόζονται έως τις 31 Δεκεμβρίου 2027.»</w:t>
      </w:r>
      <w:r w:rsidR="003C12B1" w:rsidRPr="00CD4590">
        <w:rPr>
          <w:b/>
          <w:i/>
        </w:rPr>
        <w:t>.</w:t>
      </w:r>
    </w:p>
    <w:p w:rsidR="007A0812" w:rsidRPr="00CD4590" w:rsidRDefault="007A0812" w:rsidP="00CD4590">
      <w:pPr>
        <w:pStyle w:val="NormalHanging12a"/>
        <w:widowControl/>
        <w:spacing w:before="120" w:after="120"/>
        <w:ind w:left="851" w:hanging="851"/>
        <w:rPr>
          <w:b/>
          <w:i/>
          <w:szCs w:val="24"/>
        </w:rPr>
      </w:pPr>
      <w:r w:rsidRPr="00CD4590">
        <w:rPr>
          <w:b/>
          <w:i/>
        </w:rPr>
        <w:t>8)</w:t>
      </w:r>
      <w:r w:rsidRPr="00CD4590">
        <w:rPr>
          <w:b/>
          <w:i/>
        </w:rPr>
        <w:tab/>
        <w:t xml:space="preserve">Το παράρτημα </w:t>
      </w:r>
      <w:proofErr w:type="spellStart"/>
      <w:r w:rsidRPr="00CD4590">
        <w:rPr>
          <w:b/>
          <w:i/>
        </w:rPr>
        <w:t>Iα</w:t>
      </w:r>
      <w:proofErr w:type="spellEnd"/>
      <w:r w:rsidRPr="00CD4590">
        <w:rPr>
          <w:b/>
          <w:i/>
        </w:rPr>
        <w:t xml:space="preserve"> διαγράφεται.</w:t>
      </w:r>
    </w:p>
    <w:p w:rsidR="007A0812" w:rsidRPr="00CD4590" w:rsidRDefault="007A0812" w:rsidP="00CD4590">
      <w:pPr>
        <w:pStyle w:val="Titrearticle"/>
        <w:keepNext w:val="0"/>
        <w:spacing w:before="120"/>
        <w:rPr>
          <w:b/>
          <w:bCs/>
          <w:noProof/>
        </w:rPr>
      </w:pPr>
      <w:r w:rsidRPr="00CD4590">
        <w:rPr>
          <w:i w:val="0"/>
        </w:rPr>
        <w:t>Άρθρο 2</w:t>
      </w:r>
      <w:r w:rsidR="003C12B1" w:rsidRPr="00CD4590">
        <w:rPr>
          <w:i w:val="0"/>
        </w:rPr>
        <w:br/>
      </w:r>
      <w:r w:rsidRPr="00CD4590">
        <w:rPr>
          <w:i w:val="0"/>
        </w:rPr>
        <w:t>Έναρξη ισχύος</w:t>
      </w:r>
    </w:p>
    <w:p w:rsidR="007A0812" w:rsidRPr="00CD4590" w:rsidRDefault="007A0812" w:rsidP="00CD4590">
      <w:pPr>
        <w:pStyle w:val="NormalHanging12a"/>
        <w:widowControl/>
        <w:spacing w:before="120" w:after="120"/>
        <w:ind w:left="0" w:firstLine="0"/>
        <w:rPr>
          <w:szCs w:val="24"/>
        </w:rPr>
      </w:pPr>
      <w:r w:rsidRPr="00CD4590">
        <w:t xml:space="preserve">Ο παρών κανονισμός αρχίζει να ισχύει </w:t>
      </w:r>
      <w:r w:rsidRPr="00CD4590">
        <w:rPr>
          <w:b/>
          <w:bCs/>
          <w:i/>
          <w:iCs/>
        </w:rPr>
        <w:t>και τίθεται σε εφαρμογή</w:t>
      </w:r>
      <w:r w:rsidRPr="00CD4590">
        <w:t xml:space="preserve"> την επομένη της δημοσίευσής του στην </w:t>
      </w:r>
      <w:r w:rsidRPr="00CD4590">
        <w:rPr>
          <w:i/>
        </w:rPr>
        <w:t>Επίσημη Εφημερίδα της Ευρωπαϊκής Ένωσης</w:t>
      </w:r>
      <w:r w:rsidRPr="00CD4590">
        <w:t>.</w:t>
      </w:r>
    </w:p>
    <w:p w:rsidR="007A0812" w:rsidRPr="00CD4590" w:rsidRDefault="007A0812" w:rsidP="00CD4590">
      <w:pPr>
        <w:pStyle w:val="NormalCenter12a"/>
        <w:widowControl/>
        <w:spacing w:before="480" w:after="120"/>
        <w:jc w:val="left"/>
      </w:pPr>
      <w:r w:rsidRPr="00CD4590">
        <w:t>Ο παρών κανονισμός είναι δεσμευτικός ως προς όλα τα μέρη του και ισχύει άμεσα σε κάθε κράτος μέλος.</w:t>
      </w:r>
    </w:p>
    <w:p w:rsidR="007A0812" w:rsidRPr="00CD4590" w:rsidRDefault="003C12B1" w:rsidP="00CD4590">
      <w:pPr>
        <w:pStyle w:val="NormalCenter12a"/>
        <w:widowControl/>
        <w:jc w:val="left"/>
      </w:pPr>
      <w:r w:rsidRPr="00CD4590">
        <w:t>...</w:t>
      </w:r>
      <w:r w:rsidR="007A0812" w:rsidRPr="00CD4590">
        <w:t>,</w:t>
      </w:r>
    </w:p>
    <w:p w:rsidR="003C12B1" w:rsidRPr="00CD4590" w:rsidRDefault="003C12B1" w:rsidP="00CD4590">
      <w:pPr>
        <w:widowControl/>
        <w:tabs>
          <w:tab w:val="left" w:pos="4252"/>
        </w:tabs>
        <w:spacing w:before="720"/>
        <w:rPr>
          <w:rFonts w:eastAsia="Calibri"/>
          <w:i/>
          <w:noProof/>
          <w:szCs w:val="22"/>
          <w:lang w:eastAsia="en-US"/>
        </w:rPr>
      </w:pPr>
      <w:r w:rsidRPr="00CD4590">
        <w:rPr>
          <w:rFonts w:eastAsia="Calibri"/>
          <w:i/>
          <w:noProof/>
          <w:szCs w:val="22"/>
          <w:lang w:eastAsia="en-US"/>
        </w:rPr>
        <w:t>Για το Ευρωπαϊκό Κοινοβούλιο</w:t>
      </w:r>
      <w:r w:rsidRPr="00CD4590">
        <w:rPr>
          <w:rFonts w:eastAsia="Calibri"/>
          <w:i/>
          <w:noProof/>
          <w:szCs w:val="22"/>
          <w:lang w:eastAsia="en-US"/>
        </w:rPr>
        <w:tab/>
        <w:t>Για το Συμβούλιο</w:t>
      </w:r>
    </w:p>
    <w:p w:rsidR="00E365E1" w:rsidRPr="00CD4590" w:rsidRDefault="003C12B1" w:rsidP="00CD4590">
      <w:pPr>
        <w:pStyle w:val="NormalCenter12a"/>
        <w:widowControl/>
        <w:tabs>
          <w:tab w:val="left" w:pos="4252"/>
        </w:tabs>
        <w:jc w:val="left"/>
      </w:pPr>
      <w:r w:rsidRPr="00CD4590">
        <w:rPr>
          <w:rFonts w:eastAsia="Calibri"/>
          <w:i/>
          <w:noProof/>
          <w:szCs w:val="22"/>
          <w:lang w:eastAsia="en-US"/>
        </w:rPr>
        <w:t>Η Πρόεδρος</w:t>
      </w:r>
      <w:r w:rsidRPr="00CD4590">
        <w:rPr>
          <w:rFonts w:eastAsia="Calibri"/>
          <w:i/>
          <w:noProof/>
          <w:szCs w:val="22"/>
          <w:lang w:eastAsia="en-US"/>
        </w:rPr>
        <w:tab/>
        <w:t>Ο/Η Πρόεδρος</w:t>
      </w:r>
    </w:p>
    <w:sectPr w:rsidR="00E365E1" w:rsidRPr="00CD4590" w:rsidSect="00E72A3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67B6" w:rsidRPr="00E72A34" w:rsidRDefault="007467B6">
      <w:r w:rsidRPr="00E72A34">
        <w:separator/>
      </w:r>
    </w:p>
  </w:endnote>
  <w:endnote w:type="continuationSeparator" w:id="0">
    <w:p w:rsidR="007467B6" w:rsidRPr="00E72A34" w:rsidRDefault="007467B6">
      <w:r w:rsidRPr="00E72A3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2A3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2A3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2A3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67B6" w:rsidRPr="00E72A34" w:rsidRDefault="007467B6">
      <w:r w:rsidRPr="00E72A34">
        <w:separator/>
      </w:r>
    </w:p>
  </w:footnote>
  <w:footnote w:type="continuationSeparator" w:id="0">
    <w:p w:rsidR="007467B6" w:rsidRPr="00E72A34" w:rsidRDefault="007467B6">
      <w:r w:rsidRPr="00E72A34">
        <w:continuationSeparator/>
      </w:r>
    </w:p>
  </w:footnote>
  <w:footnote w:id="1">
    <w:p w:rsidR="00AC7BD8" w:rsidRPr="009B4E59" w:rsidRDefault="00AC7BD8" w:rsidP="00AC7BD8">
      <w:pPr>
        <w:pStyle w:val="FootnoteText"/>
        <w:ind w:left="567" w:hanging="567"/>
        <w:rPr>
          <w:sz w:val="24"/>
          <w:lang w:val="el-GR"/>
        </w:rPr>
      </w:pPr>
      <w:r w:rsidRPr="00AC7BD8">
        <w:rPr>
          <w:rStyle w:val="FootnoteReference"/>
          <w:sz w:val="24"/>
        </w:rPr>
        <w:footnoteRef/>
      </w:r>
      <w:r w:rsidRPr="00AC7BD8">
        <w:rPr>
          <w:sz w:val="24"/>
          <w:lang w:val="el-GR"/>
        </w:rPr>
        <w:t xml:space="preserve"> </w:t>
      </w:r>
      <w:r w:rsidRPr="00AC7BD8">
        <w:rPr>
          <w:sz w:val="24"/>
          <w:lang w:val="el-GR"/>
        </w:rPr>
        <w:tab/>
        <w:t xml:space="preserve">Το θέμα αναπέμφθηκε για διοργανικές διαπραγματεύσεις στην αρμόδια επιτροπή, σύμφωνα με το </w:t>
      </w:r>
      <w:r w:rsidRPr="00CD4590">
        <w:rPr>
          <w:sz w:val="24"/>
          <w:lang w:val="el-GR"/>
        </w:rPr>
        <w:t>άρθρο 6</w:t>
      </w:r>
      <w:r w:rsidR="003E59DE">
        <w:rPr>
          <w:sz w:val="24"/>
          <w:lang w:val="el-GR"/>
        </w:rPr>
        <w:t>0</w:t>
      </w:r>
      <w:r w:rsidRPr="00CD4590">
        <w:rPr>
          <w:sz w:val="24"/>
          <w:lang w:val="el-GR"/>
        </w:rPr>
        <w:t xml:space="preserve"> παράγραφος 4 τέταρτο εδάφιο</w:t>
      </w:r>
      <w:r w:rsidRPr="00AC7BD8">
        <w:rPr>
          <w:sz w:val="24"/>
          <w:lang w:val="el-GR"/>
        </w:rPr>
        <w:t xml:space="preserve"> του Κανονισμού (</w:t>
      </w:r>
      <w:r w:rsidRPr="00CD4590">
        <w:rPr>
          <w:sz w:val="24"/>
          <w:lang w:val="el-GR"/>
        </w:rPr>
        <w:t>Α10-00</w:t>
      </w:r>
      <w:r>
        <w:rPr>
          <w:sz w:val="24"/>
          <w:lang w:val="el-GR"/>
        </w:rPr>
        <w:t>79</w:t>
      </w:r>
      <w:r w:rsidRPr="00CD4590">
        <w:rPr>
          <w:sz w:val="24"/>
          <w:lang w:val="el-GR"/>
        </w:rPr>
        <w:t>/20</w:t>
      </w:r>
      <w:r>
        <w:rPr>
          <w:sz w:val="24"/>
          <w:lang w:val="el-GR"/>
        </w:rPr>
        <w:t>25</w:t>
      </w:r>
      <w:r w:rsidRPr="00CD4590">
        <w:rPr>
          <w:sz w:val="24"/>
          <w:lang w:val="el-GR"/>
        </w:rPr>
        <w:t>).</w:t>
      </w:r>
    </w:p>
  </w:footnote>
  <w:footnote w:id="2">
    <w:p w:rsidR="007A0812" w:rsidRPr="00E72A34" w:rsidRDefault="007A0812" w:rsidP="00E72A34">
      <w:pPr>
        <w:pStyle w:val="FootnoteText"/>
        <w:ind w:left="567" w:hanging="567"/>
        <w:rPr>
          <w:sz w:val="24"/>
          <w:lang w:val="el-GR"/>
        </w:rPr>
      </w:pPr>
      <w:r w:rsidRPr="00E72A34">
        <w:rPr>
          <w:rStyle w:val="FootnoteReference"/>
          <w:sz w:val="24"/>
          <w:lang w:val="el-GR"/>
        </w:rPr>
        <w:t>*</w:t>
      </w:r>
      <w:r w:rsidR="00E72A34" w:rsidRPr="00E72A34">
        <w:rPr>
          <w:sz w:val="24"/>
          <w:lang w:val="el-GR"/>
        </w:rPr>
        <w:t xml:space="preserve"> </w:t>
      </w:r>
      <w:r w:rsidR="00E72A34" w:rsidRPr="00E72A34">
        <w:rPr>
          <w:sz w:val="24"/>
          <w:lang w:val="el-GR"/>
        </w:rPr>
        <w:tab/>
      </w:r>
      <w:r w:rsidRPr="00E72A34">
        <w:rPr>
          <w:sz w:val="24"/>
          <w:lang w:val="el-GR"/>
        </w:rPr>
        <w:t xml:space="preserve">Τροπολογίες: το νέο ή το τροποποιημένο κείμενο σημειώνεται με </w:t>
      </w:r>
      <w:r w:rsidRPr="00CD4590">
        <w:rPr>
          <w:b/>
          <w:i/>
          <w:sz w:val="24"/>
          <w:lang w:val="el-GR"/>
        </w:rPr>
        <w:t>έντονους πλάγιους</w:t>
      </w:r>
      <w:r w:rsidRPr="00E72A34">
        <w:rPr>
          <w:sz w:val="24"/>
          <w:lang w:val="el-GR"/>
        </w:rPr>
        <w:t xml:space="preserve"> χαρακτήρες· οι διαγραφές σημειώνονται με το σύμβολο ▌.</w:t>
      </w:r>
    </w:p>
  </w:footnote>
  <w:footnote w:id="3">
    <w:p w:rsidR="007A0812" w:rsidRPr="00E72A34" w:rsidRDefault="007A0812" w:rsidP="00E72A34">
      <w:pPr>
        <w:pStyle w:val="FootnoteText"/>
        <w:ind w:left="567" w:hanging="567"/>
        <w:rPr>
          <w:sz w:val="24"/>
          <w:lang w:val="el-GR"/>
        </w:rPr>
      </w:pPr>
      <w:r w:rsidRPr="00E72A34">
        <w:rPr>
          <w:rStyle w:val="FootnoteReference"/>
          <w:sz w:val="24"/>
          <w:lang w:val="el-GR"/>
        </w:rPr>
        <w:footnoteRef/>
      </w:r>
      <w:r w:rsidR="00E72A34" w:rsidRPr="00E72A34">
        <w:rPr>
          <w:sz w:val="24"/>
          <w:lang w:val="el-GR"/>
        </w:rPr>
        <w:t xml:space="preserve"> </w:t>
      </w:r>
      <w:r w:rsidR="00E72A34" w:rsidRPr="00E72A34">
        <w:rPr>
          <w:sz w:val="24"/>
          <w:lang w:val="el-GR"/>
        </w:rPr>
        <w:tab/>
      </w:r>
      <w:r w:rsidRPr="00E72A34">
        <w:rPr>
          <w:sz w:val="24"/>
          <w:lang w:val="el-GR"/>
        </w:rPr>
        <w:t xml:space="preserve">Κανονισμός (ΕΕ) 2022/1032 του Ευρωπαϊκού Κοινοβουλίου και του Συμβουλίου, της 29ης Ιουνίου 2022, για την τροποποίηση των κανονισμών (ΕΕ) 2017/1938 και (ΕΚ) αριθ. 715/2009 σχετικά με την αποθήκευση αερίου (ΕΕ L 173 της 30.6.2022, σ. 17, ELI: </w:t>
      </w:r>
      <w:r w:rsidR="007509E1">
        <w:fldChar w:fldCharType="begin"/>
      </w:r>
      <w:r w:rsidR="007509E1" w:rsidRPr="007509E1">
        <w:rPr>
          <w:lang w:val="el-GR"/>
        </w:rPr>
        <w:instrText xml:space="preserve"> </w:instrText>
      </w:r>
      <w:r w:rsidR="007509E1">
        <w:instrText>HYPERLINK</w:instrText>
      </w:r>
      <w:r w:rsidR="007509E1" w:rsidRPr="007509E1">
        <w:rPr>
          <w:lang w:val="el-GR"/>
        </w:rPr>
        <w:instrText xml:space="preserve"> "</w:instrText>
      </w:r>
      <w:r w:rsidR="007509E1">
        <w:instrText>http</w:instrText>
      </w:r>
      <w:r w:rsidR="007509E1" w:rsidRPr="007509E1">
        <w:rPr>
          <w:lang w:val="el-GR"/>
        </w:rPr>
        <w:instrText>://</w:instrText>
      </w:r>
      <w:r w:rsidR="007509E1">
        <w:instrText>data</w:instrText>
      </w:r>
      <w:r w:rsidR="007509E1" w:rsidRPr="007509E1">
        <w:rPr>
          <w:lang w:val="el-GR"/>
        </w:rPr>
        <w:instrText>.</w:instrText>
      </w:r>
      <w:r w:rsidR="007509E1">
        <w:instrText>europa</w:instrText>
      </w:r>
      <w:r w:rsidR="007509E1" w:rsidRPr="007509E1">
        <w:rPr>
          <w:lang w:val="el-GR"/>
        </w:rPr>
        <w:instrText>.</w:instrText>
      </w:r>
      <w:r w:rsidR="007509E1">
        <w:instrText>eu</w:instrText>
      </w:r>
      <w:r w:rsidR="007509E1" w:rsidRPr="007509E1">
        <w:rPr>
          <w:lang w:val="el-GR"/>
        </w:rPr>
        <w:instrText>/</w:instrText>
      </w:r>
      <w:r w:rsidR="007509E1">
        <w:instrText>eli</w:instrText>
      </w:r>
      <w:r w:rsidR="007509E1" w:rsidRPr="007509E1">
        <w:rPr>
          <w:lang w:val="el-GR"/>
        </w:rPr>
        <w:instrText>/</w:instrText>
      </w:r>
      <w:r w:rsidR="007509E1">
        <w:instrText>reg</w:instrText>
      </w:r>
      <w:r w:rsidR="007509E1" w:rsidRPr="007509E1">
        <w:rPr>
          <w:lang w:val="el-GR"/>
        </w:rPr>
        <w:instrText>/2022/1032/</w:instrText>
      </w:r>
      <w:r w:rsidR="007509E1">
        <w:instrText>oj</w:instrText>
      </w:r>
      <w:r w:rsidR="007509E1" w:rsidRPr="007509E1">
        <w:rPr>
          <w:lang w:val="el-GR"/>
        </w:rPr>
        <w:instrText xml:space="preserve">" </w:instrText>
      </w:r>
      <w:r w:rsidR="007509E1">
        <w:fldChar w:fldCharType="separate"/>
      </w:r>
      <w:r w:rsidRPr="003C12B1">
        <w:rPr>
          <w:rStyle w:val="Hyperlink"/>
          <w:sz w:val="24"/>
          <w:lang w:val="el-GR"/>
        </w:rPr>
        <w:t>http://data.europa.eu/eli/reg/2022/1032/oj</w:t>
      </w:r>
      <w:r w:rsidR="007509E1">
        <w:rPr>
          <w:rStyle w:val="Hyperlink"/>
          <w:sz w:val="24"/>
          <w:lang w:val="el-GR"/>
        </w:rPr>
        <w:fldChar w:fldCharType="end"/>
      </w:r>
      <w:r w:rsidRPr="00E72A34">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2A3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2A3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2A3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9/2025"/>
    <w:docVar w:name="dvlangue" w:val="EL"/>
    <w:docVar w:name="dvnumam" w:val="0"/>
    <w:docVar w:name="dvpe" w:val="772.015"/>
    <w:docVar w:name="dvrapporteur" w:val="Εισηγητής: "/>
    <w:docVar w:name="dvtitre" w:val="Νομοθετικό ψήφισμα του Ευρωπαϊκού Κοινοβουλίου σχετικά με την πρόταση κανονισμού του Ευρωπαϊκού Κοινοβουλίου και του Συμβουλίου για την τροποποίηση του κανονισμού (ΕΕ) 2017/1938 όσον αφορά τον ρόλο της αποθήκευσης αερίου για την εξασφάλιση του εφοδιασμού με αέριο πριν από τη χειμερινή περίοδο(COM(2025)0099 – C10-0041/2025 – 2025/0051(COD))"/>
  </w:docVars>
  <w:rsids>
    <w:rsidRoot w:val="007467B6"/>
    <w:rsid w:val="00002272"/>
    <w:rsid w:val="00064002"/>
    <w:rsid w:val="000677B9"/>
    <w:rsid w:val="00067AC4"/>
    <w:rsid w:val="000831BA"/>
    <w:rsid w:val="000A42CC"/>
    <w:rsid w:val="000E7DD9"/>
    <w:rsid w:val="0010095E"/>
    <w:rsid w:val="00125B37"/>
    <w:rsid w:val="00140CD0"/>
    <w:rsid w:val="00187494"/>
    <w:rsid w:val="001B36DA"/>
    <w:rsid w:val="001F32AE"/>
    <w:rsid w:val="002767FF"/>
    <w:rsid w:val="002B18FE"/>
    <w:rsid w:val="002B5493"/>
    <w:rsid w:val="00343214"/>
    <w:rsid w:val="00361C00"/>
    <w:rsid w:val="00395FA1"/>
    <w:rsid w:val="003C12B1"/>
    <w:rsid w:val="003E15D4"/>
    <w:rsid w:val="003E59DE"/>
    <w:rsid w:val="00411CCE"/>
    <w:rsid w:val="0041666E"/>
    <w:rsid w:val="00421060"/>
    <w:rsid w:val="00471C19"/>
    <w:rsid w:val="004867E3"/>
    <w:rsid w:val="00494A28"/>
    <w:rsid w:val="004C0004"/>
    <w:rsid w:val="004C5D52"/>
    <w:rsid w:val="0050519A"/>
    <w:rsid w:val="005072A1"/>
    <w:rsid w:val="00514517"/>
    <w:rsid w:val="00545827"/>
    <w:rsid w:val="00560270"/>
    <w:rsid w:val="00575FE7"/>
    <w:rsid w:val="005C2568"/>
    <w:rsid w:val="005F1B17"/>
    <w:rsid w:val="006037C0"/>
    <w:rsid w:val="006631B6"/>
    <w:rsid w:val="00680577"/>
    <w:rsid w:val="006F74FA"/>
    <w:rsid w:val="00731ADD"/>
    <w:rsid w:val="00734777"/>
    <w:rsid w:val="007467B6"/>
    <w:rsid w:val="00747932"/>
    <w:rsid w:val="007509E1"/>
    <w:rsid w:val="00751A4A"/>
    <w:rsid w:val="00756632"/>
    <w:rsid w:val="00762C74"/>
    <w:rsid w:val="00786EC0"/>
    <w:rsid w:val="007A0812"/>
    <w:rsid w:val="007D1690"/>
    <w:rsid w:val="007E22AD"/>
    <w:rsid w:val="00817416"/>
    <w:rsid w:val="00842779"/>
    <w:rsid w:val="00865F67"/>
    <w:rsid w:val="00881A7B"/>
    <w:rsid w:val="008840E5"/>
    <w:rsid w:val="00887B3E"/>
    <w:rsid w:val="008C2AC6"/>
    <w:rsid w:val="00930C23"/>
    <w:rsid w:val="0093193B"/>
    <w:rsid w:val="009509D8"/>
    <w:rsid w:val="00950B64"/>
    <w:rsid w:val="0096649B"/>
    <w:rsid w:val="00981893"/>
    <w:rsid w:val="00A11E7D"/>
    <w:rsid w:val="00A1687D"/>
    <w:rsid w:val="00A43E52"/>
    <w:rsid w:val="00A4678D"/>
    <w:rsid w:val="00A778C7"/>
    <w:rsid w:val="00AB441E"/>
    <w:rsid w:val="00AB6293"/>
    <w:rsid w:val="00AC7BD8"/>
    <w:rsid w:val="00AE0928"/>
    <w:rsid w:val="00AF3B82"/>
    <w:rsid w:val="00B12E95"/>
    <w:rsid w:val="00B22876"/>
    <w:rsid w:val="00B558F0"/>
    <w:rsid w:val="00BD48FE"/>
    <w:rsid w:val="00BD7BD8"/>
    <w:rsid w:val="00BE1A1F"/>
    <w:rsid w:val="00BE6ADC"/>
    <w:rsid w:val="00C05BFE"/>
    <w:rsid w:val="00C23CD4"/>
    <w:rsid w:val="00C61C0C"/>
    <w:rsid w:val="00C941CB"/>
    <w:rsid w:val="00CA2CBD"/>
    <w:rsid w:val="00CC2357"/>
    <w:rsid w:val="00CC5A39"/>
    <w:rsid w:val="00CD4590"/>
    <w:rsid w:val="00CF071A"/>
    <w:rsid w:val="00D058B8"/>
    <w:rsid w:val="00D56C11"/>
    <w:rsid w:val="00D834A0"/>
    <w:rsid w:val="00D872DF"/>
    <w:rsid w:val="00D91E21"/>
    <w:rsid w:val="00DA7FCD"/>
    <w:rsid w:val="00E365E1"/>
    <w:rsid w:val="00E72A34"/>
    <w:rsid w:val="00E820A4"/>
    <w:rsid w:val="00EB006A"/>
    <w:rsid w:val="00EB4772"/>
    <w:rsid w:val="00EC4DCC"/>
    <w:rsid w:val="00ED169E"/>
    <w:rsid w:val="00ED4235"/>
    <w:rsid w:val="00F04346"/>
    <w:rsid w:val="00F075DC"/>
    <w:rsid w:val="00F149E9"/>
    <w:rsid w:val="00F5134D"/>
    <w:rsid w:val="00F74202"/>
    <w:rsid w:val="00F85ED5"/>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548BF3"/>
  <w15:chartTrackingRefBased/>
  <w15:docId w15:val="{C1408BF1-F382-484B-B1A6-FBBDD6F8E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Superscript 6 Point,Footnote Reference Number,Footnote Reference_LVL6,Footnote Reference_LVL61,Footnote Reference_LVL62,Footnote Reference_LVL63,Footnote Reference_LVL64,Footnote call,BVI fnr,SUPERS,Footnote symbol,note TESI"/>
    <w:link w:val="BVIfnrZnak"/>
    <w:qFormat/>
    <w:rsid w:val="00395FA1"/>
    <w:rPr>
      <w:b w:val="0"/>
      <w:vertAlign w:val="superscript"/>
    </w:rPr>
  </w:style>
  <w:style w:type="paragraph" w:styleId="FootnoteText">
    <w:name w:val="footnote text"/>
    <w:aliases w:val="Footnote Text Char2,Footnote Text Char Char,Footnote text,Footnote Text Char1,Footnote Text Char2 Char,Footnote Text Char1 Char1 Char,Footnote Text Char2 Char Char Char,Footnote Text Char1 Char1 Char Char Char,Plonk,fn,fn Char Char,Fußnote"/>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2 Char1,Footnote Text Char Char Char,Footnote text Char,Footnote Text Char1 Char,Footnote Text Char2 Char Char,Footnote Text Char1 Char1 Char Char,Footnote Text Char2 Char Char Char Char,Plonk Char,fn Char"/>
    <w:link w:val="FootnoteText"/>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A0812"/>
    <w:pPr>
      <w:spacing w:before="480" w:after="240"/>
    </w:pPr>
  </w:style>
  <w:style w:type="paragraph" w:customStyle="1" w:styleId="NormalBold">
    <w:name w:val="NormalBold"/>
    <w:basedOn w:val="Normal"/>
    <w:rsid w:val="007A0812"/>
    <w:rPr>
      <w:b/>
    </w:rPr>
  </w:style>
  <w:style w:type="paragraph" w:customStyle="1" w:styleId="NormalHanging12a">
    <w:name w:val="NormalHanging12a"/>
    <w:basedOn w:val="Normal"/>
    <w:link w:val="NormalHanging12aChar"/>
    <w:rsid w:val="007A0812"/>
    <w:pPr>
      <w:spacing w:after="240"/>
      <w:ind w:left="567" w:hanging="567"/>
    </w:pPr>
  </w:style>
  <w:style w:type="character" w:customStyle="1" w:styleId="NormalHanging12aChar">
    <w:name w:val="NormalHanging12a Char"/>
    <w:basedOn w:val="DefaultParagraphFont"/>
    <w:link w:val="NormalHanging12a"/>
    <w:rsid w:val="007A0812"/>
    <w:rPr>
      <w:sz w:val="24"/>
      <w:lang w:val="el-GR"/>
    </w:rPr>
  </w:style>
  <w:style w:type="paragraph" w:customStyle="1" w:styleId="NormalCenter12a">
    <w:name w:val="NormalCenter12a"/>
    <w:basedOn w:val="Normal"/>
    <w:rsid w:val="007A0812"/>
    <w:pPr>
      <w:spacing w:after="240"/>
      <w:jc w:val="center"/>
    </w:pPr>
  </w:style>
  <w:style w:type="paragraph" w:customStyle="1" w:styleId="AmNumberTabs">
    <w:name w:val="AmNumberTabs"/>
    <w:basedOn w:val="Normal"/>
    <w:rsid w:val="007A08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7A0812"/>
    <w:pPr>
      <w:spacing w:before="720" w:after="240"/>
      <w:jc w:val="center"/>
    </w:pPr>
  </w:style>
  <w:style w:type="paragraph" w:customStyle="1" w:styleId="Titrearticle">
    <w:name w:val="Titre article"/>
    <w:basedOn w:val="Normal"/>
    <w:next w:val="Normal"/>
    <w:rsid w:val="007A0812"/>
    <w:pPr>
      <w:keepNext/>
      <w:widowControl/>
      <w:spacing w:before="360" w:after="120"/>
      <w:jc w:val="center"/>
    </w:pPr>
    <w:rPr>
      <w:rFonts w:eastAsiaTheme="minorHAnsi"/>
      <w:i/>
      <w:szCs w:val="22"/>
      <w:lang w:eastAsia="en-US"/>
    </w:rPr>
  </w:style>
  <w:style w:type="character" w:styleId="Hyperlink">
    <w:name w:val="Hyperlink"/>
    <w:basedOn w:val="DefaultParagraphFont"/>
    <w:rsid w:val="003C12B1"/>
    <w:rPr>
      <w:color w:val="0563C1" w:themeColor="hyperlink"/>
      <w:u w:val="single"/>
    </w:rPr>
  </w:style>
  <w:style w:type="paragraph" w:styleId="BalloonText">
    <w:name w:val="Balloon Text"/>
    <w:basedOn w:val="Normal"/>
    <w:link w:val="BalloonTextChar"/>
    <w:rsid w:val="00CC5A39"/>
    <w:rPr>
      <w:rFonts w:ascii="Segoe UI" w:hAnsi="Segoe UI" w:cs="Segoe UI"/>
      <w:sz w:val="18"/>
      <w:szCs w:val="18"/>
    </w:rPr>
  </w:style>
  <w:style w:type="character" w:customStyle="1" w:styleId="BalloonTextChar">
    <w:name w:val="Balloon Text Char"/>
    <w:basedOn w:val="DefaultParagraphFont"/>
    <w:link w:val="BalloonText"/>
    <w:rsid w:val="00CC5A39"/>
    <w:rPr>
      <w:rFonts w:ascii="Segoe UI" w:hAnsi="Segoe UI" w:cs="Segoe UI"/>
      <w:sz w:val="18"/>
      <w:szCs w:val="18"/>
      <w:lang w:val="el-GR"/>
    </w:rPr>
  </w:style>
  <w:style w:type="paragraph" w:customStyle="1" w:styleId="BVIfnrZnak">
    <w:name w:val="BVI fnr Знак Знак Znak"/>
    <w:aliases w:val="BVI fnr Car Car Знак Знак Znak,BVI fnr Char Car Car Car Знак Знак Znak,BVI fnr Char Car Car Car Char Знак Знак Znak,BVI fnr Car Знак Знак Znak,BVI fnr Car Car Car Car Знак Знак Znak,ftref Znak"/>
    <w:basedOn w:val="Normal"/>
    <w:link w:val="FootnoteReference"/>
    <w:rsid w:val="00AC7BD8"/>
    <w:pPr>
      <w:widowControl/>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2338807">
      <w:bodyDiv w:val="1"/>
      <w:marLeft w:val="0"/>
      <w:marRight w:val="0"/>
      <w:marTop w:val="0"/>
      <w:marBottom w:val="0"/>
      <w:divBdr>
        <w:top w:val="none" w:sz="0" w:space="0" w:color="auto"/>
        <w:left w:val="none" w:sz="0" w:space="0" w:color="auto"/>
        <w:bottom w:val="none" w:sz="0" w:space="0" w:color="auto"/>
        <w:right w:val="none" w:sz="0" w:space="0" w:color="auto"/>
      </w:divBdr>
      <w:divsChild>
        <w:div w:id="742811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78C064-E922-45CD-A5C3-A02D8E9DDF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3587</Words>
  <Characters>20946</Characters>
  <Application>Microsoft Office Word</Application>
  <DocSecurity>0</DocSecurity>
  <Lines>174</Lines>
  <Paragraphs>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Amalia</cp:lastModifiedBy>
  <cp:revision>2</cp:revision>
  <cp:lastPrinted>2004-11-19T15:42:00Z</cp:lastPrinted>
  <dcterms:created xsi:type="dcterms:W3CDTF">2025-05-12T09:33:00Z</dcterms:created>
  <dcterms:modified xsi:type="dcterms:W3CDTF">2025-05-12T09:33:00Z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P10_TA(2025)0101_</vt:lpwstr>
  </property>
  <property fmtid="{D5CDD505-2E9C-101B-9397-08002B2CF9AE}" pid="4" name="&lt;Type&gt;">
    <vt:lpwstr>RR</vt:lpwstr>
  </property>
</Properties>
</file>