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33D1" w:rsidTr="0010095E">
        <w:trPr>
          <w:trHeight w:hRule="exact" w:val="1418"/>
        </w:trPr>
        <w:tc>
          <w:tcPr>
            <w:tcW w:w="6804" w:type="dxa"/>
            <w:shd w:val="clear" w:color="auto" w:fill="auto"/>
            <w:vAlign w:val="center"/>
          </w:tcPr>
          <w:p w:rsidR="00751A4A" w:rsidRPr="00A033D1" w:rsidRDefault="00D265A1" w:rsidP="0010095E">
            <w:pPr>
              <w:pStyle w:val="EPName"/>
            </w:pPr>
            <w:r w:rsidRPr="00A033D1">
              <w:t>Euroopa Parlament</w:t>
            </w:r>
          </w:p>
          <w:p w:rsidR="00751A4A" w:rsidRPr="00A033D1" w:rsidRDefault="005F1B17" w:rsidP="005F1B17">
            <w:pPr>
              <w:pStyle w:val="EPTerm"/>
              <w:rPr>
                <w:rStyle w:val="HideTWBExt"/>
                <w:noProof w:val="0"/>
                <w:vanish w:val="0"/>
                <w:color w:val="auto"/>
              </w:rPr>
            </w:pPr>
            <w:r w:rsidRPr="00A033D1">
              <w:t>2024</w:t>
            </w:r>
            <w:r w:rsidR="00817416" w:rsidRPr="00A033D1">
              <w:t>-202</w:t>
            </w:r>
            <w:r w:rsidRPr="00A033D1">
              <w:t>9</w:t>
            </w:r>
          </w:p>
        </w:tc>
        <w:tc>
          <w:tcPr>
            <w:tcW w:w="2268" w:type="dxa"/>
            <w:shd w:val="clear" w:color="auto" w:fill="auto"/>
          </w:tcPr>
          <w:p w:rsidR="00751A4A" w:rsidRPr="00A033D1" w:rsidRDefault="00187494" w:rsidP="0010095E">
            <w:pPr>
              <w:pStyle w:val="EPLogo"/>
            </w:pPr>
            <w:r w:rsidRPr="00A033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33D1" w:rsidRDefault="00D058B8" w:rsidP="004C5D52">
      <w:pPr>
        <w:pStyle w:val="LineTop"/>
      </w:pPr>
    </w:p>
    <w:p w:rsidR="00680577" w:rsidRPr="00A033D1" w:rsidRDefault="00D265A1" w:rsidP="00680577">
      <w:pPr>
        <w:pStyle w:val="EPBodyTA1"/>
      </w:pPr>
      <w:r w:rsidRPr="00A033D1">
        <w:t>VASTUVÕETUD TEKSTID</w:t>
      </w:r>
    </w:p>
    <w:p w:rsidR="00D058B8" w:rsidRPr="00A033D1" w:rsidRDefault="00D058B8" w:rsidP="00D058B8">
      <w:pPr>
        <w:pStyle w:val="LineBottom"/>
      </w:pPr>
    </w:p>
    <w:p w:rsidR="00D265A1" w:rsidRPr="00A033D1" w:rsidRDefault="00D265A1" w:rsidP="00D265A1">
      <w:pPr>
        <w:pStyle w:val="ATHeading1"/>
      </w:pPr>
      <w:bookmarkStart w:id="0" w:name="TANumber"/>
      <w:r w:rsidRPr="00A033D1">
        <w:t>P10_TA(2025)0</w:t>
      </w:r>
      <w:r w:rsidR="00DE1693" w:rsidRPr="00A033D1">
        <w:t>101</w:t>
      </w:r>
      <w:bookmarkEnd w:id="0"/>
    </w:p>
    <w:p w:rsidR="00D265A1" w:rsidRPr="00A033D1" w:rsidRDefault="00D265A1" w:rsidP="00D265A1">
      <w:pPr>
        <w:pStyle w:val="ATHeading2"/>
      </w:pPr>
      <w:bookmarkStart w:id="1" w:name="title"/>
      <w:r w:rsidRPr="00A033D1">
        <w:t>Gaasi hoiustamise roll gaasitarnete tagamisel enne talvehooaega</w:t>
      </w:r>
      <w:bookmarkEnd w:id="1"/>
    </w:p>
    <w:p w:rsidR="00D265A1" w:rsidRPr="00A033D1" w:rsidRDefault="00D265A1" w:rsidP="00D265A1">
      <w:pPr>
        <w:rPr>
          <w:i/>
          <w:vanish/>
        </w:rPr>
      </w:pPr>
      <w:r w:rsidRPr="00A033D1">
        <w:rPr>
          <w:i/>
        </w:rPr>
        <w:fldChar w:fldCharType="begin"/>
      </w:r>
      <w:r w:rsidRPr="00A033D1">
        <w:rPr>
          <w:i/>
        </w:rPr>
        <w:instrText xml:space="preserve"> TC"(</w:instrText>
      </w:r>
      <w:bookmarkStart w:id="2" w:name="DocNumber"/>
      <w:r w:rsidRPr="00A033D1">
        <w:rPr>
          <w:i/>
        </w:rPr>
        <w:instrText>A10-0079/2025</w:instrText>
      </w:r>
      <w:bookmarkEnd w:id="2"/>
      <w:r w:rsidRPr="00A033D1">
        <w:rPr>
          <w:i/>
        </w:rPr>
        <w:instrText xml:space="preserve"> - Raportöör: Borys Budka)"\l3 \n&gt; \* MERGEFORMAT </w:instrText>
      </w:r>
      <w:r w:rsidRPr="00A033D1">
        <w:rPr>
          <w:i/>
        </w:rPr>
        <w:fldChar w:fldCharType="end"/>
      </w:r>
    </w:p>
    <w:p w:rsidR="00D265A1" w:rsidRPr="00A033D1" w:rsidRDefault="00D265A1" w:rsidP="00D265A1">
      <w:pPr>
        <w:rPr>
          <w:vanish/>
        </w:rPr>
      </w:pPr>
      <w:bookmarkStart w:id="3" w:name="Commission"/>
      <w:r w:rsidRPr="00A033D1">
        <w:rPr>
          <w:vanish/>
        </w:rPr>
        <w:t>Tööstuse, teadusuuringute ja energeetikakomisjon</w:t>
      </w:r>
      <w:bookmarkEnd w:id="3"/>
    </w:p>
    <w:p w:rsidR="00D265A1" w:rsidRPr="00A033D1" w:rsidRDefault="00D265A1" w:rsidP="00D265A1">
      <w:pPr>
        <w:rPr>
          <w:vanish/>
        </w:rPr>
      </w:pPr>
      <w:bookmarkStart w:id="4" w:name="PE"/>
      <w:r w:rsidRPr="00A033D1">
        <w:rPr>
          <w:vanish/>
        </w:rPr>
        <w:t>PE772.015</w:t>
      </w:r>
      <w:bookmarkEnd w:id="4"/>
    </w:p>
    <w:p w:rsidR="00D265A1" w:rsidRPr="00A033D1" w:rsidRDefault="00E93161" w:rsidP="00E93161">
      <w:pPr>
        <w:pStyle w:val="ATHeading3"/>
      </w:pPr>
      <w:bookmarkStart w:id="5" w:name="Sujet"/>
      <w:r w:rsidRPr="00A033D1">
        <w:t>Euroopa Parlamendi 8</w:t>
      </w:r>
      <w:r w:rsidR="00D265A1" w:rsidRPr="00A033D1">
        <w:t>.</w:t>
      </w:r>
      <w:r w:rsidRPr="00A033D1">
        <w:t> mai</w:t>
      </w:r>
      <w:r w:rsidR="00DE1693" w:rsidRPr="00A033D1">
        <w:t>l</w:t>
      </w:r>
      <w:r w:rsidRPr="00A033D1">
        <w:t xml:space="preserve"> 2025. </w:t>
      </w:r>
      <w:r w:rsidR="00D265A1" w:rsidRPr="00A033D1">
        <w:t>aasta</w:t>
      </w:r>
      <w:r w:rsidR="00DE1693" w:rsidRPr="00A033D1">
        <w:t>l</w:t>
      </w:r>
      <w:r w:rsidR="00D265A1" w:rsidRPr="00A033D1">
        <w:t xml:space="preserve"> </w:t>
      </w:r>
      <w:r w:rsidR="00DE1693" w:rsidRPr="00A033D1">
        <w:t>vastu võetud muudatusettepanekud</w:t>
      </w:r>
      <w:r w:rsidR="00D265A1" w:rsidRPr="00A033D1">
        <w:t xml:space="preserve"> ettepaneku</w:t>
      </w:r>
      <w:r w:rsidR="00DE1693" w:rsidRPr="00A033D1">
        <w:t>le</w:t>
      </w:r>
      <w:r w:rsidR="00D265A1" w:rsidRPr="00A033D1">
        <w:t xml:space="preserve"> võtta vastu Euroopa Parlamendi ja nõukogu määrus, </w:t>
      </w:r>
      <w:r w:rsidRPr="00A033D1">
        <w:t>millega muudetakse määrust (EL) </w:t>
      </w:r>
      <w:r w:rsidR="00D265A1" w:rsidRPr="00A033D1">
        <w:t>2017/1938 seoses gaasi hoiustamise rolliga gaasitarnete tagamisel enne talvehooaega</w:t>
      </w:r>
      <w:bookmarkEnd w:id="5"/>
      <w:r w:rsidR="00D265A1" w:rsidRPr="00A033D1">
        <w:t xml:space="preserve"> </w:t>
      </w:r>
      <w:bookmarkStart w:id="6" w:name="References"/>
      <w:r w:rsidR="00D265A1" w:rsidRPr="00A033D1">
        <w:t>(COM(2025)0</w:t>
      </w:r>
      <w:r w:rsidRPr="00A033D1">
        <w:t>099 – C10</w:t>
      </w:r>
      <w:r w:rsidRPr="00A033D1">
        <w:noBreakHyphen/>
      </w:r>
      <w:r w:rsidR="00D265A1" w:rsidRPr="00A033D1">
        <w:t>0041/2025 – 2025/0051(COD))</w:t>
      </w:r>
      <w:bookmarkEnd w:id="6"/>
      <w:r w:rsidR="00DE1693" w:rsidRPr="00A033D1">
        <w:rPr>
          <w:rStyle w:val="FootnoteReference"/>
        </w:rPr>
        <w:footnoteReference w:id="1"/>
      </w:r>
    </w:p>
    <w:p w:rsidR="00396D9A" w:rsidRPr="00A033D1" w:rsidRDefault="00396D9A" w:rsidP="00396D9A">
      <w:pPr>
        <w:pStyle w:val="NormalBold"/>
      </w:pPr>
      <w:bookmarkStart w:id="7" w:name="TextBodyBegin"/>
      <w:bookmarkEnd w:id="7"/>
      <w:r w:rsidRPr="00A033D1">
        <w:t>(Seadusandlik tavamenetlus: esimene lugemine)</w:t>
      </w:r>
      <w:bookmarkStart w:id="8" w:name="_GoBack"/>
      <w:bookmarkEnd w:id="8"/>
    </w:p>
    <w:p w:rsidR="00E35163" w:rsidRPr="00A033D1" w:rsidRDefault="00E35163" w:rsidP="00396D9A">
      <w:pPr>
        <w:pStyle w:val="NormalBold"/>
      </w:pPr>
    </w:p>
    <w:p w:rsidR="00396D9A" w:rsidRPr="00A033D1" w:rsidRDefault="001C1E8A" w:rsidP="00396D9A">
      <w:pPr>
        <w:pStyle w:val="AmNumberTabs"/>
        <w:keepNext/>
      </w:pPr>
      <w:r w:rsidRPr="00A033D1">
        <w:t>[</w:t>
      </w:r>
      <w:r w:rsidR="00396D9A" w:rsidRPr="00A033D1">
        <w:t>Muudatusettepanek</w:t>
      </w:r>
      <w:r w:rsidRPr="00A033D1">
        <w:t xml:space="preserve"> </w:t>
      </w:r>
      <w:r w:rsidR="00396D9A" w:rsidRPr="00A033D1">
        <w:t>1</w:t>
      </w:r>
      <w:r w:rsidRPr="00A033D1">
        <w:t>, kui ei ole märgitud teisiti]</w:t>
      </w:r>
    </w:p>
    <w:p w:rsidR="00396D9A" w:rsidRPr="00A033D1" w:rsidRDefault="00396D9A" w:rsidP="00396D9A">
      <w:pPr>
        <w:pStyle w:val="AmHeadingConsam"/>
      </w:pPr>
      <w:r w:rsidRPr="00A033D1">
        <w:t>EUROOPA PARLAMENDI MUUDATUSED</w:t>
      </w:r>
      <w:r w:rsidRPr="00A033D1">
        <w:rPr>
          <w:rStyle w:val="FootnoteReference"/>
        </w:rPr>
        <w:footnoteReference w:customMarkFollows="1" w:id="2"/>
        <w:t>*</w:t>
      </w:r>
    </w:p>
    <w:p w:rsidR="00396D9A" w:rsidRPr="00A033D1" w:rsidRDefault="00396D9A" w:rsidP="00396D9A">
      <w:pPr>
        <w:pStyle w:val="NormalCenter12a"/>
      </w:pPr>
      <w:r w:rsidRPr="00A033D1">
        <w:t>komisjoni ettepanekule</w:t>
      </w:r>
    </w:p>
    <w:p w:rsidR="00396D9A" w:rsidRPr="00A033D1" w:rsidRDefault="00396D9A" w:rsidP="00396D9A">
      <w:pPr>
        <w:pStyle w:val="NormalCenter12a"/>
      </w:pPr>
      <w:r w:rsidRPr="00A033D1">
        <w:t>---------------------------------------------------------</w:t>
      </w:r>
    </w:p>
    <w:p w:rsidR="00396D9A" w:rsidRPr="00A033D1" w:rsidRDefault="00396D9A" w:rsidP="00396D9A">
      <w:pPr>
        <w:pStyle w:val="NormalCenter12a"/>
      </w:pPr>
    </w:p>
    <w:p w:rsidR="00396D9A" w:rsidRPr="00A033D1" w:rsidRDefault="00396D9A" w:rsidP="00396D9A">
      <w:pPr>
        <w:pStyle w:val="NormalCenter12a"/>
        <w:rPr>
          <w:b/>
        </w:rPr>
      </w:pPr>
      <w:r w:rsidRPr="00A033D1">
        <w:rPr>
          <w:b/>
        </w:rPr>
        <w:t>EUROOPA PARLAMENDI JA NÕUKOGU MÄÄRUS,</w:t>
      </w:r>
    </w:p>
    <w:p w:rsidR="00396D9A" w:rsidRPr="00A033D1" w:rsidRDefault="00396D9A" w:rsidP="00396D9A">
      <w:pPr>
        <w:pStyle w:val="NormalCenter12a"/>
      </w:pPr>
      <w:r w:rsidRPr="00A033D1">
        <w:rPr>
          <w:b/>
        </w:rPr>
        <w:t>millega muudetakse määrust (EL) 2017/1938 seoses gaasi hoiustamise rolliga gaasitarnete tagamisel enne talvehooaega</w:t>
      </w:r>
    </w:p>
    <w:p w:rsidR="00396D9A" w:rsidRPr="00A033D1" w:rsidRDefault="00396D9A" w:rsidP="00396D9A">
      <w:pPr>
        <w:pStyle w:val="NormalCenter12a"/>
        <w:jc w:val="left"/>
      </w:pPr>
      <w:r w:rsidRPr="00A033D1">
        <w:t>EUROOPA PARLAMENT JA EUROOPA LIIDU NÕUKOGU,</w:t>
      </w:r>
    </w:p>
    <w:p w:rsidR="00396D9A" w:rsidRPr="00A033D1" w:rsidRDefault="00396D9A" w:rsidP="00396D9A">
      <w:pPr>
        <w:pStyle w:val="NormalCenter12a"/>
        <w:jc w:val="left"/>
      </w:pPr>
      <w:r w:rsidRPr="00A033D1">
        <w:t>võttes arvesse Euroopa Liidu toimimise lepingut, eriti selle artikli 194 lõiget 2,</w:t>
      </w:r>
    </w:p>
    <w:p w:rsidR="00396D9A" w:rsidRPr="00A033D1" w:rsidRDefault="00396D9A" w:rsidP="00396D9A">
      <w:pPr>
        <w:pStyle w:val="NormalCenter12a"/>
        <w:jc w:val="left"/>
      </w:pPr>
      <w:r w:rsidRPr="00A033D1">
        <w:t>võttes arvesse Euroopa Komisjoni ettepanekut,</w:t>
      </w:r>
    </w:p>
    <w:p w:rsidR="00396D9A" w:rsidRPr="00A033D1" w:rsidRDefault="00396D9A" w:rsidP="00396D9A">
      <w:pPr>
        <w:pStyle w:val="NormalCenter12a"/>
        <w:jc w:val="left"/>
      </w:pPr>
      <w:r w:rsidRPr="00A033D1">
        <w:lastRenderedPageBreak/>
        <w:t>olles edastanud seadusandliku akti eelnõu liikmesriikide parlamentidele,</w:t>
      </w:r>
    </w:p>
    <w:p w:rsidR="00396D9A" w:rsidRPr="00A033D1" w:rsidRDefault="00396D9A" w:rsidP="00396D9A">
      <w:pPr>
        <w:pStyle w:val="NormalCenter12a"/>
        <w:jc w:val="left"/>
      </w:pPr>
      <w:r w:rsidRPr="00A033D1">
        <w:t>toimides seadusandliku tavamenetluse kohaselt</w:t>
      </w:r>
    </w:p>
    <w:p w:rsidR="00396D9A" w:rsidRPr="00A033D1" w:rsidRDefault="00396D9A" w:rsidP="00396D9A">
      <w:pPr>
        <w:pStyle w:val="NormalCenter12a"/>
        <w:jc w:val="left"/>
      </w:pPr>
      <w:r w:rsidRPr="00A033D1">
        <w:t>ning arvestades järgmist:</w:t>
      </w:r>
    </w:p>
    <w:p w:rsidR="00396D9A" w:rsidRPr="00A033D1" w:rsidRDefault="00396D9A" w:rsidP="00396D9A">
      <w:pPr>
        <w:pStyle w:val="NormalHanging12a"/>
        <w:ind w:left="851" w:hanging="851"/>
      </w:pPr>
      <w:r w:rsidRPr="00A033D1">
        <w:t>(1)</w:t>
      </w:r>
      <w:r w:rsidRPr="00A033D1">
        <w:tab/>
        <w:t>Euroopa Parlamendi ja nõukogu määrus (EL) 2022/1032</w:t>
      </w:r>
      <w:r w:rsidRPr="00A033D1">
        <w:rPr>
          <w:vertAlign w:val="superscript"/>
        </w:rPr>
        <w:footnoteReference w:id="3"/>
      </w:r>
      <w:r w:rsidRPr="00A033D1">
        <w:t xml:space="preserve"> võeti vastu gaasitarnekriisi ja enneolematu hinnatõusu tõttu, mille tingis Venemaa </w:t>
      </w:r>
      <w:r w:rsidRPr="00A033D1">
        <w:rPr>
          <w:b/>
          <w:i/>
        </w:rPr>
        <w:t>algatatud käimasoleva põhjendamatu ja provotseerimata Ukraina-vastase agressioonisõja</w:t>
      </w:r>
      <w:r w:rsidRPr="00A033D1">
        <w:t xml:space="preserve"> eskaleerumine ▌alates 2022. aasta veebruarist, mis ajendas liitu tegutsema koordineeritult ja terviklikult, et vältida edasistest gaasi tarnehäiretest tulenevaid võimalikke riske.</w:t>
      </w:r>
    </w:p>
    <w:p w:rsidR="00DE1693" w:rsidRPr="00A033D1" w:rsidRDefault="00DE1693" w:rsidP="00396D9A">
      <w:pPr>
        <w:pStyle w:val="NormalHanging12a"/>
        <w:ind w:left="851" w:hanging="851"/>
        <w:rPr>
          <w:b/>
          <w:szCs w:val="24"/>
        </w:rPr>
      </w:pPr>
      <w:r w:rsidRPr="00A033D1">
        <w:rPr>
          <w:b/>
          <w:i/>
        </w:rPr>
        <w:t>(1a)</w:t>
      </w:r>
      <w:r w:rsidRPr="00A033D1">
        <w:tab/>
      </w:r>
      <w:r w:rsidRPr="00A033D1">
        <w:rPr>
          <w:b/>
          <w:i/>
        </w:rPr>
        <w:t>Võttes arvesse Venemaa jätkuvat sõda Ukraina vastu ja kooskõlas liidu strateegilise kohustuse võtmisega lõpetada sõltuvus Venemaa fossiilkütustest peaksid liikmesriigid hoiduma Venemaalt pärit gaasi hoiustamisest. Seoses sellega peaks liit kohe kehtestama koordineeritud sanktsioonid kogu Venemaalt pärit gaasi, sealhulgas veeldatud maagaasi impordile ja ostmisele. Euroopa maagaasi ülekandesüsteemi haldurite võrgustiku prognoos talveks 2024–2025 kinnitab, et liit suudab saavutada hoiustamise sihttasemed ja säilitada varustuskindluse, sõltumata Venemaa gaasist, kui ta rakendab meetmete kombinatsiooni, muu hulgas nõudluse jätkuvat vähendamist. Täielik embargo Venemaa gaasile on seetõttu nii vajalik kui ka võimalik ning selle kiire rakendamine aitaks tugevdada liidu energiasõltumatust ja geopoliitilist vastupanuvõimet.</w:t>
      </w:r>
      <w:r w:rsidR="001C1E8A" w:rsidRPr="00A033D1">
        <w:rPr>
          <w:b/>
        </w:rPr>
        <w:t xml:space="preserve"> [ME 7]</w:t>
      </w:r>
    </w:p>
    <w:p w:rsidR="00396D9A" w:rsidRPr="00A033D1" w:rsidRDefault="00396D9A" w:rsidP="00396D9A">
      <w:pPr>
        <w:pStyle w:val="NormalCenter12a"/>
        <w:ind w:left="851" w:hanging="851"/>
        <w:jc w:val="left"/>
      </w:pPr>
      <w:r w:rsidRPr="00A033D1">
        <w:t>(2)</w:t>
      </w:r>
      <w:r w:rsidRPr="00A033D1">
        <w:tab/>
        <w:t>Määrusega (EL) 2022/1032 muudeti määrust (EL) 2017/1938, kehtestades ajutise õigusraamistiku meetmete jaoks, mis käsitlevad maa-aluste hoidlate täituvuse sihttaset, et kindlustada liidus gaasivarustuskindlus, eelkõige gaasitarned kaitstud tarbijatele.</w:t>
      </w:r>
    </w:p>
    <w:p w:rsidR="00396D9A" w:rsidRPr="00A033D1" w:rsidRDefault="00396D9A" w:rsidP="00396D9A">
      <w:pPr>
        <w:pStyle w:val="NormalHanging12a"/>
        <w:ind w:left="851" w:hanging="851"/>
        <w:rPr>
          <w:szCs w:val="24"/>
        </w:rPr>
      </w:pPr>
      <w:r w:rsidRPr="00A033D1">
        <w:t>(3)</w:t>
      </w:r>
      <w:r w:rsidRPr="00A033D1">
        <w:tab/>
        <w:t xml:space="preserve">Liidus toimub gaasi tarbimine talvekuudel 30 % ulatuses gaasihoidlate arvelt, ning hästi täidetud maa-alused gaasihoidlad </w:t>
      </w:r>
      <w:r w:rsidRPr="00A033D1">
        <w:rPr>
          <w:b/>
          <w:i/>
        </w:rPr>
        <w:t>ja gaasinõudluse vähendamine</w:t>
      </w:r>
      <w:r w:rsidRPr="00A033D1">
        <w:t xml:space="preserve"> aitavad gaasivarustuskindlusele oluliselt kaasa, pakkudes suure nõudluse või tarnehäirete korral täiendavalt gaasi.</w:t>
      </w:r>
    </w:p>
    <w:p w:rsidR="00396D9A" w:rsidRPr="00A033D1" w:rsidRDefault="00396D9A" w:rsidP="00396D9A">
      <w:pPr>
        <w:pStyle w:val="NormalHanging12a"/>
        <w:ind w:left="851" w:hanging="851"/>
        <w:rPr>
          <w:szCs w:val="24"/>
        </w:rPr>
      </w:pPr>
      <w:r w:rsidRPr="00A033D1">
        <w:t>(4)</w:t>
      </w:r>
      <w:r w:rsidRPr="00A033D1">
        <w:tab/>
        <w:t xml:space="preserve">Kohustusliku eesmärgi kehtestamine selle tagamiseks, et gaasihoidlad oleksid 1. novembriks 90 % ulatuses täidetud (täituvuse sihttase), koos mitme vahe-eesmärgi kehtestamisega igale liikmesriigile järgneva aasta veebruariks, maiks, juuliks ja septembriks (täitmistrajektoor) osutus väga oluliseks energiakriisi ajal, mille põhjustas Venemaa </w:t>
      </w:r>
      <w:r w:rsidRPr="00A033D1">
        <w:rPr>
          <w:b/>
          <w:i/>
        </w:rPr>
        <w:t>agressioonisõda Ukraina vastu ja Venemaa</w:t>
      </w:r>
      <w:r w:rsidRPr="00A033D1">
        <w:t xml:space="preserve"> gaasitarnete relvana kasutamine ▌, olles vajalik nii: i) gaasitarnete nappusega toimetulekuks kui ka ii) turu ebakindluse ja hinnavolatiilsuse vähendamiseks.</w:t>
      </w:r>
    </w:p>
    <w:p w:rsidR="00396D9A" w:rsidRPr="00A033D1" w:rsidRDefault="00396D9A" w:rsidP="00396D9A">
      <w:pPr>
        <w:pStyle w:val="NormalHanging12a"/>
        <w:ind w:left="851" w:hanging="851"/>
        <w:rPr>
          <w:szCs w:val="24"/>
        </w:rPr>
      </w:pPr>
      <w:r w:rsidRPr="00A033D1">
        <w:t>(5)</w:t>
      </w:r>
      <w:r w:rsidRPr="00A033D1">
        <w:tab/>
        <w:t xml:space="preserve">Hoolimata gaasiturul valitseva olukorra olulisest paranemisest võrreldes ajavahemikuga 2022–2023 on Euroopa gaasiturg endiselt pingeline </w:t>
      </w:r>
      <w:r w:rsidRPr="00A033D1">
        <w:rPr>
          <w:b/>
          <w:i/>
        </w:rPr>
        <w:t>ja geopoliitiline olukord endiselt ebaselge</w:t>
      </w:r>
      <w:r w:rsidRPr="00A033D1">
        <w:t>.</w:t>
      </w:r>
      <w:r w:rsidRPr="00A033D1">
        <w:rPr>
          <w:b/>
          <w:i/>
        </w:rPr>
        <w:t xml:space="preserve"> </w:t>
      </w:r>
      <w:r w:rsidRPr="00A033D1">
        <w:t xml:space="preserve">Tugevam konkurents veeldatud maagaasi ülemaailmsete tarnete pärast võib suurendada hinnavolatiilsuse mõju liikmesriikidele. ▌Sellises </w:t>
      </w:r>
      <w:r w:rsidRPr="00A033D1">
        <w:lastRenderedPageBreak/>
        <w:t>olukorras on gaasihoidlate roll endiselt ülioluline. ▌</w:t>
      </w:r>
    </w:p>
    <w:p w:rsidR="00396D9A" w:rsidRPr="00A033D1" w:rsidRDefault="00396D9A" w:rsidP="00396D9A">
      <w:pPr>
        <w:pStyle w:val="NormalCenter12a"/>
        <w:ind w:left="851" w:hanging="851"/>
        <w:jc w:val="left"/>
      </w:pPr>
      <w:r w:rsidRPr="00A033D1">
        <w:t>(6)</w:t>
      </w:r>
      <w:r w:rsidRPr="00A033D1">
        <w:tab/>
        <w:t>Määruse (EL) 2017/1938 alusel liikmesriikidele seatud kohustus järgida iga-aastast täitmistrajektoori ja tagada, et täituvuse sihttase saavutatakse iga aasta 1. novembriks; lõpeb 31. detsembril 2025.</w:t>
      </w:r>
    </w:p>
    <w:p w:rsidR="00396D9A" w:rsidRPr="00A033D1" w:rsidRDefault="00396D9A" w:rsidP="00396D9A">
      <w:pPr>
        <w:pStyle w:val="NormalHanging12a"/>
        <w:ind w:left="851" w:hanging="851"/>
        <w:rPr>
          <w:b/>
          <w:i/>
          <w:szCs w:val="24"/>
        </w:rPr>
      </w:pPr>
      <w:r w:rsidRPr="00A033D1">
        <w:rPr>
          <w:b/>
          <w:i/>
        </w:rPr>
        <w:t>(6a)</w:t>
      </w:r>
      <w:r w:rsidRPr="00A033D1">
        <w:rPr>
          <w:b/>
          <w:i/>
        </w:rPr>
        <w:tab/>
        <w:t xml:space="preserve">Liit on alates 2022. aastast teinud olulisi edusamme gaasivarustuskindluse parandamisel, suurendades veeldatud maagaasi importimist usaldusväärsetelt ülemaailmsetelt partneritelt, ning võtnud eesmärgiks täielikult kaotada liidu sõltuvus Venemaa fossiilkütustest, tuginedes </w:t>
      </w:r>
      <w:proofErr w:type="spellStart"/>
      <w:r w:rsidRPr="00A033D1">
        <w:rPr>
          <w:b/>
          <w:i/>
        </w:rPr>
        <w:t>REPowerEU</w:t>
      </w:r>
      <w:proofErr w:type="spellEnd"/>
      <w:r w:rsidRPr="00A033D1">
        <w:rPr>
          <w:b/>
          <w:i/>
        </w:rPr>
        <w:t xml:space="preserve"> raames tehtud edusammudele. Liit on välja arendanud uued </w:t>
      </w:r>
      <w:proofErr w:type="spellStart"/>
      <w:r w:rsidRPr="00A033D1">
        <w:rPr>
          <w:b/>
          <w:i/>
        </w:rPr>
        <w:t>taasgaasistamisrajatised</w:t>
      </w:r>
      <w:proofErr w:type="spellEnd"/>
      <w:r w:rsidRPr="00A033D1">
        <w:rPr>
          <w:b/>
          <w:i/>
        </w:rPr>
        <w:t xml:space="preserve"> ja sadamaterminalid, luues ka vedelgaasituru, mis tagab tugeva vastupanuvõime võimalike katkestuste suhtes järelejäänud Venemaa torujuhtmegaasi tarnetes.</w:t>
      </w:r>
    </w:p>
    <w:p w:rsidR="00396D9A" w:rsidRPr="00A033D1" w:rsidRDefault="00396D9A" w:rsidP="00396D9A">
      <w:pPr>
        <w:pStyle w:val="NormalHanging12a"/>
        <w:ind w:left="851" w:hanging="851"/>
        <w:rPr>
          <w:b/>
          <w:i/>
          <w:szCs w:val="24"/>
        </w:rPr>
      </w:pPr>
      <w:r w:rsidRPr="00A033D1">
        <w:rPr>
          <w:b/>
          <w:i/>
        </w:rPr>
        <w:t>(6b)</w:t>
      </w:r>
      <w:r w:rsidRPr="00A033D1">
        <w:rPr>
          <w:b/>
          <w:i/>
        </w:rPr>
        <w:tab/>
        <w:t>Gaasitarnijate ja gaasi tarnivate riikide usaldusväärsusega seoses tuleb arvesse võtta muutunud globaalset poliitilist keskkonda.</w:t>
      </w:r>
    </w:p>
    <w:p w:rsidR="00396D9A" w:rsidRPr="00A033D1" w:rsidRDefault="00396D9A" w:rsidP="00396D9A">
      <w:pPr>
        <w:pStyle w:val="NormalHanging12a"/>
        <w:ind w:left="851" w:hanging="851"/>
        <w:rPr>
          <w:szCs w:val="24"/>
        </w:rPr>
      </w:pPr>
      <w:r w:rsidRPr="00A033D1">
        <w:t>(7)</w:t>
      </w:r>
      <w:r w:rsidRPr="00A033D1">
        <w:tab/>
      </w:r>
      <w:r w:rsidRPr="00A033D1">
        <w:rPr>
          <w:b/>
          <w:i/>
        </w:rPr>
        <w:t>Arvestades, et Euroopa on gaasi impordi struktuuri riske edukalt vähendanud,</w:t>
      </w:r>
      <w:r w:rsidRPr="00A033D1">
        <w:t xml:space="preserve"> peab üldine raamistik </w:t>
      </w:r>
      <w:r w:rsidRPr="00A033D1">
        <w:rPr>
          <w:b/>
          <w:i/>
        </w:rPr>
        <w:t>liidu maagaasinõudluse rahuldamiseks saavutama tasakaalu energiajulgeoleku ja turupõhiste põhimõtete juurde naasmise vahel. Seepärast peab see</w:t>
      </w:r>
      <w:r w:rsidRPr="00A033D1">
        <w:t xml:space="preserve"> olema hoidlate täitmise perioodil piisavalt paindlik, et oleks võimalik kiiresti reageerida pidevalt muutuvatele turutingimustele ja eelkõige kasutada ära parimaid ostuvõimalusi</w:t>
      </w:r>
      <w:r w:rsidRPr="00A033D1">
        <w:rPr>
          <w:b/>
          <w:i/>
        </w:rPr>
        <w:t>, et Euroopas gaasi hinnad alla tuua</w:t>
      </w:r>
      <w:r w:rsidRPr="00A033D1">
        <w:t xml:space="preserve">. </w:t>
      </w:r>
      <w:r w:rsidRPr="00A033D1">
        <w:rPr>
          <w:b/>
          <w:i/>
        </w:rPr>
        <w:t>Seepärast tuleks täituvuse sihttaset alandada 83 %-</w:t>
      </w:r>
      <w:proofErr w:type="spellStart"/>
      <w:r w:rsidRPr="00A033D1">
        <w:rPr>
          <w:b/>
          <w:i/>
        </w:rPr>
        <w:t>ni</w:t>
      </w:r>
      <w:proofErr w:type="spellEnd"/>
      <w:r w:rsidRPr="00A033D1">
        <w:rPr>
          <w:b/>
          <w:i/>
        </w:rPr>
        <w:t>.</w:t>
      </w:r>
    </w:p>
    <w:p w:rsidR="00396D9A" w:rsidRPr="00A033D1" w:rsidRDefault="00396D9A" w:rsidP="00396D9A">
      <w:pPr>
        <w:pStyle w:val="NormalHanging12a"/>
        <w:ind w:left="851" w:hanging="851"/>
        <w:rPr>
          <w:szCs w:val="24"/>
        </w:rPr>
      </w:pPr>
      <w:r w:rsidRPr="00A033D1">
        <w:t>(8)</w:t>
      </w:r>
      <w:r w:rsidRPr="00A033D1">
        <w:tab/>
      </w:r>
      <w:r w:rsidRPr="00A033D1">
        <w:rPr>
          <w:b/>
          <w:i/>
        </w:rPr>
        <w:t xml:space="preserve">Et suurendada turu stabiilsust ja vähendada hinna põhjendamatu volatiilsuse riski, mis täituvuse sihttaseme </w:t>
      </w:r>
      <w:r w:rsidRPr="00A033D1">
        <w:t xml:space="preserve">vahe-eesmärkide </w:t>
      </w:r>
      <w:r w:rsidRPr="00A033D1">
        <w:rPr>
          <w:b/>
          <w:i/>
        </w:rPr>
        <w:t>tõttu võib tekkida, on asjakohane võimaldada hoidlate täitmisel suuremat paindlikkust.</w:t>
      </w:r>
      <w:r w:rsidRPr="00A033D1">
        <w:t xml:space="preserve"> </w:t>
      </w:r>
      <w:r w:rsidRPr="00A033D1">
        <w:rPr>
          <w:b/>
          <w:i/>
        </w:rPr>
        <w:t>Seega peaksid liikmesriigid igal aastal esitama</w:t>
      </w:r>
      <w:r w:rsidRPr="00A033D1">
        <w:t xml:space="preserve"> soovituslikud </w:t>
      </w:r>
      <w:r w:rsidRPr="00A033D1">
        <w:rPr>
          <w:b/>
          <w:i/>
        </w:rPr>
        <w:t>täitmiskavad, mis võiksid asjakohasel juhul sisaldada soovituslikku täitmistrajektoori ja</w:t>
      </w:r>
      <w:r w:rsidRPr="00A033D1">
        <w:t xml:space="preserve"> võimaldama täita hoidlaid selliselt, et turuosalistele oleks kogu aasta jooksul tagatud piisav paindlikkus</w:t>
      </w:r>
      <w:r w:rsidRPr="00A033D1">
        <w:rPr>
          <w:b/>
          <w:i/>
        </w:rPr>
        <w:t>, võttes arvesse soovitust (2025)1481</w:t>
      </w:r>
      <w:r w:rsidRPr="00A033D1">
        <w:t>.</w:t>
      </w:r>
    </w:p>
    <w:p w:rsidR="00396D9A" w:rsidRPr="00A033D1" w:rsidRDefault="00396D9A" w:rsidP="00396D9A">
      <w:pPr>
        <w:pStyle w:val="NormalHanging12a"/>
        <w:ind w:left="851" w:hanging="851"/>
        <w:rPr>
          <w:b/>
          <w:i/>
          <w:szCs w:val="24"/>
        </w:rPr>
      </w:pPr>
      <w:r w:rsidRPr="00A033D1">
        <w:rPr>
          <w:b/>
          <w:i/>
        </w:rPr>
        <w:t>(8a)</w:t>
      </w:r>
      <w:r w:rsidRPr="00A033D1">
        <w:rPr>
          <w:b/>
          <w:i/>
        </w:rPr>
        <w:tab/>
        <w:t>Liikmesriikidel peaks olema võimalus kalduda kuni nelja protsendipunkti võrra täituvuse sihttasemest kõrvale ebasoodsate turutingimuste korral, mis on muu hulgas seotud teguritega, nagu pakkumine ja nõudlus ja konkurents, või kulutõhusat hoidlate täitmist takistava kauplemistegevuse korral, mis oluliselt piiravad võimalust tagada gaasihoidlate täitmine vastavalt käesolevale määrusele.</w:t>
      </w:r>
    </w:p>
    <w:p w:rsidR="00396D9A" w:rsidRPr="00A033D1" w:rsidRDefault="00396D9A" w:rsidP="00396D9A">
      <w:pPr>
        <w:pStyle w:val="NormalHanging12a"/>
        <w:ind w:left="851" w:hanging="851"/>
        <w:rPr>
          <w:b/>
          <w:i/>
          <w:szCs w:val="24"/>
        </w:rPr>
      </w:pPr>
      <w:r w:rsidRPr="00A033D1">
        <w:rPr>
          <w:b/>
          <w:i/>
        </w:rPr>
        <w:t>(8b)</w:t>
      </w:r>
      <w:r w:rsidRPr="00A033D1">
        <w:rPr>
          <w:b/>
          <w:i/>
        </w:rPr>
        <w:tab/>
        <w:t>Lisaks peaks komisjonil olema õigus võtta vastu delegeeritud õigusakte, et muuta üheks täitmishooajaks lubatud nelja protsendipunkti suurust kõrvalekallet, suurendades seda veel kuni nelja protsendipunkti võrra, kui turutingimused püsivad ebasoodsad.</w:t>
      </w:r>
    </w:p>
    <w:p w:rsidR="00396D9A" w:rsidRPr="00A033D1" w:rsidRDefault="00396D9A" w:rsidP="00396D9A">
      <w:pPr>
        <w:pStyle w:val="NormalHanging12a"/>
        <w:ind w:left="851" w:hanging="851"/>
        <w:rPr>
          <w:b/>
          <w:i/>
          <w:szCs w:val="24"/>
        </w:rPr>
      </w:pPr>
      <w:r w:rsidRPr="00A033D1">
        <w:rPr>
          <w:b/>
          <w:i/>
        </w:rPr>
        <w:t>(8c)</w:t>
      </w:r>
      <w:r w:rsidRPr="00A033D1">
        <w:rPr>
          <w:b/>
          <w:i/>
        </w:rPr>
        <w:tab/>
        <w:t>Käesolevas määruses sätestatud paindlikkusmeetmete ja erandite kasutamise koosmõjul ei tohiks hoidlate täitmise kohustuslik tase langeda alla 75 %.</w:t>
      </w:r>
    </w:p>
    <w:p w:rsidR="00396D9A" w:rsidRPr="00A033D1" w:rsidRDefault="00396D9A" w:rsidP="00396D9A">
      <w:pPr>
        <w:pStyle w:val="NormalHanging12a"/>
        <w:ind w:left="851" w:hanging="851"/>
        <w:rPr>
          <w:szCs w:val="24"/>
        </w:rPr>
      </w:pPr>
      <w:r w:rsidRPr="00A033D1">
        <w:t>(9)</w:t>
      </w:r>
      <w:r w:rsidRPr="00A033D1">
        <w:tab/>
        <w:t xml:space="preserve">Komisjoni hinnang praegusele energiajulgeoleku raamistikule on kinnitanud hoidlate täitmise nõuete positiivset mõju gaasivarustuskindlusele ja see positiivne mõju tuleks säilitada ka pärast 2025. aastat. </w:t>
      </w:r>
      <w:r w:rsidRPr="00A033D1">
        <w:rPr>
          <w:b/>
          <w:i/>
        </w:rPr>
        <w:t>Nende meetmete pikendamine aitaks kaasa varustuskindluse jätkuvale tagamisele ja oleks ka üks peamine vahend liidu püüdlustes kaotada sõltuvus Venemaa Föderatsioonist pärit gaasi impordist.</w:t>
      </w:r>
    </w:p>
    <w:p w:rsidR="00396D9A" w:rsidRPr="00A033D1" w:rsidRDefault="00396D9A" w:rsidP="00396D9A">
      <w:pPr>
        <w:pStyle w:val="NormalHanging12a"/>
        <w:ind w:left="851" w:hanging="851"/>
        <w:rPr>
          <w:b/>
          <w:i/>
          <w:szCs w:val="24"/>
        </w:rPr>
      </w:pPr>
      <w:r w:rsidRPr="00A033D1">
        <w:rPr>
          <w:b/>
          <w:i/>
        </w:rPr>
        <w:t>(9a)</w:t>
      </w:r>
      <w:r w:rsidRPr="00A033D1">
        <w:rPr>
          <w:b/>
          <w:i/>
        </w:rPr>
        <w:tab/>
        <w:t xml:space="preserve">Samal ajal peaks käesolev määrus vastama praegustele ja tulevastele muutustele maagaasiturgudel ning aitama saavutada strateegilist eesmärki langetada energiahindu ja võimaldada hoidlate </w:t>
      </w:r>
      <w:proofErr w:type="spellStart"/>
      <w:r w:rsidRPr="00A033D1">
        <w:rPr>
          <w:b/>
          <w:i/>
        </w:rPr>
        <w:t>taastäitmisel</w:t>
      </w:r>
      <w:proofErr w:type="spellEnd"/>
      <w:r w:rsidRPr="00A033D1">
        <w:rPr>
          <w:b/>
          <w:i/>
        </w:rPr>
        <w:t xml:space="preserve"> järkjärgulist naasmist turupõhiste mehhanismide juurde.</w:t>
      </w:r>
    </w:p>
    <w:p w:rsidR="00396D9A" w:rsidRPr="00A033D1" w:rsidRDefault="00396D9A" w:rsidP="00396D9A">
      <w:pPr>
        <w:pStyle w:val="NormalHanging12a"/>
        <w:ind w:left="851" w:hanging="851"/>
        <w:rPr>
          <w:b/>
          <w:i/>
          <w:szCs w:val="24"/>
        </w:rPr>
      </w:pPr>
      <w:r w:rsidRPr="00A033D1">
        <w:rPr>
          <w:b/>
          <w:i/>
        </w:rPr>
        <w:t>(9b)</w:t>
      </w:r>
      <w:r w:rsidRPr="00A033D1">
        <w:rPr>
          <w:b/>
          <w:i/>
        </w:rPr>
        <w:tab/>
        <w:t xml:space="preserve">Varustuskindluse ja asjakohase täituvustaseme säilitamiseks peaks komisjon tegema pidevat turuseiret ning uurima võimalusi, mis võiksid aidata saavutada täituvuse sihttaset, näiteks võimalust kasutada nõudluse koondamise ja </w:t>
      </w:r>
      <w:proofErr w:type="spellStart"/>
      <w:r w:rsidRPr="00A033D1">
        <w:rPr>
          <w:b/>
          <w:i/>
        </w:rPr>
        <w:t>ühisostude</w:t>
      </w:r>
      <w:proofErr w:type="spellEnd"/>
      <w:r w:rsidRPr="00A033D1">
        <w:rPr>
          <w:b/>
          <w:i/>
        </w:rPr>
        <w:t xml:space="preserve"> mehhanismi.</w:t>
      </w:r>
    </w:p>
    <w:p w:rsidR="00396D9A" w:rsidRPr="00A033D1" w:rsidRDefault="00396D9A" w:rsidP="00396D9A">
      <w:pPr>
        <w:pStyle w:val="NormalHanging12a"/>
        <w:ind w:left="851" w:hanging="851"/>
        <w:rPr>
          <w:szCs w:val="24"/>
        </w:rPr>
      </w:pPr>
      <w:r w:rsidRPr="00A033D1">
        <w:t>(10)</w:t>
      </w:r>
      <w:r w:rsidRPr="00A033D1">
        <w:tab/>
        <w:t>Seepärast on vaja pikendada kahe aasta võrra gaasihoidlate täitmist käsitlevaid sätteid, mis suurendavad gaasihoidlate kasutamise prognoositavust ja läbipaistvust kogu liidus</w:t>
      </w:r>
      <w:r w:rsidRPr="00A033D1">
        <w:rPr>
          <w:b/>
          <w:i/>
        </w:rPr>
        <w:t>, võimaldades samal ajal käesoleva määruse puhul mõningast paindlikkust</w:t>
      </w:r>
      <w:r w:rsidRPr="00A033D1">
        <w:t>.</w:t>
      </w:r>
    </w:p>
    <w:p w:rsidR="00396D9A" w:rsidRPr="00A033D1" w:rsidRDefault="00396D9A" w:rsidP="00396D9A">
      <w:pPr>
        <w:pStyle w:val="NormalHanging12a"/>
        <w:ind w:left="851" w:hanging="851"/>
        <w:rPr>
          <w:b/>
          <w:i/>
          <w:szCs w:val="24"/>
        </w:rPr>
      </w:pPr>
      <w:r w:rsidRPr="00A033D1">
        <w:rPr>
          <w:b/>
          <w:i/>
        </w:rPr>
        <w:t>(10a)</w:t>
      </w:r>
      <w:r w:rsidRPr="00A033D1">
        <w:rPr>
          <w:b/>
          <w:i/>
        </w:rPr>
        <w:tab/>
        <w:t>Kooskõlas komisjoni parema reguleerimise ja lihtsustamise kohustusega ning kajastades liidu energiajulgeoleku raamistiku üldist täiustamist, tuleks rohkem usaldada liikmesriikide haldussuutlikkust jälgida käesoleva määruse täitmist. Vastavalt sellele tuleks vähendada komisjoni järelevalvekoormust ning liikuda leebemate aruandluskohustuste ja ühtlustatud menetluste suunas. See lähenemisviis tugevdab subsidiaarsuse põhimõtet, hoiab ära asjatu halduskeerukuse ja sobib kokku komisjoni lihtsustamispüüdlustega, mis on sätestatud tema 2025. aasta tööprogrammis.</w:t>
      </w:r>
    </w:p>
    <w:p w:rsidR="00396D9A" w:rsidRPr="00A033D1" w:rsidRDefault="00396D9A" w:rsidP="00396D9A">
      <w:pPr>
        <w:pStyle w:val="NormalHanging12a"/>
        <w:ind w:left="851" w:hanging="851"/>
        <w:rPr>
          <w:b/>
          <w:i/>
          <w:szCs w:val="24"/>
        </w:rPr>
      </w:pPr>
      <w:r w:rsidRPr="00A033D1">
        <w:rPr>
          <w:b/>
          <w:i/>
        </w:rPr>
        <w:t>(10b)</w:t>
      </w:r>
      <w:r w:rsidRPr="00A033D1">
        <w:rPr>
          <w:b/>
          <w:i/>
        </w:rPr>
        <w:tab/>
        <w:t xml:space="preserve">Komisjon peaks määruse (EL) 2017/1938 aegsasti ja enne 2027. aastat läbi vaatama, et seda kohandada vastavalt arenevale energiamaastikule ja et see kajastaks tulevasi </w:t>
      </w:r>
      <w:proofErr w:type="spellStart"/>
      <w:r w:rsidRPr="00A033D1">
        <w:rPr>
          <w:b/>
          <w:i/>
        </w:rPr>
        <w:t>gaasihoiustamisvajadusi</w:t>
      </w:r>
      <w:proofErr w:type="spellEnd"/>
      <w:r w:rsidRPr="00A033D1">
        <w:rPr>
          <w:b/>
          <w:i/>
        </w:rPr>
        <w:t>. Muude küsimuste hulgas tuleks muudatusettepanekutes käsitleda mõiste „kaitstud tarbija“ praeguse määratluse piiranguid, gaasiturgudel spekuleerimise ja kunstlikult hindu tõstva spekulatiivse tegevuse ärahoidmist, selliste energiatõhususe parandamise meetmete rolli, mis toovad kaasa gaasinõudluse kontrollitava vähenemise, ning kuidas liikmesriigid saaksid seda kasutada suurema paindlikkuse võimaldamiseks, ning kaaluda raamistikku muutuva energiaallikate jaotuse alusel, mille puhul on suurem roll gaasi asendavatel alternatiivsetel allikatel, nagu taastuvad energiaallikad ja vesinik, võttes arvesse ka energiatõhususe rolli.</w:t>
      </w:r>
    </w:p>
    <w:p w:rsidR="00396D9A" w:rsidRPr="00A033D1" w:rsidRDefault="00396D9A" w:rsidP="00396D9A">
      <w:pPr>
        <w:pStyle w:val="NormalCenter12a"/>
        <w:ind w:left="851" w:hanging="851"/>
        <w:jc w:val="left"/>
      </w:pPr>
      <w:r w:rsidRPr="00A033D1">
        <w:t>(11)</w:t>
      </w:r>
      <w:r w:rsidRPr="00A033D1">
        <w:tab/>
        <w:t>Määrust (EL) 2017/1938 tuleks seetõttu vastavalt muuta,</w:t>
      </w:r>
    </w:p>
    <w:p w:rsidR="00396D9A" w:rsidRPr="00A033D1" w:rsidRDefault="00396D9A" w:rsidP="00396D9A">
      <w:pPr>
        <w:pStyle w:val="NormalCenter12a"/>
        <w:jc w:val="left"/>
      </w:pPr>
      <w:r w:rsidRPr="00A033D1">
        <w:t>ON VASTU VÕTNUD KÄESOLEVA MÄÄRUSE:</w:t>
      </w:r>
    </w:p>
    <w:p w:rsidR="00396D9A" w:rsidRPr="00A033D1" w:rsidRDefault="00396D9A" w:rsidP="00396D9A">
      <w:pPr>
        <w:pStyle w:val="Titrearticle"/>
        <w:rPr>
          <w:noProof/>
        </w:rPr>
      </w:pPr>
      <w:r w:rsidRPr="00A033D1">
        <w:t>Artikkel 1</w:t>
      </w:r>
    </w:p>
    <w:p w:rsidR="00396D9A" w:rsidRPr="00A033D1" w:rsidRDefault="00396D9A" w:rsidP="00396D9A">
      <w:pPr>
        <w:jc w:val="center"/>
        <w:rPr>
          <w:b/>
          <w:bCs/>
          <w:noProof/>
        </w:rPr>
      </w:pPr>
      <w:r w:rsidRPr="00A033D1">
        <w:rPr>
          <w:b/>
        </w:rPr>
        <w:t>Määruse (EL) 2017/1938 muutmine</w:t>
      </w:r>
    </w:p>
    <w:p w:rsidR="00396D9A" w:rsidRPr="00A033D1" w:rsidRDefault="00396D9A" w:rsidP="00396D9A">
      <w:pPr>
        <w:rPr>
          <w:noProof/>
        </w:rPr>
      </w:pPr>
    </w:p>
    <w:p w:rsidR="00396D9A" w:rsidRPr="00A033D1" w:rsidRDefault="00396D9A" w:rsidP="00396D9A">
      <w:pPr>
        <w:pStyle w:val="NormalHanging12a"/>
        <w:rPr>
          <w:szCs w:val="24"/>
        </w:rPr>
      </w:pPr>
      <w:r w:rsidRPr="00A033D1">
        <w:rPr>
          <w:b/>
          <w:i/>
        </w:rPr>
        <w:t>Määrust</w:t>
      </w:r>
      <w:r w:rsidRPr="00A033D1">
        <w:t xml:space="preserve"> (EL) 2017/1938 </w:t>
      </w:r>
      <w:r w:rsidRPr="00A033D1">
        <w:rPr>
          <w:b/>
          <w:i/>
        </w:rPr>
        <w:t>muudetakse järgmiselt:</w:t>
      </w:r>
    </w:p>
    <w:p w:rsidR="00396D9A" w:rsidRPr="00A033D1" w:rsidRDefault="00396D9A" w:rsidP="00396D9A">
      <w:pPr>
        <w:pStyle w:val="NormalHanging12a"/>
        <w:ind w:left="851" w:hanging="851"/>
        <w:rPr>
          <w:b/>
          <w:i/>
          <w:szCs w:val="24"/>
        </w:rPr>
      </w:pPr>
      <w:r w:rsidRPr="00A033D1">
        <w:rPr>
          <w:b/>
          <w:i/>
        </w:rPr>
        <w:t>1)</w:t>
      </w:r>
      <w:r w:rsidRPr="00A033D1">
        <w:rPr>
          <w:b/>
          <w:i/>
        </w:rPr>
        <w:tab/>
        <w:t>Artikli 2 punkt 27 jäetakse välja;</w:t>
      </w:r>
    </w:p>
    <w:p w:rsidR="00396D9A" w:rsidRPr="00A033D1" w:rsidRDefault="00396D9A" w:rsidP="00396D9A">
      <w:pPr>
        <w:pStyle w:val="NormalHanging12a"/>
        <w:ind w:left="851" w:hanging="851"/>
        <w:rPr>
          <w:b/>
          <w:i/>
          <w:szCs w:val="24"/>
        </w:rPr>
      </w:pPr>
      <w:r w:rsidRPr="00A033D1">
        <w:rPr>
          <w:b/>
          <w:i/>
        </w:rPr>
        <w:t>2)</w:t>
      </w:r>
      <w:r w:rsidRPr="00A033D1">
        <w:rPr>
          <w:b/>
          <w:i/>
        </w:rPr>
        <w:tab/>
        <w:t>Artiklit 6a muudetakse järgmiselt:</w:t>
      </w:r>
    </w:p>
    <w:p w:rsidR="00396D9A" w:rsidRPr="00A033D1" w:rsidRDefault="00396D9A" w:rsidP="00396D9A">
      <w:pPr>
        <w:pStyle w:val="NormalHanging12a"/>
        <w:ind w:left="1418"/>
        <w:rPr>
          <w:b/>
          <w:i/>
        </w:rPr>
      </w:pPr>
      <w:r w:rsidRPr="00A033D1">
        <w:rPr>
          <w:b/>
          <w:i/>
        </w:rPr>
        <w:t>a)</w:t>
      </w:r>
      <w:r w:rsidRPr="00A033D1">
        <w:rPr>
          <w:b/>
          <w:i/>
        </w:rPr>
        <w:tab/>
        <w:t>pealkiri asendatakse järgmisega: „Täituvuse sihttase“;</w:t>
      </w:r>
    </w:p>
    <w:p w:rsidR="00396D9A" w:rsidRPr="00A033D1" w:rsidRDefault="00396D9A" w:rsidP="00396D9A">
      <w:pPr>
        <w:pStyle w:val="NormalHanging12a"/>
        <w:ind w:left="1418"/>
        <w:rPr>
          <w:b/>
          <w:i/>
        </w:rPr>
      </w:pPr>
      <w:r w:rsidRPr="00A033D1">
        <w:rPr>
          <w:b/>
          <w:i/>
        </w:rPr>
        <w:t>b)</w:t>
      </w:r>
      <w:r w:rsidRPr="00A033D1">
        <w:rPr>
          <w:b/>
          <w:i/>
        </w:rPr>
        <w:tab/>
        <w:t>lõike 1 esimene lõik asendatakse järgmisega:</w:t>
      </w:r>
    </w:p>
    <w:p w:rsidR="00396D9A" w:rsidRPr="00A033D1" w:rsidRDefault="00396D9A" w:rsidP="00396D9A">
      <w:pPr>
        <w:pStyle w:val="NormalHanging12a"/>
        <w:ind w:left="1985"/>
        <w:rPr>
          <w:b/>
          <w:i/>
        </w:rPr>
      </w:pPr>
      <w:r w:rsidRPr="00A033D1">
        <w:rPr>
          <w:b/>
          <w:i/>
        </w:rPr>
        <w:t>„1.</w:t>
      </w:r>
      <w:r w:rsidRPr="00A033D1">
        <w:rPr>
          <w:b/>
          <w:i/>
        </w:rPr>
        <w:tab/>
        <w:t xml:space="preserve">Kui lõigetest 2–5 ei tulene teisiti, peavad liikmesriigid tagama, et iga aasta mistahes ajahetkel 1. oktoobrist kuni 1. detsembrini on kõigi nende territooriumil asuvate ja otse nende turupiirkonnaga ühendatud maa-aluste gaasihoidlate ning </w:t>
      </w:r>
      <w:proofErr w:type="spellStart"/>
      <w:r w:rsidRPr="00A033D1">
        <w:rPr>
          <w:b/>
          <w:i/>
        </w:rPr>
        <w:t>Ib</w:t>
      </w:r>
      <w:proofErr w:type="spellEnd"/>
      <w:r w:rsidRPr="00A033D1">
        <w:rPr>
          <w:b/>
          <w:i/>
        </w:rPr>
        <w:t xml:space="preserve"> lisas loetletud hoidlate täituvus sihttasemel 83 %, arvestades nende koguvõimsust.“;</w:t>
      </w:r>
    </w:p>
    <w:p w:rsidR="00E93161" w:rsidRPr="00A033D1" w:rsidRDefault="001C1E8A" w:rsidP="00A033D1">
      <w:pPr>
        <w:pStyle w:val="NormalHanging12a"/>
        <w:ind w:left="1418"/>
        <w:rPr>
          <w:b/>
          <w:i/>
        </w:rPr>
      </w:pPr>
      <w:r w:rsidRPr="00A033D1">
        <w:rPr>
          <w:b/>
          <w:i/>
        </w:rPr>
        <w:t>c</w:t>
      </w:r>
      <w:r w:rsidR="00E93161" w:rsidRPr="00A033D1">
        <w:rPr>
          <w:b/>
          <w:i/>
        </w:rPr>
        <w:t>)</w:t>
      </w:r>
      <w:r w:rsidR="00E93161" w:rsidRPr="00A033D1">
        <w:rPr>
          <w:b/>
          <w:i/>
        </w:rPr>
        <w:tab/>
        <w:t>lõige 2 asendatakse järgmisega:</w:t>
      </w:r>
    </w:p>
    <w:p w:rsidR="00E93161" w:rsidRPr="00A033D1" w:rsidRDefault="00E93161" w:rsidP="00E93161">
      <w:pPr>
        <w:pStyle w:val="NormalHanging12a"/>
        <w:ind w:left="1985"/>
        <w:rPr>
          <w:szCs w:val="24"/>
        </w:rPr>
      </w:pPr>
      <w:r w:rsidRPr="00A033D1">
        <w:rPr>
          <w:b/>
          <w:i/>
        </w:rPr>
        <w:t>„2.</w:t>
      </w:r>
      <w:r w:rsidRPr="00A033D1">
        <w:rPr>
          <w:b/>
          <w:i/>
        </w:rPr>
        <w:tab/>
        <w:t xml:space="preserve">Olenemata lõikest 1 ja ilma et see piiraks teiste liikmesriikide kohustust täita </w:t>
      </w:r>
      <w:r w:rsidR="001C1E8A" w:rsidRPr="00A033D1">
        <w:rPr>
          <w:b/>
          <w:i/>
        </w:rPr>
        <w:t xml:space="preserve">asjaomased </w:t>
      </w:r>
      <w:r w:rsidRPr="00A033D1">
        <w:rPr>
          <w:b/>
          <w:i/>
        </w:rPr>
        <w:t>maa</w:t>
      </w:r>
      <w:r w:rsidRPr="00A033D1">
        <w:rPr>
          <w:b/>
          <w:i/>
        </w:rPr>
        <w:noBreakHyphen/>
        <w:t>alused gaasihoidlad, vähendatakse igas liikmesriigis, kus on maa</w:t>
      </w:r>
      <w:r w:rsidRPr="00A033D1">
        <w:rPr>
          <w:b/>
          <w:i/>
        </w:rPr>
        <w:noBreakHyphen/>
        <w:t>aluseid gaasihoidlaid, täituvuse sihttaset mahuni, mis vastab 32,28 %</w:t>
      </w:r>
      <w:r w:rsidRPr="00A033D1">
        <w:rPr>
          <w:b/>
          <w:i/>
        </w:rPr>
        <w:noBreakHyphen/>
        <w:t>le kõnealuse liikmesriigi viimase viie aasta keskmisest aastasest gaasitarbimisest.“</w:t>
      </w:r>
      <w:r w:rsidR="00D54E7E" w:rsidRPr="00A033D1">
        <w:rPr>
          <w:b/>
          <w:i/>
        </w:rPr>
        <w:t>;</w:t>
      </w:r>
    </w:p>
    <w:p w:rsidR="00396D9A" w:rsidRPr="00A033D1" w:rsidRDefault="001C1E8A" w:rsidP="00396D9A">
      <w:pPr>
        <w:pStyle w:val="NormalHanging12a"/>
        <w:ind w:left="1418"/>
        <w:rPr>
          <w:b/>
          <w:i/>
        </w:rPr>
      </w:pPr>
      <w:r w:rsidRPr="00A033D1">
        <w:rPr>
          <w:b/>
          <w:i/>
        </w:rPr>
        <w:t>d</w:t>
      </w:r>
      <w:r w:rsidR="00396D9A" w:rsidRPr="00A033D1">
        <w:rPr>
          <w:b/>
          <w:i/>
        </w:rPr>
        <w:t>)</w:t>
      </w:r>
      <w:r w:rsidR="00396D9A" w:rsidRPr="00A033D1">
        <w:rPr>
          <w:b/>
          <w:i/>
        </w:rPr>
        <w:tab/>
        <w:t>lisatakse järgmised lõiked:</w:t>
      </w:r>
    </w:p>
    <w:p w:rsidR="00396D9A" w:rsidRPr="00A033D1" w:rsidRDefault="00396D9A" w:rsidP="00396D9A">
      <w:pPr>
        <w:pStyle w:val="NormalHanging12a"/>
        <w:ind w:left="1985"/>
        <w:rPr>
          <w:b/>
          <w:i/>
          <w:szCs w:val="24"/>
        </w:rPr>
      </w:pPr>
      <w:r w:rsidRPr="00A033D1">
        <w:rPr>
          <w:b/>
          <w:i/>
        </w:rPr>
        <w:t xml:space="preserve">„5a. </w:t>
      </w:r>
      <w:r w:rsidRPr="00A033D1">
        <w:rPr>
          <w:b/>
          <w:i/>
        </w:rPr>
        <w:tab/>
        <w:t>Olenemata lõikest 1 ja ilma et see piiraks teiste liikmesriikide kohustust täita asjaomased maa-alused gaasihoidlad, võivad liikmesriigid otsustada kalduda kuni nelja protsendipunkti võrra kõrvale lõikes 1 iga liikmesriigi jaoks sätestatud täituvuse sihttasemest, kui turutingimused ei ole maa-aluste gaasihoidlate täitmiseks soodsad.</w:t>
      </w:r>
    </w:p>
    <w:p w:rsidR="00396D9A" w:rsidRPr="00A033D1" w:rsidRDefault="00396D9A" w:rsidP="00396D9A">
      <w:pPr>
        <w:pStyle w:val="NormalHanging12a"/>
        <w:ind w:left="1985"/>
        <w:rPr>
          <w:b/>
          <w:i/>
          <w:szCs w:val="24"/>
        </w:rPr>
      </w:pPr>
      <w:r w:rsidRPr="00A033D1">
        <w:rPr>
          <w:b/>
          <w:i/>
        </w:rPr>
        <w:t>5b.</w:t>
      </w:r>
      <w:r w:rsidRPr="00A033D1">
        <w:rPr>
          <w:b/>
          <w:i/>
        </w:rPr>
        <w:tab/>
        <w:t>Püsivate ebasoodsate turutingimustega seotud nõuetekohaselt põhjendatud juhtudel ning tingimusel, et liidu ja liikmesriikide varustuskindlust ei seata ohtu, on komisjonil õigus võtta kooskõlas artikliga 19 vastu delegeeritud õigusakte, et muuta käesolevat määrust, suurendades liikmesriikidele lõike 5a kohaselt lubatud kõrvalekallet veel kuni nelja protsendipunkti võrra.</w:t>
      </w:r>
    </w:p>
    <w:p w:rsidR="00396D9A" w:rsidRPr="00A033D1" w:rsidRDefault="00396D9A" w:rsidP="00396D9A">
      <w:pPr>
        <w:pStyle w:val="NormalHanging12a"/>
        <w:ind w:left="1985" w:firstLine="0"/>
        <w:rPr>
          <w:b/>
          <w:i/>
          <w:szCs w:val="24"/>
        </w:rPr>
      </w:pPr>
      <w:r w:rsidRPr="00A033D1">
        <w:rPr>
          <w:b/>
          <w:i/>
        </w:rPr>
        <w:t>Komisjon võtab oma hinnangus eelkõige arvesse liikmesriikide hoidlate täituvust, üleilmset gaasipakkumist, Euroopa maagaasi ülekandesüsteemi haldurite võrgustiku hooajalise pakkumise prognoosi ja märke turuga manipuleerimisest. Samuti võib ta võtta arvesse liikmesriikide meetmeid, näiteks selliste gaasinõudluse vähendamise meetmete kasutuselevõtmist, millega saavutatakse samaväärne gaasitarbimise vähenemine järgmisel väljastamishooajal.</w:t>
      </w:r>
    </w:p>
    <w:p w:rsidR="00396D9A" w:rsidRPr="00A033D1" w:rsidRDefault="00396D9A" w:rsidP="00396D9A">
      <w:pPr>
        <w:pStyle w:val="NormalHanging12a"/>
        <w:ind w:left="1985"/>
        <w:rPr>
          <w:b/>
          <w:i/>
          <w:szCs w:val="24"/>
        </w:rPr>
      </w:pPr>
      <w:r w:rsidRPr="00A033D1">
        <w:rPr>
          <w:b/>
          <w:i/>
        </w:rPr>
        <w:t>5c.</w:t>
      </w:r>
      <w:r w:rsidRPr="00A033D1">
        <w:rPr>
          <w:b/>
          <w:i/>
        </w:rPr>
        <w:tab/>
        <w:t>Lõikes 2 osutatud liikmesriigid võivad lõikes 5a sätestatud tingimustega samadel tingimustel otsustada kalduda lõikes 2 sätestatud mahust kõrvale, vähendades seda kuni 1,55 % võrra.</w:t>
      </w:r>
    </w:p>
    <w:p w:rsidR="00396D9A" w:rsidRPr="00A033D1" w:rsidRDefault="00396D9A" w:rsidP="00396D9A">
      <w:pPr>
        <w:pStyle w:val="NormalHanging12a"/>
        <w:ind w:left="1985"/>
        <w:rPr>
          <w:b/>
          <w:i/>
          <w:szCs w:val="24"/>
        </w:rPr>
      </w:pPr>
      <w:r w:rsidRPr="00A033D1">
        <w:rPr>
          <w:b/>
          <w:i/>
        </w:rPr>
        <w:t>5d.</w:t>
      </w:r>
      <w:r w:rsidRPr="00A033D1">
        <w:rPr>
          <w:b/>
          <w:i/>
        </w:rPr>
        <w:tab/>
        <w:t xml:space="preserve">Enne lõigetes 5a ja 5c sätestatud kõrvalekaldumise võimaluse kasutamist konsulteerib iga liikmesriik komisjoniga ning esitab põhjendamatu viivituseta oma otsuse põhjenduse. Komisjon teavitab viivitamata </w:t>
      </w:r>
      <w:proofErr w:type="spellStart"/>
      <w:r w:rsidRPr="00A033D1">
        <w:rPr>
          <w:b/>
          <w:i/>
        </w:rPr>
        <w:t>gaasikoordineerimisrühma</w:t>
      </w:r>
      <w:proofErr w:type="spellEnd"/>
      <w:r w:rsidRPr="00A033D1">
        <w:rPr>
          <w:b/>
          <w:i/>
        </w:rPr>
        <w:t xml:space="preserve"> kõigi lõigete 5a ja 5c kohaste kõrvalekallete koosmõjust ning kõigist otseselt mõjutatud liikmesriikidest.“;</w:t>
      </w:r>
    </w:p>
    <w:p w:rsidR="00396D9A" w:rsidRPr="00A033D1" w:rsidRDefault="001C1E8A" w:rsidP="00396D9A">
      <w:pPr>
        <w:pStyle w:val="NormalHanging12a"/>
        <w:ind w:left="1418"/>
        <w:rPr>
          <w:b/>
          <w:i/>
        </w:rPr>
      </w:pPr>
      <w:r w:rsidRPr="00A033D1">
        <w:rPr>
          <w:b/>
          <w:i/>
        </w:rPr>
        <w:t>e</w:t>
      </w:r>
      <w:r w:rsidR="00396D9A" w:rsidRPr="00A033D1">
        <w:rPr>
          <w:b/>
          <w:i/>
        </w:rPr>
        <w:t>)</w:t>
      </w:r>
      <w:r w:rsidR="00396D9A" w:rsidRPr="00A033D1">
        <w:rPr>
          <w:b/>
          <w:i/>
        </w:rPr>
        <w:tab/>
        <w:t>lõiked 6 ja 7 asendatakse järgmisega:</w:t>
      </w:r>
    </w:p>
    <w:p w:rsidR="00396D9A" w:rsidRPr="00A033D1" w:rsidRDefault="00396D9A" w:rsidP="00396D9A">
      <w:pPr>
        <w:pStyle w:val="NormalHanging12a"/>
        <w:ind w:left="1985"/>
        <w:rPr>
          <w:szCs w:val="24"/>
        </w:rPr>
      </w:pPr>
      <w:r w:rsidRPr="00A033D1">
        <w:rPr>
          <w:b/>
          <w:i/>
        </w:rPr>
        <w:t>„6.</w:t>
      </w:r>
      <w:r w:rsidRPr="00A033D1">
        <w:tab/>
      </w:r>
      <w:r w:rsidRPr="00A033D1">
        <w:rPr>
          <w:b/>
          <w:i/>
        </w:rPr>
        <w:t>Liikmesriigid võtavad täituvuse sihttaseme saavutamiseks kõik vajalikud meetmed ja püüavad järgida kirjeldatud täitmiskava kooskõlas lõikega 7.</w:t>
      </w:r>
    </w:p>
    <w:p w:rsidR="00396D9A" w:rsidRPr="00A033D1" w:rsidRDefault="00396D9A" w:rsidP="00396D9A">
      <w:pPr>
        <w:pStyle w:val="NormalHanging12a"/>
        <w:ind w:left="1985"/>
      </w:pPr>
      <w:r w:rsidRPr="00A033D1">
        <w:rPr>
          <w:b/>
          <w:i/>
        </w:rPr>
        <w:t>7.</w:t>
      </w:r>
      <w:r w:rsidRPr="00A033D1">
        <w:tab/>
      </w:r>
      <w:r w:rsidRPr="00A033D1">
        <w:rPr>
          <w:b/>
          <w:i/>
        </w:rPr>
        <w:t>Liikmesriigid, kellel on maa-alused gaasihoidlad, esitavad komisjonile aegsasti kogu kalendriaastat käsitleva soovitusliku täitmiskava lõikes 1 sätestatud aastapõhise gaasihoidlate täituvuse sihttaseme saavutamiseks. Kava sisaldab tehnilist teavet liikmesriigi territooriumil asuvate maa-aluste gaasihoidlate kohta ja see ühendatakse kokkuvõtlikul kujul otse tema turupiirkonnaga.“;</w:t>
      </w:r>
    </w:p>
    <w:p w:rsidR="00396D9A" w:rsidRPr="00A033D1" w:rsidRDefault="001C1E8A" w:rsidP="00396D9A">
      <w:pPr>
        <w:pStyle w:val="NormalHanging12a"/>
        <w:ind w:left="1418"/>
        <w:rPr>
          <w:b/>
          <w:i/>
        </w:rPr>
      </w:pPr>
      <w:r w:rsidRPr="00A033D1">
        <w:rPr>
          <w:b/>
          <w:i/>
        </w:rPr>
        <w:t>f</w:t>
      </w:r>
      <w:r w:rsidR="00396D9A" w:rsidRPr="00A033D1">
        <w:rPr>
          <w:b/>
          <w:i/>
        </w:rPr>
        <w:t>)</w:t>
      </w:r>
      <w:r w:rsidR="00396D9A" w:rsidRPr="00A033D1">
        <w:rPr>
          <w:b/>
          <w:i/>
        </w:rPr>
        <w:tab/>
        <w:t>lõige 8 jäetakse välja;</w:t>
      </w:r>
    </w:p>
    <w:p w:rsidR="00396D9A" w:rsidRPr="00A033D1" w:rsidRDefault="001C1E8A" w:rsidP="00396D9A">
      <w:pPr>
        <w:pStyle w:val="NormalHanging12a"/>
        <w:ind w:left="1418"/>
        <w:rPr>
          <w:b/>
          <w:i/>
        </w:rPr>
      </w:pPr>
      <w:r w:rsidRPr="00A033D1">
        <w:rPr>
          <w:b/>
          <w:i/>
        </w:rPr>
        <w:t>g</w:t>
      </w:r>
      <w:r w:rsidR="00396D9A" w:rsidRPr="00A033D1">
        <w:rPr>
          <w:b/>
          <w:i/>
        </w:rPr>
        <w:t>)</w:t>
      </w:r>
      <w:r w:rsidR="00396D9A" w:rsidRPr="00A033D1">
        <w:rPr>
          <w:b/>
          <w:i/>
        </w:rPr>
        <w:tab/>
        <w:t>lõiked 10 ja 11 asendatakse järgmisega:</w:t>
      </w:r>
    </w:p>
    <w:p w:rsidR="00396D9A" w:rsidRPr="00A033D1" w:rsidRDefault="00396D9A" w:rsidP="00396D9A">
      <w:pPr>
        <w:pStyle w:val="NormalHanging12a"/>
        <w:ind w:left="1985"/>
        <w:rPr>
          <w:b/>
          <w:i/>
        </w:rPr>
      </w:pPr>
      <w:r w:rsidRPr="00A033D1">
        <w:rPr>
          <w:b/>
          <w:i/>
        </w:rPr>
        <w:t>„10.</w:t>
      </w:r>
      <w:r w:rsidRPr="00A033D1">
        <w:rPr>
          <w:b/>
          <w:i/>
        </w:rPr>
        <w:tab/>
        <w:t xml:space="preserve">Iga liikmesriigi pädev asutus seirab pidevalt täitmiskava kohase täituvuse sihttaseme saavutamise kohustuse täitmist ning annab komisjonile ja </w:t>
      </w:r>
      <w:proofErr w:type="spellStart"/>
      <w:r w:rsidRPr="00A033D1">
        <w:rPr>
          <w:b/>
          <w:i/>
        </w:rPr>
        <w:t>gaasikoordineerimisrühmale</w:t>
      </w:r>
      <w:proofErr w:type="spellEnd"/>
      <w:r w:rsidRPr="00A033D1">
        <w:rPr>
          <w:b/>
          <w:i/>
        </w:rPr>
        <w:t xml:space="preserve"> korrapäraselt ja vähemalt kord kuus aru. Kui on näha, et kõnealust sihttaset ei suudeta saavutada, võtab pädev asutus viivitamata tõhusaid meetmeid selle taseme saavutamiseks. Liikmesriigid teatavad võetud meetmetest komisjonile ja </w:t>
      </w:r>
      <w:proofErr w:type="spellStart"/>
      <w:r w:rsidRPr="00A033D1">
        <w:rPr>
          <w:b/>
          <w:i/>
        </w:rPr>
        <w:t>gaasikoordineerimisrühmale</w:t>
      </w:r>
      <w:proofErr w:type="spellEnd"/>
      <w:r w:rsidRPr="00A033D1">
        <w:rPr>
          <w:b/>
          <w:i/>
        </w:rPr>
        <w:t>.</w:t>
      </w:r>
    </w:p>
    <w:p w:rsidR="00396D9A" w:rsidRPr="00A033D1" w:rsidRDefault="00396D9A" w:rsidP="00396D9A">
      <w:pPr>
        <w:pStyle w:val="NormalHanging12a"/>
        <w:ind w:left="1985"/>
        <w:rPr>
          <w:b/>
          <w:i/>
          <w:szCs w:val="24"/>
        </w:rPr>
      </w:pPr>
      <w:r w:rsidRPr="00A033D1">
        <w:rPr>
          <w:b/>
          <w:i/>
        </w:rPr>
        <w:t>11.</w:t>
      </w:r>
      <w:r w:rsidRPr="00A033D1">
        <w:rPr>
          <w:b/>
          <w:i/>
        </w:rPr>
        <w:tab/>
        <w:t xml:space="preserve">Kui liikmesriik kaldub oluliselt ja püsivalt kõrvale täitmiskavast, seades sellega ohtu täituvuse sihttaseme saavutamise, või kui kaldutakse kõrvale täituvuse sihttasemest, esitab komisjon asjakohasel juhul pärast </w:t>
      </w:r>
      <w:proofErr w:type="spellStart"/>
      <w:r w:rsidRPr="00A033D1">
        <w:rPr>
          <w:b/>
          <w:i/>
        </w:rPr>
        <w:t>gaasikoordineerimisrühma</w:t>
      </w:r>
      <w:proofErr w:type="spellEnd"/>
      <w:r w:rsidRPr="00A033D1">
        <w:rPr>
          <w:b/>
          <w:i/>
        </w:rPr>
        <w:t xml:space="preserve"> ja asjaomaste liikmesriikidega konsulteerimist asjaomasele liikmesriigile või asjaomastele liikmesriikidele soovituse meetmete kohta, mis tuleb võtta viivitamatult, et kõrvalekaldumine lõpetada või minimeerida selle mõju varustuskindlusele, võttes muu hulgas arvesse võimalikke ebasoodsaid turutingimusi ja liikmesriikide eripära, näiteks maa-aluste gaasihoidlate omadusi ja suurust võrreldes riigisisese gaasitarbimisega, maa-aluste väikse kütteväärtusega gaasihoidlate tähtsuse vähenemist gaasivarustuskindluse tagamisel ning olemasolevate veeldatud maagaasi hoidlate hoiustamisvõimsust.</w:t>
      </w:r>
    </w:p>
    <w:p w:rsidR="00396D9A" w:rsidRPr="00A033D1" w:rsidRDefault="00396D9A" w:rsidP="00396D9A">
      <w:pPr>
        <w:pStyle w:val="NormalHanging12a"/>
        <w:ind w:left="1985"/>
        <w:rPr>
          <w:szCs w:val="24"/>
        </w:rPr>
      </w:pPr>
      <w:r w:rsidRPr="00A033D1">
        <w:rPr>
          <w:b/>
          <w:i/>
        </w:rPr>
        <w:t>11a.</w:t>
      </w:r>
      <w:r w:rsidRPr="00A033D1">
        <w:rPr>
          <w:b/>
          <w:i/>
        </w:rPr>
        <w:tab/>
        <w:t xml:space="preserve">Kui liikmesriigis ei saavuta lõikes 1 osutatud täituvuse sihttaset ja liidu varustuskindlus on seetõttu ohus, võtab komisjon vastu rakendusakti, millega kehtestatakse asjaomase liikmesriigi täitmiskava järgmiseks aastaks, tuginedes iga liikmesriigi esitatud tehnilisele teabele ja võttes arvesse </w:t>
      </w:r>
      <w:proofErr w:type="spellStart"/>
      <w:r w:rsidRPr="00A033D1">
        <w:rPr>
          <w:b/>
          <w:i/>
        </w:rPr>
        <w:t>gaasikoordineerimisrühma</w:t>
      </w:r>
      <w:proofErr w:type="spellEnd"/>
      <w:r w:rsidRPr="00A033D1">
        <w:rPr>
          <w:b/>
          <w:i/>
        </w:rPr>
        <w:t xml:space="preserve"> hinnangut. Nimetatud rakendusakt võetakse vastu kooskõlas artikli 18a lõikes 2 osutatud kontrollimenetlusega. See põhineb hinnangul üldisele gaasivarustuskindluse olukorrale ning gaasi nõudluse ja pakkumise arengule liidus ja üksikutes liikmesriikides, et kaitsta gaasivarustuskindlust.“;</w:t>
      </w:r>
    </w:p>
    <w:p w:rsidR="00396D9A" w:rsidRPr="00A033D1" w:rsidRDefault="00396D9A" w:rsidP="00396D9A">
      <w:pPr>
        <w:pStyle w:val="NormalHanging12a"/>
        <w:ind w:left="851" w:hanging="851"/>
        <w:rPr>
          <w:b/>
          <w:i/>
          <w:szCs w:val="24"/>
        </w:rPr>
      </w:pPr>
      <w:r w:rsidRPr="00A033D1">
        <w:rPr>
          <w:b/>
          <w:i/>
        </w:rPr>
        <w:t>3)</w:t>
      </w:r>
      <w:r w:rsidRPr="00A033D1">
        <w:rPr>
          <w:b/>
          <w:i/>
        </w:rPr>
        <w:tab/>
        <w:t>Artiklit 6b muudetakse järgmiselt:</w:t>
      </w:r>
    </w:p>
    <w:p w:rsidR="00396D9A" w:rsidRPr="00A033D1" w:rsidRDefault="00396D9A" w:rsidP="00396D9A">
      <w:pPr>
        <w:pStyle w:val="NormalHanging12a"/>
        <w:ind w:left="1418"/>
        <w:rPr>
          <w:b/>
          <w:i/>
        </w:rPr>
      </w:pPr>
      <w:r w:rsidRPr="00A033D1">
        <w:rPr>
          <w:b/>
          <w:i/>
        </w:rPr>
        <w:t>a)</w:t>
      </w:r>
      <w:r w:rsidRPr="00A033D1">
        <w:rPr>
          <w:b/>
          <w:i/>
        </w:rPr>
        <w:tab/>
        <w:t>pealkiri asendatakse järgmisega: „Täituvuse sihttaseme saavutamine“;</w:t>
      </w:r>
    </w:p>
    <w:p w:rsidR="00396D9A" w:rsidRPr="00A033D1" w:rsidRDefault="00396D9A" w:rsidP="00396D9A">
      <w:pPr>
        <w:pStyle w:val="NormalHanging12a"/>
        <w:ind w:left="1418"/>
        <w:rPr>
          <w:b/>
          <w:i/>
        </w:rPr>
      </w:pPr>
      <w:r w:rsidRPr="00A033D1">
        <w:rPr>
          <w:b/>
          <w:i/>
        </w:rPr>
        <w:t>b)</w:t>
      </w:r>
      <w:r w:rsidRPr="00A033D1">
        <w:rPr>
          <w:b/>
          <w:i/>
        </w:rPr>
        <w:tab/>
        <w:t>lõike 1 esimene lõik asendatakse järgmisega:</w:t>
      </w:r>
    </w:p>
    <w:p w:rsidR="00396D9A" w:rsidRPr="00A033D1" w:rsidRDefault="00396D9A" w:rsidP="00396D9A">
      <w:pPr>
        <w:pStyle w:val="NormalHanging12a"/>
        <w:ind w:left="1985"/>
        <w:rPr>
          <w:szCs w:val="24"/>
        </w:rPr>
      </w:pPr>
      <w:r w:rsidRPr="00A033D1">
        <w:rPr>
          <w:b/>
          <w:i/>
        </w:rPr>
        <w:t>„1.</w:t>
      </w:r>
      <w:r w:rsidRPr="00A033D1">
        <w:rPr>
          <w:b/>
          <w:i/>
        </w:rPr>
        <w:tab/>
        <w:t>Liikmesriigid rakendavad kõiki vajalikke meetmeid, et saavutada artiklis 6a sätestatud täituvuse sihttase. Täituvuse sihttaseme saavutamise tagamisel seavad liikmesriigid võimaluse korral esikohale turupõhised meetmed.“;</w:t>
      </w:r>
    </w:p>
    <w:p w:rsidR="00396D9A" w:rsidRPr="00A033D1" w:rsidRDefault="00396D9A" w:rsidP="00396D9A">
      <w:pPr>
        <w:pStyle w:val="NormalHanging12a"/>
        <w:ind w:left="1418"/>
        <w:rPr>
          <w:b/>
          <w:i/>
        </w:rPr>
      </w:pPr>
      <w:r w:rsidRPr="00A033D1">
        <w:rPr>
          <w:b/>
          <w:i/>
        </w:rPr>
        <w:t>c)</w:t>
      </w:r>
      <w:r w:rsidRPr="00A033D1">
        <w:rPr>
          <w:b/>
          <w:i/>
        </w:rPr>
        <w:tab/>
        <w:t xml:space="preserve">lõige 2 asendatakse järgmisega: </w:t>
      </w:r>
    </w:p>
    <w:p w:rsidR="00396D9A" w:rsidRPr="00A033D1" w:rsidRDefault="00396D9A" w:rsidP="00396D9A">
      <w:pPr>
        <w:pStyle w:val="NormalHanging12a"/>
        <w:ind w:left="1985"/>
        <w:rPr>
          <w:szCs w:val="24"/>
        </w:rPr>
      </w:pPr>
      <w:r w:rsidRPr="00A033D1">
        <w:rPr>
          <w:b/>
          <w:i/>
        </w:rPr>
        <w:t>„2.</w:t>
      </w:r>
      <w:r w:rsidRPr="00A033D1">
        <w:rPr>
          <w:b/>
          <w:i/>
        </w:rPr>
        <w:tab/>
        <w:t>Lõike 1 kohaselt liikmesriikide vastu võetud meetmed piirduvad täituvuse sihttaseme saavutamiseks vajalikuga. Meetmed peavad olema selgelt määratletud, läbipaistvad, proportsionaalsed, mittediskrimineerivad ja kontrollitavad. Need ei tohi põhjendamatult moonutada konkurentsi ega gaasi siseturu nõuetekohast toimimist, põhjendamatult suurendada energiakulusid ega ohustada teiste liikmesriikide või liidu gaasivarustuskindlust.</w:t>
      </w:r>
      <w:r w:rsidRPr="00A033D1">
        <w:t xml:space="preserve"> </w:t>
      </w:r>
      <w:r w:rsidRPr="00A033D1">
        <w:rPr>
          <w:b/>
          <w:i/>
        </w:rPr>
        <w:t xml:space="preserve">Liikmesriigid peavad teatama sellistest meetmetest komisjonile ja </w:t>
      </w:r>
      <w:proofErr w:type="spellStart"/>
      <w:r w:rsidRPr="00A033D1">
        <w:rPr>
          <w:b/>
          <w:i/>
        </w:rPr>
        <w:t>gaasikoordineerimisrühmale</w:t>
      </w:r>
      <w:proofErr w:type="spellEnd"/>
      <w:r w:rsidRPr="00A033D1">
        <w:rPr>
          <w:b/>
          <w:i/>
        </w:rPr>
        <w:t>.“;</w:t>
      </w:r>
    </w:p>
    <w:p w:rsidR="00396D9A" w:rsidRPr="00A033D1" w:rsidRDefault="00396D9A" w:rsidP="00396D9A">
      <w:pPr>
        <w:pStyle w:val="NormalHanging12a"/>
        <w:ind w:left="851" w:hanging="851"/>
        <w:rPr>
          <w:b/>
          <w:i/>
          <w:szCs w:val="24"/>
        </w:rPr>
      </w:pPr>
      <w:r w:rsidRPr="00A033D1">
        <w:rPr>
          <w:b/>
          <w:i/>
        </w:rPr>
        <w:t>4)</w:t>
      </w:r>
      <w:r w:rsidRPr="00A033D1">
        <w:rPr>
          <w:b/>
          <w:i/>
        </w:rPr>
        <w:tab/>
        <w:t>Artiklit 6c muudetakse järgmiselt:</w:t>
      </w:r>
    </w:p>
    <w:p w:rsidR="00396D9A" w:rsidRPr="00A033D1" w:rsidRDefault="00396D9A" w:rsidP="00396D9A">
      <w:pPr>
        <w:pStyle w:val="NormalHanging12a"/>
        <w:ind w:left="1418"/>
        <w:rPr>
          <w:b/>
          <w:i/>
        </w:rPr>
      </w:pPr>
      <w:r w:rsidRPr="00A033D1">
        <w:rPr>
          <w:b/>
          <w:i/>
        </w:rPr>
        <w:t>a)</w:t>
      </w:r>
      <w:r w:rsidRPr="00A033D1">
        <w:rPr>
          <w:b/>
          <w:i/>
        </w:rPr>
        <w:tab/>
        <w:t>lõike 1 esimene lõik asendatakse järgmisega:</w:t>
      </w:r>
    </w:p>
    <w:p w:rsidR="00396D9A" w:rsidRPr="00A033D1" w:rsidRDefault="00396D9A" w:rsidP="00396D9A">
      <w:pPr>
        <w:pStyle w:val="NormalHanging12a"/>
        <w:ind w:left="1985"/>
        <w:rPr>
          <w:b/>
          <w:i/>
          <w:szCs w:val="24"/>
        </w:rPr>
      </w:pPr>
      <w:r w:rsidRPr="00A033D1">
        <w:rPr>
          <w:b/>
          <w:i/>
        </w:rPr>
        <w:t>„1.</w:t>
      </w:r>
      <w:r w:rsidRPr="00A033D1">
        <w:rPr>
          <w:b/>
          <w:i/>
        </w:rPr>
        <w:tab/>
        <w:t>Liikmesriigid, kellel ei ole maa-aluseid gaasihoidlaid, tagavad, et turuosalised on nimetatud liikmesriigis sõlminud kokkulepped nende liikmesriikide maa-aluste hoidlate halduritega või muude turuosalistega, kellel on maa-alused gaasihoidlad. Sellised kokkulepped näevad ette, et liikmesriigid, kellel ei ole maa-aluseid gaasihoidlaid, kasutavad 1. detsembriks hoiustamisvõimsusi mahus, mis vastab vähemalt 15 %-le nende viimase viie aasta aastasest keskmisest gaasitarbimisest. Kui piiriülene ülekandevõimsus või muud tehnilised piirangud ei võimalda liikmesriigil, kellel ei ole maa-aluseid gaasihoidlaid, täielikult kasutada 15 % sellest hoiustamisvõimsuse mahust, hoiustab nimetatud liikmesriik siiski ainult tehniliselt võimalikku mahtu.“;</w:t>
      </w:r>
    </w:p>
    <w:p w:rsidR="00396D9A" w:rsidRPr="00A033D1" w:rsidRDefault="00396D9A" w:rsidP="00396D9A">
      <w:pPr>
        <w:pStyle w:val="NormalHanging12a"/>
        <w:ind w:left="1418"/>
        <w:rPr>
          <w:b/>
          <w:i/>
          <w:szCs w:val="22"/>
        </w:rPr>
      </w:pPr>
      <w:r w:rsidRPr="00A033D1">
        <w:rPr>
          <w:b/>
          <w:i/>
        </w:rPr>
        <w:t>b)</w:t>
      </w:r>
      <w:r w:rsidRPr="00A033D1">
        <w:rPr>
          <w:b/>
          <w:i/>
        </w:rPr>
        <w:tab/>
        <w:t>lõike 2 teine lõik asendatakse järgmisega:</w:t>
      </w:r>
    </w:p>
    <w:p w:rsidR="00396D9A" w:rsidRPr="00A033D1" w:rsidRDefault="00396D9A" w:rsidP="00396D9A">
      <w:pPr>
        <w:pStyle w:val="NormalHanging12a"/>
        <w:ind w:left="1418" w:firstLine="0"/>
        <w:rPr>
          <w:b/>
          <w:i/>
          <w:szCs w:val="24"/>
        </w:rPr>
      </w:pPr>
      <w:r w:rsidRPr="00A033D1">
        <w:rPr>
          <w:b/>
          <w:i/>
        </w:rPr>
        <w:t>„Liikmesriigid, kellel ei ole maa-aluseid gaasihoidlaid, tõendavad, et nad järgivad lõiget 1 ja teavitavad sellest komisjoni.“;</w:t>
      </w:r>
    </w:p>
    <w:p w:rsidR="00396D9A" w:rsidRPr="00A033D1" w:rsidRDefault="00396D9A" w:rsidP="00396D9A">
      <w:pPr>
        <w:pStyle w:val="NormalHanging12a"/>
        <w:tabs>
          <w:tab w:val="left" w:pos="1418"/>
        </w:tabs>
        <w:ind w:left="1418"/>
      </w:pPr>
      <w:r w:rsidRPr="00A033D1">
        <w:rPr>
          <w:b/>
          <w:bCs/>
          <w:i/>
          <w:iCs/>
        </w:rPr>
        <w:t>c)</w:t>
      </w:r>
      <w:r w:rsidRPr="00A033D1">
        <w:rPr>
          <w:b/>
          <w:i/>
        </w:rPr>
        <w:tab/>
        <w:t>lõike 5 esimese lõigu punkt a asendatakse järgmisega:</w:t>
      </w:r>
      <w:r w:rsidRPr="00A033D1">
        <w:t xml:space="preserve"> </w:t>
      </w:r>
    </w:p>
    <w:p w:rsidR="00396D9A" w:rsidRPr="00A033D1" w:rsidRDefault="00396D9A" w:rsidP="00396D9A">
      <w:pPr>
        <w:pStyle w:val="NormalHanging12a"/>
        <w:ind w:left="1985"/>
        <w:rPr>
          <w:b/>
          <w:i/>
          <w:szCs w:val="24"/>
        </w:rPr>
      </w:pPr>
      <w:r w:rsidRPr="00A033D1">
        <w:rPr>
          <w:b/>
          <w:i/>
        </w:rPr>
        <w:t>„a)</w:t>
      </w:r>
      <w:r w:rsidRPr="00A033D1">
        <w:rPr>
          <w:b/>
          <w:i/>
        </w:rPr>
        <w:tab/>
        <w:t>tagab, et 1. detsembriks vastavad hoiustamismahud vähemalt viimase viie aasta keskmisele kindlaksmääratud hoiustamisvõimsuse kasutamisele, võttes muu hulgas arvesse väljastamishooajal hoidla asukohaks olevatest liikmesriikidest pärit vooge viimase viie aasta jooksul, või“;</w:t>
      </w:r>
    </w:p>
    <w:p w:rsidR="00396D9A" w:rsidRPr="00A033D1" w:rsidRDefault="00396D9A" w:rsidP="00396D9A">
      <w:pPr>
        <w:pStyle w:val="NormalHanging12a"/>
        <w:ind w:left="1418"/>
        <w:rPr>
          <w:b/>
          <w:i/>
        </w:rPr>
      </w:pPr>
      <w:r w:rsidRPr="00A033D1">
        <w:rPr>
          <w:b/>
          <w:i/>
        </w:rPr>
        <w:t>d)</w:t>
      </w:r>
      <w:r w:rsidRPr="00A033D1">
        <w:rPr>
          <w:b/>
          <w:i/>
        </w:rPr>
        <w:tab/>
        <w:t>lõige 6 asendatakse järgmisega:</w:t>
      </w:r>
    </w:p>
    <w:p w:rsidR="00396D9A" w:rsidRPr="00A033D1" w:rsidRDefault="00396D9A" w:rsidP="00396D9A">
      <w:pPr>
        <w:pStyle w:val="NormalHanging12a"/>
        <w:ind w:left="1985"/>
        <w:rPr>
          <w:b/>
          <w:i/>
          <w:szCs w:val="24"/>
        </w:rPr>
      </w:pPr>
      <w:r w:rsidRPr="00A033D1">
        <w:rPr>
          <w:b/>
          <w:i/>
        </w:rPr>
        <w:t>„6.</w:t>
      </w:r>
      <w:r w:rsidRPr="00A033D1">
        <w:rPr>
          <w:b/>
          <w:i/>
        </w:rPr>
        <w:tab/>
        <w:t xml:space="preserve">Kui </w:t>
      </w:r>
      <w:proofErr w:type="spellStart"/>
      <w:r w:rsidRPr="00A033D1">
        <w:rPr>
          <w:b/>
          <w:i/>
        </w:rPr>
        <w:t>Ib</w:t>
      </w:r>
      <w:proofErr w:type="spellEnd"/>
      <w:r w:rsidRPr="00A033D1">
        <w:rPr>
          <w:b/>
          <w:i/>
        </w:rPr>
        <w:t xml:space="preserve"> lisas ei ole sätestatud teisiti, on ühes liikmesriigis asuvate maa-aluste gaasihoidlate puhul, mis ei ole hõlmatud lõikega 5, kuid on otseselt ühendatud teise liikmesriigi turupiirkonnaga, tagab nimetatud teine liikmesriik, et ajavahemikul 1. oktoobrist 1. detsembrini vastavad hoiustamismahud vähemalt asjaomases piiriüleses punktis viimase viie aasta jooksul reserveeritud keskmisele hoiustamismahule.“;</w:t>
      </w:r>
    </w:p>
    <w:p w:rsidR="00396D9A" w:rsidRPr="00A033D1" w:rsidRDefault="00396D9A" w:rsidP="00396D9A">
      <w:pPr>
        <w:pStyle w:val="NormalHanging12a"/>
        <w:ind w:left="851" w:hanging="851"/>
        <w:rPr>
          <w:b/>
          <w:i/>
        </w:rPr>
      </w:pPr>
      <w:r w:rsidRPr="00A033D1">
        <w:rPr>
          <w:b/>
          <w:i/>
        </w:rPr>
        <w:t>5)</w:t>
      </w:r>
      <w:r w:rsidRPr="00A033D1">
        <w:rPr>
          <w:b/>
          <w:i/>
        </w:rPr>
        <w:tab/>
        <w:t>Artiklit 6d muudetakse järgmiselt:</w:t>
      </w:r>
    </w:p>
    <w:p w:rsidR="00396D9A" w:rsidRPr="00A033D1" w:rsidRDefault="00396D9A" w:rsidP="00396D9A">
      <w:pPr>
        <w:pStyle w:val="NormalHanging12a"/>
        <w:ind w:left="1418"/>
        <w:rPr>
          <w:b/>
          <w:i/>
        </w:rPr>
      </w:pPr>
      <w:r w:rsidRPr="00A033D1">
        <w:rPr>
          <w:b/>
          <w:i/>
        </w:rPr>
        <w:t>a)</w:t>
      </w:r>
      <w:r w:rsidRPr="00A033D1">
        <w:rPr>
          <w:b/>
          <w:i/>
        </w:rPr>
        <w:tab/>
        <w:t>lõiked 1 ja 2 asendatakse järgmisega:</w:t>
      </w:r>
    </w:p>
    <w:p w:rsidR="00396D9A" w:rsidRPr="00A033D1" w:rsidRDefault="00396D9A" w:rsidP="00396D9A">
      <w:pPr>
        <w:pStyle w:val="NormalHanging12a"/>
        <w:ind w:left="1985"/>
        <w:rPr>
          <w:b/>
          <w:i/>
          <w:szCs w:val="24"/>
        </w:rPr>
      </w:pPr>
      <w:r w:rsidRPr="00A033D1">
        <w:rPr>
          <w:b/>
          <w:i/>
        </w:rPr>
        <w:t>„1.</w:t>
      </w:r>
      <w:r w:rsidRPr="00A033D1">
        <w:rPr>
          <w:b/>
          <w:i/>
        </w:rPr>
        <w:tab/>
        <w:t>Hoidlate haldurid teatavad täituvuse iga asjaomase maa-aluse gaasihoidla asukohaliikmesriigi pädevale asutusele ja asjakohasel juhul oma asukohaliikmesriigi määratud üksusele (edaspidi „määratud üksus“) vastavalt artiklis 6a sätestatule.</w:t>
      </w:r>
    </w:p>
    <w:p w:rsidR="00396D9A" w:rsidRPr="00A033D1" w:rsidRDefault="00396D9A" w:rsidP="00396D9A">
      <w:pPr>
        <w:pStyle w:val="NormalHanging12a"/>
        <w:ind w:left="1985"/>
        <w:rPr>
          <w:szCs w:val="24"/>
        </w:rPr>
      </w:pPr>
      <w:r w:rsidRPr="00A033D1">
        <w:rPr>
          <w:b/>
          <w:i/>
        </w:rPr>
        <w:t>2.</w:t>
      </w:r>
      <w:r w:rsidRPr="00A033D1">
        <w:rPr>
          <w:b/>
          <w:i/>
        </w:rPr>
        <w:tab/>
        <w:t>Pädev asutus ja asjakohasel juhul iga liikmesriigi määratud üksus, teostavad oma territooriumil asuvate maa-aluste gaasihoidlate täituvuse seiret iga kuu lõpus ja teatavad tulemused kord kuus viivituseta komisjonile. Samuti lisab pädev asutus teabe oma liikmesriigis hoiustatava Venemaa Föderatsioonist pärit gaasi osakaalu kohta, kui selline teave on kättesaadav.</w:t>
      </w:r>
    </w:p>
    <w:p w:rsidR="00396D9A" w:rsidRPr="00A033D1" w:rsidRDefault="00396D9A" w:rsidP="00396D9A">
      <w:pPr>
        <w:pStyle w:val="NormalHanging12a"/>
        <w:ind w:left="1985" w:firstLine="0"/>
        <w:rPr>
          <w:b/>
          <w:i/>
        </w:rPr>
      </w:pPr>
      <w:r w:rsidRPr="00A033D1">
        <w:rPr>
          <w:b/>
          <w:i/>
        </w:rPr>
        <w:t>Vajaduse korral võib komisjon paluda Euroopa Liidu Energeetikasektorit Reguleerivate Asutuste Koostöö Ametilt (ACER) sellise seirega seotud abi.“;</w:t>
      </w:r>
    </w:p>
    <w:p w:rsidR="00396D9A" w:rsidRPr="00A033D1" w:rsidRDefault="00396D9A" w:rsidP="00396D9A">
      <w:pPr>
        <w:pStyle w:val="NormalHanging12a"/>
        <w:ind w:left="1418"/>
        <w:rPr>
          <w:b/>
          <w:i/>
        </w:rPr>
      </w:pPr>
      <w:r w:rsidRPr="00A033D1">
        <w:rPr>
          <w:b/>
          <w:i/>
        </w:rPr>
        <w:t>b)</w:t>
      </w:r>
      <w:r w:rsidRPr="00A033D1">
        <w:rPr>
          <w:b/>
          <w:i/>
        </w:rPr>
        <w:tab/>
        <w:t>lõiked 4 ja 5 asendatakse järgmisega:</w:t>
      </w:r>
    </w:p>
    <w:p w:rsidR="00396D9A" w:rsidRPr="00A033D1" w:rsidRDefault="00396D9A" w:rsidP="00396D9A">
      <w:pPr>
        <w:pStyle w:val="NormalHanging12a"/>
        <w:ind w:left="1985"/>
        <w:rPr>
          <w:b/>
          <w:i/>
          <w:szCs w:val="24"/>
        </w:rPr>
      </w:pPr>
      <w:r w:rsidRPr="00A033D1">
        <w:rPr>
          <w:b/>
          <w:i/>
        </w:rPr>
        <w:t>„4.</w:t>
      </w:r>
      <w:r w:rsidRPr="00A033D1">
        <w:rPr>
          <w:b/>
          <w:i/>
        </w:rPr>
        <w:tab/>
      </w:r>
      <w:proofErr w:type="spellStart"/>
      <w:r w:rsidRPr="00A033D1">
        <w:rPr>
          <w:b/>
          <w:i/>
        </w:rPr>
        <w:t>Gaasikoordineerimisrühm</w:t>
      </w:r>
      <w:proofErr w:type="spellEnd"/>
      <w:r w:rsidRPr="00A033D1">
        <w:rPr>
          <w:b/>
          <w:i/>
        </w:rPr>
        <w:t xml:space="preserve"> abistab komisjoni täituvuse sihttaseme seirel ning koostab komisjonile suunised asjakohaste meetmete kohta, millega tagada parem kooskõla juhul, kui täituvus liikmesriikides seab täituvuse sihttaseme saavutamise ohtu, või et tagada täituvuse sihttaseme saavutamine.</w:t>
      </w:r>
    </w:p>
    <w:p w:rsidR="00396D9A" w:rsidRPr="00A033D1" w:rsidRDefault="00396D9A" w:rsidP="00396D9A">
      <w:pPr>
        <w:pStyle w:val="NormalHanging12a"/>
        <w:ind w:left="1985"/>
        <w:rPr>
          <w:b/>
          <w:i/>
          <w:szCs w:val="24"/>
        </w:rPr>
      </w:pPr>
      <w:r w:rsidRPr="00A033D1">
        <w:rPr>
          <w:b/>
          <w:i/>
        </w:rPr>
        <w:t>4a.</w:t>
      </w:r>
      <w:r w:rsidRPr="00A033D1">
        <w:rPr>
          <w:b/>
          <w:i/>
        </w:rPr>
        <w:tab/>
        <w:t xml:space="preserve">Asjakohasel juhul rakendab komisjon meetmeid, mis aitavad liikmesriikidel saavutada täituvuse sihttaset, sealhulgas meetmeid, millega julgustatakse osalema määruse (EL) 2022/2576 alusel loodud nõudluse koondamise ja </w:t>
      </w:r>
      <w:proofErr w:type="spellStart"/>
      <w:r w:rsidRPr="00A033D1">
        <w:rPr>
          <w:b/>
          <w:i/>
        </w:rPr>
        <w:t>ühisostude</w:t>
      </w:r>
      <w:proofErr w:type="spellEnd"/>
      <w:r w:rsidRPr="00A033D1">
        <w:rPr>
          <w:b/>
          <w:i/>
        </w:rPr>
        <w:t xml:space="preserve"> mehhanismis (</w:t>
      </w:r>
      <w:proofErr w:type="spellStart"/>
      <w:r w:rsidRPr="00A033D1">
        <w:rPr>
          <w:b/>
          <w:i/>
        </w:rPr>
        <w:t>AggregateEU</w:t>
      </w:r>
      <w:proofErr w:type="spellEnd"/>
      <w:r w:rsidRPr="00A033D1">
        <w:rPr>
          <w:b/>
          <w:i/>
        </w:rPr>
        <w:t>)</w:t>
      </w:r>
      <w:r w:rsidRPr="00A033D1">
        <w:rPr>
          <w:b/>
          <w:i/>
          <w:vertAlign w:val="superscript"/>
        </w:rPr>
        <w:t>*</w:t>
      </w:r>
      <w:r w:rsidRPr="00A033D1">
        <w:rPr>
          <w:rStyle w:val="FootnoteReference"/>
          <w:b/>
          <w:i/>
        </w:rPr>
        <w:t xml:space="preserve"> </w:t>
      </w:r>
      <w:r w:rsidRPr="00A033D1">
        <w:rPr>
          <w:b/>
          <w:i/>
        </w:rPr>
        <w:t>.</w:t>
      </w:r>
    </w:p>
    <w:p w:rsidR="00396D9A" w:rsidRPr="00A033D1" w:rsidRDefault="00396D9A" w:rsidP="00396D9A">
      <w:pPr>
        <w:pStyle w:val="NormalHanging12a"/>
        <w:ind w:left="1985"/>
        <w:rPr>
          <w:b/>
          <w:i/>
        </w:rPr>
      </w:pPr>
      <w:r w:rsidRPr="00A033D1">
        <w:rPr>
          <w:b/>
          <w:i/>
        </w:rPr>
        <w:t>5.</w:t>
      </w:r>
      <w:r w:rsidRPr="00A033D1">
        <w:rPr>
          <w:b/>
          <w:i/>
        </w:rPr>
        <w:tab/>
        <w:t>Liikmesriigid ja asjakohasel juhul komisjon võtavad vajalikud meetmed, et saavutada täituvuse sihttase ning nõuda turuosalistelt hoiustamiskohustuste täitmist. Need meetmed võivad hõlmata piisavalt hoiatavate karistuste ja trahvide kehtestamist, näiteks asjakohaseid rahalisi karistusi.</w:t>
      </w:r>
    </w:p>
    <w:p w:rsidR="00396D9A" w:rsidRPr="00A033D1" w:rsidRDefault="00396D9A" w:rsidP="00396D9A">
      <w:pPr>
        <w:pStyle w:val="NormalHanging12a"/>
        <w:ind w:left="1985"/>
        <w:rPr>
          <w:b/>
          <w:i/>
        </w:rPr>
      </w:pPr>
      <w:r w:rsidRPr="00A033D1">
        <w:rPr>
          <w:b/>
          <w:i/>
        </w:rPr>
        <w:t>___________________</w:t>
      </w:r>
    </w:p>
    <w:p w:rsidR="00396D9A" w:rsidRPr="00A033D1" w:rsidRDefault="00396D9A" w:rsidP="00396D9A">
      <w:pPr>
        <w:pStyle w:val="NormalHanging12a"/>
        <w:ind w:left="1985"/>
        <w:rPr>
          <w:b/>
          <w:i/>
        </w:rPr>
      </w:pPr>
      <w:r w:rsidRPr="00A033D1">
        <w:rPr>
          <w:b/>
          <w:i/>
        </w:rPr>
        <w:t>*</w:t>
      </w:r>
      <w:r w:rsidRPr="00A033D1">
        <w:rPr>
          <w:b/>
          <w:i/>
        </w:rPr>
        <w:tab/>
        <w:t xml:space="preserve">Nõukogu 19. detsembri 2022. aasta määrus (EL) 2022/2576, millega suurendatakse solidaarsust gaasi ostmise parema koordineerimise, usaldusväärsete hinna võrdlusaluste ja piiriülese gaasikaubanduse abil (ELT L 335, 29.12.2022, lk 1, ELI: </w:t>
      </w:r>
      <w:hyperlink r:id="rId9" w:history="1">
        <w:r w:rsidRPr="00A033D1">
          <w:rPr>
            <w:rStyle w:val="Hyperlink"/>
            <w:b/>
            <w:i/>
          </w:rPr>
          <w:t>http://data.europa.eu/eli/reg/2022/2576/oj</w:t>
        </w:r>
      </w:hyperlink>
      <w:r w:rsidRPr="00A033D1">
        <w:rPr>
          <w:b/>
          <w:i/>
        </w:rPr>
        <w:t>).“;</w:t>
      </w:r>
    </w:p>
    <w:p w:rsidR="00396D9A" w:rsidRPr="00A033D1" w:rsidRDefault="00396D9A" w:rsidP="00396D9A">
      <w:pPr>
        <w:pStyle w:val="NormalHanging12a"/>
        <w:ind w:left="851" w:hanging="851"/>
        <w:rPr>
          <w:b/>
          <w:i/>
          <w:szCs w:val="24"/>
        </w:rPr>
      </w:pPr>
      <w:r w:rsidRPr="00A033D1">
        <w:rPr>
          <w:b/>
          <w:i/>
        </w:rPr>
        <w:t>6)</w:t>
      </w:r>
      <w:r w:rsidRPr="00A033D1">
        <w:rPr>
          <w:b/>
          <w:i/>
        </w:rPr>
        <w:tab/>
        <w:t>Artikli 17a lõikesse 1 lisatakse järgmine punkt:</w:t>
      </w:r>
    </w:p>
    <w:p w:rsidR="00396D9A" w:rsidRPr="00A033D1" w:rsidRDefault="00396D9A" w:rsidP="00396D9A">
      <w:pPr>
        <w:pStyle w:val="NormalHanging12a"/>
        <w:ind w:left="1418"/>
        <w:rPr>
          <w:b/>
          <w:i/>
          <w:szCs w:val="24"/>
        </w:rPr>
      </w:pPr>
      <w:r w:rsidRPr="00A033D1">
        <w:rPr>
          <w:b/>
          <w:i/>
        </w:rPr>
        <w:t>„</w:t>
      </w:r>
      <w:proofErr w:type="spellStart"/>
      <w:r w:rsidRPr="00A033D1">
        <w:rPr>
          <w:b/>
          <w:i/>
        </w:rPr>
        <w:t>da</w:t>
      </w:r>
      <w:proofErr w:type="spellEnd"/>
      <w:r w:rsidRPr="00A033D1">
        <w:rPr>
          <w:b/>
          <w:i/>
        </w:rPr>
        <w:t>)</w:t>
      </w:r>
      <w:r w:rsidRPr="00A033D1">
        <w:rPr>
          <w:b/>
          <w:i/>
        </w:rPr>
        <w:tab/>
        <w:t>ELi hoidlates hoiustatava Venemaa Föderatsioonist pärit gaasi osakaalu käsitlev teave, mille liikmesriigid esitavad vastavalt artikli 6d lõikele 2.“;</w:t>
      </w:r>
    </w:p>
    <w:p w:rsidR="00396D9A" w:rsidRPr="00A033D1" w:rsidRDefault="00396D9A" w:rsidP="00396D9A">
      <w:pPr>
        <w:pStyle w:val="NormalHanging12a"/>
        <w:ind w:left="851" w:hanging="851"/>
        <w:rPr>
          <w:b/>
          <w:i/>
          <w:szCs w:val="24"/>
        </w:rPr>
      </w:pPr>
      <w:r w:rsidRPr="00A033D1">
        <w:rPr>
          <w:b/>
          <w:i/>
        </w:rPr>
        <w:t>7)</w:t>
      </w:r>
      <w:r w:rsidRPr="00A033D1">
        <w:rPr>
          <w:b/>
          <w:i/>
        </w:rPr>
        <w:tab/>
        <w:t>Artikli 22 neljas lõik asendatakse järgmisega:</w:t>
      </w:r>
    </w:p>
    <w:p w:rsidR="00396D9A" w:rsidRPr="00A033D1" w:rsidRDefault="00396D9A" w:rsidP="00396D9A">
      <w:pPr>
        <w:pStyle w:val="NormalHanging12a"/>
        <w:ind w:left="851" w:firstLine="0"/>
        <w:rPr>
          <w:b/>
          <w:i/>
          <w:szCs w:val="24"/>
        </w:rPr>
      </w:pPr>
      <w:r w:rsidRPr="00A033D1">
        <w:rPr>
          <w:b/>
          <w:i/>
        </w:rPr>
        <w:t xml:space="preserve">„Artikli 2 punkte 27–31, artikleid 6a–6d, artikli 16 lõiget 3, artikleid 17a ja 18a, artikli 20 lõiget 4 ning </w:t>
      </w:r>
      <w:proofErr w:type="spellStart"/>
      <w:r w:rsidRPr="00A033D1">
        <w:rPr>
          <w:b/>
          <w:i/>
        </w:rPr>
        <w:t>Ib</w:t>
      </w:r>
      <w:proofErr w:type="spellEnd"/>
      <w:r w:rsidRPr="00A033D1">
        <w:rPr>
          <w:b/>
          <w:i/>
        </w:rPr>
        <w:t> lisa kohaldatakse kuni 31. detsembrini 2027.“;</w:t>
      </w:r>
    </w:p>
    <w:p w:rsidR="00396D9A" w:rsidRPr="00A033D1" w:rsidRDefault="00396D9A" w:rsidP="00396D9A">
      <w:pPr>
        <w:pStyle w:val="NormalHanging12a"/>
        <w:ind w:left="851" w:hanging="851"/>
        <w:rPr>
          <w:b/>
          <w:i/>
          <w:szCs w:val="24"/>
        </w:rPr>
      </w:pPr>
      <w:r w:rsidRPr="00A033D1">
        <w:rPr>
          <w:b/>
          <w:i/>
        </w:rPr>
        <w:t>8)</w:t>
      </w:r>
      <w:r w:rsidRPr="00A033D1">
        <w:rPr>
          <w:b/>
          <w:i/>
        </w:rPr>
        <w:tab/>
      </w:r>
      <w:proofErr w:type="spellStart"/>
      <w:r w:rsidRPr="00A033D1">
        <w:rPr>
          <w:b/>
          <w:i/>
        </w:rPr>
        <w:t>Ia</w:t>
      </w:r>
      <w:proofErr w:type="spellEnd"/>
      <w:r w:rsidRPr="00A033D1">
        <w:rPr>
          <w:b/>
          <w:i/>
        </w:rPr>
        <w:t> lisa jäetakse välja.</w:t>
      </w:r>
    </w:p>
    <w:p w:rsidR="00396D9A" w:rsidRPr="00A033D1" w:rsidRDefault="00396D9A" w:rsidP="00396D9A">
      <w:pPr>
        <w:rPr>
          <w:noProof/>
        </w:rPr>
      </w:pPr>
    </w:p>
    <w:p w:rsidR="00396D9A" w:rsidRPr="00A033D1" w:rsidRDefault="00396D9A" w:rsidP="00396D9A">
      <w:pPr>
        <w:pStyle w:val="Titrearticle"/>
        <w:rPr>
          <w:noProof/>
        </w:rPr>
      </w:pPr>
      <w:r w:rsidRPr="00A033D1">
        <w:t>Artikkel 2</w:t>
      </w:r>
    </w:p>
    <w:p w:rsidR="00396D9A" w:rsidRPr="00A033D1" w:rsidRDefault="00396D9A" w:rsidP="00396D9A">
      <w:pPr>
        <w:jc w:val="center"/>
        <w:rPr>
          <w:b/>
          <w:bCs/>
          <w:noProof/>
        </w:rPr>
      </w:pPr>
      <w:r w:rsidRPr="00A033D1">
        <w:rPr>
          <w:b/>
        </w:rPr>
        <w:t>Jõustumine</w:t>
      </w:r>
    </w:p>
    <w:p w:rsidR="00396D9A" w:rsidRPr="00A033D1" w:rsidRDefault="00396D9A" w:rsidP="00396D9A">
      <w:pPr>
        <w:pStyle w:val="NormalHanging12a"/>
        <w:ind w:left="0" w:firstLine="0"/>
        <w:rPr>
          <w:szCs w:val="24"/>
        </w:rPr>
      </w:pPr>
      <w:r w:rsidRPr="00A033D1">
        <w:t xml:space="preserve">Käesolev määrus jõustub </w:t>
      </w:r>
      <w:r w:rsidRPr="00A033D1">
        <w:rPr>
          <w:b/>
          <w:i/>
        </w:rPr>
        <w:t>ja selle kohaldamine algab</w:t>
      </w:r>
      <w:r w:rsidRPr="00A033D1">
        <w:t xml:space="preserve"> järgmisel päeval pärast selle avaldamist Euroopa Liidu Teatajas.</w:t>
      </w:r>
    </w:p>
    <w:p w:rsidR="00396D9A" w:rsidRPr="00A033D1" w:rsidRDefault="00396D9A" w:rsidP="00A033D1">
      <w:pPr>
        <w:pStyle w:val="NormalCenter12a"/>
        <w:spacing w:before="480"/>
        <w:jc w:val="left"/>
      </w:pPr>
      <w:r w:rsidRPr="00A033D1">
        <w:t>Käesolev määrus on tervikuna siduv ja vahetult kohaldatav kõikides liikmesriikides.</w:t>
      </w:r>
    </w:p>
    <w:p w:rsidR="00396D9A" w:rsidRPr="00A033D1" w:rsidRDefault="00396D9A" w:rsidP="00396D9A">
      <w:pPr>
        <w:pStyle w:val="NormalCenter12a"/>
        <w:jc w:val="left"/>
      </w:pPr>
      <w:r w:rsidRPr="00A033D1">
        <w:t>Brüssel,</w:t>
      </w:r>
    </w:p>
    <w:p w:rsidR="00396D9A" w:rsidRPr="00A033D1" w:rsidRDefault="00396D9A" w:rsidP="00A033D1">
      <w:pPr>
        <w:pStyle w:val="NormalCenter12a"/>
        <w:tabs>
          <w:tab w:val="left" w:pos="4536"/>
        </w:tabs>
        <w:spacing w:after="0"/>
        <w:jc w:val="left"/>
        <w:rPr>
          <w:i/>
        </w:rPr>
      </w:pPr>
      <w:r w:rsidRPr="00A033D1">
        <w:rPr>
          <w:i/>
        </w:rPr>
        <w:t>Euroopa Parlamendi nimel</w:t>
      </w:r>
      <w:r w:rsidR="00E93161" w:rsidRPr="00A033D1">
        <w:rPr>
          <w:i/>
        </w:rPr>
        <w:tab/>
        <w:t>Nõukogu nimel</w:t>
      </w:r>
    </w:p>
    <w:p w:rsidR="00E93161" w:rsidRPr="00A033D1" w:rsidRDefault="00396D9A" w:rsidP="00A033D1">
      <w:pPr>
        <w:pStyle w:val="NormalCenter12a"/>
        <w:tabs>
          <w:tab w:val="left" w:pos="4536"/>
        </w:tabs>
        <w:jc w:val="left"/>
        <w:rPr>
          <w:i/>
        </w:rPr>
      </w:pPr>
      <w:r w:rsidRPr="00A033D1">
        <w:rPr>
          <w:i/>
        </w:rPr>
        <w:t>president</w:t>
      </w:r>
      <w:r w:rsidR="00E93161" w:rsidRPr="00A033D1">
        <w:rPr>
          <w:i/>
        </w:rPr>
        <w:tab/>
        <w:t>eesistuja</w:t>
      </w:r>
    </w:p>
    <w:p w:rsidR="00E365E1" w:rsidRPr="00A033D1" w:rsidRDefault="00E365E1" w:rsidP="00D265A1"/>
    <w:sectPr w:rsidR="00E365E1" w:rsidRPr="00A033D1" w:rsidSect="00744FF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5A1" w:rsidRPr="00744FF0" w:rsidRDefault="00D265A1">
      <w:r w:rsidRPr="00744FF0">
        <w:separator/>
      </w:r>
    </w:p>
  </w:endnote>
  <w:endnote w:type="continuationSeparator" w:id="0">
    <w:p w:rsidR="00D265A1" w:rsidRPr="00744FF0" w:rsidRDefault="00D265A1">
      <w:r w:rsidRPr="00744F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5A1" w:rsidRPr="00744FF0" w:rsidRDefault="00D265A1">
      <w:r w:rsidRPr="00744FF0">
        <w:separator/>
      </w:r>
    </w:p>
  </w:footnote>
  <w:footnote w:type="continuationSeparator" w:id="0">
    <w:p w:rsidR="00D265A1" w:rsidRPr="00744FF0" w:rsidRDefault="00D265A1">
      <w:r w:rsidRPr="00744FF0">
        <w:continuationSeparator/>
      </w:r>
    </w:p>
  </w:footnote>
  <w:footnote w:id="1">
    <w:p w:rsidR="00DE1693" w:rsidRPr="003D541F" w:rsidRDefault="00DE1693" w:rsidP="00DE1693">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proofErr w:type="spellStart"/>
      <w:r>
        <w:rPr>
          <w:sz w:val="24"/>
          <w:szCs w:val="24"/>
          <w:lang w:val="et-EE"/>
        </w:rPr>
        <w:t>institutsioonidevahelisteks</w:t>
      </w:r>
      <w:proofErr w:type="spellEnd"/>
      <w:r>
        <w:rPr>
          <w:sz w:val="24"/>
          <w:szCs w:val="24"/>
          <w:lang w:val="et-EE"/>
        </w:rPr>
        <w:t xml:space="preserve"> läbirääkimisteks (A10</w:t>
      </w:r>
      <w:r>
        <w:rPr>
          <w:sz w:val="24"/>
          <w:szCs w:val="24"/>
          <w:lang w:val="et-EE"/>
        </w:rPr>
        <w:noBreakHyphen/>
        <w:t>0079/2025</w:t>
      </w:r>
      <w:r w:rsidRPr="003D541F">
        <w:rPr>
          <w:sz w:val="24"/>
          <w:szCs w:val="24"/>
          <w:lang w:val="et-EE"/>
        </w:rPr>
        <w:t>).</w:t>
      </w:r>
    </w:p>
  </w:footnote>
  <w:footnote w:id="2">
    <w:p w:rsidR="00396D9A" w:rsidRPr="00744FF0" w:rsidRDefault="00396D9A" w:rsidP="00A033D1">
      <w:pPr>
        <w:pStyle w:val="FootnoteText"/>
        <w:ind w:left="567" w:hanging="567"/>
        <w:rPr>
          <w:sz w:val="24"/>
          <w:lang w:val="et-EE"/>
        </w:rPr>
      </w:pPr>
      <w:r w:rsidRPr="00744FF0">
        <w:rPr>
          <w:rStyle w:val="FootnoteReference"/>
          <w:sz w:val="24"/>
          <w:lang w:val="et-EE"/>
        </w:rPr>
        <w:t>*</w:t>
      </w:r>
      <w:r w:rsidR="00744FF0" w:rsidRPr="00744FF0">
        <w:rPr>
          <w:sz w:val="24"/>
          <w:lang w:val="et-EE"/>
        </w:rPr>
        <w:t xml:space="preserve"> </w:t>
      </w:r>
      <w:r w:rsidR="00744FF0" w:rsidRPr="00744FF0">
        <w:rPr>
          <w:sz w:val="24"/>
          <w:lang w:val="et-EE"/>
        </w:rPr>
        <w:tab/>
      </w:r>
      <w:r w:rsidRPr="00744FF0">
        <w:rPr>
          <w:sz w:val="24"/>
          <w:lang w:val="et-EE"/>
        </w:rPr>
        <w:t xml:space="preserve">Muudatused: uus või muudetud tekst on märgistatud </w:t>
      </w:r>
      <w:r w:rsidRPr="00E93161">
        <w:rPr>
          <w:b/>
          <w:i/>
          <w:sz w:val="24"/>
          <w:lang w:val="et-EE"/>
        </w:rPr>
        <w:t>paksus kaldkirjas</w:t>
      </w:r>
      <w:r w:rsidRPr="00744FF0">
        <w:rPr>
          <w:sz w:val="24"/>
          <w:lang w:val="et-EE"/>
        </w:rPr>
        <w:t>, väljajäetud tekst on tähistatud sümboliga ▌.</w:t>
      </w:r>
    </w:p>
  </w:footnote>
  <w:footnote w:id="3">
    <w:p w:rsidR="00396D9A" w:rsidRPr="00744FF0" w:rsidRDefault="00396D9A" w:rsidP="00E93161">
      <w:pPr>
        <w:pStyle w:val="FootnoteText"/>
        <w:ind w:left="851" w:hanging="851"/>
        <w:rPr>
          <w:sz w:val="24"/>
          <w:lang w:val="et-EE"/>
        </w:rPr>
      </w:pPr>
      <w:r w:rsidRPr="00744FF0">
        <w:rPr>
          <w:rStyle w:val="FootnoteReference"/>
          <w:sz w:val="24"/>
          <w:lang w:val="et-EE"/>
        </w:rPr>
        <w:footnoteRef/>
      </w:r>
      <w:r w:rsidR="00744FF0" w:rsidRPr="00744FF0">
        <w:rPr>
          <w:sz w:val="24"/>
          <w:lang w:val="et-EE"/>
        </w:rPr>
        <w:t xml:space="preserve"> </w:t>
      </w:r>
      <w:r w:rsidR="00744FF0" w:rsidRPr="00744FF0">
        <w:rPr>
          <w:sz w:val="24"/>
          <w:lang w:val="et-EE"/>
        </w:rPr>
        <w:tab/>
      </w:r>
      <w:r w:rsidRPr="00744FF0">
        <w:rPr>
          <w:sz w:val="24"/>
          <w:lang w:val="et-EE"/>
        </w:rPr>
        <w:t>Euroopa Parlamendi ja nõukogu 29. juuni 2022. </w:t>
      </w:r>
      <w:r w:rsidRPr="00744FF0">
        <w:rPr>
          <w:sz w:val="24"/>
          <w:lang w:val="et-EE"/>
        </w:rPr>
        <w:t xml:space="preserve">aasta määrus (EL) 2022/1032, millega muudetakse määruseid (EL) 2017/1938 ja (EÜ) nr 715/2009 seoses gaasi hoiustamisega (ELT L 173, 30.6.2022, lk 17, ELI: </w:t>
      </w:r>
      <w:hyperlink r:id="rId1" w:history="1">
        <w:r w:rsidRPr="00D54E7E">
          <w:rPr>
            <w:rStyle w:val="Hyperlink"/>
            <w:sz w:val="24"/>
            <w:lang w:val="et-EE"/>
          </w:rPr>
          <w:t>http://data.europa.eu/eli/reg/2022/1032/oj</w:t>
        </w:r>
      </w:hyperlink>
      <w:r w:rsidRPr="00744FF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ET"/>
    <w:docVar w:name="dvnumam" w:val="0"/>
    <w:docVar w:name="dvpe" w:val="772.015"/>
    <w:docVar w:name="dvrapporteur" w:val="Raportöör: "/>
    <w:docVar w:name="dvstar" w:val="***I"/>
    <w:docVar w:name="dvtitre" w:val="Euroopa Parlamendi .... 2025. aasta seadusandlik resolutsioon ettepaneku kohta võtta vastu Euroopa Parlamendi ja nõukogu määrus, millega muudetakse määrust (EL) 2017/1938 seoses gaasi hoiustamise rolliga gaasitarnete tagamisel enne talvehooaega(COM(2025)0099 – C10-0041/2025 – 2025/0051(COD))"/>
  </w:docVars>
  <w:rsids>
    <w:rsidRoot w:val="00D265A1"/>
    <w:rsid w:val="00002272"/>
    <w:rsid w:val="00064002"/>
    <w:rsid w:val="000677B9"/>
    <w:rsid w:val="000831BA"/>
    <w:rsid w:val="000A42CC"/>
    <w:rsid w:val="000E7DD9"/>
    <w:rsid w:val="0010095E"/>
    <w:rsid w:val="00125B37"/>
    <w:rsid w:val="00187494"/>
    <w:rsid w:val="001C1E8A"/>
    <w:rsid w:val="001F32AE"/>
    <w:rsid w:val="002767FF"/>
    <w:rsid w:val="002B18FE"/>
    <w:rsid w:val="002B5493"/>
    <w:rsid w:val="00343214"/>
    <w:rsid w:val="00361C00"/>
    <w:rsid w:val="00395FA1"/>
    <w:rsid w:val="00396D9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FF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3D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5A1"/>
    <w:rsid w:val="00D54E7E"/>
    <w:rsid w:val="00D56C11"/>
    <w:rsid w:val="00D834A0"/>
    <w:rsid w:val="00D872DF"/>
    <w:rsid w:val="00D91E21"/>
    <w:rsid w:val="00DA7FCD"/>
    <w:rsid w:val="00DE1693"/>
    <w:rsid w:val="00E35163"/>
    <w:rsid w:val="00E365E1"/>
    <w:rsid w:val="00E820A4"/>
    <w:rsid w:val="00E9316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9756C7-CDCA-4E82-B073-9E6699E7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6D9A"/>
    <w:pPr>
      <w:spacing w:before="480" w:after="240"/>
    </w:pPr>
  </w:style>
  <w:style w:type="paragraph" w:customStyle="1" w:styleId="NormalBold">
    <w:name w:val="NormalBold"/>
    <w:basedOn w:val="Normal"/>
    <w:rsid w:val="00396D9A"/>
    <w:rPr>
      <w:b/>
    </w:rPr>
  </w:style>
  <w:style w:type="paragraph" w:customStyle="1" w:styleId="NormalHanging12a">
    <w:name w:val="NormalHanging12a"/>
    <w:basedOn w:val="Normal"/>
    <w:link w:val="NormalHanging12aChar"/>
    <w:rsid w:val="00396D9A"/>
    <w:pPr>
      <w:spacing w:after="240"/>
      <w:ind w:left="567" w:hanging="567"/>
    </w:pPr>
  </w:style>
  <w:style w:type="paragraph" w:customStyle="1" w:styleId="NormalCenter12a">
    <w:name w:val="NormalCenter12a"/>
    <w:basedOn w:val="Normal"/>
    <w:rsid w:val="00396D9A"/>
    <w:pPr>
      <w:spacing w:after="240"/>
      <w:jc w:val="center"/>
    </w:pPr>
  </w:style>
  <w:style w:type="paragraph" w:customStyle="1" w:styleId="AmNumberTabs">
    <w:name w:val="AmNumberTabs"/>
    <w:basedOn w:val="Normal"/>
    <w:rsid w:val="00396D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96D9A"/>
    <w:pPr>
      <w:spacing w:before="720" w:after="240"/>
      <w:jc w:val="center"/>
    </w:pPr>
  </w:style>
  <w:style w:type="paragraph" w:customStyle="1" w:styleId="Titrearticle">
    <w:name w:val="Titre article"/>
    <w:basedOn w:val="Normal"/>
    <w:next w:val="Normal"/>
    <w:rsid w:val="00396D9A"/>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396D9A"/>
    <w:rPr>
      <w:sz w:val="24"/>
      <w:lang w:val="et-EE"/>
    </w:rPr>
  </w:style>
  <w:style w:type="paragraph" w:styleId="BalloonText">
    <w:name w:val="Balloon Text"/>
    <w:basedOn w:val="Normal"/>
    <w:link w:val="BalloonTextChar"/>
    <w:rsid w:val="00E93161"/>
    <w:rPr>
      <w:rFonts w:ascii="Segoe UI" w:hAnsi="Segoe UI" w:cs="Segoe UI"/>
      <w:sz w:val="18"/>
      <w:szCs w:val="18"/>
    </w:rPr>
  </w:style>
  <w:style w:type="character" w:customStyle="1" w:styleId="BalloonTextChar">
    <w:name w:val="Balloon Text Char"/>
    <w:basedOn w:val="DefaultParagraphFont"/>
    <w:link w:val="BalloonText"/>
    <w:rsid w:val="00E93161"/>
    <w:rPr>
      <w:rFonts w:ascii="Segoe UI" w:hAnsi="Segoe UI" w:cs="Segoe UI"/>
      <w:sz w:val="18"/>
      <w:szCs w:val="18"/>
      <w:lang w:val="et-EE"/>
    </w:rPr>
  </w:style>
  <w:style w:type="character" w:styleId="Hyperlink">
    <w:name w:val="Hyperlink"/>
    <w:basedOn w:val="DefaultParagraphFont"/>
    <w:rsid w:val="00D54E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2/2576/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10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2E695-A99A-4B1F-8A3A-58FBA0F13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2294</Words>
  <Characters>17762</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2025-05-08T14:21:00Z</dcterms:created>
  <dcterms:modified xsi:type="dcterms:W3CDTF">2025-05-08T14:21:00Z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A10-0079/2025</vt:lpwstr>
  </property>
  <property fmtid="{D5CDD505-2E9C-101B-9397-08002B2CF9AE}" pid="4" name="&lt;Type&gt;">
    <vt:lpwstr>RR</vt:lpwstr>
  </property>
</Properties>
</file>