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6260" w14:paraId="35F3CD64" w14:textId="77777777" w:rsidTr="0010095E">
        <w:trPr>
          <w:trHeight w:hRule="exact" w:val="1418"/>
        </w:trPr>
        <w:tc>
          <w:tcPr>
            <w:tcW w:w="6804" w:type="dxa"/>
            <w:shd w:val="clear" w:color="auto" w:fill="auto"/>
            <w:vAlign w:val="center"/>
          </w:tcPr>
          <w:p w14:paraId="7C48BA7A" w14:textId="77777777" w:rsidR="00751A4A" w:rsidRPr="000D6260" w:rsidRDefault="008558E2" w:rsidP="0010095E">
            <w:pPr>
              <w:pStyle w:val="EPName"/>
            </w:pPr>
            <w:r w:rsidRPr="000D6260">
              <w:t>Európai Parlament</w:t>
            </w:r>
          </w:p>
          <w:p w14:paraId="0D26D56E" w14:textId="77777777" w:rsidR="00751A4A" w:rsidRPr="000D6260" w:rsidRDefault="005F1B17" w:rsidP="005F1B17">
            <w:pPr>
              <w:pStyle w:val="EPTerm"/>
              <w:rPr>
                <w:rStyle w:val="HideTWBExt"/>
                <w:noProof w:val="0"/>
                <w:vanish w:val="0"/>
                <w:color w:val="auto"/>
              </w:rPr>
            </w:pPr>
            <w:r w:rsidRPr="000D6260">
              <w:t>2024</w:t>
            </w:r>
            <w:r w:rsidR="00817416" w:rsidRPr="000D6260">
              <w:t>-202</w:t>
            </w:r>
            <w:r w:rsidRPr="000D6260">
              <w:t>9</w:t>
            </w:r>
          </w:p>
        </w:tc>
        <w:tc>
          <w:tcPr>
            <w:tcW w:w="2268" w:type="dxa"/>
            <w:shd w:val="clear" w:color="auto" w:fill="auto"/>
          </w:tcPr>
          <w:p w14:paraId="25D6A139" w14:textId="77777777" w:rsidR="00751A4A" w:rsidRPr="000D6260" w:rsidRDefault="00187494" w:rsidP="0010095E">
            <w:pPr>
              <w:pStyle w:val="EPLogo"/>
            </w:pPr>
            <w:r w:rsidRPr="000D6260">
              <w:rPr>
                <w:noProof/>
                <w:lang w:eastAsia="hu-HU"/>
              </w:rPr>
              <w:drawing>
                <wp:inline distT="0" distB="0" distL="0" distR="0" wp14:anchorId="0588A88D" wp14:editId="66B6CA3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1B4C51" w14:textId="77777777" w:rsidR="00D058B8" w:rsidRPr="000D6260" w:rsidRDefault="00D058B8" w:rsidP="004C5D52">
      <w:pPr>
        <w:pStyle w:val="LineTop"/>
      </w:pPr>
    </w:p>
    <w:p w14:paraId="634BBB35" w14:textId="77777777" w:rsidR="00680577" w:rsidRPr="000D6260" w:rsidRDefault="008558E2" w:rsidP="00680577">
      <w:pPr>
        <w:pStyle w:val="EPBodyTA1"/>
      </w:pPr>
      <w:r w:rsidRPr="000D6260">
        <w:t>ELFOGADOTT SZÖVEGEK</w:t>
      </w:r>
    </w:p>
    <w:p w14:paraId="6B59BCCA" w14:textId="77777777" w:rsidR="00D058B8" w:rsidRPr="000D6260" w:rsidRDefault="00D058B8" w:rsidP="00D058B8">
      <w:pPr>
        <w:pStyle w:val="LineBottom"/>
      </w:pPr>
    </w:p>
    <w:p w14:paraId="6CAC77BC" w14:textId="77777777" w:rsidR="008558E2" w:rsidRPr="000D6260" w:rsidRDefault="008558E2" w:rsidP="008558E2">
      <w:pPr>
        <w:pStyle w:val="ATHeading1"/>
      </w:pPr>
      <w:bookmarkStart w:id="0" w:name="TANumber"/>
      <w:r w:rsidRPr="000D6260">
        <w:t>P10_</w:t>
      </w:r>
      <w:proofErr w:type="gramStart"/>
      <w:r w:rsidRPr="000D6260">
        <w:t>TA(</w:t>
      </w:r>
      <w:proofErr w:type="gramEnd"/>
      <w:r w:rsidRPr="000D6260">
        <w:t>2025)</w:t>
      </w:r>
      <w:bookmarkEnd w:id="0"/>
      <w:r w:rsidR="000A37F2" w:rsidRPr="000D6260">
        <w:t>0</w:t>
      </w:r>
      <w:r w:rsidR="000A37F2">
        <w:t>101</w:t>
      </w:r>
    </w:p>
    <w:p w14:paraId="2F7A45EF" w14:textId="77777777" w:rsidR="008558E2" w:rsidRPr="000D6260" w:rsidRDefault="008558E2" w:rsidP="008558E2">
      <w:pPr>
        <w:pStyle w:val="ATHeading2"/>
      </w:pPr>
      <w:bookmarkStart w:id="1" w:name="title"/>
      <w:r w:rsidRPr="000D6260">
        <w:t>A gáztárolás szerepe a téli idényt megelőző gázellátás biztosításában</w:t>
      </w:r>
      <w:bookmarkEnd w:id="1"/>
    </w:p>
    <w:p w14:paraId="00D9A530" w14:textId="77777777" w:rsidR="008558E2" w:rsidRPr="000D6260" w:rsidRDefault="008558E2" w:rsidP="008558E2">
      <w:pPr>
        <w:rPr>
          <w:i/>
          <w:vanish/>
        </w:rPr>
      </w:pPr>
      <w:r w:rsidRPr="000D6260">
        <w:rPr>
          <w:i/>
        </w:rPr>
        <w:fldChar w:fldCharType="begin"/>
      </w:r>
      <w:r w:rsidRPr="000D6260">
        <w:rPr>
          <w:i/>
        </w:rPr>
        <w:instrText xml:space="preserve"> TC"(</w:instrText>
      </w:r>
      <w:bookmarkStart w:id="2" w:name="DocNumber"/>
      <w:r w:rsidRPr="000D6260">
        <w:rPr>
          <w:i/>
        </w:rPr>
        <w:instrText>A10-0079/2025</w:instrText>
      </w:r>
      <w:bookmarkEnd w:id="2"/>
      <w:r w:rsidRPr="000D6260">
        <w:rPr>
          <w:i/>
        </w:rPr>
        <w:instrText xml:space="preserve"> - Előadó: </w:instrText>
      </w:r>
      <w:proofErr w:type="spellStart"/>
      <w:r w:rsidRPr="000D6260">
        <w:rPr>
          <w:i/>
        </w:rPr>
        <w:instrText>Borys</w:instrText>
      </w:r>
      <w:proofErr w:type="spellEnd"/>
      <w:r w:rsidRPr="000D6260">
        <w:rPr>
          <w:i/>
        </w:rPr>
        <w:instrText xml:space="preserve"> </w:instrText>
      </w:r>
      <w:proofErr w:type="spellStart"/>
      <w:r w:rsidRPr="000D6260">
        <w:rPr>
          <w:i/>
        </w:rPr>
        <w:instrText>Budka</w:instrText>
      </w:r>
      <w:proofErr w:type="spellEnd"/>
      <w:r w:rsidRPr="000D6260">
        <w:rPr>
          <w:i/>
        </w:rPr>
        <w:instrText xml:space="preserve">)"\l3 \n&gt; \* MERGEFORMAT </w:instrText>
      </w:r>
      <w:r w:rsidRPr="000D6260">
        <w:rPr>
          <w:i/>
        </w:rPr>
        <w:fldChar w:fldCharType="end"/>
      </w:r>
    </w:p>
    <w:p w14:paraId="38A2E13A" w14:textId="77777777" w:rsidR="008558E2" w:rsidRPr="000D6260" w:rsidRDefault="008558E2" w:rsidP="008558E2">
      <w:pPr>
        <w:rPr>
          <w:vanish/>
        </w:rPr>
      </w:pPr>
      <w:bookmarkStart w:id="3" w:name="Commission"/>
      <w:r w:rsidRPr="000D6260">
        <w:rPr>
          <w:vanish/>
        </w:rPr>
        <w:t>Ipari, Kutatási és Energiaügyi Bizottság</w:t>
      </w:r>
      <w:bookmarkEnd w:id="3"/>
    </w:p>
    <w:p w14:paraId="5BA75027" w14:textId="77777777" w:rsidR="008558E2" w:rsidRPr="000D6260" w:rsidRDefault="008558E2" w:rsidP="008558E2">
      <w:pPr>
        <w:rPr>
          <w:vanish/>
        </w:rPr>
      </w:pPr>
      <w:bookmarkStart w:id="4" w:name="PE"/>
      <w:r w:rsidRPr="000D6260">
        <w:rPr>
          <w:vanish/>
        </w:rPr>
        <w:t>PE772.015</w:t>
      </w:r>
      <w:bookmarkEnd w:id="4"/>
    </w:p>
    <w:p w14:paraId="3CBAC48E" w14:textId="77777777" w:rsidR="008558E2" w:rsidRPr="000D6260" w:rsidRDefault="008558E2" w:rsidP="008558E2">
      <w:pPr>
        <w:pStyle w:val="ATHeading3"/>
      </w:pPr>
      <w:bookmarkStart w:id="5" w:name="Sujet"/>
      <w:r w:rsidRPr="000D6260">
        <w:t xml:space="preserve">Az Európai Parlament 2025. </w:t>
      </w:r>
      <w:r w:rsidR="002923E4">
        <w:t>május</w:t>
      </w:r>
      <w:r w:rsidRPr="000D6260">
        <w:t xml:space="preserve"> </w:t>
      </w:r>
      <w:r w:rsidR="002923E4">
        <w:t>8-</w:t>
      </w:r>
      <w:r w:rsidR="00283995">
        <w:t>án elfogadott módosításai</w:t>
      </w:r>
      <w:r w:rsidRPr="000D6260">
        <w:t xml:space="preserve"> az (EU) 2017/1938 rendeletnek a gáztárolásnak a téli idényt megelőző gázellátás biztosításában betöltött szerepe tekintetében történő módosításáról szóló európai parlamenti és tanácsi rendeletre irányuló javaslat</w:t>
      </w:r>
      <w:r w:rsidR="00283995">
        <w:t>hoz</w:t>
      </w:r>
      <w:bookmarkEnd w:id="5"/>
      <w:r w:rsidRPr="000D6260">
        <w:t xml:space="preserve"> </w:t>
      </w:r>
      <w:bookmarkStart w:id="6" w:name="References"/>
      <w:r w:rsidRPr="000D6260">
        <w:t>(</w:t>
      </w:r>
      <w:proofErr w:type="gramStart"/>
      <w:r w:rsidRPr="000D6260">
        <w:t>COM(</w:t>
      </w:r>
      <w:proofErr w:type="gramEnd"/>
      <w:r w:rsidRPr="000D6260">
        <w:t>2025)0099 – C10-0041/2025 – 2025/0051(COD))</w:t>
      </w:r>
      <w:bookmarkEnd w:id="6"/>
      <w:r w:rsidR="00283995" w:rsidRPr="00B5509B">
        <w:rPr>
          <w:rStyle w:val="FootnoteReference"/>
          <w:szCs w:val="24"/>
        </w:rPr>
        <w:footnoteReference w:id="1"/>
      </w:r>
    </w:p>
    <w:p w14:paraId="64135400" w14:textId="77777777" w:rsidR="00BE56AA" w:rsidRPr="000D6260" w:rsidRDefault="00BE56AA" w:rsidP="00BE56AA">
      <w:pPr>
        <w:pStyle w:val="NormalBold"/>
      </w:pPr>
      <w:bookmarkStart w:id="7" w:name="TextBodyBegin"/>
      <w:bookmarkEnd w:id="7"/>
      <w:r w:rsidRPr="000D6260">
        <w:t>(Rendes jogalkotási eljárás: első olvasat)</w:t>
      </w:r>
    </w:p>
    <w:p w14:paraId="548A6ABA" w14:textId="77777777" w:rsidR="00283995" w:rsidRDefault="00283995">
      <w:pPr>
        <w:widowControl/>
      </w:pPr>
    </w:p>
    <w:p w14:paraId="5D2D3C88" w14:textId="77777777" w:rsidR="00BE56AA" w:rsidRPr="000D6260" w:rsidRDefault="00C05C4A" w:rsidP="00BE56AA">
      <w:pPr>
        <w:pStyle w:val="AmNumberTabs"/>
        <w:keepNext/>
      </w:pPr>
      <w:r>
        <w:t>[</w:t>
      </w:r>
      <w:r w:rsidR="00BE56AA" w:rsidRPr="000D6260">
        <w:t>Módosítás</w:t>
      </w:r>
      <w:r w:rsidR="00BE56AA" w:rsidRPr="000D6260">
        <w:tab/>
      </w:r>
      <w:r w:rsidR="00BE56AA" w:rsidRPr="000D6260">
        <w:tab/>
        <w:t>1</w:t>
      </w:r>
      <w:r>
        <w:t xml:space="preserve">, </w:t>
      </w:r>
      <w:r w:rsidRPr="00C05C4A">
        <w:t>eltérő utalás hiányában</w:t>
      </w:r>
      <w:r>
        <w:t>]</w:t>
      </w:r>
    </w:p>
    <w:p w14:paraId="2B781AE1" w14:textId="77777777" w:rsidR="00BE56AA" w:rsidRPr="000D6260" w:rsidRDefault="00BE56AA" w:rsidP="00BE56AA">
      <w:pPr>
        <w:pStyle w:val="AmHeadingConsam"/>
      </w:pPr>
      <w:r w:rsidRPr="000D6260">
        <w:t>AZ EURÓPAI PARLAMENT MÓDOSÍTÁSAI</w:t>
      </w:r>
      <w:r w:rsidRPr="000D6260">
        <w:rPr>
          <w:rStyle w:val="FootnoteReference"/>
        </w:rPr>
        <w:footnoteReference w:customMarkFollows="1" w:id="2"/>
        <w:t>*</w:t>
      </w:r>
    </w:p>
    <w:p w14:paraId="39ABEBAD" w14:textId="77777777" w:rsidR="00BE56AA" w:rsidRPr="000D6260" w:rsidRDefault="00BE56AA" w:rsidP="00BE56AA">
      <w:pPr>
        <w:pStyle w:val="NormalCenter12a"/>
      </w:pPr>
      <w:r w:rsidRPr="000D6260">
        <w:t>a Bizottság javaslatához</w:t>
      </w:r>
    </w:p>
    <w:p w14:paraId="137D1FB2" w14:textId="77777777" w:rsidR="00BE56AA" w:rsidRPr="000D6260" w:rsidRDefault="00BE56AA" w:rsidP="00BE56AA">
      <w:pPr>
        <w:pStyle w:val="NormalCenter12a"/>
      </w:pPr>
      <w:r w:rsidRPr="000D6260">
        <w:t>---------------------------------------------------------</w:t>
      </w:r>
    </w:p>
    <w:p w14:paraId="4235ACF5" w14:textId="77777777" w:rsidR="00BE56AA" w:rsidRPr="000D6260" w:rsidRDefault="00BE56AA" w:rsidP="00BE56AA">
      <w:pPr>
        <w:pStyle w:val="NormalCenter12a"/>
      </w:pPr>
    </w:p>
    <w:p w14:paraId="2038FCCF" w14:textId="77777777" w:rsidR="00BE56AA" w:rsidRPr="000D6260" w:rsidRDefault="00BE56AA" w:rsidP="00BE56AA">
      <w:pPr>
        <w:pStyle w:val="NormalCenter12a"/>
        <w:rPr>
          <w:b/>
        </w:rPr>
      </w:pPr>
      <w:r w:rsidRPr="000D6260">
        <w:rPr>
          <w:b/>
        </w:rPr>
        <w:t>AZ EURÓPAI PARLAMENT ÉS A TANÁCS RENDELETE</w:t>
      </w:r>
    </w:p>
    <w:p w14:paraId="454767D1" w14:textId="77777777" w:rsidR="00BE56AA" w:rsidRPr="000D6260" w:rsidRDefault="00BE56AA" w:rsidP="00BE56AA">
      <w:pPr>
        <w:pStyle w:val="NormalCenter12a"/>
      </w:pPr>
      <w:r w:rsidRPr="000D6260">
        <w:rPr>
          <w:b/>
        </w:rPr>
        <w:t>az (EU) 2017/1938 rendeletnek a gáztárolásnak a téli idényt megelőző gázellátás biztosításában betöltött szerepe tekintetében történő módosításáról</w:t>
      </w:r>
    </w:p>
    <w:p w14:paraId="5F6695DD" w14:textId="77777777" w:rsidR="00BE56AA" w:rsidRPr="000D6260" w:rsidRDefault="00BE56AA" w:rsidP="002923E4">
      <w:pPr>
        <w:pStyle w:val="NormalCenter12a"/>
        <w:spacing w:before="600"/>
        <w:jc w:val="left"/>
      </w:pPr>
      <w:r w:rsidRPr="000D6260">
        <w:t>AZ EURÓPAI PARLAMENT ÉS AZ EURÓPAI UNIÓ TANÁCSA,</w:t>
      </w:r>
    </w:p>
    <w:p w14:paraId="7D90306C" w14:textId="77777777" w:rsidR="00BE56AA" w:rsidRPr="000D6260" w:rsidRDefault="00BE56AA" w:rsidP="002923E4">
      <w:pPr>
        <w:pStyle w:val="NormalCenter12a"/>
        <w:spacing w:before="120" w:after="120" w:line="360" w:lineRule="auto"/>
        <w:jc w:val="left"/>
      </w:pPr>
      <w:r w:rsidRPr="000D6260">
        <w:t>tekintettel az Európai Unió működéséről szóló szerződésre és különösen annak 194. cikke (2) bekezdésére,</w:t>
      </w:r>
    </w:p>
    <w:p w14:paraId="1F9EAA14" w14:textId="77777777" w:rsidR="00BE56AA" w:rsidRPr="000D6260" w:rsidRDefault="00BE56AA" w:rsidP="002923E4">
      <w:pPr>
        <w:pStyle w:val="NormalCenter12a"/>
        <w:spacing w:before="120" w:after="120" w:line="360" w:lineRule="auto"/>
        <w:jc w:val="left"/>
      </w:pPr>
      <w:r w:rsidRPr="000D6260">
        <w:lastRenderedPageBreak/>
        <w:t>tekintettel az Európai Bizottság javaslatára,</w:t>
      </w:r>
    </w:p>
    <w:p w14:paraId="24EF8B12" w14:textId="77777777" w:rsidR="00BE56AA" w:rsidRPr="000D6260" w:rsidRDefault="00BE56AA" w:rsidP="002923E4">
      <w:pPr>
        <w:pStyle w:val="NormalCenter12a"/>
        <w:spacing w:before="120" w:after="120" w:line="360" w:lineRule="auto"/>
        <w:jc w:val="left"/>
      </w:pPr>
      <w:r w:rsidRPr="000D6260">
        <w:t>a jogalkotási aktus tervezete nemzeti parlamenteknek való megküldését követően,</w:t>
      </w:r>
    </w:p>
    <w:p w14:paraId="14B70829" w14:textId="77777777" w:rsidR="00BE56AA" w:rsidRPr="000D6260" w:rsidRDefault="00BE56AA" w:rsidP="002923E4">
      <w:pPr>
        <w:pStyle w:val="NormalCenter12a"/>
        <w:spacing w:before="120" w:after="120" w:line="360" w:lineRule="auto"/>
        <w:jc w:val="left"/>
      </w:pPr>
      <w:r w:rsidRPr="000D6260">
        <w:t>rendes jogalkotási eljárás keretében,</w:t>
      </w:r>
    </w:p>
    <w:p w14:paraId="4CC0BF78" w14:textId="77777777" w:rsidR="00BE56AA" w:rsidRPr="000D6260" w:rsidRDefault="00BE56AA" w:rsidP="002923E4">
      <w:pPr>
        <w:pStyle w:val="NormalCenter12a"/>
        <w:spacing w:before="120" w:after="120" w:line="360" w:lineRule="auto"/>
        <w:jc w:val="left"/>
      </w:pPr>
      <w:r w:rsidRPr="000D6260">
        <w:t>mivel:</w:t>
      </w:r>
    </w:p>
    <w:p w14:paraId="197E4FBD" w14:textId="77777777" w:rsidR="00BE56AA" w:rsidRDefault="00BE56AA" w:rsidP="002923E4">
      <w:pPr>
        <w:pStyle w:val="NormalHanging12a"/>
        <w:spacing w:before="120" w:after="120" w:line="360" w:lineRule="auto"/>
        <w:ind w:left="851" w:hanging="851"/>
      </w:pPr>
      <w:r w:rsidRPr="000D6260">
        <w:t>(1)</w:t>
      </w:r>
      <w:r w:rsidRPr="000D6260">
        <w:tab/>
        <w:t>Az (EU) 2022/1032 európai parlamenti és tanácsi rendeletet</w:t>
      </w:r>
      <w:r w:rsidRPr="000D6260">
        <w:rPr>
          <w:vertAlign w:val="superscript"/>
        </w:rPr>
        <w:footnoteReference w:id="3"/>
      </w:r>
      <w:r w:rsidRPr="000D6260">
        <w:t xml:space="preserve"> az Ukrajnával szemben </w:t>
      </w:r>
      <w:r w:rsidRPr="000D6260">
        <w:rPr>
          <w:b/>
          <w:i/>
        </w:rPr>
        <w:t>provokáció nélkül indított, indokolatlan,</w:t>
      </w:r>
      <w:r w:rsidRPr="000D6260">
        <w:t xml:space="preserve"> 2022 februárja óta tartó orosz </w:t>
      </w:r>
      <w:r w:rsidRPr="000D6260">
        <w:rPr>
          <w:b/>
          <w:i/>
        </w:rPr>
        <w:t>agressziós háború</w:t>
      </w:r>
      <w:r w:rsidRPr="000D6260">
        <w:t xml:space="preserve"> eszkalálódása által okozott gázellátási válságra és példátlan áremelkedésekre válaszul fogadták el, ami arra késztette az Uniót, hogy összehangolt és átfogó módon lépjen fel a további gázellátási zavarokból eredő potenciális kockázatok elkerülése érdekében.</w:t>
      </w:r>
    </w:p>
    <w:p w14:paraId="1DC5C3C7" w14:textId="77777777" w:rsidR="00283995" w:rsidRPr="00C05C4A" w:rsidRDefault="00283995" w:rsidP="002923E4">
      <w:pPr>
        <w:pStyle w:val="NormalHanging12a"/>
        <w:spacing w:before="120" w:after="120" w:line="360" w:lineRule="auto"/>
        <w:ind w:left="851" w:hanging="851"/>
        <w:rPr>
          <w:b/>
          <w:szCs w:val="24"/>
        </w:rPr>
      </w:pPr>
      <w:r>
        <w:rPr>
          <w:b/>
          <w:i/>
        </w:rPr>
        <w:t>(1</w:t>
      </w:r>
      <w:r w:rsidRPr="006C268D">
        <w:rPr>
          <w:b/>
          <w:i/>
        </w:rPr>
        <w:t>a)</w:t>
      </w:r>
      <w:r w:rsidRPr="006C268D">
        <w:tab/>
      </w:r>
      <w:r w:rsidRPr="006C268D">
        <w:rPr>
          <w:b/>
          <w:i/>
        </w:rPr>
        <w:t xml:space="preserve">Tekintettel az Oroszország által Ukrajna ellen folytatott háborúra, valamint az Unió azon stratégiai vállalásával összhangban, hogy véget vet az orosz fosszilis tüzelőanyagoktól való függőségének, a tagállamoknak tartózkodniuk kell az orosz eredetű gáz tárolásától. Ezzel összefüggésben az Uniónak összehangolt és azonnali szankciókat kell alkalmaznia valamennyi orosz gáz – többek között a cseppfolyósított földgáz (LNG) – behozatalára és beszerzésére vonatkozóan. Az ENTSO-G 2024–2025-es téli idényre vonatkozó ellátási előrejelzései megerősítik, hogy az Unió intézkedések kombinációjának – többek között a folyamatos keresletcsökkentésnek – a végrehajtásával el tudja érni tárolási céljait és fenn tudja tartani az ellátás biztonságát anélkül, hogy az orosz gázra támaszkodna. Az orosz gázra vonatkozó teljes embargó ezért egyaránt szükséges és megvalósítható, és gyors végrehajtása hozzájárulna az Unió energiaszuverenitásának és geopolitikai </w:t>
      </w:r>
      <w:proofErr w:type="spellStart"/>
      <w:r w:rsidRPr="006C268D">
        <w:rPr>
          <w:b/>
          <w:i/>
        </w:rPr>
        <w:t>rezilienciájának</w:t>
      </w:r>
      <w:proofErr w:type="spellEnd"/>
      <w:r w:rsidRPr="006C268D">
        <w:rPr>
          <w:b/>
          <w:i/>
        </w:rPr>
        <w:t xml:space="preserve"> megerősítéséhez.</w:t>
      </w:r>
      <w:r w:rsidR="00C05C4A">
        <w:rPr>
          <w:b/>
          <w:i/>
        </w:rPr>
        <w:t xml:space="preserve"> </w:t>
      </w:r>
      <w:r w:rsidR="00C05C4A" w:rsidRPr="00C05C4A">
        <w:rPr>
          <w:b/>
          <w:i/>
        </w:rPr>
        <w:t>eltérő utalás hiányában</w:t>
      </w:r>
      <w:r w:rsidR="00C05C4A">
        <w:rPr>
          <w:b/>
          <w:i/>
        </w:rPr>
        <w:t xml:space="preserve">. </w:t>
      </w:r>
      <w:r w:rsidR="00C05C4A">
        <w:rPr>
          <w:b/>
        </w:rPr>
        <w:t>[Mód. 7]</w:t>
      </w:r>
    </w:p>
    <w:p w14:paraId="46F47306" w14:textId="77777777" w:rsidR="00BE56AA" w:rsidRPr="000D6260" w:rsidRDefault="00BE56AA" w:rsidP="002923E4">
      <w:pPr>
        <w:pStyle w:val="NormalCenter12a"/>
        <w:spacing w:before="120" w:after="120" w:line="360" w:lineRule="auto"/>
        <w:ind w:left="851" w:hanging="851"/>
        <w:jc w:val="left"/>
      </w:pPr>
      <w:r w:rsidRPr="000D6260">
        <w:t>(2)</w:t>
      </w:r>
      <w:r w:rsidRPr="000D6260">
        <w:tab/>
        <w:t>Az (EU) 2022/1032 rendelet módosította az (EU) 2017/1938 rendeletet azáltal, hogy ideiglenes jogi keretet vezetett be a föld alatti gáztárolók feltöltési szintjére vonatkozó intézkedések tekintetében az uniós gázellátás biztonságának megerősítése érdekében, különös tekintettel a védett felhasználók gázellátására.</w:t>
      </w:r>
    </w:p>
    <w:p w14:paraId="2AED7CD4" w14:textId="77777777" w:rsidR="00BE56AA" w:rsidRPr="000D6260" w:rsidRDefault="00BE56AA" w:rsidP="002923E4">
      <w:pPr>
        <w:pStyle w:val="NormalHanging12a"/>
        <w:spacing w:before="120" w:after="120" w:line="360" w:lineRule="auto"/>
        <w:ind w:left="851" w:hanging="851"/>
        <w:rPr>
          <w:szCs w:val="24"/>
        </w:rPr>
      </w:pPr>
      <w:r w:rsidRPr="000D6260">
        <w:t>(3)</w:t>
      </w:r>
      <w:r w:rsidRPr="000D6260">
        <w:tab/>
        <w:t xml:space="preserve">A téli hónapokban a gáztároló létesítmények az Unió gázfogyasztásának 30 %-át </w:t>
      </w:r>
      <w:r w:rsidRPr="000D6260">
        <w:lastRenderedPageBreak/>
        <w:t xml:space="preserve">biztosítják, és a jól feltöltött föld alatti gáztároló létesítmények </w:t>
      </w:r>
      <w:r w:rsidRPr="000D6260">
        <w:rPr>
          <w:b/>
          <w:i/>
        </w:rPr>
        <w:t>a gáz iránti kereslet csökkentésével együtt</w:t>
      </w:r>
      <w:r w:rsidRPr="000D6260">
        <w:t xml:space="preserve"> jelentős mértékben hozzájárulnak a gázellátás biztonságához azáltal, hogy magas kereslet vagy ellátási zavarok esetén további gázmennyiséget biztosítanak.</w:t>
      </w:r>
    </w:p>
    <w:p w14:paraId="73DAAE13" w14:textId="77777777" w:rsidR="00BE56AA" w:rsidRPr="000D6260" w:rsidRDefault="00BE56AA" w:rsidP="002923E4">
      <w:pPr>
        <w:pStyle w:val="NormalHanging12a"/>
        <w:spacing w:before="120" w:after="120" w:line="360" w:lineRule="auto"/>
        <w:ind w:left="851" w:hanging="851"/>
        <w:rPr>
          <w:szCs w:val="24"/>
        </w:rPr>
      </w:pPr>
      <w:r w:rsidRPr="000D6260">
        <w:t>(4)</w:t>
      </w:r>
      <w:r w:rsidRPr="000D6260">
        <w:tab/>
        <w:t xml:space="preserve">Az amiatt kialakult energiaválság </w:t>
      </w:r>
      <w:r w:rsidRPr="000D6260">
        <w:rPr>
          <w:b/>
          <w:i/>
        </w:rPr>
        <w:t>során</w:t>
      </w:r>
      <w:r w:rsidRPr="000D6260">
        <w:t xml:space="preserve">, hogy </w:t>
      </w:r>
      <w:r w:rsidRPr="000D6260">
        <w:rPr>
          <w:b/>
          <w:i/>
        </w:rPr>
        <w:t>Oroszország agressziós háborút indított Ukrajna ellen, és</w:t>
      </w:r>
      <w:r w:rsidRPr="000D6260">
        <w:t xml:space="preserve"> fegyverként használja az általa biztosított gázellátást, alapvető fontosságúnak bizonyult a gáztárolók 90 %-os feltöltöttségének november 1-jéig történő biztosítására vonatkozó kötelező érvényű célkitűzés (feltöltési célérték), valamint a </w:t>
      </w:r>
      <w:r w:rsidRPr="000D6260">
        <w:rPr>
          <w:b/>
          <w:i/>
        </w:rPr>
        <w:t>következő</w:t>
      </w:r>
      <w:r w:rsidRPr="000D6260">
        <w:t xml:space="preserve"> év ▌februárjára, májusára, júliusára és szeptemberére az egyes tagállamokra vonatkozó köztes célértékek (feltöltési ütemterv) meghatározása annak érdekében, hogy: i. a gázellátási hiányok átvészelhetők legyenek; és ii. csökkenthetőek legyenek a piaci bizonytalanságok, valamint az </w:t>
      </w:r>
      <w:proofErr w:type="spellStart"/>
      <w:r w:rsidRPr="000D6260">
        <w:t>áringadozás</w:t>
      </w:r>
      <w:proofErr w:type="spellEnd"/>
      <w:r w:rsidRPr="000D6260">
        <w:t>.</w:t>
      </w:r>
    </w:p>
    <w:p w14:paraId="2754FFAC" w14:textId="77777777" w:rsidR="00BE56AA" w:rsidRPr="000D6260" w:rsidRDefault="00BE56AA" w:rsidP="002923E4">
      <w:pPr>
        <w:pStyle w:val="NormalHanging12a"/>
        <w:spacing w:before="120" w:after="120" w:line="360" w:lineRule="auto"/>
        <w:ind w:left="851" w:hanging="851"/>
        <w:rPr>
          <w:szCs w:val="24"/>
        </w:rPr>
      </w:pPr>
      <w:r w:rsidRPr="000D6260">
        <w:t>(5)</w:t>
      </w:r>
      <w:r w:rsidRPr="000D6260">
        <w:tab/>
        <w:t xml:space="preserve">Annak ellenére, hogy a gázpiaci helyzet jelentősen javult a 2022–2023-as </w:t>
      </w:r>
      <w:r w:rsidRPr="000D6260">
        <w:rPr>
          <w:b/>
          <w:i/>
        </w:rPr>
        <w:t>időszakhoz</w:t>
      </w:r>
      <w:r w:rsidRPr="000D6260">
        <w:t xml:space="preserve"> képest ▌, az európai gázpiac továbbra is szűkös</w:t>
      </w:r>
      <w:r w:rsidRPr="000D6260">
        <w:rPr>
          <w:b/>
          <w:i/>
        </w:rPr>
        <w:t>, a geopolitikai helyzet pedig továbbra sem világos</w:t>
      </w:r>
      <w:r w:rsidRPr="000D6260">
        <w:t>.</w:t>
      </w:r>
      <w:r w:rsidRPr="000D6260">
        <w:rPr>
          <w:b/>
          <w:i/>
        </w:rPr>
        <w:t xml:space="preserve"> </w:t>
      </w:r>
      <w:r w:rsidRPr="000D6260">
        <w:t xml:space="preserve">A globális LNG-ellátásért folytatott intenzívebb verseny növelheti a tagállamok </w:t>
      </w:r>
      <w:proofErr w:type="spellStart"/>
      <w:r w:rsidRPr="000D6260">
        <w:t>áringadozásnak</w:t>
      </w:r>
      <w:proofErr w:type="spellEnd"/>
      <w:r w:rsidRPr="000D6260">
        <w:t xml:space="preserve"> való kitettségét. ▌Egy ilyen helyzetben a gáztárolók szerepe továbbra is kiemelkedő fontosságú. ▌</w:t>
      </w:r>
    </w:p>
    <w:p w14:paraId="02E12B33" w14:textId="77777777" w:rsidR="00BE56AA" w:rsidRPr="000D6260" w:rsidRDefault="00BE56AA" w:rsidP="002923E4">
      <w:pPr>
        <w:pStyle w:val="NormalCenter12a"/>
        <w:spacing w:before="120" w:after="120" w:line="360" w:lineRule="auto"/>
        <w:ind w:left="851" w:hanging="851"/>
        <w:jc w:val="left"/>
      </w:pPr>
      <w:r w:rsidRPr="000D6260">
        <w:t>(6)</w:t>
      </w:r>
      <w:r w:rsidRPr="000D6260">
        <w:tab/>
        <w:t>Az (EU) 2017/1938 rendelet által előírt azon kötelezettség, mely szerint a tagállamoknak egy éves feltöltési ütemtervet kell követniük, és biztosítaniuk kell, hogy a feltöltési célérték minden év november 1-jéig teljesüljön, 2025. december 31-én megszűnik.</w:t>
      </w:r>
    </w:p>
    <w:p w14:paraId="13430278" w14:textId="77777777" w:rsidR="00BE56AA" w:rsidRPr="000D6260" w:rsidRDefault="00BE56AA" w:rsidP="002923E4">
      <w:pPr>
        <w:pStyle w:val="NormalHanging12a"/>
        <w:spacing w:before="120" w:after="120" w:line="360" w:lineRule="auto"/>
        <w:ind w:left="851" w:hanging="851"/>
        <w:rPr>
          <w:b/>
          <w:i/>
          <w:szCs w:val="24"/>
        </w:rPr>
      </w:pPr>
      <w:r w:rsidRPr="000D6260">
        <w:rPr>
          <w:b/>
          <w:i/>
        </w:rPr>
        <w:t>(6a)</w:t>
      </w:r>
      <w:r w:rsidRPr="000D6260">
        <w:rPr>
          <w:b/>
          <w:i/>
        </w:rPr>
        <w:tab/>
        <w:t xml:space="preserve">2022 óta az Uniónak jelentős mértékben sikerült biztonságosabbá tennie a gázellátást a megbízható globális partnerektől származó LNG-behozatal növelésével, és célja, hogy a </w:t>
      </w:r>
      <w:proofErr w:type="spellStart"/>
      <w:r w:rsidRPr="000D6260">
        <w:rPr>
          <w:b/>
          <w:i/>
        </w:rPr>
        <w:t>REPowerEU</w:t>
      </w:r>
      <w:proofErr w:type="spellEnd"/>
      <w:r w:rsidRPr="000D6260">
        <w:rPr>
          <w:b/>
          <w:i/>
        </w:rPr>
        <w:t xml:space="preserve"> keretében elért előrehaladásra építve teljes mértékben megszüntesse az Unió orosz fosszilis tüzelőanyagoktól való függőségét. Az Unió új </w:t>
      </w:r>
      <w:proofErr w:type="spellStart"/>
      <w:r w:rsidRPr="000D6260">
        <w:rPr>
          <w:b/>
          <w:i/>
        </w:rPr>
        <w:t>újragázosító</w:t>
      </w:r>
      <w:proofErr w:type="spellEnd"/>
      <w:r w:rsidRPr="000D6260">
        <w:rPr>
          <w:b/>
          <w:i/>
        </w:rPr>
        <w:t xml:space="preserve"> létesítményeket és kikötői terminálokat fejlesztett, ugyanakkor olyan cseppfolyósítottgáz-piacot hozott létre, amely erős </w:t>
      </w:r>
      <w:proofErr w:type="spellStart"/>
      <w:r w:rsidRPr="000D6260">
        <w:rPr>
          <w:b/>
          <w:i/>
        </w:rPr>
        <w:t>rezilienciát</w:t>
      </w:r>
      <w:proofErr w:type="spellEnd"/>
      <w:r w:rsidRPr="000D6260">
        <w:rPr>
          <w:b/>
          <w:i/>
        </w:rPr>
        <w:t xml:space="preserve"> biztosít a fennmaradó orosz csővezetékes ellátás esetleges zavaraival szemben.</w:t>
      </w:r>
    </w:p>
    <w:p w14:paraId="0CC27F41" w14:textId="77777777" w:rsidR="00BE56AA" w:rsidRPr="000D6260" w:rsidRDefault="00BE56AA" w:rsidP="002923E4">
      <w:pPr>
        <w:pStyle w:val="NormalHanging12a"/>
        <w:spacing w:before="120" w:after="120" w:line="360" w:lineRule="auto"/>
        <w:ind w:left="851" w:hanging="851"/>
        <w:rPr>
          <w:b/>
          <w:i/>
          <w:szCs w:val="24"/>
        </w:rPr>
      </w:pPr>
      <w:r w:rsidRPr="000D6260">
        <w:rPr>
          <w:b/>
          <w:i/>
        </w:rPr>
        <w:t>(6b)</w:t>
      </w:r>
      <w:r w:rsidRPr="000D6260">
        <w:rPr>
          <w:b/>
          <w:i/>
        </w:rPr>
        <w:tab/>
        <w:t>A gázszolgáltatók és a gázszállító országok megbízhatósága tekintetében figyelembe kell venni a megváltozott globális politikai környezetet.</w:t>
      </w:r>
    </w:p>
    <w:p w14:paraId="1C9899F0" w14:textId="77777777" w:rsidR="00BE56AA" w:rsidRPr="000D6260" w:rsidRDefault="00BE56AA" w:rsidP="002923E4">
      <w:pPr>
        <w:pStyle w:val="NormalHanging12a"/>
        <w:spacing w:before="120" w:after="120" w:line="360" w:lineRule="auto"/>
        <w:ind w:left="851" w:hanging="851"/>
        <w:rPr>
          <w:szCs w:val="24"/>
        </w:rPr>
      </w:pPr>
      <w:r w:rsidRPr="000D6260">
        <w:lastRenderedPageBreak/>
        <w:t>(7)</w:t>
      </w:r>
      <w:r w:rsidRPr="000D6260">
        <w:tab/>
      </w:r>
      <w:r w:rsidRPr="000D6260">
        <w:rPr>
          <w:b/>
          <w:i/>
        </w:rPr>
        <w:t>Tekintettel arra, hogy Európa sikeresen kockázatmentesítette gázimport-struktúráját, az Unió földgázszükségletének kielégítését szolgáló</w:t>
      </w:r>
      <w:r w:rsidRPr="000D6260">
        <w:t xml:space="preserve"> átfogó keretnek </w:t>
      </w:r>
      <w:r w:rsidRPr="000D6260">
        <w:rPr>
          <w:b/>
          <w:i/>
        </w:rPr>
        <w:t>egyensúlyt kell teremtenie az energiabiztonság és a piaci alapú elvekhez való visszatérés között</w:t>
      </w:r>
      <w:r w:rsidRPr="000D6260">
        <w:t>.</w:t>
      </w:r>
      <w:r w:rsidRPr="000D6260">
        <w:rPr>
          <w:b/>
          <w:i/>
        </w:rPr>
        <w:t xml:space="preserve"> Ennélfogva</w:t>
      </w:r>
      <w:r w:rsidRPr="000D6260">
        <w:t xml:space="preserve"> elég rugalmasnak kell lennie a feltöltési időszakban ahhoz, hogy lehetővé tegye a folyamatosan változó piaci körülményekre való gyors reagálást, és különösen a legjobb beszerzési feltételek kihasználását </w:t>
      </w:r>
      <w:r w:rsidRPr="000D6260">
        <w:rPr>
          <w:b/>
          <w:i/>
        </w:rPr>
        <w:t>annak érdekében, hogy Európában csökkenjenek a gázárak</w:t>
      </w:r>
      <w:r w:rsidRPr="000D6260">
        <w:t xml:space="preserve">. </w:t>
      </w:r>
      <w:r w:rsidRPr="000D6260">
        <w:rPr>
          <w:b/>
          <w:i/>
        </w:rPr>
        <w:t>A feltöltési célértéket ezért 83 %-</w:t>
      </w:r>
      <w:proofErr w:type="spellStart"/>
      <w:r w:rsidRPr="000D6260">
        <w:rPr>
          <w:b/>
          <w:i/>
        </w:rPr>
        <w:t>ra</w:t>
      </w:r>
      <w:proofErr w:type="spellEnd"/>
      <w:r w:rsidRPr="000D6260">
        <w:rPr>
          <w:b/>
          <w:i/>
        </w:rPr>
        <w:t xml:space="preserve"> kell csökkenteni.</w:t>
      </w:r>
    </w:p>
    <w:p w14:paraId="25563DF1" w14:textId="77777777" w:rsidR="00BE56AA" w:rsidRPr="000D6260" w:rsidRDefault="00BE56AA" w:rsidP="002923E4">
      <w:pPr>
        <w:pStyle w:val="NormalHanging12a"/>
        <w:spacing w:before="120" w:after="120" w:line="360" w:lineRule="auto"/>
        <w:ind w:left="851" w:hanging="851"/>
        <w:rPr>
          <w:szCs w:val="24"/>
        </w:rPr>
      </w:pPr>
      <w:r w:rsidRPr="000D6260">
        <w:t>(8)</w:t>
      </w:r>
      <w:r w:rsidRPr="000D6260">
        <w:tab/>
      </w:r>
      <w:r w:rsidRPr="000D6260">
        <w:rPr>
          <w:b/>
          <w:i/>
        </w:rPr>
        <w:t>A piaci stabilitás fokozása és a</w:t>
      </w:r>
      <w:r w:rsidRPr="000D6260">
        <w:t xml:space="preserve"> köztes feltöltési célértékek </w:t>
      </w:r>
      <w:r w:rsidRPr="000D6260">
        <w:rPr>
          <w:b/>
          <w:i/>
        </w:rPr>
        <w:t xml:space="preserve">által esetlegesen kiváltott indokolatlan </w:t>
      </w:r>
      <w:proofErr w:type="spellStart"/>
      <w:r w:rsidRPr="000D6260">
        <w:rPr>
          <w:b/>
          <w:i/>
        </w:rPr>
        <w:t>áringadozás</w:t>
      </w:r>
      <w:proofErr w:type="spellEnd"/>
      <w:r w:rsidRPr="000D6260">
        <w:rPr>
          <w:b/>
          <w:i/>
        </w:rPr>
        <w:t xml:space="preserve"> kockázatának csökkentése érdekében helyénvaló nagyobb rugalmasságot biztosítani a tárolók feltöltése tekintetében</w:t>
      </w:r>
      <w:r w:rsidRPr="000D6260">
        <w:t xml:space="preserve">. A tagállamoknak </w:t>
      </w:r>
      <w:r w:rsidRPr="000D6260">
        <w:rPr>
          <w:b/>
          <w:i/>
        </w:rPr>
        <w:t>ezért évente</w:t>
      </w:r>
      <w:r w:rsidRPr="000D6260">
        <w:t xml:space="preserve"> indikatív</w:t>
      </w:r>
      <w:r w:rsidRPr="000D6260">
        <w:rPr>
          <w:b/>
          <w:i/>
        </w:rPr>
        <w:t xml:space="preserve"> feltöltési terveket kell készíteniük, amelyek adott esetben indikatív feltöltési ütemtervet is tartalmazhatnak</w:t>
      </w:r>
      <w:r w:rsidRPr="000D6260">
        <w:t xml:space="preserve">, ugyanakkor a piaci szereplők számára az év során elegendő rugalmasságot kell biztosítaniuk a tárolók feltöltése tekintetében, </w:t>
      </w:r>
      <w:r w:rsidRPr="000D6260">
        <w:rPr>
          <w:b/>
          <w:i/>
        </w:rPr>
        <w:t>figyelembe véve a (2025)1481 ajánlást</w:t>
      </w:r>
      <w:r w:rsidRPr="000D6260">
        <w:t>.</w:t>
      </w:r>
    </w:p>
    <w:p w14:paraId="78931167" w14:textId="77777777" w:rsidR="00BE56AA" w:rsidRPr="000D6260" w:rsidRDefault="00BE56AA" w:rsidP="002923E4">
      <w:pPr>
        <w:pStyle w:val="NormalHanging12a"/>
        <w:spacing w:before="120" w:after="120" w:line="360" w:lineRule="auto"/>
        <w:ind w:left="851" w:hanging="851"/>
        <w:rPr>
          <w:b/>
          <w:i/>
          <w:szCs w:val="24"/>
        </w:rPr>
      </w:pPr>
      <w:r w:rsidRPr="000D6260">
        <w:rPr>
          <w:b/>
          <w:i/>
        </w:rPr>
        <w:t>(8a)</w:t>
      </w:r>
      <w:r w:rsidRPr="000D6260">
        <w:rPr>
          <w:b/>
          <w:i/>
        </w:rPr>
        <w:tab/>
        <w:t>A tagállamok számára lehetővé kell tenni, hogy legfeljebb négy százalékponttal eltérjenek a feltöltési célértéktől, ha a piaci viszonyok többek között a kereslettel és kínálattal, valamint a versennyel összefüggésben kedvezőtlenül alakulnak, vagy a tárolók költséghatékony feltöltését akadályozó olyan kereskedelmi tevékenységek esetén, amelyek jelentősen korlátozzák a gáztárolók e rendelettel összhangban történő feltöltésének biztosítására való képességet.</w:t>
      </w:r>
    </w:p>
    <w:p w14:paraId="3D0F87DE" w14:textId="77777777" w:rsidR="00BE56AA" w:rsidRPr="000D6260" w:rsidRDefault="00BE56AA" w:rsidP="002923E4">
      <w:pPr>
        <w:pStyle w:val="NormalHanging12a"/>
        <w:spacing w:before="120" w:after="120" w:line="360" w:lineRule="auto"/>
        <w:ind w:left="851" w:hanging="851"/>
        <w:rPr>
          <w:b/>
          <w:i/>
          <w:szCs w:val="24"/>
        </w:rPr>
      </w:pPr>
      <w:r w:rsidRPr="000D6260">
        <w:rPr>
          <w:b/>
          <w:i/>
        </w:rPr>
        <w:t>(8b)</w:t>
      </w:r>
      <w:r w:rsidRPr="000D6260">
        <w:rPr>
          <w:b/>
          <w:i/>
        </w:rPr>
        <w:tab/>
        <w:t>Ezen túlmenően a Bizottságot fel kell hatalmazni arra, hogy felhatalmazáson alapuló jogi aktusokat fogadjon el, amelyekben egy adott feltöltési időszakra módosítja a négy százalékpontos megengedett eltérés mértékét úgy, hogy tartósan kedvezőtlen piaci feltételek esetén legfeljebb további négy százalékponttal növeli azt.</w:t>
      </w:r>
    </w:p>
    <w:p w14:paraId="17DC1569" w14:textId="77777777" w:rsidR="00BE56AA" w:rsidRPr="000D6260" w:rsidRDefault="00BE56AA" w:rsidP="002923E4">
      <w:pPr>
        <w:pStyle w:val="NormalHanging12a"/>
        <w:spacing w:before="120" w:after="120" w:line="360" w:lineRule="auto"/>
        <w:ind w:left="851" w:hanging="851"/>
        <w:rPr>
          <w:b/>
          <w:i/>
          <w:szCs w:val="24"/>
        </w:rPr>
      </w:pPr>
      <w:r w:rsidRPr="000D6260">
        <w:rPr>
          <w:b/>
          <w:i/>
        </w:rPr>
        <w:t>(8c)</w:t>
      </w:r>
      <w:r w:rsidRPr="000D6260">
        <w:rPr>
          <w:b/>
          <w:i/>
        </w:rPr>
        <w:tab/>
        <w:t>Az e rendeletben foglalt rugalmassági mechanizmusok és eltérések kumulatív hatásai nem csökkenthetik 75% alá a tárolók feltöltésére vonatkozó általános kötelezettségeket.</w:t>
      </w:r>
    </w:p>
    <w:p w14:paraId="712E14BD" w14:textId="77777777" w:rsidR="00BE56AA" w:rsidRPr="000D6260" w:rsidRDefault="00BE56AA" w:rsidP="002923E4">
      <w:pPr>
        <w:pStyle w:val="NormalHanging12a"/>
        <w:spacing w:before="120" w:after="120" w:line="360" w:lineRule="auto"/>
        <w:ind w:left="851" w:hanging="851"/>
        <w:rPr>
          <w:szCs w:val="24"/>
        </w:rPr>
      </w:pPr>
      <w:r w:rsidRPr="000D6260">
        <w:t>(9)</w:t>
      </w:r>
      <w:r w:rsidRPr="000D6260">
        <w:tab/>
        <w:t xml:space="preserve">A jelenlegi energiabiztonsági keret bizottsági értékelése megerősítette, hogy a tárolók feltöltésére vonatkozó követelmények pozitív hatást gyakorolnak a gázellátás biztonságára, és ezeket a pozitív hatásokat 2025 után is fenn kell tartani. </w:t>
      </w:r>
      <w:r w:rsidRPr="000D6260">
        <w:rPr>
          <w:b/>
          <w:i/>
        </w:rPr>
        <w:t xml:space="preserve">Ezen </w:t>
      </w:r>
      <w:r w:rsidRPr="000D6260">
        <w:rPr>
          <w:b/>
          <w:i/>
        </w:rPr>
        <w:lastRenderedPageBreak/>
        <w:t>intézkedések kiterjesztése nemcsak az ellátásbiztonság folyamatos védelméhez járulna hozzá, hanem kulcsfontosságú eszközt jelentene az Unió Oroszországi Föderációból származó gázimporttól való függősége megszüntetésére irányuló erőfeszítéseihez is.</w:t>
      </w:r>
    </w:p>
    <w:p w14:paraId="0FDE8E53" w14:textId="77777777" w:rsidR="00BE56AA" w:rsidRPr="000D6260" w:rsidRDefault="00BE56AA" w:rsidP="002923E4">
      <w:pPr>
        <w:pStyle w:val="NormalHanging12a"/>
        <w:spacing w:before="120" w:after="120" w:line="360" w:lineRule="auto"/>
        <w:ind w:left="851" w:hanging="851"/>
        <w:rPr>
          <w:b/>
          <w:i/>
          <w:szCs w:val="24"/>
        </w:rPr>
      </w:pPr>
      <w:r w:rsidRPr="000D6260">
        <w:rPr>
          <w:b/>
          <w:i/>
        </w:rPr>
        <w:t>(9a)</w:t>
      </w:r>
      <w:r w:rsidRPr="000D6260">
        <w:rPr>
          <w:b/>
          <w:i/>
        </w:rPr>
        <w:tab/>
        <w:t xml:space="preserve">Ugyanakkor e rendeletnek reagálnia kell a földgázpiacok jelenlegi és jövőbeli változásaira, hozzá kell járulnia az energiaárak csökkentésére irányuló stratégiai célkitűzéshez, és elő kell segítenie a tárolók </w:t>
      </w:r>
      <w:proofErr w:type="spellStart"/>
      <w:r w:rsidRPr="000D6260">
        <w:rPr>
          <w:b/>
          <w:i/>
        </w:rPr>
        <w:t>újratöltésére</w:t>
      </w:r>
      <w:proofErr w:type="spellEnd"/>
      <w:r w:rsidRPr="000D6260">
        <w:rPr>
          <w:b/>
          <w:i/>
        </w:rPr>
        <w:t xml:space="preserve"> szolgáló piaci alapú mechanizmusokhoz való fokozatos visszatérést.</w:t>
      </w:r>
    </w:p>
    <w:p w14:paraId="6806BCC6" w14:textId="77777777" w:rsidR="00BE56AA" w:rsidRPr="000D6260" w:rsidRDefault="00BE56AA" w:rsidP="002923E4">
      <w:pPr>
        <w:pStyle w:val="NormalHanging12a"/>
        <w:spacing w:before="120" w:after="120" w:line="360" w:lineRule="auto"/>
        <w:ind w:left="851" w:hanging="851"/>
        <w:rPr>
          <w:b/>
          <w:i/>
          <w:szCs w:val="24"/>
        </w:rPr>
      </w:pPr>
      <w:r w:rsidRPr="000D6260">
        <w:rPr>
          <w:b/>
          <w:i/>
        </w:rPr>
        <w:t>(9b)</w:t>
      </w:r>
      <w:r w:rsidRPr="000D6260">
        <w:rPr>
          <w:b/>
          <w:i/>
        </w:rPr>
        <w:tab/>
        <w:t>Az ellátásbiztonság és a megfelelő szintű feltöltés fenntartása érdekében a Bizottságnak folyamatosan figyelemmel kell követnie a piacot, és fel kell tárnia, hogy milyen módon segítheti elő a feltöltési célérték elérését, például keresletösszesítési és közös beszerzési mechanizmusok alkalmazásával.</w:t>
      </w:r>
    </w:p>
    <w:p w14:paraId="6584E1BA" w14:textId="77777777" w:rsidR="00BE56AA" w:rsidRPr="000D6260" w:rsidRDefault="00BE56AA" w:rsidP="002923E4">
      <w:pPr>
        <w:pStyle w:val="NormalHanging12a"/>
        <w:spacing w:before="120" w:after="120" w:line="360" w:lineRule="auto"/>
        <w:ind w:left="851" w:hanging="851"/>
        <w:rPr>
          <w:szCs w:val="24"/>
        </w:rPr>
      </w:pPr>
      <w:r w:rsidRPr="000D6260">
        <w:t>(10)</w:t>
      </w:r>
      <w:r w:rsidRPr="000D6260">
        <w:tab/>
        <w:t>Ezért két évvel meg kell hosszabbítani a gáztárolók feltöltésére vonatkozó azon rendelkezéseket, amelyek Unió-szerte kiszámíthatóságot és átláthatóságot biztosítanak a gáztároló létesítmények használata tekintetében</w:t>
      </w:r>
      <w:r w:rsidRPr="000D6260">
        <w:rPr>
          <w:b/>
          <w:i/>
        </w:rPr>
        <w:t>, ugyanakkor e rendelet előírásait rugalmasabbá is kell tenni</w:t>
      </w:r>
      <w:r w:rsidRPr="000D6260">
        <w:t>.</w:t>
      </w:r>
    </w:p>
    <w:p w14:paraId="35D488B1" w14:textId="77777777" w:rsidR="00BE56AA" w:rsidRPr="000D6260" w:rsidRDefault="00BE56AA" w:rsidP="002923E4">
      <w:pPr>
        <w:pStyle w:val="NormalHanging12a"/>
        <w:spacing w:before="120" w:after="120" w:line="360" w:lineRule="auto"/>
        <w:ind w:left="851" w:hanging="851"/>
        <w:rPr>
          <w:b/>
          <w:i/>
          <w:szCs w:val="24"/>
        </w:rPr>
      </w:pPr>
      <w:r w:rsidRPr="000D6260">
        <w:rPr>
          <w:b/>
          <w:i/>
        </w:rPr>
        <w:t>(10a)</w:t>
      </w:r>
      <w:r w:rsidRPr="000D6260">
        <w:rPr>
          <w:b/>
          <w:i/>
        </w:rPr>
        <w:tab/>
        <w:t>A Bizottságnak a szabályozás javítása és az egyszerűsítés iránti elkötelezettségével összhangban, és tükrözve az Unió energiabiztonsági keretének általános javulását, az e rendeletnek való megfelelés nyomon követése során jobban meg kell bízni a tagállamok adminisztratív kapacitásaiban. Ennek megfelelően csökkenteni kell a Bizottságra háruló felügyeleti terheket, és a jelentéstételi kötelezettségek egyszerűsítése és az egyszerűsített eljárások felé kell elmozdulni. Ez a megközelítés megerősíti a szubszidiaritás elvét, elkerüli a szükségtelenül összetett adminisztrációt, és összhangban van a Bizottság 2025. évi munkaprogramjában felvázolt egyszerűsítési erőfeszítésekkel.</w:t>
      </w:r>
    </w:p>
    <w:p w14:paraId="358CCC43" w14:textId="77777777" w:rsidR="00BE56AA" w:rsidRPr="000D6260" w:rsidRDefault="00BE56AA" w:rsidP="002923E4">
      <w:pPr>
        <w:pStyle w:val="NormalHanging12a"/>
        <w:spacing w:before="120" w:after="120" w:line="360" w:lineRule="auto"/>
        <w:ind w:left="851" w:hanging="851"/>
        <w:rPr>
          <w:b/>
          <w:i/>
          <w:szCs w:val="24"/>
        </w:rPr>
      </w:pPr>
      <w:r w:rsidRPr="000D6260">
        <w:rPr>
          <w:b/>
          <w:i/>
        </w:rPr>
        <w:t>(10b)</w:t>
      </w:r>
      <w:r w:rsidRPr="000D6260">
        <w:rPr>
          <w:b/>
          <w:i/>
        </w:rPr>
        <w:tab/>
        <w:t>A Bizottságnak kellő időben, és még 2027 előtt felül kell vizsgálnia az (EU) 2017/1938 rendeletet annak érdekében, hogy az igazodjon a változó energetikai környezethez, és tükrözze a jövőbeli gáztárolási igényeket. A</w:t>
      </w:r>
      <w:r w:rsidR="00F71F24">
        <w:rPr>
          <w:b/>
          <w:i/>
        </w:rPr>
        <w:t>z esetleges</w:t>
      </w:r>
      <w:r w:rsidRPr="000D6260">
        <w:rPr>
          <w:b/>
          <w:i/>
        </w:rPr>
        <w:t xml:space="preserve"> módosításoknak többek között foglalkozniuk kell a „védett felhasználó” jelenlegi fogalommeghatározásának korlátaival, a gázpiaci spekuláció és az árakat mesterségesen növelő spekulatív tevékenységek megelőzésével, a gázkereslet ellenőrizhető csökkentéséhez vezető energiahatékonysági intézkedések szerepével, </w:t>
      </w:r>
      <w:r w:rsidRPr="000D6260">
        <w:rPr>
          <w:b/>
          <w:i/>
        </w:rPr>
        <w:lastRenderedPageBreak/>
        <w:t xml:space="preserve">valamint azzal, hogy ezt a tagállamok miként használhatnák ki a rugalmasság növelésére; emellett </w:t>
      </w:r>
      <w:r w:rsidR="00F71F24">
        <w:rPr>
          <w:b/>
          <w:i/>
        </w:rPr>
        <w:t xml:space="preserve">meg kell vizsgálniuk a </w:t>
      </w:r>
      <w:r w:rsidR="00F71F24" w:rsidRPr="000D6260">
        <w:rPr>
          <w:b/>
          <w:i/>
        </w:rPr>
        <w:t>változó energiaszerkezet</w:t>
      </w:r>
      <w:r w:rsidR="00F71F24">
        <w:rPr>
          <w:b/>
          <w:i/>
        </w:rPr>
        <w:t>ből adódó keretet – amelyben</w:t>
      </w:r>
      <w:r w:rsidRPr="000D6260">
        <w:rPr>
          <w:b/>
          <w:i/>
        </w:rPr>
        <w:t xml:space="preserve"> nagyobb szerephez jutnak a gáz alternatív forrásai, köztük a megújuló energiaforrások és a hidrogén</w:t>
      </w:r>
      <w:r w:rsidR="00F71F24">
        <w:rPr>
          <w:b/>
          <w:i/>
        </w:rPr>
        <w:t xml:space="preserve"> –, valamint </w:t>
      </w:r>
      <w:r w:rsidR="00F71F24" w:rsidRPr="00F71F24">
        <w:rPr>
          <w:b/>
          <w:i/>
        </w:rPr>
        <w:t>az energiahatékonyság szerep</w:t>
      </w:r>
      <w:r w:rsidR="00F71F24">
        <w:rPr>
          <w:b/>
          <w:i/>
        </w:rPr>
        <w:t>ét</w:t>
      </w:r>
      <w:r w:rsidRPr="000D6260">
        <w:rPr>
          <w:b/>
          <w:i/>
        </w:rPr>
        <w:t>.</w:t>
      </w:r>
    </w:p>
    <w:p w14:paraId="7584F7A2" w14:textId="77777777" w:rsidR="00BE56AA" w:rsidRPr="000D6260" w:rsidRDefault="00BE56AA" w:rsidP="002923E4">
      <w:pPr>
        <w:pStyle w:val="NormalCenter12a"/>
        <w:spacing w:before="120" w:after="120" w:line="360" w:lineRule="auto"/>
        <w:ind w:left="851" w:hanging="851"/>
        <w:jc w:val="left"/>
      </w:pPr>
      <w:r w:rsidRPr="000D6260">
        <w:t>(11)</w:t>
      </w:r>
      <w:r w:rsidRPr="000D6260">
        <w:tab/>
        <w:t>Az (EU) 2017/1938 rendeletet ezért ennek megfelelően módosítani kell,</w:t>
      </w:r>
    </w:p>
    <w:p w14:paraId="091D0521" w14:textId="77777777" w:rsidR="00BE56AA" w:rsidRPr="000D6260" w:rsidRDefault="00BE56AA" w:rsidP="002923E4">
      <w:pPr>
        <w:pStyle w:val="NormalCenter12a"/>
        <w:spacing w:before="120" w:after="120" w:line="360" w:lineRule="auto"/>
        <w:jc w:val="left"/>
      </w:pPr>
      <w:r w:rsidRPr="000D6260">
        <w:t>ELFOGADTA EZT A RENDELETET:</w:t>
      </w:r>
    </w:p>
    <w:p w14:paraId="395A7F75" w14:textId="77777777" w:rsidR="00BE56AA" w:rsidRPr="000A37F2" w:rsidRDefault="00BE56AA" w:rsidP="002923E4">
      <w:pPr>
        <w:pStyle w:val="Titrearticle"/>
        <w:spacing w:before="120" w:line="360" w:lineRule="auto"/>
        <w:rPr>
          <w:bCs/>
          <w:i w:val="0"/>
          <w:noProof/>
        </w:rPr>
      </w:pPr>
      <w:r w:rsidRPr="000A37F2">
        <w:rPr>
          <w:i w:val="0"/>
        </w:rPr>
        <w:t>1. cikk</w:t>
      </w:r>
      <w:r w:rsidR="002923E4" w:rsidRPr="000A37F2">
        <w:rPr>
          <w:i w:val="0"/>
        </w:rPr>
        <w:br/>
      </w:r>
      <w:r w:rsidRPr="000A37F2">
        <w:rPr>
          <w:i w:val="0"/>
        </w:rPr>
        <w:t>Az (EU) 2017/1938 rendelet módosítása</w:t>
      </w:r>
    </w:p>
    <w:p w14:paraId="5FD87562" w14:textId="77777777" w:rsidR="00BE56AA" w:rsidRPr="000D6260" w:rsidRDefault="00BE56AA" w:rsidP="002923E4">
      <w:pPr>
        <w:pStyle w:val="NormalHanging12a"/>
        <w:spacing w:before="120" w:after="120" w:line="360" w:lineRule="auto"/>
        <w:rPr>
          <w:szCs w:val="24"/>
        </w:rPr>
      </w:pPr>
      <w:r w:rsidRPr="000D6260">
        <w:t xml:space="preserve">▌Az (EU) 2017/1938 rendelet </w:t>
      </w:r>
      <w:r w:rsidRPr="000D6260">
        <w:rPr>
          <w:b/>
          <w:i/>
        </w:rPr>
        <w:t>a következőképpen módosul:</w:t>
      </w:r>
    </w:p>
    <w:p w14:paraId="0E1C0E31" w14:textId="77777777" w:rsidR="00BE56AA" w:rsidRPr="000D6260" w:rsidRDefault="00BE56AA" w:rsidP="002923E4">
      <w:pPr>
        <w:pStyle w:val="NormalHanging12a"/>
        <w:spacing w:before="120" w:after="120" w:line="360" w:lineRule="auto"/>
        <w:ind w:left="851" w:hanging="851"/>
        <w:rPr>
          <w:b/>
          <w:i/>
          <w:szCs w:val="24"/>
        </w:rPr>
      </w:pPr>
      <w:r w:rsidRPr="000D6260">
        <w:rPr>
          <w:b/>
          <w:i/>
        </w:rPr>
        <w:t>1.</w:t>
      </w:r>
      <w:r w:rsidRPr="000D6260">
        <w:rPr>
          <w:b/>
          <w:i/>
        </w:rPr>
        <w:tab/>
        <w:t>A 2. cikk 27. pontját el kell hagyni.</w:t>
      </w:r>
    </w:p>
    <w:p w14:paraId="65591C41" w14:textId="77777777" w:rsidR="00BE56AA" w:rsidRPr="000D6260" w:rsidRDefault="00BE56AA" w:rsidP="002923E4">
      <w:pPr>
        <w:pStyle w:val="NormalHanging12a"/>
        <w:spacing w:before="120" w:after="120" w:line="360" w:lineRule="auto"/>
        <w:ind w:left="851" w:hanging="851"/>
        <w:rPr>
          <w:b/>
          <w:i/>
          <w:szCs w:val="24"/>
        </w:rPr>
      </w:pPr>
      <w:r w:rsidRPr="000D6260">
        <w:rPr>
          <w:b/>
          <w:i/>
        </w:rPr>
        <w:t>2.</w:t>
      </w:r>
      <w:r w:rsidRPr="000D6260">
        <w:rPr>
          <w:b/>
          <w:i/>
        </w:rPr>
        <w:tab/>
        <w:t>A 6a. cikk a következőképpen módosul:</w:t>
      </w:r>
    </w:p>
    <w:p w14:paraId="269DDB22" w14:textId="77777777" w:rsidR="00BE56AA" w:rsidRPr="000D6260" w:rsidRDefault="00BE56AA" w:rsidP="002923E4">
      <w:pPr>
        <w:pStyle w:val="NormalHanging12a"/>
        <w:spacing w:before="120" w:after="120" w:line="360" w:lineRule="auto"/>
        <w:ind w:left="1418"/>
        <w:rPr>
          <w:b/>
          <w:i/>
        </w:rPr>
      </w:pPr>
      <w:r w:rsidRPr="000D6260">
        <w:rPr>
          <w:b/>
          <w:i/>
        </w:rPr>
        <w:t>a)</w:t>
      </w:r>
      <w:r w:rsidRPr="000D6260">
        <w:rPr>
          <w:b/>
          <w:i/>
        </w:rPr>
        <w:tab/>
        <w:t>a cím helyébe a következő szöveg lép: „Feltöltési célérték”;</w:t>
      </w:r>
    </w:p>
    <w:p w14:paraId="10EC61F3" w14:textId="77777777" w:rsidR="00BE56AA" w:rsidRPr="000D6260" w:rsidRDefault="00BE56AA" w:rsidP="002923E4">
      <w:pPr>
        <w:pStyle w:val="NormalHanging12a"/>
        <w:spacing w:before="120" w:after="120" w:line="360" w:lineRule="auto"/>
        <w:ind w:left="1418"/>
        <w:rPr>
          <w:b/>
          <w:i/>
        </w:rPr>
      </w:pPr>
      <w:r w:rsidRPr="000D6260">
        <w:rPr>
          <w:b/>
          <w:i/>
        </w:rPr>
        <w:t>b)</w:t>
      </w:r>
      <w:r w:rsidRPr="000D6260">
        <w:rPr>
          <w:b/>
          <w:i/>
        </w:rPr>
        <w:tab/>
        <w:t>az (1) bekezdés első albekezdésének helyébe a következő szöveg lép:</w:t>
      </w:r>
    </w:p>
    <w:p w14:paraId="57765C67" w14:textId="77777777" w:rsidR="00BE56AA" w:rsidRDefault="00BE56AA" w:rsidP="002923E4">
      <w:pPr>
        <w:pStyle w:val="NormalHanging12a"/>
        <w:spacing w:before="120" w:after="120" w:line="360" w:lineRule="auto"/>
        <w:ind w:left="1985"/>
        <w:rPr>
          <w:b/>
          <w:i/>
        </w:rPr>
      </w:pPr>
      <w:r w:rsidRPr="000D6260">
        <w:rPr>
          <w:b/>
          <w:i/>
        </w:rPr>
        <w:t>„(1)</w:t>
      </w:r>
      <w:r w:rsidRPr="000D6260">
        <w:rPr>
          <w:b/>
          <w:i/>
        </w:rPr>
        <w:tab/>
        <w:t>A (</w:t>
      </w:r>
      <w:proofErr w:type="gramStart"/>
      <w:r w:rsidRPr="000D6260">
        <w:rPr>
          <w:b/>
          <w:i/>
        </w:rPr>
        <w:t>2)–</w:t>
      </w:r>
      <w:proofErr w:type="gramEnd"/>
      <w:r w:rsidRPr="000D6260">
        <w:rPr>
          <w:b/>
          <w:i/>
        </w:rPr>
        <w:t xml:space="preserve">(5) bekezdésre figyelemmel a tagállamoknak teljesíteniük kell a területükön található és a területükön lévő piaci területtel közvetlenül összekapcsolt valamennyi föld alatti gáztároló összesített kapacitása, valamint az </w:t>
      </w:r>
      <w:proofErr w:type="spellStart"/>
      <w:r w:rsidRPr="000D6260">
        <w:rPr>
          <w:b/>
          <w:i/>
        </w:rPr>
        <w:t>Ib</w:t>
      </w:r>
      <w:proofErr w:type="spellEnd"/>
      <w:r w:rsidRPr="000D6260">
        <w:rPr>
          <w:b/>
          <w:i/>
        </w:rPr>
        <w:t>. mellékletben felsorolt tárolók tekintetében minden év október 1. és december 1. közötti bármely időpontjában a 83%-os feltöltési célértéket.”;</w:t>
      </w:r>
    </w:p>
    <w:p w14:paraId="72C3ACF0" w14:textId="77777777" w:rsidR="002923E4" w:rsidRPr="00B56FB6" w:rsidRDefault="00C05C4A" w:rsidP="000A37F2">
      <w:pPr>
        <w:pStyle w:val="Normal12a"/>
        <w:ind w:left="1418" w:hanging="567"/>
        <w:rPr>
          <w:b/>
          <w:i/>
        </w:rPr>
      </w:pPr>
      <w:r>
        <w:rPr>
          <w:b/>
          <w:i/>
        </w:rPr>
        <w:t>c</w:t>
      </w:r>
      <w:r w:rsidR="002923E4" w:rsidRPr="00B56FB6">
        <w:rPr>
          <w:b/>
          <w:i/>
        </w:rPr>
        <w:t>)</w:t>
      </w:r>
      <w:r w:rsidR="002923E4" w:rsidRPr="00B56FB6">
        <w:rPr>
          <w:b/>
          <w:i/>
        </w:rPr>
        <w:tab/>
        <w:t>a (2) bekezdés helyébe a következő szöveg lép:</w:t>
      </w:r>
    </w:p>
    <w:p w14:paraId="57CE6501" w14:textId="77777777" w:rsidR="002923E4" w:rsidRPr="000D6260" w:rsidRDefault="002923E4" w:rsidP="002923E4">
      <w:pPr>
        <w:pStyle w:val="NormalHanging12a"/>
        <w:spacing w:before="120" w:after="120" w:line="360" w:lineRule="auto"/>
        <w:ind w:left="1985"/>
        <w:rPr>
          <w:szCs w:val="24"/>
        </w:rPr>
      </w:pPr>
      <w:r>
        <w:rPr>
          <w:b/>
          <w:i/>
        </w:rPr>
        <w:t>„(</w:t>
      </w:r>
      <w:r w:rsidRPr="00B56FB6">
        <w:rPr>
          <w:b/>
          <w:i/>
        </w:rPr>
        <w:t>2</w:t>
      </w:r>
      <w:r>
        <w:rPr>
          <w:b/>
          <w:i/>
        </w:rPr>
        <w:t>)</w:t>
      </w:r>
      <w:r w:rsidRPr="00B56FB6">
        <w:rPr>
          <w:b/>
          <w:i/>
        </w:rPr>
        <w:tab/>
        <w:t>Az (1) bekezdéstől eltérve és más tagállamoknak az érintett föld alatti gáztárolók feltöltésével kapcsolatos kötelezettségeinek sérelme nélkül az azon tagállamokra alkalmazandó feltöltési célértéket, amelyekben a föld alatti gáztárolók találhatók, az adott tagállamban az előző öt év átlagos éves gázfogyasztása 3</w:t>
      </w:r>
      <w:r>
        <w:rPr>
          <w:b/>
          <w:i/>
        </w:rPr>
        <w:t>2,28</w:t>
      </w:r>
      <w:r w:rsidRPr="00B56FB6">
        <w:rPr>
          <w:b/>
          <w:i/>
        </w:rPr>
        <w:t>%-</w:t>
      </w:r>
      <w:proofErr w:type="spellStart"/>
      <w:r w:rsidRPr="00B56FB6">
        <w:rPr>
          <w:b/>
          <w:i/>
        </w:rPr>
        <w:t>ának</w:t>
      </w:r>
      <w:proofErr w:type="spellEnd"/>
      <w:r w:rsidRPr="00B56FB6">
        <w:rPr>
          <w:b/>
          <w:i/>
        </w:rPr>
        <w:t xml:space="preserve"> megfelelő mennyiségre kell csökkenteni.</w:t>
      </w:r>
      <w:r>
        <w:rPr>
          <w:b/>
          <w:i/>
        </w:rPr>
        <w:t>”</w:t>
      </w:r>
      <w:r w:rsidRPr="00B56FB6">
        <w:rPr>
          <w:b/>
          <w:i/>
        </w:rPr>
        <w:t>;</w:t>
      </w:r>
    </w:p>
    <w:p w14:paraId="2405ADE8" w14:textId="77777777" w:rsidR="00BE56AA" w:rsidRPr="000D6260" w:rsidRDefault="00C05C4A" w:rsidP="002923E4">
      <w:pPr>
        <w:pStyle w:val="NormalHanging12a"/>
        <w:spacing w:before="120" w:after="120" w:line="360" w:lineRule="auto"/>
        <w:ind w:left="1418"/>
        <w:rPr>
          <w:b/>
          <w:i/>
        </w:rPr>
      </w:pPr>
      <w:r>
        <w:rPr>
          <w:b/>
          <w:i/>
        </w:rPr>
        <w:t>d</w:t>
      </w:r>
      <w:r w:rsidR="00BE56AA" w:rsidRPr="000D6260">
        <w:rPr>
          <w:b/>
          <w:i/>
        </w:rPr>
        <w:t>)</w:t>
      </w:r>
      <w:r w:rsidR="00BE56AA" w:rsidRPr="000D6260">
        <w:rPr>
          <w:b/>
          <w:i/>
        </w:rPr>
        <w:tab/>
        <w:t>a szöveg a következő bekezdésekkel egészül ki:</w:t>
      </w:r>
    </w:p>
    <w:p w14:paraId="08ED6F42" w14:textId="77777777" w:rsidR="00BE56AA" w:rsidRPr="000D6260" w:rsidRDefault="00BE56AA" w:rsidP="002923E4">
      <w:pPr>
        <w:pStyle w:val="NormalHanging12a"/>
        <w:spacing w:before="120" w:after="120" w:line="360" w:lineRule="auto"/>
        <w:ind w:left="1985"/>
        <w:rPr>
          <w:b/>
          <w:i/>
          <w:szCs w:val="24"/>
        </w:rPr>
      </w:pPr>
      <w:r w:rsidRPr="000D6260">
        <w:rPr>
          <w:b/>
          <w:i/>
        </w:rPr>
        <w:t>„(5a)</w:t>
      </w:r>
      <w:r w:rsidRPr="000D6260">
        <w:rPr>
          <w:b/>
          <w:i/>
        </w:rPr>
        <w:tab/>
        <w:t xml:space="preserve">Az (1) bekezdéstől eltérve, valamint a többi tagállam azon kötelezettségének sérelme nélkül, hogy feltöltsék az érintett föld alatti </w:t>
      </w:r>
      <w:r w:rsidRPr="000D6260">
        <w:rPr>
          <w:b/>
          <w:i/>
        </w:rPr>
        <w:lastRenderedPageBreak/>
        <w:t>gáztárolókat, a tagállamok dönthetnek úgy, hogy legfeljebb négy százalékponttal eltérnek az (1) bekezdésben az egyes tagállamok tekintetében meghatározott feltöltési célértéktől, amennyiben a piaci feltételek kedvezőtlenek a föld alatti gáztárolók feltöltése szempontjából.</w:t>
      </w:r>
    </w:p>
    <w:p w14:paraId="17D1DF84" w14:textId="77777777" w:rsidR="00BE56AA" w:rsidRPr="000D6260" w:rsidRDefault="00BE56AA" w:rsidP="002923E4">
      <w:pPr>
        <w:pStyle w:val="NormalHanging12a"/>
        <w:spacing w:before="120" w:after="120" w:line="360" w:lineRule="auto"/>
        <w:ind w:left="1985"/>
        <w:rPr>
          <w:b/>
          <w:i/>
          <w:szCs w:val="24"/>
        </w:rPr>
      </w:pPr>
      <w:r w:rsidRPr="000D6260">
        <w:rPr>
          <w:b/>
          <w:i/>
        </w:rPr>
        <w:t>(5b)</w:t>
      </w:r>
      <w:r w:rsidRPr="000D6260">
        <w:rPr>
          <w:b/>
          <w:i/>
        </w:rPr>
        <w:tab/>
        <w:t>A tartósan kedvezőtlen piaci feltételek kellően indokolt eseteiben, továbbá feltéve, hogy ez nem veszélyezteti az Unió és a tagállamok biztonsági ellátását, a Bizottság felhatalmazást kap arra, hogy a 19. cikknek megfelelően felhatalmazáson alapuló jogi aktusokat fogadjon el e rendelet oly módon történő módosítása céljából, hogy legfeljebb 4 százalékponttal növelje a tagállamok számára az (5a) bekezdésben meghatározottak szerint engedélyezett eltérést.</w:t>
      </w:r>
    </w:p>
    <w:p w14:paraId="697888B1" w14:textId="77777777" w:rsidR="00BE56AA" w:rsidRPr="000D6260" w:rsidRDefault="00BE56AA" w:rsidP="002923E4">
      <w:pPr>
        <w:pStyle w:val="NormalHanging12a"/>
        <w:spacing w:before="120" w:after="120" w:line="360" w:lineRule="auto"/>
        <w:ind w:left="1985" w:firstLine="0"/>
        <w:rPr>
          <w:b/>
          <w:i/>
          <w:szCs w:val="24"/>
        </w:rPr>
      </w:pPr>
      <w:r w:rsidRPr="000D6260">
        <w:rPr>
          <w:b/>
          <w:i/>
        </w:rPr>
        <w:t>Értékelésében a Bizottság figyelembe veszi különösen a tagállamokban található tárolók feltöltöttségének szintjét, a globális gázkínálatot, az ENTSOG szezonális ellátási előrejelzéseit, valamint a piaci manipuláció jeleit. Figyelembe veheti továbbá a tagállamok intézkedéseit, például olyan gázkereslet-csökkentési intézkedések bevezetését, amelyek a következő kitárolási idényben egyenértékű gázcsökkentést érnek el.</w:t>
      </w:r>
    </w:p>
    <w:p w14:paraId="5020E1EA" w14:textId="77777777" w:rsidR="00BE56AA" w:rsidRPr="000D6260" w:rsidRDefault="00BE56AA" w:rsidP="002923E4">
      <w:pPr>
        <w:pStyle w:val="NormalHanging12a"/>
        <w:spacing w:before="120" w:after="120" w:line="360" w:lineRule="auto"/>
        <w:ind w:left="1985"/>
        <w:rPr>
          <w:b/>
          <w:i/>
          <w:szCs w:val="24"/>
        </w:rPr>
      </w:pPr>
      <w:r w:rsidRPr="000D6260">
        <w:rPr>
          <w:b/>
          <w:i/>
        </w:rPr>
        <w:t>(5c)</w:t>
      </w:r>
      <w:r w:rsidRPr="000D6260">
        <w:rPr>
          <w:b/>
          <w:i/>
        </w:rPr>
        <w:tab/>
        <w:t>A (2) bekezdésben említett tagállamok az (5a) bekezdésben előírtakkal azonos feltételek mellett dönthetnek úgy, hogy a (2) bekezdésben meghatározott mennyiségtől legfeljebb 1,55%-os mértékben eltérnek.</w:t>
      </w:r>
    </w:p>
    <w:p w14:paraId="1887B244" w14:textId="77777777" w:rsidR="00BE56AA" w:rsidRPr="000D6260" w:rsidRDefault="00BE56AA" w:rsidP="002923E4">
      <w:pPr>
        <w:pStyle w:val="NormalHanging12a"/>
        <w:spacing w:before="120" w:after="120" w:line="360" w:lineRule="auto"/>
        <w:ind w:left="1985"/>
        <w:rPr>
          <w:b/>
          <w:i/>
          <w:szCs w:val="24"/>
        </w:rPr>
      </w:pPr>
      <w:r w:rsidRPr="000D6260">
        <w:rPr>
          <w:b/>
          <w:i/>
        </w:rPr>
        <w:t>(5d)</w:t>
      </w:r>
      <w:r w:rsidRPr="000D6260">
        <w:rPr>
          <w:b/>
          <w:i/>
        </w:rPr>
        <w:tab/>
        <w:t xml:space="preserve">Az (5a) és (5c) bekezdésben meghatározott eltérések alkalmazása előtt az egyes tagállamok konzultának a Bizottsággal, és indokolatlan késedelem nélkül megindokolják döntésüket. A Bizottság haladéktalanul tájékoztatja a GCG-t az (5a) és (5c) bekezdés szerinti eltérések kumulatív hatásairól, </w:t>
      </w:r>
      <w:r w:rsidRPr="00F84E91">
        <w:rPr>
          <w:b/>
          <w:i/>
        </w:rPr>
        <w:t>valamint a közvetlenül érintett tagállamokról.”;</w:t>
      </w:r>
    </w:p>
    <w:p w14:paraId="28CE8F88" w14:textId="77777777" w:rsidR="00BE56AA" w:rsidRPr="000D6260" w:rsidRDefault="00C05C4A" w:rsidP="002923E4">
      <w:pPr>
        <w:pStyle w:val="NormalHanging12a"/>
        <w:spacing w:before="120" w:after="120" w:line="360" w:lineRule="auto"/>
        <w:ind w:left="1418"/>
        <w:rPr>
          <w:b/>
          <w:i/>
        </w:rPr>
      </w:pPr>
      <w:r>
        <w:rPr>
          <w:b/>
          <w:i/>
        </w:rPr>
        <w:t>e</w:t>
      </w:r>
      <w:r w:rsidR="00BE56AA" w:rsidRPr="000D6260">
        <w:rPr>
          <w:b/>
          <w:i/>
        </w:rPr>
        <w:t>)</w:t>
      </w:r>
      <w:r w:rsidR="00BE56AA" w:rsidRPr="000D6260">
        <w:rPr>
          <w:b/>
          <w:i/>
        </w:rPr>
        <w:tab/>
        <w:t>a (6) és a (7) bekezdés helyébe a következő szöveg lép:</w:t>
      </w:r>
    </w:p>
    <w:p w14:paraId="17650A0F" w14:textId="77777777" w:rsidR="00BE56AA" w:rsidRPr="000D6260" w:rsidRDefault="00BE56AA" w:rsidP="002923E4">
      <w:pPr>
        <w:pStyle w:val="NormalHanging12a"/>
        <w:spacing w:before="120" w:after="120" w:line="360" w:lineRule="auto"/>
        <w:ind w:left="1985"/>
        <w:rPr>
          <w:szCs w:val="24"/>
        </w:rPr>
      </w:pPr>
      <w:r w:rsidRPr="000D6260">
        <w:rPr>
          <w:b/>
          <w:i/>
        </w:rPr>
        <w:t>„(6)</w:t>
      </w:r>
      <w:r w:rsidRPr="000D6260">
        <w:tab/>
      </w:r>
      <w:r w:rsidRPr="000D6260">
        <w:rPr>
          <w:b/>
          <w:bCs/>
          <w:i/>
          <w:iCs/>
        </w:rPr>
        <w:t>A feltöltési célérték teljesítése érdekében a tagállamok minden szükséges intézkedést megtesznek, és törekednek a (7) bekezdéssel összhangban meghatározott feltöltési terv követésére.</w:t>
      </w:r>
    </w:p>
    <w:p w14:paraId="1A3F9707" w14:textId="77777777" w:rsidR="00BE56AA" w:rsidRPr="000D6260" w:rsidRDefault="00BE56AA" w:rsidP="002923E4">
      <w:pPr>
        <w:pStyle w:val="NormalHanging12a"/>
        <w:spacing w:before="120" w:after="120" w:line="360" w:lineRule="auto"/>
        <w:ind w:left="1985"/>
      </w:pPr>
      <w:r w:rsidRPr="000D6260">
        <w:rPr>
          <w:b/>
          <w:i/>
        </w:rPr>
        <w:lastRenderedPageBreak/>
        <w:t>(7)</w:t>
      </w:r>
      <w:r w:rsidRPr="000D6260">
        <w:tab/>
      </w:r>
      <w:r w:rsidRPr="000D6260">
        <w:rPr>
          <w:b/>
          <w:i/>
        </w:rPr>
        <w:t>A föld alatti gáztárolóval rendelkező tagállamok kellő időben a teljes naptári évre szóló, az (1) bekezdésben meghatározott éves gáztároló-feltöltési célérték elérésére vonatkozó indikatív feltöltési tervet nyújtanak be a Bizottságnak. A terv tartalmazza a tagállam területén található föld alatti gáztárolókra vonatkozó műszaki információkat, és összesített formában közvetlenül kapcsolódik a tagállam piaci területéhez.”;</w:t>
      </w:r>
    </w:p>
    <w:p w14:paraId="14919627" w14:textId="77777777" w:rsidR="00BE56AA" w:rsidRPr="000D6260" w:rsidRDefault="00C05C4A" w:rsidP="002923E4">
      <w:pPr>
        <w:pStyle w:val="NormalHanging12a"/>
        <w:spacing w:before="120" w:after="120" w:line="360" w:lineRule="auto"/>
        <w:ind w:left="1418"/>
        <w:rPr>
          <w:b/>
          <w:i/>
        </w:rPr>
      </w:pPr>
      <w:r>
        <w:rPr>
          <w:b/>
          <w:i/>
        </w:rPr>
        <w:t>f</w:t>
      </w:r>
      <w:r w:rsidR="00BE56AA" w:rsidRPr="000D6260">
        <w:rPr>
          <w:b/>
          <w:i/>
        </w:rPr>
        <w:t>)</w:t>
      </w:r>
      <w:r w:rsidR="00BE56AA" w:rsidRPr="000D6260">
        <w:rPr>
          <w:b/>
          <w:i/>
        </w:rPr>
        <w:tab/>
        <w:t>a (8) bekezdést el kell hagyni;</w:t>
      </w:r>
    </w:p>
    <w:p w14:paraId="303A08E5" w14:textId="77777777" w:rsidR="00BE56AA" w:rsidRPr="000D6260" w:rsidRDefault="00C05C4A" w:rsidP="002923E4">
      <w:pPr>
        <w:pStyle w:val="NormalHanging12a"/>
        <w:spacing w:before="120" w:after="120" w:line="360" w:lineRule="auto"/>
        <w:ind w:left="1418"/>
        <w:rPr>
          <w:b/>
          <w:i/>
        </w:rPr>
      </w:pPr>
      <w:r>
        <w:rPr>
          <w:b/>
          <w:i/>
        </w:rPr>
        <w:t>g</w:t>
      </w:r>
      <w:r w:rsidR="00BE56AA" w:rsidRPr="000D6260">
        <w:rPr>
          <w:b/>
          <w:i/>
        </w:rPr>
        <w:t>)</w:t>
      </w:r>
      <w:r w:rsidR="00BE56AA" w:rsidRPr="000D6260">
        <w:rPr>
          <w:b/>
          <w:i/>
        </w:rPr>
        <w:tab/>
        <w:t>a (10) és a (11) bekezdés helyébe a következő szöveg lép:</w:t>
      </w:r>
    </w:p>
    <w:p w14:paraId="3D7411E8" w14:textId="77777777" w:rsidR="00BE56AA" w:rsidRPr="000D6260" w:rsidRDefault="00BE56AA" w:rsidP="002923E4">
      <w:pPr>
        <w:pStyle w:val="NormalHanging12a"/>
        <w:spacing w:before="120" w:after="120" w:line="360" w:lineRule="auto"/>
        <w:ind w:left="1985"/>
        <w:rPr>
          <w:b/>
          <w:i/>
        </w:rPr>
      </w:pPr>
      <w:r w:rsidRPr="000D6260">
        <w:rPr>
          <w:b/>
          <w:i/>
        </w:rPr>
        <w:t>„(10)</w:t>
      </w:r>
      <w:r w:rsidRPr="000D6260">
        <w:rPr>
          <w:b/>
          <w:i/>
        </w:rPr>
        <w:tab/>
        <w:t>Az egyes tagállamok hatáskörrel rendelkező hatósága folyamatosan figyelemmel kíséri a feltöltési tervben előírt feltöltési célértéknek való megfelelést, és rendszeresen, legalább havonta beszámol a Bizottságnak és a GCG-</w:t>
      </w:r>
      <w:proofErr w:type="spellStart"/>
      <w:r w:rsidRPr="000D6260">
        <w:rPr>
          <w:b/>
          <w:i/>
        </w:rPr>
        <w:t>nek</w:t>
      </w:r>
      <w:proofErr w:type="spellEnd"/>
      <w:r w:rsidRPr="000D6260">
        <w:rPr>
          <w:b/>
          <w:i/>
        </w:rPr>
        <w:t>. Ha a körülmények arra utalnak, hogy a célérték nem teljesíthető, a hatáskörrel rendelkező hatóság haladéktalanul hatékony intézkedéseket hoz a célérték teljesítése érdekében. A tagállamok értesítik a Bizottságot és a GCG-t a meghozott intézkedésekről.</w:t>
      </w:r>
    </w:p>
    <w:p w14:paraId="28DFCD85" w14:textId="77777777" w:rsidR="00BE56AA" w:rsidRPr="000D6260" w:rsidRDefault="00BE56AA" w:rsidP="002923E4">
      <w:pPr>
        <w:pStyle w:val="NormalHanging12a"/>
        <w:spacing w:before="120" w:after="120" w:line="360" w:lineRule="auto"/>
        <w:ind w:left="1985"/>
        <w:rPr>
          <w:b/>
          <w:i/>
          <w:szCs w:val="24"/>
        </w:rPr>
      </w:pPr>
      <w:r w:rsidRPr="000D6260">
        <w:rPr>
          <w:b/>
          <w:i/>
        </w:rPr>
        <w:t>(11)</w:t>
      </w:r>
      <w:r w:rsidRPr="000D6260">
        <w:rPr>
          <w:b/>
          <w:i/>
        </w:rPr>
        <w:tab/>
        <w:t>Abban az esetben, ha valamely tagállam lényegesen és tartósan eltér a feltöltési tervtől, veszélyeztetve ezzel a feltöltési célérték elérését, vagy a feltöltési célértéktől való eltérés esetén a Bizottság – amennyiben ez indokolt – a GCG-vel és az érintett tagállamokkal folytatott konzultációt követően ajánlást ad ki az adott tagállamnak vagy a többi érintett tagállamnak az eltérés orvoslása vagy az ellátás biztonságára gyakorolt hatás minimalizálása érdekében azonnal meghozandó intézkedésekről, figyelembe véve többek között az esetleges kedvezőtlen piaci feltételeket és a tagállamok sajátosságait, például a föld alatti gáztárolók műszaki jellemzőit és méretét a belföldi gázfogyasztáshoz viszonyítva, a kis fűtőértékű gáz tárolására szolgáló föld alatti létesítmények csökkenő jelentőségét a gázellátás biztonsága szempontjából, valamint a meglévő LNG-tárolási kapacitást.</w:t>
      </w:r>
    </w:p>
    <w:p w14:paraId="2CDC31CC" w14:textId="0A264499" w:rsidR="00BE56AA" w:rsidRPr="000D6260" w:rsidRDefault="00BE56AA" w:rsidP="002923E4">
      <w:pPr>
        <w:pStyle w:val="NormalHanging12a"/>
        <w:spacing w:before="120" w:after="120" w:line="360" w:lineRule="auto"/>
        <w:ind w:left="1985"/>
        <w:rPr>
          <w:szCs w:val="24"/>
        </w:rPr>
      </w:pPr>
      <w:r w:rsidRPr="000D6260">
        <w:rPr>
          <w:b/>
          <w:i/>
        </w:rPr>
        <w:t>(11</w:t>
      </w:r>
      <w:r w:rsidR="00881BB1">
        <w:rPr>
          <w:b/>
          <w:i/>
        </w:rPr>
        <w:t xml:space="preserve"> a</w:t>
      </w:r>
      <w:r w:rsidRPr="000D6260">
        <w:rPr>
          <w:b/>
          <w:i/>
        </w:rPr>
        <w:t>)</w:t>
      </w:r>
      <w:r w:rsidRPr="000D6260">
        <w:rPr>
          <w:b/>
          <w:i/>
        </w:rPr>
        <w:tab/>
        <w:t xml:space="preserve">Amennyiben egy tagállam nem teljesíti az (1) bekezdésben meghatározott feltöltési célértéket, és ezáltal veszélyezteti az Unió ellátásbiztonságát, a Bizottság végrehajtási jogi aktust fogad el, </w:t>
      </w:r>
      <w:r w:rsidRPr="000D6260">
        <w:rPr>
          <w:b/>
          <w:i/>
        </w:rPr>
        <w:lastRenderedPageBreak/>
        <w:t>amelyben meghatározza az adott tagállamra vonatkozó feltöltési tervet a követő évre vonatkozóan, az egyes tagállamok által szolgáltatott műszaki információk alapján és a GCG értékelését figyelembe véve. Ezt a végrehajtási jogi aktust a 18a. cikk (2) bekezdésében említett vizsgálóbizottsági eljárás keretében kell elfogadni. A végrehajtási jogi aktusnak a gázellátás biztonságának megőrzése céljából a gázellátás általános biztonsági helyzetének értékelésén, valamint annak értékelésén kell alapulnia, hogy hogyan alakul az Unióban és az egyes tagállamokban a gázkereslet és -kínálat.”</w:t>
      </w:r>
    </w:p>
    <w:p w14:paraId="166F27B8" w14:textId="77777777" w:rsidR="00BE56AA" w:rsidRPr="000D6260" w:rsidRDefault="00BE56AA" w:rsidP="002923E4">
      <w:pPr>
        <w:pStyle w:val="NormalHanging12a"/>
        <w:spacing w:before="120" w:after="120" w:line="360" w:lineRule="auto"/>
        <w:ind w:left="851" w:hanging="851"/>
        <w:rPr>
          <w:b/>
          <w:i/>
          <w:szCs w:val="24"/>
        </w:rPr>
      </w:pPr>
      <w:r w:rsidRPr="000D6260">
        <w:rPr>
          <w:b/>
          <w:i/>
        </w:rPr>
        <w:t>3.</w:t>
      </w:r>
      <w:r w:rsidRPr="000D6260">
        <w:rPr>
          <w:b/>
          <w:i/>
        </w:rPr>
        <w:tab/>
        <w:t>A 6b. cikk a következőképpen módosul:</w:t>
      </w:r>
    </w:p>
    <w:p w14:paraId="415371B2" w14:textId="77777777" w:rsidR="00BE56AA" w:rsidRPr="000D6260" w:rsidRDefault="00BE56AA" w:rsidP="002923E4">
      <w:pPr>
        <w:pStyle w:val="NormalHanging12a"/>
        <w:spacing w:before="120" w:after="120" w:line="360" w:lineRule="auto"/>
        <w:ind w:left="1418"/>
        <w:rPr>
          <w:b/>
          <w:i/>
        </w:rPr>
      </w:pPr>
      <w:r w:rsidRPr="000D6260">
        <w:rPr>
          <w:b/>
          <w:i/>
        </w:rPr>
        <w:t>a)</w:t>
      </w:r>
      <w:r w:rsidRPr="000D6260">
        <w:rPr>
          <w:b/>
          <w:i/>
        </w:rPr>
        <w:tab/>
        <w:t>a cím helyébe a következő szöveg lép: „A feltöltési célérték végrehajtása”;</w:t>
      </w:r>
    </w:p>
    <w:p w14:paraId="393D87D1" w14:textId="77777777" w:rsidR="00BE56AA" w:rsidRPr="000D6260" w:rsidRDefault="00BE56AA" w:rsidP="002923E4">
      <w:pPr>
        <w:pStyle w:val="NormalHanging12a"/>
        <w:spacing w:before="120" w:after="120" w:line="360" w:lineRule="auto"/>
        <w:ind w:left="1418"/>
        <w:rPr>
          <w:b/>
          <w:i/>
        </w:rPr>
      </w:pPr>
      <w:r w:rsidRPr="000D6260">
        <w:rPr>
          <w:b/>
          <w:i/>
        </w:rPr>
        <w:t>b)</w:t>
      </w:r>
      <w:r w:rsidRPr="000D6260">
        <w:rPr>
          <w:b/>
          <w:i/>
        </w:rPr>
        <w:tab/>
        <w:t>az (1) bekezdés első albekezdésének helyébe a következő szöveg lép:</w:t>
      </w:r>
    </w:p>
    <w:p w14:paraId="089021B7" w14:textId="77777777" w:rsidR="00BE56AA" w:rsidRPr="000D6260" w:rsidRDefault="00BE56AA" w:rsidP="002923E4">
      <w:pPr>
        <w:pStyle w:val="NormalHanging12a"/>
        <w:spacing w:before="120" w:after="120" w:line="360" w:lineRule="auto"/>
        <w:ind w:left="1985"/>
        <w:rPr>
          <w:szCs w:val="24"/>
        </w:rPr>
      </w:pPr>
      <w:r w:rsidRPr="000D6260">
        <w:rPr>
          <w:b/>
          <w:i/>
        </w:rPr>
        <w:t>„(1)</w:t>
      </w:r>
      <w:r w:rsidRPr="000D6260">
        <w:rPr>
          <w:b/>
          <w:i/>
        </w:rPr>
        <w:tab/>
        <w:t>A tagállamok meghoznak minden szükséges intézkedést a 6a. cikk alapján meghatározott feltöltési célérték teljesítése érdekében. A feltöltési célérték teljesítésének biztosítása során a tagállamok lehetőség szerint előnyben részesítik a piaci alapú intézkedéseket.”;</w:t>
      </w:r>
    </w:p>
    <w:p w14:paraId="1C6A1338" w14:textId="77777777" w:rsidR="00BE56AA" w:rsidRPr="000D6260" w:rsidRDefault="00BE56AA" w:rsidP="002923E4">
      <w:pPr>
        <w:pStyle w:val="NormalHanging12a"/>
        <w:spacing w:before="120" w:after="120" w:line="360" w:lineRule="auto"/>
        <w:ind w:left="1418"/>
        <w:rPr>
          <w:b/>
          <w:i/>
        </w:rPr>
      </w:pPr>
      <w:r w:rsidRPr="000D6260">
        <w:rPr>
          <w:b/>
          <w:i/>
        </w:rPr>
        <w:t>c)</w:t>
      </w:r>
      <w:r w:rsidRPr="000D6260">
        <w:rPr>
          <w:b/>
          <w:i/>
        </w:rPr>
        <w:tab/>
        <w:t>a (2) bekezdés helyébe a következő szöveg lép:</w:t>
      </w:r>
    </w:p>
    <w:p w14:paraId="2C70057D" w14:textId="77777777" w:rsidR="00BE56AA" w:rsidRPr="000D6260" w:rsidRDefault="00BE56AA" w:rsidP="002923E4">
      <w:pPr>
        <w:pStyle w:val="NormalHanging12a"/>
        <w:spacing w:before="120" w:after="120" w:line="360" w:lineRule="auto"/>
        <w:ind w:left="1985"/>
        <w:rPr>
          <w:szCs w:val="24"/>
        </w:rPr>
      </w:pPr>
      <w:r w:rsidRPr="000D6260">
        <w:rPr>
          <w:b/>
          <w:i/>
        </w:rPr>
        <w:t>„(2)</w:t>
      </w:r>
      <w:r w:rsidRPr="000D6260">
        <w:rPr>
          <w:b/>
          <w:i/>
        </w:rPr>
        <w:tab/>
        <w:t>A tagállamok által az (1) bekezdés alapján hozott intézkedéseknek a feltöltési célérték teljesítéséhez szükséges intézkedésekre kell korlátozódniuk. Az intézkedéseknek egyértelműen meghatározottnak, átláthatónak, arányosnak, megkülönböztetésmentesnek és ellenőrizhetőnek kell lenniük. Nem torzíthatják indokolatlanul a versenyt vagy a belső gázpiac megfelelő működését, nem növelhetik indokolatlanul az energiaköltségeket, és nem veszélyeztethetik más tagállamok vagy az Unió földgázellátásának a biztonságát.</w:t>
      </w:r>
      <w:r w:rsidRPr="000D6260">
        <w:t xml:space="preserve"> </w:t>
      </w:r>
      <w:r w:rsidRPr="000D6260">
        <w:rPr>
          <w:b/>
          <w:i/>
        </w:rPr>
        <w:t>A tagállamok értesítik a Bizottságot és a GCG-t minden ilyen intézkedésről.”</w:t>
      </w:r>
    </w:p>
    <w:p w14:paraId="608F6473" w14:textId="77777777" w:rsidR="00BE56AA" w:rsidRPr="000D6260" w:rsidRDefault="00BE56AA" w:rsidP="002923E4">
      <w:pPr>
        <w:pStyle w:val="NormalHanging12a"/>
        <w:spacing w:before="120" w:after="120" w:line="360" w:lineRule="auto"/>
        <w:ind w:left="851" w:hanging="851"/>
        <w:rPr>
          <w:b/>
          <w:i/>
          <w:szCs w:val="24"/>
        </w:rPr>
      </w:pPr>
      <w:r w:rsidRPr="000D6260">
        <w:rPr>
          <w:b/>
          <w:i/>
        </w:rPr>
        <w:t>4.</w:t>
      </w:r>
      <w:r w:rsidRPr="000D6260">
        <w:rPr>
          <w:b/>
          <w:i/>
        </w:rPr>
        <w:tab/>
        <w:t>A 6c. cikk a következőképpen módosul:</w:t>
      </w:r>
    </w:p>
    <w:p w14:paraId="780D7A06" w14:textId="77777777" w:rsidR="00BE56AA" w:rsidRPr="000D6260" w:rsidRDefault="00BE56AA" w:rsidP="002923E4">
      <w:pPr>
        <w:pStyle w:val="NormalHanging12a"/>
        <w:spacing w:before="120" w:after="120" w:line="360" w:lineRule="auto"/>
        <w:ind w:left="1418"/>
        <w:rPr>
          <w:b/>
          <w:i/>
        </w:rPr>
      </w:pPr>
      <w:r w:rsidRPr="000D6260">
        <w:rPr>
          <w:b/>
          <w:i/>
        </w:rPr>
        <w:t>a)</w:t>
      </w:r>
      <w:r w:rsidRPr="000D6260">
        <w:rPr>
          <w:b/>
          <w:i/>
        </w:rPr>
        <w:tab/>
        <w:t>az (1) bekezdés első albekezdésének helyébe a következő szöveg lép:</w:t>
      </w:r>
    </w:p>
    <w:p w14:paraId="380F27C0" w14:textId="77777777" w:rsidR="00BE56AA" w:rsidRPr="000D6260" w:rsidRDefault="00BE56AA" w:rsidP="002923E4">
      <w:pPr>
        <w:pStyle w:val="NormalHanging12a"/>
        <w:spacing w:before="120" w:after="120" w:line="360" w:lineRule="auto"/>
        <w:ind w:left="1985"/>
        <w:rPr>
          <w:b/>
          <w:i/>
          <w:szCs w:val="24"/>
        </w:rPr>
      </w:pPr>
      <w:r w:rsidRPr="000D6260">
        <w:rPr>
          <w:b/>
          <w:i/>
        </w:rPr>
        <w:t>„(1)</w:t>
      </w:r>
      <w:r w:rsidRPr="000D6260">
        <w:rPr>
          <w:b/>
          <w:i/>
        </w:rPr>
        <w:tab/>
        <w:t xml:space="preserve">A föld alatti gáztárolókkal nem rendelkező tagállamok biztosítják, hogy az adott tagállam belföldi piaci szereplői megállapodásokat kössenek </w:t>
      </w:r>
      <w:r w:rsidRPr="000D6260">
        <w:rPr>
          <w:b/>
          <w:i/>
        </w:rPr>
        <w:lastRenderedPageBreak/>
        <w:t>földgáztárolókkal rendelkező tagállamok föld alatti tárolási rendszereinek üzemeltetőivel vagy a föld alatti gáztárolókkal rendelkező tagállamok egyéb piaci szereplőivel. Az említett megállapodásokban rendelkezni kell a föld alatti gáztárolókkal nem rendelkező tagállamnak az előző öt évre vonatkozó átlagos éves gázfogyasztása legalább 15 %-</w:t>
      </w:r>
      <w:proofErr w:type="spellStart"/>
      <w:r w:rsidRPr="000D6260">
        <w:rPr>
          <w:b/>
          <w:i/>
        </w:rPr>
        <w:t>ának</w:t>
      </w:r>
      <w:proofErr w:type="spellEnd"/>
      <w:r w:rsidRPr="000D6260">
        <w:rPr>
          <w:b/>
          <w:i/>
        </w:rPr>
        <w:t xml:space="preserve"> megfelelő tárolókapacitás december 1-jéig történő kihasználásáról. Amennyiben azonban a határkeresztező szállítási kapacitás vagy egyéb műszaki korlátok nem teszik lehetővé a föld alatti gáztárolókkal nem rendelkező tagállam számára, hogy az említett tárolási mennyiségek 15%-át teljes mértékben kihasználhassa, az adott tagállamnak kizárólag a műszakilag lehetséges mennyiségeket kell tárolnia.”;</w:t>
      </w:r>
    </w:p>
    <w:p w14:paraId="3874B60F" w14:textId="77777777" w:rsidR="00BE56AA" w:rsidRPr="000D6260" w:rsidRDefault="00BE56AA" w:rsidP="002923E4">
      <w:pPr>
        <w:pStyle w:val="NormalHanging12a"/>
        <w:spacing w:before="120" w:after="120" w:line="360" w:lineRule="auto"/>
        <w:ind w:left="1418"/>
        <w:rPr>
          <w:b/>
          <w:i/>
          <w:szCs w:val="22"/>
        </w:rPr>
      </w:pPr>
      <w:r w:rsidRPr="000D6260">
        <w:rPr>
          <w:b/>
          <w:i/>
        </w:rPr>
        <w:t>b)</w:t>
      </w:r>
      <w:r w:rsidRPr="000D6260">
        <w:rPr>
          <w:b/>
          <w:i/>
        </w:rPr>
        <w:tab/>
        <w:t>a (2) bekezdés második albekezdésének helyébe a következő szöveg lép:</w:t>
      </w:r>
    </w:p>
    <w:p w14:paraId="707937F6" w14:textId="77777777" w:rsidR="00BE56AA" w:rsidRPr="000D6260" w:rsidRDefault="00BE56AA" w:rsidP="002923E4">
      <w:pPr>
        <w:pStyle w:val="NormalHanging12a"/>
        <w:spacing w:before="120" w:after="120" w:line="360" w:lineRule="auto"/>
        <w:ind w:left="1418" w:firstLine="0"/>
        <w:rPr>
          <w:b/>
          <w:i/>
          <w:szCs w:val="24"/>
        </w:rPr>
      </w:pPr>
      <w:r w:rsidRPr="000D6260">
        <w:rPr>
          <w:b/>
          <w:i/>
        </w:rPr>
        <w:t>„A föld alatti gáztárolókkal nem rendelkező tagállamok igazolják, hogy eleget tesznek az (1) bekezdésnek, és erről értesítik a Bizottságot.”;</w:t>
      </w:r>
    </w:p>
    <w:p w14:paraId="7564C263" w14:textId="77777777" w:rsidR="00BE56AA" w:rsidRPr="000D6260" w:rsidRDefault="00BE56AA" w:rsidP="002923E4">
      <w:pPr>
        <w:pStyle w:val="NormalHanging12a"/>
        <w:tabs>
          <w:tab w:val="left" w:pos="1418"/>
        </w:tabs>
        <w:spacing w:before="120" w:after="120" w:line="360" w:lineRule="auto"/>
        <w:ind w:left="1418"/>
      </w:pPr>
      <w:r w:rsidRPr="000D6260">
        <w:rPr>
          <w:b/>
          <w:i/>
        </w:rPr>
        <w:t>c)</w:t>
      </w:r>
      <w:r w:rsidRPr="000D6260">
        <w:rPr>
          <w:b/>
          <w:i/>
        </w:rPr>
        <w:tab/>
        <w:t>az (5) bekezdés első albekezdésének a) pontja helyébe következő szöveg lép:</w:t>
      </w:r>
    </w:p>
    <w:p w14:paraId="35825111" w14:textId="77777777" w:rsidR="00BE56AA" w:rsidRPr="000D6260" w:rsidRDefault="00BE56AA" w:rsidP="002923E4">
      <w:pPr>
        <w:pStyle w:val="NormalHanging12a"/>
        <w:spacing w:before="120" w:after="120" w:line="360" w:lineRule="auto"/>
        <w:ind w:left="1985"/>
        <w:rPr>
          <w:b/>
          <w:i/>
          <w:szCs w:val="24"/>
        </w:rPr>
      </w:pPr>
      <w:r w:rsidRPr="000D6260">
        <w:rPr>
          <w:b/>
          <w:i/>
        </w:rPr>
        <w:t>„a)</w:t>
      </w:r>
      <w:r w:rsidRPr="000D6260">
        <w:rPr>
          <w:b/>
          <w:i/>
        </w:rPr>
        <w:tab/>
        <w:t>biztosítják, hogy a tárolási mennyiségek december 1-jéig legalább a tárolókapacitás előző öt évre vonatkozó átlagos kihasználtságának megfeleljenek, amely többek között a tároló helye szerinti tagállamokból származó, a kitárolási idény alatti, az előző öt éves időszak alatti áramlások figyelembevételével kerül meghatározásra; vagy”;</w:t>
      </w:r>
    </w:p>
    <w:p w14:paraId="636CD1D0" w14:textId="77777777" w:rsidR="00BE56AA" w:rsidRPr="000D6260" w:rsidRDefault="00BE56AA" w:rsidP="002923E4">
      <w:pPr>
        <w:pStyle w:val="NormalHanging12a"/>
        <w:spacing w:before="120" w:after="120" w:line="360" w:lineRule="auto"/>
        <w:ind w:left="1418"/>
        <w:rPr>
          <w:b/>
          <w:i/>
        </w:rPr>
      </w:pPr>
      <w:r w:rsidRPr="000D6260">
        <w:rPr>
          <w:b/>
          <w:i/>
        </w:rPr>
        <w:t>d)</w:t>
      </w:r>
      <w:r w:rsidRPr="000D6260">
        <w:rPr>
          <w:b/>
          <w:i/>
        </w:rPr>
        <w:tab/>
        <w:t>a (6) bekezdés helyébe a következő szöveg lép:</w:t>
      </w:r>
    </w:p>
    <w:p w14:paraId="60BA1431" w14:textId="77777777" w:rsidR="00BE56AA" w:rsidRPr="000D6260" w:rsidRDefault="00BE56AA" w:rsidP="002923E4">
      <w:pPr>
        <w:pStyle w:val="NormalHanging12a"/>
        <w:spacing w:before="120" w:after="120" w:line="360" w:lineRule="auto"/>
        <w:ind w:left="1985"/>
        <w:rPr>
          <w:b/>
          <w:i/>
          <w:szCs w:val="24"/>
        </w:rPr>
      </w:pPr>
      <w:r w:rsidRPr="000D6260">
        <w:rPr>
          <w:b/>
          <w:i/>
        </w:rPr>
        <w:t>„(6)</w:t>
      </w:r>
      <w:r w:rsidRPr="000D6260">
        <w:rPr>
          <w:b/>
          <w:i/>
        </w:rPr>
        <w:tab/>
        <w:t xml:space="preserve">Amennyiben az </w:t>
      </w:r>
      <w:proofErr w:type="spellStart"/>
      <w:r w:rsidRPr="000D6260">
        <w:rPr>
          <w:b/>
          <w:i/>
        </w:rPr>
        <w:t>Ib</w:t>
      </w:r>
      <w:proofErr w:type="spellEnd"/>
      <w:r w:rsidRPr="000D6260">
        <w:rPr>
          <w:b/>
          <w:i/>
        </w:rPr>
        <w:t>. melléklet másként nem rendelkezik, az (5) bekezdés hatálya alá nem tartozó, egy tagállamban található, de egy másik tagállam területével közvetlen összeköttetésben álló föld alatti gáztárolók esetében az említett másik tagállamnak biztosítania kell, hogy a tárolási mennyiségek október 1. és december 1. között legalább az adott határkeresztező ponton az előző öt évben lekötött tárolókapacitás átlagának megfeleljenek.”</w:t>
      </w:r>
    </w:p>
    <w:p w14:paraId="5DA590C3" w14:textId="77777777" w:rsidR="00BE56AA" w:rsidRPr="000D6260" w:rsidRDefault="00BE56AA" w:rsidP="002923E4">
      <w:pPr>
        <w:pStyle w:val="NormalHanging12a"/>
        <w:spacing w:before="120" w:after="120" w:line="360" w:lineRule="auto"/>
        <w:ind w:left="851" w:hanging="851"/>
        <w:rPr>
          <w:b/>
          <w:i/>
        </w:rPr>
      </w:pPr>
      <w:r w:rsidRPr="000D6260">
        <w:rPr>
          <w:b/>
          <w:i/>
        </w:rPr>
        <w:t>5.</w:t>
      </w:r>
      <w:r w:rsidRPr="000D6260">
        <w:rPr>
          <w:b/>
          <w:i/>
        </w:rPr>
        <w:tab/>
        <w:t>A 6d. cikk a következőképpen módosul:</w:t>
      </w:r>
    </w:p>
    <w:p w14:paraId="33AF776F" w14:textId="77777777" w:rsidR="00BE56AA" w:rsidRPr="000D6260" w:rsidRDefault="00BE56AA" w:rsidP="002923E4">
      <w:pPr>
        <w:pStyle w:val="NormalHanging12a"/>
        <w:spacing w:before="120" w:after="120" w:line="360" w:lineRule="auto"/>
        <w:ind w:left="1418"/>
        <w:rPr>
          <w:b/>
          <w:i/>
        </w:rPr>
      </w:pPr>
      <w:r w:rsidRPr="000D6260">
        <w:rPr>
          <w:b/>
          <w:i/>
        </w:rPr>
        <w:lastRenderedPageBreak/>
        <w:t>a)</w:t>
      </w:r>
      <w:r w:rsidRPr="000D6260">
        <w:rPr>
          <w:b/>
          <w:i/>
        </w:rPr>
        <w:tab/>
        <w:t>az (1) és a (2) bekezdés helyébe a következő szöveg lép:</w:t>
      </w:r>
    </w:p>
    <w:p w14:paraId="6D85BB0F" w14:textId="77777777" w:rsidR="00BE56AA" w:rsidRPr="000D6260" w:rsidRDefault="00BE56AA" w:rsidP="002923E4">
      <w:pPr>
        <w:pStyle w:val="NormalHanging12a"/>
        <w:spacing w:before="120" w:after="120" w:line="360" w:lineRule="auto"/>
        <w:ind w:left="1985"/>
        <w:rPr>
          <w:b/>
          <w:i/>
          <w:szCs w:val="24"/>
        </w:rPr>
      </w:pPr>
      <w:r w:rsidRPr="000D6260">
        <w:rPr>
          <w:b/>
          <w:i/>
        </w:rPr>
        <w:t>„(1)</w:t>
      </w:r>
      <w:r w:rsidRPr="000D6260">
        <w:rPr>
          <w:b/>
          <w:i/>
        </w:rPr>
        <w:tab/>
        <w:t>A tárolásirendszer-üzemeltetők jelentést tesznek az érintett föld alatti gáztárolók helye szerinti tagállam hatáskörrel rendelkező hatóságának, valamint adott esetben az említett tagállam által kijelölt szervezetnek (a továbbiakban: a kijelölt szervezet) a feltöltési szintről a 6a. cikkben meghatározottak szerint.</w:t>
      </w:r>
    </w:p>
    <w:p w14:paraId="3E661135" w14:textId="77777777" w:rsidR="00BE56AA" w:rsidRPr="000D6260" w:rsidRDefault="00BE56AA" w:rsidP="002923E4">
      <w:pPr>
        <w:pStyle w:val="NormalHanging12a"/>
        <w:spacing w:before="120" w:after="120" w:line="360" w:lineRule="auto"/>
        <w:ind w:left="1985"/>
        <w:rPr>
          <w:szCs w:val="24"/>
        </w:rPr>
      </w:pPr>
      <w:r w:rsidRPr="000D6260">
        <w:rPr>
          <w:b/>
          <w:i/>
        </w:rPr>
        <w:t>(2)</w:t>
      </w:r>
      <w:r w:rsidRPr="000D6260">
        <w:rPr>
          <w:b/>
          <w:i/>
        </w:rPr>
        <w:tab/>
        <w:t>A tagállamok hatáskörrel rendelkező hatósága, valamint adott esetben a kijelölt szervezete minden hónap végén nyomon követi a területén található föld alatti gáztárolók feltöltési szintjét, és az eredményekről havonta késedelem nélkül jelentést tesz a Bizottságnak. A hatáskörrel rendelkező hatóságnak tájékoztatást kell adnia az adott tagállamban tárolt, Oroszországi Föderációból származó gáz részarányáról is, amennyiben ilyen információ rendelkezésre áll.</w:t>
      </w:r>
    </w:p>
    <w:p w14:paraId="6CAEE150" w14:textId="77777777" w:rsidR="00BE56AA" w:rsidRPr="000D6260" w:rsidRDefault="00BE56AA" w:rsidP="002923E4">
      <w:pPr>
        <w:pStyle w:val="NormalHanging12a"/>
        <w:spacing w:before="120" w:after="120" w:line="360" w:lineRule="auto"/>
        <w:ind w:left="1985" w:firstLine="0"/>
        <w:rPr>
          <w:b/>
          <w:i/>
        </w:rPr>
      </w:pPr>
      <w:r w:rsidRPr="000D6260">
        <w:rPr>
          <w:b/>
          <w:i/>
        </w:rPr>
        <w:t>A Bizottság adott esetben felkérheti az Energiaszabályozók Európai Uniós Együttműködési Ügynökségét (ACER), hogy nyújtson segítséget a</w:t>
      </w:r>
      <w:r w:rsidR="00DC296A">
        <w:rPr>
          <w:b/>
          <w:i/>
        </w:rPr>
        <w:t>z említett</w:t>
      </w:r>
      <w:r w:rsidRPr="000D6260">
        <w:rPr>
          <w:b/>
          <w:i/>
        </w:rPr>
        <w:t xml:space="preserve"> nyomon követésben.”;</w:t>
      </w:r>
    </w:p>
    <w:p w14:paraId="0C06A9B6" w14:textId="77777777" w:rsidR="00BE56AA" w:rsidRPr="000D6260" w:rsidRDefault="00BE56AA" w:rsidP="002923E4">
      <w:pPr>
        <w:pStyle w:val="NormalHanging12a"/>
        <w:spacing w:before="120" w:after="120" w:line="360" w:lineRule="auto"/>
        <w:ind w:left="1418"/>
        <w:rPr>
          <w:b/>
          <w:i/>
        </w:rPr>
      </w:pPr>
      <w:r w:rsidRPr="000D6260">
        <w:rPr>
          <w:b/>
          <w:i/>
        </w:rPr>
        <w:t>b)</w:t>
      </w:r>
      <w:r w:rsidRPr="000D6260">
        <w:rPr>
          <w:b/>
          <w:i/>
        </w:rPr>
        <w:tab/>
        <w:t>a (4) és az (5) bekezdés helyébe a következő szöveg lép:</w:t>
      </w:r>
    </w:p>
    <w:p w14:paraId="76A9511A" w14:textId="77777777" w:rsidR="00BE56AA" w:rsidRPr="000D6260" w:rsidRDefault="00BE56AA" w:rsidP="002923E4">
      <w:pPr>
        <w:pStyle w:val="NormalHanging12a"/>
        <w:spacing w:before="120" w:after="120" w:line="360" w:lineRule="auto"/>
        <w:ind w:left="1985"/>
        <w:rPr>
          <w:b/>
          <w:i/>
          <w:szCs w:val="24"/>
        </w:rPr>
      </w:pPr>
      <w:r w:rsidRPr="000D6260">
        <w:rPr>
          <w:b/>
          <w:i/>
        </w:rPr>
        <w:t>„(4)</w:t>
      </w:r>
      <w:r w:rsidRPr="000D6260">
        <w:rPr>
          <w:b/>
          <w:i/>
        </w:rPr>
        <w:tab/>
        <w:t>A GCG segítséget nyújt a Bizottságnak a feltöltési célérték nyomon követésében, és iránymutatást dolgoz ki a Bizottság számára a jobb összehangolás biztosításához szükséges intézkedésekről azon esetekre, amikor a tagállamok feltöltési arányai veszélyeztetik a feltöltési célérték elérését, vagy a feltöltési célértéknek való megfelelés biztosítása érdekében.</w:t>
      </w:r>
    </w:p>
    <w:p w14:paraId="5899562B" w14:textId="77777777" w:rsidR="00BE56AA" w:rsidRPr="000D6260" w:rsidRDefault="00BE56AA" w:rsidP="002923E4">
      <w:pPr>
        <w:pStyle w:val="NormalHanging12a"/>
        <w:spacing w:before="120" w:after="120" w:line="360" w:lineRule="auto"/>
        <w:ind w:left="1985"/>
        <w:rPr>
          <w:b/>
          <w:i/>
          <w:szCs w:val="24"/>
        </w:rPr>
      </w:pPr>
      <w:r w:rsidRPr="000D6260">
        <w:rPr>
          <w:b/>
          <w:i/>
        </w:rPr>
        <w:t>(4a)</w:t>
      </w:r>
      <w:r w:rsidRPr="000D6260">
        <w:rPr>
          <w:b/>
          <w:i/>
        </w:rPr>
        <w:tab/>
        <w:t>A Bizottság adott esetben olyan intézkedéseket hajt végre, amelyek segítik a tagállamokat a feltöltési célérték elérésében, beleértve az (EU) 2022/2576 rendelettel</w:t>
      </w:r>
      <w:r w:rsidRPr="000D6260">
        <w:rPr>
          <w:b/>
          <w:i/>
          <w:vertAlign w:val="superscript"/>
        </w:rPr>
        <w:t>*</w:t>
      </w:r>
      <w:r w:rsidRPr="000D6260">
        <w:rPr>
          <w:rStyle w:val="FootnoteReference"/>
          <w:b/>
          <w:i/>
        </w:rPr>
        <w:t xml:space="preserve"> </w:t>
      </w:r>
      <w:r w:rsidRPr="000D6260">
        <w:rPr>
          <w:b/>
          <w:i/>
        </w:rPr>
        <w:t xml:space="preserve"> létrehozott keresletösszesítési és közös beszerzési mechanizmusban („</w:t>
      </w:r>
      <w:proofErr w:type="spellStart"/>
      <w:r w:rsidRPr="000D6260">
        <w:rPr>
          <w:b/>
          <w:i/>
        </w:rPr>
        <w:t>AggregateEU</w:t>
      </w:r>
      <w:proofErr w:type="spellEnd"/>
      <w:r w:rsidRPr="000D6260">
        <w:rPr>
          <w:b/>
          <w:i/>
        </w:rPr>
        <w:t>”) való részvételt ösztönző intézkedéseket is.</w:t>
      </w:r>
    </w:p>
    <w:p w14:paraId="0D8B960D" w14:textId="77777777" w:rsidR="00BE56AA" w:rsidRPr="000D6260" w:rsidRDefault="00BE56AA" w:rsidP="002923E4">
      <w:pPr>
        <w:pStyle w:val="NormalHanging12a"/>
        <w:spacing w:before="120" w:after="120" w:line="360" w:lineRule="auto"/>
        <w:ind w:left="1985"/>
        <w:rPr>
          <w:b/>
          <w:i/>
        </w:rPr>
      </w:pPr>
      <w:r w:rsidRPr="000D6260">
        <w:rPr>
          <w:b/>
          <w:i/>
        </w:rPr>
        <w:t>(5)</w:t>
      </w:r>
      <w:r w:rsidRPr="000D6260">
        <w:rPr>
          <w:b/>
          <w:i/>
        </w:rPr>
        <w:tab/>
        <w:t xml:space="preserve">A tagállamok és adott esetben a Bizottság megteszik a szükséges intézkedéseket a feltöltési célérték teljesítése és a tárolási kötelezettségek piaci szereplők általi teljesítésének kikényszerítése érdekében. Ezek az intézkedések magukban foglalhatnak kellően </w:t>
      </w:r>
      <w:r w:rsidRPr="000D6260">
        <w:rPr>
          <w:b/>
          <w:i/>
        </w:rPr>
        <w:lastRenderedPageBreak/>
        <w:t>visszatartó erejű szankciókat és bírságokat, például megfelelő pénzbüntetéseket.</w:t>
      </w:r>
    </w:p>
    <w:p w14:paraId="3F082FD0" w14:textId="77777777" w:rsidR="00BE56AA" w:rsidRPr="000D6260" w:rsidRDefault="00BE56AA" w:rsidP="002923E4">
      <w:pPr>
        <w:pStyle w:val="NormalHanging12a"/>
        <w:spacing w:before="120" w:after="120" w:line="360" w:lineRule="auto"/>
        <w:ind w:left="1985"/>
        <w:rPr>
          <w:b/>
          <w:i/>
        </w:rPr>
      </w:pPr>
      <w:r w:rsidRPr="000D6260">
        <w:rPr>
          <w:b/>
          <w:i/>
        </w:rPr>
        <w:t>___________________</w:t>
      </w:r>
    </w:p>
    <w:p w14:paraId="381F1628" w14:textId="77777777" w:rsidR="00BE56AA" w:rsidRPr="000D6260" w:rsidRDefault="00BE56AA" w:rsidP="002923E4">
      <w:pPr>
        <w:pStyle w:val="NormalHanging12a"/>
        <w:spacing w:before="120" w:after="120"/>
        <w:ind w:left="1985"/>
        <w:rPr>
          <w:b/>
          <w:i/>
        </w:rPr>
      </w:pPr>
      <w:r w:rsidRPr="000D6260">
        <w:rPr>
          <w:b/>
          <w:i/>
        </w:rPr>
        <w:t>*</w:t>
      </w:r>
      <w:r w:rsidRPr="000D6260">
        <w:rPr>
          <w:b/>
          <w:i/>
        </w:rPr>
        <w:tab/>
        <w:t>A Tanács (EU) 2022/2576 rendelete (2022. december 19.) a szolidaritásnak a gázbeszerzések jobb koordinálása, megbízható ár-referenciaértékek és a határokon átnyúló gázkereskedelem révén történő fokozásáról (HL L 335., 2022.12.29., 1. o., ELI: http://data.europa.eu/eli/reg/2022/2576/oj).”</w:t>
      </w:r>
    </w:p>
    <w:p w14:paraId="1BA1BCF9" w14:textId="77777777" w:rsidR="00BE56AA" w:rsidRPr="000D6260" w:rsidRDefault="00BE56AA" w:rsidP="002923E4">
      <w:pPr>
        <w:pStyle w:val="NormalHanging12a"/>
        <w:spacing w:before="120" w:after="120" w:line="360" w:lineRule="auto"/>
        <w:ind w:left="851" w:hanging="851"/>
        <w:rPr>
          <w:b/>
          <w:i/>
          <w:szCs w:val="24"/>
        </w:rPr>
      </w:pPr>
      <w:r w:rsidRPr="000D6260">
        <w:rPr>
          <w:b/>
          <w:i/>
        </w:rPr>
        <w:t>6.</w:t>
      </w:r>
      <w:r w:rsidRPr="000D6260">
        <w:rPr>
          <w:b/>
          <w:i/>
        </w:rPr>
        <w:tab/>
        <w:t>A 17a. cikk (1) bekezdése a következő ponttal egészül ki:</w:t>
      </w:r>
    </w:p>
    <w:p w14:paraId="26DB5807" w14:textId="77777777" w:rsidR="00BE56AA" w:rsidRPr="000D6260" w:rsidRDefault="00BE56AA" w:rsidP="002923E4">
      <w:pPr>
        <w:pStyle w:val="NormalHanging12a"/>
        <w:spacing w:before="120" w:after="120" w:line="360" w:lineRule="auto"/>
        <w:ind w:left="1418"/>
        <w:rPr>
          <w:b/>
          <w:i/>
          <w:szCs w:val="24"/>
        </w:rPr>
      </w:pPr>
      <w:r w:rsidRPr="000D6260">
        <w:rPr>
          <w:b/>
          <w:i/>
        </w:rPr>
        <w:t>„da)</w:t>
      </w:r>
      <w:r w:rsidRPr="000D6260">
        <w:rPr>
          <w:b/>
          <w:i/>
        </w:rPr>
        <w:tab/>
        <w:t>az uniós tárolókban tárolt, Oroszországi Föderációból származó gáz részarányára vonatkozó, a tagállamok által a 6d. cikk (2) bekezdésével összhangban szolgáltatott információk.”</w:t>
      </w:r>
    </w:p>
    <w:p w14:paraId="47CCC787" w14:textId="77777777" w:rsidR="00BE56AA" w:rsidRPr="000D6260" w:rsidRDefault="00BE56AA" w:rsidP="002923E4">
      <w:pPr>
        <w:pStyle w:val="NormalHanging12a"/>
        <w:spacing w:before="120" w:after="120" w:line="360" w:lineRule="auto"/>
        <w:ind w:left="851" w:hanging="851"/>
        <w:rPr>
          <w:b/>
          <w:i/>
          <w:szCs w:val="24"/>
        </w:rPr>
      </w:pPr>
      <w:r w:rsidRPr="000D6260">
        <w:rPr>
          <w:b/>
          <w:i/>
        </w:rPr>
        <w:t>7.</w:t>
      </w:r>
      <w:r w:rsidRPr="000D6260">
        <w:rPr>
          <w:b/>
          <w:i/>
        </w:rPr>
        <w:tab/>
        <w:t>A 22. cikk negyedik bekezdésének helyébe a következő szöveg lép:</w:t>
      </w:r>
    </w:p>
    <w:p w14:paraId="160F6EB8" w14:textId="77777777" w:rsidR="00BE56AA" w:rsidRPr="000D6260" w:rsidRDefault="00BE56AA" w:rsidP="002923E4">
      <w:pPr>
        <w:pStyle w:val="NormalHanging12a"/>
        <w:spacing w:before="120" w:after="120" w:line="360" w:lineRule="auto"/>
        <w:ind w:left="851" w:firstLine="0"/>
        <w:rPr>
          <w:b/>
          <w:i/>
          <w:szCs w:val="24"/>
        </w:rPr>
      </w:pPr>
      <w:r w:rsidRPr="000D6260">
        <w:rPr>
          <w:b/>
          <w:i/>
        </w:rPr>
        <w:t xml:space="preserve">”A 2. cikk 27–31. pontját, a 6a–6d. cikket, a 16. cikk (3) bekezdését, a 17a. cikket, a 18a. cikket, a 20. cikk (4) bekezdését és az </w:t>
      </w:r>
      <w:proofErr w:type="spellStart"/>
      <w:r w:rsidRPr="000D6260">
        <w:rPr>
          <w:b/>
          <w:i/>
        </w:rPr>
        <w:t>Ib</w:t>
      </w:r>
      <w:proofErr w:type="spellEnd"/>
      <w:r w:rsidRPr="000D6260">
        <w:rPr>
          <w:b/>
          <w:i/>
        </w:rPr>
        <w:t>. mellékletet 2027. december 31-ig kell alkalmazni.”</w:t>
      </w:r>
    </w:p>
    <w:p w14:paraId="6917592A" w14:textId="77777777" w:rsidR="00BE56AA" w:rsidRPr="000D6260" w:rsidRDefault="00BE56AA" w:rsidP="002923E4">
      <w:pPr>
        <w:pStyle w:val="NormalHanging12a"/>
        <w:spacing w:before="120" w:after="120" w:line="360" w:lineRule="auto"/>
        <w:ind w:left="851" w:hanging="851"/>
        <w:rPr>
          <w:b/>
          <w:i/>
          <w:szCs w:val="24"/>
        </w:rPr>
      </w:pPr>
      <w:r w:rsidRPr="000D6260">
        <w:rPr>
          <w:b/>
          <w:i/>
        </w:rPr>
        <w:t>8.</w:t>
      </w:r>
      <w:r w:rsidRPr="000D6260">
        <w:rPr>
          <w:b/>
          <w:i/>
        </w:rPr>
        <w:tab/>
        <w:t xml:space="preserve">Az </w:t>
      </w:r>
      <w:proofErr w:type="spellStart"/>
      <w:r w:rsidRPr="000D6260">
        <w:rPr>
          <w:b/>
          <w:i/>
        </w:rPr>
        <w:t>Ia</w:t>
      </w:r>
      <w:proofErr w:type="spellEnd"/>
      <w:r w:rsidRPr="000D6260">
        <w:rPr>
          <w:b/>
          <w:i/>
        </w:rPr>
        <w:t>. mellékletet el kell hagyni.</w:t>
      </w:r>
    </w:p>
    <w:p w14:paraId="3FC495AC" w14:textId="77777777" w:rsidR="00BE56AA" w:rsidRPr="000A37F2" w:rsidRDefault="00BE56AA" w:rsidP="002923E4">
      <w:pPr>
        <w:pStyle w:val="Titrearticle"/>
        <w:spacing w:before="120" w:line="360" w:lineRule="auto"/>
        <w:rPr>
          <w:bCs/>
          <w:i w:val="0"/>
          <w:noProof/>
        </w:rPr>
      </w:pPr>
      <w:r w:rsidRPr="000A37F2">
        <w:rPr>
          <w:i w:val="0"/>
        </w:rPr>
        <w:t>2. cikk</w:t>
      </w:r>
      <w:r w:rsidR="002923E4" w:rsidRPr="000A37F2">
        <w:rPr>
          <w:i w:val="0"/>
        </w:rPr>
        <w:br/>
      </w:r>
      <w:r w:rsidRPr="000A37F2">
        <w:rPr>
          <w:i w:val="0"/>
        </w:rPr>
        <w:t>Hatálybalépés</w:t>
      </w:r>
    </w:p>
    <w:p w14:paraId="73AEB329" w14:textId="77777777" w:rsidR="00BE56AA" w:rsidRPr="000D6260" w:rsidRDefault="00BE56AA" w:rsidP="002923E4">
      <w:pPr>
        <w:pStyle w:val="NormalHanging12a"/>
        <w:spacing w:before="120" w:after="120" w:line="360" w:lineRule="auto"/>
        <w:ind w:left="0" w:firstLine="0"/>
        <w:rPr>
          <w:szCs w:val="24"/>
        </w:rPr>
      </w:pPr>
      <w:r w:rsidRPr="000D6260">
        <w:t xml:space="preserve">Ez a rendelet az </w:t>
      </w:r>
      <w:r w:rsidRPr="002923E4">
        <w:rPr>
          <w:i/>
        </w:rPr>
        <w:t>Európai Unió Hivatalos Lapjában</w:t>
      </w:r>
      <w:r w:rsidRPr="000D6260">
        <w:t xml:space="preserve"> való kihirdetését követő napon lép hatályba</w:t>
      </w:r>
      <w:r w:rsidRPr="000D6260">
        <w:rPr>
          <w:b/>
          <w:i/>
        </w:rPr>
        <w:t xml:space="preserve"> és akkortól alkalmazandó</w:t>
      </w:r>
      <w:r w:rsidRPr="000D6260">
        <w:t>.</w:t>
      </w:r>
    </w:p>
    <w:p w14:paraId="101C1745" w14:textId="77777777" w:rsidR="00BE56AA" w:rsidRPr="000D6260" w:rsidRDefault="00BE56AA" w:rsidP="002923E4">
      <w:pPr>
        <w:pStyle w:val="NormalCenter12a"/>
        <w:spacing w:before="120" w:after="120" w:line="360" w:lineRule="auto"/>
        <w:jc w:val="left"/>
      </w:pPr>
      <w:r w:rsidRPr="000D6260">
        <w:t>Ez a rendelet teljes egészében kötelező és közvetlenül alkalmazandó valamennyi tagállamban.</w:t>
      </w:r>
    </w:p>
    <w:p w14:paraId="20B570C9" w14:textId="77777777" w:rsidR="002923E4" w:rsidRDefault="002923E4" w:rsidP="00BE56AA">
      <w:pPr>
        <w:pStyle w:val="NormalCenter12a"/>
        <w:jc w:val="left"/>
      </w:pPr>
    </w:p>
    <w:p w14:paraId="6BB483C4" w14:textId="77777777" w:rsidR="00BE56AA" w:rsidRPr="000D6260" w:rsidRDefault="00BE56AA" w:rsidP="00BE56AA">
      <w:pPr>
        <w:pStyle w:val="NormalCenter12a"/>
        <w:jc w:val="left"/>
      </w:pPr>
      <w:r w:rsidRPr="000D6260">
        <w:t xml:space="preserve">Kelt </w:t>
      </w:r>
      <w:r w:rsidR="002923E4">
        <w:t>...</w:t>
      </w:r>
      <w:r w:rsidRPr="000D6260">
        <w:t>, -án/-én.</w:t>
      </w:r>
    </w:p>
    <w:p w14:paraId="072FF19D" w14:textId="77777777" w:rsidR="00BE56AA" w:rsidRPr="002923E4" w:rsidRDefault="00BE56AA" w:rsidP="00C05C4A">
      <w:pPr>
        <w:pStyle w:val="NormalCenter12a"/>
        <w:tabs>
          <w:tab w:val="left" w:pos="5670"/>
        </w:tabs>
        <w:spacing w:before="720" w:after="0" w:line="360" w:lineRule="auto"/>
        <w:jc w:val="left"/>
        <w:rPr>
          <w:i/>
        </w:rPr>
      </w:pPr>
      <w:r w:rsidRPr="002923E4">
        <w:rPr>
          <w:i/>
        </w:rPr>
        <w:t>az Európai Parlament részéről</w:t>
      </w:r>
      <w:r w:rsidR="002923E4" w:rsidRPr="002923E4">
        <w:rPr>
          <w:i/>
        </w:rPr>
        <w:tab/>
      </w:r>
      <w:r w:rsidRPr="002923E4">
        <w:rPr>
          <w:i/>
        </w:rPr>
        <w:t>az elnök</w:t>
      </w:r>
    </w:p>
    <w:p w14:paraId="5554CDCE" w14:textId="77777777" w:rsidR="000D6260" w:rsidRPr="002923E4" w:rsidRDefault="00BE56AA" w:rsidP="00C05C4A">
      <w:pPr>
        <w:pStyle w:val="NormalCenter12a"/>
        <w:tabs>
          <w:tab w:val="left" w:pos="5670"/>
        </w:tabs>
        <w:spacing w:after="0" w:line="360" w:lineRule="auto"/>
        <w:jc w:val="left"/>
        <w:rPr>
          <w:i/>
        </w:rPr>
      </w:pPr>
      <w:r w:rsidRPr="002923E4">
        <w:rPr>
          <w:i/>
        </w:rPr>
        <w:t>a Tanács részéről</w:t>
      </w:r>
      <w:r w:rsidR="002923E4" w:rsidRPr="002923E4">
        <w:rPr>
          <w:i/>
        </w:rPr>
        <w:tab/>
      </w:r>
      <w:r w:rsidRPr="002923E4">
        <w:rPr>
          <w:i/>
        </w:rPr>
        <w:t>az elnök</w:t>
      </w:r>
    </w:p>
    <w:p w14:paraId="31683366" w14:textId="77777777" w:rsidR="00E365E1" w:rsidRPr="000D6260" w:rsidRDefault="00E365E1" w:rsidP="008558E2"/>
    <w:sectPr w:rsidR="00E365E1" w:rsidRPr="000D6260" w:rsidSect="000D626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F99F93" w14:textId="77777777" w:rsidR="008558E2" w:rsidRPr="000D6260" w:rsidRDefault="008558E2">
      <w:r w:rsidRPr="000D6260">
        <w:separator/>
      </w:r>
    </w:p>
  </w:endnote>
  <w:endnote w:type="continuationSeparator" w:id="0">
    <w:p w14:paraId="36DBE0F0" w14:textId="77777777" w:rsidR="008558E2" w:rsidRPr="000D6260" w:rsidRDefault="008558E2">
      <w:r w:rsidRPr="000D62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D7D6C" w14:textId="77777777" w:rsidR="00064002" w:rsidRPr="000D626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C970B" w14:textId="77777777" w:rsidR="00064002" w:rsidRPr="000D626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69892" w14:textId="77777777" w:rsidR="00064002" w:rsidRPr="000D626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4D16C" w14:textId="77777777" w:rsidR="008558E2" w:rsidRPr="000D6260" w:rsidRDefault="008558E2">
      <w:r w:rsidRPr="000D6260">
        <w:separator/>
      </w:r>
    </w:p>
  </w:footnote>
  <w:footnote w:type="continuationSeparator" w:id="0">
    <w:p w14:paraId="611AB5B1" w14:textId="77777777" w:rsidR="008558E2" w:rsidRPr="000D6260" w:rsidRDefault="008558E2">
      <w:r w:rsidRPr="000D6260">
        <w:continuationSeparator/>
      </w:r>
    </w:p>
  </w:footnote>
  <w:footnote w:id="1">
    <w:p w14:paraId="105F6933" w14:textId="77777777" w:rsidR="00283995" w:rsidRPr="00C05C4A" w:rsidRDefault="00283995" w:rsidP="00283995">
      <w:pPr>
        <w:pStyle w:val="FootnoteText"/>
        <w:ind w:left="567" w:hanging="567"/>
        <w:rPr>
          <w:sz w:val="24"/>
          <w:szCs w:val="24"/>
          <w:lang w:val="hu-HU"/>
        </w:rPr>
      </w:pPr>
      <w:r w:rsidRPr="00C05C4A">
        <w:rPr>
          <w:rStyle w:val="FootnoteReference"/>
          <w:sz w:val="24"/>
          <w:szCs w:val="24"/>
        </w:rPr>
        <w:footnoteRef/>
      </w:r>
      <w:r w:rsidRPr="00C05C4A">
        <w:rPr>
          <w:sz w:val="24"/>
          <w:szCs w:val="24"/>
          <w:lang w:val="hu-HU"/>
        </w:rPr>
        <w:t xml:space="preserve"> </w:t>
      </w:r>
      <w:r w:rsidRPr="00C05C4A">
        <w:rPr>
          <w:sz w:val="24"/>
          <w:szCs w:val="24"/>
          <w:lang w:val="hu-HU"/>
        </w:rPr>
        <w:tab/>
        <w:t>Az ügyet a 60. cikk (4) bekezdésének negyedik albekezdése alapján visszautalták az illetékes bizottsághoz intézményközi tárgyalások céljából (A10-0079/2025).</w:t>
      </w:r>
    </w:p>
  </w:footnote>
  <w:footnote w:id="2">
    <w:p w14:paraId="375383BF" w14:textId="77777777" w:rsidR="00BE56AA" w:rsidRPr="000D6260" w:rsidRDefault="00BE56AA" w:rsidP="000D6260">
      <w:pPr>
        <w:pStyle w:val="FootnoteText"/>
        <w:ind w:left="567" w:hanging="567"/>
        <w:rPr>
          <w:sz w:val="24"/>
          <w:lang w:val="hu-HU"/>
        </w:rPr>
      </w:pPr>
      <w:r w:rsidRPr="000D6260">
        <w:rPr>
          <w:rStyle w:val="FootnoteReference"/>
          <w:sz w:val="24"/>
          <w:lang w:val="hu-HU"/>
        </w:rPr>
        <w:t>*</w:t>
      </w:r>
      <w:r w:rsidR="000D6260" w:rsidRPr="000D6260">
        <w:rPr>
          <w:sz w:val="24"/>
          <w:lang w:val="hu-HU"/>
        </w:rPr>
        <w:t xml:space="preserve"> </w:t>
      </w:r>
      <w:r w:rsidR="000D6260" w:rsidRPr="000D6260">
        <w:rPr>
          <w:sz w:val="24"/>
          <w:lang w:val="hu-HU"/>
        </w:rPr>
        <w:tab/>
      </w:r>
      <w:r w:rsidRPr="000D6260">
        <w:rPr>
          <w:sz w:val="24"/>
          <w:lang w:val="hu-HU"/>
        </w:rPr>
        <w:t>Módosítások: az új vagy módosított szöveget félkövér dőlt betűtípus, a törléseket pedig a ▌jel mutatja.</w:t>
      </w:r>
    </w:p>
  </w:footnote>
  <w:footnote w:id="3">
    <w:p w14:paraId="19F21566" w14:textId="77777777" w:rsidR="00BE56AA" w:rsidRPr="000D6260" w:rsidRDefault="00BE56AA" w:rsidP="000D6260">
      <w:pPr>
        <w:pStyle w:val="FootnoteText"/>
        <w:ind w:left="567" w:hanging="567"/>
        <w:rPr>
          <w:sz w:val="24"/>
          <w:lang w:val="hu-HU"/>
        </w:rPr>
      </w:pPr>
      <w:r w:rsidRPr="000D6260">
        <w:rPr>
          <w:rStyle w:val="FootnoteReference"/>
          <w:sz w:val="24"/>
          <w:lang w:val="hu-HU"/>
        </w:rPr>
        <w:footnoteRef/>
      </w:r>
      <w:r w:rsidR="000D6260" w:rsidRPr="000D6260">
        <w:rPr>
          <w:sz w:val="24"/>
          <w:lang w:val="hu-HU"/>
        </w:rPr>
        <w:t xml:space="preserve"> </w:t>
      </w:r>
      <w:r w:rsidR="000D6260" w:rsidRPr="000D6260">
        <w:rPr>
          <w:sz w:val="24"/>
          <w:lang w:val="hu-HU"/>
        </w:rPr>
        <w:tab/>
      </w:r>
      <w:r w:rsidRPr="000D6260">
        <w:rPr>
          <w:sz w:val="24"/>
          <w:lang w:val="hu-HU"/>
        </w:rPr>
        <w:t xml:space="preserve">Az Európai Parlament és a Tanács (EU) 2022/1032 rendelete (2022. június 29.) az (EU) 2017/1938 és a 715/2009/EK rendeletnek a földgáztárolás tekintetében történő módosításáról (HL L 173., 2022.6.30., 17. o., ELI: </w:t>
      </w:r>
      <w:hyperlink r:id="rId1" w:history="1">
        <w:r w:rsidRPr="00283995">
          <w:rPr>
            <w:rStyle w:val="Hyperlink"/>
            <w:sz w:val="24"/>
            <w:lang w:val="hu-HU"/>
          </w:rPr>
          <w:t>http://data.europa.eu/eli/reg/2022/1032/oj</w:t>
        </w:r>
      </w:hyperlink>
      <w:r w:rsidRPr="000D6260">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ED8BD" w14:textId="77777777" w:rsidR="00064002" w:rsidRPr="000D626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7615D" w14:textId="77777777" w:rsidR="00064002" w:rsidRPr="000D626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345D3" w14:textId="77777777" w:rsidR="00064002" w:rsidRPr="000D626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63924898">
    <w:abstractNumId w:val="9"/>
  </w:num>
  <w:num w:numId="2" w16cid:durableId="147017816">
    <w:abstractNumId w:val="9"/>
  </w:num>
  <w:num w:numId="3" w16cid:durableId="2104836073">
    <w:abstractNumId w:val="7"/>
  </w:num>
  <w:num w:numId="4" w16cid:durableId="1156532416">
    <w:abstractNumId w:val="7"/>
  </w:num>
  <w:num w:numId="5" w16cid:durableId="1766611508">
    <w:abstractNumId w:val="6"/>
  </w:num>
  <w:num w:numId="6" w16cid:durableId="1511064344">
    <w:abstractNumId w:val="6"/>
  </w:num>
  <w:num w:numId="7" w16cid:durableId="1521048229">
    <w:abstractNumId w:val="5"/>
  </w:num>
  <w:num w:numId="8" w16cid:durableId="1643735689">
    <w:abstractNumId w:val="5"/>
  </w:num>
  <w:num w:numId="9" w16cid:durableId="1366053757">
    <w:abstractNumId w:val="4"/>
  </w:num>
  <w:num w:numId="10" w16cid:durableId="1803185348">
    <w:abstractNumId w:val="4"/>
  </w:num>
  <w:num w:numId="11" w16cid:durableId="145514783">
    <w:abstractNumId w:val="8"/>
  </w:num>
  <w:num w:numId="12" w16cid:durableId="1073696795">
    <w:abstractNumId w:val="8"/>
  </w:num>
  <w:num w:numId="13" w16cid:durableId="761099276">
    <w:abstractNumId w:val="3"/>
  </w:num>
  <w:num w:numId="14" w16cid:durableId="2071998182">
    <w:abstractNumId w:val="3"/>
  </w:num>
  <w:num w:numId="15" w16cid:durableId="1452557906">
    <w:abstractNumId w:val="2"/>
  </w:num>
  <w:num w:numId="16" w16cid:durableId="1810131059">
    <w:abstractNumId w:val="2"/>
  </w:num>
  <w:num w:numId="17" w16cid:durableId="418213216">
    <w:abstractNumId w:val="1"/>
  </w:num>
  <w:num w:numId="18" w16cid:durableId="342321791">
    <w:abstractNumId w:val="1"/>
  </w:num>
  <w:num w:numId="19" w16cid:durableId="1002899168">
    <w:abstractNumId w:val="0"/>
  </w:num>
  <w:num w:numId="20" w16cid:durableId="2028865866">
    <w:abstractNumId w:val="0"/>
  </w:num>
  <w:num w:numId="21" w16cid:durableId="1684355331">
    <w:abstractNumId w:val="9"/>
  </w:num>
  <w:num w:numId="22" w16cid:durableId="1819767271">
    <w:abstractNumId w:val="7"/>
  </w:num>
  <w:num w:numId="23" w16cid:durableId="400561408">
    <w:abstractNumId w:val="6"/>
  </w:num>
  <w:num w:numId="24" w16cid:durableId="1214150923">
    <w:abstractNumId w:val="5"/>
  </w:num>
  <w:num w:numId="25" w16cid:durableId="493834338">
    <w:abstractNumId w:val="4"/>
  </w:num>
  <w:num w:numId="26" w16cid:durableId="463502643">
    <w:abstractNumId w:val="8"/>
  </w:num>
  <w:num w:numId="27" w16cid:durableId="1831286803">
    <w:abstractNumId w:val="3"/>
  </w:num>
  <w:num w:numId="28" w16cid:durableId="356977045">
    <w:abstractNumId w:val="2"/>
  </w:num>
  <w:num w:numId="29" w16cid:durableId="215508401">
    <w:abstractNumId w:val="1"/>
  </w:num>
  <w:num w:numId="30" w16cid:durableId="1723284876">
    <w:abstractNumId w:val="0"/>
  </w:num>
  <w:num w:numId="31" w16cid:durableId="1724594747">
    <w:abstractNumId w:val="9"/>
  </w:num>
  <w:num w:numId="32" w16cid:durableId="1887109517">
    <w:abstractNumId w:val="7"/>
  </w:num>
  <w:num w:numId="33" w16cid:durableId="463735202">
    <w:abstractNumId w:val="6"/>
  </w:num>
  <w:num w:numId="34" w16cid:durableId="1580289633">
    <w:abstractNumId w:val="5"/>
  </w:num>
  <w:num w:numId="35" w16cid:durableId="1075862197">
    <w:abstractNumId w:val="4"/>
  </w:num>
  <w:num w:numId="36" w16cid:durableId="1275139203">
    <w:abstractNumId w:val="8"/>
  </w:num>
  <w:num w:numId="37" w16cid:durableId="1548686834">
    <w:abstractNumId w:val="3"/>
  </w:num>
  <w:num w:numId="38" w16cid:durableId="839659065">
    <w:abstractNumId w:val="2"/>
  </w:num>
  <w:num w:numId="39" w16cid:durableId="22630875">
    <w:abstractNumId w:val="1"/>
  </w:num>
  <w:num w:numId="40" w16cid:durableId="1941447371">
    <w:abstractNumId w:val="0"/>
  </w:num>
  <w:num w:numId="41" w16cid:durableId="1723215795">
    <w:abstractNumId w:val="10"/>
  </w:num>
  <w:num w:numId="42" w16cid:durableId="1823231822">
    <w:abstractNumId w:val="10"/>
  </w:num>
  <w:num w:numId="43" w16cid:durableId="1455905485">
    <w:abstractNumId w:val="10"/>
  </w:num>
  <w:num w:numId="44" w16cid:durableId="2514747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9/2025"/>
    <w:docVar w:name="dvlangue" w:val="HU"/>
    <w:docVar w:name="dvnumam" w:val="0"/>
    <w:docVar w:name="dvpe" w:val="772.015"/>
    <w:docVar w:name="dvrapporteur" w:val="Előadó: "/>
    <w:docVar w:name="dvtitre" w:val="Az Európai Parlament 2025.  ...-i jogalkotási állásfoglalása az (EU) 2017/1938 rendeletnek a gáztárolásnak a téli idényt megelőző gázellátás biztosításában betöltött szerepe tekintetében történő módosításáról szóló európai parlamenti és tanácsi rendeletre irányuló javaslatról(COM(2025)0099 – C10-0041/2025 – 2025/0051(COD))"/>
  </w:docVars>
  <w:rsids>
    <w:rsidRoot w:val="008558E2"/>
    <w:rsid w:val="00002272"/>
    <w:rsid w:val="00064002"/>
    <w:rsid w:val="000677B9"/>
    <w:rsid w:val="000831BA"/>
    <w:rsid w:val="000A37F2"/>
    <w:rsid w:val="000A42CC"/>
    <w:rsid w:val="000D6260"/>
    <w:rsid w:val="000E7DD9"/>
    <w:rsid w:val="0010095E"/>
    <w:rsid w:val="00125B37"/>
    <w:rsid w:val="00185D27"/>
    <w:rsid w:val="00187494"/>
    <w:rsid w:val="001B0EA6"/>
    <w:rsid w:val="001F32AE"/>
    <w:rsid w:val="002767FF"/>
    <w:rsid w:val="00283995"/>
    <w:rsid w:val="002923E4"/>
    <w:rsid w:val="002B18FE"/>
    <w:rsid w:val="002B5493"/>
    <w:rsid w:val="00343214"/>
    <w:rsid w:val="00361C00"/>
    <w:rsid w:val="00395FA1"/>
    <w:rsid w:val="003E15D4"/>
    <w:rsid w:val="00411CCE"/>
    <w:rsid w:val="0041666E"/>
    <w:rsid w:val="00421060"/>
    <w:rsid w:val="00425FFA"/>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58E2"/>
    <w:rsid w:val="00865F67"/>
    <w:rsid w:val="00881A7B"/>
    <w:rsid w:val="00881BB1"/>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56AA"/>
    <w:rsid w:val="00BE6ADC"/>
    <w:rsid w:val="00C05BFE"/>
    <w:rsid w:val="00C05C4A"/>
    <w:rsid w:val="00C23CD4"/>
    <w:rsid w:val="00C61C0C"/>
    <w:rsid w:val="00C941CB"/>
    <w:rsid w:val="00CC2244"/>
    <w:rsid w:val="00CC2357"/>
    <w:rsid w:val="00CF071A"/>
    <w:rsid w:val="00D058B8"/>
    <w:rsid w:val="00D56C11"/>
    <w:rsid w:val="00D834A0"/>
    <w:rsid w:val="00D872DF"/>
    <w:rsid w:val="00D91E21"/>
    <w:rsid w:val="00DA7FCD"/>
    <w:rsid w:val="00DC296A"/>
    <w:rsid w:val="00E365E1"/>
    <w:rsid w:val="00E820A4"/>
    <w:rsid w:val="00EB006A"/>
    <w:rsid w:val="00EB4772"/>
    <w:rsid w:val="00ED169E"/>
    <w:rsid w:val="00ED4235"/>
    <w:rsid w:val="00F04346"/>
    <w:rsid w:val="00F075DC"/>
    <w:rsid w:val="00F149E9"/>
    <w:rsid w:val="00F5134D"/>
    <w:rsid w:val="00F71F24"/>
    <w:rsid w:val="00F74202"/>
    <w:rsid w:val="00F84E91"/>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F47ADF"/>
  <w15:chartTrackingRefBased/>
  <w15:docId w15:val="{48ACD90A-5D38-47CD-8429-559A42008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SUPERS,Footnote reference number,Footnote symbol,note TESI,-E Fußnotenzeichen,number,Footnote call,16 Point,Superscript 6 Point,Footnote Reference Number,Footnote Reference_LVL6,Footnote Reference_LVL61,Footnote Reference_LVL62,BVI fn"/>
    <w:link w:val="BVIfnrCarCar1CarCarCarCarCarCarCarCarCarCar"/>
    <w:uiPriority w:val="99"/>
    <w:qFormat/>
    <w:rsid w:val="00395FA1"/>
    <w:rPr>
      <w:b w:val="0"/>
      <w:vertAlign w:val="superscript"/>
    </w:rPr>
  </w:style>
  <w:style w:type="paragraph" w:styleId="FootnoteText">
    <w:name w:val="footnote text"/>
    <w:aliases w:val="Footnote TextCSR,Znak,Note de bas de page Car Car Car Car,Note de bas de page Car Car Car Car Car1 Car,Note de bas de page Car Car1 Car,Note de bas de page Car1 Car,Note de bas de page Car1 Car Car1 Car,Reference,f,fn,fn Car,fußn,Footnotes"/>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CSR Char,Znak Char,Note de bas de page Car Car Car Car Char,Note de bas de page Car Car Car Car Car1 Car Char,Note de bas de page Car Car1 Car Char,Note de bas de page Car1 Car Char,Reference Char,f Char,fn Char,fußn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E56AA"/>
    <w:pPr>
      <w:spacing w:before="480" w:after="240"/>
    </w:pPr>
  </w:style>
  <w:style w:type="paragraph" w:customStyle="1" w:styleId="NormalBold">
    <w:name w:val="NormalBold"/>
    <w:basedOn w:val="Normal"/>
    <w:rsid w:val="00BE56AA"/>
    <w:rPr>
      <w:b/>
    </w:rPr>
  </w:style>
  <w:style w:type="paragraph" w:customStyle="1" w:styleId="NormalHanging12a">
    <w:name w:val="NormalHanging12a"/>
    <w:basedOn w:val="Normal"/>
    <w:link w:val="NormalHanging12aChar"/>
    <w:rsid w:val="00BE56AA"/>
    <w:pPr>
      <w:spacing w:after="240"/>
      <w:ind w:left="567" w:hanging="567"/>
    </w:pPr>
  </w:style>
  <w:style w:type="paragraph" w:customStyle="1" w:styleId="NormalCenter12a">
    <w:name w:val="NormalCenter12a"/>
    <w:basedOn w:val="Normal"/>
    <w:rsid w:val="00BE56AA"/>
    <w:pPr>
      <w:spacing w:after="240"/>
      <w:jc w:val="center"/>
    </w:pPr>
  </w:style>
  <w:style w:type="paragraph" w:customStyle="1" w:styleId="AmNumberTabs">
    <w:name w:val="AmNumberTabs"/>
    <w:basedOn w:val="Normal"/>
    <w:rsid w:val="00BE56A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BE56AA"/>
    <w:pPr>
      <w:spacing w:before="720" w:after="240"/>
      <w:jc w:val="center"/>
    </w:pPr>
  </w:style>
  <w:style w:type="paragraph" w:customStyle="1" w:styleId="Titrearticle">
    <w:name w:val="Titre article"/>
    <w:basedOn w:val="Normal"/>
    <w:next w:val="Normal"/>
    <w:rsid w:val="00BE56AA"/>
    <w:pPr>
      <w:keepNext/>
      <w:widowControl/>
      <w:spacing w:before="360" w:after="120"/>
      <w:jc w:val="center"/>
    </w:pPr>
    <w:rPr>
      <w:rFonts w:eastAsiaTheme="minorHAnsi"/>
      <w:i/>
      <w:szCs w:val="22"/>
      <w:lang w:eastAsia="en-US"/>
    </w:rPr>
  </w:style>
  <w:style w:type="character" w:customStyle="1" w:styleId="NormalHanging12aChar">
    <w:name w:val="NormalHanging12a Char"/>
    <w:basedOn w:val="DefaultParagraphFont"/>
    <w:link w:val="NormalHanging12a"/>
    <w:rsid w:val="00BE56AA"/>
    <w:rPr>
      <w:sz w:val="24"/>
      <w:lang w:val="hu-HU"/>
    </w:rPr>
  </w:style>
  <w:style w:type="paragraph" w:styleId="BalloonText">
    <w:name w:val="Balloon Text"/>
    <w:basedOn w:val="Normal"/>
    <w:link w:val="BalloonTextChar"/>
    <w:rsid w:val="002923E4"/>
    <w:rPr>
      <w:rFonts w:ascii="Segoe UI" w:hAnsi="Segoe UI" w:cs="Segoe UI"/>
      <w:sz w:val="18"/>
      <w:szCs w:val="18"/>
    </w:rPr>
  </w:style>
  <w:style w:type="character" w:customStyle="1" w:styleId="BalloonTextChar">
    <w:name w:val="Balloon Text Char"/>
    <w:basedOn w:val="DefaultParagraphFont"/>
    <w:link w:val="BalloonText"/>
    <w:rsid w:val="002923E4"/>
    <w:rPr>
      <w:rFonts w:ascii="Segoe UI" w:hAnsi="Segoe UI" w:cs="Segoe UI"/>
      <w:sz w:val="18"/>
      <w:szCs w:val="18"/>
      <w:lang w:val="hu-HU"/>
    </w:rPr>
  </w:style>
  <w:style w:type="paragraph" w:customStyle="1" w:styleId="Normal12a">
    <w:name w:val="Normal12a"/>
    <w:basedOn w:val="Normal"/>
    <w:rsid w:val="002923E4"/>
    <w:pPr>
      <w:spacing w:after="240"/>
    </w:pPr>
  </w:style>
  <w:style w:type="paragraph" w:customStyle="1" w:styleId="HeadingDate">
    <w:name w:val="HeadingDate"/>
    <w:basedOn w:val="Normal"/>
    <w:rsid w:val="002923E4"/>
    <w:pPr>
      <w:spacing w:before="240" w:after="240"/>
    </w:pPr>
  </w:style>
  <w:style w:type="character" w:styleId="Hyperlink">
    <w:name w:val="Hyperlink"/>
    <w:basedOn w:val="DefaultParagraphFont"/>
    <w:rsid w:val="00283995"/>
    <w:rPr>
      <w:color w:val="0563C1" w:themeColor="hyperlink"/>
      <w:u w:val="single"/>
    </w:rPr>
  </w:style>
  <w:style w:type="paragraph" w:customStyle="1" w:styleId="BVIfnrCarCar1CarCarCarCarCarCarCarCarCarCar">
    <w:name w:val="BVI fnr Car Car1 Car Car Car Car Car Car Car Car Car Car"/>
    <w:aliases w:val="BVI fnr Car Car Car Car Car Car Car Car Car Car Car Car Car Car,BVI fnr Car Char Char Char Char Char Car,ftref,BVI fnr Car Car1 Car Car Car Car Car Car Car Car Car Car Car Car"/>
    <w:basedOn w:val="Normal"/>
    <w:link w:val="FootnoteReference"/>
    <w:uiPriority w:val="99"/>
    <w:rsid w:val="00283995"/>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2/103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E64F39-CD68-4DBD-B2F5-10A2287A1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2851</Words>
  <Characters>20159</Characters>
  <Application>Microsoft Office Word</Application>
  <DocSecurity>0</DocSecurity>
  <Lines>167</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SALAT Adriana</cp:lastModifiedBy>
  <cp:revision>2</cp:revision>
  <cp:lastPrinted>2004-11-19T15:42:00Z</cp:lastPrinted>
  <dcterms:created xsi:type="dcterms:W3CDTF">2025-09-16T13:28:00Z</dcterms:created>
  <dcterms:modified xsi:type="dcterms:W3CDTF">2025-09-16T13:28:00Z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P10_TA(2025)0101_</vt:lpwstr>
  </property>
  <property fmtid="{D5CDD505-2E9C-101B-9397-08002B2CF9AE}" pid="4" name="&lt;Type&gt;">
    <vt:lpwstr>RR</vt:lpwstr>
  </property>
</Properties>
</file>