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3B8B" w:rsidTr="0010095E">
        <w:trPr>
          <w:trHeight w:hRule="exact" w:val="1418"/>
        </w:trPr>
        <w:tc>
          <w:tcPr>
            <w:tcW w:w="6804" w:type="dxa"/>
            <w:shd w:val="clear" w:color="auto" w:fill="auto"/>
            <w:vAlign w:val="center"/>
          </w:tcPr>
          <w:p w:rsidR="00751A4A" w:rsidRPr="004E3B8B" w:rsidRDefault="00C646F9" w:rsidP="0010095E">
            <w:pPr>
              <w:pStyle w:val="EPName"/>
            </w:pPr>
            <w:bookmarkStart w:id="0" w:name="_GoBack"/>
            <w:bookmarkEnd w:id="0"/>
            <w:r w:rsidRPr="004E3B8B">
              <w:t>Eiropas Parlaments</w:t>
            </w:r>
          </w:p>
          <w:p w:rsidR="00751A4A" w:rsidRPr="004E3B8B" w:rsidRDefault="005F1B17" w:rsidP="005F1B17">
            <w:pPr>
              <w:pStyle w:val="EPTerm"/>
              <w:rPr>
                <w:rStyle w:val="HideTWBExt"/>
                <w:noProof w:val="0"/>
                <w:vanish w:val="0"/>
                <w:color w:val="auto"/>
              </w:rPr>
            </w:pPr>
            <w:r w:rsidRPr="004E3B8B">
              <w:t>2024</w:t>
            </w:r>
            <w:r w:rsidR="00817416" w:rsidRPr="004E3B8B">
              <w:t>-202</w:t>
            </w:r>
            <w:r w:rsidRPr="004E3B8B">
              <w:t>9</w:t>
            </w:r>
          </w:p>
        </w:tc>
        <w:tc>
          <w:tcPr>
            <w:tcW w:w="2268" w:type="dxa"/>
            <w:shd w:val="clear" w:color="auto" w:fill="auto"/>
          </w:tcPr>
          <w:p w:rsidR="00751A4A" w:rsidRPr="004E3B8B" w:rsidRDefault="00187494" w:rsidP="0010095E">
            <w:pPr>
              <w:pStyle w:val="EPLogo"/>
            </w:pPr>
            <w:r w:rsidRPr="004E3B8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3B8B" w:rsidRDefault="00D058B8" w:rsidP="004C5D52">
      <w:pPr>
        <w:pStyle w:val="LineTop"/>
      </w:pPr>
    </w:p>
    <w:p w:rsidR="00680577" w:rsidRPr="004E3B8B" w:rsidRDefault="00C646F9" w:rsidP="00680577">
      <w:pPr>
        <w:pStyle w:val="EPBodyTA1"/>
      </w:pPr>
      <w:r w:rsidRPr="004E3B8B">
        <w:t>PIEŅEMTIE TEKSTI</w:t>
      </w:r>
    </w:p>
    <w:p w:rsidR="00D058B8" w:rsidRPr="004E3B8B" w:rsidRDefault="00D058B8" w:rsidP="00D058B8">
      <w:pPr>
        <w:pStyle w:val="LineBottom"/>
      </w:pPr>
    </w:p>
    <w:p w:rsidR="00C646F9" w:rsidRPr="004E3B8B" w:rsidRDefault="00C646F9" w:rsidP="00C646F9">
      <w:pPr>
        <w:pStyle w:val="ATHeading1"/>
      </w:pPr>
      <w:bookmarkStart w:id="1" w:name="TANumber"/>
      <w:r w:rsidRPr="004E3B8B">
        <w:t>P10_TA(2025)</w:t>
      </w:r>
      <w:bookmarkEnd w:id="1"/>
      <w:r w:rsidR="001822C6" w:rsidRPr="004E3B8B">
        <w:t>0101</w:t>
      </w:r>
    </w:p>
    <w:p w:rsidR="00C646F9" w:rsidRPr="004E3B8B" w:rsidRDefault="00124503" w:rsidP="00C646F9">
      <w:pPr>
        <w:pStyle w:val="ATHeading2"/>
      </w:pPr>
      <w:r w:rsidRPr="004E3B8B">
        <w:t>Gāzes uzglabāšanas loma gāzes piegāžu nodrošināšanā pirms ziemas sezonas sākuma</w:t>
      </w:r>
    </w:p>
    <w:p w:rsidR="00C646F9" w:rsidRPr="004E3B8B" w:rsidRDefault="00C646F9" w:rsidP="00C646F9">
      <w:pPr>
        <w:rPr>
          <w:i/>
          <w:vanish/>
        </w:rPr>
      </w:pPr>
      <w:r w:rsidRPr="004E3B8B">
        <w:rPr>
          <w:i/>
        </w:rPr>
        <w:fldChar w:fldCharType="begin"/>
      </w:r>
      <w:r w:rsidRPr="004E3B8B">
        <w:rPr>
          <w:i/>
        </w:rPr>
        <w:instrText xml:space="preserve"> TC"(</w:instrText>
      </w:r>
      <w:bookmarkStart w:id="2" w:name="DocNumber"/>
      <w:r w:rsidRPr="004E3B8B">
        <w:rPr>
          <w:i/>
        </w:rPr>
        <w:instrText>A10-0079/2025</w:instrText>
      </w:r>
      <w:bookmarkEnd w:id="2"/>
      <w:r w:rsidRPr="004E3B8B">
        <w:rPr>
          <w:i/>
        </w:rPr>
        <w:instrText xml:space="preserve"> - Referents: Borys Budka)"\l3 \n&gt; \* MERGEFORMAT </w:instrText>
      </w:r>
      <w:r w:rsidRPr="004E3B8B">
        <w:rPr>
          <w:i/>
        </w:rPr>
        <w:fldChar w:fldCharType="end"/>
      </w:r>
    </w:p>
    <w:p w:rsidR="00C646F9" w:rsidRPr="004E3B8B" w:rsidRDefault="00C646F9" w:rsidP="00C646F9">
      <w:pPr>
        <w:rPr>
          <w:vanish/>
        </w:rPr>
      </w:pPr>
      <w:bookmarkStart w:id="3" w:name="Commission"/>
      <w:r w:rsidRPr="004E3B8B">
        <w:rPr>
          <w:vanish/>
        </w:rPr>
        <w:t>Rūpniecības, pētniecības un enerģētikas komiteja</w:t>
      </w:r>
      <w:bookmarkEnd w:id="3"/>
    </w:p>
    <w:p w:rsidR="00C646F9" w:rsidRPr="004E3B8B" w:rsidRDefault="00C646F9" w:rsidP="00C646F9">
      <w:pPr>
        <w:rPr>
          <w:vanish/>
        </w:rPr>
      </w:pPr>
      <w:bookmarkStart w:id="4" w:name="PE"/>
      <w:r w:rsidRPr="004E3B8B">
        <w:rPr>
          <w:vanish/>
        </w:rPr>
        <w:t>PE772.015</w:t>
      </w:r>
      <w:bookmarkEnd w:id="4"/>
    </w:p>
    <w:p w:rsidR="001E5D00" w:rsidRPr="004E3B8B" w:rsidRDefault="00C646F9" w:rsidP="00124503">
      <w:pPr>
        <w:pStyle w:val="ATHeading3"/>
      </w:pPr>
      <w:bookmarkStart w:id="5" w:name="Sujet"/>
      <w:r w:rsidRPr="004E3B8B">
        <w:t xml:space="preserve">Eiropas Parlamenta 2025. gada </w:t>
      </w:r>
      <w:r w:rsidR="00264487" w:rsidRPr="004E3B8B">
        <w:t>8</w:t>
      </w:r>
      <w:r w:rsidRPr="004E3B8B">
        <w:t xml:space="preserve">. </w:t>
      </w:r>
      <w:r w:rsidR="001822C6" w:rsidRPr="004E3B8B">
        <w:t>maijā pieņemtie grozījumi priekšlikumā</w:t>
      </w:r>
      <w:r w:rsidRPr="004E3B8B">
        <w:t xml:space="preserve"> Eiropas Parlamenta un Padomes regulai, ar ko Regulu (ES) 2017/1938 groza attiecībā uz gāzes uzglabāšanas lomu gāzes piegāžu nodrošināšanā pirms ziemas sezonas sākuma</w:t>
      </w:r>
      <w:bookmarkEnd w:id="5"/>
      <w:r w:rsidRPr="004E3B8B">
        <w:t xml:space="preserve"> </w:t>
      </w:r>
      <w:bookmarkStart w:id="6" w:name="References"/>
      <w:r w:rsidRPr="004E3B8B">
        <w:t>(COM(2025)0099 – C10-0041/2025 – 2025/0051(COD))</w:t>
      </w:r>
      <w:bookmarkStart w:id="7" w:name="TextBodyBegin"/>
      <w:bookmarkEnd w:id="6"/>
      <w:bookmarkEnd w:id="7"/>
      <w:r w:rsidR="001822C6" w:rsidRPr="004E3B8B">
        <w:rPr>
          <w:rStyle w:val="FootnoteReference"/>
        </w:rPr>
        <w:footnoteReference w:id="1"/>
      </w:r>
    </w:p>
    <w:p w:rsidR="001E5D00" w:rsidRPr="004E3B8B" w:rsidRDefault="001E5D00" w:rsidP="001E5D00">
      <w:pPr>
        <w:pStyle w:val="NormalBold"/>
      </w:pPr>
      <w:r w:rsidRPr="004E3B8B">
        <w:t>(Parastā likumdošanas procedūra: pirmais lasījums)</w:t>
      </w:r>
    </w:p>
    <w:p w:rsidR="001E5D00" w:rsidRPr="004E3B8B" w:rsidRDefault="001E5D00" w:rsidP="001E5D00">
      <w:pPr>
        <w:widowControl/>
      </w:pPr>
    </w:p>
    <w:p w:rsidR="001E5D00" w:rsidRPr="004E3B8B" w:rsidRDefault="004E3B8B" w:rsidP="001E5D00">
      <w:pPr>
        <w:pStyle w:val="AmNumberTabs"/>
        <w:keepNext/>
      </w:pPr>
      <w:r w:rsidRPr="004E3B8B">
        <w:rPr>
          <w:szCs w:val="24"/>
        </w:rPr>
        <w:t>[</w:t>
      </w:r>
      <w:r w:rsidR="001E5D00" w:rsidRPr="004E3B8B">
        <w:t>Grozījums Nr.</w:t>
      </w:r>
      <w:r w:rsidR="001E5D00" w:rsidRPr="004E3B8B">
        <w:tab/>
      </w:r>
      <w:r w:rsidR="001E5D00" w:rsidRPr="004E3B8B">
        <w:tab/>
        <w:t>1</w:t>
      </w:r>
      <w:r w:rsidRPr="004E3B8B">
        <w:t>, ja nav norādīts citādi</w:t>
      </w:r>
      <w:r w:rsidRPr="004E3B8B">
        <w:rPr>
          <w:szCs w:val="24"/>
        </w:rPr>
        <w:t>]</w:t>
      </w:r>
    </w:p>
    <w:p w:rsidR="001E5D00" w:rsidRPr="004E3B8B" w:rsidRDefault="001E5D00" w:rsidP="001E5D00">
      <w:pPr>
        <w:pStyle w:val="AmHeadingConsam"/>
      </w:pPr>
      <w:r w:rsidRPr="004E3B8B">
        <w:t>EIROPAS PARLAMENTA GROZĪJUMI</w:t>
      </w:r>
      <w:r w:rsidRPr="004E3B8B">
        <w:rPr>
          <w:rStyle w:val="FootnoteReference"/>
        </w:rPr>
        <w:footnoteReference w:customMarkFollows="1" w:id="2"/>
        <w:t>*</w:t>
      </w:r>
    </w:p>
    <w:p w:rsidR="001E5D00" w:rsidRPr="004E3B8B" w:rsidRDefault="001E5D00" w:rsidP="001E5D00">
      <w:pPr>
        <w:pStyle w:val="NormalCenter12a"/>
      </w:pPr>
      <w:r w:rsidRPr="004E3B8B">
        <w:t>Komisijas priekšlikumā</w:t>
      </w:r>
    </w:p>
    <w:p w:rsidR="001E5D00" w:rsidRPr="004E3B8B" w:rsidRDefault="001E5D00" w:rsidP="001E5D00">
      <w:pPr>
        <w:pStyle w:val="NormalCenter12a"/>
      </w:pPr>
      <w:r w:rsidRPr="004E3B8B">
        <w:t>---------------------------------------------------------</w:t>
      </w:r>
    </w:p>
    <w:p w:rsidR="001E5D00" w:rsidRPr="004E3B8B" w:rsidRDefault="001E5D00" w:rsidP="001E5D00">
      <w:pPr>
        <w:pStyle w:val="NormalCenter12a"/>
      </w:pPr>
    </w:p>
    <w:p w:rsidR="001E5D00" w:rsidRPr="004E3B8B" w:rsidRDefault="001E5D00" w:rsidP="001E5D00">
      <w:pPr>
        <w:pStyle w:val="NormalCenter12a"/>
        <w:rPr>
          <w:b/>
        </w:rPr>
      </w:pPr>
      <w:r w:rsidRPr="004E3B8B">
        <w:rPr>
          <w:b/>
        </w:rPr>
        <w:t>EIROPAS PARLAMENTA UN PADOMES REGULA,</w:t>
      </w:r>
    </w:p>
    <w:p w:rsidR="001E5D00" w:rsidRPr="004E3B8B" w:rsidRDefault="001E5D00" w:rsidP="001E5D00">
      <w:pPr>
        <w:pStyle w:val="NormalCenter12a"/>
      </w:pPr>
      <w:r w:rsidRPr="004E3B8B">
        <w:rPr>
          <w:b/>
        </w:rPr>
        <w:t>ar ko Regulu (ES) 2017/1938 groza attiecībā uz gāzes uzglabāšanas lomu gāzes piegāžu nodrošināšanā pirms ziemas sezonas sākuma</w:t>
      </w:r>
    </w:p>
    <w:p w:rsidR="001E5D00" w:rsidRPr="004E3B8B" w:rsidRDefault="001E5D00" w:rsidP="001E5D00">
      <w:pPr>
        <w:pStyle w:val="NormalCenter12a"/>
        <w:jc w:val="left"/>
      </w:pPr>
      <w:r w:rsidRPr="004E3B8B">
        <w:t>EIROPAS PARLAMENTS UN EIROPAS SAVIENĪBAS PADOME,</w:t>
      </w:r>
    </w:p>
    <w:p w:rsidR="001E5D00" w:rsidRPr="004E3B8B" w:rsidRDefault="001E5D00" w:rsidP="001E5D00">
      <w:pPr>
        <w:pStyle w:val="NormalCenter12a"/>
        <w:jc w:val="left"/>
      </w:pPr>
      <w:r w:rsidRPr="004E3B8B">
        <w:t>ņemot vērā Līgumu par Eiropas Savienības darbību un jo īpaši tā 194. panta 2. punktu,</w:t>
      </w:r>
    </w:p>
    <w:p w:rsidR="001E5D00" w:rsidRPr="004E3B8B" w:rsidRDefault="001E5D00" w:rsidP="001E5D00">
      <w:pPr>
        <w:pStyle w:val="NormalCenter12a"/>
        <w:jc w:val="left"/>
      </w:pPr>
      <w:r w:rsidRPr="004E3B8B">
        <w:t>ņemot vērā Eiropas Komisijas priekšlikumu,</w:t>
      </w:r>
    </w:p>
    <w:p w:rsidR="001E5D00" w:rsidRPr="004E3B8B" w:rsidRDefault="001E5D00" w:rsidP="001E5D00">
      <w:pPr>
        <w:pStyle w:val="NormalCenter12a"/>
        <w:jc w:val="left"/>
      </w:pPr>
      <w:r w:rsidRPr="004E3B8B">
        <w:lastRenderedPageBreak/>
        <w:t>pēc leģislatīvā akta projekta nosūtīšanas valstu parlamentiem,</w:t>
      </w:r>
    </w:p>
    <w:p w:rsidR="001E5D00" w:rsidRPr="004E3B8B" w:rsidRDefault="001E5D00" w:rsidP="001E5D00">
      <w:pPr>
        <w:pStyle w:val="NormalCenter12a"/>
        <w:jc w:val="left"/>
      </w:pPr>
      <w:r w:rsidRPr="004E3B8B">
        <w:t>saskaņā ar parasto likumdošanas procedūru,</w:t>
      </w:r>
    </w:p>
    <w:p w:rsidR="001E5D00" w:rsidRPr="004E3B8B" w:rsidRDefault="001E5D00" w:rsidP="001E5D00">
      <w:pPr>
        <w:pStyle w:val="NormalCenter12a"/>
        <w:jc w:val="left"/>
      </w:pPr>
      <w:r w:rsidRPr="004E3B8B">
        <w:t>tā kā:</w:t>
      </w:r>
    </w:p>
    <w:p w:rsidR="001E5D00" w:rsidRPr="004E3B8B" w:rsidRDefault="001E5D00" w:rsidP="001E5D00">
      <w:pPr>
        <w:pStyle w:val="NormalHanging12a"/>
        <w:ind w:left="851" w:hanging="851"/>
      </w:pPr>
      <w:r w:rsidRPr="004E3B8B">
        <w:t>(1)</w:t>
      </w:r>
      <w:r w:rsidRPr="004E3B8B">
        <w:tab/>
        <w:t xml:space="preserve">Gāzes piegāžu krīze un nepieredzēts cenu kāpums, ko izraisīja </w:t>
      </w:r>
      <w:r w:rsidRPr="004E3B8B">
        <w:rPr>
          <w:b/>
          <w:bCs/>
          <w:i/>
          <w:iCs/>
        </w:rPr>
        <w:t>Krievijas nepamatotā un neprovocētā</w:t>
      </w:r>
      <w:r w:rsidRPr="004E3B8B">
        <w:t xml:space="preserve"> agresijas </w:t>
      </w:r>
      <w:r w:rsidRPr="004E3B8B">
        <w:rPr>
          <w:b/>
          <w:bCs/>
          <w:i/>
          <w:iCs/>
        </w:rPr>
        <w:t>kara</w:t>
      </w:r>
      <w:r w:rsidRPr="004E3B8B">
        <w:t xml:space="preserve"> pret Ukrainu eskalācija, kurš joprojām turpinās kopš 2022. gada februāra, lika Savienībai rīkoties koordinēti un visaptveroši, lai izvairītos no iespējama apdraudējuma, ko radītu turpmāki gāzes piegādes traucējumi, un šajā sakarā tika pieņemta Eiropas Parlamenta un Padomes Regula (ES) 2022/1032</w:t>
      </w:r>
      <w:r w:rsidRPr="004E3B8B">
        <w:rPr>
          <w:vertAlign w:val="superscript"/>
        </w:rPr>
        <w:footnoteReference w:id="3"/>
      </w:r>
      <w:r w:rsidRPr="004E3B8B">
        <w:t>.</w:t>
      </w:r>
    </w:p>
    <w:p w:rsidR="001822C6" w:rsidRPr="004E3B8B" w:rsidRDefault="001822C6" w:rsidP="001E5D00">
      <w:pPr>
        <w:pStyle w:val="NormalHanging12a"/>
        <w:ind w:left="851" w:hanging="851"/>
        <w:rPr>
          <w:szCs w:val="24"/>
        </w:rPr>
      </w:pPr>
      <w:r w:rsidRPr="004E3B8B">
        <w:rPr>
          <w:b/>
          <w:i/>
        </w:rPr>
        <w:t>(1a)</w:t>
      </w:r>
      <w:r w:rsidRPr="004E3B8B">
        <w:tab/>
      </w:r>
      <w:r w:rsidRPr="004E3B8B">
        <w:rPr>
          <w:b/>
          <w:i/>
        </w:rPr>
        <w:t xml:space="preserve">Ņemot vērā notiekošo Krievijas karu pret Ukrainu un saskaņā ar Savienības stratēģisko apņemšanos izbeigt tās atkarību no Krievijas fosilā kurināmā, dalībvalstīm būtu jāatturas uzglabāt Krievijas izcelsmes gāzi. </w:t>
      </w:r>
      <w:r w:rsidR="004E3B8B" w:rsidRPr="004E3B8B">
        <w:rPr>
          <w:b/>
          <w:i/>
        </w:rPr>
        <w:t>Minēta</w:t>
      </w:r>
      <w:r w:rsidRPr="004E3B8B">
        <w:rPr>
          <w:b/>
          <w:i/>
        </w:rPr>
        <w:t xml:space="preserve">jā kontekstā Savienībai būtu jāīsteno koordinētas un tūlītējas sankcijas visas Krievijas gāzes, tostarp sašķidrinātās dabasgāzes (LNG), importam un iepirkumiem. ENTSO-G 2024.–2025. gada ziemas piegādes prognoze apstiprina, ka Savienība var sasniegt savus uzglabāšanas </w:t>
      </w:r>
      <w:proofErr w:type="spellStart"/>
      <w:r w:rsidRPr="004E3B8B">
        <w:rPr>
          <w:b/>
          <w:i/>
        </w:rPr>
        <w:t>mērķrādītājus</w:t>
      </w:r>
      <w:proofErr w:type="spellEnd"/>
      <w:r w:rsidRPr="004E3B8B">
        <w:rPr>
          <w:b/>
          <w:i/>
        </w:rPr>
        <w:t xml:space="preserve"> un saglabāt piegādes drošību, nepaļaujoties uz Krievijas gāzi, bet īstenojot vairākus pasākumus, tostarp turpinot pieprasījuma samazināšanu. Tādēļ pilnīgs Krievijas gāzes embargo ir gan nepieciešams, gan iespējams, un, ātri to īstenojot, tiktu stiprināta Savienības enerģētiskā suverenitāte un ģeopolitiskā noturība.</w:t>
      </w:r>
      <w:r w:rsidR="004E3B8B" w:rsidRPr="004E3B8B">
        <w:rPr>
          <w:b/>
          <w:i/>
        </w:rPr>
        <w:t xml:space="preserve"> </w:t>
      </w:r>
      <w:r w:rsidR="004E3B8B" w:rsidRPr="004E3B8B">
        <w:rPr>
          <w:b/>
          <w:szCs w:val="24"/>
        </w:rPr>
        <w:t>[</w:t>
      </w:r>
      <w:r w:rsidR="004E3B8B" w:rsidRPr="004E3B8B">
        <w:rPr>
          <w:b/>
          <w:szCs w:val="24"/>
        </w:rPr>
        <w:t>Gr</w:t>
      </w:r>
      <w:r w:rsidR="004E3B8B" w:rsidRPr="004E3B8B">
        <w:rPr>
          <w:b/>
          <w:szCs w:val="24"/>
        </w:rPr>
        <w:t>. 7]</w:t>
      </w:r>
    </w:p>
    <w:p w:rsidR="001E5D00" w:rsidRPr="004E3B8B" w:rsidRDefault="001E5D00" w:rsidP="001E5D00">
      <w:pPr>
        <w:pStyle w:val="NormalCenter12a"/>
        <w:ind w:left="851" w:hanging="851"/>
        <w:jc w:val="left"/>
      </w:pPr>
      <w:r w:rsidRPr="004E3B8B">
        <w:t>(2)</w:t>
      </w:r>
      <w:r w:rsidRPr="004E3B8B">
        <w:tab/>
        <w:t>Regula (ES) 2022/1032 grozīja Regulu (ES) 2017/1938, ieviešot pagaidu tiesisko satvaru pasākumiem attiecībā uz pazemes krātuvju piepildījuma līmeni nolūkā stiprināt gāzes piegādes drošību Savienībā, it sevišķi gāzes piegādi aizsargājamiem lietotājiem.</w:t>
      </w:r>
    </w:p>
    <w:p w:rsidR="001E5D00" w:rsidRPr="004E3B8B" w:rsidRDefault="001E5D00" w:rsidP="001E5D00">
      <w:pPr>
        <w:pStyle w:val="NormalHanging12a"/>
        <w:ind w:left="851" w:hanging="851"/>
        <w:rPr>
          <w:szCs w:val="24"/>
        </w:rPr>
      </w:pPr>
      <w:r w:rsidRPr="004E3B8B">
        <w:t>(3)</w:t>
      </w:r>
      <w:r w:rsidRPr="004E3B8B">
        <w:tab/>
        <w:t>Gāzes krātuves nodrošina 30 % no Savienībā ziemas mēnešos patērētās gāzes, un labi piepildītas pazemes gāzes krātuves</w:t>
      </w:r>
      <w:r w:rsidRPr="004E3B8B">
        <w:rPr>
          <w:b/>
          <w:bCs/>
          <w:i/>
          <w:iCs/>
        </w:rPr>
        <w:t>, kā arī gāzes pieprasījuma samazināšanās</w:t>
      </w:r>
      <w:r w:rsidRPr="004E3B8B">
        <w:t xml:space="preserve"> sniedz būtisku ieguldījumu gāzes piegādes drošībā, nodrošinot papildu gāzi liela pieprasījuma vai piegādes traucējumu gadījumā.</w:t>
      </w:r>
    </w:p>
    <w:p w:rsidR="001E5D00" w:rsidRPr="004E3B8B" w:rsidRDefault="001E5D00" w:rsidP="001E5D00">
      <w:pPr>
        <w:pStyle w:val="NormalHanging12a"/>
        <w:ind w:left="851" w:hanging="851"/>
        <w:rPr>
          <w:szCs w:val="24"/>
        </w:rPr>
      </w:pPr>
      <w:r w:rsidRPr="004E3B8B">
        <w:t>(4)</w:t>
      </w:r>
      <w:r w:rsidRPr="004E3B8B">
        <w:tab/>
        <w:t xml:space="preserve">Obligāta </w:t>
      </w:r>
      <w:proofErr w:type="spellStart"/>
      <w:r w:rsidRPr="004E3B8B">
        <w:t>mērķrādītāja</w:t>
      </w:r>
      <w:proofErr w:type="spellEnd"/>
      <w:r w:rsidRPr="004E3B8B">
        <w:t xml:space="preserve"> noteikšana, lai nodrošinātu, ka gāzes krātuves līdz 1. novembrim ir piepildītas par 90 % (piepildījuma </w:t>
      </w:r>
      <w:proofErr w:type="spellStart"/>
      <w:r w:rsidRPr="004E3B8B">
        <w:t>mērķrādītājs</w:t>
      </w:r>
      <w:proofErr w:type="spellEnd"/>
      <w:r w:rsidRPr="004E3B8B">
        <w:t xml:space="preserve">), papildus nosakot virkni starpposma </w:t>
      </w:r>
      <w:proofErr w:type="spellStart"/>
      <w:r w:rsidRPr="004E3B8B">
        <w:t>mērķrādītāju</w:t>
      </w:r>
      <w:proofErr w:type="spellEnd"/>
      <w:r w:rsidRPr="004E3B8B">
        <w:t xml:space="preserve">, kas katrai dalībvalstij jāsasniedz līdz </w:t>
      </w:r>
      <w:r w:rsidRPr="004E3B8B">
        <w:rPr>
          <w:b/>
          <w:bCs/>
          <w:i/>
          <w:iCs/>
        </w:rPr>
        <w:t>nākamā</w:t>
      </w:r>
      <w:r w:rsidRPr="004E3B8B">
        <w:t xml:space="preserve"> gada februārim, maijam, jūlijam un septembrim (piepildījuma trajektorija), enerģētiskās krīzes laikā, kura izveidojās </w:t>
      </w:r>
      <w:r w:rsidRPr="004E3B8B">
        <w:rPr>
          <w:b/>
          <w:bCs/>
          <w:i/>
          <w:iCs/>
        </w:rPr>
        <w:t>Krievijas agresīvā kara pret Ukrainu rezultātā un Krievijai</w:t>
      </w:r>
      <w:r w:rsidRPr="004E3B8B">
        <w:t xml:space="preserve"> gāzes piegādes izmantojot par ieroci, izrādījās fundamentāli svarīga, lai (i) pārvarētu gāzes piegādes deficītu un ii) samazinātu tirgus nenoteiktību un cenu svārstīgumu.</w:t>
      </w:r>
    </w:p>
    <w:p w:rsidR="001E5D00" w:rsidRPr="004E3B8B" w:rsidRDefault="001E5D00" w:rsidP="001E5D00">
      <w:pPr>
        <w:pStyle w:val="NormalHanging12a"/>
        <w:ind w:left="851" w:hanging="851"/>
        <w:rPr>
          <w:szCs w:val="24"/>
        </w:rPr>
      </w:pPr>
      <w:r w:rsidRPr="004E3B8B">
        <w:t>(5)</w:t>
      </w:r>
      <w:r w:rsidRPr="004E3B8B">
        <w:tab/>
        <w:t>Neraugoties uz to, ka situācija gāzes tirgū salīdzinājumā ar 2022. un 2023. gada periodu ir būtiski uzlabojusies, Eiropas gāzes tirgus joprojām ir saspringts</w:t>
      </w:r>
      <w:r w:rsidRPr="004E3B8B">
        <w:rPr>
          <w:b/>
          <w:bCs/>
          <w:i/>
          <w:iCs/>
        </w:rPr>
        <w:t xml:space="preserve"> un saglabājas neskaidra ģeopolitiskā situācija</w:t>
      </w:r>
      <w:r w:rsidRPr="004E3B8B">
        <w:t>.</w:t>
      </w:r>
      <w:r w:rsidRPr="004E3B8B">
        <w:rPr>
          <w:b/>
          <w:i/>
        </w:rPr>
        <w:t xml:space="preserve"> </w:t>
      </w:r>
      <w:r w:rsidRPr="004E3B8B">
        <w:t xml:space="preserve">Intensīvāka konkurence uz </w:t>
      </w:r>
      <w:r w:rsidRPr="004E3B8B">
        <w:rPr>
          <w:i/>
          <w:iCs/>
        </w:rPr>
        <w:t>LNG</w:t>
      </w:r>
      <w:r w:rsidRPr="004E3B8B">
        <w:t xml:space="preserve"> piegādēm pasaulē var palielināt dalībvalstu pakļautību cenu svārstībām. ▌Šādā </w:t>
      </w:r>
      <w:r w:rsidRPr="004E3B8B">
        <w:lastRenderedPageBreak/>
        <w:t>situācijā gāzes uzglabāšanai joprojām ir ļoti svarīga loma. ▌</w:t>
      </w:r>
    </w:p>
    <w:p w:rsidR="001E5D00" w:rsidRPr="004E3B8B" w:rsidRDefault="001E5D00" w:rsidP="001E5D00">
      <w:pPr>
        <w:pStyle w:val="NormalCenter12a"/>
        <w:ind w:left="851" w:hanging="851"/>
        <w:jc w:val="left"/>
      </w:pPr>
      <w:r w:rsidRPr="004E3B8B">
        <w:t>(6)</w:t>
      </w:r>
      <w:r w:rsidRPr="004E3B8B">
        <w:tab/>
        <w:t xml:space="preserve">Saskaņā ar Regulu (ES) 2017/1938 dalībvalstu pienākums ievērot ikgadējo piepildījuma trajektoriju un nodrošināt, ka piepildījuma </w:t>
      </w:r>
      <w:proofErr w:type="spellStart"/>
      <w:r w:rsidRPr="004E3B8B">
        <w:t>mērķrādītājs</w:t>
      </w:r>
      <w:proofErr w:type="spellEnd"/>
      <w:r w:rsidRPr="004E3B8B">
        <w:t xml:space="preserve"> tiek sasniegts līdz katra gada 1. novembrim, beidzas 2025. gada 31. decembrī.</w:t>
      </w:r>
    </w:p>
    <w:p w:rsidR="001E5D00" w:rsidRPr="004E3B8B" w:rsidRDefault="001E5D00" w:rsidP="001E5D00">
      <w:pPr>
        <w:pStyle w:val="NormalHanging12a"/>
        <w:ind w:left="851" w:hanging="851"/>
        <w:rPr>
          <w:b/>
          <w:i/>
          <w:szCs w:val="24"/>
        </w:rPr>
      </w:pPr>
      <w:r w:rsidRPr="004E3B8B">
        <w:rPr>
          <w:b/>
          <w:i/>
        </w:rPr>
        <w:t>(6a)</w:t>
      </w:r>
      <w:r w:rsidRPr="004E3B8B">
        <w:rPr>
          <w:b/>
          <w:i/>
        </w:rPr>
        <w:tab/>
        <w:t xml:space="preserve">Kopš 2022. gada Savienībai lielā mērā ir izdevies padarīt gāzes piegādes drošākas, palielinot sašķidrinātās gāzes importu no uzticamiem globālajiem partneriem, un, pamatojoties uz </w:t>
      </w:r>
      <w:proofErr w:type="spellStart"/>
      <w:r w:rsidRPr="004E3B8B">
        <w:rPr>
          <w:b/>
          <w:i/>
        </w:rPr>
        <w:t>REPowerEU</w:t>
      </w:r>
      <w:proofErr w:type="spellEnd"/>
      <w:r w:rsidRPr="004E3B8B">
        <w:rPr>
          <w:b/>
          <w:i/>
        </w:rPr>
        <w:t xml:space="preserve"> panākto progresu, Savienības mērķis ir pilnībā atbrīvoties no atkarības no Krievijas fosilā kurināmā. Savienība ir izveidojusi jaunas </w:t>
      </w:r>
      <w:proofErr w:type="spellStart"/>
      <w:r w:rsidRPr="004E3B8B">
        <w:rPr>
          <w:b/>
          <w:i/>
        </w:rPr>
        <w:t>regazifikācijas</w:t>
      </w:r>
      <w:proofErr w:type="spellEnd"/>
      <w:r w:rsidRPr="004E3B8B">
        <w:rPr>
          <w:b/>
          <w:i/>
        </w:rPr>
        <w:t xml:space="preserve"> iekārtas un ostu termināļus, vienlaikus arī izveidojot sašķidrinātās gāzes tirgu, kas nodrošina spēcīgu noturību pret iespējamiem traucējumiem atlikušajās Krievijas piegādēs pa cauruļvadiem.</w:t>
      </w:r>
    </w:p>
    <w:p w:rsidR="001E5D00" w:rsidRPr="004E3B8B" w:rsidRDefault="001E5D00" w:rsidP="001E5D00">
      <w:pPr>
        <w:pStyle w:val="NormalHanging12a"/>
        <w:ind w:left="851" w:hanging="851"/>
        <w:rPr>
          <w:b/>
          <w:i/>
          <w:szCs w:val="24"/>
        </w:rPr>
      </w:pPr>
      <w:r w:rsidRPr="004E3B8B">
        <w:rPr>
          <w:b/>
          <w:i/>
        </w:rPr>
        <w:t>(6b)</w:t>
      </w:r>
      <w:r w:rsidRPr="004E3B8B">
        <w:rPr>
          <w:b/>
          <w:i/>
        </w:rPr>
        <w:tab/>
        <w:t xml:space="preserve">Ņemot vērā gāzes piegādātāju un gāzes </w:t>
      </w:r>
      <w:proofErr w:type="spellStart"/>
      <w:r w:rsidRPr="004E3B8B">
        <w:rPr>
          <w:b/>
          <w:i/>
        </w:rPr>
        <w:t>piegādātājvalstu</w:t>
      </w:r>
      <w:proofErr w:type="spellEnd"/>
      <w:r w:rsidRPr="004E3B8B">
        <w:rPr>
          <w:b/>
          <w:i/>
        </w:rPr>
        <w:t xml:space="preserve"> uzticamību, ir jāņem vērā mainītā globālā politiskā vide.</w:t>
      </w:r>
    </w:p>
    <w:p w:rsidR="001E5D00" w:rsidRPr="004E3B8B" w:rsidRDefault="001E5D00" w:rsidP="001E5D00">
      <w:pPr>
        <w:pStyle w:val="NormalHanging12a"/>
        <w:ind w:left="851" w:hanging="851"/>
        <w:rPr>
          <w:szCs w:val="24"/>
        </w:rPr>
      </w:pPr>
      <w:r w:rsidRPr="004E3B8B">
        <w:t>(7)</w:t>
      </w:r>
      <w:r w:rsidRPr="004E3B8B">
        <w:tab/>
      </w:r>
      <w:r w:rsidRPr="004E3B8B">
        <w:rPr>
          <w:b/>
          <w:bCs/>
          <w:i/>
          <w:iCs/>
        </w:rPr>
        <w:t xml:space="preserve">Ņemot vērā Eiropas sekmes mazināt ar gāzes importa struktūru saistīto risku, </w:t>
      </w:r>
      <w:r w:rsidRPr="004E3B8B">
        <w:t>vispārējam satvaram, kas nodrošina</w:t>
      </w:r>
      <w:r w:rsidRPr="004E3B8B">
        <w:rPr>
          <w:b/>
          <w:bCs/>
          <w:i/>
          <w:iCs/>
        </w:rPr>
        <w:t xml:space="preserve"> Savienības vajadzību pēc dabasgāzes, ir jārod līdzsvars starp energoapgādes drošību un atgriešanos pie tirgus principiem.</w:t>
      </w:r>
      <w:r w:rsidRPr="004E3B8B">
        <w:rPr>
          <w:b/>
          <w:i/>
        </w:rPr>
        <w:t xml:space="preserve"> </w:t>
      </w:r>
      <w:r w:rsidRPr="004E3B8B">
        <w:rPr>
          <w:b/>
          <w:bCs/>
          <w:i/>
          <w:iCs/>
        </w:rPr>
        <w:t>Tādējādi</w:t>
      </w:r>
      <w:r w:rsidRPr="004E3B8B">
        <w:t xml:space="preserve"> tam krātuvju piepildīšanas sezonā </w:t>
      </w:r>
      <w:r w:rsidRPr="004E3B8B">
        <w:rPr>
          <w:b/>
          <w:bCs/>
          <w:i/>
          <w:iCs/>
        </w:rPr>
        <w:t>ir jābūt</w:t>
      </w:r>
      <w:r w:rsidRPr="004E3B8B">
        <w:t xml:space="preserve"> pietiekami elastīgam, lai dotu iespēju ātri reaģēt uz pastāvīgi mainīgajiem tirgus apstākļiem, it sevišķi gūt labumu no visizdevīgākajiem iepirkuma nosacījumiem </w:t>
      </w:r>
      <w:r w:rsidRPr="004E3B8B">
        <w:rPr>
          <w:b/>
          <w:bCs/>
          <w:i/>
          <w:iCs/>
        </w:rPr>
        <w:t>nolūkā pazemināt gāzes cenas Eiropā</w:t>
      </w:r>
      <w:r w:rsidRPr="004E3B8B">
        <w:t xml:space="preserve">. </w:t>
      </w:r>
      <w:r w:rsidRPr="004E3B8B">
        <w:rPr>
          <w:b/>
          <w:i/>
        </w:rPr>
        <w:t xml:space="preserve">Tāpēc piepildījuma </w:t>
      </w:r>
      <w:proofErr w:type="spellStart"/>
      <w:r w:rsidRPr="004E3B8B">
        <w:rPr>
          <w:b/>
          <w:i/>
        </w:rPr>
        <w:t>mērķrādītājs</w:t>
      </w:r>
      <w:proofErr w:type="spellEnd"/>
      <w:r w:rsidRPr="004E3B8B">
        <w:rPr>
          <w:b/>
          <w:i/>
        </w:rPr>
        <w:t xml:space="preserve"> būtu jāpazemina līdz 83 %.</w:t>
      </w:r>
    </w:p>
    <w:p w:rsidR="001E5D00" w:rsidRPr="004E3B8B" w:rsidRDefault="001E5D00" w:rsidP="001E5D00">
      <w:pPr>
        <w:pStyle w:val="NormalHanging12a"/>
        <w:ind w:left="851" w:hanging="851"/>
        <w:rPr>
          <w:szCs w:val="24"/>
        </w:rPr>
      </w:pPr>
      <w:r w:rsidRPr="004E3B8B">
        <w:t>(8)</w:t>
      </w:r>
      <w:r w:rsidRPr="004E3B8B">
        <w:tab/>
      </w:r>
      <w:r w:rsidRPr="004E3B8B">
        <w:rPr>
          <w:b/>
          <w:bCs/>
          <w:i/>
          <w:iCs/>
        </w:rPr>
        <w:t xml:space="preserve">Lai uzlabotu tirgus stabilitāti un mazinātu pārmērīgas cenu nestabilitātes risku, ko varētu izraisīt starpposma piepildījuma </w:t>
      </w:r>
      <w:proofErr w:type="spellStart"/>
      <w:r w:rsidRPr="004E3B8B">
        <w:rPr>
          <w:b/>
          <w:bCs/>
          <w:i/>
          <w:iCs/>
        </w:rPr>
        <w:t>mērķrādītāji</w:t>
      </w:r>
      <w:proofErr w:type="spellEnd"/>
      <w:r w:rsidRPr="004E3B8B">
        <w:rPr>
          <w:b/>
          <w:bCs/>
          <w:i/>
          <w:iCs/>
        </w:rPr>
        <w:t>, ir lietderīgi nodrošināt lielāku elastību attiecībā uz krātuvju piepildīšanu.</w:t>
      </w:r>
      <w:r w:rsidRPr="004E3B8B">
        <w:t xml:space="preserve"> </w:t>
      </w:r>
      <w:r w:rsidRPr="004E3B8B">
        <w:rPr>
          <w:b/>
          <w:bCs/>
          <w:i/>
          <w:iCs/>
        </w:rPr>
        <w:t>Tāpēc</w:t>
      </w:r>
      <w:r w:rsidRPr="004E3B8B">
        <w:t xml:space="preserve"> dalībvalstīm </w:t>
      </w:r>
      <w:r w:rsidRPr="004E3B8B">
        <w:rPr>
          <w:b/>
          <w:bCs/>
          <w:i/>
          <w:iCs/>
        </w:rPr>
        <w:t>katru gadu būtu jāiesniedz indikatīvi piepildījuma plāni, kuros attiecīgā gadījumā varētu iekļaut</w:t>
      </w:r>
      <w:r w:rsidRPr="004E3B8B">
        <w:t xml:space="preserve"> indikatīvu </w:t>
      </w:r>
      <w:r w:rsidRPr="004E3B8B">
        <w:rPr>
          <w:b/>
          <w:bCs/>
          <w:i/>
          <w:iCs/>
        </w:rPr>
        <w:t>piepildījuma trajektoriju</w:t>
      </w:r>
      <w:r w:rsidRPr="004E3B8B">
        <w:t>, un būtu jāļauj krātuves piepildīt tā, lai tirgus dalībniekiem visa gada garumā būtu pieejama pietiekama elastība</w:t>
      </w:r>
      <w:r w:rsidRPr="004E3B8B">
        <w:rPr>
          <w:b/>
          <w:bCs/>
          <w:i/>
          <w:iCs/>
        </w:rPr>
        <w:t xml:space="preserve">, ņemot vērā </w:t>
      </w:r>
      <w:r w:rsidRPr="004E3B8B">
        <w:t xml:space="preserve">Ieteikumu </w:t>
      </w:r>
      <w:r w:rsidRPr="004E3B8B">
        <w:rPr>
          <w:b/>
          <w:bCs/>
          <w:i/>
          <w:iCs/>
        </w:rPr>
        <w:t>(2025)1481</w:t>
      </w:r>
      <w:r w:rsidRPr="004E3B8B">
        <w:t>.</w:t>
      </w:r>
    </w:p>
    <w:p w:rsidR="001E5D00" w:rsidRPr="004E3B8B" w:rsidRDefault="001E5D00" w:rsidP="001E5D00">
      <w:pPr>
        <w:pStyle w:val="NormalHanging12a"/>
        <w:ind w:left="851" w:hanging="851"/>
        <w:rPr>
          <w:b/>
          <w:i/>
          <w:szCs w:val="24"/>
        </w:rPr>
      </w:pPr>
      <w:r w:rsidRPr="004E3B8B">
        <w:rPr>
          <w:b/>
          <w:i/>
        </w:rPr>
        <w:t>(8a)</w:t>
      </w:r>
      <w:r w:rsidRPr="004E3B8B">
        <w:rPr>
          <w:b/>
          <w:i/>
        </w:rPr>
        <w:tab/>
        <w:t xml:space="preserve">Dalībvalstīm vajadzētu būt iespējai par ne vairāk kā četriem procentpunktiem novirzīties no piepildījuma </w:t>
      </w:r>
      <w:proofErr w:type="spellStart"/>
      <w:r w:rsidRPr="004E3B8B">
        <w:rPr>
          <w:b/>
          <w:i/>
        </w:rPr>
        <w:t>mērķrādītāja</w:t>
      </w:r>
      <w:proofErr w:type="spellEnd"/>
      <w:r w:rsidRPr="004E3B8B">
        <w:rPr>
          <w:b/>
          <w:i/>
        </w:rPr>
        <w:t xml:space="preserve"> nelabvēlīgu tirgus apstākļu gadījumā, kas cita starpā saistīti ar tādiem faktoriem kā piedāvājums, pieprasījums un konkurence vai tirdzniecības darbības, kuras kavē </w:t>
      </w:r>
      <w:proofErr w:type="spellStart"/>
      <w:r w:rsidRPr="004E3B8B">
        <w:rPr>
          <w:b/>
          <w:i/>
        </w:rPr>
        <w:t>izmaksefektīvu</w:t>
      </w:r>
      <w:proofErr w:type="spellEnd"/>
      <w:r w:rsidRPr="004E3B8B">
        <w:rPr>
          <w:b/>
          <w:i/>
        </w:rPr>
        <w:t xml:space="preserve"> krātuvju piepildīšanu un būtiski ierobežo spēju nodrošināt, ka gāzes krātuves tiek piepildītas saskaņā ar šo regulu.</w:t>
      </w:r>
    </w:p>
    <w:p w:rsidR="001E5D00" w:rsidRPr="004E3B8B" w:rsidRDefault="001E5D00" w:rsidP="001E5D00">
      <w:pPr>
        <w:pStyle w:val="NormalHanging12a"/>
        <w:ind w:left="851" w:hanging="851"/>
        <w:rPr>
          <w:b/>
          <w:i/>
          <w:szCs w:val="24"/>
        </w:rPr>
      </w:pPr>
      <w:r w:rsidRPr="004E3B8B">
        <w:rPr>
          <w:b/>
          <w:i/>
        </w:rPr>
        <w:t>(8b)</w:t>
      </w:r>
      <w:r w:rsidRPr="004E3B8B">
        <w:rPr>
          <w:b/>
          <w:i/>
        </w:rPr>
        <w:tab/>
        <w:t>Turklāt Komisija būtu jāpilnvaro pieņemt deleģētos aktus, lai attiecībā uz vienu piepildīšanas sezonu grozītu atļauto četru procentpunktu novirzi, palielinot to par ne vairāk kā četriem procentpunktiem ilgstoši nelabvēlīgu tirgus apstākļu gadījumā.</w:t>
      </w:r>
    </w:p>
    <w:p w:rsidR="001E5D00" w:rsidRPr="004E3B8B" w:rsidRDefault="001E5D00" w:rsidP="001E5D00">
      <w:pPr>
        <w:pStyle w:val="NormalHanging12a"/>
        <w:ind w:left="851" w:hanging="851"/>
        <w:rPr>
          <w:b/>
          <w:i/>
          <w:szCs w:val="24"/>
        </w:rPr>
      </w:pPr>
      <w:r w:rsidRPr="004E3B8B">
        <w:rPr>
          <w:b/>
          <w:i/>
        </w:rPr>
        <w:t>(8c)</w:t>
      </w:r>
      <w:r w:rsidRPr="004E3B8B">
        <w:rPr>
          <w:b/>
          <w:i/>
        </w:rPr>
        <w:tab/>
        <w:t>Šajā regulā paredzēto elastības iespēju un atkāpju kumulatīvajai ietekmei nevajadzētu samazināt kopējo krātuvju piepildīšanas pienākumu zem 75 %.</w:t>
      </w:r>
    </w:p>
    <w:p w:rsidR="001E5D00" w:rsidRPr="004E3B8B" w:rsidRDefault="001E5D00" w:rsidP="001E5D00">
      <w:pPr>
        <w:pStyle w:val="NormalHanging12a"/>
        <w:ind w:left="851" w:hanging="851"/>
        <w:rPr>
          <w:szCs w:val="24"/>
        </w:rPr>
      </w:pPr>
      <w:r w:rsidRPr="004E3B8B">
        <w:t>(9)</w:t>
      </w:r>
      <w:r w:rsidRPr="004E3B8B">
        <w:tab/>
        <w:t xml:space="preserve">Komisijas pašreizējā enerģētiskās drošības satvara novērtējums ir apstiprinājis krātuvju piepildīšanas prasību pozitīvo ietekmi uz gāzes piegādes drošību, un būtu jāgādā, ka minētā pozitīvā ietekme saglabājas arī pēc 2025. gada. </w:t>
      </w:r>
      <w:r w:rsidRPr="004E3B8B">
        <w:rPr>
          <w:b/>
          <w:i/>
        </w:rPr>
        <w:t xml:space="preserve">Šo pasākumu </w:t>
      </w:r>
      <w:r w:rsidRPr="004E3B8B">
        <w:rPr>
          <w:b/>
          <w:i/>
        </w:rPr>
        <w:lastRenderedPageBreak/>
        <w:t>paplašināšana ne tikai veicinātu piegādes drošības nepārtrauktu garantēšanu, bet kalpotu arī kā galvenais instruments Savienības centienos novērst tās atkarību no gāzes ar izcelsmi Krievijas Federācijā importa.</w:t>
      </w:r>
    </w:p>
    <w:p w:rsidR="001E5D00" w:rsidRPr="004E3B8B" w:rsidRDefault="001E5D00" w:rsidP="001E5D00">
      <w:pPr>
        <w:pStyle w:val="NormalHanging12a"/>
        <w:ind w:left="851" w:hanging="851"/>
        <w:rPr>
          <w:b/>
          <w:i/>
          <w:szCs w:val="24"/>
        </w:rPr>
      </w:pPr>
      <w:r w:rsidRPr="004E3B8B">
        <w:rPr>
          <w:b/>
          <w:i/>
        </w:rPr>
        <w:t>(9a)</w:t>
      </w:r>
      <w:r w:rsidRPr="004E3B8B">
        <w:rPr>
          <w:b/>
          <w:i/>
        </w:rPr>
        <w:tab/>
        <w:t>Vienlaikus ar šo regulu būtu jāreaģē uz pašreizējām un turpmākām izmaiņām dabasgāzes tirgos un jāpalīdz sasniegt stratēģisko mērķi samazināt enerģijas cenas un veicināt pakāpenisku atgriešanos pie krātuvju piepildīšanas tirgus mehānismiem.</w:t>
      </w:r>
    </w:p>
    <w:p w:rsidR="001E5D00" w:rsidRPr="004E3B8B" w:rsidRDefault="001E5D00" w:rsidP="001E5D00">
      <w:pPr>
        <w:pStyle w:val="NormalHanging12a"/>
        <w:ind w:left="851" w:hanging="851"/>
        <w:rPr>
          <w:b/>
          <w:i/>
          <w:szCs w:val="24"/>
        </w:rPr>
      </w:pPr>
      <w:r w:rsidRPr="004E3B8B">
        <w:rPr>
          <w:b/>
          <w:i/>
        </w:rPr>
        <w:t>(9b)</w:t>
      </w:r>
      <w:r w:rsidRPr="004E3B8B">
        <w:rPr>
          <w:b/>
          <w:i/>
        </w:rPr>
        <w:tab/>
        <w:t xml:space="preserve">Lai saglabātu piegādes drošību un pienācīgu piepildījuma līmeni, Komisijai būtu pastāvīgi jāuzrauga tirgus un jāpēta veidi, kā varētu palīdzēt sasniegt piepildījuma </w:t>
      </w:r>
      <w:proofErr w:type="spellStart"/>
      <w:r w:rsidRPr="004E3B8B">
        <w:rPr>
          <w:b/>
          <w:i/>
        </w:rPr>
        <w:t>mērķrādītāju</w:t>
      </w:r>
      <w:proofErr w:type="spellEnd"/>
      <w:r w:rsidRPr="004E3B8B">
        <w:rPr>
          <w:b/>
          <w:i/>
        </w:rPr>
        <w:t xml:space="preserve">, piemēram, izmantojot pieprasījuma </w:t>
      </w:r>
      <w:proofErr w:type="spellStart"/>
      <w:r w:rsidRPr="004E3B8B">
        <w:rPr>
          <w:b/>
          <w:i/>
        </w:rPr>
        <w:t>agregēšanas</w:t>
      </w:r>
      <w:proofErr w:type="spellEnd"/>
      <w:r w:rsidRPr="004E3B8B">
        <w:rPr>
          <w:b/>
          <w:i/>
        </w:rPr>
        <w:t xml:space="preserve"> un kopīga iepirkuma mehānismus.</w:t>
      </w:r>
    </w:p>
    <w:p w:rsidR="001E5D00" w:rsidRPr="004E3B8B" w:rsidRDefault="001E5D00" w:rsidP="001E5D00">
      <w:pPr>
        <w:pStyle w:val="NormalHanging12a"/>
        <w:ind w:left="851" w:hanging="851"/>
        <w:rPr>
          <w:szCs w:val="24"/>
        </w:rPr>
      </w:pPr>
      <w:r w:rsidRPr="004E3B8B">
        <w:t>(10)</w:t>
      </w:r>
      <w:r w:rsidRPr="004E3B8B">
        <w:tab/>
        <w:t xml:space="preserve">Tāpēc ir par diviem gadiem jāpagarina termiņš, kurā ir spēkā attiecīgie gāzes krātuvju piepildīšanas noteikumi, kas nodrošina </w:t>
      </w:r>
      <w:proofErr w:type="spellStart"/>
      <w:r w:rsidRPr="004E3B8B">
        <w:t>paredzamību</w:t>
      </w:r>
      <w:proofErr w:type="spellEnd"/>
      <w:r w:rsidRPr="004E3B8B">
        <w:t xml:space="preserve"> un </w:t>
      </w:r>
      <w:proofErr w:type="spellStart"/>
      <w:r w:rsidRPr="004E3B8B">
        <w:t>pārredzamību</w:t>
      </w:r>
      <w:proofErr w:type="spellEnd"/>
      <w:r w:rsidRPr="004E3B8B">
        <w:t xml:space="preserve"> attiecībā uz gāzes krātuvju izmantošanu visā Savienībā</w:t>
      </w:r>
      <w:r w:rsidRPr="004E3B8B">
        <w:rPr>
          <w:b/>
          <w:bCs/>
          <w:i/>
          <w:iCs/>
        </w:rPr>
        <w:t>, vienlaikus šajā regulā paredzot zināmu elastību</w:t>
      </w:r>
      <w:r w:rsidRPr="004E3B8B">
        <w:t>.</w:t>
      </w:r>
    </w:p>
    <w:p w:rsidR="001E5D00" w:rsidRPr="004E3B8B" w:rsidRDefault="001E5D00" w:rsidP="001E5D00">
      <w:pPr>
        <w:pStyle w:val="NormalHanging12a"/>
        <w:ind w:left="851" w:hanging="851"/>
        <w:rPr>
          <w:b/>
          <w:i/>
          <w:szCs w:val="24"/>
        </w:rPr>
      </w:pPr>
      <w:r w:rsidRPr="004E3B8B">
        <w:rPr>
          <w:b/>
          <w:i/>
        </w:rPr>
        <w:t>(10a)</w:t>
      </w:r>
      <w:r w:rsidRPr="004E3B8B">
        <w:rPr>
          <w:b/>
          <w:i/>
        </w:rPr>
        <w:tab/>
        <w:t>Saskaņā ar Komisijas apņemšanos uzlabot regulējumu un vienkāršot to un atspoguļojot Savienības enerģētiskās drošības sistēmas vispārējo uzlabojumu, šīs regulas ievērošanas uzraudzībai būtu jārada lielāka uzticēšanās dalībvalstu administratīvajām spējām. Komisijai uzliktais uzraudzības slogs būtu attiecīgi jāsamazina, pārejot uz vieglākiem ziņošanas pienākumiem un saskaņotām procedūrām. Šī pieeja pastiprina subsidiaritātes principu, novērš nevajadzīgu administratīvo sarežģītību un atbilst Komisijas vienkāršošanas centieniem, kas izklāstīti tās 2025. gada darba programmā.</w:t>
      </w:r>
    </w:p>
    <w:p w:rsidR="001E5D00" w:rsidRPr="004E3B8B" w:rsidRDefault="001E5D00" w:rsidP="001E5D00">
      <w:pPr>
        <w:pStyle w:val="NormalHanging12a"/>
        <w:ind w:left="851" w:hanging="851"/>
        <w:rPr>
          <w:b/>
          <w:i/>
          <w:szCs w:val="24"/>
        </w:rPr>
      </w:pPr>
      <w:r w:rsidRPr="004E3B8B">
        <w:rPr>
          <w:b/>
          <w:i/>
        </w:rPr>
        <w:t>(10b)</w:t>
      </w:r>
      <w:r w:rsidRPr="004E3B8B">
        <w:rPr>
          <w:b/>
          <w:i/>
        </w:rPr>
        <w:tab/>
        <w:t xml:space="preserve">Komisijai Regula (ES) 2017/1938 būtu savlaicīgi jāpārskata un pirms 2027. gada jāpielāgo mainīgajai enerģētikas ainai un turpmākām vajadzībām pēc gāzes uzglabāšanas. Cita starpā, veicot grozījumus, būtu jāpievēršas pašreizējās “aizsargāto patērētāju” definīcijas ierobežojumiem, spekulāciju novēršanai gāzes tirgos un spekulatīvām darbībām, kas mākslīgi paaugstina cenas, tādu energoefektivitātes pasākumu nozīmei, kas rada pārbaudāmu gāzes pieprasījuma samazinājumu, un tam, kā dalībvalstis to varētu izmantot, lai panāktu turpmāku elastību, un jāapsver regulējums mainīgas energoresursu struktūras apstākļos, kuros lielāka nozīme būs gāzei alternatīviem avotiem, piemēram, </w:t>
      </w:r>
      <w:proofErr w:type="spellStart"/>
      <w:r w:rsidRPr="004E3B8B">
        <w:rPr>
          <w:b/>
          <w:i/>
        </w:rPr>
        <w:t>atjaunīgajiem</w:t>
      </w:r>
      <w:proofErr w:type="spellEnd"/>
      <w:r w:rsidRPr="004E3B8B">
        <w:rPr>
          <w:b/>
          <w:i/>
        </w:rPr>
        <w:t xml:space="preserve"> energoresursiem, ūdeņradim, kā arī energoefektivitātes nozīmei.</w:t>
      </w:r>
    </w:p>
    <w:p w:rsidR="001E5D00" w:rsidRPr="004E3B8B" w:rsidRDefault="001E5D00" w:rsidP="001E5D00">
      <w:pPr>
        <w:pStyle w:val="NormalCenter12a"/>
        <w:ind w:left="851" w:hanging="851"/>
        <w:jc w:val="left"/>
      </w:pPr>
      <w:r w:rsidRPr="004E3B8B">
        <w:t>(11)</w:t>
      </w:r>
      <w:r w:rsidRPr="004E3B8B">
        <w:tab/>
        <w:t>Tādēļ Regula (ES) 2017/1938 būtu attiecīgi jāgroza,</w:t>
      </w:r>
    </w:p>
    <w:p w:rsidR="001E5D00" w:rsidRPr="004E3B8B" w:rsidRDefault="001E5D00" w:rsidP="001E5D00">
      <w:pPr>
        <w:pStyle w:val="NormalCenter12a"/>
        <w:jc w:val="left"/>
      </w:pPr>
      <w:r w:rsidRPr="004E3B8B">
        <w:t>IR PIEŅĒMUŠI ŠO REGULU.</w:t>
      </w:r>
    </w:p>
    <w:p w:rsidR="001E5D00" w:rsidRPr="004E3B8B" w:rsidRDefault="001E5D00" w:rsidP="001E5D00">
      <w:pPr>
        <w:pStyle w:val="Titrearticle"/>
        <w:rPr>
          <w:noProof/>
        </w:rPr>
      </w:pPr>
      <w:r w:rsidRPr="004E3B8B">
        <w:t>1. pants</w:t>
      </w:r>
    </w:p>
    <w:p w:rsidR="001E5D00" w:rsidRPr="004E3B8B" w:rsidRDefault="001E5D00" w:rsidP="001E5D00">
      <w:pPr>
        <w:jc w:val="center"/>
        <w:rPr>
          <w:b/>
          <w:bCs/>
          <w:noProof/>
        </w:rPr>
      </w:pPr>
      <w:r w:rsidRPr="004E3B8B">
        <w:rPr>
          <w:b/>
        </w:rPr>
        <w:t>Grozījums Regulā (ES) 2017/1938</w:t>
      </w:r>
    </w:p>
    <w:p w:rsidR="001E5D00" w:rsidRPr="004E3B8B" w:rsidRDefault="001E5D00" w:rsidP="001E5D00">
      <w:pPr>
        <w:rPr>
          <w:noProof/>
        </w:rPr>
      </w:pPr>
    </w:p>
    <w:p w:rsidR="001E5D00" w:rsidRPr="004E3B8B" w:rsidRDefault="001E5D00" w:rsidP="001E5D00">
      <w:pPr>
        <w:pStyle w:val="NormalHanging12a"/>
        <w:rPr>
          <w:szCs w:val="24"/>
        </w:rPr>
      </w:pPr>
      <w:r w:rsidRPr="004E3B8B">
        <w:rPr>
          <w:b/>
          <w:bCs/>
          <w:i/>
          <w:iCs/>
        </w:rPr>
        <w:t>Regulu</w:t>
      </w:r>
      <w:r w:rsidRPr="004E3B8B">
        <w:t xml:space="preserve"> (ES) 2017/1938 </w:t>
      </w:r>
      <w:r w:rsidRPr="004E3B8B">
        <w:rPr>
          <w:b/>
          <w:bCs/>
          <w:i/>
          <w:iCs/>
        </w:rPr>
        <w:t>groza šādi</w:t>
      </w:r>
      <w:r w:rsidRPr="004E3B8B">
        <w:t>:</w:t>
      </w:r>
    </w:p>
    <w:p w:rsidR="001E5D00" w:rsidRPr="004E3B8B" w:rsidRDefault="001E5D00" w:rsidP="001E5D00">
      <w:pPr>
        <w:pStyle w:val="NormalHanging12a"/>
        <w:ind w:left="851" w:hanging="851"/>
        <w:rPr>
          <w:b/>
          <w:i/>
          <w:szCs w:val="24"/>
        </w:rPr>
      </w:pPr>
      <w:r w:rsidRPr="004E3B8B">
        <w:rPr>
          <w:b/>
          <w:i/>
        </w:rPr>
        <w:t>1)</w:t>
      </w:r>
      <w:r w:rsidRPr="004E3B8B">
        <w:rPr>
          <w:b/>
          <w:i/>
        </w:rPr>
        <w:tab/>
        <w:t>regulas 2. panta 27. punktu svītro;</w:t>
      </w:r>
    </w:p>
    <w:p w:rsidR="001E5D00" w:rsidRPr="004E3B8B" w:rsidRDefault="001E5D00" w:rsidP="001E5D00">
      <w:pPr>
        <w:pStyle w:val="NormalHanging12a"/>
        <w:ind w:left="851" w:hanging="851"/>
        <w:rPr>
          <w:b/>
          <w:i/>
          <w:szCs w:val="24"/>
        </w:rPr>
      </w:pPr>
      <w:r w:rsidRPr="004E3B8B">
        <w:rPr>
          <w:b/>
          <w:i/>
        </w:rPr>
        <w:t>2)</w:t>
      </w:r>
      <w:r w:rsidRPr="004E3B8B">
        <w:rPr>
          <w:b/>
          <w:i/>
        </w:rPr>
        <w:tab/>
        <w:t>regulas 6.a pantu groza šādi:</w:t>
      </w:r>
    </w:p>
    <w:p w:rsidR="001E5D00" w:rsidRPr="004E3B8B" w:rsidRDefault="001E5D00" w:rsidP="001E5D00">
      <w:pPr>
        <w:pStyle w:val="NormalHanging12a"/>
        <w:ind w:left="1418"/>
        <w:rPr>
          <w:b/>
          <w:i/>
        </w:rPr>
      </w:pPr>
      <w:r w:rsidRPr="004E3B8B">
        <w:rPr>
          <w:b/>
          <w:i/>
        </w:rPr>
        <w:lastRenderedPageBreak/>
        <w:t>a)</w:t>
      </w:r>
      <w:r w:rsidRPr="004E3B8B">
        <w:rPr>
          <w:b/>
          <w:i/>
        </w:rPr>
        <w:tab/>
        <w:t xml:space="preserve">virsrakstu aizstāj ar šādu: “Piepildījuma </w:t>
      </w:r>
      <w:proofErr w:type="spellStart"/>
      <w:r w:rsidRPr="004E3B8B">
        <w:rPr>
          <w:b/>
          <w:i/>
        </w:rPr>
        <w:t>mērķrādītājs</w:t>
      </w:r>
      <w:proofErr w:type="spellEnd"/>
      <w:r w:rsidRPr="004E3B8B">
        <w:rPr>
          <w:b/>
          <w:i/>
        </w:rPr>
        <w:t>”;</w:t>
      </w:r>
    </w:p>
    <w:p w:rsidR="001E5D00" w:rsidRPr="004E3B8B" w:rsidRDefault="001E5D00" w:rsidP="001E5D00">
      <w:pPr>
        <w:pStyle w:val="NormalHanging12a"/>
        <w:ind w:left="1418"/>
        <w:rPr>
          <w:b/>
          <w:i/>
        </w:rPr>
      </w:pPr>
      <w:r w:rsidRPr="004E3B8B">
        <w:rPr>
          <w:b/>
          <w:i/>
        </w:rPr>
        <w:t>b)</w:t>
      </w:r>
      <w:r w:rsidRPr="004E3B8B">
        <w:rPr>
          <w:b/>
          <w:i/>
        </w:rPr>
        <w:tab/>
        <w:t>panta 1. punkta pirmo daļu aizstāj ar šādu:</w:t>
      </w:r>
    </w:p>
    <w:p w:rsidR="001E5D00" w:rsidRPr="004E3B8B" w:rsidRDefault="001E5D00" w:rsidP="001E5D00">
      <w:pPr>
        <w:pStyle w:val="NormalHanging12a"/>
        <w:ind w:left="1985"/>
        <w:rPr>
          <w:b/>
          <w:i/>
        </w:rPr>
      </w:pPr>
      <w:r w:rsidRPr="004E3B8B">
        <w:rPr>
          <w:b/>
          <w:i/>
        </w:rPr>
        <w:t>“1.</w:t>
      </w:r>
      <w:r w:rsidRPr="004E3B8B">
        <w:rPr>
          <w:b/>
          <w:i/>
        </w:rPr>
        <w:tab/>
        <w:t xml:space="preserve">Saskaņā ar šā panta 2. līdz 5. punktu dalībvalstis katru gadu laikposmā no 1. oktobra līdz 1. decembrim nodrošina atbilsmi piepildījuma </w:t>
      </w:r>
      <w:proofErr w:type="spellStart"/>
      <w:r w:rsidRPr="004E3B8B">
        <w:rPr>
          <w:b/>
          <w:i/>
        </w:rPr>
        <w:t>mērķrādītājam</w:t>
      </w:r>
      <w:proofErr w:type="spellEnd"/>
      <w:r w:rsidRPr="004E3B8B">
        <w:rPr>
          <w:b/>
          <w:i/>
        </w:rPr>
        <w:t xml:space="preserve"> 83 % apmērā no visu to teritorijā esošo un ar to tirgus zonu tieši savienoto pazemes gāzes krātuvju un </w:t>
      </w:r>
      <w:proofErr w:type="spellStart"/>
      <w:r w:rsidRPr="004E3B8B">
        <w:rPr>
          <w:b/>
          <w:i/>
        </w:rPr>
        <w:t>Ib</w:t>
      </w:r>
      <w:proofErr w:type="spellEnd"/>
      <w:r w:rsidRPr="004E3B8B">
        <w:rPr>
          <w:b/>
          <w:i/>
        </w:rPr>
        <w:t xml:space="preserve"> pielikumā uzskaitīto krātuvju kopējās kapacitātes.”;</w:t>
      </w:r>
    </w:p>
    <w:p w:rsidR="00FC6ACB" w:rsidRPr="004E3B8B" w:rsidRDefault="004E3B8B" w:rsidP="001822C6">
      <w:pPr>
        <w:pStyle w:val="NormalHanging12a"/>
        <w:ind w:left="1418"/>
      </w:pPr>
      <w:r w:rsidRPr="004E3B8B">
        <w:rPr>
          <w:b/>
          <w:i/>
        </w:rPr>
        <w:t>c</w:t>
      </w:r>
      <w:r w:rsidR="00FC6ACB" w:rsidRPr="004E3B8B">
        <w:rPr>
          <w:b/>
          <w:i/>
        </w:rPr>
        <w:t>)</w:t>
      </w:r>
      <w:r w:rsidR="00FC6ACB" w:rsidRPr="004E3B8B">
        <w:rPr>
          <w:b/>
          <w:i/>
        </w:rPr>
        <w:tab/>
        <w:t>panta 2. punktu aizstāj ar šādu:</w:t>
      </w:r>
    </w:p>
    <w:p w:rsidR="00FC6ACB" w:rsidRPr="004E3B8B" w:rsidRDefault="00FC6ACB" w:rsidP="00FC6ACB">
      <w:pPr>
        <w:pStyle w:val="NormalHanging12a"/>
        <w:ind w:left="1985"/>
        <w:rPr>
          <w:szCs w:val="24"/>
        </w:rPr>
      </w:pPr>
      <w:r w:rsidRPr="004E3B8B">
        <w:rPr>
          <w:b/>
          <w:i/>
        </w:rPr>
        <w:t>“2.</w:t>
      </w:r>
      <w:r w:rsidRPr="004E3B8B">
        <w:rPr>
          <w:b/>
          <w:i/>
        </w:rPr>
        <w:tab/>
        <w:t xml:space="preserve">Neatkarīgi no 1. punkta un neskarot citu dalībvalstu pienākumus piepildīt attiecīgās pazemes gāzes krātuves, piepildījuma </w:t>
      </w:r>
      <w:proofErr w:type="spellStart"/>
      <w:r w:rsidRPr="004E3B8B">
        <w:rPr>
          <w:b/>
          <w:i/>
        </w:rPr>
        <w:t>mērķrādītāju</w:t>
      </w:r>
      <w:proofErr w:type="spellEnd"/>
      <w:r w:rsidRPr="004E3B8B">
        <w:rPr>
          <w:b/>
          <w:i/>
        </w:rPr>
        <w:t xml:space="preserve"> katrai dalībvalstij, kurā atrodas pazemes gāzes krātuves, samazina līdz apjomam, kas atbilst </w:t>
      </w:r>
      <w:r w:rsidRPr="004E3B8B">
        <w:rPr>
          <w:b/>
          <w:bCs/>
          <w:i/>
          <w:iCs/>
        </w:rPr>
        <w:t>32,28 %</w:t>
      </w:r>
      <w:r w:rsidRPr="004E3B8B">
        <w:rPr>
          <w:b/>
          <w:i/>
        </w:rPr>
        <w:t xml:space="preserve"> apjomam no gada vidējā gāzes patēriņa attiecīgajā dalībvalstī iepriekšējo piecu gadu laikā.”;</w:t>
      </w:r>
    </w:p>
    <w:p w:rsidR="001E5D00" w:rsidRPr="004E3B8B" w:rsidRDefault="004E3B8B" w:rsidP="001E5D00">
      <w:pPr>
        <w:pStyle w:val="NormalHanging12a"/>
        <w:ind w:left="1418"/>
        <w:rPr>
          <w:b/>
          <w:i/>
        </w:rPr>
      </w:pPr>
      <w:r w:rsidRPr="004E3B8B">
        <w:rPr>
          <w:b/>
          <w:i/>
        </w:rPr>
        <w:t>d</w:t>
      </w:r>
      <w:r w:rsidR="001E5D00" w:rsidRPr="004E3B8B">
        <w:rPr>
          <w:b/>
          <w:i/>
        </w:rPr>
        <w:t>)</w:t>
      </w:r>
      <w:r w:rsidR="001E5D00" w:rsidRPr="004E3B8B">
        <w:rPr>
          <w:b/>
          <w:i/>
        </w:rPr>
        <w:tab/>
        <w:t>pantā iekļauj šādus punktus:</w:t>
      </w:r>
    </w:p>
    <w:p w:rsidR="001E5D00" w:rsidRPr="004E3B8B" w:rsidRDefault="001E5D00" w:rsidP="001E5D00">
      <w:pPr>
        <w:pStyle w:val="NormalHanging12a"/>
        <w:ind w:left="1985"/>
        <w:rPr>
          <w:b/>
          <w:i/>
          <w:szCs w:val="24"/>
        </w:rPr>
      </w:pPr>
      <w:r w:rsidRPr="004E3B8B">
        <w:rPr>
          <w:b/>
          <w:i/>
        </w:rPr>
        <w:t xml:space="preserve">“5.a </w:t>
      </w:r>
      <w:r w:rsidRPr="004E3B8B">
        <w:rPr>
          <w:b/>
          <w:i/>
        </w:rPr>
        <w:tab/>
        <w:t xml:space="preserve">Neatkarīgi no 1. punkta un neskarot citu dalībvalstu pienākumu piepildīt attiecīgās pazemes gāzes krātuves, dalībvalstis var nolemt par ne vairāk kā četriem procentpunktiem novirzīties no piepildījuma </w:t>
      </w:r>
      <w:proofErr w:type="spellStart"/>
      <w:r w:rsidRPr="004E3B8B">
        <w:rPr>
          <w:b/>
          <w:i/>
        </w:rPr>
        <w:t>mērķrādītāja</w:t>
      </w:r>
      <w:proofErr w:type="spellEnd"/>
      <w:r w:rsidRPr="004E3B8B">
        <w:rPr>
          <w:b/>
          <w:i/>
        </w:rPr>
        <w:t>, kas katrai dalībvalstij noteikts 1. punktā, ja tirgus apstākļi ir nelabvēlīgi pazemes gāzes krātuvju piepildīšanai.</w:t>
      </w:r>
    </w:p>
    <w:p w:rsidR="001E5D00" w:rsidRPr="004E3B8B" w:rsidRDefault="001E5D00" w:rsidP="001E5D00">
      <w:pPr>
        <w:pStyle w:val="NormalHanging12a"/>
        <w:ind w:left="1985"/>
        <w:rPr>
          <w:b/>
          <w:i/>
          <w:szCs w:val="24"/>
        </w:rPr>
      </w:pPr>
      <w:r w:rsidRPr="004E3B8B">
        <w:rPr>
          <w:b/>
          <w:i/>
        </w:rPr>
        <w:t>5.b</w:t>
      </w:r>
      <w:r w:rsidRPr="004E3B8B">
        <w:rPr>
          <w:b/>
          <w:i/>
        </w:rPr>
        <w:tab/>
        <w:t>Pienācīgi pamatotos gadījumos, kad pastāvīgi ir nelabvēlīgi tirgus apstākļi, un ar nosacījumu, ka netiek apdraudēta Savienības un dalībvalstu piegādes drošība, Komisija tiek pilnvarota pieņemt deleģētos aktus saskaņā ar 19. pantu, lai grozītu šo regulu, palielinot dalībvalstīm 5.a punktā atļauto novirzi ne vairāk kā par 4 procentpunktiem.</w:t>
      </w:r>
    </w:p>
    <w:p w:rsidR="001E5D00" w:rsidRPr="004E3B8B" w:rsidRDefault="001E5D00" w:rsidP="001E5D00">
      <w:pPr>
        <w:pStyle w:val="NormalHanging12a"/>
        <w:ind w:left="1985" w:firstLine="0"/>
        <w:rPr>
          <w:b/>
          <w:i/>
          <w:szCs w:val="24"/>
        </w:rPr>
      </w:pPr>
      <w:r w:rsidRPr="004E3B8B">
        <w:rPr>
          <w:b/>
          <w:i/>
        </w:rPr>
        <w:t>Savā novērtējumā Komisija jo īpaši ņem vērā krātuvju piepildījuma līmeni dalībvalstīs, kopējo gāzes piegādi, ENTSOG sezonālo piegādes perspektīvu un tirgus manipulācijas iezīmes. Tajā var ņemt vērā arī dalībvalstu pasākumus, piemēram, gāzes pieprasījuma samazināšanas pasākumus, ar kuriem panāk līdzvērtīgus gāzes patēriņa samazinājumus nākamajā izsūknēšanas sezonā.</w:t>
      </w:r>
    </w:p>
    <w:p w:rsidR="001E5D00" w:rsidRPr="004E3B8B" w:rsidRDefault="001E5D00" w:rsidP="001E5D00">
      <w:pPr>
        <w:pStyle w:val="NormalHanging12a"/>
        <w:ind w:left="1985"/>
        <w:rPr>
          <w:b/>
          <w:i/>
          <w:szCs w:val="24"/>
        </w:rPr>
      </w:pPr>
      <w:r w:rsidRPr="004E3B8B">
        <w:rPr>
          <w:b/>
          <w:i/>
        </w:rPr>
        <w:t>5.c</w:t>
      </w:r>
      <w:r w:rsidRPr="004E3B8B">
        <w:rPr>
          <w:b/>
          <w:i/>
        </w:rPr>
        <w:tab/>
        <w:t>Šā panta 2. punktā minētās dalībvalstis ar tādiem pašiem nosacījumiem, kādi paredzēti 5.a punktā, var nolemt novirzīties līdz 1,55 % zem 2. punktā noteiktā apjoma.</w:t>
      </w:r>
    </w:p>
    <w:p w:rsidR="001E5D00" w:rsidRPr="004E3B8B" w:rsidRDefault="001E5D00" w:rsidP="001E5D00">
      <w:pPr>
        <w:pStyle w:val="NormalHanging12a"/>
        <w:ind w:left="1985"/>
        <w:rPr>
          <w:b/>
          <w:i/>
          <w:szCs w:val="24"/>
        </w:rPr>
      </w:pPr>
      <w:r w:rsidRPr="004E3B8B">
        <w:rPr>
          <w:b/>
          <w:i/>
        </w:rPr>
        <w:t>5.d</w:t>
      </w:r>
      <w:r w:rsidRPr="004E3B8B">
        <w:rPr>
          <w:b/>
          <w:i/>
        </w:rPr>
        <w:tab/>
        <w:t>Pirms kādas no 5.a un 5.c punktā paredzēto noviržu izmantošanas, katra dalībvalsts apspriežas ar Komisiju un bez liekas kavēšanās sniedz sava lēmuma pamatojumu. Komisija nekavējoties informē GKG par visu noviržu kumulatīvo ietekmi saskaņā ar 5.a un 5.c punktu un par visām tieši skartajām dalībvalstīm.”;</w:t>
      </w:r>
    </w:p>
    <w:p w:rsidR="001E5D00" w:rsidRPr="004E3B8B" w:rsidRDefault="004E3B8B" w:rsidP="001E5D00">
      <w:pPr>
        <w:pStyle w:val="NormalHanging12a"/>
        <w:ind w:left="1418"/>
        <w:rPr>
          <w:b/>
          <w:i/>
        </w:rPr>
      </w:pPr>
      <w:r w:rsidRPr="004E3B8B">
        <w:rPr>
          <w:b/>
          <w:i/>
        </w:rPr>
        <w:t>e</w:t>
      </w:r>
      <w:r w:rsidR="001E5D00" w:rsidRPr="004E3B8B">
        <w:rPr>
          <w:b/>
          <w:i/>
        </w:rPr>
        <w:t>)</w:t>
      </w:r>
      <w:r w:rsidR="001E5D00" w:rsidRPr="004E3B8B">
        <w:rPr>
          <w:b/>
          <w:i/>
        </w:rPr>
        <w:tab/>
        <w:t>panta 6. un 7. punktu aizstāj ar šādiem:</w:t>
      </w:r>
    </w:p>
    <w:p w:rsidR="001E5D00" w:rsidRPr="004E3B8B" w:rsidRDefault="001E5D00" w:rsidP="001E5D00">
      <w:pPr>
        <w:pStyle w:val="NormalHanging12a"/>
        <w:ind w:left="1985"/>
        <w:rPr>
          <w:szCs w:val="24"/>
        </w:rPr>
      </w:pPr>
      <w:r w:rsidRPr="004E3B8B">
        <w:rPr>
          <w:b/>
          <w:i/>
        </w:rPr>
        <w:lastRenderedPageBreak/>
        <w:t>“6.</w:t>
      </w:r>
      <w:r w:rsidRPr="004E3B8B">
        <w:tab/>
      </w:r>
      <w:r w:rsidRPr="004E3B8B">
        <w:rPr>
          <w:b/>
          <w:bCs/>
          <w:i/>
          <w:iCs/>
        </w:rPr>
        <w:t xml:space="preserve">Lai sasniegtu piepildījuma </w:t>
      </w:r>
      <w:proofErr w:type="spellStart"/>
      <w:r w:rsidRPr="004E3B8B">
        <w:rPr>
          <w:b/>
          <w:bCs/>
          <w:i/>
          <w:iCs/>
        </w:rPr>
        <w:t>mērķrādītāju</w:t>
      </w:r>
      <w:proofErr w:type="spellEnd"/>
      <w:r w:rsidRPr="004E3B8B">
        <w:rPr>
          <w:b/>
          <w:bCs/>
          <w:i/>
          <w:iCs/>
        </w:rPr>
        <w:t>, dalībvalstis veic visus vajadzīgos pasākumus un cenšas ievērot piepildījuma plānu, kas noteikts saskaņā ar 7. punktu.</w:t>
      </w:r>
    </w:p>
    <w:p w:rsidR="001E5D00" w:rsidRPr="004E3B8B" w:rsidRDefault="001E5D00" w:rsidP="001E5D00">
      <w:pPr>
        <w:pStyle w:val="NormalHanging12a"/>
        <w:ind w:left="1985"/>
      </w:pPr>
      <w:r w:rsidRPr="004E3B8B">
        <w:rPr>
          <w:b/>
          <w:i/>
        </w:rPr>
        <w:t>7.</w:t>
      </w:r>
      <w:r w:rsidRPr="004E3B8B">
        <w:tab/>
      </w:r>
      <w:r w:rsidRPr="004E3B8B">
        <w:rPr>
          <w:b/>
          <w:i/>
        </w:rPr>
        <w:t xml:space="preserve">Dalībvalstis, kurās ir pazemes gāzes krātuves, savlaicīgi iesniedz Komisijai tādu indikatīvu piepildījuma plānu visam kalendārajam gadam, kurā ir paredzēts sasniegt 1. punktā noteikto ikgadējo gāzes krātuvju piepildījuma </w:t>
      </w:r>
      <w:proofErr w:type="spellStart"/>
      <w:r w:rsidRPr="004E3B8B">
        <w:rPr>
          <w:b/>
          <w:i/>
        </w:rPr>
        <w:t>mērķrādītāju</w:t>
      </w:r>
      <w:proofErr w:type="spellEnd"/>
      <w:r w:rsidRPr="004E3B8B">
        <w:rPr>
          <w:b/>
          <w:i/>
        </w:rPr>
        <w:t xml:space="preserve">. Plānā iekļauj tehnisko informāciju par pazemes gāzes krātuvēm tās teritorijā, un tas ir </w:t>
      </w:r>
      <w:proofErr w:type="spellStart"/>
      <w:r w:rsidRPr="004E3B8B">
        <w:rPr>
          <w:b/>
          <w:i/>
        </w:rPr>
        <w:t>agregētā</w:t>
      </w:r>
      <w:proofErr w:type="spellEnd"/>
      <w:r w:rsidRPr="004E3B8B">
        <w:rPr>
          <w:b/>
          <w:i/>
        </w:rPr>
        <w:t xml:space="preserve"> veidā tieši saistīts ar tās tirgus zonu.”;</w:t>
      </w:r>
    </w:p>
    <w:p w:rsidR="001E5D00" w:rsidRPr="004E3B8B" w:rsidRDefault="004E3B8B" w:rsidP="001E5D00">
      <w:pPr>
        <w:pStyle w:val="NormalHanging12a"/>
        <w:ind w:left="1418"/>
        <w:rPr>
          <w:b/>
          <w:i/>
        </w:rPr>
      </w:pPr>
      <w:r w:rsidRPr="004E3B8B">
        <w:rPr>
          <w:b/>
          <w:i/>
        </w:rPr>
        <w:t>f</w:t>
      </w:r>
      <w:r w:rsidR="001E5D00" w:rsidRPr="004E3B8B">
        <w:rPr>
          <w:b/>
          <w:i/>
        </w:rPr>
        <w:t>)</w:t>
      </w:r>
      <w:r w:rsidR="001E5D00" w:rsidRPr="004E3B8B">
        <w:rPr>
          <w:b/>
          <w:i/>
        </w:rPr>
        <w:tab/>
        <w:t>panta 8. punktu svītro;</w:t>
      </w:r>
    </w:p>
    <w:p w:rsidR="001E5D00" w:rsidRPr="004E3B8B" w:rsidRDefault="004E3B8B" w:rsidP="001E5D00">
      <w:pPr>
        <w:pStyle w:val="NormalHanging12a"/>
        <w:ind w:left="1418"/>
        <w:rPr>
          <w:b/>
          <w:i/>
        </w:rPr>
      </w:pPr>
      <w:r w:rsidRPr="004E3B8B">
        <w:rPr>
          <w:b/>
          <w:i/>
        </w:rPr>
        <w:t>g</w:t>
      </w:r>
      <w:r w:rsidR="001E5D00" w:rsidRPr="004E3B8B">
        <w:rPr>
          <w:b/>
          <w:i/>
        </w:rPr>
        <w:t>)</w:t>
      </w:r>
      <w:r w:rsidR="001E5D00" w:rsidRPr="004E3B8B">
        <w:rPr>
          <w:b/>
          <w:i/>
        </w:rPr>
        <w:tab/>
        <w:t>panta 10. un 11. punktu aizstāj ar šādiem:</w:t>
      </w:r>
    </w:p>
    <w:p w:rsidR="001E5D00" w:rsidRPr="004E3B8B" w:rsidRDefault="001E5D00" w:rsidP="001E5D00">
      <w:pPr>
        <w:pStyle w:val="NormalHanging12a"/>
        <w:ind w:left="1985"/>
        <w:rPr>
          <w:b/>
          <w:i/>
        </w:rPr>
      </w:pPr>
      <w:r w:rsidRPr="004E3B8B">
        <w:rPr>
          <w:b/>
          <w:i/>
        </w:rPr>
        <w:t>“10.</w:t>
      </w:r>
      <w:r w:rsidRPr="004E3B8B">
        <w:rPr>
          <w:b/>
          <w:i/>
        </w:rPr>
        <w:tab/>
        <w:t xml:space="preserve">Katras dalībvalsts kompetentā iestāde pastāvīgi uzrauga piepildījuma </w:t>
      </w:r>
      <w:proofErr w:type="spellStart"/>
      <w:r w:rsidRPr="004E3B8B">
        <w:rPr>
          <w:b/>
          <w:i/>
        </w:rPr>
        <w:t>mērķrādītāja</w:t>
      </w:r>
      <w:proofErr w:type="spellEnd"/>
      <w:r w:rsidRPr="004E3B8B">
        <w:rPr>
          <w:b/>
          <w:i/>
        </w:rPr>
        <w:t xml:space="preserve"> izpildi, kā noteikts piepildījuma plānā, un regulāri un vismaz reizi mēnesī ziņo Komisijai un GKG. Ja tiek prognozēts, ka </w:t>
      </w:r>
      <w:proofErr w:type="spellStart"/>
      <w:r w:rsidRPr="004E3B8B">
        <w:rPr>
          <w:b/>
          <w:i/>
        </w:rPr>
        <w:t>mērķrādītāju</w:t>
      </w:r>
      <w:proofErr w:type="spellEnd"/>
      <w:r w:rsidRPr="004E3B8B">
        <w:rPr>
          <w:b/>
          <w:i/>
        </w:rPr>
        <w:t xml:space="preserve"> nav iespējams sasniegt, kompetentā iestāde nekavējoties veic iedarbīgus pasākumus, lai sasniegtu </w:t>
      </w:r>
      <w:proofErr w:type="spellStart"/>
      <w:r w:rsidRPr="004E3B8B">
        <w:rPr>
          <w:b/>
          <w:i/>
        </w:rPr>
        <w:t>mērķrādītāju</w:t>
      </w:r>
      <w:proofErr w:type="spellEnd"/>
      <w:r w:rsidRPr="004E3B8B">
        <w:rPr>
          <w:b/>
          <w:i/>
        </w:rPr>
        <w:t>. Dalībvalstis par veiktajiem pasākumiem informē Komisiju un GKG.</w:t>
      </w:r>
    </w:p>
    <w:p w:rsidR="001E5D00" w:rsidRPr="004E3B8B" w:rsidRDefault="001E5D00" w:rsidP="001E5D00">
      <w:pPr>
        <w:pStyle w:val="NormalHanging12a"/>
        <w:ind w:left="1985"/>
        <w:rPr>
          <w:b/>
          <w:i/>
          <w:szCs w:val="24"/>
        </w:rPr>
      </w:pPr>
      <w:r w:rsidRPr="004E3B8B">
        <w:rPr>
          <w:b/>
          <w:i/>
        </w:rPr>
        <w:t>11.</w:t>
      </w:r>
      <w:r w:rsidRPr="004E3B8B">
        <w:rPr>
          <w:b/>
          <w:i/>
        </w:rPr>
        <w:tab/>
        <w:t xml:space="preserve">Ja dalībvalsts būtiski un ilgstoši novirzās no piepildījuma plāna, kas apdraud piepildījuma </w:t>
      </w:r>
      <w:proofErr w:type="spellStart"/>
      <w:r w:rsidRPr="004E3B8B">
        <w:rPr>
          <w:b/>
          <w:i/>
        </w:rPr>
        <w:t>mērķrādītāja</w:t>
      </w:r>
      <w:proofErr w:type="spellEnd"/>
      <w:r w:rsidRPr="004E3B8B">
        <w:rPr>
          <w:b/>
          <w:i/>
        </w:rPr>
        <w:t xml:space="preserve"> sasniegšanu, vai ja ir novirze no piepildījuma </w:t>
      </w:r>
      <w:proofErr w:type="spellStart"/>
      <w:r w:rsidRPr="004E3B8B">
        <w:rPr>
          <w:b/>
          <w:i/>
        </w:rPr>
        <w:t>mērķrādītāja</w:t>
      </w:r>
      <w:proofErr w:type="spellEnd"/>
      <w:r w:rsidRPr="004E3B8B">
        <w:rPr>
          <w:b/>
          <w:i/>
        </w:rPr>
        <w:t xml:space="preserve">, Komisija attiecīgā gadījumā pēc apspriešanās ar GKG un iesaistītajām dalībvalstīm izdod ieteikumu attiecīgajai dalībvalstij vai pārējām dalībvalstīm par tūlītēji veicamiem pasākumiem, lai novērstu novirzi vai </w:t>
      </w:r>
      <w:proofErr w:type="spellStart"/>
      <w:r w:rsidRPr="004E3B8B">
        <w:rPr>
          <w:b/>
          <w:i/>
        </w:rPr>
        <w:t>minimalizētu</w:t>
      </w:r>
      <w:proofErr w:type="spellEnd"/>
      <w:r w:rsidRPr="004E3B8B">
        <w:rPr>
          <w:b/>
          <w:i/>
        </w:rPr>
        <w:t xml:space="preserve"> ietekmi uz piegādes drošību, cita starpā ņemot vērā iespējamos nelabvēlīgos tirgus apstākļus un dalībvalstu īpatnības, piemēram, pazemes gāzes krātuvju tehniskos parametrus un lielumu attiecībā uz iekšzemes gāzes patēriņu, gāzes ar zemu siltumietilpību pazemes krātuvju nozīmes samazināšanos gāzes piegādes drošībā un esošo LNG krātuvju kapacitāti.</w:t>
      </w:r>
    </w:p>
    <w:p w:rsidR="001E5D00" w:rsidRPr="004E3B8B" w:rsidRDefault="001E5D00" w:rsidP="001E5D00">
      <w:pPr>
        <w:pStyle w:val="NormalHanging12a"/>
        <w:ind w:left="1985"/>
        <w:rPr>
          <w:szCs w:val="24"/>
        </w:rPr>
      </w:pPr>
      <w:r w:rsidRPr="004E3B8B">
        <w:rPr>
          <w:b/>
          <w:i/>
        </w:rPr>
        <w:t>11.a</w:t>
      </w:r>
      <w:r w:rsidRPr="004E3B8B">
        <w:rPr>
          <w:b/>
          <w:i/>
        </w:rPr>
        <w:tab/>
        <w:t xml:space="preserve">Ja dalībvalsts nesasniedz 1. punktā noteikto piepildījuma </w:t>
      </w:r>
      <w:proofErr w:type="spellStart"/>
      <w:r w:rsidRPr="004E3B8B">
        <w:rPr>
          <w:b/>
          <w:i/>
        </w:rPr>
        <w:t>mērķrādītāju</w:t>
      </w:r>
      <w:proofErr w:type="spellEnd"/>
      <w:r w:rsidRPr="004E3B8B">
        <w:rPr>
          <w:b/>
          <w:i/>
        </w:rPr>
        <w:t>, tādējādi apdraudot Savienības piegādes drošību, Komisija pieņem īstenošanas aktu, ar ko minētajai dalībvalstij nosaka piepildījuma plānu nākamajam gadam, pamatojoties uz katras dalībvalsts sniegto tehnisko informāciju un ņemot vērā GKG novērtējumu. Minēto īstenošanas aktu pieņem saskaņā ar 18.a panta 2. punktā minēto pārbaudes procedūru. Lai gāzes piegāde būtu droša, minēto aktu balsta uz novērtējumu par situāciju attiecībā uz gāzes piegādes vispārējo drošību un gāzes pieprasījuma un piegādes izmaiņām Savienībā un atsevišķās dalībvalstīs.”;</w:t>
      </w:r>
    </w:p>
    <w:p w:rsidR="001E5D00" w:rsidRPr="004E3B8B" w:rsidRDefault="001E5D00" w:rsidP="001E5D00">
      <w:pPr>
        <w:pStyle w:val="NormalHanging12a"/>
        <w:ind w:left="851" w:hanging="851"/>
        <w:rPr>
          <w:b/>
          <w:i/>
          <w:szCs w:val="24"/>
        </w:rPr>
      </w:pPr>
      <w:r w:rsidRPr="004E3B8B">
        <w:rPr>
          <w:b/>
          <w:i/>
        </w:rPr>
        <w:t>3)</w:t>
      </w:r>
      <w:r w:rsidRPr="004E3B8B">
        <w:rPr>
          <w:b/>
          <w:i/>
        </w:rPr>
        <w:tab/>
        <w:t>regulas 6.b pantu groza šādi:</w:t>
      </w:r>
    </w:p>
    <w:p w:rsidR="001E5D00" w:rsidRPr="004E3B8B" w:rsidRDefault="001E5D00" w:rsidP="001E5D00">
      <w:pPr>
        <w:pStyle w:val="NormalHanging12a"/>
        <w:ind w:left="1418"/>
        <w:rPr>
          <w:b/>
          <w:i/>
        </w:rPr>
      </w:pPr>
      <w:r w:rsidRPr="004E3B8B">
        <w:rPr>
          <w:b/>
          <w:i/>
        </w:rPr>
        <w:t>a)</w:t>
      </w:r>
      <w:r w:rsidRPr="004E3B8B">
        <w:rPr>
          <w:b/>
          <w:i/>
        </w:rPr>
        <w:tab/>
        <w:t xml:space="preserve">virsrakstu aizstāj ar šādu: “Piepildījuma </w:t>
      </w:r>
      <w:proofErr w:type="spellStart"/>
      <w:r w:rsidRPr="004E3B8B">
        <w:rPr>
          <w:b/>
          <w:i/>
        </w:rPr>
        <w:t>mērķrādītāja</w:t>
      </w:r>
      <w:proofErr w:type="spellEnd"/>
      <w:r w:rsidRPr="004E3B8B">
        <w:rPr>
          <w:b/>
          <w:i/>
        </w:rPr>
        <w:t xml:space="preserve"> sasniegšana”;</w:t>
      </w:r>
    </w:p>
    <w:p w:rsidR="001E5D00" w:rsidRPr="004E3B8B" w:rsidRDefault="001E5D00" w:rsidP="001E5D00">
      <w:pPr>
        <w:pStyle w:val="NormalHanging12a"/>
        <w:ind w:left="1418"/>
        <w:rPr>
          <w:b/>
          <w:i/>
        </w:rPr>
      </w:pPr>
      <w:r w:rsidRPr="004E3B8B">
        <w:rPr>
          <w:b/>
          <w:i/>
        </w:rPr>
        <w:t>b)</w:t>
      </w:r>
      <w:r w:rsidRPr="004E3B8B">
        <w:rPr>
          <w:b/>
          <w:i/>
        </w:rPr>
        <w:tab/>
        <w:t>panta 1. punkta pirmo daļu aizstāj ar šādu:</w:t>
      </w:r>
    </w:p>
    <w:p w:rsidR="001E5D00" w:rsidRPr="004E3B8B" w:rsidRDefault="001E5D00" w:rsidP="001E5D00">
      <w:pPr>
        <w:pStyle w:val="NormalHanging12a"/>
        <w:ind w:left="1985"/>
        <w:rPr>
          <w:szCs w:val="24"/>
        </w:rPr>
      </w:pPr>
      <w:r w:rsidRPr="004E3B8B">
        <w:t>“</w:t>
      </w:r>
      <w:r w:rsidRPr="004E3B8B">
        <w:rPr>
          <w:b/>
          <w:i/>
        </w:rPr>
        <w:t>1.</w:t>
      </w:r>
      <w:r w:rsidRPr="004E3B8B">
        <w:rPr>
          <w:b/>
          <w:i/>
        </w:rPr>
        <w:tab/>
        <w:t xml:space="preserve">Dalībvalstis veic visus vajadzīgos pasākumus, lai sasniegtu </w:t>
      </w:r>
      <w:r w:rsidRPr="004E3B8B">
        <w:rPr>
          <w:b/>
          <w:i/>
        </w:rPr>
        <w:lastRenderedPageBreak/>
        <w:t xml:space="preserve">piepildījuma </w:t>
      </w:r>
      <w:proofErr w:type="spellStart"/>
      <w:r w:rsidRPr="004E3B8B">
        <w:rPr>
          <w:b/>
          <w:i/>
        </w:rPr>
        <w:t>mērķrādītāju</w:t>
      </w:r>
      <w:proofErr w:type="spellEnd"/>
      <w:r w:rsidRPr="004E3B8B">
        <w:rPr>
          <w:b/>
          <w:i/>
        </w:rPr>
        <w:t xml:space="preserve">, kas noteikts saskaņā ar 6.a pantu. Piepildījuma </w:t>
      </w:r>
      <w:proofErr w:type="spellStart"/>
      <w:r w:rsidRPr="004E3B8B">
        <w:rPr>
          <w:b/>
          <w:i/>
        </w:rPr>
        <w:t>mērķrādītāja</w:t>
      </w:r>
      <w:proofErr w:type="spellEnd"/>
      <w:r w:rsidRPr="004E3B8B">
        <w:rPr>
          <w:b/>
          <w:i/>
        </w:rPr>
        <w:t xml:space="preserve"> sasniegšanā dalībvalstis, ja iespējams, prioritāti piešķir uz tirgus principiem balstītiem pasākumiem.”;</w:t>
      </w:r>
    </w:p>
    <w:p w:rsidR="001E5D00" w:rsidRPr="004E3B8B" w:rsidRDefault="001E5D00" w:rsidP="001E5D00">
      <w:pPr>
        <w:pStyle w:val="NormalHanging12a"/>
        <w:ind w:left="1418"/>
        <w:rPr>
          <w:b/>
          <w:i/>
        </w:rPr>
      </w:pPr>
      <w:r w:rsidRPr="004E3B8B">
        <w:rPr>
          <w:b/>
          <w:i/>
        </w:rPr>
        <w:t>c)</w:t>
      </w:r>
      <w:r w:rsidRPr="004E3B8B">
        <w:rPr>
          <w:b/>
          <w:i/>
        </w:rPr>
        <w:tab/>
        <w:t xml:space="preserve">panta 2. punktu aizstāj ar šādu: </w:t>
      </w:r>
    </w:p>
    <w:p w:rsidR="001E5D00" w:rsidRPr="004E3B8B" w:rsidRDefault="001E5D00" w:rsidP="001E5D00">
      <w:pPr>
        <w:pStyle w:val="NormalHanging12a"/>
        <w:ind w:left="1985"/>
        <w:rPr>
          <w:szCs w:val="24"/>
        </w:rPr>
      </w:pPr>
      <w:r w:rsidRPr="004E3B8B">
        <w:rPr>
          <w:b/>
          <w:i/>
        </w:rPr>
        <w:t>“2.</w:t>
      </w:r>
      <w:r w:rsidRPr="004E3B8B">
        <w:rPr>
          <w:b/>
          <w:i/>
        </w:rPr>
        <w:tab/>
        <w:t xml:space="preserve">Pasākumi, ko dalībvalstis veic, ievērojot 1. punktu, nepārsniedz to, kas vajadzīgs, lai sasniegtu piepildījuma </w:t>
      </w:r>
      <w:proofErr w:type="spellStart"/>
      <w:r w:rsidRPr="004E3B8B">
        <w:rPr>
          <w:b/>
          <w:i/>
        </w:rPr>
        <w:t>mērķrādītāju</w:t>
      </w:r>
      <w:proofErr w:type="spellEnd"/>
      <w:r w:rsidRPr="004E3B8B">
        <w:rPr>
          <w:b/>
          <w:i/>
        </w:rPr>
        <w:t>. Tie ir skaidri definēti, pārredzami, samērīgi, nediskriminējoši un pārbaudāmi. Tie nepamatoti nekropļo konkurenci vai iekšējā gāzes tirgus pienācīgu darbību, nepamatoti nepalielina enerģijas izmaksas un neapdraud gāzes piegādes drošību citās dalībvalstīs vai Savienībā.</w:t>
      </w:r>
      <w:r w:rsidRPr="004E3B8B">
        <w:t xml:space="preserve"> </w:t>
      </w:r>
      <w:r w:rsidRPr="004E3B8B">
        <w:rPr>
          <w:b/>
          <w:i/>
        </w:rPr>
        <w:t>Dalībvalstis par šādiem pasākumiem informē Komisiju un GKG.”;</w:t>
      </w:r>
    </w:p>
    <w:p w:rsidR="001E5D00" w:rsidRPr="004E3B8B" w:rsidRDefault="001E5D00" w:rsidP="001E5D00">
      <w:pPr>
        <w:pStyle w:val="NormalHanging12a"/>
        <w:ind w:left="851" w:hanging="851"/>
        <w:rPr>
          <w:b/>
          <w:i/>
          <w:szCs w:val="24"/>
        </w:rPr>
      </w:pPr>
      <w:r w:rsidRPr="004E3B8B">
        <w:rPr>
          <w:b/>
          <w:i/>
        </w:rPr>
        <w:t>4)</w:t>
      </w:r>
      <w:r w:rsidRPr="004E3B8B">
        <w:rPr>
          <w:b/>
          <w:i/>
        </w:rPr>
        <w:tab/>
        <w:t>regulas 6.c pantu groza šādi:</w:t>
      </w:r>
    </w:p>
    <w:p w:rsidR="001E5D00" w:rsidRPr="004E3B8B" w:rsidRDefault="001E5D00" w:rsidP="001E5D00">
      <w:pPr>
        <w:pStyle w:val="NormalHanging12a"/>
        <w:ind w:left="1418"/>
        <w:rPr>
          <w:b/>
          <w:i/>
        </w:rPr>
      </w:pPr>
      <w:r w:rsidRPr="004E3B8B">
        <w:rPr>
          <w:b/>
          <w:i/>
        </w:rPr>
        <w:t>a)</w:t>
      </w:r>
      <w:r w:rsidRPr="004E3B8B">
        <w:rPr>
          <w:b/>
          <w:i/>
        </w:rPr>
        <w:tab/>
        <w:t>panta 1. punkta pirmo daļu aizstāj ar šādu:</w:t>
      </w:r>
    </w:p>
    <w:p w:rsidR="001E5D00" w:rsidRPr="004E3B8B" w:rsidRDefault="001E5D00" w:rsidP="001E5D00">
      <w:pPr>
        <w:pStyle w:val="NormalHanging12a"/>
        <w:ind w:left="1985"/>
        <w:rPr>
          <w:b/>
          <w:i/>
          <w:szCs w:val="24"/>
        </w:rPr>
      </w:pPr>
      <w:r w:rsidRPr="004E3B8B">
        <w:rPr>
          <w:b/>
          <w:i/>
        </w:rPr>
        <w:t>“1.</w:t>
      </w:r>
      <w:r w:rsidRPr="004E3B8B">
        <w:rPr>
          <w:b/>
          <w:i/>
        </w:rPr>
        <w:tab/>
        <w:t>Dalībvalsts, kurā nav pazemes gāzes krātuvju, nodrošina, ka tirgus dalībniekiem attiecīgajā dalībvalstī ir vienošanās ar pazemes uzglabāšanas sistēmas operatoriem vai citiem tirgus dalībniekiem dalībvalstīs, kurās ir pazemes gāzes krātuves. Minētie pasākumi paredz, ka līdz 1. decembrim tiek izmantots uzglabājamais apjoms, kas atbilst vismaz 15 % no gada vidējā iepriekšējo piecu gadu gāzes patēriņa dalībvalstī, kurā nav pazemes gāzes krātuvju. Tomēr, ja pārrobežu pārvades jauda vai citi tehniski ierobežojumi neļauj dalībvalstij, kurā nav pazemes gāzes krātuvju, pilnībā izmantot 15 % no minētā uzglabājamā apjoma, attiecīgā dalībvalsts glabā vienīgi tādu apjomu, kas ir tehniski iespējams.”;</w:t>
      </w:r>
    </w:p>
    <w:p w:rsidR="001E5D00" w:rsidRPr="004E3B8B" w:rsidRDefault="001E5D00" w:rsidP="001E5D00">
      <w:pPr>
        <w:pStyle w:val="NormalHanging12a"/>
        <w:ind w:left="1418"/>
        <w:rPr>
          <w:b/>
          <w:i/>
          <w:szCs w:val="22"/>
        </w:rPr>
      </w:pPr>
      <w:r w:rsidRPr="004E3B8B">
        <w:rPr>
          <w:b/>
          <w:i/>
        </w:rPr>
        <w:t>b)</w:t>
      </w:r>
      <w:r w:rsidRPr="004E3B8B">
        <w:rPr>
          <w:b/>
          <w:i/>
        </w:rPr>
        <w:tab/>
        <w:t>panta 2. punkta otro daļu aizstāj ar šādu:</w:t>
      </w:r>
    </w:p>
    <w:p w:rsidR="001E5D00" w:rsidRPr="004E3B8B" w:rsidRDefault="001E5D00" w:rsidP="001E5D00">
      <w:pPr>
        <w:pStyle w:val="NormalHanging12a"/>
        <w:ind w:left="1418" w:firstLine="0"/>
        <w:rPr>
          <w:b/>
          <w:i/>
          <w:szCs w:val="24"/>
        </w:rPr>
      </w:pPr>
      <w:r w:rsidRPr="004E3B8B">
        <w:rPr>
          <w:b/>
          <w:i/>
        </w:rPr>
        <w:t>“Dalībvalstis, kurās nav pazemes gāzes krātuvju, uzrāda, ka tās ievēro 1. punktu, un attiecīgi par to paziņo Komisijai.”;</w:t>
      </w:r>
    </w:p>
    <w:p w:rsidR="001E5D00" w:rsidRPr="004E3B8B" w:rsidRDefault="001E5D00" w:rsidP="001E5D00">
      <w:pPr>
        <w:pStyle w:val="NormalHanging12a"/>
        <w:tabs>
          <w:tab w:val="left" w:pos="1418"/>
        </w:tabs>
        <w:ind w:left="1418"/>
      </w:pPr>
      <w:r w:rsidRPr="004E3B8B">
        <w:rPr>
          <w:b/>
          <w:i/>
        </w:rPr>
        <w:t>c)</w:t>
      </w:r>
      <w:r w:rsidRPr="004E3B8B">
        <w:rPr>
          <w:b/>
          <w:i/>
        </w:rPr>
        <w:tab/>
        <w:t>panta 5. punkta pirmās daļas a) punktu aizstāj ar šādu:</w:t>
      </w:r>
      <w:r w:rsidRPr="004E3B8B">
        <w:t xml:space="preserve"> </w:t>
      </w:r>
    </w:p>
    <w:p w:rsidR="001E5D00" w:rsidRPr="004E3B8B" w:rsidRDefault="001E5D00" w:rsidP="001E5D00">
      <w:pPr>
        <w:pStyle w:val="NormalHanging12a"/>
        <w:ind w:left="1985"/>
        <w:rPr>
          <w:b/>
          <w:i/>
          <w:szCs w:val="24"/>
        </w:rPr>
      </w:pPr>
      <w:r w:rsidRPr="004E3B8B">
        <w:rPr>
          <w:b/>
          <w:i/>
        </w:rPr>
        <w:t>“a)</w:t>
      </w:r>
      <w:r w:rsidRPr="004E3B8B">
        <w:rPr>
          <w:b/>
          <w:i/>
        </w:rPr>
        <w:tab/>
        <w:t>nodrošina, ka līdz 1. decembrim uzglabājamais apjoms atbilst vismaz vidējam uzglabāšanas kapacitātes izmantojumam iepriekšējo piecu gadu laikā, kas noteikts, cita starpā ņemot vērā plūsmas izsūknēšanas sezonā iepriekšējos piecos gados no dalībvalstīm, kurās atrodas krātuves; vai”;</w:t>
      </w:r>
    </w:p>
    <w:p w:rsidR="001E5D00" w:rsidRPr="004E3B8B" w:rsidRDefault="001E5D00" w:rsidP="001E5D00">
      <w:pPr>
        <w:pStyle w:val="NormalHanging12a"/>
        <w:ind w:left="1418"/>
        <w:rPr>
          <w:b/>
          <w:i/>
        </w:rPr>
      </w:pPr>
      <w:r w:rsidRPr="004E3B8B">
        <w:rPr>
          <w:b/>
          <w:i/>
        </w:rPr>
        <w:t>d)</w:t>
      </w:r>
      <w:r w:rsidRPr="004E3B8B">
        <w:rPr>
          <w:b/>
          <w:i/>
        </w:rPr>
        <w:tab/>
        <w:t>panta 6. punktu aizstāj ar šādu:</w:t>
      </w:r>
    </w:p>
    <w:p w:rsidR="001E5D00" w:rsidRPr="004E3B8B" w:rsidRDefault="001E5D00" w:rsidP="001E5D00">
      <w:pPr>
        <w:pStyle w:val="NormalHanging12a"/>
        <w:ind w:left="1985"/>
        <w:rPr>
          <w:b/>
          <w:i/>
          <w:szCs w:val="24"/>
        </w:rPr>
      </w:pPr>
      <w:r w:rsidRPr="004E3B8B">
        <w:rPr>
          <w:b/>
          <w:i/>
        </w:rPr>
        <w:t>“6.</w:t>
      </w:r>
      <w:r w:rsidRPr="004E3B8B">
        <w:rPr>
          <w:b/>
          <w:i/>
        </w:rPr>
        <w:tab/>
        <w:t xml:space="preserve">Ja vien </w:t>
      </w:r>
      <w:proofErr w:type="spellStart"/>
      <w:r w:rsidRPr="004E3B8B">
        <w:rPr>
          <w:b/>
          <w:i/>
        </w:rPr>
        <w:t>Ib</w:t>
      </w:r>
      <w:proofErr w:type="spellEnd"/>
      <w:r w:rsidRPr="004E3B8B">
        <w:rPr>
          <w:b/>
          <w:i/>
        </w:rPr>
        <w:t> pielikumā nav noteikts citādi, gadījumā, ja vienā dalībvalstī atrodas pazemes gāzes krātuves, uz kurām neattiecas 5. punkts, bet kuras ir tieši savienotas ar citas dalībvalsts tirgus zonu, šī cita dalībvalsts nodrošina, ka laikā no 1. oktobra līdz 1. decembrim uzglabājamais apjoms atbilst vismaz vidējai uzglabāšanas kapacitātei, kas attiecīgajā pārrobežu punktā rezervēta iepriekšējo piecu gadu laikā.”;</w:t>
      </w:r>
    </w:p>
    <w:p w:rsidR="001E5D00" w:rsidRPr="004E3B8B" w:rsidRDefault="001E5D00" w:rsidP="001E5D00">
      <w:pPr>
        <w:pStyle w:val="NormalHanging12a"/>
        <w:ind w:left="851" w:hanging="851"/>
        <w:rPr>
          <w:b/>
          <w:i/>
        </w:rPr>
      </w:pPr>
      <w:r w:rsidRPr="004E3B8B">
        <w:rPr>
          <w:b/>
          <w:i/>
        </w:rPr>
        <w:lastRenderedPageBreak/>
        <w:t>5)</w:t>
      </w:r>
      <w:r w:rsidRPr="004E3B8B">
        <w:rPr>
          <w:b/>
          <w:i/>
        </w:rPr>
        <w:tab/>
        <w:t>regulas 6.d pantu groza šādi:</w:t>
      </w:r>
    </w:p>
    <w:p w:rsidR="001E5D00" w:rsidRPr="004E3B8B" w:rsidRDefault="001E5D00" w:rsidP="001E5D00">
      <w:pPr>
        <w:pStyle w:val="NormalHanging12a"/>
        <w:ind w:left="1418"/>
        <w:rPr>
          <w:b/>
          <w:i/>
        </w:rPr>
      </w:pPr>
      <w:r w:rsidRPr="004E3B8B">
        <w:rPr>
          <w:b/>
          <w:i/>
        </w:rPr>
        <w:t>a)</w:t>
      </w:r>
      <w:r w:rsidRPr="004E3B8B">
        <w:rPr>
          <w:b/>
          <w:i/>
        </w:rPr>
        <w:tab/>
        <w:t>panta 1. un 2. punktu aizstāj ar šādiem punktiem:</w:t>
      </w:r>
    </w:p>
    <w:p w:rsidR="001E5D00" w:rsidRPr="004E3B8B" w:rsidRDefault="001E5D00" w:rsidP="001E5D00">
      <w:pPr>
        <w:pStyle w:val="NormalHanging12a"/>
        <w:ind w:left="1985"/>
        <w:rPr>
          <w:b/>
          <w:i/>
          <w:szCs w:val="24"/>
        </w:rPr>
      </w:pPr>
      <w:r w:rsidRPr="004E3B8B">
        <w:rPr>
          <w:b/>
          <w:i/>
        </w:rPr>
        <w:t>“1.</w:t>
      </w:r>
      <w:r w:rsidRPr="004E3B8B">
        <w:rPr>
          <w:b/>
          <w:i/>
        </w:rPr>
        <w:tab/>
        <w:t>Uzglabāšanas sistēmas operatori paziņo piepildījuma līmeni kompetentajai iestādei katrā dalībvalstī, kurā atrodas attiecīgās pazemes gāzes krātuves, un attiecīgā gadījumā – attiecīgās dalībvalsts izraudzītai struktūrai (“izraudzītā struktūra”), kā noteikts saskaņā ar 6.a pantu.</w:t>
      </w:r>
    </w:p>
    <w:p w:rsidR="001E5D00" w:rsidRPr="004E3B8B" w:rsidRDefault="001E5D00" w:rsidP="001E5D00">
      <w:pPr>
        <w:pStyle w:val="NormalHanging12a"/>
        <w:ind w:left="1985"/>
        <w:rPr>
          <w:szCs w:val="24"/>
        </w:rPr>
      </w:pPr>
      <w:r w:rsidRPr="004E3B8B">
        <w:rPr>
          <w:b/>
          <w:i/>
        </w:rPr>
        <w:t>2.</w:t>
      </w:r>
      <w:r w:rsidRPr="004E3B8B">
        <w:rPr>
          <w:b/>
          <w:i/>
        </w:rPr>
        <w:tab/>
        <w:t>Katras dalībvalsts kompetentā iestāde un attiecīgā gadījumā izraudzītā struktūra katra mēneša beigās nokontrolē tās teritorijā esošo pazemes gāzes krātuvju piepildījuma līmeni un katru mēnesi bez kavēšanās ziņo par rezultātiem Komisijai. Kompetentā iestāde iekļauj arī informāciju par gāzes ar izcelsmi Krievijas Federācijā daudzumu, kas tiek uzglabāts attiecīgajā dalībvalstī, ja šāda informācija ir pieejama.</w:t>
      </w:r>
    </w:p>
    <w:p w:rsidR="001E5D00" w:rsidRPr="004E3B8B" w:rsidRDefault="001E5D00" w:rsidP="001E5D00">
      <w:pPr>
        <w:pStyle w:val="NormalHanging12a"/>
        <w:ind w:left="1985" w:firstLine="0"/>
        <w:rPr>
          <w:b/>
          <w:i/>
        </w:rPr>
      </w:pPr>
      <w:r w:rsidRPr="004E3B8B">
        <w:rPr>
          <w:b/>
          <w:i/>
        </w:rPr>
        <w:t xml:space="preserve">Komisija vajadzības gadījumā var aicināt Eiropas Savienības </w:t>
      </w:r>
      <w:proofErr w:type="spellStart"/>
      <w:r w:rsidRPr="004E3B8B">
        <w:rPr>
          <w:b/>
          <w:i/>
        </w:rPr>
        <w:t>Energoregulatoru</w:t>
      </w:r>
      <w:proofErr w:type="spellEnd"/>
      <w:r w:rsidRPr="004E3B8B">
        <w:rPr>
          <w:b/>
          <w:i/>
        </w:rPr>
        <w:t xml:space="preserve"> sadarbības aģentūru (ACER) palīdzēt šādā uzraudzībā.”;</w:t>
      </w:r>
    </w:p>
    <w:p w:rsidR="001E5D00" w:rsidRPr="004E3B8B" w:rsidRDefault="001E5D00" w:rsidP="001E5D00">
      <w:pPr>
        <w:pStyle w:val="NormalHanging12a"/>
        <w:ind w:left="1418"/>
        <w:rPr>
          <w:b/>
          <w:i/>
        </w:rPr>
      </w:pPr>
      <w:r w:rsidRPr="004E3B8B">
        <w:rPr>
          <w:b/>
          <w:i/>
        </w:rPr>
        <w:t>b)</w:t>
      </w:r>
      <w:r w:rsidRPr="004E3B8B">
        <w:rPr>
          <w:b/>
          <w:i/>
        </w:rPr>
        <w:tab/>
        <w:t>panta 4. un 5. punktu aizstāj ar šādiem punktiem:</w:t>
      </w:r>
    </w:p>
    <w:p w:rsidR="001E5D00" w:rsidRPr="004E3B8B" w:rsidRDefault="001E5D00" w:rsidP="001E5D00">
      <w:pPr>
        <w:pStyle w:val="NormalHanging12a"/>
        <w:ind w:left="1985"/>
        <w:rPr>
          <w:b/>
          <w:i/>
          <w:szCs w:val="24"/>
        </w:rPr>
      </w:pPr>
      <w:r w:rsidRPr="004E3B8B">
        <w:rPr>
          <w:b/>
          <w:i/>
        </w:rPr>
        <w:t>“4.</w:t>
      </w:r>
      <w:r w:rsidRPr="004E3B8B">
        <w:rPr>
          <w:b/>
          <w:i/>
        </w:rPr>
        <w:tab/>
        <w:t xml:space="preserve">GKG palīdz Komisijai piepildījuma </w:t>
      </w:r>
      <w:proofErr w:type="spellStart"/>
      <w:r w:rsidRPr="004E3B8B">
        <w:rPr>
          <w:b/>
          <w:i/>
        </w:rPr>
        <w:t>mērķrādītāja</w:t>
      </w:r>
      <w:proofErr w:type="spellEnd"/>
      <w:r w:rsidRPr="004E3B8B">
        <w:rPr>
          <w:b/>
          <w:i/>
        </w:rPr>
        <w:t xml:space="preserve"> uzraudzībā un izstrādā norādījumus Komisijai par pienācīgiem pasākumiem, kā nodrošināt labāku saskaņošanu gadījumā, ja dalībvalstu piepildījuma rādītāji apdraud piepildījuma </w:t>
      </w:r>
      <w:proofErr w:type="spellStart"/>
      <w:r w:rsidRPr="004E3B8B">
        <w:rPr>
          <w:b/>
          <w:i/>
        </w:rPr>
        <w:t>mērķrādītāja</w:t>
      </w:r>
      <w:proofErr w:type="spellEnd"/>
      <w:r w:rsidRPr="004E3B8B">
        <w:rPr>
          <w:b/>
          <w:i/>
        </w:rPr>
        <w:t xml:space="preserve"> sasniegšanu, vai kā nodrošināt atbilstību piepildījuma </w:t>
      </w:r>
      <w:proofErr w:type="spellStart"/>
      <w:r w:rsidRPr="004E3B8B">
        <w:rPr>
          <w:b/>
          <w:i/>
        </w:rPr>
        <w:t>mērķrādītājam</w:t>
      </w:r>
      <w:proofErr w:type="spellEnd"/>
      <w:r w:rsidRPr="004E3B8B">
        <w:rPr>
          <w:b/>
          <w:i/>
        </w:rPr>
        <w:t>.</w:t>
      </w:r>
    </w:p>
    <w:p w:rsidR="001E5D00" w:rsidRPr="004E3B8B" w:rsidRDefault="001E5D00" w:rsidP="001E5D00">
      <w:pPr>
        <w:pStyle w:val="NormalHanging12a"/>
        <w:ind w:left="1985"/>
        <w:rPr>
          <w:b/>
          <w:i/>
          <w:szCs w:val="24"/>
        </w:rPr>
      </w:pPr>
      <w:r w:rsidRPr="004E3B8B">
        <w:rPr>
          <w:b/>
          <w:i/>
        </w:rPr>
        <w:t>4.a</w:t>
      </w:r>
      <w:r w:rsidRPr="004E3B8B">
        <w:rPr>
          <w:b/>
          <w:i/>
        </w:rPr>
        <w:tab/>
        <w:t xml:space="preserve">Attiecīgā gadījumā Komisija īsteno pasākumus, kas palīdz dalībvalstīm sasniegt piepildījuma </w:t>
      </w:r>
      <w:proofErr w:type="spellStart"/>
      <w:r w:rsidRPr="004E3B8B">
        <w:rPr>
          <w:b/>
          <w:i/>
        </w:rPr>
        <w:t>mērķrādītāju</w:t>
      </w:r>
      <w:proofErr w:type="spellEnd"/>
      <w:r w:rsidRPr="004E3B8B">
        <w:rPr>
          <w:b/>
          <w:i/>
        </w:rPr>
        <w:t xml:space="preserve">, tostarp pasākumus, lai veicinātu dalību pieprasījuma </w:t>
      </w:r>
      <w:proofErr w:type="spellStart"/>
      <w:r w:rsidRPr="004E3B8B">
        <w:rPr>
          <w:b/>
          <w:i/>
        </w:rPr>
        <w:t>agregēšanas</w:t>
      </w:r>
      <w:proofErr w:type="spellEnd"/>
      <w:r w:rsidRPr="004E3B8B">
        <w:rPr>
          <w:b/>
          <w:i/>
        </w:rPr>
        <w:t xml:space="preserve"> un kopīgo iepirkumu mehānismā, kas izveidots ar Regulu (ES) 2022/2576 (“</w:t>
      </w:r>
      <w:proofErr w:type="spellStart"/>
      <w:r w:rsidRPr="004E3B8B">
        <w:rPr>
          <w:b/>
          <w:i/>
        </w:rPr>
        <w:t>AgregateEU</w:t>
      </w:r>
      <w:proofErr w:type="spellEnd"/>
      <w:r w:rsidRPr="004E3B8B">
        <w:rPr>
          <w:b/>
          <w:i/>
        </w:rPr>
        <w:t>”)</w:t>
      </w:r>
      <w:r w:rsidRPr="004E3B8B">
        <w:rPr>
          <w:rStyle w:val="FootnoteReference"/>
          <w:b/>
          <w:i/>
        </w:rPr>
        <w:t>*</w:t>
      </w:r>
      <w:r w:rsidRPr="004E3B8B">
        <w:rPr>
          <w:b/>
          <w:i/>
        </w:rPr>
        <w:t>.</w:t>
      </w:r>
    </w:p>
    <w:p w:rsidR="001E5D00" w:rsidRPr="004E3B8B" w:rsidRDefault="001E5D00" w:rsidP="001E5D00">
      <w:pPr>
        <w:pStyle w:val="NormalHanging12a"/>
        <w:ind w:left="1985"/>
        <w:rPr>
          <w:b/>
          <w:i/>
        </w:rPr>
      </w:pPr>
      <w:r w:rsidRPr="004E3B8B">
        <w:rPr>
          <w:b/>
          <w:i/>
        </w:rPr>
        <w:t>5.</w:t>
      </w:r>
      <w:r w:rsidRPr="004E3B8B">
        <w:rPr>
          <w:b/>
          <w:i/>
        </w:rPr>
        <w:tab/>
        <w:t xml:space="preserve">Dalībvalstis un attiecīgā gadījumā Komisija veic vajadzīgos pasākumus, lai sasniegtu piepildījuma </w:t>
      </w:r>
      <w:proofErr w:type="spellStart"/>
      <w:r w:rsidRPr="004E3B8B">
        <w:rPr>
          <w:b/>
          <w:i/>
        </w:rPr>
        <w:t>mērķrādītāju</w:t>
      </w:r>
      <w:proofErr w:type="spellEnd"/>
      <w:r w:rsidRPr="004E3B8B">
        <w:rPr>
          <w:b/>
          <w:i/>
        </w:rPr>
        <w:t xml:space="preserve"> un panāktu, ka tirgus dalībnieki izpilda uzglabāšanas pienākumus. Šie pasākumi var ietvert pietiekami preventīvas sankcijas un naudas sodus, piemēram, atbilstošas finansiālas sankcijas.</w:t>
      </w:r>
    </w:p>
    <w:p w:rsidR="001E5D00" w:rsidRPr="004E3B8B" w:rsidRDefault="001E5D00" w:rsidP="001E5D00">
      <w:pPr>
        <w:pStyle w:val="NormalHanging12a"/>
        <w:ind w:left="1985"/>
        <w:rPr>
          <w:b/>
          <w:i/>
        </w:rPr>
      </w:pPr>
      <w:r w:rsidRPr="004E3B8B">
        <w:rPr>
          <w:b/>
          <w:i/>
        </w:rPr>
        <w:t>___________________</w:t>
      </w:r>
    </w:p>
    <w:p w:rsidR="001E5D00" w:rsidRPr="004E3B8B" w:rsidRDefault="001E5D00" w:rsidP="001E5D00">
      <w:pPr>
        <w:pStyle w:val="NormalHanging12a"/>
        <w:ind w:left="1985"/>
        <w:rPr>
          <w:b/>
          <w:i/>
        </w:rPr>
      </w:pPr>
      <w:r w:rsidRPr="004E3B8B">
        <w:rPr>
          <w:b/>
          <w:i/>
        </w:rPr>
        <w:t>*</w:t>
      </w:r>
      <w:r w:rsidRPr="004E3B8B">
        <w:rPr>
          <w:b/>
          <w:i/>
        </w:rPr>
        <w:tab/>
        <w:t>Padomes Regula (ES) 2022/2576 (2022. gada 19. decembris) par solidaritātes veicināšanu, labāk koordinējot gāzes iepirkumus, uzticamus cenu kritērijus un gāzes pārrobežu apmaiņu (OV L 335, 29.12.2022., 1. lpp., ELI: http://data.europa.eu/eli/reg/2022/2576/oj).”;</w:t>
      </w:r>
    </w:p>
    <w:p w:rsidR="001E5D00" w:rsidRPr="004E3B8B" w:rsidRDefault="001E5D00" w:rsidP="001E5D00">
      <w:pPr>
        <w:pStyle w:val="NormalHanging12a"/>
        <w:ind w:left="851" w:hanging="851"/>
        <w:rPr>
          <w:b/>
          <w:i/>
          <w:szCs w:val="24"/>
        </w:rPr>
      </w:pPr>
      <w:r w:rsidRPr="004E3B8B">
        <w:rPr>
          <w:b/>
          <w:i/>
        </w:rPr>
        <w:t>6)</w:t>
      </w:r>
      <w:r w:rsidRPr="004E3B8B">
        <w:rPr>
          <w:b/>
          <w:i/>
        </w:rPr>
        <w:tab/>
        <w:t>regulas 17.a panta 1. punktam pievieno šādu apakšpunktu:</w:t>
      </w:r>
    </w:p>
    <w:p w:rsidR="001E5D00" w:rsidRPr="004E3B8B" w:rsidRDefault="001E5D00" w:rsidP="001E5D00">
      <w:pPr>
        <w:pStyle w:val="NormalHanging12a"/>
        <w:ind w:left="1418"/>
        <w:rPr>
          <w:b/>
          <w:i/>
          <w:szCs w:val="24"/>
        </w:rPr>
      </w:pPr>
      <w:r w:rsidRPr="004E3B8B">
        <w:rPr>
          <w:b/>
          <w:i/>
        </w:rPr>
        <w:t>“</w:t>
      </w:r>
      <w:proofErr w:type="spellStart"/>
      <w:r w:rsidRPr="004E3B8B">
        <w:rPr>
          <w:b/>
          <w:i/>
        </w:rPr>
        <w:t>da</w:t>
      </w:r>
      <w:proofErr w:type="spellEnd"/>
      <w:r w:rsidRPr="004E3B8B">
        <w:rPr>
          <w:b/>
          <w:i/>
        </w:rPr>
        <w:t>)</w:t>
      </w:r>
      <w:r w:rsidRPr="004E3B8B">
        <w:rPr>
          <w:b/>
          <w:i/>
        </w:rPr>
        <w:tab/>
        <w:t>informāciju par ES krātuvēs uzglabātās gāzes ar izcelsmi Krievijas Federācijā īpatsvaru, ko dalībvalstis sniedz saskaņā ar 6.d panta 2. punktu.”;</w:t>
      </w:r>
    </w:p>
    <w:p w:rsidR="001E5D00" w:rsidRPr="004E3B8B" w:rsidRDefault="001E5D00" w:rsidP="001E5D00">
      <w:pPr>
        <w:pStyle w:val="NormalHanging12a"/>
        <w:ind w:left="851" w:hanging="851"/>
        <w:rPr>
          <w:b/>
          <w:i/>
          <w:szCs w:val="24"/>
        </w:rPr>
      </w:pPr>
      <w:r w:rsidRPr="004E3B8B">
        <w:rPr>
          <w:b/>
          <w:i/>
        </w:rPr>
        <w:lastRenderedPageBreak/>
        <w:t>7)</w:t>
      </w:r>
      <w:r w:rsidRPr="004E3B8B">
        <w:rPr>
          <w:b/>
          <w:i/>
        </w:rPr>
        <w:tab/>
        <w:t>regulas 22. pantā ceturto daļu aizstāj ar šādu:</w:t>
      </w:r>
    </w:p>
    <w:p w:rsidR="001E5D00" w:rsidRPr="004E3B8B" w:rsidRDefault="001E5D00" w:rsidP="001E5D00">
      <w:pPr>
        <w:pStyle w:val="NormalHanging12a"/>
        <w:ind w:left="851" w:firstLine="0"/>
        <w:rPr>
          <w:b/>
          <w:i/>
          <w:szCs w:val="24"/>
        </w:rPr>
      </w:pPr>
      <w:r w:rsidRPr="004E3B8B">
        <w:rPr>
          <w:b/>
          <w:i/>
        </w:rPr>
        <w:t xml:space="preserve">“Regulas 2. panta 27)–31) punktu, 6.a–6.d pantu, 16. panta 3. punktu, 17.a pantu, 18.a pantu, 20. panta 4. punktu un </w:t>
      </w:r>
      <w:proofErr w:type="spellStart"/>
      <w:r w:rsidRPr="004E3B8B">
        <w:rPr>
          <w:b/>
          <w:i/>
        </w:rPr>
        <w:t>Ib</w:t>
      </w:r>
      <w:proofErr w:type="spellEnd"/>
      <w:r w:rsidRPr="004E3B8B">
        <w:rPr>
          <w:b/>
          <w:i/>
        </w:rPr>
        <w:t> pielikumu piemēro līdz 2027. gada 31. decembrim.”;</w:t>
      </w:r>
    </w:p>
    <w:p w:rsidR="001E5D00" w:rsidRPr="004E3B8B" w:rsidRDefault="001E5D00" w:rsidP="001E5D00">
      <w:pPr>
        <w:pStyle w:val="NormalHanging12a"/>
        <w:ind w:left="851" w:hanging="851"/>
        <w:rPr>
          <w:b/>
          <w:i/>
          <w:szCs w:val="24"/>
        </w:rPr>
      </w:pPr>
      <w:r w:rsidRPr="004E3B8B">
        <w:rPr>
          <w:b/>
          <w:i/>
        </w:rPr>
        <w:t>8)</w:t>
      </w:r>
      <w:r w:rsidRPr="004E3B8B">
        <w:rPr>
          <w:b/>
          <w:i/>
        </w:rPr>
        <w:tab/>
        <w:t xml:space="preserve">regulas </w:t>
      </w:r>
      <w:proofErr w:type="spellStart"/>
      <w:r w:rsidRPr="004E3B8B">
        <w:rPr>
          <w:b/>
          <w:i/>
        </w:rPr>
        <w:t>Ia</w:t>
      </w:r>
      <w:proofErr w:type="spellEnd"/>
      <w:r w:rsidRPr="004E3B8B">
        <w:rPr>
          <w:b/>
          <w:i/>
        </w:rPr>
        <w:t> pielikumu svītro.</w:t>
      </w:r>
    </w:p>
    <w:p w:rsidR="001E5D00" w:rsidRPr="004E3B8B" w:rsidRDefault="001E5D00" w:rsidP="001E5D00">
      <w:pPr>
        <w:rPr>
          <w:noProof/>
        </w:rPr>
      </w:pPr>
    </w:p>
    <w:p w:rsidR="001E5D00" w:rsidRPr="004E3B8B" w:rsidRDefault="001E5D00" w:rsidP="001E5D00">
      <w:pPr>
        <w:pStyle w:val="Titrearticle"/>
        <w:rPr>
          <w:noProof/>
        </w:rPr>
      </w:pPr>
      <w:r w:rsidRPr="004E3B8B">
        <w:t>2. pants</w:t>
      </w:r>
    </w:p>
    <w:p w:rsidR="001E5D00" w:rsidRPr="004E3B8B" w:rsidRDefault="001E5D00" w:rsidP="001E5D00">
      <w:pPr>
        <w:jc w:val="center"/>
        <w:rPr>
          <w:b/>
          <w:bCs/>
          <w:noProof/>
        </w:rPr>
      </w:pPr>
      <w:r w:rsidRPr="004E3B8B">
        <w:rPr>
          <w:b/>
        </w:rPr>
        <w:t>Stāšanās spēkā</w:t>
      </w:r>
    </w:p>
    <w:p w:rsidR="001E5D00" w:rsidRPr="004E3B8B" w:rsidRDefault="001E5D00" w:rsidP="001E5D00">
      <w:pPr>
        <w:pStyle w:val="NormalHanging12a"/>
        <w:ind w:left="0" w:firstLine="0"/>
        <w:rPr>
          <w:szCs w:val="24"/>
        </w:rPr>
      </w:pPr>
      <w:r w:rsidRPr="004E3B8B">
        <w:t xml:space="preserve">Šī regula stājas spēkā </w:t>
      </w:r>
      <w:r w:rsidRPr="004E3B8B">
        <w:rPr>
          <w:b/>
          <w:bCs/>
          <w:i/>
          <w:iCs/>
        </w:rPr>
        <w:t>un</w:t>
      </w:r>
      <w:r w:rsidRPr="004E3B8B">
        <w:t xml:space="preserve"> </w:t>
      </w:r>
      <w:r w:rsidRPr="004E3B8B">
        <w:rPr>
          <w:b/>
          <w:bCs/>
          <w:i/>
          <w:iCs/>
        </w:rPr>
        <w:t>to piemēro</w:t>
      </w:r>
      <w:r w:rsidRPr="004E3B8B">
        <w:t xml:space="preserve"> nākamajā dienā pēc tās publicēšanas </w:t>
      </w:r>
      <w:r w:rsidRPr="004E3B8B">
        <w:rPr>
          <w:i/>
          <w:iCs/>
        </w:rPr>
        <w:t>Eiropas Savienības Oficiālajā Vēstnesī</w:t>
      </w:r>
      <w:r w:rsidRPr="004E3B8B">
        <w:t>.</w:t>
      </w:r>
    </w:p>
    <w:p w:rsidR="001E5D00" w:rsidRPr="004E3B8B" w:rsidRDefault="001E5D00" w:rsidP="001E5D00">
      <w:pPr>
        <w:pStyle w:val="NormalCenter12a"/>
        <w:jc w:val="left"/>
      </w:pPr>
      <w:r w:rsidRPr="004E3B8B">
        <w:t>Šī regula uzliek saistības kopumā un ir tieši piemērojama visās dalībvalstīs.</w:t>
      </w:r>
    </w:p>
    <w:p w:rsidR="001E5D00" w:rsidRPr="004E3B8B" w:rsidRDefault="001E5D00" w:rsidP="001E5D00">
      <w:pPr>
        <w:pStyle w:val="NormalCenter12a"/>
        <w:jc w:val="left"/>
      </w:pPr>
      <w:r w:rsidRPr="004E3B8B">
        <w:t>Briselē,</w:t>
      </w:r>
    </w:p>
    <w:p w:rsidR="001E5D00" w:rsidRPr="004E3B8B" w:rsidRDefault="001E5D00" w:rsidP="001E5D00">
      <w:pPr>
        <w:pStyle w:val="NormalCenter12a"/>
        <w:jc w:val="left"/>
      </w:pPr>
      <w:r w:rsidRPr="004E3B8B">
        <w:t>Eiropas Parlamenta vārdā —</w:t>
      </w:r>
      <w:r w:rsidR="00FC6ACB" w:rsidRPr="004E3B8B">
        <w:t xml:space="preserve"> </w:t>
      </w:r>
    </w:p>
    <w:p w:rsidR="001E5D00" w:rsidRPr="004E3B8B" w:rsidRDefault="001E5D00" w:rsidP="001E5D00">
      <w:pPr>
        <w:pStyle w:val="NormalCenter12a"/>
        <w:jc w:val="left"/>
      </w:pPr>
      <w:r w:rsidRPr="004E3B8B">
        <w:t>priekšsēdētāja</w:t>
      </w:r>
    </w:p>
    <w:p w:rsidR="001E5D00" w:rsidRPr="004E3B8B" w:rsidRDefault="001E5D00">
      <w:pPr>
        <w:pStyle w:val="NormalCenter12a"/>
        <w:jc w:val="left"/>
      </w:pPr>
      <w:r w:rsidRPr="004E3B8B">
        <w:t>Padomes vārdā —</w:t>
      </w:r>
    </w:p>
    <w:p w:rsidR="00E365E1" w:rsidRPr="004E3B8B" w:rsidRDefault="001E5D00" w:rsidP="001822C6">
      <w:pPr>
        <w:spacing w:after="240"/>
      </w:pPr>
      <w:r w:rsidRPr="004E3B8B">
        <w:t>priekšsēdētājs</w:t>
      </w:r>
    </w:p>
    <w:sectPr w:rsidR="00E365E1" w:rsidRPr="004E3B8B" w:rsidSect="00280AF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6F9" w:rsidRPr="00280AF1" w:rsidRDefault="00C646F9">
      <w:r w:rsidRPr="00280AF1">
        <w:separator/>
      </w:r>
    </w:p>
  </w:endnote>
  <w:endnote w:type="continuationSeparator" w:id="0">
    <w:p w:rsidR="00C646F9" w:rsidRPr="00280AF1" w:rsidRDefault="00C646F9">
      <w:r w:rsidRPr="00280A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AF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AF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A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6F9" w:rsidRPr="00280AF1" w:rsidRDefault="00C646F9">
      <w:r w:rsidRPr="00280AF1">
        <w:separator/>
      </w:r>
    </w:p>
  </w:footnote>
  <w:footnote w:type="continuationSeparator" w:id="0">
    <w:p w:rsidR="00C646F9" w:rsidRPr="00280AF1" w:rsidRDefault="00C646F9">
      <w:r w:rsidRPr="00280AF1">
        <w:continuationSeparator/>
      </w:r>
    </w:p>
  </w:footnote>
  <w:footnote w:id="1">
    <w:p w:rsidR="001822C6" w:rsidRPr="004E3B8B" w:rsidRDefault="001822C6" w:rsidP="004E3B8B">
      <w:pPr>
        <w:pStyle w:val="FootnoteText"/>
        <w:ind w:left="567" w:hanging="567"/>
        <w:rPr>
          <w:sz w:val="24"/>
          <w:szCs w:val="24"/>
          <w:lang w:val="hu-HU"/>
        </w:rPr>
      </w:pPr>
      <w:r w:rsidRPr="004E3B8B">
        <w:rPr>
          <w:rStyle w:val="FootnoteReference"/>
          <w:sz w:val="24"/>
          <w:szCs w:val="24"/>
        </w:rPr>
        <w:footnoteRef/>
      </w:r>
      <w:r w:rsidRPr="004E3B8B">
        <w:rPr>
          <w:sz w:val="24"/>
          <w:szCs w:val="24"/>
          <w:lang w:val="hu-HU"/>
        </w:rPr>
        <w:t xml:space="preserve"> </w:t>
      </w:r>
      <w:r w:rsidRPr="004E3B8B">
        <w:rPr>
          <w:sz w:val="24"/>
          <w:szCs w:val="24"/>
          <w:lang w:val="hu-HU"/>
        </w:rPr>
        <w:tab/>
      </w:r>
      <w:proofErr w:type="spellStart"/>
      <w:r w:rsidRPr="004E3B8B">
        <w:rPr>
          <w:sz w:val="24"/>
          <w:szCs w:val="24"/>
          <w:lang w:val="hu-HU"/>
        </w:rPr>
        <w:t>Jautājums</w:t>
      </w:r>
      <w:proofErr w:type="spellEnd"/>
      <w:r w:rsidRPr="004E3B8B">
        <w:rPr>
          <w:sz w:val="24"/>
          <w:szCs w:val="24"/>
          <w:lang w:val="hu-HU"/>
        </w:rPr>
        <w:t xml:space="preserve"> </w:t>
      </w:r>
      <w:proofErr w:type="spellStart"/>
      <w:r w:rsidRPr="004E3B8B">
        <w:rPr>
          <w:sz w:val="24"/>
          <w:szCs w:val="24"/>
          <w:lang w:val="hu-HU"/>
        </w:rPr>
        <w:t>tika</w:t>
      </w:r>
      <w:proofErr w:type="spellEnd"/>
      <w:r w:rsidRPr="004E3B8B">
        <w:rPr>
          <w:sz w:val="24"/>
          <w:szCs w:val="24"/>
          <w:lang w:val="hu-HU"/>
        </w:rPr>
        <w:t xml:space="preserve"> </w:t>
      </w:r>
      <w:proofErr w:type="spellStart"/>
      <w:r w:rsidRPr="004E3B8B">
        <w:rPr>
          <w:sz w:val="24"/>
          <w:szCs w:val="24"/>
          <w:lang w:val="hu-HU"/>
        </w:rPr>
        <w:t>nodots</w:t>
      </w:r>
      <w:proofErr w:type="spellEnd"/>
      <w:r w:rsidRPr="004E3B8B">
        <w:rPr>
          <w:sz w:val="24"/>
          <w:szCs w:val="24"/>
          <w:lang w:val="hu-HU"/>
        </w:rPr>
        <w:t xml:space="preserve"> </w:t>
      </w:r>
      <w:proofErr w:type="spellStart"/>
      <w:r w:rsidRPr="004E3B8B">
        <w:rPr>
          <w:sz w:val="24"/>
          <w:szCs w:val="24"/>
          <w:lang w:val="hu-HU"/>
        </w:rPr>
        <w:t>atpakaļ</w:t>
      </w:r>
      <w:proofErr w:type="spellEnd"/>
      <w:r w:rsidRPr="004E3B8B">
        <w:rPr>
          <w:sz w:val="24"/>
          <w:szCs w:val="24"/>
          <w:lang w:val="hu-HU"/>
        </w:rPr>
        <w:t xml:space="preserve"> </w:t>
      </w:r>
      <w:proofErr w:type="spellStart"/>
      <w:r w:rsidRPr="004E3B8B">
        <w:rPr>
          <w:sz w:val="24"/>
          <w:szCs w:val="24"/>
          <w:lang w:val="hu-HU"/>
        </w:rPr>
        <w:t>atbildīgajai</w:t>
      </w:r>
      <w:proofErr w:type="spellEnd"/>
      <w:r w:rsidRPr="004E3B8B">
        <w:rPr>
          <w:sz w:val="24"/>
          <w:szCs w:val="24"/>
          <w:lang w:val="hu-HU"/>
        </w:rPr>
        <w:t xml:space="preserve"> </w:t>
      </w:r>
      <w:proofErr w:type="spellStart"/>
      <w:r w:rsidRPr="004E3B8B">
        <w:rPr>
          <w:sz w:val="24"/>
          <w:szCs w:val="24"/>
          <w:lang w:val="hu-HU"/>
        </w:rPr>
        <w:t>komitejai</w:t>
      </w:r>
      <w:proofErr w:type="spellEnd"/>
      <w:r w:rsidRPr="004E3B8B">
        <w:rPr>
          <w:sz w:val="24"/>
          <w:szCs w:val="24"/>
          <w:lang w:val="hu-HU"/>
        </w:rPr>
        <w:t xml:space="preserve"> </w:t>
      </w:r>
      <w:proofErr w:type="spellStart"/>
      <w:r w:rsidRPr="004E3B8B">
        <w:rPr>
          <w:sz w:val="24"/>
          <w:szCs w:val="24"/>
          <w:lang w:val="hu-HU"/>
        </w:rPr>
        <w:t>starpiestāžu</w:t>
      </w:r>
      <w:proofErr w:type="spellEnd"/>
      <w:r w:rsidRPr="004E3B8B">
        <w:rPr>
          <w:sz w:val="24"/>
          <w:szCs w:val="24"/>
          <w:lang w:val="hu-HU"/>
        </w:rPr>
        <w:t xml:space="preserve"> </w:t>
      </w:r>
      <w:proofErr w:type="spellStart"/>
      <w:r w:rsidRPr="004E3B8B">
        <w:rPr>
          <w:sz w:val="24"/>
          <w:szCs w:val="24"/>
          <w:lang w:val="hu-HU"/>
        </w:rPr>
        <w:t>sarunām</w:t>
      </w:r>
      <w:proofErr w:type="spellEnd"/>
      <w:r w:rsidRPr="004E3B8B">
        <w:rPr>
          <w:sz w:val="24"/>
          <w:szCs w:val="24"/>
          <w:lang w:val="hu-HU"/>
        </w:rPr>
        <w:t xml:space="preserve"> </w:t>
      </w:r>
      <w:proofErr w:type="spellStart"/>
      <w:r w:rsidRPr="004E3B8B">
        <w:rPr>
          <w:sz w:val="24"/>
          <w:szCs w:val="24"/>
          <w:lang w:val="hu-HU"/>
        </w:rPr>
        <w:t>saskaņā</w:t>
      </w:r>
      <w:proofErr w:type="spellEnd"/>
      <w:r w:rsidRPr="004E3B8B">
        <w:rPr>
          <w:sz w:val="24"/>
          <w:szCs w:val="24"/>
          <w:lang w:val="hu-HU"/>
        </w:rPr>
        <w:t xml:space="preserve"> </w:t>
      </w:r>
      <w:proofErr w:type="spellStart"/>
      <w:r w:rsidRPr="004E3B8B">
        <w:rPr>
          <w:sz w:val="24"/>
          <w:szCs w:val="24"/>
          <w:lang w:val="hu-HU"/>
        </w:rPr>
        <w:t>ar</w:t>
      </w:r>
      <w:proofErr w:type="spellEnd"/>
      <w:r w:rsidRPr="004E3B8B">
        <w:rPr>
          <w:sz w:val="24"/>
          <w:szCs w:val="24"/>
          <w:lang w:val="hu-HU"/>
        </w:rPr>
        <w:t xml:space="preserve"> </w:t>
      </w:r>
      <w:r w:rsidR="004E3B8B">
        <w:rPr>
          <w:sz w:val="24"/>
          <w:szCs w:val="24"/>
          <w:lang w:val="hu-HU"/>
        </w:rPr>
        <w:t>60</w:t>
      </w:r>
      <w:r w:rsidRPr="004E3B8B">
        <w:rPr>
          <w:sz w:val="24"/>
          <w:szCs w:val="24"/>
          <w:lang w:val="hu-HU"/>
        </w:rPr>
        <w:t>. </w:t>
      </w:r>
      <w:proofErr w:type="spellStart"/>
      <w:r w:rsidRPr="004E3B8B">
        <w:rPr>
          <w:sz w:val="24"/>
          <w:szCs w:val="24"/>
          <w:lang w:val="hu-HU"/>
        </w:rPr>
        <w:t>panta</w:t>
      </w:r>
      <w:proofErr w:type="spellEnd"/>
      <w:r w:rsidRPr="004E3B8B">
        <w:rPr>
          <w:sz w:val="24"/>
          <w:szCs w:val="24"/>
          <w:lang w:val="hu-HU"/>
        </w:rPr>
        <w:t xml:space="preserve"> 4. </w:t>
      </w:r>
      <w:proofErr w:type="spellStart"/>
      <w:r w:rsidRPr="004E3B8B">
        <w:rPr>
          <w:sz w:val="24"/>
          <w:szCs w:val="24"/>
          <w:lang w:val="hu-HU"/>
        </w:rPr>
        <w:t>punkta</w:t>
      </w:r>
      <w:proofErr w:type="spellEnd"/>
      <w:r w:rsidRPr="004E3B8B">
        <w:rPr>
          <w:sz w:val="24"/>
          <w:szCs w:val="24"/>
          <w:lang w:val="hu-HU"/>
        </w:rPr>
        <w:t xml:space="preserve"> </w:t>
      </w:r>
      <w:proofErr w:type="spellStart"/>
      <w:r w:rsidRPr="004E3B8B">
        <w:rPr>
          <w:sz w:val="24"/>
          <w:szCs w:val="24"/>
          <w:lang w:val="hu-HU"/>
        </w:rPr>
        <w:t>ceturto</w:t>
      </w:r>
      <w:proofErr w:type="spellEnd"/>
      <w:r w:rsidRPr="004E3B8B">
        <w:rPr>
          <w:sz w:val="24"/>
          <w:szCs w:val="24"/>
          <w:lang w:val="hu-HU"/>
        </w:rPr>
        <w:t xml:space="preserve"> </w:t>
      </w:r>
      <w:proofErr w:type="spellStart"/>
      <w:r w:rsidRPr="004E3B8B">
        <w:rPr>
          <w:sz w:val="24"/>
          <w:szCs w:val="24"/>
          <w:lang w:val="hu-HU"/>
        </w:rPr>
        <w:t>daļu</w:t>
      </w:r>
      <w:proofErr w:type="spellEnd"/>
      <w:r w:rsidRPr="004E3B8B">
        <w:rPr>
          <w:sz w:val="24"/>
          <w:szCs w:val="24"/>
          <w:lang w:val="hu-HU"/>
        </w:rPr>
        <w:t xml:space="preserve"> (A</w:t>
      </w:r>
      <w:r>
        <w:rPr>
          <w:sz w:val="24"/>
          <w:szCs w:val="24"/>
          <w:lang w:val="hu-HU"/>
        </w:rPr>
        <w:t>10</w:t>
      </w:r>
      <w:r w:rsidRPr="004E3B8B">
        <w:rPr>
          <w:sz w:val="24"/>
          <w:szCs w:val="24"/>
          <w:lang w:val="hu-HU"/>
        </w:rPr>
        <w:t>-00</w:t>
      </w:r>
      <w:r>
        <w:rPr>
          <w:sz w:val="24"/>
          <w:szCs w:val="24"/>
          <w:lang w:val="hu-HU"/>
        </w:rPr>
        <w:t>79</w:t>
      </w:r>
      <w:r w:rsidRPr="004E3B8B">
        <w:rPr>
          <w:sz w:val="24"/>
          <w:szCs w:val="24"/>
          <w:lang w:val="hu-HU"/>
        </w:rPr>
        <w:t>/20</w:t>
      </w:r>
      <w:r>
        <w:rPr>
          <w:sz w:val="24"/>
          <w:szCs w:val="24"/>
          <w:lang w:val="hu-HU"/>
        </w:rPr>
        <w:t>25</w:t>
      </w:r>
      <w:r w:rsidRPr="004E3B8B">
        <w:rPr>
          <w:sz w:val="24"/>
          <w:szCs w:val="24"/>
          <w:lang w:val="hu-HU"/>
        </w:rPr>
        <w:t>)</w:t>
      </w:r>
      <w:r w:rsidRPr="004E3B8B">
        <w:rPr>
          <w:sz w:val="24"/>
          <w:szCs w:val="24"/>
          <w:lang w:val="lv-LV"/>
        </w:rPr>
        <w:t>.</w:t>
      </w:r>
    </w:p>
  </w:footnote>
  <w:footnote w:id="2">
    <w:p w:rsidR="001E5D00" w:rsidRPr="004E3B8B" w:rsidRDefault="001E5D00" w:rsidP="00280AF1">
      <w:pPr>
        <w:pStyle w:val="FootnoteText"/>
        <w:ind w:left="567" w:hanging="567"/>
        <w:rPr>
          <w:sz w:val="24"/>
          <w:szCs w:val="24"/>
          <w:lang w:val="lv-LV"/>
        </w:rPr>
      </w:pPr>
      <w:r w:rsidRPr="004E3B8B">
        <w:rPr>
          <w:rStyle w:val="FootnoteReference"/>
          <w:sz w:val="24"/>
          <w:szCs w:val="24"/>
          <w:lang w:val="lv-LV"/>
        </w:rPr>
        <w:t>*</w:t>
      </w:r>
      <w:r w:rsidR="00280AF1" w:rsidRPr="004E3B8B">
        <w:rPr>
          <w:sz w:val="24"/>
          <w:szCs w:val="24"/>
          <w:lang w:val="lv-LV"/>
        </w:rPr>
        <w:t xml:space="preserve"> </w:t>
      </w:r>
      <w:r w:rsidR="00280AF1" w:rsidRPr="004E3B8B">
        <w:rPr>
          <w:sz w:val="24"/>
          <w:szCs w:val="24"/>
          <w:lang w:val="lv-LV"/>
        </w:rPr>
        <w:tab/>
      </w:r>
      <w:r w:rsidRPr="004E3B8B">
        <w:rPr>
          <w:sz w:val="24"/>
          <w:szCs w:val="24"/>
          <w:lang w:val="lv-LV"/>
        </w:rPr>
        <w:t>Grozījumi: jaunais vai grozītais teksts ir norādīts treknā slīprakstā; svītrojumi ir apzīmēti ar simbolu ▌.</w:t>
      </w:r>
    </w:p>
  </w:footnote>
  <w:footnote w:id="3">
    <w:p w:rsidR="001E5D00" w:rsidRPr="00280AF1" w:rsidRDefault="001E5D00" w:rsidP="00280AF1">
      <w:pPr>
        <w:pStyle w:val="FootnoteText"/>
        <w:ind w:left="567" w:hanging="567"/>
        <w:rPr>
          <w:sz w:val="24"/>
          <w:lang w:val="lv-LV"/>
        </w:rPr>
      </w:pPr>
      <w:r w:rsidRPr="00280AF1">
        <w:rPr>
          <w:rStyle w:val="FootnoteReference"/>
          <w:sz w:val="24"/>
          <w:lang w:val="lv-LV"/>
        </w:rPr>
        <w:footnoteRef/>
      </w:r>
      <w:r w:rsidR="00280AF1" w:rsidRPr="00280AF1">
        <w:rPr>
          <w:sz w:val="24"/>
          <w:lang w:val="lv-LV"/>
        </w:rPr>
        <w:t xml:space="preserve"> </w:t>
      </w:r>
      <w:r w:rsidR="00280AF1" w:rsidRPr="00280AF1">
        <w:rPr>
          <w:sz w:val="24"/>
          <w:lang w:val="lv-LV"/>
        </w:rPr>
        <w:tab/>
      </w:r>
      <w:r w:rsidRPr="00280AF1">
        <w:rPr>
          <w:sz w:val="24"/>
          <w:lang w:val="lv-LV"/>
        </w:rPr>
        <w:t>Eiropas Parlamenta un Padomes Regula (ES) 2022/1032 (2022. gada 29. jūnijs), ar ko groza Regulas (ES) 2017/1938 un (EK) Nr. 715/2009 attiecībā uz gāzes uzglabāšanu (OV L 173, 30.6.2022., 17. lpp., ELI: http://data.europa.eu/eli/reg/2022/1032/oj).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A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A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A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9/2025"/>
    <w:docVar w:name="dvlangue" w:val="LV"/>
    <w:docVar w:name="dvnumam" w:val="0"/>
    <w:docVar w:name="dvpe" w:val="772.015"/>
    <w:docVar w:name="dvrapporteur" w:val="Referents: "/>
    <w:docVar w:name="dvstar" w:val="***I"/>
    <w:docVar w:name="dvtitre" w:val="Eiropas Parlamenta 2025. gada XX. XXX normatīvā rezolūcija par priekšlikumu Eiropas Parlamenta un Padomes regulai, ar ko Regulu (ES) 2017/1938 groza attiecībā uz gāzes uzglabāšanas lomu gāzes piegāžu nodrošināšanā pirms ziemas sezonas sākuma(COM(2025)0099 – C10-0041/2025 – 2025/0051(COD))"/>
  </w:docVars>
  <w:rsids>
    <w:rsidRoot w:val="00C646F9"/>
    <w:rsid w:val="00002272"/>
    <w:rsid w:val="00064002"/>
    <w:rsid w:val="000677B9"/>
    <w:rsid w:val="000831BA"/>
    <w:rsid w:val="000A42CC"/>
    <w:rsid w:val="000E7DD9"/>
    <w:rsid w:val="0010095E"/>
    <w:rsid w:val="00124503"/>
    <w:rsid w:val="00125B37"/>
    <w:rsid w:val="001822C6"/>
    <w:rsid w:val="00187494"/>
    <w:rsid w:val="001E5D00"/>
    <w:rsid w:val="001F32AE"/>
    <w:rsid w:val="00264487"/>
    <w:rsid w:val="002767FF"/>
    <w:rsid w:val="00280AF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3B8B"/>
    <w:rsid w:val="0050519A"/>
    <w:rsid w:val="005072A1"/>
    <w:rsid w:val="00514517"/>
    <w:rsid w:val="00545827"/>
    <w:rsid w:val="00560270"/>
    <w:rsid w:val="005C2568"/>
    <w:rsid w:val="005F1B17"/>
    <w:rsid w:val="006037C0"/>
    <w:rsid w:val="0062467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46F9"/>
    <w:rsid w:val="00C941CB"/>
    <w:rsid w:val="00CC2357"/>
    <w:rsid w:val="00CF071A"/>
    <w:rsid w:val="00D058B8"/>
    <w:rsid w:val="00D56C11"/>
    <w:rsid w:val="00D834A0"/>
    <w:rsid w:val="00D872DF"/>
    <w:rsid w:val="00D91E21"/>
    <w:rsid w:val="00D9749F"/>
    <w:rsid w:val="00DA7FCD"/>
    <w:rsid w:val="00E33360"/>
    <w:rsid w:val="00E365E1"/>
    <w:rsid w:val="00E820A4"/>
    <w:rsid w:val="00EB006A"/>
    <w:rsid w:val="00EB4772"/>
    <w:rsid w:val="00ED169E"/>
    <w:rsid w:val="00ED4235"/>
    <w:rsid w:val="00F04346"/>
    <w:rsid w:val="00F075DC"/>
    <w:rsid w:val="00F149E9"/>
    <w:rsid w:val="00F5134D"/>
    <w:rsid w:val="00F74202"/>
    <w:rsid w:val="00F87713"/>
    <w:rsid w:val="00FB4360"/>
    <w:rsid w:val="00FC6AC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F77F8"/>
  <w15:chartTrackingRefBased/>
  <w15:docId w15:val="{829A55DD-6AF1-4430-B15D-8D7C83772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E5D00"/>
    <w:pPr>
      <w:spacing w:before="480" w:after="240"/>
    </w:pPr>
  </w:style>
  <w:style w:type="paragraph" w:customStyle="1" w:styleId="NormalBold">
    <w:name w:val="NormalBold"/>
    <w:basedOn w:val="Normal"/>
    <w:rsid w:val="001E5D00"/>
    <w:rPr>
      <w:b/>
    </w:rPr>
  </w:style>
  <w:style w:type="paragraph" w:customStyle="1" w:styleId="NormalBold12a">
    <w:name w:val="NormalBold12a"/>
    <w:basedOn w:val="Normal"/>
    <w:rsid w:val="001E5D00"/>
    <w:pPr>
      <w:spacing w:after="240"/>
    </w:pPr>
    <w:rPr>
      <w:b/>
    </w:rPr>
  </w:style>
  <w:style w:type="paragraph" w:customStyle="1" w:styleId="NormalHanging12a">
    <w:name w:val="NormalHanging12a"/>
    <w:basedOn w:val="Normal"/>
    <w:link w:val="NormalHanging12aChar"/>
    <w:rsid w:val="001E5D00"/>
    <w:pPr>
      <w:spacing w:after="240"/>
      <w:ind w:left="567" w:hanging="567"/>
    </w:pPr>
  </w:style>
  <w:style w:type="paragraph" w:customStyle="1" w:styleId="NormalCenter12a">
    <w:name w:val="NormalCenter12a"/>
    <w:basedOn w:val="Normal"/>
    <w:rsid w:val="001E5D00"/>
    <w:pPr>
      <w:spacing w:after="240"/>
      <w:jc w:val="center"/>
    </w:pPr>
  </w:style>
  <w:style w:type="paragraph" w:customStyle="1" w:styleId="AmNumberTabs">
    <w:name w:val="AmNumberTabs"/>
    <w:basedOn w:val="Normal"/>
    <w:rsid w:val="001E5D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E5D00"/>
    <w:pPr>
      <w:spacing w:before="720" w:after="240"/>
      <w:jc w:val="center"/>
    </w:pPr>
  </w:style>
  <w:style w:type="paragraph" w:customStyle="1" w:styleId="Titrearticle">
    <w:name w:val="Titre article"/>
    <w:basedOn w:val="Normal"/>
    <w:next w:val="Normal"/>
    <w:rsid w:val="001E5D00"/>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1E5D00"/>
    <w:rPr>
      <w:sz w:val="24"/>
      <w:lang w:val="lv-LV"/>
    </w:rPr>
  </w:style>
  <w:style w:type="paragraph" w:styleId="BalloonText">
    <w:name w:val="Balloon Text"/>
    <w:basedOn w:val="Normal"/>
    <w:link w:val="BalloonTextChar"/>
    <w:rsid w:val="00124503"/>
    <w:rPr>
      <w:rFonts w:ascii="Segoe UI" w:hAnsi="Segoe UI" w:cs="Segoe UI"/>
      <w:sz w:val="18"/>
      <w:szCs w:val="18"/>
    </w:rPr>
  </w:style>
  <w:style w:type="character" w:customStyle="1" w:styleId="BalloonTextChar">
    <w:name w:val="Balloon Text Char"/>
    <w:basedOn w:val="DefaultParagraphFont"/>
    <w:link w:val="BalloonText"/>
    <w:rsid w:val="00124503"/>
    <w:rPr>
      <w:rFonts w:ascii="Segoe UI" w:hAnsi="Segoe UI" w:cs="Segoe UI"/>
      <w:sz w:val="18"/>
      <w:szCs w:val="18"/>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822C6"/>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0CCBA-D607-41B7-AB29-36BCD476D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2544</Words>
  <Characters>17329</Characters>
  <Application>Microsoft Office Word</Application>
  <DocSecurity>0</DocSecurity>
  <Lines>2475</Lines>
  <Paragraphs>1528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2025-05-08T13:28:00Z</dcterms:created>
  <dcterms:modified xsi:type="dcterms:W3CDTF">2025-05-08T13:28:00Z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A10-0079/2025</vt:lpwstr>
  </property>
  <property fmtid="{D5CDD505-2E9C-101B-9397-08002B2CF9AE}" pid="4" name="&lt;Type&gt;">
    <vt:lpwstr>RR</vt:lpwstr>
  </property>
</Properties>
</file>