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59E0" w14:paraId="4D8697F6" w14:textId="77777777" w:rsidTr="0010095E">
        <w:trPr>
          <w:trHeight w:hRule="exact" w:val="1418"/>
        </w:trPr>
        <w:tc>
          <w:tcPr>
            <w:tcW w:w="6804" w:type="dxa"/>
            <w:shd w:val="clear" w:color="auto" w:fill="auto"/>
            <w:vAlign w:val="center"/>
          </w:tcPr>
          <w:p w14:paraId="7031F4E1" w14:textId="77777777" w:rsidR="00751A4A" w:rsidRPr="00E459E0" w:rsidRDefault="00885E59" w:rsidP="0010095E">
            <w:pPr>
              <w:pStyle w:val="EPName"/>
            </w:pPr>
            <w:r w:rsidRPr="00E459E0">
              <w:t>Europees Parlement</w:t>
            </w:r>
          </w:p>
          <w:p w14:paraId="478C525A" w14:textId="77777777" w:rsidR="00751A4A" w:rsidRPr="00E459E0" w:rsidRDefault="005F1B17" w:rsidP="005F1B17">
            <w:pPr>
              <w:pStyle w:val="EPTerm"/>
              <w:rPr>
                <w:rStyle w:val="HideTWBExt"/>
                <w:noProof w:val="0"/>
                <w:vanish w:val="0"/>
                <w:color w:val="auto"/>
              </w:rPr>
            </w:pPr>
            <w:r w:rsidRPr="00E459E0">
              <w:t>2024</w:t>
            </w:r>
            <w:r w:rsidR="00817416" w:rsidRPr="00E459E0">
              <w:t>-202</w:t>
            </w:r>
            <w:r w:rsidRPr="00E459E0">
              <w:t>9</w:t>
            </w:r>
          </w:p>
        </w:tc>
        <w:tc>
          <w:tcPr>
            <w:tcW w:w="2268" w:type="dxa"/>
            <w:shd w:val="clear" w:color="auto" w:fill="auto"/>
          </w:tcPr>
          <w:p w14:paraId="6D400ED9" w14:textId="77777777" w:rsidR="00751A4A" w:rsidRPr="00E459E0" w:rsidRDefault="00187494" w:rsidP="0010095E">
            <w:pPr>
              <w:pStyle w:val="EPLogo"/>
            </w:pPr>
            <w:r w:rsidRPr="00E459E0">
              <w:rPr>
                <w:noProof/>
                <w:lang w:val="en-GB"/>
              </w:rPr>
              <w:drawing>
                <wp:inline distT="0" distB="0" distL="0" distR="0" wp14:anchorId="508B390A" wp14:editId="081825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809F65" w14:textId="77777777" w:rsidR="00D058B8" w:rsidRPr="00E459E0" w:rsidRDefault="00D058B8" w:rsidP="004C5D52">
      <w:pPr>
        <w:pStyle w:val="LineTop"/>
      </w:pPr>
    </w:p>
    <w:p w14:paraId="446FB62A" w14:textId="77777777" w:rsidR="00680577" w:rsidRPr="00E459E0" w:rsidRDefault="00885E59" w:rsidP="00680577">
      <w:pPr>
        <w:pStyle w:val="EPBodyTA1"/>
      </w:pPr>
      <w:r w:rsidRPr="00E459E0">
        <w:t>AANGENOMEN TEKSTEN</w:t>
      </w:r>
    </w:p>
    <w:p w14:paraId="0CAC463F" w14:textId="77777777" w:rsidR="00D058B8" w:rsidRPr="00E459E0" w:rsidRDefault="00D058B8" w:rsidP="00D058B8">
      <w:pPr>
        <w:pStyle w:val="LineBottom"/>
      </w:pPr>
    </w:p>
    <w:p w14:paraId="480FA252" w14:textId="01A2C69F" w:rsidR="00885E59" w:rsidRPr="00E459E0" w:rsidRDefault="00885E59" w:rsidP="00885E59">
      <w:pPr>
        <w:pStyle w:val="ATHeading1"/>
      </w:pPr>
      <w:bookmarkStart w:id="0" w:name="TANumber"/>
      <w:r w:rsidRPr="00E459E0">
        <w:t>P10_TA(2025)0</w:t>
      </w:r>
      <w:r w:rsidR="00A757EE" w:rsidRPr="00E459E0">
        <w:t>101</w:t>
      </w:r>
      <w:bookmarkEnd w:id="0"/>
    </w:p>
    <w:p w14:paraId="1AD30FEA" w14:textId="77777777" w:rsidR="00885E59" w:rsidRPr="00E459E0" w:rsidRDefault="00272167" w:rsidP="00856ECD">
      <w:pPr>
        <w:pStyle w:val="ATHeading2"/>
      </w:pPr>
      <w:bookmarkStart w:id="1" w:name="title"/>
      <w:r w:rsidRPr="00E459E0">
        <w:t>D</w:t>
      </w:r>
      <w:r w:rsidR="00885E59" w:rsidRPr="00E459E0">
        <w:t>e rol van gasopslag voor het veiligstellen van de gasvoorziening in de aanloop naar het winterseizoen</w:t>
      </w:r>
      <w:bookmarkEnd w:id="1"/>
    </w:p>
    <w:p w14:paraId="2E163B9B" w14:textId="77777777" w:rsidR="00885E59" w:rsidRPr="00E459E0" w:rsidRDefault="00885E59" w:rsidP="00885E59">
      <w:pPr>
        <w:rPr>
          <w:i/>
          <w:vanish/>
        </w:rPr>
      </w:pPr>
      <w:r w:rsidRPr="00E459E0">
        <w:rPr>
          <w:i/>
        </w:rPr>
        <w:fldChar w:fldCharType="begin"/>
      </w:r>
      <w:r w:rsidRPr="00E459E0">
        <w:rPr>
          <w:i/>
        </w:rPr>
        <w:instrText xml:space="preserve"> TC"(</w:instrText>
      </w:r>
      <w:bookmarkStart w:id="2" w:name="DocNumber"/>
      <w:r w:rsidRPr="00E459E0">
        <w:rPr>
          <w:i/>
        </w:rPr>
        <w:instrText>A10-0079/2025</w:instrText>
      </w:r>
      <w:bookmarkEnd w:id="2"/>
      <w:r w:rsidRPr="00E459E0">
        <w:rPr>
          <w:i/>
        </w:rPr>
        <w:instrText xml:space="preserve"> - Rapporteur: Borys Budka)"\l3 \n&gt; \* MERGEFORMAT </w:instrText>
      </w:r>
      <w:r w:rsidRPr="00E459E0">
        <w:rPr>
          <w:i/>
        </w:rPr>
        <w:fldChar w:fldCharType="end"/>
      </w:r>
    </w:p>
    <w:p w14:paraId="25F97A9C" w14:textId="77777777" w:rsidR="00885E59" w:rsidRPr="00E459E0" w:rsidRDefault="00885E59" w:rsidP="00885E59">
      <w:pPr>
        <w:rPr>
          <w:vanish/>
        </w:rPr>
      </w:pPr>
      <w:bookmarkStart w:id="3" w:name="Commission"/>
      <w:r w:rsidRPr="00E459E0">
        <w:rPr>
          <w:vanish/>
        </w:rPr>
        <w:t>Commissie industrie, onderzoek en energie</w:t>
      </w:r>
      <w:bookmarkEnd w:id="3"/>
    </w:p>
    <w:p w14:paraId="6EE16938" w14:textId="77777777" w:rsidR="00885E59" w:rsidRPr="00E459E0" w:rsidRDefault="00885E59" w:rsidP="00885E59">
      <w:pPr>
        <w:rPr>
          <w:vanish/>
        </w:rPr>
      </w:pPr>
      <w:bookmarkStart w:id="4" w:name="PE"/>
      <w:r w:rsidRPr="00E459E0">
        <w:rPr>
          <w:vanish/>
        </w:rPr>
        <w:t>PE772.015</w:t>
      </w:r>
      <w:bookmarkEnd w:id="4"/>
    </w:p>
    <w:p w14:paraId="588E6C2C" w14:textId="0AC9C965" w:rsidR="00885E59" w:rsidRPr="00E459E0" w:rsidRDefault="00856ECD" w:rsidP="00885E59">
      <w:pPr>
        <w:pStyle w:val="ATHeading3"/>
      </w:pPr>
      <w:bookmarkStart w:id="5" w:name="Sujet"/>
      <w:r w:rsidRPr="00E459E0">
        <w:t xml:space="preserve">Amendementen </w:t>
      </w:r>
      <w:r w:rsidR="00885E59" w:rsidRPr="00E459E0">
        <w:t xml:space="preserve">van het Europees Parlement </w:t>
      </w:r>
      <w:r w:rsidRPr="00E459E0">
        <w:t xml:space="preserve">aangenomen op </w:t>
      </w:r>
      <w:r w:rsidR="00387A1A" w:rsidRPr="00E459E0">
        <w:t>8</w:t>
      </w:r>
      <w:r w:rsidR="00885E59" w:rsidRPr="00E459E0">
        <w:t xml:space="preserve"> mei 2025 </w:t>
      </w:r>
      <w:r w:rsidRPr="00E459E0">
        <w:t xml:space="preserve">op </w:t>
      </w:r>
      <w:r w:rsidR="00885E59" w:rsidRPr="00E459E0">
        <w:t>het voorstel voor een verordening van het Europees Parlement en de Raad tot wijziging van Verordening</w:t>
      </w:r>
      <w:r w:rsidR="00ED40C1" w:rsidRPr="00E459E0">
        <w:t xml:space="preserve"> </w:t>
      </w:r>
      <w:r w:rsidR="00885E59" w:rsidRPr="00E459E0">
        <w:t>(EU)</w:t>
      </w:r>
      <w:r w:rsidR="00ED40C1" w:rsidRPr="00E459E0">
        <w:t xml:space="preserve"> </w:t>
      </w:r>
      <w:r w:rsidR="00885E59" w:rsidRPr="00E459E0">
        <w:t>2017/1938 wat betreft de rol van gasopslag voor het veiligstellen van de gasvoorziening in de aanloop naar het winterseizoen</w:t>
      </w:r>
      <w:bookmarkEnd w:id="5"/>
      <w:r w:rsidR="00885E59" w:rsidRPr="00E459E0">
        <w:t xml:space="preserve"> </w:t>
      </w:r>
      <w:bookmarkStart w:id="6" w:name="References"/>
      <w:r w:rsidR="00885E59" w:rsidRPr="00E459E0">
        <w:t>(COM(2025)0099 – C10-0041/2025 – 2025/0051(COD)</w:t>
      </w:r>
      <w:r w:rsidRPr="00E459E0">
        <w:t>)</w:t>
      </w:r>
      <w:r w:rsidRPr="00E459E0">
        <w:rPr>
          <w:rStyle w:val="FootnoteReference"/>
          <w:szCs w:val="24"/>
        </w:rPr>
        <w:footnoteReference w:id="1"/>
      </w:r>
      <w:bookmarkEnd w:id="6"/>
    </w:p>
    <w:p w14:paraId="6AD8C44D" w14:textId="77777777" w:rsidR="00885E59" w:rsidRPr="00E459E0" w:rsidRDefault="00885E59" w:rsidP="00885E59"/>
    <w:p w14:paraId="18EFA287" w14:textId="77777777" w:rsidR="00921158" w:rsidRPr="00E459E0" w:rsidRDefault="00921158" w:rsidP="00921158">
      <w:pPr>
        <w:pStyle w:val="NormalBold"/>
      </w:pPr>
      <w:bookmarkStart w:id="7" w:name="TextBodyBegin"/>
      <w:bookmarkEnd w:id="7"/>
      <w:r w:rsidRPr="00E459E0">
        <w:t>(Gewone wetgevingsprocedure: eerste lezing)</w:t>
      </w:r>
    </w:p>
    <w:p w14:paraId="0074F24E" w14:textId="77777777" w:rsidR="00921158" w:rsidRPr="00E459E0" w:rsidRDefault="00921158" w:rsidP="00921158"/>
    <w:p w14:paraId="218043C6" w14:textId="77777777" w:rsidR="00272167" w:rsidRPr="00E459E0" w:rsidRDefault="00272167" w:rsidP="00921158">
      <w:pPr>
        <w:pStyle w:val="AmNumberTabs"/>
        <w:keepNext/>
        <w:sectPr w:rsidR="00272167" w:rsidRPr="00E459E0" w:rsidSect="004E2E2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0B4C791" w14:textId="484290B5" w:rsidR="00921158" w:rsidRPr="00E459E0" w:rsidRDefault="00E459E0" w:rsidP="00921158">
      <w:pPr>
        <w:pStyle w:val="AmNumberTabs"/>
        <w:keepNext/>
      </w:pPr>
      <w:r w:rsidRPr="00E459E0">
        <w:lastRenderedPageBreak/>
        <w:t>[</w:t>
      </w:r>
      <w:r w:rsidR="00921158" w:rsidRPr="00E459E0">
        <w:t>Amendement</w:t>
      </w:r>
      <w:r w:rsidR="00921158" w:rsidRPr="00E459E0">
        <w:tab/>
      </w:r>
      <w:r w:rsidR="00921158" w:rsidRPr="00E459E0">
        <w:tab/>
        <w:t>1</w:t>
      </w:r>
      <w:r w:rsidRPr="00E459E0">
        <w:t>, tenzij anders bepaald]</w:t>
      </w:r>
    </w:p>
    <w:p w14:paraId="4258D357" w14:textId="77777777" w:rsidR="00921158" w:rsidRPr="00E459E0" w:rsidRDefault="00921158" w:rsidP="00921158">
      <w:pPr>
        <w:pStyle w:val="AmHeadingConsam"/>
      </w:pPr>
      <w:r w:rsidRPr="00E459E0">
        <w:t>AMENDEMENTEN VAN HET EUROPEES PARLEMENT</w:t>
      </w:r>
      <w:r w:rsidRPr="00E459E0">
        <w:rPr>
          <w:rStyle w:val="FootnoteReference"/>
        </w:rPr>
        <w:footnoteReference w:customMarkFollows="1" w:id="2"/>
        <w:t>*</w:t>
      </w:r>
    </w:p>
    <w:p w14:paraId="64B081AD" w14:textId="77777777" w:rsidR="00921158" w:rsidRPr="00E459E0" w:rsidRDefault="00921158" w:rsidP="00921158">
      <w:pPr>
        <w:pStyle w:val="NormalCenter12a"/>
      </w:pPr>
      <w:r w:rsidRPr="00E459E0">
        <w:t>op het voorstel van de Commissie</w:t>
      </w:r>
    </w:p>
    <w:p w14:paraId="626BB837" w14:textId="77777777" w:rsidR="00921158" w:rsidRPr="00E459E0" w:rsidRDefault="00921158" w:rsidP="00921158">
      <w:pPr>
        <w:pStyle w:val="NormalCenter12a"/>
      </w:pPr>
      <w:r w:rsidRPr="00E459E0">
        <w:t>---------------------------------------------------------</w:t>
      </w:r>
    </w:p>
    <w:p w14:paraId="5987052C" w14:textId="77777777" w:rsidR="00921158" w:rsidRPr="00E459E0" w:rsidRDefault="00921158" w:rsidP="00921158">
      <w:pPr>
        <w:pStyle w:val="NormalCenter12a"/>
      </w:pPr>
    </w:p>
    <w:p w14:paraId="2BDE581B" w14:textId="77777777" w:rsidR="00921158" w:rsidRPr="00E459E0" w:rsidRDefault="00921158" w:rsidP="00921158">
      <w:pPr>
        <w:pStyle w:val="NormalCenter12a"/>
        <w:rPr>
          <w:b/>
        </w:rPr>
      </w:pPr>
      <w:r w:rsidRPr="00E459E0">
        <w:rPr>
          <w:b/>
        </w:rPr>
        <w:t>VERORDENING VAN HET EUROPEES PARLEMENT EN DE RAAD</w:t>
      </w:r>
    </w:p>
    <w:p w14:paraId="0BE6C599" w14:textId="77777777" w:rsidR="00921158" w:rsidRPr="00E459E0" w:rsidRDefault="00921158" w:rsidP="00921158">
      <w:pPr>
        <w:pStyle w:val="NormalCenter12a"/>
      </w:pPr>
      <w:r w:rsidRPr="00E459E0">
        <w:rPr>
          <w:b/>
        </w:rPr>
        <w:t>tot wijziging van Verordening (EU) 2017/1938 wat betreft de rol van gasopslag voor het veiligstellen van de gasvoorziening in de aanloop naar het winterseizoen</w:t>
      </w:r>
    </w:p>
    <w:p w14:paraId="2F37447E" w14:textId="77777777" w:rsidR="00921158" w:rsidRPr="00E459E0" w:rsidRDefault="00921158" w:rsidP="00921158">
      <w:pPr>
        <w:pStyle w:val="NormalCenter12a"/>
        <w:jc w:val="left"/>
      </w:pPr>
      <w:r w:rsidRPr="00E459E0">
        <w:t>HET EUROPEES PARLEMENT EN DE RAAD VAN DE EUROPESE UNIE,</w:t>
      </w:r>
    </w:p>
    <w:p w14:paraId="764B5B4E" w14:textId="77777777" w:rsidR="00921158" w:rsidRPr="00E459E0" w:rsidRDefault="00921158" w:rsidP="00921158">
      <w:pPr>
        <w:pStyle w:val="NormalCenter12a"/>
        <w:jc w:val="left"/>
      </w:pPr>
      <w:r w:rsidRPr="00E459E0">
        <w:t>Gezien het Verdrag betreffende de werking van de Europese Unie, en met name artikel 194, lid 2,</w:t>
      </w:r>
    </w:p>
    <w:p w14:paraId="43FAAEC1" w14:textId="77777777" w:rsidR="00921158" w:rsidRPr="00E459E0" w:rsidRDefault="00921158" w:rsidP="00921158">
      <w:pPr>
        <w:pStyle w:val="NormalCenter12a"/>
        <w:jc w:val="left"/>
      </w:pPr>
      <w:r w:rsidRPr="00E459E0">
        <w:t>Gezien het voorstel van de Europese Commissie,</w:t>
      </w:r>
    </w:p>
    <w:p w14:paraId="030EFFDA" w14:textId="77777777" w:rsidR="00921158" w:rsidRPr="00E459E0" w:rsidRDefault="00921158" w:rsidP="00921158">
      <w:pPr>
        <w:pStyle w:val="NormalCenter12a"/>
        <w:jc w:val="left"/>
      </w:pPr>
      <w:r w:rsidRPr="00E459E0">
        <w:t>Na toezending van het ontwerp van wetgevingshandeling aan de nationale parlementen,</w:t>
      </w:r>
    </w:p>
    <w:p w14:paraId="717A0A96" w14:textId="77777777" w:rsidR="00921158" w:rsidRPr="00E459E0" w:rsidRDefault="00921158" w:rsidP="00921158">
      <w:pPr>
        <w:pStyle w:val="NormalCenter12a"/>
        <w:jc w:val="left"/>
      </w:pPr>
      <w:r w:rsidRPr="00E459E0">
        <w:t>Handelend volgens de gewone wetgevingsprocedure,</w:t>
      </w:r>
    </w:p>
    <w:p w14:paraId="71F505C4" w14:textId="77777777" w:rsidR="00921158" w:rsidRPr="00E459E0" w:rsidRDefault="00921158" w:rsidP="00921158">
      <w:pPr>
        <w:pStyle w:val="NormalCenter12a"/>
        <w:jc w:val="left"/>
      </w:pPr>
      <w:r w:rsidRPr="00E459E0">
        <w:t>Overwegende hetgeen volgt:</w:t>
      </w:r>
    </w:p>
    <w:p w14:paraId="5FEB28E9" w14:textId="71DA9B15" w:rsidR="00921158" w:rsidRPr="00E459E0" w:rsidRDefault="00921158" w:rsidP="00921158">
      <w:pPr>
        <w:pStyle w:val="NormalHanging12a"/>
        <w:ind w:left="851" w:hanging="851"/>
      </w:pPr>
      <w:r w:rsidRPr="00E459E0">
        <w:t>(1)</w:t>
      </w:r>
      <w:r w:rsidRPr="00E459E0">
        <w:tab/>
        <w:t>Verordening (EU) 2022/1032 van het Europees Parlement en de Raad</w:t>
      </w:r>
      <w:r w:rsidRPr="00E459E0">
        <w:rPr>
          <w:vertAlign w:val="superscript"/>
        </w:rPr>
        <w:footnoteReference w:id="3"/>
      </w:r>
      <w:r w:rsidRPr="00E459E0">
        <w:t xml:space="preserve"> is vastgesteld als reactie op de gasleveringscrisis en ongekende prijsstijgingen als gevolg van de escalatie van de </w:t>
      </w:r>
      <w:r w:rsidRPr="00E459E0">
        <w:rPr>
          <w:b/>
          <w:i/>
        </w:rPr>
        <w:t>aanhoudende ongerechtvaardigde en niet-uitgelokte aanvalsoorlog van Rusland</w:t>
      </w:r>
      <w:r w:rsidRPr="00E459E0">
        <w:t xml:space="preserve"> tegen Oekraïne sinds februari 2022, waardoor de Unie werd gedwongen op gecoördineerde en alomvattende wijze op te treden om potentiële risico’s als gevolg van verdere verstoringen van de gasvoorziening te voorkomen.</w:t>
      </w:r>
    </w:p>
    <w:p w14:paraId="6A7C6B77" w14:textId="4A27C937" w:rsidR="00A757EE" w:rsidRPr="00E459E0" w:rsidRDefault="00856ECD" w:rsidP="00921158">
      <w:pPr>
        <w:pStyle w:val="NormalHanging12a"/>
        <w:ind w:left="851" w:hanging="851"/>
        <w:rPr>
          <w:szCs w:val="24"/>
        </w:rPr>
      </w:pPr>
      <w:r w:rsidRPr="00E459E0">
        <w:rPr>
          <w:b/>
          <w:i/>
        </w:rPr>
        <w:t>(1 bis)</w:t>
      </w:r>
      <w:r w:rsidRPr="00E459E0">
        <w:tab/>
      </w:r>
      <w:r w:rsidRPr="00E459E0">
        <w:rPr>
          <w:b/>
          <w:i/>
        </w:rPr>
        <w:t xml:space="preserve">Gezien de voortdurende oorlog van Rusland tegen Oekraïne en in overeenstemming met de strategische verbintenis van de Unie om een einde te maken aan haar afhankelijkheid van Russische fossiele brandstoffen, moeten de lidstaten afzien van de opslag van gas van Russische oorsprong. In </w:t>
      </w:r>
      <w:r w:rsidR="00E459E0" w:rsidRPr="00E459E0">
        <w:rPr>
          <w:b/>
          <w:i/>
        </w:rPr>
        <w:t>die</w:t>
      </w:r>
      <w:r w:rsidRPr="00E459E0">
        <w:rPr>
          <w:b/>
          <w:i/>
        </w:rPr>
        <w:t xml:space="preserve"> context moet de Unie gecoördineerde en onmiddellijke sancties toepassen op de invoer en aankoop van al het Russisch gas, met inbegrip van vloeibaar aardgas (</w:t>
      </w:r>
      <w:proofErr w:type="spellStart"/>
      <w:r w:rsidRPr="00E459E0">
        <w:rPr>
          <w:b/>
          <w:i/>
        </w:rPr>
        <w:t>lng</w:t>
      </w:r>
      <w:proofErr w:type="spellEnd"/>
      <w:r w:rsidRPr="00E459E0">
        <w:rPr>
          <w:b/>
          <w:i/>
        </w:rPr>
        <w:t xml:space="preserve">). Uit het leveringsvooruitzicht voor de winter in de periode 2024-2025 van het ENTSB-G blijkt dat de Unie haar opslagdoelstellingen kan bereiken en de voorzieningszekerheid kan handhaven zonder afhankelijk te zijn van Russisch gas, </w:t>
      </w:r>
      <w:r w:rsidRPr="00E459E0">
        <w:rPr>
          <w:b/>
          <w:i/>
        </w:rPr>
        <w:lastRenderedPageBreak/>
        <w:t>door een combinatie van maatregelen uit te voeren, waaronder een voortdurende vermindering van de vraag. Een volledig embargo op Russisch gas is daarom zowel noodzakelijk als haalbaar, en een snelle uitvoering ervan zou bijdragen aan de versterking van de energiesoevereiniteit en geopolitieke veerkracht van de Unie.</w:t>
      </w:r>
      <w:r w:rsidR="00E459E0" w:rsidRPr="00E459E0">
        <w:rPr>
          <w:b/>
          <w:i/>
        </w:rPr>
        <w:t xml:space="preserve"> </w:t>
      </w:r>
      <w:r w:rsidR="00E459E0" w:rsidRPr="00E459E0">
        <w:rPr>
          <w:b/>
        </w:rPr>
        <w:t>[Am. 7]</w:t>
      </w:r>
    </w:p>
    <w:p w14:paraId="5B8D6476" w14:textId="77777777" w:rsidR="00921158" w:rsidRPr="00E459E0" w:rsidRDefault="00921158" w:rsidP="00921158">
      <w:pPr>
        <w:pStyle w:val="NormalCenter12a"/>
        <w:ind w:left="851" w:hanging="851"/>
        <w:jc w:val="left"/>
      </w:pPr>
      <w:r w:rsidRPr="00E459E0">
        <w:t>(2)</w:t>
      </w:r>
      <w:r w:rsidRPr="00E459E0">
        <w:tab/>
        <w:t>Bij Verordening (EU) 2022/1032 is Verordening (EU) 2017/1938 gewijzigd door de invoering van een tijdelijk rechtskader voor maatregelen met betrekking tot het vulniveau van ondergrondse opslaginstallaties ter versterking van de gasvoorzieningszekerheid in de Unie, met name de gaslevering aan beschermde afnemers.</w:t>
      </w:r>
    </w:p>
    <w:p w14:paraId="5A53D955" w14:textId="77777777" w:rsidR="00921158" w:rsidRPr="00E459E0" w:rsidRDefault="00921158" w:rsidP="00921158">
      <w:pPr>
        <w:pStyle w:val="NormalHanging12a"/>
        <w:ind w:left="851" w:hanging="851"/>
        <w:rPr>
          <w:szCs w:val="24"/>
        </w:rPr>
      </w:pPr>
      <w:r w:rsidRPr="00E459E0">
        <w:t>(3)</w:t>
      </w:r>
      <w:r w:rsidRPr="00E459E0">
        <w:tab/>
        <w:t>Gasopslaginstallaties dekken 30 % van het gasverbruik van de Unie tijdens de wintermaanden en goed gevulde ondergrondse gasopslaginstallaties</w:t>
      </w:r>
      <w:r w:rsidRPr="00E459E0">
        <w:rPr>
          <w:b/>
          <w:i/>
        </w:rPr>
        <w:t>, alsook een verminderde gasvraag,</w:t>
      </w:r>
      <w:r w:rsidRPr="00E459E0">
        <w:t xml:space="preserve"> dragen aanzienlijk bij tot de gasvoorzieningszekerheid doordat extra gas kan worden geleverd in geval van grote vraag of verstoringen van de voorziening.</w:t>
      </w:r>
    </w:p>
    <w:p w14:paraId="5DC5833E" w14:textId="77777777" w:rsidR="00921158" w:rsidRPr="00E459E0" w:rsidRDefault="00921158" w:rsidP="00921158">
      <w:pPr>
        <w:pStyle w:val="NormalHanging12a"/>
        <w:ind w:left="851" w:hanging="851"/>
        <w:rPr>
          <w:szCs w:val="24"/>
        </w:rPr>
      </w:pPr>
      <w:r w:rsidRPr="00E459E0">
        <w:t>(4)</w:t>
      </w:r>
      <w:r w:rsidRPr="00E459E0">
        <w:tab/>
        <w:t xml:space="preserve">De vaststelling van een verplicht streefcijfer om ervoor te zorgen dat gasopslaginstallaties tegen 1 november voor 90 % gevuld zijn (vuldoelstelling), met een reeks tussentijdse streefdoelen voor elke lidstaat in februari, mei, juli en september van het </w:t>
      </w:r>
      <w:r w:rsidRPr="00E459E0">
        <w:rPr>
          <w:b/>
          <w:i/>
        </w:rPr>
        <w:t>volgende</w:t>
      </w:r>
      <w:r w:rsidRPr="00E459E0">
        <w:t xml:space="preserve"> jaar ▌(vultraject), bleek van fundamenteel belang te zijn tijdens de energiecrisis die is veroorzaakt door de </w:t>
      </w:r>
      <w:r w:rsidRPr="00E459E0">
        <w:rPr>
          <w:b/>
          <w:i/>
        </w:rPr>
        <w:t>aanvalsoorlog van Rusland tegen Oekraïne en de</w:t>
      </w:r>
      <w:r w:rsidRPr="00E459E0">
        <w:t xml:space="preserve"> inzet </w:t>
      </w:r>
      <w:r w:rsidRPr="00E459E0">
        <w:rPr>
          <w:b/>
          <w:i/>
        </w:rPr>
        <w:t>door Rusland</w:t>
      </w:r>
      <w:r w:rsidRPr="00E459E0">
        <w:t xml:space="preserve"> van ▌gasleveringen als wapen ▌, zowel om: i) het hoofd te bieden aan de gasleveringstekorten, als om ii) de marktonzekerheden en prijsvolatiliteit terug te dringen.</w:t>
      </w:r>
    </w:p>
    <w:p w14:paraId="7D48DAE7" w14:textId="77777777" w:rsidR="00921158" w:rsidRPr="00E459E0" w:rsidRDefault="00921158" w:rsidP="00921158">
      <w:pPr>
        <w:pStyle w:val="NormalHanging12a"/>
        <w:ind w:left="851" w:hanging="851"/>
        <w:rPr>
          <w:szCs w:val="24"/>
        </w:rPr>
      </w:pPr>
      <w:r w:rsidRPr="00E459E0">
        <w:t>(5)</w:t>
      </w:r>
      <w:r w:rsidRPr="00E459E0">
        <w:tab/>
        <w:t xml:space="preserve">Ondanks de aanzienlijke verbetering van de situatie op de gasmarkt ten opzichte van de periode 2022-2023 blijft de Europese gasmarkt krap </w:t>
      </w:r>
      <w:r w:rsidRPr="00E459E0">
        <w:rPr>
          <w:b/>
          <w:i/>
        </w:rPr>
        <w:t>en de geopolitieke situatie onduidelijk</w:t>
      </w:r>
      <w:r w:rsidRPr="00E459E0">
        <w:t>.</w:t>
      </w:r>
      <w:r w:rsidRPr="00E459E0">
        <w:rPr>
          <w:b/>
          <w:i/>
        </w:rPr>
        <w:t xml:space="preserve"> </w:t>
      </w:r>
      <w:r w:rsidRPr="00E459E0">
        <w:t xml:space="preserve">De toegenomen concurrentie om wereldwijde </w:t>
      </w:r>
      <w:proofErr w:type="spellStart"/>
      <w:r w:rsidRPr="00E459E0">
        <w:t>lng</w:t>
      </w:r>
      <w:proofErr w:type="spellEnd"/>
      <w:r w:rsidRPr="00E459E0">
        <w:t>-leveringen kan de blootstelling van de lidstaten aan prijsvolatiliteit vergroten. ▌In een dergelijke situatie blijft gasopslag uiterst belangrijk. ▌</w:t>
      </w:r>
    </w:p>
    <w:p w14:paraId="6F02DA02" w14:textId="77777777" w:rsidR="00921158" w:rsidRPr="00E459E0" w:rsidRDefault="00921158" w:rsidP="00921158">
      <w:pPr>
        <w:pStyle w:val="NormalCenter12a"/>
        <w:ind w:left="851" w:hanging="851"/>
        <w:jc w:val="left"/>
      </w:pPr>
      <w:r w:rsidRPr="00E459E0">
        <w:t>(6)</w:t>
      </w:r>
      <w:r w:rsidRPr="00E459E0">
        <w:tab/>
        <w:t>Op grond van Verordening (EU) 2017/1938 vervalt de verplichting voor de lidstaten om een jaarlijks vultraject te volgen en ervoor te zorgen dat de vuldoelstelling uiterlijk op 1 november van elk jaar wordt gehaald, op 31 december 2025.</w:t>
      </w:r>
    </w:p>
    <w:p w14:paraId="5B7275F0" w14:textId="77777777" w:rsidR="00921158" w:rsidRPr="00E459E0" w:rsidRDefault="00921158" w:rsidP="00921158">
      <w:pPr>
        <w:pStyle w:val="NormalHanging12a"/>
        <w:ind w:left="851" w:hanging="851"/>
        <w:rPr>
          <w:b/>
          <w:i/>
          <w:szCs w:val="24"/>
        </w:rPr>
      </w:pPr>
      <w:r w:rsidRPr="00E459E0">
        <w:rPr>
          <w:b/>
          <w:i/>
        </w:rPr>
        <w:t>(6 bis)</w:t>
      </w:r>
      <w:r w:rsidRPr="00E459E0">
        <w:rPr>
          <w:b/>
          <w:i/>
        </w:rPr>
        <w:tab/>
        <w:t xml:space="preserve">Sinds 2022 is de Unie er grotendeels in geslaagd gasleveringen zekerder te maken door de invoer van </w:t>
      </w:r>
      <w:proofErr w:type="spellStart"/>
      <w:r w:rsidRPr="00E459E0">
        <w:rPr>
          <w:b/>
          <w:i/>
        </w:rPr>
        <w:t>lng</w:t>
      </w:r>
      <w:proofErr w:type="spellEnd"/>
      <w:r w:rsidRPr="00E459E0">
        <w:rPr>
          <w:b/>
          <w:i/>
        </w:rPr>
        <w:t xml:space="preserve"> van betrouwbare mondiale partners te verhogen, en streeft zij ernaar de afhankelijkheid van de Unie van Russische fossiele brandstoffen volledig uit te bannen, voortbouwend op de vooruitgang van </w:t>
      </w:r>
      <w:proofErr w:type="spellStart"/>
      <w:r w:rsidRPr="00E459E0">
        <w:rPr>
          <w:b/>
          <w:i/>
        </w:rPr>
        <w:t>REPowerEU</w:t>
      </w:r>
      <w:proofErr w:type="spellEnd"/>
      <w:r w:rsidRPr="00E459E0">
        <w:rPr>
          <w:b/>
          <w:i/>
        </w:rPr>
        <w:t xml:space="preserve">. De Unie heeft nieuwe </w:t>
      </w:r>
      <w:proofErr w:type="spellStart"/>
      <w:r w:rsidRPr="00E459E0">
        <w:rPr>
          <w:b/>
          <w:i/>
        </w:rPr>
        <w:t>hervergassingsfaciliteiten</w:t>
      </w:r>
      <w:proofErr w:type="spellEnd"/>
      <w:r w:rsidRPr="00E459E0">
        <w:rPr>
          <w:b/>
          <w:i/>
        </w:rPr>
        <w:t xml:space="preserve"> en haventerminals ontwikkeld en tegelijkertijd een markt voor vloeibaar gas tot stand gebracht die sterk bestand is tegen mogelijke verstoringen van de resterende Russische leveringen van leidinggas.</w:t>
      </w:r>
    </w:p>
    <w:p w14:paraId="512351BA" w14:textId="77777777" w:rsidR="00921158" w:rsidRPr="00E459E0" w:rsidRDefault="00921158" w:rsidP="00921158">
      <w:pPr>
        <w:pStyle w:val="NormalHanging12a"/>
        <w:ind w:left="851" w:hanging="851"/>
        <w:rPr>
          <w:b/>
          <w:i/>
          <w:szCs w:val="24"/>
        </w:rPr>
      </w:pPr>
      <w:r w:rsidRPr="00E459E0">
        <w:rPr>
          <w:b/>
          <w:i/>
        </w:rPr>
        <w:t>(6 ter)</w:t>
      </w:r>
      <w:r w:rsidRPr="00E459E0">
        <w:rPr>
          <w:b/>
          <w:i/>
        </w:rPr>
        <w:tab/>
        <w:t>Er moet rekening worden gehouden met het veranderde mondiale politieke klimaat wat betreft de betrouwbaarheid van gasleveranciers en landen die gas leveren.</w:t>
      </w:r>
    </w:p>
    <w:p w14:paraId="530328BB" w14:textId="77777777" w:rsidR="00921158" w:rsidRPr="00E459E0" w:rsidRDefault="00921158" w:rsidP="00921158">
      <w:pPr>
        <w:pStyle w:val="NormalHanging12a"/>
        <w:ind w:left="851" w:hanging="851"/>
        <w:rPr>
          <w:szCs w:val="24"/>
        </w:rPr>
      </w:pPr>
      <w:r w:rsidRPr="00E459E0">
        <w:t>(7)</w:t>
      </w:r>
      <w:r w:rsidRPr="00E459E0">
        <w:tab/>
      </w:r>
      <w:r w:rsidRPr="00E459E0">
        <w:rPr>
          <w:b/>
          <w:i/>
        </w:rPr>
        <w:t>In het licht van het Europese succes bij de vermindering van de risico’s in de structuur voor gasinvoer</w:t>
      </w:r>
      <w:r w:rsidRPr="00E459E0">
        <w:t xml:space="preserve"> moet het algemene kader </w:t>
      </w:r>
      <w:r w:rsidRPr="00E459E0">
        <w:rPr>
          <w:b/>
          <w:i/>
        </w:rPr>
        <w:t xml:space="preserve">van de Unie voor het voorzien in haar behoefte aan aardgas een evenwicht vormen tussen energiezekerheid en de </w:t>
      </w:r>
      <w:r w:rsidRPr="00E459E0">
        <w:rPr>
          <w:b/>
          <w:i/>
        </w:rPr>
        <w:lastRenderedPageBreak/>
        <w:t xml:space="preserve">terugkeer naar </w:t>
      </w:r>
      <w:proofErr w:type="spellStart"/>
      <w:r w:rsidRPr="00E459E0">
        <w:rPr>
          <w:b/>
          <w:i/>
        </w:rPr>
        <w:t>marktgebaseerde</w:t>
      </w:r>
      <w:proofErr w:type="spellEnd"/>
      <w:r w:rsidRPr="00E459E0">
        <w:rPr>
          <w:b/>
          <w:i/>
        </w:rPr>
        <w:t xml:space="preserve"> beginselen. Dat kader moet dus</w:t>
      </w:r>
      <w:r w:rsidRPr="00E459E0">
        <w:t xml:space="preserve"> flexibel genoeg zijn tijdens het vulseizoen, zodat snel kan worden gereageerd op voortdurend veranderende marktomstandigheden en met name kan worden geprofiteerd van de beste aankoopvoorwaarden </w:t>
      </w:r>
      <w:r w:rsidRPr="00E459E0">
        <w:rPr>
          <w:b/>
          <w:i/>
        </w:rPr>
        <w:t>teneinde de gasprijzen in Europa omlaag te brengen</w:t>
      </w:r>
      <w:r w:rsidRPr="00E459E0">
        <w:t xml:space="preserve">. </w:t>
      </w:r>
      <w:r w:rsidRPr="00E459E0">
        <w:rPr>
          <w:b/>
          <w:i/>
        </w:rPr>
        <w:t>De vuldoelstelling moet daarom worden verlaagd tot 83 %.</w:t>
      </w:r>
    </w:p>
    <w:p w14:paraId="3B3E77CF" w14:textId="77777777" w:rsidR="00921158" w:rsidRPr="00E459E0" w:rsidRDefault="00921158" w:rsidP="00921158">
      <w:pPr>
        <w:pStyle w:val="NormalHanging12a"/>
        <w:ind w:left="851" w:hanging="851"/>
        <w:rPr>
          <w:szCs w:val="24"/>
        </w:rPr>
      </w:pPr>
      <w:r w:rsidRPr="00E459E0">
        <w:t>(8)</w:t>
      </w:r>
      <w:r w:rsidRPr="00E459E0">
        <w:tab/>
      </w:r>
      <w:r w:rsidRPr="00E459E0">
        <w:rPr>
          <w:b/>
          <w:i/>
        </w:rPr>
        <w:t>Om de marktstabiliteit te vergroten en het risico van buitensporige prijsvolatiliteit als gevolg van</w:t>
      </w:r>
      <w:r w:rsidRPr="00E459E0">
        <w:t xml:space="preserve"> de tussentijdse vuldoelen </w:t>
      </w:r>
      <w:r w:rsidRPr="00E459E0">
        <w:rPr>
          <w:b/>
          <w:i/>
        </w:rPr>
        <w:t>te beperken, is het passend te voorzien in meer flexibiliteit voor het vullen van de opslag.</w:t>
      </w:r>
      <w:r w:rsidRPr="00E459E0">
        <w:t xml:space="preserve"> De lidstaten </w:t>
      </w:r>
      <w:r w:rsidRPr="00E459E0">
        <w:rPr>
          <w:b/>
          <w:i/>
        </w:rPr>
        <w:t>moeten derhalve op jaarbasis indicatieve vulplannen verstrekken, die in voorkomend geval een</w:t>
      </w:r>
      <w:r w:rsidRPr="00E459E0">
        <w:t xml:space="preserve"> indicatief </w:t>
      </w:r>
      <w:r w:rsidRPr="00E459E0">
        <w:rPr>
          <w:b/>
          <w:i/>
        </w:rPr>
        <w:t>vultraject kunnen omvatten,</w:t>
      </w:r>
      <w:r w:rsidRPr="00E459E0">
        <w:t xml:space="preserve"> en moeten de marktdeelnemers voldoende flexibiliteit bieden voor het vullen van de opslag gedurende het hele jaar</w:t>
      </w:r>
      <w:r w:rsidRPr="00E459E0">
        <w:rPr>
          <w:b/>
          <w:i/>
        </w:rPr>
        <w:t>, waarbij</w:t>
      </w:r>
      <w:r w:rsidRPr="00E459E0">
        <w:t xml:space="preserve"> Aanbeveling </w:t>
      </w:r>
      <w:r w:rsidRPr="00E459E0">
        <w:rPr>
          <w:b/>
          <w:i/>
        </w:rPr>
        <w:t>(2025)1481 in aanmerking wordt genomen</w:t>
      </w:r>
      <w:r w:rsidRPr="00E459E0">
        <w:t>.</w:t>
      </w:r>
    </w:p>
    <w:p w14:paraId="66870CEC" w14:textId="77777777" w:rsidR="00921158" w:rsidRPr="00E459E0" w:rsidRDefault="00921158" w:rsidP="00921158">
      <w:pPr>
        <w:pStyle w:val="NormalHanging12a"/>
        <w:ind w:left="851" w:hanging="851"/>
        <w:rPr>
          <w:b/>
          <w:i/>
          <w:szCs w:val="24"/>
        </w:rPr>
      </w:pPr>
      <w:r w:rsidRPr="00E459E0">
        <w:rPr>
          <w:b/>
          <w:i/>
        </w:rPr>
        <w:t>(8 bis)</w:t>
      </w:r>
      <w:r w:rsidRPr="00E459E0">
        <w:rPr>
          <w:b/>
          <w:i/>
        </w:rPr>
        <w:tab/>
        <w:t>De lidstaten moeten de mogelijkheid hebben om met maximaal vier procentpunten van de vuldoelstelling af te wijken in geval van ongunstige marktomstandigheden, die onder meer verband houden met factoren zoals vraag en aanbod en concurrentie, of van handelsactiviteiten die het lastig maken de opslag kosteneffectief te vullen, waardoor het vermogen om te waarborgen dat de gasopslag overeenkomstig deze verordening wordt gevuld, aanzienlijk wordt beperkt.</w:t>
      </w:r>
    </w:p>
    <w:p w14:paraId="6607B9EF" w14:textId="77777777" w:rsidR="00921158" w:rsidRPr="00E459E0" w:rsidRDefault="00921158" w:rsidP="00921158">
      <w:pPr>
        <w:pStyle w:val="NormalHanging12a"/>
        <w:ind w:left="851" w:hanging="851"/>
        <w:rPr>
          <w:b/>
          <w:i/>
          <w:szCs w:val="24"/>
        </w:rPr>
      </w:pPr>
      <w:r w:rsidRPr="00E459E0">
        <w:rPr>
          <w:b/>
          <w:i/>
        </w:rPr>
        <w:t>(8 ter)</w:t>
      </w:r>
      <w:r w:rsidRPr="00E459E0">
        <w:rPr>
          <w:b/>
          <w:i/>
        </w:rPr>
        <w:tab/>
        <w:t>Bovendien moet de Commissie bevoegd zijn gedelegeerde handelingen vast te stellen om het niveau van de toegestane afwijking van vier procentpunten voor één vulseizoen te wijzigen door deze met maximaal vier procentpunten te verhogen in het geval van aanhoudende ongunstige marktomstandigheden.</w:t>
      </w:r>
    </w:p>
    <w:p w14:paraId="5174FDDC" w14:textId="77777777" w:rsidR="00921158" w:rsidRPr="00E459E0" w:rsidRDefault="00921158" w:rsidP="00921158">
      <w:pPr>
        <w:pStyle w:val="NormalHanging12a"/>
        <w:ind w:left="851" w:hanging="851"/>
        <w:rPr>
          <w:b/>
          <w:i/>
          <w:szCs w:val="24"/>
        </w:rPr>
      </w:pPr>
      <w:r w:rsidRPr="00E459E0">
        <w:rPr>
          <w:b/>
          <w:i/>
        </w:rPr>
        <w:t>(8 quater)</w:t>
      </w:r>
      <w:r w:rsidRPr="00E459E0">
        <w:rPr>
          <w:b/>
          <w:i/>
        </w:rPr>
        <w:tab/>
        <w:t>De cumulatieve effecten van de flexibiliteit en afwijkingen in deze verordening mogen er niet toe leiden dat de totale opslagverplichtingen tot minder dan 75 % dalen.</w:t>
      </w:r>
    </w:p>
    <w:p w14:paraId="103BBA51" w14:textId="77777777" w:rsidR="00921158" w:rsidRPr="00E459E0" w:rsidRDefault="00921158" w:rsidP="00921158">
      <w:pPr>
        <w:pStyle w:val="NormalHanging12a"/>
        <w:ind w:left="851" w:hanging="851"/>
        <w:rPr>
          <w:szCs w:val="24"/>
        </w:rPr>
      </w:pPr>
      <w:r w:rsidRPr="00E459E0">
        <w:t>(9)</w:t>
      </w:r>
      <w:r w:rsidRPr="00E459E0">
        <w:tab/>
        <w:t xml:space="preserve">Bij de beoordeling door de Commissie van het huidige kader voor energiezekerheid werd het positieve effect van de vereisten inzake het vullen van de opslag op de gasvoorzieningszekerheid bevestigd en deze positieve effecten moeten ook na 2025 behouden blijven. </w:t>
      </w:r>
      <w:r w:rsidRPr="00E459E0">
        <w:rPr>
          <w:b/>
          <w:i/>
        </w:rPr>
        <w:t>Verlenging van deze maatregelen zou niet alleen helpen de voorzieningszekerheid continu te waarborgen, maar zou ook een belangrijk instrument vormen in het streven van de Unie om niet langer afhankelijk te zijn van de invoer van gas afkomstig uit de Russische Federatie.</w:t>
      </w:r>
    </w:p>
    <w:p w14:paraId="5E675D49" w14:textId="77777777" w:rsidR="00921158" w:rsidRPr="00E459E0" w:rsidRDefault="00921158" w:rsidP="00921158">
      <w:pPr>
        <w:pStyle w:val="NormalHanging12a"/>
        <w:ind w:left="851" w:hanging="851"/>
        <w:rPr>
          <w:b/>
          <w:i/>
          <w:szCs w:val="24"/>
        </w:rPr>
      </w:pPr>
      <w:r w:rsidRPr="00E459E0">
        <w:rPr>
          <w:b/>
          <w:i/>
        </w:rPr>
        <w:t>(9 bis)</w:t>
      </w:r>
      <w:r w:rsidRPr="00E459E0">
        <w:rPr>
          <w:b/>
          <w:i/>
        </w:rPr>
        <w:tab/>
        <w:t xml:space="preserve">Tegelijkertijd moet met deze verordening worden ingespeeld op de huidige en toekomstige veranderingen op de aardgasmarkten en een bijdrage worden geleverd aan de strategische doelstelling om de energieprijzen te verlagen en de geleidelijke terugkeer naar </w:t>
      </w:r>
      <w:proofErr w:type="spellStart"/>
      <w:r w:rsidRPr="00E459E0">
        <w:rPr>
          <w:b/>
          <w:i/>
        </w:rPr>
        <w:t>marktgebaseerde</w:t>
      </w:r>
      <w:proofErr w:type="spellEnd"/>
      <w:r w:rsidRPr="00E459E0">
        <w:rPr>
          <w:b/>
          <w:i/>
        </w:rPr>
        <w:t xml:space="preserve"> mechanismen voor het bijvullen van de opslag te vergemakkelijken.</w:t>
      </w:r>
    </w:p>
    <w:p w14:paraId="3E72ABA3" w14:textId="77777777" w:rsidR="00921158" w:rsidRPr="00E459E0" w:rsidRDefault="00921158" w:rsidP="00921158">
      <w:pPr>
        <w:pStyle w:val="NormalHanging12a"/>
        <w:ind w:left="851" w:hanging="851"/>
        <w:rPr>
          <w:b/>
          <w:i/>
          <w:szCs w:val="24"/>
        </w:rPr>
      </w:pPr>
      <w:r w:rsidRPr="00E459E0">
        <w:rPr>
          <w:b/>
          <w:i/>
        </w:rPr>
        <w:t>(9 ter)</w:t>
      </w:r>
      <w:r w:rsidRPr="00E459E0">
        <w:rPr>
          <w:b/>
          <w:i/>
        </w:rPr>
        <w:tab/>
        <w:t>Om de voorzieningszekerheid en het passende vulniveau te handhaven, moet de Commissie voortdurend toezicht houden op de markt en nagaan hoe de vuldoelstelling kan worden gehaald, bijvoorbeeld door gebruik te maken van vraagbundeling en gezamenlijke aankoopmechanismen.</w:t>
      </w:r>
    </w:p>
    <w:p w14:paraId="502F5831" w14:textId="77777777" w:rsidR="00921158" w:rsidRPr="00E459E0" w:rsidRDefault="00921158" w:rsidP="00921158">
      <w:pPr>
        <w:pStyle w:val="NormalHanging12a"/>
        <w:ind w:left="851" w:hanging="851"/>
        <w:rPr>
          <w:szCs w:val="24"/>
        </w:rPr>
      </w:pPr>
      <w:r w:rsidRPr="00E459E0">
        <w:lastRenderedPageBreak/>
        <w:t>(10)</w:t>
      </w:r>
      <w:r w:rsidRPr="00E459E0">
        <w:tab/>
        <w:t xml:space="preserve">Daarom moeten de relevante bepalingen betreffende het vullen van de gasopslag, die voorspelbaarheid en transparantie bieden met betrekking tot het gebruik van gasopslaginstallaties in de hele Unie, met twee jaar worden verlengd </w:t>
      </w:r>
      <w:r w:rsidRPr="00E459E0">
        <w:rPr>
          <w:b/>
          <w:i/>
        </w:rPr>
        <w:t>en moet tegelijkertijd enige flexibiliteit in deze verordening worden opgenomen</w:t>
      </w:r>
      <w:r w:rsidRPr="00E459E0">
        <w:t>.</w:t>
      </w:r>
    </w:p>
    <w:p w14:paraId="435730AF" w14:textId="77777777" w:rsidR="00921158" w:rsidRPr="00E459E0" w:rsidRDefault="00921158" w:rsidP="00921158">
      <w:pPr>
        <w:pStyle w:val="NormalHanging12a"/>
        <w:ind w:left="851" w:hanging="851"/>
        <w:rPr>
          <w:b/>
          <w:i/>
          <w:szCs w:val="24"/>
        </w:rPr>
      </w:pPr>
      <w:r w:rsidRPr="00E459E0">
        <w:rPr>
          <w:b/>
          <w:i/>
        </w:rPr>
        <w:t>(10 bis)</w:t>
      </w:r>
      <w:r w:rsidRPr="00E459E0">
        <w:rPr>
          <w:b/>
          <w:i/>
        </w:rPr>
        <w:tab/>
        <w:t xml:space="preserve">In overeenstemming met het streven van de Commissie naar betere regelgeving en vereenvoudiging, en gezien de algemene verbetering van het energiezekerheidskader van de Unie, moet bij het toezicht op de naleving van deze verordening meer vertrouwen worden gesteld in de administratieve capaciteiten van de lidstaten. De </w:t>
      </w:r>
      <w:proofErr w:type="spellStart"/>
      <w:r w:rsidRPr="00E459E0">
        <w:rPr>
          <w:b/>
          <w:i/>
        </w:rPr>
        <w:t>toezichtslast</w:t>
      </w:r>
      <w:proofErr w:type="spellEnd"/>
      <w:r w:rsidRPr="00E459E0">
        <w:rPr>
          <w:b/>
          <w:i/>
        </w:rPr>
        <w:t xml:space="preserve"> voor de Commissie moet dienovereenkomstig worden verminderd, met een verschuiving naar lichtere rapportageverplichtingen en gestroomlijnde procedures. Met deze aanpak wordt het subsidiariteitsbeginsel versterkt en wordt onnodige administratieve complexiteit voorkomen; bovendien is deze aanpak in overeenstemming met de door de Commissie geleverde inspanningen op het gebied van vereenvoudiging zoals uiteengezet in haar werkprogramma 2025.</w:t>
      </w:r>
    </w:p>
    <w:p w14:paraId="02F37E19" w14:textId="77777777" w:rsidR="00921158" w:rsidRPr="00E459E0" w:rsidRDefault="00921158" w:rsidP="00921158">
      <w:pPr>
        <w:pStyle w:val="NormalHanging12a"/>
        <w:ind w:left="851" w:hanging="851"/>
        <w:rPr>
          <w:b/>
          <w:i/>
          <w:szCs w:val="24"/>
        </w:rPr>
      </w:pPr>
      <w:r w:rsidRPr="00E459E0">
        <w:rPr>
          <w:b/>
          <w:i/>
        </w:rPr>
        <w:t>(10 ter)</w:t>
      </w:r>
      <w:r w:rsidRPr="00E459E0">
        <w:rPr>
          <w:b/>
          <w:i/>
        </w:rPr>
        <w:tab/>
        <w:t>Verordening (EU) 2017/1938 moet tijdig en vóór 2027 door de Commissie worden herzien zodat deze kan worden aangepast aan het veranderende energielandschap en om rekening te houden met de toekomstige behoeften aan gasopslag. Wijzigingen moeten onder meer betrekking hebben op de beperkingen van de huidige definitie van “beschermde afnemers”, het vermijden van speculatie op de gasmarkten en speculatieve activiteiten waarmee de prijzen kunstmatig worden opgedreven, de rol van energie-efficiëntiemaatregelen die leiden tot verifieerbare vermindering van de vraag naar gas en hoe de lidstaten deze kunnen gebruiken met het oog op verdere flexibiliteit, en bij die eventuele wijzigingen moet het kader ook worden bekeken in het licht van een evoluerende energiemix waarin alternatieve bronnen voor gas, zoals hernieuwbare energiebronnen en waterstof, in combinatie met energie-efficiëntie een grotere rol zullen spelen.</w:t>
      </w:r>
    </w:p>
    <w:p w14:paraId="5239345C" w14:textId="77777777" w:rsidR="00921158" w:rsidRPr="00E459E0" w:rsidRDefault="00921158" w:rsidP="00921158">
      <w:pPr>
        <w:pStyle w:val="NormalCenter12a"/>
        <w:ind w:left="851" w:hanging="851"/>
        <w:jc w:val="left"/>
      </w:pPr>
      <w:r w:rsidRPr="00E459E0">
        <w:t>(11)</w:t>
      </w:r>
      <w:r w:rsidRPr="00E459E0">
        <w:tab/>
        <w:t>Verordening (EU) 2017/1938 moet daarom dienovereenkomstig worden gewijzigd,</w:t>
      </w:r>
    </w:p>
    <w:p w14:paraId="779A9EDD" w14:textId="77777777" w:rsidR="00921158" w:rsidRPr="00E459E0" w:rsidRDefault="00921158" w:rsidP="00921158">
      <w:pPr>
        <w:pStyle w:val="NormalCenter12a"/>
        <w:jc w:val="left"/>
      </w:pPr>
      <w:r w:rsidRPr="00E459E0">
        <w:t>HEBBEN DE VOLGENDE VERORDENING VASTGESTELD:</w:t>
      </w:r>
    </w:p>
    <w:p w14:paraId="01CD7548" w14:textId="77777777" w:rsidR="00921158" w:rsidRPr="00E459E0" w:rsidRDefault="00921158" w:rsidP="00921158">
      <w:pPr>
        <w:pStyle w:val="Titrearticle"/>
        <w:rPr>
          <w:noProof/>
        </w:rPr>
      </w:pPr>
      <w:r w:rsidRPr="00E459E0">
        <w:t>Artikel 1</w:t>
      </w:r>
    </w:p>
    <w:p w14:paraId="4218FB56" w14:textId="77777777" w:rsidR="00921158" w:rsidRPr="00E459E0" w:rsidRDefault="00921158" w:rsidP="00921158">
      <w:pPr>
        <w:jc w:val="center"/>
        <w:rPr>
          <w:b/>
          <w:bCs/>
          <w:noProof/>
        </w:rPr>
      </w:pPr>
      <w:r w:rsidRPr="00E459E0">
        <w:rPr>
          <w:b/>
        </w:rPr>
        <w:t>Wijziging van Verordening (EU) 2017/1938</w:t>
      </w:r>
    </w:p>
    <w:p w14:paraId="536EE437" w14:textId="77777777" w:rsidR="00921158" w:rsidRPr="00E459E0" w:rsidRDefault="00921158" w:rsidP="00921158">
      <w:pPr>
        <w:rPr>
          <w:noProof/>
        </w:rPr>
      </w:pPr>
    </w:p>
    <w:p w14:paraId="6035F7E2" w14:textId="77777777" w:rsidR="00921158" w:rsidRPr="00E459E0" w:rsidRDefault="00921158" w:rsidP="00921158">
      <w:pPr>
        <w:pStyle w:val="NormalHanging12a"/>
        <w:rPr>
          <w:szCs w:val="24"/>
        </w:rPr>
      </w:pPr>
      <w:r w:rsidRPr="00E459E0">
        <w:t xml:space="preserve">▌Verordening (EU) 2017/1938 wordt </w:t>
      </w:r>
      <w:r w:rsidRPr="00E459E0">
        <w:rPr>
          <w:b/>
          <w:i/>
        </w:rPr>
        <w:t>als volgt gewijzigd</w:t>
      </w:r>
      <w:r w:rsidRPr="00E459E0">
        <w:t>:</w:t>
      </w:r>
    </w:p>
    <w:p w14:paraId="11737425" w14:textId="77777777" w:rsidR="00921158" w:rsidRPr="00E459E0" w:rsidRDefault="00921158" w:rsidP="00921158">
      <w:pPr>
        <w:pStyle w:val="NormalHanging12a"/>
        <w:ind w:left="851" w:hanging="851"/>
        <w:rPr>
          <w:b/>
          <w:i/>
          <w:szCs w:val="24"/>
        </w:rPr>
      </w:pPr>
      <w:r w:rsidRPr="00E459E0">
        <w:rPr>
          <w:b/>
          <w:i/>
        </w:rPr>
        <w:t>1)</w:t>
      </w:r>
      <w:r w:rsidRPr="00E459E0">
        <w:rPr>
          <w:b/>
          <w:i/>
        </w:rPr>
        <w:tab/>
        <w:t>In artikel 2 wordt punt 27 geschrapt.</w:t>
      </w:r>
    </w:p>
    <w:p w14:paraId="153B5728" w14:textId="77777777" w:rsidR="00921158" w:rsidRPr="00E459E0" w:rsidRDefault="00921158" w:rsidP="00921158">
      <w:pPr>
        <w:pStyle w:val="NormalHanging12a"/>
        <w:ind w:left="851" w:hanging="851"/>
        <w:rPr>
          <w:b/>
          <w:i/>
          <w:szCs w:val="24"/>
        </w:rPr>
      </w:pPr>
      <w:r w:rsidRPr="00E459E0">
        <w:rPr>
          <w:b/>
          <w:i/>
        </w:rPr>
        <w:t>2)</w:t>
      </w:r>
      <w:r w:rsidRPr="00E459E0">
        <w:rPr>
          <w:b/>
          <w:i/>
        </w:rPr>
        <w:tab/>
        <w:t>Artikel 6 bis wordt als volgt gewijzigd:</w:t>
      </w:r>
    </w:p>
    <w:p w14:paraId="208B5759" w14:textId="77777777" w:rsidR="00921158" w:rsidRPr="00E459E0" w:rsidRDefault="00921158" w:rsidP="00921158">
      <w:pPr>
        <w:pStyle w:val="NormalHanging12a"/>
        <w:ind w:left="1418"/>
        <w:rPr>
          <w:b/>
          <w:i/>
        </w:rPr>
      </w:pPr>
      <w:r w:rsidRPr="00E459E0">
        <w:rPr>
          <w:b/>
          <w:i/>
        </w:rPr>
        <w:t>a)</w:t>
      </w:r>
      <w:r w:rsidRPr="00E459E0">
        <w:rPr>
          <w:b/>
          <w:i/>
        </w:rPr>
        <w:tab/>
        <w:t>de titel wordt vervangen door: “Vuldoelstelling”;</w:t>
      </w:r>
    </w:p>
    <w:p w14:paraId="1CA2C58E" w14:textId="77777777" w:rsidR="00921158" w:rsidRPr="00E459E0" w:rsidRDefault="00921158" w:rsidP="00921158">
      <w:pPr>
        <w:pStyle w:val="NormalHanging12a"/>
        <w:ind w:left="1418"/>
        <w:rPr>
          <w:b/>
          <w:i/>
        </w:rPr>
      </w:pPr>
      <w:r w:rsidRPr="00E459E0">
        <w:rPr>
          <w:b/>
          <w:i/>
        </w:rPr>
        <w:t>b)</w:t>
      </w:r>
      <w:r w:rsidRPr="00E459E0">
        <w:rPr>
          <w:b/>
          <w:i/>
        </w:rPr>
        <w:tab/>
        <w:t>de eerste alinea van lid 1 wordt vervangen door:</w:t>
      </w:r>
    </w:p>
    <w:p w14:paraId="2B81925B" w14:textId="77777777" w:rsidR="00921158" w:rsidRPr="00E459E0" w:rsidRDefault="00921158" w:rsidP="00921158">
      <w:pPr>
        <w:pStyle w:val="NormalHanging12a"/>
        <w:ind w:left="1985"/>
        <w:rPr>
          <w:b/>
          <w:i/>
        </w:rPr>
      </w:pPr>
      <w:r w:rsidRPr="00E459E0">
        <w:rPr>
          <w:b/>
          <w:i/>
        </w:rPr>
        <w:t>“1.</w:t>
      </w:r>
      <w:r w:rsidRPr="00E459E0">
        <w:rPr>
          <w:b/>
          <w:i/>
        </w:rPr>
        <w:tab/>
        <w:t xml:space="preserve">Met inachtneming van de leden 2 tot en met 5 behalen de lidstaten op enig moment tussen 1 oktober en 1 december van elk jaar de vuldoelstelling van 83 % voor de totale capaciteit van alle ondergrondse gasopslaginstallaties die zich op hun grondgebied bevinden en </w:t>
      </w:r>
      <w:r w:rsidRPr="00E459E0">
        <w:rPr>
          <w:b/>
          <w:i/>
        </w:rPr>
        <w:lastRenderedPageBreak/>
        <w:t>rechtstreeks verbonden zijn met een afzetgebied op hun grondgebied en voor de in bijlage I ter vermelde opslaginstallaties.”;</w:t>
      </w:r>
    </w:p>
    <w:p w14:paraId="24D8889F" w14:textId="735F3192" w:rsidR="00272167" w:rsidRPr="00E459E0" w:rsidRDefault="00E459E0" w:rsidP="00232F43">
      <w:pPr>
        <w:pStyle w:val="NormalHanging12a"/>
        <w:ind w:left="1418"/>
        <w:rPr>
          <w:b/>
          <w:i/>
        </w:rPr>
      </w:pPr>
      <w:r w:rsidRPr="00E459E0">
        <w:rPr>
          <w:b/>
          <w:i/>
        </w:rPr>
        <w:t>c</w:t>
      </w:r>
      <w:r w:rsidR="00272167" w:rsidRPr="00E459E0">
        <w:rPr>
          <w:b/>
          <w:i/>
        </w:rPr>
        <w:t>)</w:t>
      </w:r>
      <w:r w:rsidR="00272167" w:rsidRPr="00E459E0">
        <w:rPr>
          <w:b/>
          <w:i/>
        </w:rPr>
        <w:tab/>
        <w:t>lid 2 wordt vervangen door:</w:t>
      </w:r>
    </w:p>
    <w:p w14:paraId="21FE1441" w14:textId="0A50AEE5" w:rsidR="00272167" w:rsidRPr="00E459E0" w:rsidRDefault="00232F43" w:rsidP="00921158">
      <w:pPr>
        <w:pStyle w:val="NormalHanging12a"/>
        <w:ind w:left="1985"/>
        <w:rPr>
          <w:b/>
          <w:i/>
          <w:szCs w:val="24"/>
        </w:rPr>
      </w:pPr>
      <w:r w:rsidRPr="00E459E0">
        <w:rPr>
          <w:b/>
          <w:i/>
          <w:szCs w:val="24"/>
        </w:rPr>
        <w:t>2.</w:t>
      </w:r>
      <w:r w:rsidRPr="00E459E0">
        <w:rPr>
          <w:b/>
          <w:i/>
          <w:szCs w:val="24"/>
        </w:rPr>
        <w:tab/>
        <w:t xml:space="preserve">Niettegenstaande lid 1 en zonder afbreuk te doen aan de verplichtingen van andere lidstaten om de betrokken ondergrondse gasopslaginstallaties te vullen, wordt de vuldoelstelling voor elke lidstaat waar de ondergrondse gasopslaginstallaties zich bevinden, verlaagd tot een volume dat overeenkomt met 32,28% van het gemiddelde jaarlijkse gasverbruik </w:t>
      </w:r>
      <w:r w:rsidR="00AC067B" w:rsidRPr="00E459E0">
        <w:rPr>
          <w:b/>
          <w:i/>
          <w:szCs w:val="24"/>
        </w:rPr>
        <w:t>over</w:t>
      </w:r>
      <w:r w:rsidRPr="00E459E0">
        <w:rPr>
          <w:b/>
          <w:i/>
          <w:szCs w:val="24"/>
        </w:rPr>
        <w:t xml:space="preserve"> de voorgaande vijf jaar voor die lidstaat.”;</w:t>
      </w:r>
    </w:p>
    <w:p w14:paraId="2B5BC8F2" w14:textId="25FDB224" w:rsidR="00921158" w:rsidRPr="00E459E0" w:rsidRDefault="00E459E0" w:rsidP="00921158">
      <w:pPr>
        <w:pStyle w:val="NormalHanging12a"/>
        <w:ind w:left="1418"/>
        <w:rPr>
          <w:b/>
          <w:i/>
        </w:rPr>
      </w:pPr>
      <w:r w:rsidRPr="00E459E0">
        <w:rPr>
          <w:b/>
          <w:i/>
        </w:rPr>
        <w:t>d</w:t>
      </w:r>
      <w:r w:rsidR="00921158" w:rsidRPr="00E459E0">
        <w:rPr>
          <w:b/>
          <w:i/>
        </w:rPr>
        <w:t>)</w:t>
      </w:r>
      <w:r w:rsidR="00921158" w:rsidRPr="00E459E0">
        <w:rPr>
          <w:b/>
          <w:i/>
        </w:rPr>
        <w:tab/>
        <w:t>de volgende leden worden ingevoegd:</w:t>
      </w:r>
    </w:p>
    <w:p w14:paraId="7B38C2C1" w14:textId="77777777" w:rsidR="00921158" w:rsidRPr="00E459E0" w:rsidRDefault="00921158" w:rsidP="00921158">
      <w:pPr>
        <w:pStyle w:val="NormalHanging12a"/>
        <w:ind w:left="1985"/>
        <w:rPr>
          <w:b/>
          <w:i/>
          <w:szCs w:val="24"/>
        </w:rPr>
      </w:pPr>
      <w:r w:rsidRPr="00E459E0">
        <w:rPr>
          <w:b/>
          <w:i/>
        </w:rPr>
        <w:t xml:space="preserve">“5 bis. </w:t>
      </w:r>
      <w:r w:rsidRPr="00E459E0">
        <w:rPr>
          <w:b/>
          <w:i/>
        </w:rPr>
        <w:tab/>
        <w:t>Niettegenstaande lid 1 en zonder afbreuk te doen aan de verplichting van andere lidstaten om de betrokken ondergrondse gasopslaginstallaties te vullen, kunnen de lidstaten besluiten om met maximaal vier procentpunten af te wijken van de in lid 1 vastgestelde vuldoelstelling voor elke lidstaat indien de marktomstandigheden ongunstig zijn voor het vullen van ondergrondse gasopslaginstallaties.</w:t>
      </w:r>
    </w:p>
    <w:p w14:paraId="4B9453F5" w14:textId="77777777" w:rsidR="00921158" w:rsidRPr="00E459E0" w:rsidRDefault="00921158" w:rsidP="00921158">
      <w:pPr>
        <w:pStyle w:val="NormalHanging12a"/>
        <w:ind w:left="1985"/>
        <w:rPr>
          <w:b/>
          <w:i/>
          <w:szCs w:val="24"/>
        </w:rPr>
      </w:pPr>
      <w:r w:rsidRPr="00E459E0">
        <w:rPr>
          <w:b/>
          <w:i/>
        </w:rPr>
        <w:t>5 ter.</w:t>
      </w:r>
      <w:r w:rsidRPr="00E459E0">
        <w:rPr>
          <w:b/>
          <w:i/>
        </w:rPr>
        <w:tab/>
        <w:t>In naar behoren gemotiveerde gevallen van aanhoudende ongunstige marktomstandigheden en op voorwaarde dat de voorzieningszekerheid van de Unie en de lidstaten niet wordt ondermijnd, is de Commissie bevoegd overeenkomstig artikel 19 gedelegeerde handelingen vast te stellen om deze verordening te wijzigen door de toegestane afwijking voor de lidstaten, zoals vastgesteld in lid 5 bis, met maximaal vier procentpunten te verhogen.</w:t>
      </w:r>
    </w:p>
    <w:p w14:paraId="1465C2EF" w14:textId="77777777" w:rsidR="00921158" w:rsidRPr="00E459E0" w:rsidRDefault="00921158" w:rsidP="00921158">
      <w:pPr>
        <w:pStyle w:val="NormalHanging12a"/>
        <w:ind w:left="1985" w:firstLine="0"/>
        <w:rPr>
          <w:b/>
          <w:i/>
          <w:szCs w:val="24"/>
        </w:rPr>
      </w:pPr>
      <w:r w:rsidRPr="00E459E0">
        <w:rPr>
          <w:b/>
          <w:i/>
        </w:rPr>
        <w:t>Bij haar beoordeling houdt de Commissie met name rekening met het vulniveau in de lidstaten, de mondiale gasvoorziening, de seizoensgebonden leveringsvooruitzichten van het ENTSB-G en aanwijzingen van marktmanipulatie. Zij kan ook rekening houden met maatregelen van de lidstaten, zoals de uitrol van maatregelen ter vermindering van de gasvraag waarmee een gelijkwaardige vermindering wordt bereikt tijdens het volgende onttrekkingsseizoen.</w:t>
      </w:r>
    </w:p>
    <w:p w14:paraId="1EF41801" w14:textId="77777777" w:rsidR="00921158" w:rsidRPr="00E459E0" w:rsidRDefault="00921158" w:rsidP="00921158">
      <w:pPr>
        <w:pStyle w:val="NormalHanging12a"/>
        <w:ind w:left="1985"/>
        <w:rPr>
          <w:b/>
          <w:i/>
          <w:szCs w:val="24"/>
        </w:rPr>
      </w:pPr>
      <w:r w:rsidRPr="00E459E0">
        <w:rPr>
          <w:b/>
          <w:i/>
        </w:rPr>
        <w:t>5 quater.</w:t>
      </w:r>
      <w:r w:rsidRPr="00E459E0">
        <w:rPr>
          <w:b/>
          <w:i/>
        </w:rPr>
        <w:tab/>
        <w:t>De in lid 2 bedoelde lidstaten kunnen onder dezelfde voorwaarden als die van lid 5 bis besluiten om tot 1,55 % onder het in lid 2 vastgestelde volume af te wijken.</w:t>
      </w:r>
    </w:p>
    <w:p w14:paraId="1549954A" w14:textId="77777777" w:rsidR="00921158" w:rsidRPr="00E459E0" w:rsidRDefault="00921158" w:rsidP="00921158">
      <w:pPr>
        <w:pStyle w:val="NormalHanging12a"/>
        <w:ind w:left="1985"/>
        <w:rPr>
          <w:b/>
          <w:i/>
          <w:szCs w:val="24"/>
        </w:rPr>
      </w:pPr>
      <w:r w:rsidRPr="00E459E0">
        <w:rPr>
          <w:b/>
          <w:i/>
        </w:rPr>
        <w:t>5 quinquies.</w:t>
      </w:r>
      <w:r w:rsidRPr="00E459E0">
        <w:rPr>
          <w:b/>
          <w:i/>
        </w:rPr>
        <w:tab/>
        <w:t>Alvorens een van de in de leden 5 bis en 5 quater bedoelde afwijkingen toe te passen, raadpleegt de lidstaat de Commissie en motiveert hij onverwijld zijn besluit. De Commissie stelt de GCG meteen in kennis van de cumulatieve effecten van alle afwijkingen overeenkomstig de leden 5 bis en 5 quater en geeft daarbij aan welke lidstaten rechtstreeks getroffen worden.”;</w:t>
      </w:r>
    </w:p>
    <w:p w14:paraId="42F0F0D4" w14:textId="10A7CB8C" w:rsidR="00921158" w:rsidRPr="00E459E0" w:rsidRDefault="00E459E0" w:rsidP="00921158">
      <w:pPr>
        <w:pStyle w:val="NormalHanging12a"/>
        <w:ind w:left="1418"/>
        <w:rPr>
          <w:b/>
          <w:i/>
        </w:rPr>
      </w:pPr>
      <w:r w:rsidRPr="00E459E0">
        <w:rPr>
          <w:b/>
          <w:i/>
        </w:rPr>
        <w:t>e</w:t>
      </w:r>
      <w:r w:rsidR="00921158" w:rsidRPr="00E459E0">
        <w:rPr>
          <w:b/>
          <w:i/>
        </w:rPr>
        <w:t>)</w:t>
      </w:r>
      <w:r w:rsidR="00921158" w:rsidRPr="00E459E0">
        <w:rPr>
          <w:b/>
          <w:i/>
        </w:rPr>
        <w:tab/>
        <w:t>de leden 6 en 7 worden vervangen door:</w:t>
      </w:r>
    </w:p>
    <w:p w14:paraId="3053D0A7" w14:textId="77777777" w:rsidR="00921158" w:rsidRPr="00E459E0" w:rsidRDefault="00921158" w:rsidP="00921158">
      <w:pPr>
        <w:pStyle w:val="NormalHanging12a"/>
        <w:ind w:left="1985"/>
        <w:rPr>
          <w:szCs w:val="24"/>
        </w:rPr>
      </w:pPr>
      <w:r w:rsidRPr="00E459E0">
        <w:rPr>
          <w:b/>
          <w:i/>
        </w:rPr>
        <w:t>“6.</w:t>
      </w:r>
      <w:r w:rsidRPr="00E459E0">
        <w:tab/>
      </w:r>
      <w:r w:rsidRPr="00E459E0">
        <w:rPr>
          <w:b/>
          <w:i/>
        </w:rPr>
        <w:t xml:space="preserve">Om de vuldoelstelling te halen, nemen de lidstaten alle nodige </w:t>
      </w:r>
      <w:r w:rsidRPr="00E459E0">
        <w:rPr>
          <w:b/>
          <w:i/>
        </w:rPr>
        <w:lastRenderedPageBreak/>
        <w:t xml:space="preserve">maatregelen en streven zij ernaar het overeenkomstig lid 7 vastgestelde </w:t>
      </w:r>
      <w:proofErr w:type="spellStart"/>
      <w:r w:rsidRPr="00E459E0">
        <w:rPr>
          <w:b/>
          <w:i/>
        </w:rPr>
        <w:t>vulplan</w:t>
      </w:r>
      <w:proofErr w:type="spellEnd"/>
      <w:r w:rsidRPr="00E459E0">
        <w:rPr>
          <w:b/>
          <w:i/>
        </w:rPr>
        <w:t xml:space="preserve"> te volgen.</w:t>
      </w:r>
    </w:p>
    <w:p w14:paraId="1A787621" w14:textId="77777777" w:rsidR="00921158" w:rsidRPr="00E459E0" w:rsidRDefault="00921158" w:rsidP="00921158">
      <w:pPr>
        <w:pStyle w:val="NormalHanging12a"/>
        <w:ind w:left="1985"/>
      </w:pPr>
      <w:r w:rsidRPr="00E459E0">
        <w:rPr>
          <w:b/>
          <w:i/>
        </w:rPr>
        <w:t>7.</w:t>
      </w:r>
      <w:r w:rsidRPr="00E459E0">
        <w:tab/>
      </w:r>
      <w:r w:rsidRPr="00E459E0">
        <w:rPr>
          <w:b/>
          <w:i/>
        </w:rPr>
        <w:t xml:space="preserve">Lidstaten met ondergrondse gasopslaginstallaties dienen tijdig bij de Commissie een indicatief </w:t>
      </w:r>
      <w:proofErr w:type="spellStart"/>
      <w:r w:rsidRPr="00E459E0">
        <w:rPr>
          <w:b/>
          <w:i/>
        </w:rPr>
        <w:t>vulplan</w:t>
      </w:r>
      <w:proofErr w:type="spellEnd"/>
      <w:r w:rsidRPr="00E459E0">
        <w:rPr>
          <w:b/>
          <w:i/>
        </w:rPr>
        <w:t xml:space="preserve"> voor het hele kalenderjaar in om de in lid 1 vastgestelde jaarlijkse vuldoelstelling voor gasopslag te bereiken. Het plan bevat technische informatie voor de ondergrondse gasopslaginstallaties op hun grondgebied en wordt in geaggregeerde vorm rechtstreeks gekoppeld aan hun afzetgebied.”;</w:t>
      </w:r>
    </w:p>
    <w:p w14:paraId="1A589334" w14:textId="103883BE" w:rsidR="00921158" w:rsidRPr="00E459E0" w:rsidRDefault="00E459E0" w:rsidP="00921158">
      <w:pPr>
        <w:pStyle w:val="NormalHanging12a"/>
        <w:ind w:left="1418"/>
        <w:rPr>
          <w:b/>
          <w:i/>
        </w:rPr>
      </w:pPr>
      <w:r w:rsidRPr="00E459E0">
        <w:rPr>
          <w:b/>
          <w:i/>
        </w:rPr>
        <w:t>f</w:t>
      </w:r>
      <w:r w:rsidR="00921158" w:rsidRPr="00E459E0">
        <w:rPr>
          <w:b/>
          <w:i/>
        </w:rPr>
        <w:t>)</w:t>
      </w:r>
      <w:r w:rsidR="00921158" w:rsidRPr="00E459E0">
        <w:rPr>
          <w:b/>
          <w:i/>
        </w:rPr>
        <w:tab/>
        <w:t>lid 8 wordt geschrapt;</w:t>
      </w:r>
    </w:p>
    <w:p w14:paraId="5313E2BE" w14:textId="6322C73E" w:rsidR="00921158" w:rsidRPr="00E459E0" w:rsidRDefault="00E459E0" w:rsidP="00921158">
      <w:pPr>
        <w:pStyle w:val="NormalHanging12a"/>
        <w:ind w:left="1418"/>
        <w:rPr>
          <w:b/>
          <w:i/>
        </w:rPr>
      </w:pPr>
      <w:r w:rsidRPr="00E459E0">
        <w:rPr>
          <w:b/>
          <w:i/>
        </w:rPr>
        <w:t>g</w:t>
      </w:r>
      <w:r w:rsidR="00921158" w:rsidRPr="00E459E0">
        <w:rPr>
          <w:b/>
          <w:i/>
        </w:rPr>
        <w:t>)</w:t>
      </w:r>
      <w:r w:rsidR="00921158" w:rsidRPr="00E459E0">
        <w:rPr>
          <w:b/>
          <w:i/>
        </w:rPr>
        <w:tab/>
        <w:t>de leden 10 en 11 worden vervangen door:</w:t>
      </w:r>
    </w:p>
    <w:p w14:paraId="3CEE7D59" w14:textId="77777777" w:rsidR="00921158" w:rsidRPr="00E459E0" w:rsidRDefault="00921158" w:rsidP="00921158">
      <w:pPr>
        <w:pStyle w:val="NormalHanging12a"/>
        <w:ind w:left="1985"/>
        <w:rPr>
          <w:b/>
          <w:i/>
        </w:rPr>
      </w:pPr>
      <w:r w:rsidRPr="00E459E0">
        <w:rPr>
          <w:b/>
          <w:i/>
        </w:rPr>
        <w:t>“10.</w:t>
      </w:r>
      <w:r w:rsidRPr="00E459E0">
        <w:rPr>
          <w:b/>
          <w:i/>
        </w:rPr>
        <w:tab/>
        <w:t xml:space="preserve">De bevoegde instantie van elke lidstaat monitort voortdurend de naleving van de vuldoelstelling zoals vastgesteld in het </w:t>
      </w:r>
      <w:proofErr w:type="spellStart"/>
      <w:r w:rsidRPr="00E459E0">
        <w:rPr>
          <w:b/>
          <w:i/>
        </w:rPr>
        <w:t>vulplan</w:t>
      </w:r>
      <w:proofErr w:type="spellEnd"/>
      <w:r w:rsidRPr="00E459E0">
        <w:rPr>
          <w:b/>
          <w:i/>
        </w:rPr>
        <w:t xml:space="preserve"> en brengt regelmatig en ten minste eenmaal per maand verslag uit aan de Commissie en de GCG. Indien wordt verwacht dat de vuldoelstelling niet kan worden behaald, moet de bevoegde instantie onverwijld doeltreffende maatregelen nemen om de vuldoelstelling te bereiken. De lidstaten stellen de Commissie en de GCG in kennis van de genomen maatregelen.</w:t>
      </w:r>
    </w:p>
    <w:p w14:paraId="244B8F82" w14:textId="77777777" w:rsidR="00921158" w:rsidRPr="00E459E0" w:rsidRDefault="00921158" w:rsidP="00921158">
      <w:pPr>
        <w:pStyle w:val="NormalHanging12a"/>
        <w:ind w:left="1985"/>
        <w:rPr>
          <w:b/>
          <w:i/>
          <w:szCs w:val="24"/>
        </w:rPr>
      </w:pPr>
      <w:r w:rsidRPr="00E459E0">
        <w:rPr>
          <w:b/>
          <w:i/>
        </w:rPr>
        <w:t>11.</w:t>
      </w:r>
      <w:r w:rsidRPr="00E459E0">
        <w:rPr>
          <w:b/>
          <w:i/>
        </w:rPr>
        <w:tab/>
        <w:t xml:space="preserve">In het geval van een substantiële en aanhoudende afwijking van het </w:t>
      </w:r>
      <w:proofErr w:type="spellStart"/>
      <w:r w:rsidRPr="00E459E0">
        <w:rPr>
          <w:b/>
          <w:i/>
        </w:rPr>
        <w:t>vulplan</w:t>
      </w:r>
      <w:proofErr w:type="spellEnd"/>
      <w:r w:rsidRPr="00E459E0">
        <w:rPr>
          <w:b/>
          <w:i/>
        </w:rPr>
        <w:t xml:space="preserve"> door een lidstaat, die het behalen van de vuldoelstelling in het gedrang brengt, of in het geval van een afwijking van de vuldoelstelling, richt de Commissie in voorkomend geval, na raadpleging van de GCG en de betrokken lidstaat, een aanbeveling tot die lidstaat of tot de andere betrokken lidstaten in verband met maatregelen die onmiddellijk moeten worden genomen om de afwijking te verhelpen of de gevolgen voor de voorzieningszekerheid tot een minimum te beperken, waarbij onder meer rekening wordt gehouden met mogelijke ongunstige marktomstandigheden en specifieke kenmerken van de lidstaten, zoals de technische kenmerken en de omvang van de ondergrondse gasopslaginstallaties in verhouding tot het binnenlandse gasverbruik, het afnemende belang van de ondergrondse opslaginstallaties voor gas met lage calorische waarde voor de gasvoorzieningszekerheid en de bestaande </w:t>
      </w:r>
      <w:proofErr w:type="spellStart"/>
      <w:r w:rsidRPr="00E459E0">
        <w:rPr>
          <w:b/>
          <w:i/>
        </w:rPr>
        <w:t>lng</w:t>
      </w:r>
      <w:proofErr w:type="spellEnd"/>
      <w:r w:rsidRPr="00E459E0">
        <w:rPr>
          <w:b/>
          <w:i/>
        </w:rPr>
        <w:t>-opslagcapaciteit.</w:t>
      </w:r>
    </w:p>
    <w:p w14:paraId="01CD2F58" w14:textId="77777777" w:rsidR="00921158" w:rsidRPr="00E459E0" w:rsidRDefault="00921158" w:rsidP="00921158">
      <w:pPr>
        <w:pStyle w:val="NormalHanging12a"/>
        <w:ind w:left="1985"/>
        <w:rPr>
          <w:szCs w:val="24"/>
        </w:rPr>
      </w:pPr>
      <w:r w:rsidRPr="00E459E0">
        <w:rPr>
          <w:b/>
          <w:i/>
        </w:rPr>
        <w:t>11 bis.</w:t>
      </w:r>
      <w:r w:rsidRPr="00E459E0">
        <w:rPr>
          <w:b/>
          <w:i/>
        </w:rPr>
        <w:tab/>
        <w:t xml:space="preserve">Wanneer een lidstaat de in lid 1 bedoelde vuldoelstelling niet haalt en de voorzieningszekerheid van de Unie daardoor in gevaar komt, stelt de Commissie een uitvoeringshandeling vast ter bepaling van een </w:t>
      </w:r>
      <w:proofErr w:type="spellStart"/>
      <w:r w:rsidRPr="00E459E0">
        <w:rPr>
          <w:b/>
          <w:i/>
        </w:rPr>
        <w:t>vulplan</w:t>
      </w:r>
      <w:proofErr w:type="spellEnd"/>
      <w:r w:rsidRPr="00E459E0">
        <w:rPr>
          <w:b/>
          <w:i/>
        </w:rPr>
        <w:t xml:space="preserve"> voor die lidstaat voor het jaar daarna, op basis van de door elke lidstaat verstrekte technische informatie en rekening houdend met de beoordeling van de GCG. Die uitvoeringshandeling wordt vastgesteld volgens de in artikel 18 bis, lid 2, bedoelde onderzoeksprocedure. Zij stoelt op een evaluatie van de algemene situatie met betrekking tot de zekerheid van de gasvoorziening en de ontwikkeling van de vraag naar en het aanbod van gas in de Unie en de afzonderlijke lidstaten met het doel de zekerheid van de gasvoorziening te waarborgen.”.</w:t>
      </w:r>
    </w:p>
    <w:p w14:paraId="379DF087" w14:textId="77777777" w:rsidR="00921158" w:rsidRPr="00E459E0" w:rsidRDefault="00921158" w:rsidP="00921158">
      <w:pPr>
        <w:pStyle w:val="NormalHanging12a"/>
        <w:ind w:left="851" w:hanging="851"/>
        <w:rPr>
          <w:b/>
          <w:i/>
          <w:szCs w:val="24"/>
        </w:rPr>
      </w:pPr>
      <w:r w:rsidRPr="00E459E0">
        <w:rPr>
          <w:b/>
          <w:i/>
        </w:rPr>
        <w:lastRenderedPageBreak/>
        <w:t>3)</w:t>
      </w:r>
      <w:r w:rsidRPr="00E459E0">
        <w:rPr>
          <w:b/>
          <w:i/>
        </w:rPr>
        <w:tab/>
        <w:t>Artikel 6 ter wordt als volgt gewijzigd:</w:t>
      </w:r>
    </w:p>
    <w:p w14:paraId="41212F4E" w14:textId="77777777" w:rsidR="00921158" w:rsidRPr="00E459E0" w:rsidRDefault="00921158" w:rsidP="00921158">
      <w:pPr>
        <w:pStyle w:val="NormalHanging12a"/>
        <w:ind w:left="1418"/>
        <w:rPr>
          <w:b/>
          <w:i/>
        </w:rPr>
      </w:pPr>
      <w:r w:rsidRPr="00E459E0">
        <w:rPr>
          <w:b/>
          <w:i/>
        </w:rPr>
        <w:t>a)</w:t>
      </w:r>
      <w:r w:rsidRPr="00E459E0">
        <w:rPr>
          <w:b/>
          <w:i/>
        </w:rPr>
        <w:tab/>
        <w:t>de titel wordt vervangen door: “Verwezenlijking van de vuldoelstelling”;</w:t>
      </w:r>
    </w:p>
    <w:p w14:paraId="3120A006" w14:textId="77777777" w:rsidR="00921158" w:rsidRPr="00E459E0" w:rsidRDefault="00921158" w:rsidP="00921158">
      <w:pPr>
        <w:pStyle w:val="NormalHanging12a"/>
        <w:ind w:left="1418"/>
        <w:rPr>
          <w:b/>
          <w:i/>
        </w:rPr>
      </w:pPr>
      <w:r w:rsidRPr="00E459E0">
        <w:rPr>
          <w:b/>
          <w:i/>
        </w:rPr>
        <w:t>b)</w:t>
      </w:r>
      <w:r w:rsidRPr="00E459E0">
        <w:rPr>
          <w:b/>
          <w:i/>
        </w:rPr>
        <w:tab/>
        <w:t>de eerste alinea van lid 1 wordt vervangen door:</w:t>
      </w:r>
    </w:p>
    <w:p w14:paraId="4BA7D41B" w14:textId="77777777" w:rsidR="00921158" w:rsidRPr="00E459E0" w:rsidRDefault="00921158" w:rsidP="00921158">
      <w:pPr>
        <w:pStyle w:val="NormalHanging12a"/>
        <w:ind w:left="1985"/>
        <w:rPr>
          <w:szCs w:val="24"/>
        </w:rPr>
      </w:pPr>
      <w:r w:rsidRPr="00E459E0">
        <w:t>“</w:t>
      </w:r>
      <w:r w:rsidRPr="00E459E0">
        <w:rPr>
          <w:b/>
          <w:i/>
        </w:rPr>
        <w:t>1.</w:t>
      </w:r>
      <w:r w:rsidRPr="00E459E0">
        <w:rPr>
          <w:b/>
          <w:i/>
        </w:rPr>
        <w:tab/>
        <w:t xml:space="preserve">De lidstaten nemen alle noodzakelijke maatregelen om de op grond van artikel 6 bis bepaalde vuldoelstelling te behalen. Wanneer zij ervoor zorgen dat de vuldoelstelling wordt behaald, geven de lidstaten, waar mogelijk, voorrang aan </w:t>
      </w:r>
      <w:proofErr w:type="spellStart"/>
      <w:r w:rsidRPr="00E459E0">
        <w:rPr>
          <w:b/>
          <w:i/>
        </w:rPr>
        <w:t>marktgebaseerde</w:t>
      </w:r>
      <w:proofErr w:type="spellEnd"/>
      <w:r w:rsidRPr="00E459E0">
        <w:rPr>
          <w:b/>
          <w:i/>
        </w:rPr>
        <w:t xml:space="preserve"> maatregelen.”;</w:t>
      </w:r>
    </w:p>
    <w:p w14:paraId="0080E60E" w14:textId="77777777" w:rsidR="00921158" w:rsidRPr="00E459E0" w:rsidRDefault="00921158" w:rsidP="00921158">
      <w:pPr>
        <w:pStyle w:val="NormalHanging12a"/>
        <w:ind w:left="1418"/>
        <w:rPr>
          <w:b/>
          <w:i/>
        </w:rPr>
      </w:pPr>
      <w:r w:rsidRPr="00E459E0">
        <w:rPr>
          <w:b/>
          <w:i/>
        </w:rPr>
        <w:t>c)</w:t>
      </w:r>
      <w:r w:rsidRPr="00E459E0">
        <w:rPr>
          <w:b/>
          <w:i/>
        </w:rPr>
        <w:tab/>
        <w:t xml:space="preserve">lid 2 wordt vervangen door: </w:t>
      </w:r>
    </w:p>
    <w:p w14:paraId="6C065D2F" w14:textId="77777777" w:rsidR="00921158" w:rsidRPr="00E459E0" w:rsidRDefault="00921158" w:rsidP="00921158">
      <w:pPr>
        <w:pStyle w:val="NormalHanging12a"/>
        <w:ind w:left="1985"/>
        <w:rPr>
          <w:szCs w:val="24"/>
        </w:rPr>
      </w:pPr>
      <w:r w:rsidRPr="00E459E0">
        <w:rPr>
          <w:b/>
          <w:i/>
        </w:rPr>
        <w:t>“2.</w:t>
      </w:r>
      <w:r w:rsidRPr="00E459E0">
        <w:rPr>
          <w:b/>
          <w:i/>
        </w:rPr>
        <w:tab/>
        <w:t>De door de lidstaten op grond van lid 1 genomen maatregelen blijven beperkt tot hetgeen noodzakelijk is om de vuldoelstelling te behalen. Ze worden duidelijk omschreven en zijn transparant, evenredig, niet-discriminerend en controleerbaar. Zij verstoren niet onrechtmatig de mededinging of de goede werking van de interne gasmarkt, verhogen de energiekosten niet onnodig en brengen de gasleveringszekerheid in andere lidstaten of in de Unie niet in gevaar.</w:t>
      </w:r>
      <w:r w:rsidRPr="00E459E0">
        <w:t xml:space="preserve"> </w:t>
      </w:r>
      <w:r w:rsidRPr="00E459E0">
        <w:rPr>
          <w:b/>
          <w:i/>
        </w:rPr>
        <w:t>De lidstaten stellen de Commissie en de GCG van dergelijke maatregelen in kennis.”.</w:t>
      </w:r>
    </w:p>
    <w:p w14:paraId="4B31B375" w14:textId="77777777" w:rsidR="00921158" w:rsidRPr="00E459E0" w:rsidRDefault="00921158" w:rsidP="00921158">
      <w:pPr>
        <w:pStyle w:val="NormalHanging12a"/>
        <w:ind w:left="851" w:hanging="851"/>
        <w:rPr>
          <w:b/>
          <w:i/>
          <w:szCs w:val="24"/>
        </w:rPr>
      </w:pPr>
      <w:r w:rsidRPr="00E459E0">
        <w:rPr>
          <w:b/>
          <w:i/>
        </w:rPr>
        <w:t>4)</w:t>
      </w:r>
      <w:r w:rsidRPr="00E459E0">
        <w:rPr>
          <w:b/>
          <w:i/>
        </w:rPr>
        <w:tab/>
        <w:t>Artikel 6 quater wordt als volgt gewijzigd:</w:t>
      </w:r>
    </w:p>
    <w:p w14:paraId="4CBE7DB9" w14:textId="77777777" w:rsidR="00921158" w:rsidRPr="00E459E0" w:rsidRDefault="00921158" w:rsidP="00921158">
      <w:pPr>
        <w:pStyle w:val="NormalHanging12a"/>
        <w:ind w:left="1418"/>
        <w:rPr>
          <w:b/>
          <w:i/>
        </w:rPr>
      </w:pPr>
      <w:r w:rsidRPr="00E459E0">
        <w:rPr>
          <w:b/>
          <w:i/>
        </w:rPr>
        <w:t>a)</w:t>
      </w:r>
      <w:r w:rsidRPr="00E459E0">
        <w:rPr>
          <w:b/>
          <w:i/>
        </w:rPr>
        <w:tab/>
        <w:t>in lid 1 wordt de eerste alinea vervangen door:</w:t>
      </w:r>
    </w:p>
    <w:p w14:paraId="42EA0377" w14:textId="77777777" w:rsidR="00921158" w:rsidRPr="00E459E0" w:rsidRDefault="00921158" w:rsidP="00921158">
      <w:pPr>
        <w:pStyle w:val="NormalHanging12a"/>
        <w:ind w:left="1985"/>
        <w:rPr>
          <w:b/>
          <w:i/>
          <w:szCs w:val="24"/>
        </w:rPr>
      </w:pPr>
      <w:r w:rsidRPr="00E459E0">
        <w:rPr>
          <w:b/>
          <w:i/>
        </w:rPr>
        <w:t>“1.</w:t>
      </w:r>
      <w:r w:rsidRPr="00E459E0">
        <w:rPr>
          <w:b/>
          <w:i/>
        </w:rPr>
        <w:tab/>
        <w:t>Een lidstaat die niet over ondergrondse opslaginstallaties beschikt, zorgt ervoor dat marktdeelnemers in die lidstaat regelingen treffen met ondergrondse-opslagsysteembeheerders of andere marktdeelnemers in lidstaten met ondergrondse gasopslaginstallaties. Die regelingen bepalen dat uiterlijk op 1 december opslagvolumes worden gebruikt die overeenkomen met ten minste 15 % van het gemiddelde jaarlijkse gasverbruik over de voorgaande vijf jaar van de lidstaat die niet over ondergrondse gasopslaginstallaties beschikt. Wanneer een lidstaat zonder ondergrondse gasopslaginstallaties wegens de grensoverschrijdende transmissiecapaciteit of andere technische beperkingen echter niet in staat is 15 % van die opslagvolumes volledig te benutten, slaat die lidstaat alleen de volumes op die technisch mogelijk zijn.”;</w:t>
      </w:r>
    </w:p>
    <w:p w14:paraId="2693BD3B" w14:textId="77777777" w:rsidR="00921158" w:rsidRPr="00E459E0" w:rsidRDefault="00921158" w:rsidP="00921158">
      <w:pPr>
        <w:pStyle w:val="NormalHanging12a"/>
        <w:ind w:left="1418"/>
        <w:rPr>
          <w:b/>
          <w:i/>
          <w:szCs w:val="22"/>
        </w:rPr>
      </w:pPr>
      <w:r w:rsidRPr="00E459E0">
        <w:rPr>
          <w:b/>
          <w:i/>
        </w:rPr>
        <w:t>b)</w:t>
      </w:r>
      <w:r w:rsidRPr="00E459E0">
        <w:rPr>
          <w:b/>
          <w:i/>
        </w:rPr>
        <w:tab/>
        <w:t>in lid 2 wordt de tweede alinea vervangen door:</w:t>
      </w:r>
    </w:p>
    <w:p w14:paraId="0CCF417A" w14:textId="77777777" w:rsidR="00921158" w:rsidRPr="00E459E0" w:rsidRDefault="00921158" w:rsidP="00921158">
      <w:pPr>
        <w:pStyle w:val="NormalHanging12a"/>
        <w:ind w:left="1418" w:firstLine="0"/>
        <w:rPr>
          <w:b/>
          <w:i/>
          <w:szCs w:val="24"/>
        </w:rPr>
      </w:pPr>
      <w:r w:rsidRPr="00E459E0">
        <w:rPr>
          <w:b/>
          <w:i/>
        </w:rPr>
        <w:t>“De lidstaten die niet over ondergrondse gasopslaginstallaties beschikken, tonen aan dat zij voldoen aan lid 1 en stellen de Commissie daarvan in kennis.”;</w:t>
      </w:r>
    </w:p>
    <w:p w14:paraId="060F8BEA" w14:textId="77777777" w:rsidR="00921158" w:rsidRPr="00E459E0" w:rsidRDefault="00921158" w:rsidP="00921158">
      <w:pPr>
        <w:pStyle w:val="NormalHanging12a"/>
        <w:tabs>
          <w:tab w:val="left" w:pos="1418"/>
        </w:tabs>
        <w:ind w:left="1418"/>
      </w:pPr>
      <w:r w:rsidRPr="00E459E0">
        <w:rPr>
          <w:b/>
          <w:i/>
        </w:rPr>
        <w:t>c)</w:t>
      </w:r>
      <w:r w:rsidRPr="00E459E0">
        <w:rPr>
          <w:b/>
          <w:i/>
        </w:rPr>
        <w:tab/>
        <w:t>in lid 5, eerste alinea, wordt punt a) vervangen door:</w:t>
      </w:r>
      <w:r w:rsidRPr="00E459E0">
        <w:t xml:space="preserve"> </w:t>
      </w:r>
    </w:p>
    <w:p w14:paraId="1D773207" w14:textId="77777777" w:rsidR="00921158" w:rsidRPr="00E459E0" w:rsidRDefault="00921158" w:rsidP="00921158">
      <w:pPr>
        <w:pStyle w:val="NormalHanging12a"/>
        <w:ind w:left="1985"/>
        <w:rPr>
          <w:b/>
          <w:i/>
          <w:szCs w:val="24"/>
        </w:rPr>
      </w:pPr>
      <w:r w:rsidRPr="00E459E0">
        <w:rPr>
          <w:b/>
          <w:i/>
        </w:rPr>
        <w:t>“a)</w:t>
      </w:r>
      <w:r w:rsidRPr="00E459E0">
        <w:rPr>
          <w:b/>
          <w:i/>
        </w:rPr>
        <w:tab/>
        <w:t xml:space="preserve">hetzij de opslagvolumes uiterlijk op 1 december ten minste overeenkomen met het gemiddelde gebruik van de opslagcapaciteit over de voorgaande vijf jaar, bepaald onder meer door de gasstromen in aanmerking te nemen tijdens het onttrekkingsseizoen over de </w:t>
      </w:r>
      <w:r w:rsidRPr="00E459E0">
        <w:rPr>
          <w:b/>
          <w:i/>
        </w:rPr>
        <w:lastRenderedPageBreak/>
        <w:t>voorgaande vijf jaar vanuit de lidstaten waar de opslaginstallaties zich bevinden; of”;</w:t>
      </w:r>
    </w:p>
    <w:p w14:paraId="00C6FBDB" w14:textId="77777777" w:rsidR="00921158" w:rsidRPr="00E459E0" w:rsidRDefault="00921158" w:rsidP="00921158">
      <w:pPr>
        <w:pStyle w:val="NormalHanging12a"/>
        <w:ind w:left="1418"/>
        <w:rPr>
          <w:b/>
          <w:i/>
        </w:rPr>
      </w:pPr>
      <w:r w:rsidRPr="00E459E0">
        <w:rPr>
          <w:b/>
          <w:i/>
        </w:rPr>
        <w:t>d)</w:t>
      </w:r>
      <w:r w:rsidRPr="00E459E0">
        <w:rPr>
          <w:b/>
          <w:i/>
        </w:rPr>
        <w:tab/>
        <w:t>lid 6 wordt vervangen door:</w:t>
      </w:r>
    </w:p>
    <w:p w14:paraId="6CB8B4B5" w14:textId="77777777" w:rsidR="00921158" w:rsidRPr="00E459E0" w:rsidRDefault="00921158" w:rsidP="00921158">
      <w:pPr>
        <w:pStyle w:val="NormalHanging12a"/>
        <w:ind w:left="1985"/>
        <w:rPr>
          <w:b/>
          <w:i/>
          <w:szCs w:val="24"/>
        </w:rPr>
      </w:pPr>
      <w:r w:rsidRPr="00E459E0">
        <w:rPr>
          <w:b/>
          <w:i/>
        </w:rPr>
        <w:t>“6.</w:t>
      </w:r>
      <w:r w:rsidRPr="00E459E0">
        <w:rPr>
          <w:b/>
          <w:i/>
        </w:rPr>
        <w:tab/>
        <w:t>In het geval van ondergrondse gasopslaginstallaties die zich in een lidstaat bevinden en die niet onder lid 5 vallen, maar die rechtstreeks verbonden zijn met het afzetgebied van een andere lidstaat, zorgt die andere lidstaat, tenzij anders bepaald in bijlage I ter, ervoor dat de opslagvolumes tussen 1 oktober en 1 december ten minste overeenkomen met het gemiddelde van de opslagcapaciteit die op het betrokken grensoverschrijdende punt over de voorgaande vijf jaar is geboekt.”.</w:t>
      </w:r>
    </w:p>
    <w:p w14:paraId="04F96DC8" w14:textId="77777777" w:rsidR="00921158" w:rsidRPr="00E459E0" w:rsidRDefault="00921158" w:rsidP="00921158">
      <w:pPr>
        <w:pStyle w:val="NormalHanging12a"/>
        <w:ind w:left="851" w:hanging="851"/>
        <w:rPr>
          <w:b/>
          <w:i/>
        </w:rPr>
      </w:pPr>
      <w:r w:rsidRPr="00E459E0">
        <w:rPr>
          <w:b/>
          <w:i/>
        </w:rPr>
        <w:t>5)</w:t>
      </w:r>
      <w:r w:rsidRPr="00E459E0">
        <w:rPr>
          <w:b/>
          <w:i/>
        </w:rPr>
        <w:tab/>
        <w:t>Artikel 6 quinquies wordt als volgt gewijzigd:</w:t>
      </w:r>
    </w:p>
    <w:p w14:paraId="6FF55191" w14:textId="77777777" w:rsidR="00921158" w:rsidRPr="00E459E0" w:rsidRDefault="00921158" w:rsidP="00921158">
      <w:pPr>
        <w:pStyle w:val="NormalHanging12a"/>
        <w:ind w:left="1418"/>
        <w:rPr>
          <w:b/>
          <w:i/>
        </w:rPr>
      </w:pPr>
      <w:r w:rsidRPr="00E459E0">
        <w:rPr>
          <w:b/>
          <w:i/>
        </w:rPr>
        <w:t>a)</w:t>
      </w:r>
      <w:r w:rsidRPr="00E459E0">
        <w:rPr>
          <w:b/>
          <w:i/>
        </w:rPr>
        <w:tab/>
        <w:t>de leden 1 en 2 worden vervangen door:</w:t>
      </w:r>
    </w:p>
    <w:p w14:paraId="3147258E" w14:textId="77777777" w:rsidR="00921158" w:rsidRPr="00E459E0" w:rsidRDefault="00921158" w:rsidP="00921158">
      <w:pPr>
        <w:pStyle w:val="NormalHanging12a"/>
        <w:ind w:left="1985"/>
        <w:rPr>
          <w:b/>
          <w:i/>
          <w:szCs w:val="24"/>
        </w:rPr>
      </w:pPr>
      <w:r w:rsidRPr="00E459E0">
        <w:rPr>
          <w:b/>
          <w:i/>
        </w:rPr>
        <w:t>“1.</w:t>
      </w:r>
      <w:r w:rsidRPr="00E459E0">
        <w:rPr>
          <w:b/>
          <w:i/>
        </w:rPr>
        <w:tab/>
        <w:t>De opslagsysteembeheerders melden het vulniveau aan de bevoegde instantie in elke lidstaat waar de betrokken ondergrondse gasopslaginstallaties zich bevinden en, indien van toepassing, aan een door die lidstaat aangewezen entiteit (de „aangewezen entiteit”), zoals vastgesteld op grond van artikel 6 bis.</w:t>
      </w:r>
    </w:p>
    <w:p w14:paraId="1178986C" w14:textId="77777777" w:rsidR="00921158" w:rsidRPr="00E459E0" w:rsidRDefault="00921158" w:rsidP="00921158">
      <w:pPr>
        <w:pStyle w:val="NormalHanging12a"/>
        <w:ind w:left="1985"/>
        <w:rPr>
          <w:szCs w:val="24"/>
        </w:rPr>
      </w:pPr>
      <w:r w:rsidRPr="00E459E0">
        <w:rPr>
          <w:b/>
          <w:i/>
        </w:rPr>
        <w:t>2.</w:t>
      </w:r>
      <w:r w:rsidRPr="00E459E0">
        <w:rPr>
          <w:b/>
          <w:i/>
        </w:rPr>
        <w:tab/>
        <w:t>De bevoegde instantie en, indien van toepassing, de aangewezen entiteit van elke lidstaat monitort het vulniveau van de ondergrondse gasopslaginstallaties op haar grondgebied aan het einde van elke maand en deelt de resultaten maandelijks en onverwijld aan de Commissie mee. De bevoegde instantie voegt daarbij ook informatie toe over het aandeel gas afkomstig van de Russische Federatie dat in die lidstaat wordt opgeslagen, indien dergelijke informatie beschikbaar is.</w:t>
      </w:r>
    </w:p>
    <w:p w14:paraId="5A7C26EC" w14:textId="77777777" w:rsidR="00921158" w:rsidRPr="00E459E0" w:rsidRDefault="00921158" w:rsidP="00921158">
      <w:pPr>
        <w:pStyle w:val="NormalHanging12a"/>
        <w:ind w:left="1985" w:firstLine="0"/>
        <w:rPr>
          <w:b/>
          <w:i/>
        </w:rPr>
      </w:pPr>
      <w:r w:rsidRPr="00E459E0">
        <w:rPr>
          <w:b/>
          <w:i/>
        </w:rPr>
        <w:t>De Commissie kan het Agentschap van de Europese Unie voor de samenwerking tussen energieregulators (ACER) in voorkomend geval ook verzoeken bijstand te verlenen bij dergelijke monitoring.”;</w:t>
      </w:r>
    </w:p>
    <w:p w14:paraId="67EE14B5" w14:textId="77777777" w:rsidR="00921158" w:rsidRPr="00E459E0" w:rsidRDefault="00921158" w:rsidP="00921158">
      <w:pPr>
        <w:pStyle w:val="NormalHanging12a"/>
        <w:ind w:left="1418"/>
        <w:rPr>
          <w:b/>
          <w:i/>
        </w:rPr>
      </w:pPr>
      <w:r w:rsidRPr="00E459E0">
        <w:rPr>
          <w:b/>
          <w:i/>
        </w:rPr>
        <w:t>b)</w:t>
      </w:r>
      <w:r w:rsidRPr="00E459E0">
        <w:rPr>
          <w:b/>
          <w:i/>
        </w:rPr>
        <w:tab/>
        <w:t>de leden 4 en 5 worden vervangen door:</w:t>
      </w:r>
    </w:p>
    <w:p w14:paraId="339D4FF4" w14:textId="77777777" w:rsidR="00921158" w:rsidRPr="00E459E0" w:rsidRDefault="00921158" w:rsidP="00921158">
      <w:pPr>
        <w:pStyle w:val="NormalHanging12a"/>
        <w:ind w:left="1985"/>
        <w:rPr>
          <w:b/>
          <w:i/>
          <w:szCs w:val="24"/>
        </w:rPr>
      </w:pPr>
      <w:r w:rsidRPr="00E459E0">
        <w:rPr>
          <w:b/>
          <w:i/>
        </w:rPr>
        <w:t>“4.</w:t>
      </w:r>
      <w:r w:rsidRPr="00E459E0">
        <w:rPr>
          <w:b/>
          <w:i/>
        </w:rPr>
        <w:tab/>
        <w:t>De GCG helpt de Commissie met het monitoren van de vuldoelstelling en ontwikkelt richtsnoeren voor de Commissie met betrekking tot passende maatregelen om betere afstemming te waarborgen ingeval de vulniveaus van de lidstaten onvoldoende zijn om de vuldoelstelling te halen, of om naleving van de vuldoelstelling te waarborgen.</w:t>
      </w:r>
    </w:p>
    <w:p w14:paraId="35110235" w14:textId="77777777" w:rsidR="00921158" w:rsidRPr="00E459E0" w:rsidRDefault="00921158" w:rsidP="00921158">
      <w:pPr>
        <w:pStyle w:val="NormalHanging12a"/>
        <w:ind w:left="1985"/>
        <w:rPr>
          <w:b/>
          <w:i/>
          <w:szCs w:val="24"/>
        </w:rPr>
      </w:pPr>
      <w:r w:rsidRPr="00E459E0">
        <w:rPr>
          <w:b/>
          <w:i/>
        </w:rPr>
        <w:t>4 bis.</w:t>
      </w:r>
      <w:r w:rsidRPr="00E459E0">
        <w:rPr>
          <w:b/>
          <w:i/>
        </w:rPr>
        <w:tab/>
        <w:t>In voorkomend geval voert de Commissie maatregelen uit om de lidstaten te helpen de vuldoelstelling te behalen, met inbegrip van maatregelen om deelname aan de vraagbundeling en het gezamenlijke aankoopmechanisme dat uit hoofde van Verordening (EU) 2022/2576 is opgezet (“</w:t>
      </w:r>
      <w:proofErr w:type="spellStart"/>
      <w:r w:rsidRPr="00E459E0">
        <w:rPr>
          <w:b/>
          <w:i/>
        </w:rPr>
        <w:t>AggregateEU</w:t>
      </w:r>
      <w:proofErr w:type="spellEnd"/>
      <w:r w:rsidRPr="00E459E0">
        <w:rPr>
          <w:b/>
          <w:i/>
        </w:rPr>
        <w:t>”)</w:t>
      </w:r>
      <w:r w:rsidRPr="00E459E0">
        <w:rPr>
          <w:b/>
          <w:i/>
          <w:vertAlign w:val="superscript"/>
        </w:rPr>
        <w:t>*</w:t>
      </w:r>
      <w:r w:rsidRPr="00E459E0">
        <w:rPr>
          <w:b/>
          <w:i/>
        </w:rPr>
        <w:t>, aan te moedigen.</w:t>
      </w:r>
    </w:p>
    <w:p w14:paraId="688E786E" w14:textId="77777777" w:rsidR="00921158" w:rsidRPr="00E459E0" w:rsidRDefault="00921158" w:rsidP="00921158">
      <w:pPr>
        <w:pStyle w:val="NormalHanging12a"/>
        <w:ind w:left="1985"/>
        <w:rPr>
          <w:b/>
          <w:i/>
        </w:rPr>
      </w:pPr>
      <w:r w:rsidRPr="00E459E0">
        <w:rPr>
          <w:b/>
          <w:i/>
        </w:rPr>
        <w:t>5.</w:t>
      </w:r>
      <w:r w:rsidRPr="00E459E0">
        <w:rPr>
          <w:b/>
          <w:i/>
        </w:rPr>
        <w:tab/>
        <w:t xml:space="preserve">De lidstaten en, in voorkomend geval, de Commissie nemen de nodige maatregelen om de vuldoelstelling te behalen en om marktdeelnemers </w:t>
      </w:r>
      <w:r w:rsidRPr="00E459E0">
        <w:rPr>
          <w:b/>
          <w:i/>
        </w:rPr>
        <w:lastRenderedPageBreak/>
        <w:t>te verplichten aan de opslagverplichtingen te voldoen. Deze maatregelen kunnen voldoende afschrikkende sancties en boetes omvatten, zoals adequate geldelijke sancties.</w:t>
      </w:r>
    </w:p>
    <w:p w14:paraId="3CAEF13F" w14:textId="77777777" w:rsidR="00921158" w:rsidRPr="00E459E0" w:rsidRDefault="00921158" w:rsidP="00921158">
      <w:pPr>
        <w:pStyle w:val="NormalHanging12a"/>
        <w:ind w:left="1985"/>
        <w:rPr>
          <w:b/>
          <w:i/>
        </w:rPr>
      </w:pPr>
      <w:r w:rsidRPr="00E459E0">
        <w:rPr>
          <w:b/>
          <w:i/>
        </w:rPr>
        <w:t>___________________</w:t>
      </w:r>
    </w:p>
    <w:p w14:paraId="1E69DD33" w14:textId="77777777" w:rsidR="00921158" w:rsidRPr="00E459E0" w:rsidRDefault="00921158" w:rsidP="00921158">
      <w:pPr>
        <w:pStyle w:val="NormalHanging12a"/>
        <w:ind w:left="1985"/>
        <w:rPr>
          <w:b/>
          <w:i/>
        </w:rPr>
      </w:pPr>
      <w:r w:rsidRPr="00E459E0">
        <w:rPr>
          <w:b/>
          <w:i/>
        </w:rPr>
        <w:t>*</w:t>
      </w:r>
      <w:r w:rsidRPr="00E459E0">
        <w:rPr>
          <w:b/>
          <w:i/>
        </w:rPr>
        <w:tab/>
        <w:t>Verordening (EU) 2022/2576 van de Raad van 19 december 2022 inzake de bevordering van solidariteit via een betere coördinatie van de aankoop van gas, betrouwbare prijsbenchmarks en de uitwisseling van gas over de grenzen heen (PB L 335 van 29.12.2022, blz. 1, ELI: http://data.europa.eu/eli/reg/2022/2576/oj).”.</w:t>
      </w:r>
    </w:p>
    <w:p w14:paraId="5E57A2CD" w14:textId="77777777" w:rsidR="00921158" w:rsidRPr="00E459E0" w:rsidRDefault="00921158" w:rsidP="00921158">
      <w:pPr>
        <w:pStyle w:val="NormalHanging12a"/>
        <w:ind w:left="851" w:hanging="851"/>
        <w:rPr>
          <w:b/>
          <w:i/>
          <w:szCs w:val="24"/>
        </w:rPr>
      </w:pPr>
      <w:r w:rsidRPr="00E459E0">
        <w:rPr>
          <w:b/>
          <w:i/>
        </w:rPr>
        <w:t>6)</w:t>
      </w:r>
      <w:r w:rsidRPr="00E459E0">
        <w:rPr>
          <w:b/>
          <w:i/>
        </w:rPr>
        <w:tab/>
        <w:t>Aan artikel 17bis, lid 1, wordt het volgende punt toegevoegd:</w:t>
      </w:r>
    </w:p>
    <w:p w14:paraId="630D71EE" w14:textId="77777777" w:rsidR="00921158" w:rsidRPr="00E459E0" w:rsidRDefault="00921158" w:rsidP="00921158">
      <w:pPr>
        <w:pStyle w:val="NormalHanging12a"/>
        <w:ind w:left="1418"/>
        <w:rPr>
          <w:b/>
          <w:i/>
          <w:szCs w:val="24"/>
        </w:rPr>
      </w:pPr>
      <w:r w:rsidRPr="00E459E0">
        <w:rPr>
          <w:b/>
          <w:i/>
        </w:rPr>
        <w:t>“d bis)</w:t>
      </w:r>
      <w:r w:rsidRPr="00E459E0">
        <w:rPr>
          <w:b/>
          <w:i/>
        </w:rPr>
        <w:tab/>
        <w:t>de door de lidstaten overeenkomstig artikel 6 quinquies, lid 2, verstrekte informatie over het aandeel gas afkomstig van de Russische Federatie dat in de EU-opslaginstallaties is opgeslagen.”.</w:t>
      </w:r>
    </w:p>
    <w:p w14:paraId="15D8A10A" w14:textId="77777777" w:rsidR="00921158" w:rsidRPr="00E459E0" w:rsidRDefault="00921158" w:rsidP="00921158">
      <w:pPr>
        <w:pStyle w:val="NormalHanging12a"/>
        <w:ind w:left="851" w:hanging="851"/>
        <w:rPr>
          <w:b/>
          <w:i/>
          <w:szCs w:val="24"/>
        </w:rPr>
      </w:pPr>
      <w:r w:rsidRPr="00E459E0">
        <w:rPr>
          <w:b/>
          <w:i/>
        </w:rPr>
        <w:t>7)</w:t>
      </w:r>
      <w:r w:rsidRPr="00E459E0">
        <w:rPr>
          <w:b/>
          <w:i/>
        </w:rPr>
        <w:tab/>
        <w:t xml:space="preserve">In artikel 22 wordt </w:t>
      </w:r>
      <w:r w:rsidRPr="00E459E0">
        <w:t>de vierde alinea vervangen door:</w:t>
      </w:r>
    </w:p>
    <w:p w14:paraId="32A6AD7D" w14:textId="77777777" w:rsidR="00921158" w:rsidRPr="00E459E0" w:rsidRDefault="00921158" w:rsidP="00921158">
      <w:pPr>
        <w:pStyle w:val="NormalHanging12a"/>
        <w:ind w:left="851" w:firstLine="0"/>
        <w:rPr>
          <w:b/>
          <w:i/>
          <w:szCs w:val="24"/>
        </w:rPr>
      </w:pPr>
      <w:r w:rsidRPr="00E459E0">
        <w:rPr>
          <w:b/>
          <w:i/>
        </w:rPr>
        <w:t>“Artikel 2, punten 27 tot en met 31, de artikelen 6 bis tot en met 6 quinquies, artikel 16, lid 3, artikel 17 bis, artikel 18 bis, artikel 20, lid 4, en bijlage I ter zijn van toepassing tot en met 31 december 2027.”.</w:t>
      </w:r>
    </w:p>
    <w:p w14:paraId="3F5A585F" w14:textId="77777777" w:rsidR="00921158" w:rsidRPr="00E459E0" w:rsidRDefault="00921158" w:rsidP="00921158">
      <w:pPr>
        <w:pStyle w:val="NormalHanging12a"/>
        <w:ind w:left="851" w:hanging="851"/>
        <w:rPr>
          <w:b/>
          <w:i/>
          <w:szCs w:val="24"/>
        </w:rPr>
      </w:pPr>
      <w:r w:rsidRPr="00E459E0">
        <w:rPr>
          <w:b/>
          <w:i/>
        </w:rPr>
        <w:t>8)</w:t>
      </w:r>
      <w:r w:rsidRPr="00E459E0">
        <w:rPr>
          <w:b/>
          <w:i/>
        </w:rPr>
        <w:tab/>
        <w:t>Bijlage I bis wordt geschrapt.</w:t>
      </w:r>
    </w:p>
    <w:p w14:paraId="07FD04B0" w14:textId="77777777" w:rsidR="00921158" w:rsidRPr="00E459E0" w:rsidRDefault="00921158" w:rsidP="00921158">
      <w:pPr>
        <w:rPr>
          <w:noProof/>
        </w:rPr>
      </w:pPr>
    </w:p>
    <w:p w14:paraId="10A9950E" w14:textId="77777777" w:rsidR="00921158" w:rsidRPr="00E459E0" w:rsidRDefault="00921158" w:rsidP="00921158">
      <w:pPr>
        <w:pStyle w:val="Titrearticle"/>
        <w:rPr>
          <w:noProof/>
        </w:rPr>
      </w:pPr>
      <w:r w:rsidRPr="00E459E0">
        <w:t>Artikel 2</w:t>
      </w:r>
    </w:p>
    <w:p w14:paraId="54C7E7A4" w14:textId="480191B9" w:rsidR="00921158" w:rsidRPr="00E459E0" w:rsidRDefault="00921158" w:rsidP="00921158">
      <w:pPr>
        <w:jc w:val="center"/>
        <w:rPr>
          <w:b/>
        </w:rPr>
      </w:pPr>
      <w:r w:rsidRPr="00E459E0">
        <w:rPr>
          <w:b/>
        </w:rPr>
        <w:t>Inwerkingtreding</w:t>
      </w:r>
    </w:p>
    <w:p w14:paraId="7F405240" w14:textId="77777777" w:rsidR="00C02B27" w:rsidRPr="00E459E0" w:rsidRDefault="00C02B27" w:rsidP="00921158">
      <w:pPr>
        <w:jc w:val="center"/>
        <w:rPr>
          <w:bCs/>
          <w:noProof/>
        </w:rPr>
      </w:pPr>
    </w:p>
    <w:p w14:paraId="140E6934" w14:textId="77777777" w:rsidR="00921158" w:rsidRPr="00E459E0" w:rsidRDefault="00921158" w:rsidP="00921158">
      <w:pPr>
        <w:pStyle w:val="NormalHanging12a"/>
        <w:ind w:left="0" w:firstLine="0"/>
        <w:rPr>
          <w:szCs w:val="24"/>
        </w:rPr>
      </w:pPr>
      <w:r w:rsidRPr="00E459E0">
        <w:t xml:space="preserve">Deze verordening treedt in werking </w:t>
      </w:r>
      <w:r w:rsidRPr="00E459E0">
        <w:rPr>
          <w:b/>
          <w:i/>
        </w:rPr>
        <w:t>en is van toepassing</w:t>
      </w:r>
      <w:r w:rsidRPr="00E459E0">
        <w:t xml:space="preserve"> op de dag na die van de bekendmaking ervan in het </w:t>
      </w:r>
      <w:r w:rsidRPr="00E459E0">
        <w:rPr>
          <w:i/>
          <w:iCs/>
        </w:rPr>
        <w:t>Publicatieblad van de Europese Unie</w:t>
      </w:r>
      <w:r w:rsidRPr="00E459E0">
        <w:t>.</w:t>
      </w:r>
    </w:p>
    <w:p w14:paraId="07E6B594" w14:textId="77777777" w:rsidR="00921158" w:rsidRPr="00E459E0" w:rsidRDefault="00921158" w:rsidP="00921158">
      <w:pPr>
        <w:pStyle w:val="NormalCenter12a"/>
        <w:jc w:val="left"/>
      </w:pPr>
      <w:r w:rsidRPr="00E459E0">
        <w:t>Deze verordening is verbindend in al haar onderdelen en is rechtstreeks toepasselijk in elke lidstaat.</w:t>
      </w:r>
    </w:p>
    <w:p w14:paraId="38D09F65" w14:textId="77777777" w:rsidR="00921158" w:rsidRPr="00E459E0" w:rsidRDefault="00921158" w:rsidP="00921158">
      <w:pPr>
        <w:pStyle w:val="NormalCenter12a"/>
        <w:jc w:val="left"/>
      </w:pPr>
      <w:r w:rsidRPr="00E459E0">
        <w:t>Gedaan te Brussel,</w:t>
      </w:r>
    </w:p>
    <w:p w14:paraId="367FBB1C" w14:textId="77777777" w:rsidR="00921158" w:rsidRPr="00E459E0" w:rsidRDefault="00921158" w:rsidP="00921158">
      <w:pPr>
        <w:pStyle w:val="NormalCenter12a"/>
        <w:jc w:val="left"/>
      </w:pPr>
      <w:r w:rsidRPr="00E459E0">
        <w:t>Voor het Europees Parlement</w:t>
      </w:r>
    </w:p>
    <w:p w14:paraId="5D39FDB5" w14:textId="77777777" w:rsidR="00921158" w:rsidRPr="00E459E0" w:rsidRDefault="00921158" w:rsidP="00921158">
      <w:pPr>
        <w:pStyle w:val="NormalCenter12a"/>
        <w:jc w:val="left"/>
      </w:pPr>
      <w:r w:rsidRPr="00E459E0">
        <w:t>De voorzitter</w:t>
      </w:r>
    </w:p>
    <w:p w14:paraId="14C6EF1C" w14:textId="77777777" w:rsidR="00921158" w:rsidRPr="00E459E0" w:rsidRDefault="00921158" w:rsidP="00921158">
      <w:pPr>
        <w:pStyle w:val="NormalCenter12a"/>
        <w:jc w:val="left"/>
      </w:pPr>
      <w:r w:rsidRPr="00E459E0">
        <w:t>Voor de Raad</w:t>
      </w:r>
    </w:p>
    <w:p w14:paraId="2ECFBD4B" w14:textId="77777777" w:rsidR="004E2E24" w:rsidRPr="00E459E0" w:rsidRDefault="00921158" w:rsidP="004E2E24">
      <w:pPr>
        <w:pStyle w:val="NormalCenter12a"/>
        <w:jc w:val="left"/>
      </w:pPr>
      <w:r w:rsidRPr="00E459E0">
        <w:t>De voorzitter</w:t>
      </w:r>
    </w:p>
    <w:p w14:paraId="729DC1F5" w14:textId="77777777" w:rsidR="00E365E1" w:rsidRPr="00E459E0" w:rsidRDefault="00E365E1" w:rsidP="00885E59"/>
    <w:sectPr w:rsidR="00E365E1" w:rsidRPr="00E459E0" w:rsidSect="004E2E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A15CB" w14:textId="77777777" w:rsidR="00885E59" w:rsidRPr="004E2E24" w:rsidRDefault="00885E59">
      <w:r w:rsidRPr="004E2E24">
        <w:separator/>
      </w:r>
    </w:p>
  </w:endnote>
  <w:endnote w:type="continuationSeparator" w:id="0">
    <w:p w14:paraId="761B9D10" w14:textId="77777777" w:rsidR="00885E59" w:rsidRPr="004E2E24" w:rsidRDefault="00885E59">
      <w:r w:rsidRPr="004E2E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EC381" w14:textId="77777777" w:rsidR="00885E59" w:rsidRPr="004E2E24" w:rsidRDefault="00885E59">
      <w:r w:rsidRPr="004E2E24">
        <w:separator/>
      </w:r>
    </w:p>
  </w:footnote>
  <w:footnote w:type="continuationSeparator" w:id="0">
    <w:p w14:paraId="02D7B1CB" w14:textId="77777777" w:rsidR="00885E59" w:rsidRPr="004E2E24" w:rsidRDefault="00885E59">
      <w:r w:rsidRPr="004E2E24">
        <w:continuationSeparator/>
      </w:r>
    </w:p>
  </w:footnote>
  <w:footnote w:id="1">
    <w:p w14:paraId="5200DAD1" w14:textId="06FA2B84" w:rsidR="00856ECD" w:rsidRPr="00876198" w:rsidRDefault="00856ECD" w:rsidP="00856ECD">
      <w:pPr>
        <w:ind w:left="567" w:hanging="567"/>
      </w:pPr>
      <w:r w:rsidRPr="00856ECD">
        <w:rPr>
          <w:rStyle w:val="FootnoteReference"/>
        </w:rPr>
        <w:footnoteRef/>
      </w:r>
      <w:r w:rsidRPr="00856ECD">
        <w:t xml:space="preserve"> </w:t>
      </w:r>
      <w:r w:rsidRPr="00856ECD">
        <w:tab/>
        <w:t>De zaak werd voor interinstitutionele onderhandelingen terugverwezen naar de bevoegde commissie op grond van artikel 60, lid 4, vierde alinea, van het Reglement (</w:t>
      </w:r>
      <w:r w:rsidR="005637DC" w:rsidRPr="005637DC">
        <w:t>A10-0079</w:t>
      </w:r>
      <w:r w:rsidRPr="00856ECD">
        <w:t>/2025).</w:t>
      </w:r>
    </w:p>
  </w:footnote>
  <w:footnote w:id="2">
    <w:p w14:paraId="12FEFA32" w14:textId="77777777" w:rsidR="00921158" w:rsidRPr="004E2E24" w:rsidRDefault="00921158" w:rsidP="00272167">
      <w:pPr>
        <w:pStyle w:val="FootnoteText"/>
        <w:ind w:left="851" w:hanging="851"/>
        <w:rPr>
          <w:sz w:val="24"/>
          <w:lang w:val="nl-NL"/>
        </w:rPr>
      </w:pPr>
      <w:r w:rsidRPr="004E2E24">
        <w:rPr>
          <w:rStyle w:val="FootnoteReference"/>
          <w:sz w:val="24"/>
          <w:lang w:val="nl-NL"/>
        </w:rPr>
        <w:t>*</w:t>
      </w:r>
      <w:r w:rsidR="004E2E24" w:rsidRPr="004E2E24">
        <w:rPr>
          <w:sz w:val="24"/>
          <w:lang w:val="nl-NL"/>
        </w:rPr>
        <w:tab/>
      </w:r>
      <w:r w:rsidRPr="004E2E24">
        <w:rPr>
          <w:sz w:val="24"/>
          <w:lang w:val="nl-NL"/>
        </w:rPr>
        <w:t>Amendementen: nieuwe of gewijzigde tekst staat in vet en cursief, schrappingen zijn met het symbool ▌aangegeven.</w:t>
      </w:r>
    </w:p>
  </w:footnote>
  <w:footnote w:id="3">
    <w:p w14:paraId="5AD10D14" w14:textId="77777777" w:rsidR="00921158" w:rsidRPr="004E2E24" w:rsidRDefault="00921158" w:rsidP="00272167">
      <w:pPr>
        <w:pStyle w:val="FootnoteText"/>
        <w:ind w:left="851" w:hanging="851"/>
        <w:rPr>
          <w:sz w:val="24"/>
          <w:lang w:val="nl-NL"/>
        </w:rPr>
      </w:pPr>
      <w:r w:rsidRPr="004E2E24">
        <w:rPr>
          <w:rStyle w:val="FootnoteReference"/>
          <w:sz w:val="24"/>
          <w:lang w:val="nl-NL"/>
        </w:rPr>
        <w:footnoteRef/>
      </w:r>
      <w:r w:rsidR="004E2E24" w:rsidRPr="004E2E24">
        <w:rPr>
          <w:sz w:val="24"/>
          <w:lang w:val="nl-NL"/>
        </w:rPr>
        <w:tab/>
      </w:r>
      <w:r w:rsidRPr="004E2E24">
        <w:rPr>
          <w:sz w:val="24"/>
          <w:lang w:val="nl-NL"/>
        </w:rPr>
        <w:t>Verordening (EU) 2022/1032 van het Europees Parlement en de Raad van 29 juni 2022 tot wijziging van Verordeningen (EU) 2017/1938 en (EG) nr. 715/2009 wat betreft gasopslag (PB L 173 van 30.6.2022, blz. 17, ELI: http://data.europa.eu/eli/reg/2022/1032/oj).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3397167">
    <w:abstractNumId w:val="9"/>
  </w:num>
  <w:num w:numId="2" w16cid:durableId="883912099">
    <w:abstractNumId w:val="9"/>
  </w:num>
  <w:num w:numId="3" w16cid:durableId="1622956398">
    <w:abstractNumId w:val="7"/>
  </w:num>
  <w:num w:numId="4" w16cid:durableId="2089838234">
    <w:abstractNumId w:val="7"/>
  </w:num>
  <w:num w:numId="5" w16cid:durableId="1949653509">
    <w:abstractNumId w:val="6"/>
  </w:num>
  <w:num w:numId="6" w16cid:durableId="1410805189">
    <w:abstractNumId w:val="6"/>
  </w:num>
  <w:num w:numId="7" w16cid:durableId="1627665078">
    <w:abstractNumId w:val="5"/>
  </w:num>
  <w:num w:numId="8" w16cid:durableId="1209681454">
    <w:abstractNumId w:val="5"/>
  </w:num>
  <w:num w:numId="9" w16cid:durableId="1701054725">
    <w:abstractNumId w:val="4"/>
  </w:num>
  <w:num w:numId="10" w16cid:durableId="28386382">
    <w:abstractNumId w:val="4"/>
  </w:num>
  <w:num w:numId="11" w16cid:durableId="1562792611">
    <w:abstractNumId w:val="8"/>
  </w:num>
  <w:num w:numId="12" w16cid:durableId="660816542">
    <w:abstractNumId w:val="8"/>
  </w:num>
  <w:num w:numId="13" w16cid:durableId="1057320307">
    <w:abstractNumId w:val="3"/>
  </w:num>
  <w:num w:numId="14" w16cid:durableId="753936235">
    <w:abstractNumId w:val="3"/>
  </w:num>
  <w:num w:numId="15" w16cid:durableId="1037243573">
    <w:abstractNumId w:val="2"/>
  </w:num>
  <w:num w:numId="16" w16cid:durableId="1565867580">
    <w:abstractNumId w:val="2"/>
  </w:num>
  <w:num w:numId="17" w16cid:durableId="1470973327">
    <w:abstractNumId w:val="1"/>
  </w:num>
  <w:num w:numId="18" w16cid:durableId="1831291449">
    <w:abstractNumId w:val="1"/>
  </w:num>
  <w:num w:numId="19" w16cid:durableId="741298363">
    <w:abstractNumId w:val="0"/>
  </w:num>
  <w:num w:numId="20" w16cid:durableId="53698701">
    <w:abstractNumId w:val="0"/>
  </w:num>
  <w:num w:numId="21" w16cid:durableId="433945671">
    <w:abstractNumId w:val="9"/>
  </w:num>
  <w:num w:numId="22" w16cid:durableId="2118526660">
    <w:abstractNumId w:val="7"/>
  </w:num>
  <w:num w:numId="23" w16cid:durableId="478348612">
    <w:abstractNumId w:val="6"/>
  </w:num>
  <w:num w:numId="24" w16cid:durableId="1910187011">
    <w:abstractNumId w:val="5"/>
  </w:num>
  <w:num w:numId="25" w16cid:durableId="674068379">
    <w:abstractNumId w:val="4"/>
  </w:num>
  <w:num w:numId="26" w16cid:durableId="1588660515">
    <w:abstractNumId w:val="8"/>
  </w:num>
  <w:num w:numId="27" w16cid:durableId="1479960826">
    <w:abstractNumId w:val="3"/>
  </w:num>
  <w:num w:numId="28" w16cid:durableId="1695572613">
    <w:abstractNumId w:val="2"/>
  </w:num>
  <w:num w:numId="29" w16cid:durableId="1514298300">
    <w:abstractNumId w:val="1"/>
  </w:num>
  <w:num w:numId="30" w16cid:durableId="779687762">
    <w:abstractNumId w:val="0"/>
  </w:num>
  <w:num w:numId="31" w16cid:durableId="428238089">
    <w:abstractNumId w:val="9"/>
  </w:num>
  <w:num w:numId="32" w16cid:durableId="234242146">
    <w:abstractNumId w:val="7"/>
  </w:num>
  <w:num w:numId="33" w16cid:durableId="2006132539">
    <w:abstractNumId w:val="6"/>
  </w:num>
  <w:num w:numId="34" w16cid:durableId="356779885">
    <w:abstractNumId w:val="5"/>
  </w:num>
  <w:num w:numId="35" w16cid:durableId="746535667">
    <w:abstractNumId w:val="4"/>
  </w:num>
  <w:num w:numId="36" w16cid:durableId="528493885">
    <w:abstractNumId w:val="8"/>
  </w:num>
  <w:num w:numId="37" w16cid:durableId="1662660483">
    <w:abstractNumId w:val="3"/>
  </w:num>
  <w:num w:numId="38" w16cid:durableId="406877256">
    <w:abstractNumId w:val="2"/>
  </w:num>
  <w:num w:numId="39" w16cid:durableId="1750929950">
    <w:abstractNumId w:val="1"/>
  </w:num>
  <w:num w:numId="40" w16cid:durableId="824783529">
    <w:abstractNumId w:val="0"/>
  </w:num>
  <w:num w:numId="41" w16cid:durableId="1271817830">
    <w:abstractNumId w:val="10"/>
  </w:num>
  <w:num w:numId="42" w16cid:durableId="1451826560">
    <w:abstractNumId w:val="10"/>
  </w:num>
  <w:num w:numId="43" w16cid:durableId="118307008">
    <w:abstractNumId w:val="10"/>
  </w:num>
  <w:num w:numId="44" w16cid:durableId="8739992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NL"/>
    <w:docVar w:name="dvnumam" w:val="0"/>
    <w:docVar w:name="dvpe" w:val="772.015"/>
    <w:docVar w:name="dvrapporteur" w:val="Rapporteur: "/>
    <w:docVar w:name="dvstar" w:val="***I"/>
    <w:docVar w:name="dvtitre" w:val="Wetgevingsresolutie van het Europees Parlement van xx mei 2025 over het voorstel voor een verordening van het Europees Parlement en de Raad tot wijziging van Verordening (EU) 2017/1938 wat betreft de rol van gasopslag voor het veiligstellen van de gasvoorziening in de aanloop naar het winterseizoen(COM(2025)0099 – C10-0041/2025 – 2025/0051(COD))"/>
  </w:docVars>
  <w:rsids>
    <w:rsidRoot w:val="00885E59"/>
    <w:rsid w:val="00002272"/>
    <w:rsid w:val="00064002"/>
    <w:rsid w:val="000677B9"/>
    <w:rsid w:val="000831BA"/>
    <w:rsid w:val="000A42CC"/>
    <w:rsid w:val="000E7DD9"/>
    <w:rsid w:val="0010095E"/>
    <w:rsid w:val="00125B37"/>
    <w:rsid w:val="00187494"/>
    <w:rsid w:val="001E363E"/>
    <w:rsid w:val="001F32AE"/>
    <w:rsid w:val="00232F43"/>
    <w:rsid w:val="00272167"/>
    <w:rsid w:val="002767FF"/>
    <w:rsid w:val="002B18FE"/>
    <w:rsid w:val="002B5493"/>
    <w:rsid w:val="00343214"/>
    <w:rsid w:val="00361C00"/>
    <w:rsid w:val="00387A1A"/>
    <w:rsid w:val="00395FA1"/>
    <w:rsid w:val="003E15D4"/>
    <w:rsid w:val="00411CCE"/>
    <w:rsid w:val="0041666E"/>
    <w:rsid w:val="00421060"/>
    <w:rsid w:val="00471C19"/>
    <w:rsid w:val="004867E3"/>
    <w:rsid w:val="00494A28"/>
    <w:rsid w:val="004C0004"/>
    <w:rsid w:val="004C5D52"/>
    <w:rsid w:val="004E2E24"/>
    <w:rsid w:val="0050519A"/>
    <w:rsid w:val="005072A1"/>
    <w:rsid w:val="00514517"/>
    <w:rsid w:val="00545827"/>
    <w:rsid w:val="00560270"/>
    <w:rsid w:val="005637D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ECD"/>
    <w:rsid w:val="00865F67"/>
    <w:rsid w:val="00881A7B"/>
    <w:rsid w:val="008840E5"/>
    <w:rsid w:val="00885E59"/>
    <w:rsid w:val="00887B3E"/>
    <w:rsid w:val="008C2AC6"/>
    <w:rsid w:val="008D37E8"/>
    <w:rsid w:val="00921158"/>
    <w:rsid w:val="00930C23"/>
    <w:rsid w:val="0093193B"/>
    <w:rsid w:val="009509D8"/>
    <w:rsid w:val="00950B64"/>
    <w:rsid w:val="00981893"/>
    <w:rsid w:val="00A1687D"/>
    <w:rsid w:val="00A43E52"/>
    <w:rsid w:val="00A4678D"/>
    <w:rsid w:val="00A757EE"/>
    <w:rsid w:val="00A778C7"/>
    <w:rsid w:val="00A8719B"/>
    <w:rsid w:val="00AB441E"/>
    <w:rsid w:val="00AB6293"/>
    <w:rsid w:val="00AC067B"/>
    <w:rsid w:val="00AE0928"/>
    <w:rsid w:val="00AF3B82"/>
    <w:rsid w:val="00B12E95"/>
    <w:rsid w:val="00B22876"/>
    <w:rsid w:val="00B558F0"/>
    <w:rsid w:val="00BD48FE"/>
    <w:rsid w:val="00BD7BD8"/>
    <w:rsid w:val="00BE6ADC"/>
    <w:rsid w:val="00C02B27"/>
    <w:rsid w:val="00C05BFE"/>
    <w:rsid w:val="00C23CD4"/>
    <w:rsid w:val="00C61C0C"/>
    <w:rsid w:val="00C941CB"/>
    <w:rsid w:val="00CC2357"/>
    <w:rsid w:val="00CF071A"/>
    <w:rsid w:val="00D0200B"/>
    <w:rsid w:val="00D058B8"/>
    <w:rsid w:val="00D56C11"/>
    <w:rsid w:val="00D834A0"/>
    <w:rsid w:val="00D872DF"/>
    <w:rsid w:val="00D91E21"/>
    <w:rsid w:val="00DA7FCD"/>
    <w:rsid w:val="00E365E1"/>
    <w:rsid w:val="00E459E0"/>
    <w:rsid w:val="00E820A4"/>
    <w:rsid w:val="00EB006A"/>
    <w:rsid w:val="00EB4772"/>
    <w:rsid w:val="00ED169E"/>
    <w:rsid w:val="00ED40C1"/>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89FE6"/>
  <w15:chartTrackingRefBased/>
  <w15:docId w15:val="{F84353A3-1C0E-4B2A-8102-F354E5854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1158"/>
    <w:pPr>
      <w:spacing w:before="480" w:after="240"/>
    </w:pPr>
  </w:style>
  <w:style w:type="paragraph" w:customStyle="1" w:styleId="NormalBold">
    <w:name w:val="NormalBold"/>
    <w:basedOn w:val="Normal"/>
    <w:rsid w:val="00921158"/>
    <w:rPr>
      <w:b/>
    </w:rPr>
  </w:style>
  <w:style w:type="paragraph" w:customStyle="1" w:styleId="NormalHanging12a">
    <w:name w:val="NormalHanging12a"/>
    <w:basedOn w:val="Normal"/>
    <w:link w:val="NormalHanging12aChar"/>
    <w:rsid w:val="00921158"/>
    <w:pPr>
      <w:spacing w:after="240"/>
      <w:ind w:left="567" w:hanging="567"/>
    </w:pPr>
  </w:style>
  <w:style w:type="paragraph" w:customStyle="1" w:styleId="NormalCenter12a">
    <w:name w:val="NormalCenter12a"/>
    <w:basedOn w:val="Normal"/>
    <w:rsid w:val="00921158"/>
    <w:pPr>
      <w:spacing w:after="240"/>
      <w:jc w:val="center"/>
    </w:pPr>
  </w:style>
  <w:style w:type="paragraph" w:customStyle="1" w:styleId="AmNumberTabs">
    <w:name w:val="AmNumberTabs"/>
    <w:basedOn w:val="Normal"/>
    <w:rsid w:val="009211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921158"/>
    <w:pPr>
      <w:spacing w:before="720" w:after="240"/>
      <w:jc w:val="center"/>
    </w:pPr>
  </w:style>
  <w:style w:type="paragraph" w:customStyle="1" w:styleId="Titrearticle">
    <w:name w:val="Titre article"/>
    <w:basedOn w:val="Normal"/>
    <w:next w:val="Normal"/>
    <w:rsid w:val="00921158"/>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921158"/>
    <w:rPr>
      <w:sz w:val="24"/>
      <w:lang w:val="nl-NL"/>
    </w:rPr>
  </w:style>
  <w:style w:type="character" w:styleId="CommentReference">
    <w:name w:val="annotation reference"/>
    <w:basedOn w:val="DefaultParagraphFont"/>
    <w:rsid w:val="00272167"/>
    <w:rPr>
      <w:sz w:val="16"/>
      <w:szCs w:val="16"/>
    </w:rPr>
  </w:style>
  <w:style w:type="paragraph" w:styleId="CommentText">
    <w:name w:val="annotation text"/>
    <w:basedOn w:val="Normal"/>
    <w:link w:val="CommentTextChar"/>
    <w:rsid w:val="00272167"/>
    <w:rPr>
      <w:sz w:val="20"/>
    </w:rPr>
  </w:style>
  <w:style w:type="character" w:customStyle="1" w:styleId="CommentTextChar">
    <w:name w:val="Comment Text Char"/>
    <w:basedOn w:val="DefaultParagraphFont"/>
    <w:link w:val="CommentText"/>
    <w:rsid w:val="00272167"/>
    <w:rPr>
      <w:lang w:val="nl-NL"/>
    </w:rPr>
  </w:style>
  <w:style w:type="paragraph" w:styleId="CommentSubject">
    <w:name w:val="annotation subject"/>
    <w:basedOn w:val="CommentText"/>
    <w:next w:val="CommentText"/>
    <w:link w:val="CommentSubjectChar"/>
    <w:rsid w:val="00272167"/>
    <w:rPr>
      <w:b/>
      <w:bCs/>
    </w:rPr>
  </w:style>
  <w:style w:type="character" w:customStyle="1" w:styleId="CommentSubjectChar">
    <w:name w:val="Comment Subject Char"/>
    <w:basedOn w:val="CommentTextChar"/>
    <w:link w:val="CommentSubject"/>
    <w:rsid w:val="00272167"/>
    <w:rPr>
      <w:b/>
      <w:bCs/>
      <w:lang w:val="nl-NL"/>
    </w:rPr>
  </w:style>
  <w:style w:type="paragraph" w:styleId="BalloonText">
    <w:name w:val="Balloon Text"/>
    <w:basedOn w:val="Normal"/>
    <w:link w:val="BalloonTextChar"/>
    <w:rsid w:val="00272167"/>
    <w:rPr>
      <w:rFonts w:ascii="Segoe UI" w:hAnsi="Segoe UI" w:cs="Segoe UI"/>
      <w:sz w:val="18"/>
      <w:szCs w:val="18"/>
    </w:rPr>
  </w:style>
  <w:style w:type="character" w:customStyle="1" w:styleId="BalloonTextChar">
    <w:name w:val="Balloon Text Char"/>
    <w:basedOn w:val="DefaultParagraphFont"/>
    <w:link w:val="BalloonText"/>
    <w:rsid w:val="00272167"/>
    <w:rPr>
      <w:rFonts w:ascii="Segoe UI" w:hAnsi="Segoe UI" w:cs="Segoe UI"/>
      <w:sz w:val="18"/>
      <w:szCs w:val="18"/>
      <w:lang w:val="nl-NL"/>
    </w:rPr>
  </w:style>
  <w:style w:type="paragraph" w:styleId="Title">
    <w:name w:val="Title"/>
    <w:basedOn w:val="Normal"/>
    <w:next w:val="Normal"/>
    <w:link w:val="FootnoteReference"/>
    <w:qFormat/>
    <w:rsid w:val="00856ECD"/>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856ECD"/>
    <w:rPr>
      <w:rFonts w:asciiTheme="majorHAnsi" w:eastAsiaTheme="majorEastAsia" w:hAnsiTheme="majorHAnsi" w:cstheme="majorBidi"/>
      <w:spacing w:val="-10"/>
      <w:kern w:val="28"/>
      <w:sz w:val="56"/>
      <w:szCs w:val="56"/>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E6E68-E303-47A1-8DAC-A48A769B5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3465</Words>
  <Characters>19752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2025-09-18T16:26:00Z</dcterms:created>
  <dcterms:modified xsi:type="dcterms:W3CDTF">2025-09-18T16:26:00Z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P10_TA(2025)0101_</vt:lpwstr>
  </property>
  <property fmtid="{D5CDD505-2E9C-101B-9397-08002B2CF9AE}" pid="4" name="&lt;Type&gt;">
    <vt:lpwstr>RR</vt:lpwstr>
  </property>
</Properties>
</file>