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A6DC2" w14:paraId="1BEBC644" w14:textId="77777777" w:rsidTr="0010095E">
        <w:trPr>
          <w:trHeight w:hRule="exact" w:val="1418"/>
        </w:trPr>
        <w:tc>
          <w:tcPr>
            <w:tcW w:w="6804" w:type="dxa"/>
            <w:shd w:val="clear" w:color="auto" w:fill="auto"/>
            <w:vAlign w:val="center"/>
          </w:tcPr>
          <w:p w14:paraId="43D9B4E0" w14:textId="77777777" w:rsidR="00751A4A" w:rsidRPr="00EA6DC2" w:rsidRDefault="00DC5DD4" w:rsidP="0010095E">
            <w:pPr>
              <w:pStyle w:val="EPName"/>
            </w:pPr>
            <w:r w:rsidRPr="00EA6DC2">
              <w:t>Parlament Europejski</w:t>
            </w:r>
          </w:p>
          <w:p w14:paraId="11FCD330" w14:textId="77777777" w:rsidR="00751A4A" w:rsidRPr="00EA6DC2" w:rsidRDefault="005F1B17" w:rsidP="005F1B17">
            <w:pPr>
              <w:pStyle w:val="EPTerm"/>
              <w:rPr>
                <w:rStyle w:val="HideTWBExt"/>
                <w:noProof w:val="0"/>
                <w:vanish w:val="0"/>
                <w:color w:val="auto"/>
              </w:rPr>
            </w:pPr>
            <w:r w:rsidRPr="00EA6DC2">
              <w:t>2024</w:t>
            </w:r>
            <w:r w:rsidR="00817416" w:rsidRPr="00EA6DC2">
              <w:t>-202</w:t>
            </w:r>
            <w:r w:rsidRPr="00EA6DC2">
              <w:t>9</w:t>
            </w:r>
          </w:p>
        </w:tc>
        <w:tc>
          <w:tcPr>
            <w:tcW w:w="2268" w:type="dxa"/>
            <w:shd w:val="clear" w:color="auto" w:fill="auto"/>
          </w:tcPr>
          <w:p w14:paraId="2B3E9BCD" w14:textId="77777777" w:rsidR="00751A4A" w:rsidRPr="00EA6DC2" w:rsidRDefault="00187494" w:rsidP="0010095E">
            <w:pPr>
              <w:pStyle w:val="EPLogo"/>
            </w:pPr>
            <w:r w:rsidRPr="00EA6DC2">
              <w:rPr>
                <w:noProof/>
                <w:lang w:val="en-GB"/>
              </w:rPr>
              <w:drawing>
                <wp:inline distT="0" distB="0" distL="0" distR="0" wp14:anchorId="3F73535C" wp14:editId="4651CB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21DA6C" w14:textId="77777777" w:rsidR="00D058B8" w:rsidRPr="00EA6DC2" w:rsidRDefault="00D058B8" w:rsidP="004C5D52">
      <w:pPr>
        <w:pStyle w:val="LineTop"/>
      </w:pPr>
    </w:p>
    <w:p w14:paraId="10C53229" w14:textId="77777777" w:rsidR="00680577" w:rsidRPr="00EA6DC2" w:rsidRDefault="00DC5DD4" w:rsidP="00680577">
      <w:pPr>
        <w:pStyle w:val="EPBodyTA1"/>
      </w:pPr>
      <w:r w:rsidRPr="00EA6DC2">
        <w:t>TEKSTY PRZYJĘTE</w:t>
      </w:r>
    </w:p>
    <w:p w14:paraId="782208F6" w14:textId="77777777" w:rsidR="00D058B8" w:rsidRPr="00EA6DC2" w:rsidRDefault="00D058B8" w:rsidP="00D058B8">
      <w:pPr>
        <w:pStyle w:val="LineBottom"/>
      </w:pPr>
    </w:p>
    <w:p w14:paraId="4CBEBCCD" w14:textId="77777777" w:rsidR="00DC5DD4" w:rsidRPr="00EA6DC2" w:rsidRDefault="00DC5DD4" w:rsidP="00DC5DD4">
      <w:pPr>
        <w:pStyle w:val="ATHeading1"/>
      </w:pPr>
      <w:bookmarkStart w:id="0" w:name="TANumber"/>
      <w:r w:rsidRPr="00EA6DC2">
        <w:t>P10_TA(2025)0</w:t>
      </w:r>
      <w:bookmarkEnd w:id="0"/>
      <w:r w:rsidR="00143BD3">
        <w:t>101</w:t>
      </w:r>
    </w:p>
    <w:p w14:paraId="4C5DF2FE" w14:textId="77777777" w:rsidR="00DC5DD4" w:rsidRPr="00F27735" w:rsidRDefault="00F27735" w:rsidP="00DC5DD4">
      <w:pPr>
        <w:pStyle w:val="ATHeading2"/>
      </w:pPr>
      <w:r w:rsidRPr="00F27735">
        <w:t>Rola magazynowania gazu w zabezpieczaniu dostaw gazu przed sezonem zimowym</w:t>
      </w:r>
    </w:p>
    <w:p w14:paraId="4B3FD10A" w14:textId="77777777" w:rsidR="00DC5DD4" w:rsidRPr="00EA6DC2" w:rsidRDefault="00DC5DD4" w:rsidP="00DC5DD4">
      <w:pPr>
        <w:rPr>
          <w:i/>
          <w:vanish/>
        </w:rPr>
      </w:pPr>
      <w:r w:rsidRPr="00EA6DC2">
        <w:rPr>
          <w:i/>
        </w:rPr>
        <w:fldChar w:fldCharType="begin"/>
      </w:r>
      <w:r w:rsidRPr="00EA6DC2">
        <w:rPr>
          <w:i/>
        </w:rPr>
        <w:instrText xml:space="preserve"> TC"(</w:instrText>
      </w:r>
      <w:bookmarkStart w:id="1" w:name="DocNumber"/>
      <w:r w:rsidRPr="00EA6DC2">
        <w:rPr>
          <w:i/>
        </w:rPr>
        <w:instrText>A10-0079/2025</w:instrText>
      </w:r>
      <w:bookmarkEnd w:id="1"/>
      <w:r w:rsidRPr="00EA6DC2">
        <w:rPr>
          <w:i/>
        </w:rPr>
        <w:instrText xml:space="preserve"> - Sprawozdawca: Borys Budka)"\l3 \n&gt; \* MERGEFORMAT </w:instrText>
      </w:r>
      <w:r w:rsidRPr="00EA6DC2">
        <w:rPr>
          <w:i/>
        </w:rPr>
        <w:fldChar w:fldCharType="end"/>
      </w:r>
    </w:p>
    <w:p w14:paraId="6A435382" w14:textId="77777777" w:rsidR="00DC5DD4" w:rsidRPr="00EA6DC2" w:rsidRDefault="00DC5DD4" w:rsidP="00DC5DD4">
      <w:pPr>
        <w:rPr>
          <w:vanish/>
        </w:rPr>
      </w:pPr>
      <w:bookmarkStart w:id="2" w:name="Commission"/>
      <w:r w:rsidRPr="00EA6DC2">
        <w:rPr>
          <w:vanish/>
        </w:rPr>
        <w:t>Komisja Przemysłu, Badań Naukowych i Energii</w:t>
      </w:r>
      <w:bookmarkEnd w:id="2"/>
    </w:p>
    <w:p w14:paraId="33E78B21" w14:textId="77777777" w:rsidR="00DC5DD4" w:rsidRPr="00EA6DC2" w:rsidRDefault="00DC5DD4" w:rsidP="00DC5DD4">
      <w:pPr>
        <w:rPr>
          <w:vanish/>
        </w:rPr>
      </w:pPr>
      <w:bookmarkStart w:id="3" w:name="PE"/>
      <w:r w:rsidRPr="00EA6DC2">
        <w:rPr>
          <w:vanish/>
        </w:rPr>
        <w:t>PE772.015</w:t>
      </w:r>
      <w:bookmarkEnd w:id="3"/>
    </w:p>
    <w:p w14:paraId="54D12FDA" w14:textId="77777777" w:rsidR="00DC5DD4" w:rsidRPr="00F566A9" w:rsidRDefault="00143BD3" w:rsidP="00DC5DD4">
      <w:pPr>
        <w:pStyle w:val="ATHeading3"/>
      </w:pPr>
      <w:bookmarkStart w:id="4" w:name="Sujet"/>
      <w:r>
        <w:t>Poprawki przyjęte przez Parlament Europejski w dniu</w:t>
      </w:r>
      <w:r w:rsidR="00DC5DD4" w:rsidRPr="00EA6DC2">
        <w:t xml:space="preserve"> </w:t>
      </w:r>
      <w:r w:rsidR="00F27735">
        <w:t>8 maja</w:t>
      </w:r>
      <w:r w:rsidR="00DC5DD4" w:rsidRPr="00EA6DC2">
        <w:t xml:space="preserve"> 2025 r. w sprawie wniosku dotyczącego rozporządzenia Parlamentu Europejskiego i Rady zmieniającego rozporządzenie (UE) 2017/1938 w odniesieniu do roli magazynowania gazu w zabezpieczaniu dostaw gazu przed sezonem zimowym</w:t>
      </w:r>
      <w:bookmarkEnd w:id="4"/>
      <w:r w:rsidR="00DC5DD4" w:rsidRPr="00EA6DC2">
        <w:t xml:space="preserve"> </w:t>
      </w:r>
      <w:bookmarkStart w:id="5" w:name="References"/>
      <w:r w:rsidR="00DC5DD4" w:rsidRPr="00EA6DC2">
        <w:t>(</w:t>
      </w:r>
      <w:proofErr w:type="gramStart"/>
      <w:r w:rsidR="00DC5DD4" w:rsidRPr="00EA6DC2">
        <w:t>COM(</w:t>
      </w:r>
      <w:proofErr w:type="gramEnd"/>
      <w:r w:rsidR="00DC5DD4" w:rsidRPr="00EA6DC2">
        <w:t>2025)0099 – C10-0041/2025 – 2025/0051(COD))</w:t>
      </w:r>
      <w:bookmarkEnd w:id="5"/>
      <w:r w:rsidRPr="00CD2102">
        <w:rPr>
          <w:rStyle w:val="FootnoteReference"/>
          <w:lang w:val="en-GB"/>
        </w:rPr>
        <w:footnoteReference w:id="1"/>
      </w:r>
    </w:p>
    <w:p w14:paraId="7825A73E" w14:textId="77777777" w:rsidR="00DC5DD4" w:rsidRPr="00EA6DC2" w:rsidRDefault="00DC5DD4" w:rsidP="00DC5DD4"/>
    <w:p w14:paraId="578DE8B0" w14:textId="77777777" w:rsidR="00DC5C3B" w:rsidRPr="00EA6DC2" w:rsidRDefault="00DC5C3B" w:rsidP="00DC5C3B">
      <w:pPr>
        <w:pStyle w:val="NormalBold"/>
      </w:pPr>
      <w:bookmarkStart w:id="6" w:name="TextBodyBegin"/>
      <w:bookmarkEnd w:id="6"/>
      <w:r w:rsidRPr="00EA6DC2">
        <w:t>(Zwykła procedura ustawodawcza: pierwsze czytanie)</w:t>
      </w:r>
    </w:p>
    <w:p w14:paraId="7A2488D1" w14:textId="77777777" w:rsidR="00DC5C3B" w:rsidRPr="00EA6DC2" w:rsidRDefault="00DC5C3B" w:rsidP="00DC5C3B">
      <w:pPr>
        <w:pStyle w:val="NormalHanging12a"/>
      </w:pPr>
    </w:p>
    <w:p w14:paraId="66A1B4CE" w14:textId="77777777" w:rsidR="00DC5C3B" w:rsidRPr="00EA6DC2" w:rsidRDefault="00DC5C3B" w:rsidP="00DC5C3B"/>
    <w:p w14:paraId="64A23ED7" w14:textId="77777777" w:rsidR="00DC5C3B" w:rsidRPr="00EA6DC2" w:rsidRDefault="00F566A9" w:rsidP="00DC5C3B">
      <w:pPr>
        <w:pStyle w:val="AmNumberTabs"/>
        <w:keepNext/>
      </w:pPr>
      <w:r>
        <w:t>[</w:t>
      </w:r>
      <w:r w:rsidR="00DC5C3B" w:rsidRPr="00EA6DC2">
        <w:t>Poprawka</w:t>
      </w:r>
      <w:r w:rsidR="00DC5C3B" w:rsidRPr="00EA6DC2">
        <w:tab/>
      </w:r>
      <w:r w:rsidR="00DC5C3B" w:rsidRPr="00EA6DC2">
        <w:tab/>
        <w:t>1</w:t>
      </w:r>
      <w:r>
        <w:t xml:space="preserve">, chyba </w:t>
      </w:r>
      <w:r w:rsidRPr="00F566A9">
        <w:t>ż</w:t>
      </w:r>
      <w:r>
        <w:t>e wskazano inaczej]</w:t>
      </w:r>
    </w:p>
    <w:p w14:paraId="3F51AF8C" w14:textId="77777777" w:rsidR="00DC5C3B" w:rsidRPr="00EA6DC2" w:rsidRDefault="00DC5C3B" w:rsidP="00DC5C3B">
      <w:pPr>
        <w:pStyle w:val="AmHeadingConsam"/>
      </w:pPr>
      <w:r w:rsidRPr="00EA6DC2">
        <w:t>POPRAWKI PARLAMENTU EUROPEJSKIEGO</w:t>
      </w:r>
      <w:r w:rsidRPr="00EA6DC2">
        <w:rPr>
          <w:rStyle w:val="FootnoteReference"/>
        </w:rPr>
        <w:footnoteReference w:customMarkFollows="1" w:id="2"/>
        <w:t>*</w:t>
      </w:r>
    </w:p>
    <w:p w14:paraId="3BC867D9" w14:textId="77777777" w:rsidR="00DC5C3B" w:rsidRPr="00EA6DC2" w:rsidRDefault="00DC5C3B" w:rsidP="00DC5C3B">
      <w:pPr>
        <w:pStyle w:val="NormalCenter12a"/>
      </w:pPr>
      <w:r w:rsidRPr="00EA6DC2">
        <w:t>do wniosku Komisji</w:t>
      </w:r>
    </w:p>
    <w:p w14:paraId="1244CF72" w14:textId="77777777" w:rsidR="00DC5C3B" w:rsidRPr="00EA6DC2" w:rsidRDefault="00DC5C3B" w:rsidP="00DC5C3B">
      <w:pPr>
        <w:pStyle w:val="NormalCenter12a"/>
      </w:pPr>
      <w:r w:rsidRPr="00EA6DC2">
        <w:t>---------------------------------------------------------</w:t>
      </w:r>
    </w:p>
    <w:p w14:paraId="74D6F332" w14:textId="77777777" w:rsidR="00DC5C3B" w:rsidRPr="00EA6DC2" w:rsidRDefault="00DC5C3B" w:rsidP="00DC5C3B">
      <w:pPr>
        <w:pStyle w:val="NormalCenter12a"/>
      </w:pPr>
    </w:p>
    <w:p w14:paraId="753CBA80" w14:textId="77777777" w:rsidR="00DC5C3B" w:rsidRPr="00EA6DC2" w:rsidRDefault="00DC5C3B" w:rsidP="00DC5C3B">
      <w:pPr>
        <w:pStyle w:val="NormalCenter12a"/>
        <w:rPr>
          <w:b/>
        </w:rPr>
      </w:pPr>
      <w:r w:rsidRPr="00EA6DC2">
        <w:rPr>
          <w:b/>
        </w:rPr>
        <w:t>ROZPORZĄDZENIE PARLAMENTU EUROPEJSKIEGO I RADY</w:t>
      </w:r>
    </w:p>
    <w:p w14:paraId="35CBABB9" w14:textId="77777777" w:rsidR="00DC5C3B" w:rsidRPr="00EA6DC2" w:rsidRDefault="00DC5C3B" w:rsidP="00DC5C3B">
      <w:pPr>
        <w:pStyle w:val="NormalCenter12a"/>
      </w:pPr>
      <w:r w:rsidRPr="00EA6DC2">
        <w:rPr>
          <w:b/>
        </w:rPr>
        <w:t>zmieniające rozporządzenie (UE) 2017/1938 w odniesieniu do roli magazynowania gazu w zabezpieczaniu dostaw gazu przed sezonem zimowym</w:t>
      </w:r>
    </w:p>
    <w:p w14:paraId="6187AF59" w14:textId="77777777" w:rsidR="00DC5C3B" w:rsidRPr="00EA6DC2" w:rsidRDefault="00DC5C3B" w:rsidP="00DC5C3B">
      <w:pPr>
        <w:pStyle w:val="NormalCenter12a"/>
        <w:jc w:val="left"/>
      </w:pPr>
      <w:r w:rsidRPr="00EA6DC2">
        <w:lastRenderedPageBreak/>
        <w:t>PARLAMENT EUROPEJSKI I RADA UNII EUROPEJSKIEJ,</w:t>
      </w:r>
    </w:p>
    <w:p w14:paraId="2D5ECCB0" w14:textId="77777777" w:rsidR="00DC5C3B" w:rsidRPr="00EA6DC2" w:rsidRDefault="00DC5C3B" w:rsidP="00DC5C3B">
      <w:pPr>
        <w:pStyle w:val="NormalCenter12a"/>
        <w:jc w:val="left"/>
      </w:pPr>
      <w:r w:rsidRPr="00EA6DC2">
        <w:t>uwzględniając Traktat o funkcjonowaniu Unii Europejskiej, w szczególności jego art. 194 ust. 2,</w:t>
      </w:r>
    </w:p>
    <w:p w14:paraId="28DF503C" w14:textId="77777777" w:rsidR="00DC5C3B" w:rsidRPr="00EA6DC2" w:rsidRDefault="00DC5C3B" w:rsidP="00DC5C3B">
      <w:pPr>
        <w:pStyle w:val="NormalCenter12a"/>
        <w:jc w:val="left"/>
      </w:pPr>
      <w:r w:rsidRPr="00EA6DC2">
        <w:t>uwzględniając wniosek Komisji Europejskiej,</w:t>
      </w:r>
    </w:p>
    <w:p w14:paraId="1A15CE8A" w14:textId="77777777" w:rsidR="00DC5C3B" w:rsidRPr="00EA6DC2" w:rsidRDefault="00DC5C3B" w:rsidP="00DC5C3B">
      <w:pPr>
        <w:pStyle w:val="NormalCenter12a"/>
        <w:jc w:val="left"/>
      </w:pPr>
      <w:r w:rsidRPr="00EA6DC2">
        <w:t>po przekazaniu projektu aktu ustawodawczego parlamentom narodowym,</w:t>
      </w:r>
    </w:p>
    <w:p w14:paraId="51A13536" w14:textId="77777777" w:rsidR="00DC5C3B" w:rsidRPr="00EA6DC2" w:rsidRDefault="00DC5C3B" w:rsidP="00DC5C3B">
      <w:pPr>
        <w:pStyle w:val="NormalCenter12a"/>
        <w:jc w:val="left"/>
      </w:pPr>
      <w:r w:rsidRPr="00EA6DC2">
        <w:t>stanowiąc zgodnie ze zwykłą procedurą ustawodawczą,</w:t>
      </w:r>
    </w:p>
    <w:p w14:paraId="3083317C" w14:textId="77777777" w:rsidR="00DC5C3B" w:rsidRPr="00EA6DC2" w:rsidRDefault="00DC5C3B" w:rsidP="00DC5C3B">
      <w:pPr>
        <w:pStyle w:val="NormalCenter12a"/>
        <w:jc w:val="left"/>
      </w:pPr>
      <w:r w:rsidRPr="00EA6DC2">
        <w:t>a także mając na uwadze, co następuje:</w:t>
      </w:r>
    </w:p>
    <w:p w14:paraId="340E25DC" w14:textId="77777777" w:rsidR="00DC5C3B" w:rsidRDefault="00DC5C3B" w:rsidP="00DC5C3B">
      <w:pPr>
        <w:pStyle w:val="NormalHanging12a"/>
        <w:ind w:left="851" w:hanging="851"/>
      </w:pPr>
      <w:r w:rsidRPr="00EA6DC2">
        <w:t>(1)</w:t>
      </w:r>
      <w:r w:rsidRPr="00EA6DC2">
        <w:tab/>
        <w:t>Rozporządzenie Parlamentu Europejskiego i Rady (UE) 2022/1032</w:t>
      </w:r>
      <w:r w:rsidRPr="00EA6DC2">
        <w:rPr>
          <w:vertAlign w:val="superscript"/>
        </w:rPr>
        <w:footnoteReference w:id="3"/>
      </w:r>
      <w:r w:rsidRPr="00EA6DC2">
        <w:t xml:space="preserve"> przyjęto w odpowiedzi na kryzys dostaw gazu i bezprecedensowy wzrost cen spowodowany eskalacją</w:t>
      </w:r>
      <w:r w:rsidRPr="00EA6DC2">
        <w:rPr>
          <w:b/>
          <w:bCs/>
          <w:i/>
          <w:iCs/>
        </w:rPr>
        <w:t xml:space="preserve"> nieuzasadnionej i niczym niesprowokowanej rosyjskiej wojny</w:t>
      </w:r>
      <w:r w:rsidRPr="00EA6DC2">
        <w:t xml:space="preserve"> napastniczej przeciwko Ukrainie, trwającej od lutego 2022 r., co skłoniło Unię do działania w sposób skoordynowany i kompleksowy w celu uniknięcia potencjalnego ryzyka wynikającego z dalszych zakłóceń w dostawach gazu.</w:t>
      </w:r>
    </w:p>
    <w:p w14:paraId="1DCF2B29" w14:textId="77777777" w:rsidR="00FB4261" w:rsidRPr="00EA6DC2" w:rsidRDefault="00FB4261" w:rsidP="00DC5C3B">
      <w:pPr>
        <w:pStyle w:val="NormalHanging12a"/>
        <w:ind w:left="851" w:hanging="851"/>
        <w:rPr>
          <w:szCs w:val="24"/>
        </w:rPr>
      </w:pPr>
      <w:r w:rsidRPr="00441A0D">
        <w:rPr>
          <w:b/>
          <w:i/>
        </w:rPr>
        <w:t>(1a)</w:t>
      </w:r>
      <w:r w:rsidRPr="00441A0D">
        <w:tab/>
      </w:r>
      <w:r w:rsidRPr="00441A0D">
        <w:rPr>
          <w:b/>
          <w:i/>
        </w:rPr>
        <w:t>Z uwagi na trwającą wojnę Rosji przeciwko Ukrainie oraz zgodnie ze strategicznym zobowiązaniem Unii do uniezależnienia się od rosyjskich paliw kopalnych państwa członkowskie nie powinny magazynować gazu pochodzenia rosyjskiego. W tym kontekście Unia powinna nakładać skoordynowane i natychmiastowe sankcje na import i zakup wszelkiego rodzaju rosyjskiego gazu, w tym skroplonego gazu ziemnego (LNG). Prognoza ENTSOG dotyczącą dostaw gazu zimą 2024–2025 potwierdza, że Unia może osiągnąć swoje cele w zakresie magazynowania i utrzymać bezpieczeństwo dostaw bez polegania na rosyjskim gazie, jeżeli wdroży szereg środków, w tym będzie dalej zmniejszać zapotrzebowanie. Pełne embargo na rosyjski gaz jest zatem zarówno konieczne, jak i wykonalne, a jego sprawne wdrożenie wzmocniłoby suwerenność energetyczną Unii i jej geopolityczną odporność.</w:t>
      </w:r>
      <w:r w:rsidR="00F566A9">
        <w:rPr>
          <w:b/>
          <w:i/>
        </w:rPr>
        <w:t xml:space="preserve"> </w:t>
      </w:r>
      <w:r w:rsidR="00F566A9" w:rsidRPr="00F566A9">
        <w:rPr>
          <w:b/>
        </w:rPr>
        <w:t>[Popr. 7]</w:t>
      </w:r>
    </w:p>
    <w:p w14:paraId="2FB78D40" w14:textId="77777777" w:rsidR="00DC5C3B" w:rsidRPr="00EA6DC2" w:rsidRDefault="00DC5C3B" w:rsidP="00DC5C3B">
      <w:pPr>
        <w:pStyle w:val="NormalCenter12a"/>
        <w:ind w:left="851" w:hanging="851"/>
        <w:jc w:val="left"/>
      </w:pPr>
      <w:r w:rsidRPr="00EA6DC2">
        <w:t>(2)</w:t>
      </w:r>
      <w:r w:rsidRPr="00EA6DC2">
        <w:tab/>
        <w:t>Rozporządzeniem (UE) 2022/1032 zmieniono rozporządzenie (UE) 2017/1938 poprzez wprowadzenie tymczasowych ram prawnych w odniesieniu do środków dotyczących poziomu napełnienia podziemnych magazynów gazu w celu zwiększenia bezpieczeństwa dostaw gazu w Unii, w szczególności dostaw gazu do odbiorców chronionych.</w:t>
      </w:r>
    </w:p>
    <w:p w14:paraId="2FB2A36C" w14:textId="77777777" w:rsidR="00DC5C3B" w:rsidRPr="00EA6DC2" w:rsidRDefault="00DC5C3B" w:rsidP="00DC5C3B">
      <w:pPr>
        <w:pStyle w:val="NormalHanging12a"/>
        <w:ind w:left="851" w:hanging="851"/>
        <w:rPr>
          <w:szCs w:val="24"/>
        </w:rPr>
      </w:pPr>
      <w:r w:rsidRPr="00EA6DC2">
        <w:t>(3)</w:t>
      </w:r>
      <w:r w:rsidRPr="00EA6DC2">
        <w:tab/>
        <w:t>Magazyny gazu dostarczają 30 % gazu zużywanego w Unii w miesiącach zimowych, przy czym dobrze napełnione podziemne magazyny gazu,</w:t>
      </w:r>
      <w:r w:rsidRPr="00EA6DC2">
        <w:rPr>
          <w:b/>
          <w:bCs/>
          <w:i/>
          <w:iCs/>
        </w:rPr>
        <w:t xml:space="preserve"> a także zmniejszanie zapotrzebowania na gaz</w:t>
      </w:r>
      <w:r w:rsidRPr="00EA6DC2">
        <w:t>, w znacznym stopniu przyczyniają się do bezpieczeństwa dostaw poprzez zapewnienie dodatkowego gazu w przypadku wysokiego zapotrzebowania lub zakłóceń w dostawach.</w:t>
      </w:r>
    </w:p>
    <w:p w14:paraId="73343189" w14:textId="77777777" w:rsidR="00DC5C3B" w:rsidRPr="00EA6DC2" w:rsidRDefault="00DC5C3B" w:rsidP="00DC5C3B">
      <w:pPr>
        <w:pStyle w:val="NormalHanging12a"/>
        <w:ind w:left="851" w:hanging="851"/>
        <w:rPr>
          <w:szCs w:val="24"/>
        </w:rPr>
      </w:pPr>
      <w:r w:rsidRPr="00EA6DC2">
        <w:t>(4)</w:t>
      </w:r>
      <w:r w:rsidRPr="00EA6DC2">
        <w:tab/>
        <w:t xml:space="preserve">Wyznaczenie obowiązkowego celu, jakim jest zapewnienie, aby magazyny gazu były w 90 % pełne w terminie do 1 listopada (cel w zakresie napełnienia), wraz z </w:t>
      </w:r>
      <w:r w:rsidRPr="00EA6DC2">
        <w:lastRenderedPageBreak/>
        <w:t xml:space="preserve">szeregiem celów pośrednich dla każdego państwa członkowskiego na luty, maj, lipiec i wrzesień następnego roku (trajektoria napełniania), okazało się kluczowym rozwiązaniem </w:t>
      </w:r>
      <w:r w:rsidRPr="00EA6DC2">
        <w:rPr>
          <w:b/>
          <w:i/>
        </w:rPr>
        <w:t>podczas</w:t>
      </w:r>
      <w:r w:rsidRPr="00EA6DC2">
        <w:t xml:space="preserve"> kryzysu energetycznego wywołanego </w:t>
      </w:r>
      <w:r w:rsidRPr="00EA6DC2">
        <w:rPr>
          <w:b/>
          <w:i/>
        </w:rPr>
        <w:t>rosyjską wojną napastniczą przeciwko Ukrainie i</w:t>
      </w:r>
      <w:r w:rsidRPr="00EA6DC2">
        <w:t xml:space="preserve"> wykorzystywaniem przez Rosję dostaw gazu jako broni ▌poprzez: (i) zwiększenie odporności na niedobory dostaw gazu; oraz (ii) zmniejszenie niepewności na rynku i zmienności cen.</w:t>
      </w:r>
    </w:p>
    <w:p w14:paraId="345D43AA" w14:textId="77777777" w:rsidR="00DC5C3B" w:rsidRPr="00EA6DC2" w:rsidRDefault="00DC5C3B" w:rsidP="00DC5C3B">
      <w:pPr>
        <w:pStyle w:val="NormalHanging12a"/>
        <w:ind w:left="851" w:hanging="851"/>
        <w:rPr>
          <w:szCs w:val="24"/>
        </w:rPr>
      </w:pPr>
      <w:r w:rsidRPr="00EA6DC2">
        <w:t>(5)</w:t>
      </w:r>
      <w:r w:rsidRPr="00EA6DC2">
        <w:tab/>
        <w:t xml:space="preserve">Pomimo znacznej poprawy sytuacji na rynku gazu w porównaniu z </w:t>
      </w:r>
      <w:r w:rsidRPr="00EA6DC2">
        <w:rPr>
          <w:b/>
          <w:i/>
        </w:rPr>
        <w:t>okresem</w:t>
      </w:r>
      <w:r w:rsidRPr="00EA6DC2">
        <w:t xml:space="preserve"> 2022–2023 sytuacja na europejskim rynku gazu pozostaje napięta</w:t>
      </w:r>
      <w:r w:rsidRPr="00EA6DC2">
        <w:rPr>
          <w:b/>
          <w:i/>
        </w:rPr>
        <w:t>, a sytuacja geopolityczna w dalszym ciągu jest niejasna</w:t>
      </w:r>
      <w:r w:rsidRPr="00EA6DC2">
        <w:t>.</w:t>
      </w:r>
      <w:r w:rsidRPr="00EA6DC2">
        <w:rPr>
          <w:b/>
          <w:i/>
        </w:rPr>
        <w:t xml:space="preserve"> </w:t>
      </w:r>
      <w:r w:rsidRPr="00EA6DC2">
        <w:t>Bardziej intensywna konkurencja o globalne dostawy LNG może zwiększyć narażenie państw członkowskich na zmienność cen. ▌W takiej sytuacji pierwszorzędne znaczenie ma magazynowanie gazu. ▌</w:t>
      </w:r>
    </w:p>
    <w:p w14:paraId="78F9A400" w14:textId="77777777" w:rsidR="00DC5C3B" w:rsidRPr="00EA6DC2" w:rsidRDefault="00DC5C3B" w:rsidP="00DC5C3B">
      <w:pPr>
        <w:pStyle w:val="NormalCenter12a"/>
        <w:ind w:left="851" w:hanging="851"/>
        <w:jc w:val="left"/>
      </w:pPr>
      <w:r w:rsidRPr="00EA6DC2">
        <w:t>(6)</w:t>
      </w:r>
      <w:r w:rsidRPr="00EA6DC2">
        <w:tab/>
        <w:t>Zgodnie z rozporządzeniem (UE) 2017/1938 obowiązek państw członkowskich dotyczący przestrzegania rocznej trajektorii napełniania i zapewnienia osiągnięcia celu w zakresie napełnienia w terminie do 1 listopada każdego roku wygasa w dniu 31 grudnia 2025 r.</w:t>
      </w:r>
    </w:p>
    <w:p w14:paraId="1C158CA3" w14:textId="77777777" w:rsidR="00DC5C3B" w:rsidRPr="00EA6DC2" w:rsidRDefault="00DC5C3B" w:rsidP="00DC5C3B">
      <w:pPr>
        <w:pStyle w:val="NormalHanging12a"/>
        <w:ind w:left="851" w:hanging="851"/>
        <w:rPr>
          <w:b/>
          <w:i/>
          <w:szCs w:val="24"/>
        </w:rPr>
      </w:pPr>
      <w:r w:rsidRPr="00EA6DC2">
        <w:rPr>
          <w:b/>
          <w:i/>
        </w:rPr>
        <w:t>(6a)</w:t>
      </w:r>
      <w:r w:rsidRPr="00EA6DC2">
        <w:rPr>
          <w:b/>
          <w:i/>
        </w:rPr>
        <w:tab/>
        <w:t xml:space="preserve">Od 2022 r. Unii udało się znacznie poprawić bezpieczeństwo dostaw gazu dzięki zwiększeniu importu LNG od wiarygodnych partnerów światowych i dąży ona do całkowitego wyeliminowania swojej zależności od rosyjskich paliw kopalnych w oparciu o postępy w realizacji planu </w:t>
      </w:r>
      <w:proofErr w:type="spellStart"/>
      <w:r w:rsidRPr="00EA6DC2">
        <w:rPr>
          <w:b/>
          <w:i/>
        </w:rPr>
        <w:t>REPowerEU</w:t>
      </w:r>
      <w:proofErr w:type="spellEnd"/>
      <w:r w:rsidRPr="00EA6DC2">
        <w:rPr>
          <w:b/>
          <w:i/>
        </w:rPr>
        <w:t xml:space="preserve">. Unia stworzyła nowe instalacje </w:t>
      </w:r>
      <w:proofErr w:type="spellStart"/>
      <w:r w:rsidRPr="00EA6DC2">
        <w:rPr>
          <w:b/>
          <w:i/>
        </w:rPr>
        <w:t>regazyfikacji</w:t>
      </w:r>
      <w:proofErr w:type="spellEnd"/>
      <w:r w:rsidRPr="00EA6DC2">
        <w:rPr>
          <w:b/>
          <w:i/>
        </w:rPr>
        <w:t xml:space="preserve"> i terminale portowe, a jednocześnie ustanowiła rynek gazu skroplonego, który zapewnia silną odporność przed potencjalnymi zakłóceniami w utrzymanych nadal rosyjskich dostawach gazu przesyłanego gazociągami.</w:t>
      </w:r>
    </w:p>
    <w:p w14:paraId="01C10DC7" w14:textId="77777777" w:rsidR="00DC5C3B" w:rsidRPr="00EA6DC2" w:rsidRDefault="00DC5C3B" w:rsidP="00DC5C3B">
      <w:pPr>
        <w:pStyle w:val="NormalHanging12a"/>
        <w:ind w:left="851" w:hanging="851"/>
        <w:rPr>
          <w:b/>
          <w:i/>
          <w:szCs w:val="24"/>
        </w:rPr>
      </w:pPr>
      <w:r w:rsidRPr="00EA6DC2">
        <w:rPr>
          <w:b/>
          <w:i/>
        </w:rPr>
        <w:t>(6b)</w:t>
      </w:r>
      <w:r w:rsidRPr="00EA6DC2">
        <w:rPr>
          <w:b/>
          <w:i/>
        </w:rPr>
        <w:tab/>
        <w:t>Należy uwzględniać zmienione globalne otoczenie polityczne pod kątem niezawodności dostawców gazu i krajów dostarczających gaz.</w:t>
      </w:r>
    </w:p>
    <w:p w14:paraId="663A467C" w14:textId="77777777" w:rsidR="00DC5C3B" w:rsidRPr="00EA6DC2" w:rsidRDefault="00DC5C3B" w:rsidP="00DC5C3B">
      <w:pPr>
        <w:pStyle w:val="NormalHanging12a"/>
        <w:ind w:left="851" w:hanging="851"/>
        <w:rPr>
          <w:szCs w:val="24"/>
        </w:rPr>
      </w:pPr>
      <w:r w:rsidRPr="00EA6DC2">
        <w:t>(7)</w:t>
      </w:r>
      <w:r w:rsidRPr="00EA6DC2">
        <w:tab/>
      </w:r>
      <w:r w:rsidRPr="00EA6DC2">
        <w:rPr>
          <w:b/>
          <w:i/>
        </w:rPr>
        <w:t>W świetle europejskiego sukcesu w eliminacji ryzyka struktury importu gazu</w:t>
      </w:r>
      <w:r w:rsidRPr="00EA6DC2">
        <w:t xml:space="preserve"> ogólne ramy umożliwiające </w:t>
      </w:r>
      <w:r w:rsidRPr="00EA6DC2">
        <w:rPr>
          <w:b/>
          <w:i/>
        </w:rPr>
        <w:t>pokrycie zapotrzebowania Unii na gaz ziemny muszą zapewnić równowagę między bezpieczeństwem energetycznym a powrotem do zasad rynkowych</w:t>
      </w:r>
      <w:r w:rsidRPr="00EA6DC2">
        <w:t>.</w:t>
      </w:r>
      <w:r w:rsidRPr="00EA6DC2">
        <w:rPr>
          <w:b/>
          <w:i/>
        </w:rPr>
        <w:t xml:space="preserve"> Muszą zatem</w:t>
      </w:r>
      <w:r w:rsidRPr="00EA6DC2">
        <w:t xml:space="preserve"> być wystarczająco elastyczne w sezonie napełniania, aby umożliwić szybką reakcję na stale zmieniające się warunki rynkowe, a w szczególności wykorzystać najlepsze warunki zakupu</w:t>
      </w:r>
      <w:r w:rsidRPr="00EA6DC2">
        <w:rPr>
          <w:b/>
          <w:i/>
        </w:rPr>
        <w:t>, aby obniżyć ceny gazu w Europie</w:t>
      </w:r>
      <w:r w:rsidRPr="00EA6DC2">
        <w:t xml:space="preserve">. </w:t>
      </w:r>
      <w:r w:rsidRPr="00EA6DC2">
        <w:rPr>
          <w:b/>
          <w:i/>
        </w:rPr>
        <w:t>Cel napełniania należy zatem obniżyć do 83 %</w:t>
      </w:r>
      <w:r w:rsidR="008B62BD">
        <w:rPr>
          <w:b/>
          <w:i/>
        </w:rPr>
        <w:t>.</w:t>
      </w:r>
    </w:p>
    <w:p w14:paraId="64AEEFEB" w14:textId="77777777" w:rsidR="00DC5C3B" w:rsidRPr="00EA6DC2" w:rsidRDefault="00DC5C3B" w:rsidP="00DC5C3B">
      <w:pPr>
        <w:pStyle w:val="NormalHanging12a"/>
        <w:ind w:left="851" w:hanging="851"/>
        <w:rPr>
          <w:szCs w:val="24"/>
        </w:rPr>
      </w:pPr>
      <w:r w:rsidRPr="00EA6DC2">
        <w:t>(8)</w:t>
      </w:r>
      <w:r w:rsidRPr="00EA6DC2">
        <w:tab/>
      </w:r>
      <w:r w:rsidRPr="00EA6DC2">
        <w:rPr>
          <w:b/>
          <w:i/>
        </w:rPr>
        <w:t>Aby poprawić stabilność rynku i ograniczyć ryzyko nadmiernej zmienności cen, którą mogą wywołać</w:t>
      </w:r>
      <w:r w:rsidRPr="00EA6DC2">
        <w:t xml:space="preserve"> pośrednie cele w zakresie napełniania</w:t>
      </w:r>
      <w:r w:rsidRPr="00EA6DC2">
        <w:rPr>
          <w:b/>
          <w:i/>
        </w:rPr>
        <w:t>, należy zapewnić większą elastyczność w zakresie napełniania magazynów</w:t>
      </w:r>
      <w:r w:rsidRPr="00EA6DC2">
        <w:t xml:space="preserve">. </w:t>
      </w:r>
      <w:r w:rsidRPr="00EA6DC2">
        <w:rPr>
          <w:b/>
          <w:i/>
        </w:rPr>
        <w:t>Państwa członkowskie powinny zatem co roku przedstawiać orientacyjne plany napełniania, które w stosownych przypadkach mogłyby obejmować orientacyjną trajektorię napełniania</w:t>
      </w:r>
      <w:r w:rsidRPr="00EA6DC2">
        <w:t xml:space="preserve"> i powinny umożliwiać napełnianie magazynów w taki sposób, aby uczestnicy rynku mieli wystarczającą elastyczność w ciągu roku</w:t>
      </w:r>
      <w:r w:rsidRPr="00EA6DC2">
        <w:rPr>
          <w:b/>
          <w:i/>
        </w:rPr>
        <w:t>, przy czym należy uwzględnić zalecenie (2025)1481</w:t>
      </w:r>
      <w:r w:rsidRPr="00EA6DC2">
        <w:t>.</w:t>
      </w:r>
    </w:p>
    <w:p w14:paraId="2636F84B" w14:textId="77777777" w:rsidR="00DC5C3B" w:rsidRPr="00EA6DC2" w:rsidRDefault="00DC5C3B" w:rsidP="00DC5C3B">
      <w:pPr>
        <w:pStyle w:val="NormalHanging12a"/>
        <w:ind w:left="851" w:hanging="851"/>
        <w:rPr>
          <w:b/>
          <w:i/>
          <w:szCs w:val="24"/>
        </w:rPr>
      </w:pPr>
      <w:r w:rsidRPr="00EA6DC2">
        <w:rPr>
          <w:b/>
          <w:i/>
        </w:rPr>
        <w:t>(8a)</w:t>
      </w:r>
      <w:r w:rsidRPr="00EA6DC2">
        <w:rPr>
          <w:b/>
          <w:i/>
        </w:rPr>
        <w:tab/>
        <w:t xml:space="preserve">Państwa członkowskie powinny mieć możliwość odstępstwa od celu w zakresie napełnienia o maksymalnie cztery punkty procentowe w przypadku niekorzystnych warunków rynkowych związanych między innymi z takimi czynnikami jak podaż i popyt oraz konkurencja lub w przypadku działalności handlowej utrudniającej </w:t>
      </w:r>
      <w:r w:rsidRPr="00EA6DC2">
        <w:rPr>
          <w:b/>
          <w:i/>
        </w:rPr>
        <w:lastRenderedPageBreak/>
        <w:t>opłacalne napełnianie magazynów, jeżeli znacznie ogranicza ona zdolność do napełnienia magazynów gazu zgodnie z niniejszym rozporządzeniem.</w:t>
      </w:r>
    </w:p>
    <w:p w14:paraId="25E01AA2" w14:textId="77777777" w:rsidR="00DC5C3B" w:rsidRPr="00EA6DC2" w:rsidRDefault="00DC5C3B" w:rsidP="00DC5C3B">
      <w:pPr>
        <w:pStyle w:val="NormalHanging12a"/>
        <w:ind w:left="851" w:hanging="851"/>
        <w:rPr>
          <w:b/>
          <w:i/>
          <w:szCs w:val="24"/>
        </w:rPr>
      </w:pPr>
      <w:r w:rsidRPr="00EA6DC2">
        <w:rPr>
          <w:b/>
          <w:i/>
        </w:rPr>
        <w:t>(8b)</w:t>
      </w:r>
      <w:r w:rsidRPr="00EA6DC2">
        <w:rPr>
          <w:b/>
          <w:i/>
        </w:rPr>
        <w:tab/>
        <w:t>Ponadto Komisja powinna być uprawniona do przyjmowania aktów delegowanych w celu zmiany na jeden sezon napełniania wartości dozwolonego odchylenia wynoszącego cztery punkty procentowe poprzez zwiększenie jej o dodatkowe cztery punkty procentowe w przypadku utrzymywania się niekorzystnych warunków rynkowych.</w:t>
      </w:r>
    </w:p>
    <w:p w14:paraId="216A73F9" w14:textId="77777777" w:rsidR="00DC5C3B" w:rsidRPr="00EA6DC2" w:rsidRDefault="00DC5C3B" w:rsidP="00DC5C3B">
      <w:pPr>
        <w:pStyle w:val="NormalHanging12a"/>
        <w:ind w:left="851" w:hanging="851"/>
        <w:rPr>
          <w:b/>
          <w:i/>
          <w:szCs w:val="24"/>
        </w:rPr>
      </w:pPr>
      <w:r w:rsidRPr="00EA6DC2">
        <w:rPr>
          <w:b/>
          <w:i/>
        </w:rPr>
        <w:t>(8c)</w:t>
      </w:r>
      <w:r w:rsidRPr="00EA6DC2">
        <w:rPr>
          <w:b/>
          <w:i/>
        </w:rPr>
        <w:tab/>
        <w:t>Skumulowane skutki mechanizmów elastyczności i odstępstw przewidzianych w niniejszym rozporządzeniu nie powinny obniżyć ogólnych obowiązków dotyczących napełnienia magazynów do poziomu poniżej 75 %.</w:t>
      </w:r>
    </w:p>
    <w:p w14:paraId="0BEFD700" w14:textId="77777777" w:rsidR="00DC5C3B" w:rsidRPr="00EA6DC2" w:rsidRDefault="00DC5C3B" w:rsidP="00DC5C3B">
      <w:pPr>
        <w:pStyle w:val="NormalHanging12a"/>
        <w:ind w:left="851" w:hanging="851"/>
        <w:rPr>
          <w:szCs w:val="24"/>
        </w:rPr>
      </w:pPr>
      <w:r w:rsidRPr="00EA6DC2">
        <w:t>(9)</w:t>
      </w:r>
      <w:r w:rsidRPr="00EA6DC2">
        <w:tab/>
        <w:t xml:space="preserve">Przeprowadzona przez Komisję ocena obecnych ram bezpieczeństwa energetycznego potwierdziła pozytywny wpływ wymogów dotyczących napełnienia magazynów na bezpieczeństwo dostaw gazu, a te pozytywne skutki powinny zostać utrzymane po 2025 r. </w:t>
      </w:r>
      <w:r w:rsidRPr="00EA6DC2">
        <w:rPr>
          <w:b/>
          <w:i/>
        </w:rPr>
        <w:t>Przedłużenie tych środków nie tylko przyczyni się do dalszego gwarantowania bezpieczeństwa dostaw, ale będzie też stanowiło ważny instrument działań Unii służących wyeliminowaniu zależności od importu gazu pochodzącego z Federacji Rosyjskiej.</w:t>
      </w:r>
    </w:p>
    <w:p w14:paraId="0B17CFAE" w14:textId="77777777" w:rsidR="00DC5C3B" w:rsidRPr="00EA6DC2" w:rsidRDefault="00DC5C3B" w:rsidP="00DC5C3B">
      <w:pPr>
        <w:pStyle w:val="NormalHanging12a"/>
        <w:ind w:left="851" w:hanging="851"/>
        <w:rPr>
          <w:b/>
          <w:i/>
          <w:szCs w:val="24"/>
        </w:rPr>
      </w:pPr>
      <w:r w:rsidRPr="00EA6DC2">
        <w:rPr>
          <w:b/>
          <w:i/>
        </w:rPr>
        <w:t>(9a)</w:t>
      </w:r>
      <w:r w:rsidRPr="00EA6DC2">
        <w:rPr>
          <w:b/>
          <w:i/>
        </w:rPr>
        <w:tab/>
        <w:t>Jednocześnie niniejsze rozporządzenie powinno stanowić odpowiedź na obecne i przyszłe zmiany na rynkach gazu ziemnego oraz przyczyniać się do realizacji strategicznego celu, jakim jest obniżenie cen energii i ułatwienie stopniowego powrotu do rynkowych mechanizmów uzupełniania zapasów.</w:t>
      </w:r>
    </w:p>
    <w:p w14:paraId="2B86EDED" w14:textId="77777777" w:rsidR="00DC5C3B" w:rsidRPr="00EA6DC2" w:rsidRDefault="00DC5C3B" w:rsidP="00DC5C3B">
      <w:pPr>
        <w:pStyle w:val="NormalHanging12a"/>
        <w:ind w:left="851" w:hanging="851"/>
        <w:rPr>
          <w:b/>
          <w:i/>
          <w:szCs w:val="24"/>
        </w:rPr>
      </w:pPr>
      <w:r w:rsidRPr="00EA6DC2">
        <w:rPr>
          <w:b/>
          <w:i/>
        </w:rPr>
        <w:t>(9b)</w:t>
      </w:r>
      <w:r w:rsidRPr="00EA6DC2">
        <w:rPr>
          <w:b/>
          <w:i/>
        </w:rPr>
        <w:tab/>
        <w:t>Aby utrzymać bezpieczeństwo dostaw i odpowiedni poziom napełnienia, Komisja powinna stale monitorować rynek i badać sposoby, które mogłyby pomóc w osiągnięciu celu w zakresie napełnienia, na przykład z wykorzystaniem agregacji zapotrzebowania i mechanizmów wspólnych zakupów.</w:t>
      </w:r>
    </w:p>
    <w:p w14:paraId="72625AE9" w14:textId="77777777" w:rsidR="00DC5C3B" w:rsidRPr="00EA6DC2" w:rsidRDefault="00DC5C3B" w:rsidP="00DC5C3B">
      <w:pPr>
        <w:pStyle w:val="NormalHanging12a"/>
        <w:ind w:left="851" w:hanging="851"/>
        <w:rPr>
          <w:szCs w:val="24"/>
        </w:rPr>
      </w:pPr>
      <w:r w:rsidRPr="00EA6DC2">
        <w:t>(10)</w:t>
      </w:r>
      <w:r w:rsidRPr="00EA6DC2">
        <w:tab/>
        <w:t>Konieczne jest zatem przedłużenie o dwa lata odpowiednich przepisów dotyczących napełnienia magazynów gazu, które zapewniają przewidywalność i przejrzystość w odniesieniu do wykorzystania magazynów gazu w całej Unii</w:t>
      </w:r>
      <w:r w:rsidRPr="00EA6DC2">
        <w:rPr>
          <w:b/>
          <w:i/>
        </w:rPr>
        <w:t>, a jednocześnie wprowadzają pewną elastyczność do niniejszego rozporządzenia.</w:t>
      </w:r>
    </w:p>
    <w:p w14:paraId="4246973A" w14:textId="77777777" w:rsidR="00DC5C3B" w:rsidRPr="00EA6DC2" w:rsidRDefault="00DC5C3B" w:rsidP="00DC5C3B">
      <w:pPr>
        <w:pStyle w:val="NormalHanging12a"/>
        <w:ind w:left="851" w:hanging="851"/>
        <w:rPr>
          <w:b/>
          <w:i/>
          <w:szCs w:val="24"/>
        </w:rPr>
      </w:pPr>
      <w:r w:rsidRPr="00EA6DC2">
        <w:rPr>
          <w:b/>
          <w:i/>
        </w:rPr>
        <w:t>(10a)</w:t>
      </w:r>
      <w:r w:rsidRPr="00EA6DC2">
        <w:rPr>
          <w:b/>
          <w:i/>
        </w:rPr>
        <w:tab/>
        <w:t>Zgodnie ze zobowiązaniem Komisji do lepszego stanowienia prawa i uproszczenia oraz w świetle ogólnej poprawy unijnych ram bezpieczeństwa energetycznego monitorowanie zgodności z niniejszym rozporządzeniem powinno zwiększyć zaufanie do zdolności administracyjnych państw członkowskich. Należy odpowiednio zmniejszyć obciążenie Komisji związane z nadzorem poprzez przejście na mniej rygorystyczne obowiązki sprawozdawcze i usprawnione procedury. Podejście to wzmacnia zasadę pomocniczości, pozwala uniknąć niepotrzebnej złożoności administracyjnej i jest spójne z działaniami Komisji na rzecz uproszczenia, określonymi w jej programie prac na 2025 r.</w:t>
      </w:r>
    </w:p>
    <w:p w14:paraId="29246C34" w14:textId="77777777" w:rsidR="00DC5C3B" w:rsidRPr="00EA6DC2" w:rsidRDefault="00DC5C3B" w:rsidP="00DC5C3B">
      <w:pPr>
        <w:pStyle w:val="NormalHanging12a"/>
        <w:ind w:left="851" w:hanging="851"/>
        <w:rPr>
          <w:b/>
          <w:i/>
          <w:szCs w:val="24"/>
        </w:rPr>
      </w:pPr>
      <w:r w:rsidRPr="00EA6DC2">
        <w:rPr>
          <w:b/>
          <w:i/>
        </w:rPr>
        <w:t>(10b)</w:t>
      </w:r>
      <w:r w:rsidRPr="00EA6DC2">
        <w:rPr>
          <w:b/>
          <w:i/>
        </w:rPr>
        <w:tab/>
        <w:t xml:space="preserve">Komisja powinna dokonać przeglądu rozporządzenia (UE) 2017/1938 w odpowiednim czasie i przed 2027 r., aby dostosować je do zmieniającego się krajobrazu energetycznego i uwzględnić przyszłe potrzeby w zakresie magazynowania gazu. Ewentualne zmiany powinny dotyczyć m.in. ograniczeń obecnej definicji „odbiorców chronionych”, zapobiegania spekulacji na rynkach </w:t>
      </w:r>
      <w:r w:rsidRPr="00EA6DC2">
        <w:rPr>
          <w:b/>
          <w:i/>
        </w:rPr>
        <w:lastRenderedPageBreak/>
        <w:t>gazu i działaniom spekulacyjnym, które sztucznie zawyżają ceny, roli środków w zakresie efektywności energetycznej prowadzących do weryfikowalnego zmniejszenia zapotrzebowania na gaz oraz sposobu, w jaki państwa członkowskie mogłyby to wykorzystać celem zapewnienia jeszcze większej elastyczności, a także powinny uwzględniać uregulowania ramowe w kontekście zmieniającego się koszyka energetycznego, w którym obok efektywności energetycznej coraz większą rolę odgrywać będą źródła alternatywne dla gazu, takie jak odnawialne źródła energii czy wodór.</w:t>
      </w:r>
    </w:p>
    <w:p w14:paraId="7557E273" w14:textId="77777777" w:rsidR="00DC5C3B" w:rsidRPr="00EA6DC2" w:rsidRDefault="00DC5C3B" w:rsidP="00DC5C3B">
      <w:pPr>
        <w:pStyle w:val="NormalCenter12a"/>
        <w:ind w:left="851" w:hanging="851"/>
        <w:jc w:val="left"/>
      </w:pPr>
      <w:r w:rsidRPr="00EA6DC2">
        <w:t>(11)</w:t>
      </w:r>
      <w:r w:rsidRPr="00EA6DC2">
        <w:tab/>
        <w:t>Należy zatem odpowiednio zmienić rozporządzenie (UE) 2017/1938,</w:t>
      </w:r>
    </w:p>
    <w:p w14:paraId="479754A1" w14:textId="77777777" w:rsidR="00DC5C3B" w:rsidRPr="00EA6DC2" w:rsidRDefault="00DC5C3B" w:rsidP="00DC5C3B">
      <w:pPr>
        <w:pStyle w:val="NormalCenter12a"/>
        <w:jc w:val="left"/>
      </w:pPr>
      <w:r w:rsidRPr="00EA6DC2">
        <w:t>PRZYJMUJĄ NINIEJSZE ROZPORZĄDZENIE:</w:t>
      </w:r>
    </w:p>
    <w:p w14:paraId="13969243" w14:textId="77777777" w:rsidR="00DC5C3B" w:rsidRPr="00EA6DC2" w:rsidRDefault="00DC5C3B" w:rsidP="00DC5C3B">
      <w:pPr>
        <w:pStyle w:val="Titrearticle"/>
        <w:rPr>
          <w:noProof/>
        </w:rPr>
      </w:pPr>
      <w:r w:rsidRPr="00EA6DC2">
        <w:t>Artykuł 1</w:t>
      </w:r>
    </w:p>
    <w:p w14:paraId="1275CBCA" w14:textId="77777777" w:rsidR="00DC5C3B" w:rsidRPr="00EA6DC2" w:rsidRDefault="00DC5C3B" w:rsidP="00DC5C3B">
      <w:pPr>
        <w:jc w:val="center"/>
        <w:rPr>
          <w:b/>
          <w:bCs/>
          <w:noProof/>
        </w:rPr>
      </w:pPr>
      <w:r w:rsidRPr="00EA6DC2">
        <w:rPr>
          <w:b/>
        </w:rPr>
        <w:t>Zmiana w rozporządzeniu (UE) 2017/1938</w:t>
      </w:r>
    </w:p>
    <w:p w14:paraId="4C17C7BE" w14:textId="77777777" w:rsidR="00DC5C3B" w:rsidRPr="00EA6DC2" w:rsidRDefault="00DC5C3B" w:rsidP="00DC5C3B">
      <w:pPr>
        <w:rPr>
          <w:noProof/>
        </w:rPr>
      </w:pPr>
    </w:p>
    <w:p w14:paraId="4756A92D" w14:textId="77777777" w:rsidR="00DC5C3B" w:rsidRPr="00EA6DC2" w:rsidRDefault="00DC5C3B" w:rsidP="00DC5C3B">
      <w:pPr>
        <w:pStyle w:val="NormalHanging12a"/>
        <w:rPr>
          <w:szCs w:val="24"/>
        </w:rPr>
      </w:pPr>
      <w:r w:rsidRPr="00EA6DC2">
        <w:t xml:space="preserve">W rozporządzeniu (UE) 2017/1938 </w:t>
      </w:r>
      <w:r w:rsidRPr="00EA6DC2">
        <w:rPr>
          <w:b/>
          <w:i/>
        </w:rPr>
        <w:t>wprowadza się następujące zmiany</w:t>
      </w:r>
      <w:r w:rsidRPr="00EA6DC2">
        <w:t>:</w:t>
      </w:r>
    </w:p>
    <w:p w14:paraId="62A5056D" w14:textId="77777777" w:rsidR="00DC5C3B" w:rsidRPr="00EA6DC2" w:rsidRDefault="00DC5C3B" w:rsidP="00DC5C3B">
      <w:pPr>
        <w:pStyle w:val="NormalHanging12a"/>
        <w:ind w:left="851" w:hanging="851"/>
        <w:rPr>
          <w:b/>
          <w:i/>
          <w:szCs w:val="24"/>
        </w:rPr>
      </w:pPr>
      <w:r w:rsidRPr="00EA6DC2">
        <w:rPr>
          <w:b/>
          <w:i/>
        </w:rPr>
        <w:t>1)</w:t>
      </w:r>
      <w:r w:rsidRPr="00EA6DC2">
        <w:rPr>
          <w:b/>
          <w:i/>
        </w:rPr>
        <w:tab/>
        <w:t>uchyla się art. 2 pkt 27;</w:t>
      </w:r>
    </w:p>
    <w:p w14:paraId="6FCE1DE2" w14:textId="77777777" w:rsidR="00DC5C3B" w:rsidRPr="00EA6DC2" w:rsidRDefault="00DC5C3B" w:rsidP="00DC5C3B">
      <w:pPr>
        <w:pStyle w:val="NormalHanging12a"/>
        <w:ind w:left="851" w:hanging="851"/>
        <w:rPr>
          <w:b/>
          <w:i/>
          <w:szCs w:val="24"/>
        </w:rPr>
      </w:pPr>
      <w:r w:rsidRPr="00EA6DC2">
        <w:rPr>
          <w:b/>
          <w:i/>
        </w:rPr>
        <w:t>2)</w:t>
      </w:r>
      <w:r w:rsidRPr="00EA6DC2">
        <w:rPr>
          <w:b/>
          <w:i/>
        </w:rPr>
        <w:tab/>
        <w:t>w art. 6a wprowadza się następujące zmiany:</w:t>
      </w:r>
    </w:p>
    <w:p w14:paraId="515D4789" w14:textId="77777777" w:rsidR="00DC5C3B" w:rsidRPr="00EA6DC2" w:rsidRDefault="00DC5C3B" w:rsidP="00DC5C3B">
      <w:pPr>
        <w:pStyle w:val="NormalHanging12a"/>
        <w:ind w:left="1418"/>
        <w:rPr>
          <w:b/>
          <w:i/>
        </w:rPr>
      </w:pPr>
      <w:r w:rsidRPr="00EA6DC2">
        <w:rPr>
          <w:b/>
          <w:i/>
        </w:rPr>
        <w:t>a)</w:t>
      </w:r>
      <w:r w:rsidRPr="00EA6DC2">
        <w:rPr>
          <w:b/>
          <w:i/>
        </w:rPr>
        <w:tab/>
        <w:t>tytuł otrzymuje brzmienie: „Cel w zakresie napełniania”;</w:t>
      </w:r>
    </w:p>
    <w:p w14:paraId="028E23EC" w14:textId="77777777" w:rsidR="00DC5C3B" w:rsidRPr="00EA6DC2" w:rsidRDefault="00DC5C3B" w:rsidP="00DC5C3B">
      <w:pPr>
        <w:pStyle w:val="NormalHanging12a"/>
        <w:ind w:left="1418"/>
        <w:rPr>
          <w:b/>
          <w:i/>
        </w:rPr>
      </w:pPr>
      <w:r w:rsidRPr="00EA6DC2">
        <w:rPr>
          <w:b/>
          <w:i/>
        </w:rPr>
        <w:t>b)</w:t>
      </w:r>
      <w:r w:rsidRPr="00EA6DC2">
        <w:rPr>
          <w:b/>
          <w:i/>
        </w:rPr>
        <w:tab/>
        <w:t>ust. 1 akapit pierwszy otrzymuje brzmienie:</w:t>
      </w:r>
    </w:p>
    <w:p w14:paraId="2204BD59" w14:textId="77777777" w:rsidR="00DC5C3B" w:rsidRDefault="00DC5C3B" w:rsidP="00DC5C3B">
      <w:pPr>
        <w:pStyle w:val="NormalHanging12a"/>
        <w:ind w:left="1985"/>
        <w:rPr>
          <w:b/>
          <w:i/>
        </w:rPr>
      </w:pPr>
      <w:r w:rsidRPr="00EA6DC2">
        <w:rPr>
          <w:b/>
          <w:i/>
        </w:rPr>
        <w:t>„1.</w:t>
      </w:r>
      <w:r w:rsidRPr="00EA6DC2">
        <w:rPr>
          <w:b/>
          <w:i/>
        </w:rPr>
        <w:tab/>
        <w:t xml:space="preserve">Z zastrzeżeniem ust. 2–5, państwa członkowskie osiągają cel w zakresie napełniania wynoszący 83 % w odniesieniu do łącznej pojemności wszystkich podziemnych magazynów gazu znajdujących się na ich terytorium i bezpośrednio połączonych z obszarem rynku na ich terytorium oraz instalacji magazynowych wymienionych w załączniku </w:t>
      </w:r>
      <w:proofErr w:type="spellStart"/>
      <w:r w:rsidRPr="00EA6DC2">
        <w:rPr>
          <w:b/>
          <w:i/>
        </w:rPr>
        <w:t>Ib</w:t>
      </w:r>
      <w:proofErr w:type="spellEnd"/>
      <w:r w:rsidRPr="00EA6DC2">
        <w:rPr>
          <w:b/>
          <w:i/>
        </w:rPr>
        <w:t xml:space="preserve"> w dowolnym momencie między 1 października a 1 grudnia każdego roku</w:t>
      </w:r>
      <w:r w:rsidR="00800A14">
        <w:rPr>
          <w:b/>
          <w:i/>
        </w:rPr>
        <w:t>.</w:t>
      </w:r>
      <w:r w:rsidR="00800A14" w:rsidRPr="00EA6DC2">
        <w:rPr>
          <w:b/>
          <w:i/>
        </w:rPr>
        <w:t>”;</w:t>
      </w:r>
    </w:p>
    <w:p w14:paraId="2AE0C40C" w14:textId="77777777" w:rsidR="00800A14" w:rsidRDefault="00F566A9" w:rsidP="00800A14">
      <w:pPr>
        <w:pStyle w:val="NormalHanging12a"/>
        <w:ind w:left="1418"/>
        <w:rPr>
          <w:b/>
          <w:i/>
        </w:rPr>
      </w:pPr>
      <w:r>
        <w:rPr>
          <w:b/>
          <w:i/>
          <w:szCs w:val="24"/>
        </w:rPr>
        <w:t>c</w:t>
      </w:r>
      <w:r w:rsidR="00800A14" w:rsidRPr="00800A14">
        <w:rPr>
          <w:b/>
          <w:i/>
          <w:szCs w:val="24"/>
        </w:rPr>
        <w:t xml:space="preserve">) </w:t>
      </w:r>
      <w:r w:rsidR="00800A14" w:rsidRPr="00800A14">
        <w:rPr>
          <w:b/>
          <w:i/>
          <w:szCs w:val="24"/>
        </w:rPr>
        <w:tab/>
        <w:t>ust. 2</w:t>
      </w:r>
      <w:r w:rsidR="00800A14">
        <w:rPr>
          <w:szCs w:val="24"/>
        </w:rPr>
        <w:t xml:space="preserve"> </w:t>
      </w:r>
      <w:r w:rsidR="00800A14" w:rsidRPr="00EA6DC2">
        <w:rPr>
          <w:b/>
          <w:i/>
        </w:rPr>
        <w:t>otrzymuje brzmienie:</w:t>
      </w:r>
    </w:p>
    <w:p w14:paraId="0BCDBA22" w14:textId="77777777" w:rsidR="00800A14" w:rsidRPr="00800A14" w:rsidRDefault="00800A14" w:rsidP="00800A14">
      <w:pPr>
        <w:pStyle w:val="NormalHanging12a"/>
        <w:ind w:left="1985"/>
        <w:rPr>
          <w:b/>
          <w:i/>
          <w:szCs w:val="24"/>
        </w:rPr>
      </w:pPr>
      <w:proofErr w:type="gramStart"/>
      <w:r>
        <w:rPr>
          <w:b/>
          <w:i/>
          <w:szCs w:val="24"/>
        </w:rPr>
        <w:t>,,</w:t>
      </w:r>
      <w:proofErr w:type="gramEnd"/>
      <w:r w:rsidRPr="00800A14">
        <w:rPr>
          <w:b/>
          <w:i/>
          <w:szCs w:val="24"/>
        </w:rPr>
        <w:t xml:space="preserve">2. </w:t>
      </w:r>
      <w:r w:rsidRPr="00800A14">
        <w:rPr>
          <w:b/>
          <w:i/>
          <w:szCs w:val="24"/>
        </w:rPr>
        <w:tab/>
        <w:t>Niezależnie od ust. 1 oraz bez uszczerbku dla obowiązków pozostałych państw członkowskich dotyczących napełnienia odnośnych podziemnych magazynów gazu, cel w zakresie napełnienia dla każdego państwa członkowskiego, w którym znajdują się podziemne magazyny gazu, ogranicza si</w:t>
      </w:r>
      <w:r w:rsidR="00644241">
        <w:rPr>
          <w:b/>
          <w:i/>
          <w:szCs w:val="24"/>
        </w:rPr>
        <w:t>ę do wolumenu odpowiadającego 32,28</w:t>
      </w:r>
      <w:r w:rsidRPr="00800A14">
        <w:rPr>
          <w:b/>
          <w:i/>
          <w:szCs w:val="24"/>
        </w:rPr>
        <w:t> % średniego rocznego zużycia gazu w ciągu poprzednich pięciu lat w danym państwie członkowskim.</w:t>
      </w:r>
      <w:r w:rsidRPr="00EA6DC2">
        <w:rPr>
          <w:b/>
          <w:i/>
        </w:rPr>
        <w:t>”;</w:t>
      </w:r>
    </w:p>
    <w:p w14:paraId="6E6A5F8C" w14:textId="77777777" w:rsidR="00DC5C3B" w:rsidRPr="00EA6DC2" w:rsidRDefault="00F566A9" w:rsidP="00DC5C3B">
      <w:pPr>
        <w:pStyle w:val="NormalHanging12a"/>
        <w:ind w:left="1418"/>
        <w:rPr>
          <w:b/>
          <w:i/>
        </w:rPr>
      </w:pPr>
      <w:r>
        <w:rPr>
          <w:b/>
          <w:i/>
        </w:rPr>
        <w:t>d</w:t>
      </w:r>
      <w:r w:rsidR="00DC5C3B" w:rsidRPr="00EA6DC2">
        <w:rPr>
          <w:b/>
          <w:i/>
        </w:rPr>
        <w:t>)</w:t>
      </w:r>
      <w:r w:rsidR="00DC5C3B" w:rsidRPr="00EA6DC2">
        <w:rPr>
          <w:b/>
          <w:i/>
        </w:rPr>
        <w:tab/>
        <w:t>dodaje się ustępy w brzmieniu:</w:t>
      </w:r>
    </w:p>
    <w:p w14:paraId="01E07CB8" w14:textId="77777777" w:rsidR="00DC5C3B" w:rsidRPr="00EA6DC2" w:rsidRDefault="00DC5C3B" w:rsidP="00DC5C3B">
      <w:pPr>
        <w:pStyle w:val="NormalHanging12a"/>
        <w:ind w:left="1985"/>
        <w:rPr>
          <w:b/>
          <w:i/>
          <w:szCs w:val="24"/>
        </w:rPr>
      </w:pPr>
      <w:r w:rsidRPr="00EA6DC2">
        <w:rPr>
          <w:b/>
          <w:i/>
        </w:rPr>
        <w:t xml:space="preserve">„5 a. </w:t>
      </w:r>
      <w:r w:rsidRPr="00EA6DC2">
        <w:rPr>
          <w:b/>
          <w:i/>
        </w:rPr>
        <w:tab/>
        <w:t xml:space="preserve">Niezależnie od ust. 1 i bez uszczerbku dla obowiązku innych państw członkowskich dotyczącego napełnienia odnośnych podziemnych magazynów gazu państwa członkowskie mogą podjąć decyzję o odejściu o maksymalnie cztery punkty procentowe od celu w zakresie napełnienia określonego w ust. 1 dla każdego państwa członkowskiego, </w:t>
      </w:r>
      <w:r w:rsidRPr="00EA6DC2">
        <w:rPr>
          <w:b/>
          <w:i/>
        </w:rPr>
        <w:lastRenderedPageBreak/>
        <w:t>jeżeli warunki rynkowe są niekorzystne dla napełniania podziemnych magazynów gazu.</w:t>
      </w:r>
    </w:p>
    <w:p w14:paraId="1C1D3FE4" w14:textId="77777777" w:rsidR="00DC5C3B" w:rsidRPr="00EA6DC2" w:rsidRDefault="00DC5C3B" w:rsidP="00DC5C3B">
      <w:pPr>
        <w:pStyle w:val="NormalHanging12a"/>
        <w:ind w:left="1985"/>
        <w:rPr>
          <w:b/>
          <w:i/>
          <w:szCs w:val="24"/>
        </w:rPr>
      </w:pPr>
      <w:r w:rsidRPr="00EA6DC2">
        <w:rPr>
          <w:b/>
          <w:i/>
        </w:rPr>
        <w:t>5b.</w:t>
      </w:r>
      <w:r w:rsidRPr="00EA6DC2">
        <w:rPr>
          <w:b/>
          <w:i/>
        </w:rPr>
        <w:tab/>
        <w:t>W należycie uzasadnionych przypadkach utrzymujących się niekorzystnych warunków rynkowych oraz pod warunkiem, że bezpieczeństwo dostaw do Unii i państw członkowskich nie jest zagrożone, Komisja jest uprawniona do przyjmowania aktów delegowanych zgodnie z art. 19 w celu zmiany niniejszego rozporządzenia poprzez zwiększenie dozwolonego odejścia dla państw członkowskich, o którym mowa w ust. 5a, o maksymalnie 4 punkty procentowe.</w:t>
      </w:r>
    </w:p>
    <w:p w14:paraId="2928C547" w14:textId="77777777" w:rsidR="00DC5C3B" w:rsidRPr="00EA6DC2" w:rsidRDefault="00DC5C3B" w:rsidP="00DC5C3B">
      <w:pPr>
        <w:pStyle w:val="NormalHanging12a"/>
        <w:ind w:left="1985" w:firstLine="0"/>
        <w:rPr>
          <w:b/>
          <w:i/>
          <w:szCs w:val="24"/>
        </w:rPr>
      </w:pPr>
      <w:r w:rsidRPr="00EA6DC2">
        <w:rPr>
          <w:b/>
          <w:i/>
        </w:rPr>
        <w:t>Komisja w swojej ocenie bierze pod uwagę w szczególności poziom napełnienia magazynów w państwach członkowskich, globalną podaż gazu, sezonowe prognozy ENTSOG dotyczące podaży oraz oznaki manipulowania rynkiem. Może ona również uwzględniać środki wdrażane przez państwa członkowskie, np. środki zmniejszające zapotrzebowanie na gaz, które zapewniają równoważne redukcje gazu w następnym sezonie poboru.</w:t>
      </w:r>
    </w:p>
    <w:p w14:paraId="1C250F29" w14:textId="77777777" w:rsidR="00DC5C3B" w:rsidRPr="00EA6DC2" w:rsidRDefault="00DC5C3B" w:rsidP="00DC5C3B">
      <w:pPr>
        <w:pStyle w:val="NormalHanging12a"/>
        <w:ind w:left="1985"/>
        <w:rPr>
          <w:b/>
          <w:i/>
          <w:szCs w:val="24"/>
        </w:rPr>
      </w:pPr>
      <w:r w:rsidRPr="00EA6DC2">
        <w:rPr>
          <w:b/>
          <w:i/>
        </w:rPr>
        <w:t>5c.</w:t>
      </w:r>
      <w:r w:rsidRPr="00EA6DC2">
        <w:rPr>
          <w:b/>
          <w:i/>
        </w:rPr>
        <w:tab/>
        <w:t>Państwa członkowskie, o których mowa w ust. 2, mogą – na takich samych warunkach jak warunki przewidziane w ust. 5a – podjąć decyzję o odejściu o maksymalnie 1,55 % poniżej wielkości określonej w ust. 2.</w:t>
      </w:r>
    </w:p>
    <w:p w14:paraId="54C34D9E" w14:textId="77777777" w:rsidR="00DC5C3B" w:rsidRPr="00EA6DC2" w:rsidRDefault="00DC5C3B" w:rsidP="00DC5C3B">
      <w:pPr>
        <w:pStyle w:val="NormalHanging12a"/>
        <w:ind w:left="1985"/>
        <w:rPr>
          <w:b/>
          <w:i/>
          <w:szCs w:val="24"/>
        </w:rPr>
      </w:pPr>
      <w:r w:rsidRPr="00EA6DC2">
        <w:rPr>
          <w:b/>
          <w:i/>
        </w:rPr>
        <w:t>5d.</w:t>
      </w:r>
      <w:r w:rsidRPr="00EA6DC2">
        <w:rPr>
          <w:b/>
          <w:i/>
        </w:rPr>
        <w:tab/>
        <w:t>Przed odejściem od celu na podstawie ust. 5a i 5c każde państwo członkowskie konsultuje się z Komisją i bez zbędnej zwłoki przedstawia uzasadnienie swojej decyzji. Komisja niezwłocznie informuje GKG o skumulowanych skutkach wszystkich odejść od celu na podstawie ust. 5a i 5c oraz o wszelkich bezpośrednio dotkniętych państwach członkowskich.”;</w:t>
      </w:r>
    </w:p>
    <w:p w14:paraId="6385894D" w14:textId="77777777" w:rsidR="00DC5C3B" w:rsidRPr="00EA6DC2" w:rsidRDefault="00F566A9" w:rsidP="00DC5C3B">
      <w:pPr>
        <w:pStyle w:val="NormalHanging12a"/>
        <w:ind w:left="1418"/>
        <w:rPr>
          <w:b/>
          <w:i/>
        </w:rPr>
      </w:pPr>
      <w:r>
        <w:rPr>
          <w:b/>
          <w:i/>
        </w:rPr>
        <w:t>e</w:t>
      </w:r>
      <w:r w:rsidR="00DC5C3B" w:rsidRPr="00EA6DC2">
        <w:rPr>
          <w:b/>
          <w:i/>
        </w:rPr>
        <w:t>)</w:t>
      </w:r>
      <w:r w:rsidR="00DC5C3B" w:rsidRPr="00EA6DC2">
        <w:rPr>
          <w:b/>
          <w:i/>
        </w:rPr>
        <w:tab/>
        <w:t>ust. 6 i 7 otrzymują brzmienie:</w:t>
      </w:r>
    </w:p>
    <w:p w14:paraId="14F14630" w14:textId="77777777" w:rsidR="00DC5C3B" w:rsidRPr="00EA6DC2" w:rsidRDefault="00DC5C3B" w:rsidP="00DC5C3B">
      <w:pPr>
        <w:pStyle w:val="NormalHanging12a"/>
        <w:ind w:left="1985"/>
        <w:rPr>
          <w:szCs w:val="24"/>
        </w:rPr>
      </w:pPr>
      <w:r w:rsidRPr="00EA6DC2">
        <w:rPr>
          <w:b/>
          <w:i/>
        </w:rPr>
        <w:t>„6.</w:t>
      </w:r>
      <w:r w:rsidRPr="00EA6DC2">
        <w:tab/>
      </w:r>
      <w:r w:rsidRPr="00EA6DC2">
        <w:rPr>
          <w:b/>
          <w:i/>
        </w:rPr>
        <w:t>Aby osiągnąć cel w zakresie napełnienia, państwa członkowskie podejmują wszelkie niezbędne środki i dążą do realizacji planu napełniania określonego zgodnie z ust. 7.</w:t>
      </w:r>
    </w:p>
    <w:p w14:paraId="071E528B" w14:textId="77777777" w:rsidR="00DC5C3B" w:rsidRPr="00EA6DC2" w:rsidRDefault="00DC5C3B" w:rsidP="00DC5C3B">
      <w:pPr>
        <w:pStyle w:val="NormalHanging12a"/>
        <w:ind w:left="1985"/>
      </w:pPr>
      <w:r w:rsidRPr="00EA6DC2">
        <w:rPr>
          <w:b/>
          <w:i/>
        </w:rPr>
        <w:t>7.</w:t>
      </w:r>
      <w:r w:rsidRPr="00EA6DC2">
        <w:tab/>
      </w:r>
      <w:r w:rsidRPr="00EA6DC2">
        <w:rPr>
          <w:b/>
          <w:i/>
        </w:rPr>
        <w:t>Państwa członkowskie posiadające podziemne magazyny gazu w odpowiednim czasie przedkładają Komisji orientacyjny plan napełniania na cały rok kalendarzowy, aby osiągnąć roczny cel w zakresie napełnienia magazynów gazu określony w ust. 1. Plan ten zawiera informacje techniczne dotyczące podziemnych magazynów gazu na jego terytorium i jest bezpośrednio połączony z jego obszarem rynku, w formie zagregowanej.”;</w:t>
      </w:r>
    </w:p>
    <w:p w14:paraId="31514D54" w14:textId="77777777" w:rsidR="00DC5C3B" w:rsidRPr="00EA6DC2" w:rsidRDefault="00F566A9" w:rsidP="00DC5C3B">
      <w:pPr>
        <w:pStyle w:val="NormalHanging12a"/>
        <w:ind w:left="1418"/>
        <w:rPr>
          <w:b/>
          <w:i/>
        </w:rPr>
      </w:pPr>
      <w:r>
        <w:rPr>
          <w:b/>
          <w:i/>
        </w:rPr>
        <w:t>f</w:t>
      </w:r>
      <w:r w:rsidR="00DC5C3B" w:rsidRPr="00EA6DC2">
        <w:rPr>
          <w:b/>
          <w:i/>
        </w:rPr>
        <w:t>)</w:t>
      </w:r>
      <w:r w:rsidR="00DC5C3B" w:rsidRPr="00EA6DC2">
        <w:rPr>
          <w:b/>
          <w:i/>
        </w:rPr>
        <w:tab/>
        <w:t>uchyla się ust. 8;</w:t>
      </w:r>
    </w:p>
    <w:p w14:paraId="17105726" w14:textId="77777777" w:rsidR="00DC5C3B" w:rsidRPr="00EA6DC2" w:rsidRDefault="00F566A9" w:rsidP="00DC5C3B">
      <w:pPr>
        <w:pStyle w:val="NormalHanging12a"/>
        <w:ind w:left="1418"/>
        <w:rPr>
          <w:b/>
          <w:i/>
        </w:rPr>
      </w:pPr>
      <w:r>
        <w:rPr>
          <w:b/>
          <w:i/>
        </w:rPr>
        <w:t>g</w:t>
      </w:r>
      <w:r w:rsidR="00DC5C3B" w:rsidRPr="00EA6DC2">
        <w:rPr>
          <w:b/>
          <w:i/>
        </w:rPr>
        <w:t>)</w:t>
      </w:r>
      <w:r w:rsidR="00DC5C3B" w:rsidRPr="00EA6DC2">
        <w:rPr>
          <w:b/>
          <w:i/>
        </w:rPr>
        <w:tab/>
        <w:t>ust. 10 i 11 otrzymują brzmienie:</w:t>
      </w:r>
    </w:p>
    <w:p w14:paraId="68EC1928" w14:textId="77777777" w:rsidR="00DC5C3B" w:rsidRPr="00EA6DC2" w:rsidRDefault="00DC5C3B" w:rsidP="00DC5C3B">
      <w:pPr>
        <w:pStyle w:val="NormalHanging12a"/>
        <w:ind w:left="1985"/>
        <w:rPr>
          <w:b/>
          <w:i/>
        </w:rPr>
      </w:pPr>
      <w:r w:rsidRPr="00EA6DC2">
        <w:rPr>
          <w:b/>
          <w:i/>
        </w:rPr>
        <w:t>„10.</w:t>
      </w:r>
      <w:r w:rsidRPr="00EA6DC2">
        <w:rPr>
          <w:b/>
          <w:i/>
        </w:rPr>
        <w:tab/>
        <w:t xml:space="preserve">Właściwy organ każdego państwa członkowskiego stale monitoruje realizację celu w zakresie napełnienia określonego w planie </w:t>
      </w:r>
      <w:r w:rsidRPr="00EA6DC2">
        <w:rPr>
          <w:b/>
          <w:i/>
        </w:rPr>
        <w:lastRenderedPageBreak/>
        <w:t>napełniania oraz regularnie co najmniej raz w miesiącu składa sprawozdania Komisji i GKG. Jeżeli przewiduje się, że cel nie może zostać osiągnięty, właściwy organ niezwłocznie podejmuje skuteczne środki, aby osiągnąć ten cel. Państwa członkowskie informują Komisję oraz GKG o podjętych środkach.</w:t>
      </w:r>
    </w:p>
    <w:p w14:paraId="448DF0E4" w14:textId="77777777" w:rsidR="00DC5C3B" w:rsidRPr="00EA6DC2" w:rsidRDefault="00DC5C3B" w:rsidP="00DC5C3B">
      <w:pPr>
        <w:pStyle w:val="NormalHanging12a"/>
        <w:ind w:left="1985"/>
        <w:rPr>
          <w:b/>
          <w:i/>
          <w:szCs w:val="24"/>
        </w:rPr>
      </w:pPr>
      <w:r w:rsidRPr="00EA6DC2">
        <w:rPr>
          <w:b/>
          <w:i/>
        </w:rPr>
        <w:t>11.</w:t>
      </w:r>
      <w:r w:rsidRPr="00EA6DC2">
        <w:rPr>
          <w:b/>
          <w:i/>
        </w:rPr>
        <w:tab/>
        <w:t>W przypadku znacznego i trwałego odejścia od planu napełnienia przez państwo członkowskie, zagrażającego osiągnięciu celu w zakresie napełnienia, lub w przypadku odejścia od celu w zakresie napełniania, Komisja, w stosownych przypadkach, po konsultacji z GKG oraz zainteresowanymi państwami członkowskimi, wydaje zalecenie dla tego państwa członkowskiego lub innych zainteresowanych państw członkowskich dotyczące środków, które należy niezwłocznie podjąć, aby zaradzić temu odchyleniu od celu lub zminimalizować jego wpływ na bezpieczeństwo dostaw, biorąc pod uwagę między innymi ewentualne niekorzystne warunki rynkowe i specyfikę państw członkowskich, takie jak parametry techniczne i wielkość podziemnych magazynów gazu w stosunku do krajowego zużycia gazu, malejące znaczenie podziemnych instalacji magazynowania gazu niskokalorycznego dla bezpieczeństwa dostaw gazu oraz istniejące zdolności magazynowania LNG.</w:t>
      </w:r>
    </w:p>
    <w:p w14:paraId="145F411C" w14:textId="77777777" w:rsidR="00DC5C3B" w:rsidRPr="00EA6DC2" w:rsidRDefault="00DC5C3B" w:rsidP="00DC5C3B">
      <w:pPr>
        <w:pStyle w:val="NormalHanging12a"/>
        <w:ind w:left="1985"/>
        <w:rPr>
          <w:szCs w:val="24"/>
        </w:rPr>
      </w:pPr>
      <w:r w:rsidRPr="00EA6DC2">
        <w:rPr>
          <w:b/>
          <w:i/>
        </w:rPr>
        <w:t>11a.</w:t>
      </w:r>
      <w:r w:rsidRPr="00EA6DC2">
        <w:rPr>
          <w:b/>
          <w:i/>
        </w:rPr>
        <w:tab/>
        <w:t>Jeżeli państwo członkowskie nie spełni celu w zakresie napełniania określonego w ust. 1, a tym samym zagrozi bezpieczeństwu dostaw w Unii, Komisja przyjmuje akt wykonawczy ustanawiający plan napełniania dla tego państwa członkowskiego na kolejny rok, w oparciu o informacje techniczne przekazane przez każde państwo członkowskie i z uwzględnieniem oceny GKG. Ten akt wykonawczy przyjmuje się zgodnie z procedurą sprawdzającą, o której mowa w art. 18 a ust. 2. Opiera się on na ocenie ogólnego bezpieczeństwa sytuacji dostaw gazu oraz rozwoju zapotrzebowania na gaz oraz dostaw w Unii i poszczególnych państwach członkowskich w celu zabezpieczenia dostaw gazu.”;</w:t>
      </w:r>
    </w:p>
    <w:p w14:paraId="25518054" w14:textId="77777777" w:rsidR="00DC5C3B" w:rsidRPr="00EA6DC2" w:rsidRDefault="00DC5C3B" w:rsidP="00DC5C3B">
      <w:pPr>
        <w:pStyle w:val="NormalHanging12a"/>
        <w:ind w:left="851" w:hanging="851"/>
        <w:rPr>
          <w:b/>
          <w:i/>
          <w:szCs w:val="24"/>
        </w:rPr>
      </w:pPr>
      <w:r w:rsidRPr="00EA6DC2">
        <w:rPr>
          <w:b/>
          <w:i/>
        </w:rPr>
        <w:t>3)</w:t>
      </w:r>
      <w:r w:rsidRPr="00EA6DC2">
        <w:rPr>
          <w:b/>
          <w:i/>
        </w:rPr>
        <w:tab/>
        <w:t>w art. 6b wprowadza się następujące zmiany:</w:t>
      </w:r>
    </w:p>
    <w:p w14:paraId="42B4CFFC" w14:textId="77777777" w:rsidR="00DC5C3B" w:rsidRPr="00EA6DC2" w:rsidRDefault="00DC5C3B" w:rsidP="00DC5C3B">
      <w:pPr>
        <w:pStyle w:val="NormalHanging12a"/>
        <w:ind w:left="1418"/>
        <w:rPr>
          <w:b/>
          <w:i/>
        </w:rPr>
      </w:pPr>
      <w:r w:rsidRPr="00EA6DC2">
        <w:rPr>
          <w:b/>
          <w:i/>
        </w:rPr>
        <w:t>a)</w:t>
      </w:r>
      <w:r w:rsidRPr="00EA6DC2">
        <w:rPr>
          <w:b/>
          <w:i/>
        </w:rPr>
        <w:tab/>
        <w:t>tytuł otrzymuje brzmienie: „Realizacja celu w zakresie napełniania”;</w:t>
      </w:r>
    </w:p>
    <w:p w14:paraId="2D9BDC9A" w14:textId="77777777" w:rsidR="00DC5C3B" w:rsidRPr="00EA6DC2" w:rsidRDefault="00DC5C3B" w:rsidP="00DC5C3B">
      <w:pPr>
        <w:pStyle w:val="NormalHanging12a"/>
        <w:ind w:left="1418"/>
        <w:rPr>
          <w:b/>
          <w:i/>
        </w:rPr>
      </w:pPr>
      <w:r w:rsidRPr="00EA6DC2">
        <w:rPr>
          <w:b/>
          <w:i/>
        </w:rPr>
        <w:t>b)</w:t>
      </w:r>
      <w:r w:rsidRPr="00EA6DC2">
        <w:rPr>
          <w:b/>
          <w:i/>
        </w:rPr>
        <w:tab/>
        <w:t>ust. 1 akapit pierwszy otrzymuje brzmienie:</w:t>
      </w:r>
    </w:p>
    <w:p w14:paraId="4F6AC28E" w14:textId="77777777" w:rsidR="00DC5C3B" w:rsidRPr="00EA6DC2" w:rsidRDefault="00DC5C3B" w:rsidP="00DC5C3B">
      <w:pPr>
        <w:pStyle w:val="NormalHanging12a"/>
        <w:ind w:left="1985"/>
        <w:rPr>
          <w:szCs w:val="24"/>
        </w:rPr>
      </w:pPr>
      <w:r w:rsidRPr="00EA6DC2">
        <w:t>„1.</w:t>
      </w:r>
      <w:r w:rsidRPr="00EA6DC2">
        <w:rPr>
          <w:b/>
          <w:i/>
        </w:rPr>
        <w:tab/>
        <w:t>Państwa członkowskie podejmują wszelkie niezbędne środki, aby osiągnąć cel w zakresie napełnienia określony zgodnie z art. 6a. Zapewniając osiągnięcie celu w zakresie napełnienia, państwa członkowskie w miarę możliwości traktują priorytetowo środki rynkowe.”;</w:t>
      </w:r>
    </w:p>
    <w:p w14:paraId="4DB6ADC8" w14:textId="77777777" w:rsidR="00DC5C3B" w:rsidRPr="00EA6DC2" w:rsidRDefault="00DC5C3B" w:rsidP="00DC5C3B">
      <w:pPr>
        <w:pStyle w:val="NormalHanging12a"/>
        <w:ind w:left="1418"/>
        <w:rPr>
          <w:b/>
          <w:i/>
        </w:rPr>
      </w:pPr>
      <w:r w:rsidRPr="00EA6DC2">
        <w:rPr>
          <w:b/>
          <w:i/>
        </w:rPr>
        <w:t>c)</w:t>
      </w:r>
      <w:r w:rsidRPr="00EA6DC2">
        <w:rPr>
          <w:b/>
          <w:i/>
        </w:rPr>
        <w:tab/>
        <w:t xml:space="preserve">ustęp 2 otrzymuje następujące brzmienie: </w:t>
      </w:r>
    </w:p>
    <w:p w14:paraId="7435B695" w14:textId="77777777" w:rsidR="00DC5C3B" w:rsidRPr="00EA6DC2" w:rsidRDefault="00DC5C3B" w:rsidP="00DC5C3B">
      <w:pPr>
        <w:pStyle w:val="NormalHanging12a"/>
        <w:ind w:left="1985"/>
        <w:rPr>
          <w:szCs w:val="24"/>
        </w:rPr>
      </w:pPr>
      <w:r w:rsidRPr="00EA6DC2">
        <w:rPr>
          <w:b/>
          <w:i/>
        </w:rPr>
        <w:t>„2.</w:t>
      </w:r>
      <w:r w:rsidRPr="00EA6DC2">
        <w:rPr>
          <w:b/>
          <w:i/>
        </w:rPr>
        <w:tab/>
        <w:t xml:space="preserve">Środki podjęte przez państwa członkowskie na podstawie ust. 1 ograniczają się do tego, co jest konieczne do osiągnięcia celu w zakresie napełnienia. Muszą być jasno określone, przejrzyste, proporcjonalne, </w:t>
      </w:r>
      <w:r w:rsidRPr="00EA6DC2">
        <w:rPr>
          <w:b/>
          <w:i/>
        </w:rPr>
        <w:lastRenderedPageBreak/>
        <w:t>niedyskryminacyjne i weryfikowalne. Nie mogą nadmiernie zakłócać konkurencji lub prawidłowego funkcjonowania rynku wewnętrznego gazu, nienależycie zwiększać kosztów energii ani zagrażać bezpieczeństwu dostaw gazu do innych państw członkowskich lub Unii.</w:t>
      </w:r>
      <w:r w:rsidRPr="00EA6DC2">
        <w:t xml:space="preserve"> </w:t>
      </w:r>
      <w:r w:rsidRPr="00EA6DC2">
        <w:rPr>
          <w:b/>
          <w:i/>
        </w:rPr>
        <w:t>Państwa członkowskie informują Komisję oraz GKG o wszelkich takich środkach.”;</w:t>
      </w:r>
    </w:p>
    <w:p w14:paraId="4BAA65AB" w14:textId="77777777" w:rsidR="00DC5C3B" w:rsidRPr="00EA6DC2" w:rsidRDefault="00DC5C3B" w:rsidP="00DC5C3B">
      <w:pPr>
        <w:pStyle w:val="NormalHanging12a"/>
        <w:ind w:left="851" w:hanging="851"/>
        <w:rPr>
          <w:b/>
          <w:i/>
          <w:szCs w:val="24"/>
        </w:rPr>
      </w:pPr>
      <w:r w:rsidRPr="00EA6DC2">
        <w:rPr>
          <w:b/>
          <w:i/>
        </w:rPr>
        <w:t>4)</w:t>
      </w:r>
      <w:r w:rsidRPr="00EA6DC2">
        <w:rPr>
          <w:b/>
          <w:i/>
        </w:rPr>
        <w:tab/>
        <w:t>w art. 6c wprowadza się następujące zmiany:</w:t>
      </w:r>
    </w:p>
    <w:p w14:paraId="630B2E8E" w14:textId="77777777" w:rsidR="00DC5C3B" w:rsidRPr="00EA6DC2" w:rsidRDefault="00DC5C3B" w:rsidP="00DC5C3B">
      <w:pPr>
        <w:pStyle w:val="NormalHanging12a"/>
        <w:ind w:left="1418"/>
        <w:rPr>
          <w:b/>
          <w:i/>
        </w:rPr>
      </w:pPr>
      <w:r w:rsidRPr="00EA6DC2">
        <w:rPr>
          <w:b/>
          <w:i/>
        </w:rPr>
        <w:t>a)</w:t>
      </w:r>
      <w:r w:rsidRPr="00EA6DC2">
        <w:rPr>
          <w:b/>
          <w:i/>
        </w:rPr>
        <w:tab/>
        <w:t>ust. 1 akapit pierwszy otrzymuje brzmienie:</w:t>
      </w:r>
    </w:p>
    <w:p w14:paraId="3F05EAD5" w14:textId="77777777" w:rsidR="00DC5C3B" w:rsidRPr="00EA6DC2" w:rsidRDefault="00DC5C3B" w:rsidP="00DC5C3B">
      <w:pPr>
        <w:pStyle w:val="NormalHanging12a"/>
        <w:ind w:left="1985"/>
        <w:rPr>
          <w:b/>
          <w:i/>
          <w:szCs w:val="24"/>
        </w:rPr>
      </w:pPr>
      <w:r w:rsidRPr="00EA6DC2">
        <w:rPr>
          <w:b/>
          <w:i/>
        </w:rPr>
        <w:t>„1.</w:t>
      </w:r>
      <w:r w:rsidRPr="00EA6DC2">
        <w:rPr>
          <w:b/>
          <w:i/>
        </w:rPr>
        <w:tab/>
        <w:t>Państwo członkowskie bez podziemnych magazynów gazu zapewnia, aby uczestnicy rynku w tym państwie członkowskim dokonywali uzgodnień z operatorami podziemnego systemu magazynowania lub innymi uczestnikami rynku w państwach członkowskich z podziemnymi magazynami gazu. Uzgodnienia te przewidują wykorzystanie – do dnia 1 grudnia– pojemności magazynowych odpowiadających co najmniej 15 % średniego rocznego zużycia gazu w ciągu poprzednich pięciu lat w państwie członkowskim bez podziemnych magazynów gazu. Jednakże w przypadku gdy transgraniczna zdolność przesyłowa lub inne ograniczenia techniczne uniemożliwiają państwu członkowskiemu bez podziemnych magazynów gazu pełne wykorzystanie 15 % tych pojemności magazynowych, to państwo członkowskie wykorzystuje jedynie technicznie możliwe pojemności.”;</w:t>
      </w:r>
    </w:p>
    <w:p w14:paraId="610EC0C6" w14:textId="77777777" w:rsidR="00DC5C3B" w:rsidRPr="00EA6DC2" w:rsidRDefault="00DC5C3B" w:rsidP="00DC5C3B">
      <w:pPr>
        <w:pStyle w:val="NormalHanging12a"/>
        <w:ind w:left="1418"/>
        <w:rPr>
          <w:b/>
          <w:i/>
          <w:szCs w:val="22"/>
        </w:rPr>
      </w:pPr>
      <w:r w:rsidRPr="00EA6DC2">
        <w:rPr>
          <w:b/>
          <w:i/>
        </w:rPr>
        <w:t>b)</w:t>
      </w:r>
      <w:r w:rsidRPr="00EA6DC2">
        <w:rPr>
          <w:b/>
          <w:i/>
        </w:rPr>
        <w:tab/>
        <w:t>w ust. 2 akapit drugi otrzymuje brzmienie:</w:t>
      </w:r>
    </w:p>
    <w:p w14:paraId="0E064C24" w14:textId="77777777" w:rsidR="00DC5C3B" w:rsidRPr="00EA6DC2" w:rsidRDefault="00DC5C3B" w:rsidP="00DC5C3B">
      <w:pPr>
        <w:pStyle w:val="NormalHanging12a"/>
        <w:ind w:left="1418" w:firstLine="0"/>
        <w:rPr>
          <w:b/>
          <w:i/>
          <w:szCs w:val="24"/>
        </w:rPr>
      </w:pPr>
      <w:r w:rsidRPr="00EA6DC2">
        <w:rPr>
          <w:b/>
          <w:i/>
        </w:rPr>
        <w:t>„Państwa członkowskie bez podziemnych magazynów gazu wykazują, że przestrzegają ust. 1 oraz powiadamiają o tym Komisję.”;</w:t>
      </w:r>
    </w:p>
    <w:p w14:paraId="22A3BD3F" w14:textId="77777777" w:rsidR="00DC5C3B" w:rsidRPr="00EA6DC2" w:rsidRDefault="00DC5C3B" w:rsidP="00DC5C3B">
      <w:pPr>
        <w:pStyle w:val="NormalHanging12a"/>
        <w:tabs>
          <w:tab w:val="left" w:pos="1418"/>
        </w:tabs>
        <w:ind w:left="1418"/>
      </w:pPr>
      <w:r w:rsidRPr="00EA6DC2">
        <w:rPr>
          <w:b/>
          <w:i/>
        </w:rPr>
        <w:t>c)</w:t>
      </w:r>
      <w:r w:rsidRPr="00EA6DC2">
        <w:rPr>
          <w:b/>
          <w:i/>
        </w:rPr>
        <w:tab/>
        <w:t>ust. 5 akapit pierwszy lit. a) otrzymuje brzmienie:</w:t>
      </w:r>
      <w:r w:rsidRPr="00EA6DC2">
        <w:t xml:space="preserve"> </w:t>
      </w:r>
    </w:p>
    <w:p w14:paraId="7E9FEE41" w14:textId="77777777" w:rsidR="00DC5C3B" w:rsidRPr="00EA6DC2" w:rsidRDefault="00DC5C3B" w:rsidP="00DC5C3B">
      <w:pPr>
        <w:pStyle w:val="NormalHanging12a"/>
        <w:ind w:left="1985"/>
        <w:rPr>
          <w:b/>
          <w:i/>
          <w:szCs w:val="24"/>
        </w:rPr>
      </w:pPr>
      <w:r w:rsidRPr="00EA6DC2">
        <w:rPr>
          <w:b/>
          <w:i/>
        </w:rPr>
        <w:t>„a)</w:t>
      </w:r>
      <w:r w:rsidRPr="00EA6DC2">
        <w:rPr>
          <w:b/>
          <w:i/>
        </w:rPr>
        <w:tab/>
        <w:t>zapewniają, aby do dnia 1 grudnia pojemności magazynowe odpowiadały co najmniej średniemu wykorzystaniu zdolności magazynowania w ciągu poprzednich pięciu lat, wyliczanej między innymi poprzez uwzględnienie przepływów w sezonie poboru w ciągu poprzednich pięciu lat z państw członkowskich, w których znajdują się instalacje magazynowe; lub”;</w:t>
      </w:r>
    </w:p>
    <w:p w14:paraId="588421AF" w14:textId="77777777" w:rsidR="00DC5C3B" w:rsidRPr="00EA6DC2" w:rsidRDefault="00DC5C3B" w:rsidP="00DC5C3B">
      <w:pPr>
        <w:pStyle w:val="NormalHanging12a"/>
        <w:ind w:left="1418"/>
        <w:rPr>
          <w:b/>
          <w:i/>
        </w:rPr>
      </w:pPr>
      <w:r w:rsidRPr="00EA6DC2">
        <w:rPr>
          <w:b/>
          <w:i/>
        </w:rPr>
        <w:t>d)</w:t>
      </w:r>
      <w:r w:rsidRPr="00EA6DC2">
        <w:rPr>
          <w:b/>
          <w:i/>
        </w:rPr>
        <w:tab/>
        <w:t>ust. 6 otrzymuje brzmienie:</w:t>
      </w:r>
    </w:p>
    <w:p w14:paraId="600D09F8" w14:textId="77777777" w:rsidR="00DC5C3B" w:rsidRPr="00EA6DC2" w:rsidRDefault="00DC5C3B" w:rsidP="00DC5C3B">
      <w:pPr>
        <w:pStyle w:val="NormalHanging12a"/>
        <w:ind w:left="1985"/>
        <w:rPr>
          <w:b/>
          <w:i/>
          <w:szCs w:val="24"/>
        </w:rPr>
      </w:pPr>
      <w:r w:rsidRPr="00EA6DC2">
        <w:rPr>
          <w:b/>
          <w:i/>
        </w:rPr>
        <w:t>„6.</w:t>
      </w:r>
      <w:r w:rsidRPr="00EA6DC2">
        <w:rPr>
          <w:b/>
          <w:i/>
        </w:rPr>
        <w:tab/>
        <w:t xml:space="preserve">O ile w załączniku </w:t>
      </w:r>
      <w:proofErr w:type="spellStart"/>
      <w:r w:rsidRPr="00EA6DC2">
        <w:rPr>
          <w:b/>
          <w:i/>
        </w:rPr>
        <w:t>Ib</w:t>
      </w:r>
      <w:proofErr w:type="spellEnd"/>
      <w:r w:rsidRPr="00EA6DC2">
        <w:rPr>
          <w:b/>
          <w:i/>
        </w:rPr>
        <w:t xml:space="preserve"> nie określono inaczej, w przypadku podziemnych magazynów gazu znajdujących się w jednym państwie członkowskim, które nie są objęte ust. 5, ale są bezpośrednio połączone z obszarem rynku innego państwa członkowskiego, to inne państwo członkowskie zapewnia, aby między 1 października a 1 grudnia pojemności magazynowe odpowiadały co najmniej średnim pojemnościom magazynowym zarezerwowanym w danym punkcie transgranicznym w ciągu poprzednich pięciu lat.”;</w:t>
      </w:r>
    </w:p>
    <w:p w14:paraId="6F444F4D" w14:textId="77777777" w:rsidR="00DC5C3B" w:rsidRPr="00EA6DC2" w:rsidRDefault="00DC5C3B" w:rsidP="00DC5C3B">
      <w:pPr>
        <w:pStyle w:val="NormalHanging12a"/>
        <w:ind w:left="851" w:hanging="851"/>
        <w:rPr>
          <w:b/>
          <w:i/>
        </w:rPr>
      </w:pPr>
      <w:r w:rsidRPr="00EA6DC2">
        <w:rPr>
          <w:b/>
          <w:i/>
        </w:rPr>
        <w:t>5)</w:t>
      </w:r>
      <w:r w:rsidRPr="00EA6DC2">
        <w:rPr>
          <w:b/>
          <w:i/>
        </w:rPr>
        <w:tab/>
        <w:t>w art. 6d wprowadza się następujące zmiany:</w:t>
      </w:r>
    </w:p>
    <w:p w14:paraId="2AA31F81" w14:textId="77777777" w:rsidR="00DC5C3B" w:rsidRPr="00EA6DC2" w:rsidRDefault="00DC5C3B" w:rsidP="00DC5C3B">
      <w:pPr>
        <w:pStyle w:val="NormalHanging12a"/>
        <w:ind w:left="1418"/>
        <w:rPr>
          <w:b/>
          <w:i/>
        </w:rPr>
      </w:pPr>
      <w:r w:rsidRPr="00EA6DC2">
        <w:rPr>
          <w:b/>
          <w:i/>
        </w:rPr>
        <w:lastRenderedPageBreak/>
        <w:t>a)</w:t>
      </w:r>
      <w:r w:rsidRPr="00EA6DC2">
        <w:rPr>
          <w:b/>
          <w:i/>
        </w:rPr>
        <w:tab/>
        <w:t>ust. 1 i 2 otrzymują brzmienie:</w:t>
      </w:r>
    </w:p>
    <w:p w14:paraId="4EFC6C4F" w14:textId="77777777" w:rsidR="00DC5C3B" w:rsidRPr="00EA6DC2" w:rsidRDefault="00DC5C3B" w:rsidP="00DC5C3B">
      <w:pPr>
        <w:pStyle w:val="NormalHanging12a"/>
        <w:ind w:left="1985"/>
        <w:rPr>
          <w:b/>
          <w:i/>
          <w:szCs w:val="24"/>
        </w:rPr>
      </w:pPr>
      <w:r w:rsidRPr="00EA6DC2">
        <w:rPr>
          <w:b/>
          <w:i/>
        </w:rPr>
        <w:t>„1.</w:t>
      </w:r>
      <w:r w:rsidRPr="00EA6DC2">
        <w:rPr>
          <w:b/>
          <w:i/>
        </w:rPr>
        <w:tab/>
        <w:t>Operatorzy systemów magazynowania zgłaszają poziom napełnienia właściwemu organowi w każdym państwie członkowskim, w którym znajdują się odnośne podziemne magazyny gazu, oraz – w stosownych przypadkach – podmiotowi wyznaczonemu przez dane państwo członkowskie (zwanemu dalej „wyznaczonym podmiotem”) zgodnie z art. 6a.</w:t>
      </w:r>
    </w:p>
    <w:p w14:paraId="44D3E160" w14:textId="77777777" w:rsidR="00DC5C3B" w:rsidRPr="00EA6DC2" w:rsidRDefault="00DC5C3B" w:rsidP="00DC5C3B">
      <w:pPr>
        <w:pStyle w:val="NormalHanging12a"/>
        <w:ind w:left="1985"/>
        <w:rPr>
          <w:szCs w:val="24"/>
        </w:rPr>
      </w:pPr>
      <w:r w:rsidRPr="00EA6DC2">
        <w:rPr>
          <w:b/>
          <w:i/>
        </w:rPr>
        <w:t>2.</w:t>
      </w:r>
      <w:r w:rsidRPr="00EA6DC2">
        <w:rPr>
          <w:b/>
          <w:i/>
        </w:rPr>
        <w:tab/>
        <w:t>Właściwy organ oraz – w stosownych przypadkach – wyznaczony podmiot z każdego państwa członkowskiego monitorują poziomy napełnienia podziemnych magazynów gazu na swoich terytoriach pod koniec każdego miesiąca i bez żadnej zwłoki przekazują rezultaty Komisji co miesiąc. Właściwy organ przekazuje również informacje na temat udziału procentowego gazu pochodzącego z Federacji Rosyjskiej magazynowanego w tym państwie członkowskim, jeżeli informacje takie są dostępne.</w:t>
      </w:r>
    </w:p>
    <w:p w14:paraId="0F79EF14" w14:textId="77777777" w:rsidR="00DC5C3B" w:rsidRPr="00EA6DC2" w:rsidRDefault="00DC5C3B" w:rsidP="00DC5C3B">
      <w:pPr>
        <w:pStyle w:val="NormalHanging12a"/>
        <w:ind w:left="1985" w:firstLine="0"/>
        <w:rPr>
          <w:b/>
          <w:i/>
        </w:rPr>
      </w:pPr>
      <w:r w:rsidRPr="00EA6DC2">
        <w:rPr>
          <w:b/>
          <w:i/>
        </w:rPr>
        <w:t>W stosownych przypadkach Komisja może zwrócić się do Agencji Unii Europejskiej ds. Współpracy Organów Regulacji Energetyki (ACER) o wsparcie w takim monitorowaniu.”;</w:t>
      </w:r>
    </w:p>
    <w:p w14:paraId="53D58584" w14:textId="77777777" w:rsidR="00DC5C3B" w:rsidRPr="00EA6DC2" w:rsidRDefault="00DC5C3B" w:rsidP="00DC5C3B">
      <w:pPr>
        <w:pStyle w:val="NormalHanging12a"/>
        <w:ind w:left="1418"/>
        <w:rPr>
          <w:b/>
          <w:i/>
        </w:rPr>
      </w:pPr>
      <w:r w:rsidRPr="00EA6DC2">
        <w:rPr>
          <w:b/>
          <w:i/>
        </w:rPr>
        <w:t>b)</w:t>
      </w:r>
      <w:r w:rsidRPr="00EA6DC2">
        <w:rPr>
          <w:b/>
          <w:i/>
        </w:rPr>
        <w:tab/>
        <w:t>ust. 4 i 5 otrzymują brzmienie:</w:t>
      </w:r>
    </w:p>
    <w:p w14:paraId="416FFC15" w14:textId="77777777" w:rsidR="00DC5C3B" w:rsidRPr="00EA6DC2" w:rsidRDefault="00DC5C3B" w:rsidP="00DC5C3B">
      <w:pPr>
        <w:pStyle w:val="NormalHanging12a"/>
        <w:ind w:left="1985"/>
        <w:rPr>
          <w:b/>
          <w:i/>
          <w:szCs w:val="24"/>
        </w:rPr>
      </w:pPr>
      <w:r w:rsidRPr="00EA6DC2">
        <w:rPr>
          <w:b/>
          <w:i/>
        </w:rPr>
        <w:t>„4.</w:t>
      </w:r>
      <w:r w:rsidRPr="00EA6DC2">
        <w:rPr>
          <w:b/>
          <w:i/>
        </w:rPr>
        <w:tab/>
        <w:t>GKG wspiera Komisję w monitorowaniu celu w zakresie napełniania oraz opracowuje wytyczne dla Komisji w sprawie odpowiednich środków mających na celu zapewnienie lepszego dostosowania w przypadku, gdy poziomy napełnienia osiągnięte przez te państwa członkowskie zagrażają osiągnięciu celu w zakresie napełniania, lub mających na celu zapewnienie zgodności z celem w zakresie napełniania.</w:t>
      </w:r>
    </w:p>
    <w:p w14:paraId="00269763" w14:textId="2C671AB0" w:rsidR="00DC5C3B" w:rsidRPr="00EA6DC2" w:rsidRDefault="00DC5C3B" w:rsidP="00DC5C3B">
      <w:pPr>
        <w:pStyle w:val="NormalHanging12a"/>
        <w:ind w:left="1985"/>
        <w:rPr>
          <w:b/>
          <w:i/>
          <w:szCs w:val="24"/>
        </w:rPr>
      </w:pPr>
      <w:r w:rsidRPr="00EA6DC2">
        <w:rPr>
          <w:b/>
          <w:i/>
        </w:rPr>
        <w:t>4a.</w:t>
      </w:r>
      <w:r w:rsidRPr="00EA6DC2">
        <w:rPr>
          <w:b/>
          <w:i/>
        </w:rPr>
        <w:tab/>
        <w:t>W stosownych przypadkach Komisja wdraża środki pomagające państwom członkowskim w osiągnięciu celu w zakresie napełniania, w tym środki zachęcające do udziału w agregacji zapotrzebowania i mechanizmu wspólnych zakupów na mocy rozporządzenia (UE)</w:t>
      </w:r>
      <w:r w:rsidR="00071397">
        <w:rPr>
          <w:b/>
          <w:i/>
        </w:rPr>
        <w:t xml:space="preserve"> </w:t>
      </w:r>
      <w:r w:rsidRPr="00EA6DC2">
        <w:rPr>
          <w:b/>
          <w:i/>
        </w:rPr>
        <w:t>2022/2576 („</w:t>
      </w:r>
      <w:proofErr w:type="spellStart"/>
      <w:r w:rsidRPr="00EA6DC2">
        <w:rPr>
          <w:b/>
          <w:i/>
        </w:rPr>
        <w:t>AggregateEU</w:t>
      </w:r>
      <w:proofErr w:type="spellEnd"/>
      <w:proofErr w:type="gramStart"/>
      <w:r w:rsidRPr="00EA6DC2">
        <w:rPr>
          <w:b/>
          <w:i/>
        </w:rPr>
        <w:t>”)</w:t>
      </w:r>
      <w:r w:rsidRPr="00EA6DC2">
        <w:rPr>
          <w:b/>
          <w:i/>
          <w:vertAlign w:val="superscript"/>
        </w:rPr>
        <w:t>*</w:t>
      </w:r>
      <w:proofErr w:type="gramEnd"/>
      <w:r w:rsidRPr="00EA6DC2">
        <w:rPr>
          <w:rStyle w:val="FootnoteReference"/>
          <w:b/>
          <w:i/>
        </w:rPr>
        <w:t xml:space="preserve"> </w:t>
      </w:r>
      <w:r w:rsidRPr="00EA6DC2">
        <w:rPr>
          <w:b/>
          <w:i/>
        </w:rPr>
        <w:t>.</w:t>
      </w:r>
    </w:p>
    <w:p w14:paraId="638A57B3" w14:textId="77777777" w:rsidR="00DC5C3B" w:rsidRPr="00EA6DC2" w:rsidRDefault="00DC5C3B" w:rsidP="00DC5C3B">
      <w:pPr>
        <w:pStyle w:val="NormalHanging12a"/>
        <w:ind w:left="1985"/>
        <w:rPr>
          <w:b/>
          <w:i/>
        </w:rPr>
      </w:pPr>
      <w:r w:rsidRPr="00EA6DC2">
        <w:rPr>
          <w:b/>
          <w:i/>
        </w:rPr>
        <w:t>5.</w:t>
      </w:r>
      <w:r w:rsidRPr="00EA6DC2">
        <w:rPr>
          <w:b/>
          <w:i/>
        </w:rPr>
        <w:tab/>
        <w:t>Państwa członkowskie oraz, w stosownych przypadkach, Komisja podejmują niezbędne środki, aby osiągnąć cel w zakresie napełnienia oraz aby wyegzekwować od uczestników rynku obowiązki w zakresie magazynowania. Środki te mogą obejmować wystarczająco odstraszające sankcje i grzywny, np. odpowiednie kary finansowe.</w:t>
      </w:r>
    </w:p>
    <w:p w14:paraId="4D536AB6" w14:textId="77777777" w:rsidR="00DC5C3B" w:rsidRPr="00EA6DC2" w:rsidRDefault="00DC5C3B" w:rsidP="00DC5C3B">
      <w:pPr>
        <w:pStyle w:val="NormalHanging12a"/>
        <w:ind w:left="1985"/>
        <w:rPr>
          <w:b/>
          <w:i/>
        </w:rPr>
      </w:pPr>
      <w:r w:rsidRPr="00EA6DC2">
        <w:rPr>
          <w:b/>
          <w:i/>
        </w:rPr>
        <w:t>___________________</w:t>
      </w:r>
    </w:p>
    <w:p w14:paraId="14319393" w14:textId="77777777" w:rsidR="00DC5C3B" w:rsidRPr="00EA6DC2" w:rsidRDefault="00DC5C3B" w:rsidP="00DC5C3B">
      <w:pPr>
        <w:pStyle w:val="NormalHanging12a"/>
        <w:ind w:left="1985"/>
        <w:rPr>
          <w:b/>
          <w:i/>
        </w:rPr>
      </w:pPr>
      <w:r w:rsidRPr="00EA6DC2">
        <w:rPr>
          <w:b/>
          <w:i/>
        </w:rPr>
        <w:t>*</w:t>
      </w:r>
      <w:r w:rsidRPr="00EA6DC2">
        <w:rPr>
          <w:b/>
          <w:i/>
        </w:rPr>
        <w:tab/>
        <w:t>Rozporządzenie Rady (UE) 2022/2576 z dnia 19 grudnia 2022 r. w sprawie zwiększenia solidarności dzięki lepszej koordynacji zakupów gazu, wiarygodnym poziomom odniesienia cen i transgranicznej wymianie gazu (Dz.U. L 335 z 29.12.2022, s. 1, ELI: http://data.europa.eu/eli/reg/2022/2576/oj).”;</w:t>
      </w:r>
    </w:p>
    <w:p w14:paraId="4CF71E81" w14:textId="77777777" w:rsidR="00DC5C3B" w:rsidRPr="00EA6DC2" w:rsidRDefault="00DC5C3B" w:rsidP="00DC5C3B">
      <w:pPr>
        <w:pStyle w:val="NormalHanging12a"/>
        <w:ind w:left="851" w:hanging="851"/>
        <w:rPr>
          <w:b/>
          <w:i/>
          <w:szCs w:val="24"/>
        </w:rPr>
      </w:pPr>
      <w:r w:rsidRPr="00EA6DC2">
        <w:rPr>
          <w:b/>
          <w:i/>
        </w:rPr>
        <w:lastRenderedPageBreak/>
        <w:t>6)</w:t>
      </w:r>
      <w:r w:rsidRPr="00EA6DC2">
        <w:rPr>
          <w:b/>
          <w:i/>
        </w:rPr>
        <w:tab/>
        <w:t>w art. 17a ust. 1 dodaje się literę w brzmieniu:</w:t>
      </w:r>
    </w:p>
    <w:p w14:paraId="3F5A2C3B" w14:textId="77777777" w:rsidR="00DC5C3B" w:rsidRPr="00EA6DC2" w:rsidRDefault="00DC5C3B" w:rsidP="00DC5C3B">
      <w:pPr>
        <w:pStyle w:val="NormalHanging12a"/>
        <w:ind w:left="1418"/>
        <w:rPr>
          <w:b/>
          <w:i/>
          <w:szCs w:val="24"/>
        </w:rPr>
      </w:pPr>
      <w:r w:rsidRPr="00EA6DC2">
        <w:rPr>
          <w:b/>
          <w:i/>
        </w:rPr>
        <w:t>„da)</w:t>
      </w:r>
      <w:r w:rsidRPr="00EA6DC2">
        <w:rPr>
          <w:b/>
          <w:i/>
        </w:rPr>
        <w:tab/>
        <w:t>informacje na temat udziału procentowego gazu pochodzącego z Federacji Rosyjskiej składowanego w magazynach UE, przekazane przez państwa członkowskie zgodnie z art. 6d ust. 2.”;</w:t>
      </w:r>
    </w:p>
    <w:p w14:paraId="015FA675" w14:textId="77777777" w:rsidR="00DC5C3B" w:rsidRPr="00EA6DC2" w:rsidRDefault="00DC5C3B" w:rsidP="00DC5C3B">
      <w:pPr>
        <w:pStyle w:val="NormalHanging12a"/>
        <w:ind w:left="851" w:hanging="851"/>
        <w:rPr>
          <w:b/>
          <w:i/>
          <w:szCs w:val="24"/>
        </w:rPr>
      </w:pPr>
      <w:r w:rsidRPr="00EA6DC2">
        <w:rPr>
          <w:b/>
          <w:i/>
        </w:rPr>
        <w:t>7)</w:t>
      </w:r>
      <w:r w:rsidRPr="00EA6DC2">
        <w:rPr>
          <w:b/>
          <w:i/>
        </w:rPr>
        <w:tab/>
        <w:t>art. 22 akapit czwarty otrzymuje brzmienie:</w:t>
      </w:r>
    </w:p>
    <w:p w14:paraId="4D8193DF" w14:textId="77777777" w:rsidR="00DC5C3B" w:rsidRPr="00EA6DC2" w:rsidRDefault="00DC5C3B" w:rsidP="00DC5C3B">
      <w:pPr>
        <w:pStyle w:val="NormalHanging12a"/>
        <w:ind w:left="851" w:firstLine="0"/>
        <w:rPr>
          <w:b/>
          <w:i/>
          <w:szCs w:val="24"/>
        </w:rPr>
      </w:pPr>
      <w:r w:rsidRPr="00EA6DC2">
        <w:rPr>
          <w:b/>
          <w:i/>
        </w:rPr>
        <w:t xml:space="preserve">„Art. 2 pkt 27–31, art. 6a–6d, art. 16 ust. 3, art. 17a, art. 18a, art. 20 ust. 4 oraz załącznik </w:t>
      </w:r>
      <w:proofErr w:type="spellStart"/>
      <w:r w:rsidRPr="00EA6DC2">
        <w:rPr>
          <w:b/>
          <w:i/>
        </w:rPr>
        <w:t>Ib</w:t>
      </w:r>
      <w:proofErr w:type="spellEnd"/>
      <w:r w:rsidRPr="00EA6DC2">
        <w:rPr>
          <w:b/>
          <w:i/>
        </w:rPr>
        <w:t xml:space="preserve"> stosuje się do dnia 31 grudnia 2027 r.”;</w:t>
      </w:r>
    </w:p>
    <w:p w14:paraId="7F12A2C8" w14:textId="77777777" w:rsidR="00DC5C3B" w:rsidRPr="00EA6DC2" w:rsidRDefault="00DC5C3B" w:rsidP="00DC5C3B">
      <w:pPr>
        <w:pStyle w:val="NormalHanging12a"/>
        <w:ind w:left="851" w:hanging="851"/>
        <w:rPr>
          <w:b/>
          <w:i/>
          <w:szCs w:val="24"/>
        </w:rPr>
      </w:pPr>
      <w:r w:rsidRPr="00EA6DC2">
        <w:rPr>
          <w:b/>
          <w:i/>
        </w:rPr>
        <w:t>8)</w:t>
      </w:r>
      <w:r w:rsidRPr="00EA6DC2">
        <w:rPr>
          <w:b/>
          <w:i/>
        </w:rPr>
        <w:tab/>
        <w:t xml:space="preserve">skreśla się załącznik </w:t>
      </w:r>
      <w:proofErr w:type="spellStart"/>
      <w:r w:rsidRPr="00EA6DC2">
        <w:rPr>
          <w:b/>
          <w:i/>
        </w:rPr>
        <w:t>Ia</w:t>
      </w:r>
      <w:proofErr w:type="spellEnd"/>
      <w:r w:rsidRPr="00EA6DC2">
        <w:rPr>
          <w:b/>
          <w:i/>
        </w:rPr>
        <w:t>.</w:t>
      </w:r>
    </w:p>
    <w:p w14:paraId="08FBD6FC" w14:textId="77777777" w:rsidR="00DC5C3B" w:rsidRPr="00EA6DC2" w:rsidRDefault="00DC5C3B" w:rsidP="00DC5C3B">
      <w:pPr>
        <w:rPr>
          <w:noProof/>
        </w:rPr>
      </w:pPr>
    </w:p>
    <w:p w14:paraId="40732CA2" w14:textId="77777777" w:rsidR="00DC5C3B" w:rsidRPr="00EA6DC2" w:rsidRDefault="00DC5C3B" w:rsidP="00DC5C3B">
      <w:pPr>
        <w:pStyle w:val="Titrearticle"/>
        <w:rPr>
          <w:noProof/>
        </w:rPr>
      </w:pPr>
      <w:r w:rsidRPr="00EA6DC2">
        <w:t>Artykuł 2</w:t>
      </w:r>
    </w:p>
    <w:p w14:paraId="1D840757" w14:textId="77777777" w:rsidR="00DC5C3B" w:rsidRPr="00EA6DC2" w:rsidRDefault="00DC5C3B" w:rsidP="00DC5C3B">
      <w:pPr>
        <w:jc w:val="center"/>
        <w:rPr>
          <w:b/>
          <w:bCs/>
          <w:noProof/>
        </w:rPr>
      </w:pPr>
      <w:r w:rsidRPr="00EA6DC2">
        <w:rPr>
          <w:b/>
        </w:rPr>
        <w:t>Wejście w życie</w:t>
      </w:r>
    </w:p>
    <w:p w14:paraId="6D1A48D4" w14:textId="77777777" w:rsidR="00DC5C3B" w:rsidRPr="00EA6DC2" w:rsidRDefault="00DC5C3B" w:rsidP="00DC5C3B">
      <w:pPr>
        <w:pStyle w:val="NormalHanging12a"/>
        <w:ind w:left="0" w:firstLine="0"/>
        <w:rPr>
          <w:szCs w:val="24"/>
        </w:rPr>
      </w:pPr>
      <w:r w:rsidRPr="00EA6DC2">
        <w:t xml:space="preserve">Niniejsze rozporządzenie wchodzi w życie i </w:t>
      </w:r>
      <w:r w:rsidRPr="00EA6DC2">
        <w:rPr>
          <w:b/>
          <w:i/>
        </w:rPr>
        <w:t>ma zastosowanie</w:t>
      </w:r>
      <w:r w:rsidRPr="00EA6DC2">
        <w:t xml:space="preserve"> od następnego dnia po jego opublikowaniu w Dzienniku Urzędowym Unii Europejskiej.</w:t>
      </w:r>
    </w:p>
    <w:p w14:paraId="2468DE02" w14:textId="77777777" w:rsidR="00DC5C3B" w:rsidRPr="00EA6DC2" w:rsidRDefault="00DC5C3B" w:rsidP="00DC5C3B">
      <w:pPr>
        <w:pStyle w:val="NormalCenter12a"/>
        <w:jc w:val="left"/>
      </w:pPr>
      <w:r w:rsidRPr="00EA6DC2">
        <w:t>Niniejsze rozporządzenie wiąże w całości i jest bezpośrednio stosowane we wszystkich państwach członkowskich.</w:t>
      </w:r>
    </w:p>
    <w:p w14:paraId="6619C944" w14:textId="77777777" w:rsidR="00DC5C3B" w:rsidRPr="00EA6DC2" w:rsidRDefault="00DC5C3B" w:rsidP="00DC5C3B">
      <w:pPr>
        <w:pStyle w:val="NormalCenter12a"/>
        <w:jc w:val="left"/>
      </w:pPr>
      <w:r w:rsidRPr="00EA6DC2">
        <w:t>Sporządzono w Brukseli dnia […] r.</w:t>
      </w:r>
    </w:p>
    <w:p w14:paraId="064B2E0B" w14:textId="77777777" w:rsidR="00DC5C3B" w:rsidRPr="00EA6DC2" w:rsidRDefault="00DC5C3B" w:rsidP="00DC5C3B">
      <w:pPr>
        <w:pStyle w:val="NormalCenter12a"/>
        <w:jc w:val="left"/>
      </w:pPr>
      <w:r w:rsidRPr="00EA6DC2">
        <w:t>W imieniu Parlamentu Europejskiego</w:t>
      </w:r>
    </w:p>
    <w:p w14:paraId="0D320489" w14:textId="77777777" w:rsidR="00DC5C3B" w:rsidRPr="00EA6DC2" w:rsidRDefault="00DC5C3B" w:rsidP="00DC5C3B">
      <w:pPr>
        <w:pStyle w:val="NormalCenter12a"/>
        <w:jc w:val="left"/>
      </w:pPr>
      <w:r w:rsidRPr="00EA6DC2">
        <w:t>Przewodnicząca</w:t>
      </w:r>
    </w:p>
    <w:p w14:paraId="52E4B982" w14:textId="77777777" w:rsidR="00DC5C3B" w:rsidRPr="00EA6DC2" w:rsidRDefault="00DC5C3B" w:rsidP="00DC5C3B">
      <w:pPr>
        <w:pStyle w:val="NormalCenter12a"/>
        <w:jc w:val="left"/>
      </w:pPr>
      <w:r w:rsidRPr="00EA6DC2">
        <w:t>W imieniu Rady</w:t>
      </w:r>
    </w:p>
    <w:p w14:paraId="2BADA3D8" w14:textId="77777777" w:rsidR="00E365E1" w:rsidRPr="00EA6DC2" w:rsidRDefault="00DC5C3B" w:rsidP="00EA6DC2">
      <w:r w:rsidRPr="00EA6DC2">
        <w:t>Przewodniczący</w:t>
      </w:r>
    </w:p>
    <w:sectPr w:rsidR="00E365E1" w:rsidRPr="00EA6DC2" w:rsidSect="00EA6D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6ABB92" w14:textId="77777777" w:rsidR="00DC5DD4" w:rsidRPr="00EA6DC2" w:rsidRDefault="00DC5DD4">
      <w:r w:rsidRPr="00EA6DC2">
        <w:separator/>
      </w:r>
    </w:p>
  </w:endnote>
  <w:endnote w:type="continuationSeparator" w:id="0">
    <w:p w14:paraId="4EF6A8EC" w14:textId="77777777" w:rsidR="00DC5DD4" w:rsidRPr="00EA6DC2" w:rsidRDefault="00DC5DD4">
      <w:r w:rsidRPr="00EA6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55589" w14:textId="77777777" w:rsidR="00064002" w:rsidRPr="00EA6D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8CF01" w14:textId="77777777" w:rsidR="00064002" w:rsidRPr="00EA6D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9C4FC" w14:textId="77777777" w:rsidR="00064002" w:rsidRPr="00EA6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504482" w14:textId="77777777" w:rsidR="00DC5DD4" w:rsidRPr="00EA6DC2" w:rsidRDefault="00DC5DD4">
      <w:r w:rsidRPr="00EA6DC2">
        <w:separator/>
      </w:r>
    </w:p>
  </w:footnote>
  <w:footnote w:type="continuationSeparator" w:id="0">
    <w:p w14:paraId="1AAA890B" w14:textId="77777777" w:rsidR="00DC5DD4" w:rsidRPr="00EA6DC2" w:rsidRDefault="00DC5DD4">
      <w:r w:rsidRPr="00EA6DC2">
        <w:continuationSeparator/>
      </w:r>
    </w:p>
  </w:footnote>
  <w:footnote w:id="1">
    <w:p w14:paraId="74D88739" w14:textId="77777777" w:rsidR="00143BD3" w:rsidRPr="00515CA8" w:rsidRDefault="00143BD3" w:rsidP="00143BD3">
      <w:pPr>
        <w:pStyle w:val="FootnoteText"/>
        <w:ind w:left="567" w:hanging="567"/>
        <w:rPr>
          <w:sz w:val="24"/>
          <w:szCs w:val="24"/>
          <w:lang w:val="pl-PL"/>
        </w:rPr>
      </w:pPr>
      <w:r w:rsidRPr="00515CA8">
        <w:rPr>
          <w:rStyle w:val="FootnoteReference"/>
          <w:sz w:val="24"/>
          <w:szCs w:val="24"/>
        </w:rPr>
        <w:footnoteRef/>
      </w:r>
      <w:r w:rsidRPr="00515CA8">
        <w:rPr>
          <w:sz w:val="24"/>
          <w:szCs w:val="24"/>
          <w:lang w:val="pl-PL"/>
        </w:rPr>
        <w:t xml:space="preserve"> </w:t>
      </w:r>
      <w:r w:rsidRPr="00515CA8">
        <w:rPr>
          <w:sz w:val="24"/>
          <w:szCs w:val="24"/>
          <w:lang w:val="pl-PL"/>
        </w:rPr>
        <w:tab/>
        <w:t>Sprawa została odesłana do komisji właściwej w celu przeprowadzenia negocjacji międzyinstytucjonalnych na podstawie art. 60 ust. 4 aka</w:t>
      </w:r>
      <w:r>
        <w:rPr>
          <w:sz w:val="24"/>
          <w:szCs w:val="24"/>
          <w:lang w:val="pl-PL"/>
        </w:rPr>
        <w:t>pit czwarty Regulaminu (A10-0079</w:t>
      </w:r>
      <w:r w:rsidRPr="00515CA8">
        <w:rPr>
          <w:sz w:val="24"/>
          <w:szCs w:val="24"/>
          <w:lang w:val="pl-PL"/>
        </w:rPr>
        <w:t>/2025).</w:t>
      </w:r>
    </w:p>
  </w:footnote>
  <w:footnote w:id="2">
    <w:p w14:paraId="31C89CA7" w14:textId="77777777" w:rsidR="00DC5C3B" w:rsidRPr="00EA6DC2" w:rsidRDefault="00DC5C3B" w:rsidP="00EA6DC2">
      <w:pPr>
        <w:pStyle w:val="FootnoteText"/>
        <w:ind w:left="567" w:hanging="567"/>
        <w:rPr>
          <w:sz w:val="24"/>
          <w:lang w:val="pl-PL"/>
        </w:rPr>
      </w:pPr>
      <w:r w:rsidRPr="00EA6DC2">
        <w:rPr>
          <w:rStyle w:val="FootnoteReference"/>
          <w:sz w:val="24"/>
          <w:lang w:val="pl-PL"/>
        </w:rPr>
        <w:t>*</w:t>
      </w:r>
      <w:r w:rsidR="00EA6DC2" w:rsidRPr="00EA6DC2">
        <w:rPr>
          <w:sz w:val="24"/>
          <w:lang w:val="pl-PL"/>
        </w:rPr>
        <w:t xml:space="preserve"> </w:t>
      </w:r>
      <w:r w:rsidR="00EA6DC2" w:rsidRPr="00EA6DC2">
        <w:rPr>
          <w:sz w:val="24"/>
          <w:lang w:val="pl-PL"/>
        </w:rPr>
        <w:tab/>
      </w:r>
      <w:r w:rsidRPr="00EA6DC2">
        <w:rPr>
          <w:sz w:val="24"/>
          <w:lang w:val="pl-PL"/>
        </w:rPr>
        <w:t>Poprawki: tekst nowy lub zmieniony został zaznaczony wytłuszczonym drukiem i kursywą; symbol ▌sygnalizuje skreślenia.</w:t>
      </w:r>
    </w:p>
  </w:footnote>
  <w:footnote w:id="3">
    <w:p w14:paraId="782E91C0" w14:textId="77777777" w:rsidR="00DC5C3B" w:rsidRPr="00EA6DC2" w:rsidRDefault="00DC5C3B" w:rsidP="00EA6DC2">
      <w:pPr>
        <w:pStyle w:val="FootnoteText"/>
        <w:ind w:left="567" w:hanging="567"/>
        <w:rPr>
          <w:sz w:val="24"/>
          <w:lang w:val="pl-PL"/>
        </w:rPr>
      </w:pPr>
      <w:r w:rsidRPr="00EA6DC2">
        <w:rPr>
          <w:rStyle w:val="FootnoteReference"/>
          <w:sz w:val="24"/>
          <w:lang w:val="pl-PL"/>
        </w:rPr>
        <w:footnoteRef/>
      </w:r>
      <w:r w:rsidR="00EA6DC2" w:rsidRPr="00EA6DC2">
        <w:rPr>
          <w:sz w:val="24"/>
          <w:lang w:val="pl-PL"/>
        </w:rPr>
        <w:t xml:space="preserve"> </w:t>
      </w:r>
      <w:r w:rsidR="00EA6DC2" w:rsidRPr="00EA6DC2">
        <w:rPr>
          <w:sz w:val="24"/>
          <w:lang w:val="pl-PL"/>
        </w:rPr>
        <w:tab/>
      </w:r>
      <w:r w:rsidRPr="00EA6DC2">
        <w:rPr>
          <w:sz w:val="24"/>
          <w:lang w:val="pl-PL"/>
        </w:rPr>
        <w:t>Rozporządzenie Parlamentu Europejskiego i Rady (UE) 2022/1032 z dnia 29 czerwca 2022 r. w sprawie zmiany rozporządzeń (UE) 2017/1938 i (WE) nr 715/2009 w odniesieniu do magazynowania gazu (Dz.U. L 173 z </w:t>
      </w:r>
      <w:proofErr w:type="gramStart"/>
      <w:r w:rsidRPr="00EA6DC2">
        <w:rPr>
          <w:sz w:val="24"/>
          <w:lang w:val="pl-PL"/>
        </w:rPr>
        <w:t>30.6.2022</w:t>
      </w:r>
      <w:proofErr w:type="gramEnd"/>
      <w:r w:rsidRPr="00EA6DC2">
        <w:rPr>
          <w:sz w:val="24"/>
          <w:lang w:val="pl-PL"/>
        </w:rPr>
        <w:t>, s.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3FB4D" w14:textId="77777777" w:rsidR="00064002" w:rsidRPr="00EA6D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332B1" w14:textId="77777777" w:rsidR="00064002" w:rsidRPr="00EA6D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9320B" w14:textId="77777777" w:rsidR="00064002" w:rsidRPr="00EA6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3851258">
    <w:abstractNumId w:val="9"/>
  </w:num>
  <w:num w:numId="2" w16cid:durableId="774055276">
    <w:abstractNumId w:val="9"/>
  </w:num>
  <w:num w:numId="3" w16cid:durableId="768502134">
    <w:abstractNumId w:val="7"/>
  </w:num>
  <w:num w:numId="4" w16cid:durableId="2073501257">
    <w:abstractNumId w:val="7"/>
  </w:num>
  <w:num w:numId="5" w16cid:durableId="744376252">
    <w:abstractNumId w:val="6"/>
  </w:num>
  <w:num w:numId="6" w16cid:durableId="1573613092">
    <w:abstractNumId w:val="6"/>
  </w:num>
  <w:num w:numId="7" w16cid:durableId="1540124080">
    <w:abstractNumId w:val="5"/>
  </w:num>
  <w:num w:numId="8" w16cid:durableId="1523008879">
    <w:abstractNumId w:val="5"/>
  </w:num>
  <w:num w:numId="9" w16cid:durableId="1028608476">
    <w:abstractNumId w:val="4"/>
  </w:num>
  <w:num w:numId="10" w16cid:durableId="2118326475">
    <w:abstractNumId w:val="4"/>
  </w:num>
  <w:num w:numId="11" w16cid:durableId="756243599">
    <w:abstractNumId w:val="8"/>
  </w:num>
  <w:num w:numId="12" w16cid:durableId="2131051148">
    <w:abstractNumId w:val="8"/>
  </w:num>
  <w:num w:numId="13" w16cid:durableId="1001784489">
    <w:abstractNumId w:val="3"/>
  </w:num>
  <w:num w:numId="14" w16cid:durableId="498813125">
    <w:abstractNumId w:val="3"/>
  </w:num>
  <w:num w:numId="15" w16cid:durableId="1242830080">
    <w:abstractNumId w:val="2"/>
  </w:num>
  <w:num w:numId="16" w16cid:durableId="1691370120">
    <w:abstractNumId w:val="2"/>
  </w:num>
  <w:num w:numId="17" w16cid:durableId="1257179362">
    <w:abstractNumId w:val="1"/>
  </w:num>
  <w:num w:numId="18" w16cid:durableId="1113865250">
    <w:abstractNumId w:val="1"/>
  </w:num>
  <w:num w:numId="19" w16cid:durableId="1036126766">
    <w:abstractNumId w:val="0"/>
  </w:num>
  <w:num w:numId="20" w16cid:durableId="2120877094">
    <w:abstractNumId w:val="0"/>
  </w:num>
  <w:num w:numId="21" w16cid:durableId="867717859">
    <w:abstractNumId w:val="9"/>
  </w:num>
  <w:num w:numId="22" w16cid:durableId="1846282460">
    <w:abstractNumId w:val="7"/>
  </w:num>
  <w:num w:numId="23" w16cid:durableId="1216894345">
    <w:abstractNumId w:val="6"/>
  </w:num>
  <w:num w:numId="24" w16cid:durableId="183372361">
    <w:abstractNumId w:val="5"/>
  </w:num>
  <w:num w:numId="25" w16cid:durableId="1095710249">
    <w:abstractNumId w:val="4"/>
  </w:num>
  <w:num w:numId="26" w16cid:durableId="1498571452">
    <w:abstractNumId w:val="8"/>
  </w:num>
  <w:num w:numId="27" w16cid:durableId="1208569901">
    <w:abstractNumId w:val="3"/>
  </w:num>
  <w:num w:numId="28" w16cid:durableId="1439060945">
    <w:abstractNumId w:val="2"/>
  </w:num>
  <w:num w:numId="29" w16cid:durableId="529690066">
    <w:abstractNumId w:val="1"/>
  </w:num>
  <w:num w:numId="30" w16cid:durableId="552471742">
    <w:abstractNumId w:val="0"/>
  </w:num>
  <w:num w:numId="31" w16cid:durableId="312874671">
    <w:abstractNumId w:val="9"/>
  </w:num>
  <w:num w:numId="32" w16cid:durableId="1321691167">
    <w:abstractNumId w:val="7"/>
  </w:num>
  <w:num w:numId="33" w16cid:durableId="581915822">
    <w:abstractNumId w:val="6"/>
  </w:num>
  <w:num w:numId="34" w16cid:durableId="1490824790">
    <w:abstractNumId w:val="5"/>
  </w:num>
  <w:num w:numId="35" w16cid:durableId="2131581480">
    <w:abstractNumId w:val="4"/>
  </w:num>
  <w:num w:numId="36" w16cid:durableId="685837080">
    <w:abstractNumId w:val="8"/>
  </w:num>
  <w:num w:numId="37" w16cid:durableId="2053767563">
    <w:abstractNumId w:val="3"/>
  </w:num>
  <w:num w:numId="38" w16cid:durableId="1590429698">
    <w:abstractNumId w:val="2"/>
  </w:num>
  <w:num w:numId="39" w16cid:durableId="878398494">
    <w:abstractNumId w:val="1"/>
  </w:num>
  <w:num w:numId="40" w16cid:durableId="1915889547">
    <w:abstractNumId w:val="0"/>
  </w:num>
  <w:num w:numId="41" w16cid:durableId="1156454226">
    <w:abstractNumId w:val="10"/>
  </w:num>
  <w:num w:numId="42" w16cid:durableId="217057439">
    <w:abstractNumId w:val="10"/>
  </w:num>
  <w:num w:numId="43" w16cid:durableId="1411000724">
    <w:abstractNumId w:val="10"/>
  </w:num>
  <w:num w:numId="44" w16cid:durableId="2094621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PL"/>
    <w:docVar w:name="dvnumam" w:val="0"/>
    <w:docVar w:name="dvpe" w:val="772.015"/>
    <w:docVar w:name="dvrapporteur" w:val="Sprawozdawca: "/>
    <w:docVar w:name="dvstar" w:val="***I"/>
    <w:docVar w:name="dvtitre" w:val="Rezolucja ustawodawcza Parlamentu Europejskiego z dnia  2025 r. w sprawie wniosku dotyczącego rozporządzenia Parlamentu Europejskiego i Rady zmieniającego rozporządzenie (UE) 2017/1938 w odniesieniu do roli magazynowania gazu w zabezpieczaniu dostaw gazu przed sezonem zimowym(COM(2025)0099 – C10-0041/2025 – 2025/0051(COD))"/>
  </w:docVars>
  <w:rsids>
    <w:rsidRoot w:val="00DC5DD4"/>
    <w:rsid w:val="00002272"/>
    <w:rsid w:val="00064002"/>
    <w:rsid w:val="000677B9"/>
    <w:rsid w:val="00071397"/>
    <w:rsid w:val="000831BA"/>
    <w:rsid w:val="000A42CC"/>
    <w:rsid w:val="000E7DD9"/>
    <w:rsid w:val="0010095E"/>
    <w:rsid w:val="00125B37"/>
    <w:rsid w:val="00143BD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4241"/>
    <w:rsid w:val="006631B6"/>
    <w:rsid w:val="00680577"/>
    <w:rsid w:val="006F74FA"/>
    <w:rsid w:val="00731ADD"/>
    <w:rsid w:val="00734777"/>
    <w:rsid w:val="00747932"/>
    <w:rsid w:val="00751A4A"/>
    <w:rsid w:val="00756632"/>
    <w:rsid w:val="00762C74"/>
    <w:rsid w:val="00786EC0"/>
    <w:rsid w:val="007D1690"/>
    <w:rsid w:val="007E22AD"/>
    <w:rsid w:val="00800A14"/>
    <w:rsid w:val="00817416"/>
    <w:rsid w:val="00842779"/>
    <w:rsid w:val="00865F67"/>
    <w:rsid w:val="00881A7B"/>
    <w:rsid w:val="008840E5"/>
    <w:rsid w:val="00887B3E"/>
    <w:rsid w:val="008B62B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D7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C3B"/>
    <w:rsid w:val="00DC5DD4"/>
    <w:rsid w:val="00E365E1"/>
    <w:rsid w:val="00E820A4"/>
    <w:rsid w:val="00EA6DC2"/>
    <w:rsid w:val="00EB006A"/>
    <w:rsid w:val="00EB4772"/>
    <w:rsid w:val="00ED169E"/>
    <w:rsid w:val="00ED4235"/>
    <w:rsid w:val="00F04346"/>
    <w:rsid w:val="00F075DC"/>
    <w:rsid w:val="00F149E9"/>
    <w:rsid w:val="00F27735"/>
    <w:rsid w:val="00F5134D"/>
    <w:rsid w:val="00F566A9"/>
    <w:rsid w:val="00F74202"/>
    <w:rsid w:val="00F87713"/>
    <w:rsid w:val="00FB426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DF7855"/>
  <w15:chartTrackingRefBased/>
  <w15:docId w15:val="{276F5D35-2C07-4B76-8057-F2BB1639E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5C3B"/>
    <w:pPr>
      <w:spacing w:before="480" w:after="240"/>
    </w:pPr>
  </w:style>
  <w:style w:type="paragraph" w:customStyle="1" w:styleId="NormalBold">
    <w:name w:val="NormalBold"/>
    <w:basedOn w:val="Normal"/>
    <w:rsid w:val="00DC5C3B"/>
    <w:rPr>
      <w:b/>
    </w:rPr>
  </w:style>
  <w:style w:type="paragraph" w:customStyle="1" w:styleId="NormalHanging12a">
    <w:name w:val="NormalHanging12a"/>
    <w:basedOn w:val="Normal"/>
    <w:link w:val="NormalHanging12aChar"/>
    <w:rsid w:val="00DC5C3B"/>
    <w:pPr>
      <w:spacing w:after="240"/>
      <w:ind w:left="567" w:hanging="567"/>
    </w:pPr>
  </w:style>
  <w:style w:type="paragraph" w:customStyle="1" w:styleId="NormalCenter12a">
    <w:name w:val="NormalCenter12a"/>
    <w:basedOn w:val="Normal"/>
    <w:rsid w:val="00DC5C3B"/>
    <w:pPr>
      <w:spacing w:after="240"/>
      <w:jc w:val="center"/>
    </w:pPr>
  </w:style>
  <w:style w:type="paragraph" w:customStyle="1" w:styleId="AmNumberTabs">
    <w:name w:val="AmNumberTabs"/>
    <w:basedOn w:val="Normal"/>
    <w:rsid w:val="00DC5C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C5C3B"/>
    <w:pPr>
      <w:spacing w:before="720" w:after="240"/>
      <w:jc w:val="center"/>
    </w:pPr>
  </w:style>
  <w:style w:type="paragraph" w:customStyle="1" w:styleId="Titrearticle">
    <w:name w:val="Titre article"/>
    <w:basedOn w:val="Normal"/>
    <w:next w:val="Normal"/>
    <w:rsid w:val="00DC5C3B"/>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DC5C3B"/>
    <w:rPr>
      <w:sz w:val="24"/>
      <w:lang w:val="pl-PL"/>
    </w:rPr>
  </w:style>
  <w:style w:type="paragraph" w:styleId="BalloonText">
    <w:name w:val="Balloon Text"/>
    <w:basedOn w:val="Normal"/>
    <w:link w:val="BalloonTextChar"/>
    <w:rsid w:val="00143BD3"/>
    <w:rPr>
      <w:rFonts w:ascii="Segoe UI" w:hAnsi="Segoe UI" w:cs="Segoe UI"/>
      <w:sz w:val="18"/>
      <w:szCs w:val="18"/>
    </w:rPr>
  </w:style>
  <w:style w:type="character" w:customStyle="1" w:styleId="BalloonTextChar">
    <w:name w:val="Balloon Text Char"/>
    <w:basedOn w:val="DefaultParagraphFont"/>
    <w:link w:val="BalloonText"/>
    <w:rsid w:val="00143BD3"/>
    <w:rPr>
      <w:rFonts w:ascii="Segoe UI" w:hAnsi="Segoe UI" w:cs="Segoe UI"/>
      <w:sz w:val="18"/>
      <w:szCs w:val="18"/>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20218">
      <w:bodyDiv w:val="1"/>
      <w:marLeft w:val="0"/>
      <w:marRight w:val="0"/>
      <w:marTop w:val="0"/>
      <w:marBottom w:val="0"/>
      <w:divBdr>
        <w:top w:val="none" w:sz="0" w:space="0" w:color="auto"/>
        <w:left w:val="none" w:sz="0" w:space="0" w:color="auto"/>
        <w:bottom w:val="none" w:sz="0" w:space="0" w:color="auto"/>
        <w:right w:val="none" w:sz="0" w:space="0" w:color="auto"/>
      </w:divBdr>
      <w:divsChild>
        <w:div w:id="1389838928">
          <w:marLeft w:val="0"/>
          <w:marRight w:val="0"/>
          <w:marTop w:val="0"/>
          <w:marBottom w:val="0"/>
          <w:divBdr>
            <w:top w:val="none" w:sz="0" w:space="0" w:color="auto"/>
            <w:left w:val="none" w:sz="0" w:space="0" w:color="auto"/>
            <w:bottom w:val="none" w:sz="0" w:space="0" w:color="auto"/>
            <w:right w:val="none" w:sz="0" w:space="0" w:color="auto"/>
          </w:divBdr>
        </w:div>
      </w:divsChild>
    </w:div>
    <w:div w:id="614335414">
      <w:bodyDiv w:val="1"/>
      <w:marLeft w:val="0"/>
      <w:marRight w:val="0"/>
      <w:marTop w:val="0"/>
      <w:marBottom w:val="0"/>
      <w:divBdr>
        <w:top w:val="none" w:sz="0" w:space="0" w:color="auto"/>
        <w:left w:val="none" w:sz="0" w:space="0" w:color="auto"/>
        <w:bottom w:val="none" w:sz="0" w:space="0" w:color="auto"/>
        <w:right w:val="none" w:sz="0" w:space="0" w:color="auto"/>
      </w:divBdr>
      <w:divsChild>
        <w:div w:id="13715394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1BCD10-760E-48C4-9B96-9326B038A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2892</Words>
  <Characters>19268</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PESA Karina</cp:lastModifiedBy>
  <cp:revision>3</cp:revision>
  <cp:lastPrinted>2004-11-19T15:42:00Z</cp:lastPrinted>
  <dcterms:created xsi:type="dcterms:W3CDTF">2025-05-08T13:05:00Z</dcterms:created>
  <dcterms:modified xsi:type="dcterms:W3CDTF">2025-10-13T14:02:00Z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A10-0079/2025</vt:lpwstr>
  </property>
  <property fmtid="{D5CDD505-2E9C-101B-9397-08002B2CF9AE}" pid="4" name="&lt;Type&gt;">
    <vt:lpwstr>RR</vt:lpwstr>
  </property>
</Properties>
</file>