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F1A90" w14:paraId="63E63FE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ACD2808" w14:textId="77777777" w:rsidR="00751A4A" w:rsidRPr="00AF1A90" w:rsidRDefault="009603E4" w:rsidP="0010095E">
            <w:pPr>
              <w:pStyle w:val="EPName"/>
            </w:pPr>
            <w:r w:rsidRPr="00AF1A90">
              <w:t>Parlamento Europeu</w:t>
            </w:r>
          </w:p>
          <w:p w14:paraId="5B85AFF1" w14:textId="77777777" w:rsidR="00751A4A" w:rsidRPr="00AF1A9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F1A90">
              <w:t>2024</w:t>
            </w:r>
            <w:r w:rsidR="00817416" w:rsidRPr="00AF1A90">
              <w:t>-202</w:t>
            </w:r>
            <w:r w:rsidRPr="00AF1A90">
              <w:t>9</w:t>
            </w:r>
          </w:p>
        </w:tc>
        <w:tc>
          <w:tcPr>
            <w:tcW w:w="2268" w:type="dxa"/>
            <w:shd w:val="clear" w:color="auto" w:fill="auto"/>
          </w:tcPr>
          <w:p w14:paraId="32BBA644" w14:textId="77777777" w:rsidR="00751A4A" w:rsidRPr="00AF1A90" w:rsidRDefault="00187494" w:rsidP="0010095E">
            <w:pPr>
              <w:pStyle w:val="EPLogo"/>
            </w:pPr>
            <w:r w:rsidRPr="00AF1A90">
              <w:rPr>
                <w:noProof/>
                <w:lang w:val="en-GB"/>
              </w:rPr>
              <w:drawing>
                <wp:inline distT="0" distB="0" distL="0" distR="0" wp14:anchorId="42082A2E" wp14:editId="4E46F07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2DE8B8" w14:textId="77777777" w:rsidR="00D058B8" w:rsidRPr="00AF1A90" w:rsidRDefault="00D058B8" w:rsidP="004C5D52">
      <w:pPr>
        <w:pStyle w:val="LineTop"/>
      </w:pPr>
    </w:p>
    <w:p w14:paraId="63459AFB" w14:textId="77777777" w:rsidR="00680577" w:rsidRPr="00AF1A90" w:rsidRDefault="009603E4" w:rsidP="00680577">
      <w:pPr>
        <w:pStyle w:val="EPBodyTA1"/>
      </w:pPr>
      <w:r w:rsidRPr="00AF1A90">
        <w:t>TEXTOS APROVADOS</w:t>
      </w:r>
    </w:p>
    <w:p w14:paraId="00577B9C" w14:textId="77777777" w:rsidR="00D058B8" w:rsidRPr="00AF1A90" w:rsidRDefault="00D058B8" w:rsidP="00D058B8">
      <w:pPr>
        <w:pStyle w:val="LineBottom"/>
      </w:pPr>
    </w:p>
    <w:p w14:paraId="372DBCC8" w14:textId="3C00A0BC" w:rsidR="009603E4" w:rsidRPr="00AF1A90" w:rsidRDefault="009603E4" w:rsidP="009603E4">
      <w:pPr>
        <w:pStyle w:val="ATHeading1"/>
      </w:pPr>
      <w:bookmarkStart w:id="0" w:name="TANumber"/>
      <w:r w:rsidRPr="00AF1A90">
        <w:t>P10_</w:t>
      </w:r>
      <w:proofErr w:type="gramStart"/>
      <w:r w:rsidRPr="00AF1A90">
        <w:t>TA(</w:t>
      </w:r>
      <w:proofErr w:type="gramEnd"/>
      <w:r w:rsidRPr="00AF1A90">
        <w:t>2025)</w:t>
      </w:r>
      <w:bookmarkEnd w:id="0"/>
      <w:r w:rsidR="00270812" w:rsidRPr="00AF1A90">
        <w:t>010</w:t>
      </w:r>
      <w:r w:rsidR="00A2308B" w:rsidRPr="00AF1A90">
        <w:t>1</w:t>
      </w:r>
    </w:p>
    <w:p w14:paraId="70B00578" w14:textId="77777777" w:rsidR="009603E4" w:rsidRPr="00AF1A90" w:rsidRDefault="009603E4" w:rsidP="009603E4">
      <w:pPr>
        <w:pStyle w:val="ATHeading2"/>
      </w:pPr>
      <w:bookmarkStart w:id="1" w:name="title"/>
      <w:r w:rsidRPr="00AF1A90">
        <w:t>O papel do armazenamento de gás na garantia dos aprovisionamentos de gás antes da estação invernal</w:t>
      </w:r>
      <w:bookmarkEnd w:id="1"/>
    </w:p>
    <w:p w14:paraId="2BCEB964" w14:textId="77777777" w:rsidR="009603E4" w:rsidRPr="00AF1A90" w:rsidRDefault="009603E4" w:rsidP="009603E4">
      <w:pPr>
        <w:rPr>
          <w:i/>
          <w:vanish/>
        </w:rPr>
      </w:pPr>
      <w:r w:rsidRPr="00AF1A90">
        <w:rPr>
          <w:i/>
        </w:rPr>
        <w:fldChar w:fldCharType="begin"/>
      </w:r>
      <w:r w:rsidRPr="00AF1A90">
        <w:rPr>
          <w:i/>
        </w:rPr>
        <w:instrText xml:space="preserve"> TC"(</w:instrText>
      </w:r>
      <w:bookmarkStart w:id="2" w:name="DocNumber"/>
      <w:r w:rsidRPr="00AF1A90">
        <w:rPr>
          <w:i/>
        </w:rPr>
        <w:instrText>A10-0079/2025</w:instrText>
      </w:r>
      <w:bookmarkEnd w:id="2"/>
      <w:r w:rsidRPr="00AF1A90">
        <w:rPr>
          <w:i/>
        </w:rPr>
        <w:instrText xml:space="preserve"> - Relator: </w:instrText>
      </w:r>
      <w:proofErr w:type="spellStart"/>
      <w:r w:rsidRPr="00AF1A90">
        <w:rPr>
          <w:i/>
        </w:rPr>
        <w:instrText>Borys</w:instrText>
      </w:r>
      <w:proofErr w:type="spellEnd"/>
      <w:r w:rsidRPr="00AF1A90">
        <w:rPr>
          <w:i/>
        </w:rPr>
        <w:instrText xml:space="preserve"> </w:instrText>
      </w:r>
      <w:proofErr w:type="spellStart"/>
      <w:r w:rsidRPr="00AF1A90">
        <w:rPr>
          <w:i/>
        </w:rPr>
        <w:instrText>Budka</w:instrText>
      </w:r>
      <w:proofErr w:type="spellEnd"/>
      <w:r w:rsidRPr="00AF1A90">
        <w:rPr>
          <w:i/>
        </w:rPr>
        <w:instrText xml:space="preserve">)"\l3 \n&gt; \* MERGEFORMAT </w:instrText>
      </w:r>
      <w:r w:rsidRPr="00AF1A90">
        <w:rPr>
          <w:i/>
        </w:rPr>
        <w:fldChar w:fldCharType="end"/>
      </w:r>
    </w:p>
    <w:p w14:paraId="34AB0147" w14:textId="77777777" w:rsidR="009603E4" w:rsidRPr="00AF1A90" w:rsidRDefault="009603E4" w:rsidP="009603E4">
      <w:pPr>
        <w:rPr>
          <w:vanish/>
        </w:rPr>
      </w:pPr>
      <w:bookmarkStart w:id="3" w:name="Commission"/>
      <w:r w:rsidRPr="00AF1A90">
        <w:rPr>
          <w:vanish/>
        </w:rPr>
        <w:t>Comissão da Indústria, da Investigação e da Energia</w:t>
      </w:r>
      <w:bookmarkEnd w:id="3"/>
    </w:p>
    <w:p w14:paraId="1F5CD35E" w14:textId="77777777" w:rsidR="009603E4" w:rsidRPr="00AF1A90" w:rsidRDefault="009603E4" w:rsidP="009603E4">
      <w:pPr>
        <w:rPr>
          <w:vanish/>
        </w:rPr>
      </w:pPr>
      <w:bookmarkStart w:id="4" w:name="PE"/>
      <w:r w:rsidRPr="00AF1A90">
        <w:rPr>
          <w:vanish/>
        </w:rPr>
        <w:t>PE772.015</w:t>
      </w:r>
      <w:bookmarkEnd w:id="4"/>
    </w:p>
    <w:p w14:paraId="47257711" w14:textId="1F72EF8D" w:rsidR="009603E4" w:rsidRPr="00AF1A90" w:rsidRDefault="00270812" w:rsidP="009603E4">
      <w:pPr>
        <w:pStyle w:val="ATHeading3"/>
      </w:pPr>
      <w:bookmarkStart w:id="5" w:name="Sujet"/>
      <w:r w:rsidRPr="00AF1A90">
        <w:t>Alterações aprovadas pelo</w:t>
      </w:r>
      <w:r w:rsidR="009603E4" w:rsidRPr="00AF1A90">
        <w:t xml:space="preserve"> Parlamento Europeu, </w:t>
      </w:r>
      <w:r w:rsidR="00A920DD" w:rsidRPr="00AF1A90">
        <w:t xml:space="preserve">em </w:t>
      </w:r>
      <w:r w:rsidR="00DE1835" w:rsidRPr="00AF1A90">
        <w:t xml:space="preserve">8 </w:t>
      </w:r>
      <w:r w:rsidR="009603E4" w:rsidRPr="00AF1A90">
        <w:t xml:space="preserve">de </w:t>
      </w:r>
      <w:r w:rsidR="00DE1835" w:rsidRPr="00AF1A90">
        <w:t xml:space="preserve">maio </w:t>
      </w:r>
      <w:r w:rsidR="009603E4" w:rsidRPr="00AF1A90">
        <w:t>de 2025, sobre a proposta de regulamento do Parlamento Europeu e do Conselho que altera o Regulamento (UE) 2017/1938 no respeitante ao papel do armazenamento de gás na garantia dos aprovisionamentos de gás antes da estação invernal</w:t>
      </w:r>
      <w:bookmarkEnd w:id="5"/>
      <w:r w:rsidR="009603E4" w:rsidRPr="00AF1A90">
        <w:t xml:space="preserve"> </w:t>
      </w:r>
      <w:bookmarkStart w:id="6" w:name="References"/>
      <w:r w:rsidR="009603E4" w:rsidRPr="00AF1A90">
        <w:t>(COM(2025)0099 – C10-0041/2025 – 2025/0051(COD))</w:t>
      </w:r>
      <w:bookmarkEnd w:id="6"/>
      <w:r w:rsidRPr="00AF1A90">
        <w:rPr>
          <w:rStyle w:val="FootnoteReference"/>
        </w:rPr>
        <w:footnoteReference w:id="1"/>
      </w:r>
    </w:p>
    <w:p w14:paraId="0355B0AE" w14:textId="77777777" w:rsidR="009603E4" w:rsidRPr="00AF1A90" w:rsidRDefault="009603E4" w:rsidP="009603E4"/>
    <w:p w14:paraId="0967AD19" w14:textId="77777777" w:rsidR="005576C0" w:rsidRPr="00AF1A90" w:rsidRDefault="005576C0" w:rsidP="005576C0">
      <w:pPr>
        <w:pStyle w:val="NormalBold"/>
      </w:pPr>
      <w:bookmarkStart w:id="7" w:name="TextBodyBegin"/>
      <w:bookmarkEnd w:id="7"/>
      <w:r w:rsidRPr="00AF1A90">
        <w:t>(Processo legislativo ordinário: primeira leitura)</w:t>
      </w:r>
    </w:p>
    <w:p w14:paraId="55E5133A" w14:textId="71C4CD53" w:rsidR="00A65FDC" w:rsidRPr="00AF1A90" w:rsidRDefault="00A65FDC" w:rsidP="005576C0">
      <w:pPr>
        <w:pStyle w:val="NormalHanging12a"/>
      </w:pPr>
    </w:p>
    <w:p w14:paraId="10C7D4C0" w14:textId="31FE14B1" w:rsidR="005576C0" w:rsidRPr="00AF1A90" w:rsidRDefault="00964E3D" w:rsidP="005576C0">
      <w:pPr>
        <w:pStyle w:val="AmNumberTabs"/>
        <w:keepNext/>
      </w:pPr>
      <w:r w:rsidRPr="00AF1A90">
        <w:t>[</w:t>
      </w:r>
      <w:r w:rsidR="005576C0" w:rsidRPr="00AF1A90">
        <w:t>Alteração</w:t>
      </w:r>
      <w:r w:rsidR="005576C0" w:rsidRPr="00AF1A90">
        <w:tab/>
      </w:r>
      <w:r w:rsidR="005576C0" w:rsidRPr="00AF1A90">
        <w:tab/>
        <w:t>1</w:t>
      </w:r>
      <w:r w:rsidRPr="00AF1A90">
        <w:t>, salvo indicação em contrário]</w:t>
      </w:r>
    </w:p>
    <w:p w14:paraId="5D397E33" w14:textId="77777777" w:rsidR="005576C0" w:rsidRPr="00AF1A90" w:rsidRDefault="005576C0" w:rsidP="005576C0">
      <w:pPr>
        <w:pStyle w:val="AmHeadingConsam"/>
      </w:pPr>
      <w:r w:rsidRPr="00AF1A90">
        <w:t>ALTERAÇÕES DO PARLAMENTO EUROPEU</w:t>
      </w:r>
      <w:r w:rsidRPr="00AF1A90">
        <w:rPr>
          <w:rStyle w:val="FootnoteReference"/>
        </w:rPr>
        <w:footnoteReference w:customMarkFollows="1" w:id="2"/>
        <w:t>*</w:t>
      </w:r>
    </w:p>
    <w:p w14:paraId="01AB4A11" w14:textId="77777777" w:rsidR="005576C0" w:rsidRPr="00AF1A90" w:rsidRDefault="005576C0" w:rsidP="005576C0">
      <w:pPr>
        <w:pStyle w:val="NormalCenter12a"/>
      </w:pPr>
      <w:r w:rsidRPr="00AF1A90">
        <w:t>à proposta da Comissão</w:t>
      </w:r>
    </w:p>
    <w:p w14:paraId="234511FE" w14:textId="77777777" w:rsidR="005576C0" w:rsidRPr="00AF1A90" w:rsidRDefault="005576C0" w:rsidP="005576C0">
      <w:pPr>
        <w:pStyle w:val="NormalCenter12a"/>
      </w:pPr>
      <w:r w:rsidRPr="00AF1A90">
        <w:noBreakHyphen/>
      </w:r>
      <w:r w:rsidRPr="00AF1A90">
        <w:noBreakHyphen/>
      </w:r>
      <w:r w:rsidRPr="00AF1A90">
        <w:noBreakHyphen/>
      </w:r>
      <w:r w:rsidRPr="00AF1A90">
        <w:noBreakHyphen/>
      </w:r>
      <w:r w:rsidRPr="00AF1A90">
        <w:noBreakHyphen/>
      </w:r>
      <w:r w:rsidRPr="00AF1A90">
        <w:noBreakHyphen/>
      </w:r>
      <w:r w:rsidRPr="00AF1A90">
        <w:noBreakHyphen/>
      </w:r>
      <w:r w:rsidRPr="00AF1A90">
        <w:noBreakHyphen/>
      </w:r>
      <w:r w:rsidRPr="00AF1A90">
        <w:noBreakHyphen/>
      </w:r>
      <w:r w:rsidRPr="00AF1A90">
        <w:noBreakHyphen/>
      </w:r>
      <w:r w:rsidRPr="00AF1A90">
        <w:noBreakHyphen/>
      </w:r>
      <w:r w:rsidRPr="00AF1A90">
        <w:noBreakHyphen/>
      </w:r>
      <w:r w:rsidRPr="00AF1A90">
        <w:noBreakHyphen/>
      </w:r>
      <w:r w:rsidRPr="00AF1A90">
        <w:noBreakHyphen/>
      </w:r>
      <w:r w:rsidRPr="00AF1A90">
        <w:noBreakHyphen/>
      </w:r>
      <w:r w:rsidRPr="00AF1A90">
        <w:noBreakHyphen/>
      </w:r>
      <w:r w:rsidRPr="00AF1A90">
        <w:noBreakHyphen/>
      </w:r>
      <w:r w:rsidRPr="00AF1A90">
        <w:noBreakHyphen/>
      </w:r>
      <w:r w:rsidRPr="00AF1A90">
        <w:noBreakHyphen/>
      </w:r>
      <w:r w:rsidRPr="00AF1A90">
        <w:noBreakHyphen/>
      </w:r>
      <w:r w:rsidRPr="00AF1A90">
        <w:noBreakHyphen/>
      </w:r>
      <w:r w:rsidRPr="00AF1A90">
        <w:noBreakHyphen/>
      </w:r>
      <w:r w:rsidRPr="00AF1A90">
        <w:noBreakHyphen/>
      </w:r>
      <w:r w:rsidRPr="00AF1A90">
        <w:noBreakHyphen/>
      </w:r>
      <w:r w:rsidRPr="00AF1A90">
        <w:noBreakHyphen/>
      </w:r>
      <w:r w:rsidRPr="00AF1A90">
        <w:noBreakHyphen/>
      </w:r>
      <w:r w:rsidRPr="00AF1A90">
        <w:noBreakHyphen/>
      </w:r>
      <w:r w:rsidRPr="00AF1A90">
        <w:noBreakHyphen/>
      </w:r>
      <w:r w:rsidRPr="00AF1A90">
        <w:noBreakHyphen/>
      </w:r>
      <w:r w:rsidRPr="00AF1A90">
        <w:noBreakHyphen/>
      </w:r>
      <w:r w:rsidRPr="00AF1A90">
        <w:noBreakHyphen/>
      </w:r>
      <w:r w:rsidRPr="00AF1A90">
        <w:noBreakHyphen/>
      </w:r>
      <w:r w:rsidRPr="00AF1A90">
        <w:noBreakHyphen/>
      </w:r>
      <w:r w:rsidRPr="00AF1A90">
        <w:noBreakHyphen/>
      </w:r>
      <w:r w:rsidRPr="00AF1A90">
        <w:noBreakHyphen/>
      </w:r>
      <w:r w:rsidRPr="00AF1A90">
        <w:noBreakHyphen/>
      </w:r>
      <w:r w:rsidRPr="00AF1A90">
        <w:noBreakHyphen/>
      </w:r>
      <w:r w:rsidRPr="00AF1A90">
        <w:noBreakHyphen/>
      </w:r>
      <w:r w:rsidRPr="00AF1A90">
        <w:noBreakHyphen/>
      </w:r>
      <w:r w:rsidRPr="00AF1A90">
        <w:noBreakHyphen/>
      </w:r>
      <w:r w:rsidRPr="00AF1A90">
        <w:noBreakHyphen/>
      </w:r>
      <w:r w:rsidRPr="00AF1A90">
        <w:noBreakHyphen/>
      </w:r>
      <w:r w:rsidRPr="00AF1A90">
        <w:noBreakHyphen/>
      </w:r>
      <w:r w:rsidRPr="00AF1A90">
        <w:noBreakHyphen/>
      </w:r>
      <w:r w:rsidRPr="00AF1A90">
        <w:noBreakHyphen/>
      </w:r>
      <w:r w:rsidRPr="00AF1A90">
        <w:noBreakHyphen/>
      </w:r>
      <w:r w:rsidRPr="00AF1A90">
        <w:noBreakHyphen/>
      </w:r>
      <w:r w:rsidRPr="00AF1A90">
        <w:noBreakHyphen/>
      </w:r>
      <w:r w:rsidRPr="00AF1A90">
        <w:noBreakHyphen/>
      </w:r>
      <w:r w:rsidRPr="00AF1A90">
        <w:noBreakHyphen/>
      </w:r>
      <w:r w:rsidRPr="00AF1A90">
        <w:noBreakHyphen/>
      </w:r>
      <w:r w:rsidRPr="00AF1A90">
        <w:noBreakHyphen/>
      </w:r>
      <w:r w:rsidRPr="00AF1A90">
        <w:noBreakHyphen/>
      </w:r>
      <w:r w:rsidRPr="00AF1A90">
        <w:noBreakHyphen/>
      </w:r>
      <w:r w:rsidRPr="00AF1A90">
        <w:noBreakHyphen/>
      </w:r>
      <w:r w:rsidRPr="00AF1A90">
        <w:noBreakHyphen/>
      </w:r>
      <w:r w:rsidRPr="00AF1A90">
        <w:noBreakHyphen/>
      </w:r>
    </w:p>
    <w:p w14:paraId="2BD0105F" w14:textId="77777777" w:rsidR="005576C0" w:rsidRPr="00AF1A90" w:rsidRDefault="005576C0" w:rsidP="005576C0">
      <w:pPr>
        <w:pStyle w:val="NormalCenter12a"/>
      </w:pPr>
    </w:p>
    <w:p w14:paraId="6810E7D9" w14:textId="77777777" w:rsidR="005576C0" w:rsidRPr="00AF1A90" w:rsidRDefault="005576C0" w:rsidP="005576C0">
      <w:pPr>
        <w:pStyle w:val="NormalCenter12a"/>
        <w:rPr>
          <w:b/>
        </w:rPr>
      </w:pPr>
      <w:r w:rsidRPr="00AF1A90">
        <w:rPr>
          <w:b/>
        </w:rPr>
        <w:t>REGULAMENTO DO PARLAMENTO EUROPEU E DO CONSELHO</w:t>
      </w:r>
    </w:p>
    <w:p w14:paraId="6B9B59C7" w14:textId="77777777" w:rsidR="005576C0" w:rsidRPr="00AF1A90" w:rsidRDefault="005576C0" w:rsidP="005576C0">
      <w:pPr>
        <w:pStyle w:val="NormalCenter12a"/>
      </w:pPr>
      <w:r w:rsidRPr="00AF1A90">
        <w:rPr>
          <w:b/>
        </w:rPr>
        <w:t xml:space="preserve">que altera o Regulamento (UE) 2017/1938 no respeitante ao papel do armazenamento de gás na garantia dos aprovisionamentos de gás antes da estação invernal </w:t>
      </w:r>
    </w:p>
    <w:p w14:paraId="41D0215A" w14:textId="77777777" w:rsidR="005576C0" w:rsidRPr="00AF1A90" w:rsidRDefault="005576C0" w:rsidP="005576C0">
      <w:pPr>
        <w:pStyle w:val="NormalCenter12a"/>
        <w:jc w:val="left"/>
      </w:pPr>
      <w:r w:rsidRPr="00AF1A90">
        <w:t>O PARLAMENTO EUROPEU E O CONSELHO DA UNIÃO EUROPEIA,</w:t>
      </w:r>
    </w:p>
    <w:p w14:paraId="689C4F7C" w14:textId="77777777" w:rsidR="005576C0" w:rsidRPr="00AF1A90" w:rsidRDefault="005576C0" w:rsidP="005576C0">
      <w:pPr>
        <w:pStyle w:val="NormalCenter12a"/>
        <w:jc w:val="left"/>
      </w:pPr>
      <w:r w:rsidRPr="00AF1A90">
        <w:t xml:space="preserve">Tendo em conta o Tratado sobre o Funcionamento da União Europeia, nomeadamente o </w:t>
      </w:r>
      <w:r w:rsidRPr="00AF1A90">
        <w:lastRenderedPageBreak/>
        <w:t>artigo 194.º, n.º 2,</w:t>
      </w:r>
    </w:p>
    <w:p w14:paraId="4FA2476D" w14:textId="77777777" w:rsidR="005576C0" w:rsidRPr="00AF1A90" w:rsidRDefault="005576C0" w:rsidP="005576C0">
      <w:pPr>
        <w:pStyle w:val="NormalCenter12a"/>
        <w:jc w:val="left"/>
      </w:pPr>
      <w:r w:rsidRPr="00AF1A90">
        <w:t>Tendo em conta a proposta da Comissão Europeia,</w:t>
      </w:r>
    </w:p>
    <w:p w14:paraId="1F9AF259" w14:textId="77777777" w:rsidR="005576C0" w:rsidRPr="00AF1A90" w:rsidRDefault="005576C0" w:rsidP="005576C0">
      <w:pPr>
        <w:pStyle w:val="NormalCenter12a"/>
        <w:jc w:val="left"/>
      </w:pPr>
      <w:r w:rsidRPr="00AF1A90">
        <w:t>Após transmissão do projeto de ato legislativo aos parlamentos nacionais,</w:t>
      </w:r>
    </w:p>
    <w:p w14:paraId="164FFA54" w14:textId="77777777" w:rsidR="005576C0" w:rsidRPr="00AF1A90" w:rsidRDefault="005576C0" w:rsidP="005576C0">
      <w:pPr>
        <w:pStyle w:val="NormalCenter12a"/>
        <w:jc w:val="left"/>
      </w:pPr>
      <w:r w:rsidRPr="00AF1A90">
        <w:t>Deliberando de acordo com o processo legislativo ordinário,</w:t>
      </w:r>
    </w:p>
    <w:p w14:paraId="1543329F" w14:textId="77777777" w:rsidR="005576C0" w:rsidRPr="00AF1A90" w:rsidRDefault="005576C0" w:rsidP="005576C0">
      <w:pPr>
        <w:pStyle w:val="NormalCenter12a"/>
        <w:jc w:val="left"/>
      </w:pPr>
      <w:r w:rsidRPr="00AF1A90">
        <w:t>Considerando o seguinte:</w:t>
      </w:r>
    </w:p>
    <w:p w14:paraId="4DF9C9E3" w14:textId="23E24415" w:rsidR="005576C0" w:rsidRPr="00AF1A90" w:rsidRDefault="005576C0" w:rsidP="005576C0">
      <w:pPr>
        <w:pStyle w:val="NormalHanging12a"/>
        <w:ind w:left="851" w:hanging="851"/>
      </w:pPr>
      <w:r w:rsidRPr="00AF1A90">
        <w:t>(1)</w:t>
      </w:r>
      <w:r w:rsidRPr="00AF1A90">
        <w:tab/>
        <w:t>O Regulamento (UE) 2022/1032 do Parlamento e do Conselho</w:t>
      </w:r>
      <w:r w:rsidRPr="00AF1A90">
        <w:rPr>
          <w:vertAlign w:val="superscript"/>
        </w:rPr>
        <w:footnoteReference w:id="3"/>
      </w:r>
      <w:r w:rsidRPr="00AF1A90">
        <w:t xml:space="preserve"> foi adotado em resposta à crise do aprovisionamento de gás e aos aumentos de preços sem precedentes causados pela escalada da </w:t>
      </w:r>
      <w:r w:rsidRPr="00AF1A90">
        <w:rPr>
          <w:b/>
          <w:bCs/>
          <w:i/>
          <w:iCs/>
        </w:rPr>
        <w:t xml:space="preserve">guerra </w:t>
      </w:r>
      <w:r w:rsidRPr="00AF1A90">
        <w:t xml:space="preserve">de agressão </w:t>
      </w:r>
      <w:r w:rsidRPr="00AF1A90">
        <w:rPr>
          <w:b/>
          <w:bCs/>
          <w:i/>
          <w:iCs/>
        </w:rPr>
        <w:t>injustificada e não provocada em curso da Rússia</w:t>
      </w:r>
      <w:r w:rsidRPr="00AF1A90">
        <w:t xml:space="preserve"> contra a Ucrânia desde fevereiro de 2022, impelindo a União a agir de forma coordenada e abrangente para evitar potenciais riscos resultantes de outras perturbações do aprovisionamento de gás.</w:t>
      </w:r>
    </w:p>
    <w:p w14:paraId="3A5AAC80" w14:textId="11EFB356" w:rsidR="00473A47" w:rsidRPr="00AF1A90" w:rsidRDefault="00473A47" w:rsidP="005576C0">
      <w:pPr>
        <w:pStyle w:val="NormalHanging12a"/>
        <w:ind w:left="851" w:hanging="851"/>
        <w:rPr>
          <w:b/>
          <w:szCs w:val="24"/>
        </w:rPr>
      </w:pPr>
      <w:r w:rsidRPr="00AF1A90">
        <w:rPr>
          <w:b/>
          <w:i/>
          <w:szCs w:val="24"/>
          <w:lang w:eastAsia="en-US"/>
        </w:rPr>
        <w:t>(1</w:t>
      </w:r>
      <w:r w:rsidRPr="00AF1A90">
        <w:rPr>
          <w:b/>
          <w:i/>
          <w:szCs w:val="24"/>
          <w:lang w:eastAsia="en-US"/>
        </w:rPr>
        <w:noBreakHyphen/>
        <w:t>A)</w:t>
      </w:r>
      <w:r w:rsidRPr="00AF1A90">
        <w:rPr>
          <w:szCs w:val="24"/>
          <w:lang w:eastAsia="en-US"/>
        </w:rPr>
        <w:tab/>
      </w:r>
      <w:r w:rsidRPr="00AF1A90">
        <w:rPr>
          <w:b/>
          <w:i/>
          <w:szCs w:val="24"/>
          <w:lang w:eastAsia="en-US"/>
        </w:rPr>
        <w:t>Tendo em conta a guerra em curso da Rússia contra a Ucrânia e em consonância com o compromisso estratégico da União de pôr termo à sua dependência dos combustíveis fósseis russos, os Estados</w:t>
      </w:r>
      <w:r w:rsidRPr="00AF1A90">
        <w:rPr>
          <w:b/>
          <w:i/>
          <w:szCs w:val="24"/>
          <w:lang w:eastAsia="en-US"/>
        </w:rPr>
        <w:noBreakHyphen/>
        <w:t>Membros devem abster</w:t>
      </w:r>
      <w:r w:rsidRPr="00AF1A90">
        <w:rPr>
          <w:b/>
          <w:i/>
          <w:szCs w:val="24"/>
          <w:lang w:eastAsia="en-US"/>
        </w:rPr>
        <w:noBreakHyphen/>
        <w:t>se de armazenar gás de origem russa. Neste contexto, a União deve aplicar sanções coordenadas e imediatas à importação e aquisição de todo o gás russo, incluindo o gás natural liquefeito (GNL). As perspetivas de aprovisionamento de inverno da REORT</w:t>
      </w:r>
      <w:r w:rsidRPr="00AF1A90">
        <w:rPr>
          <w:b/>
          <w:i/>
          <w:szCs w:val="24"/>
          <w:lang w:eastAsia="en-US"/>
        </w:rPr>
        <w:noBreakHyphen/>
        <w:t>G 2024</w:t>
      </w:r>
      <w:r w:rsidRPr="00AF1A90">
        <w:rPr>
          <w:b/>
          <w:i/>
          <w:szCs w:val="24"/>
          <w:lang w:eastAsia="en-US"/>
        </w:rPr>
        <w:noBreakHyphen/>
        <w:t>2025 confirmam que a União pode alcançar as suas metas de armazenamento e manter a segurança do aprovisionamento sem depender do gás russo, mediante a aplicação de uma combinação de medidas, incluindo a redução contínua da procura. Por conseguinte, um embargo total ao gás russo é necessário e viável, sendo que a sua rápida aplicação contribuiria para reforçar a soberania energética e a resiliência geopolítica da União.</w:t>
      </w:r>
      <w:r w:rsidR="00AB5E25" w:rsidRPr="00AF1A90">
        <w:rPr>
          <w:b/>
          <w:i/>
          <w:szCs w:val="24"/>
          <w:lang w:eastAsia="en-US"/>
        </w:rPr>
        <w:t xml:space="preserve"> </w:t>
      </w:r>
      <w:r w:rsidR="00AB5E25" w:rsidRPr="00AF1A90">
        <w:rPr>
          <w:b/>
          <w:szCs w:val="24"/>
          <w:lang w:eastAsia="en-US"/>
        </w:rPr>
        <w:t>[</w:t>
      </w:r>
      <w:proofErr w:type="spellStart"/>
      <w:r w:rsidR="00AB5E25" w:rsidRPr="00AF1A90">
        <w:rPr>
          <w:b/>
          <w:szCs w:val="24"/>
          <w:lang w:eastAsia="en-US"/>
        </w:rPr>
        <w:t>Am</w:t>
      </w:r>
      <w:proofErr w:type="spellEnd"/>
      <w:r w:rsidR="00AB5E25" w:rsidRPr="00AF1A90">
        <w:rPr>
          <w:b/>
          <w:szCs w:val="24"/>
          <w:lang w:eastAsia="en-US"/>
        </w:rPr>
        <w:t>. 7]</w:t>
      </w:r>
    </w:p>
    <w:p w14:paraId="02C2F84A" w14:textId="77777777" w:rsidR="005576C0" w:rsidRPr="00AF1A90" w:rsidRDefault="005576C0" w:rsidP="005576C0">
      <w:pPr>
        <w:pStyle w:val="NormalCenter12a"/>
        <w:ind w:left="851" w:hanging="851"/>
        <w:jc w:val="left"/>
      </w:pPr>
      <w:r w:rsidRPr="00AF1A90">
        <w:t>(2)</w:t>
      </w:r>
      <w:r w:rsidRPr="00AF1A90">
        <w:tab/>
        <w:t>O Regulamento (UE) 2022/1032 alterou o Regulamento (UE) 2017/1938, introduzindo um quadro jurídico temporário de medidas respeitantes ao nível de enchimento das instalações de armazenamento subterrâneo, a fim de reforçar a segurança do aprovisionamento de gás na União, em especial o fornecimento de gás aos clientes protegidos.</w:t>
      </w:r>
    </w:p>
    <w:p w14:paraId="0CBBD4CD" w14:textId="77777777" w:rsidR="005576C0" w:rsidRPr="00AF1A90" w:rsidRDefault="005576C0" w:rsidP="005576C0">
      <w:pPr>
        <w:pStyle w:val="NormalHanging12a"/>
        <w:ind w:left="851" w:hanging="851"/>
        <w:rPr>
          <w:szCs w:val="24"/>
        </w:rPr>
      </w:pPr>
      <w:r w:rsidRPr="00AF1A90">
        <w:t>(3)</w:t>
      </w:r>
      <w:r w:rsidRPr="00AF1A90">
        <w:tab/>
        <w:t>As instalações de armazenamento de gás suprem 30 % do consumo de gás da União durante os meses de inverno, e o enchimento adequado das instalações de armazenamento subterrâneo,</w:t>
      </w:r>
      <w:r w:rsidRPr="00AF1A90">
        <w:rPr>
          <w:b/>
          <w:bCs/>
          <w:i/>
          <w:iCs/>
        </w:rPr>
        <w:t xml:space="preserve"> bem como a redução da procura de gás,</w:t>
      </w:r>
      <w:r w:rsidRPr="00AF1A90">
        <w:t xml:space="preserve"> </w:t>
      </w:r>
      <w:r w:rsidRPr="00AF1A90">
        <w:rPr>
          <w:b/>
          <w:bCs/>
          <w:i/>
          <w:iCs/>
        </w:rPr>
        <w:t>contribuem</w:t>
      </w:r>
      <w:r w:rsidRPr="00AF1A90">
        <w:t xml:space="preserve"> substancialmente para a segurança do aprovisionamento ao fornecer gás adicional em caso de elevada procura ou perturbações de aprovisionamento.</w:t>
      </w:r>
    </w:p>
    <w:p w14:paraId="1CDF6C82" w14:textId="77777777" w:rsidR="005576C0" w:rsidRPr="00AF1A90" w:rsidRDefault="005576C0" w:rsidP="005576C0">
      <w:pPr>
        <w:pStyle w:val="NormalHanging12a"/>
        <w:ind w:left="851" w:hanging="851"/>
        <w:rPr>
          <w:szCs w:val="24"/>
        </w:rPr>
      </w:pPr>
      <w:r w:rsidRPr="00AF1A90">
        <w:t>(4)</w:t>
      </w:r>
      <w:r w:rsidRPr="00AF1A90">
        <w:tab/>
        <w:t>O estabelecimento de uma meta obrigatória para assegurar que o nível de enchimento das instalações de armazenamento de gás seja de 90 % até 1 de novembro (meta de enchimento), com uma série de metas intermédias para cada Estado</w:t>
      </w:r>
      <w:r w:rsidRPr="00AF1A90">
        <w:noBreakHyphen/>
        <w:t>Membro em fevereiro, maio, julho e setembro do ano seguinte (trajetória de enchimento), revelou</w:t>
      </w:r>
      <w:r w:rsidRPr="00AF1A90">
        <w:noBreakHyphen/>
        <w:t xml:space="preserve">se fundamental, </w:t>
      </w:r>
      <w:r w:rsidRPr="00AF1A90">
        <w:rPr>
          <w:b/>
          <w:bCs/>
          <w:i/>
          <w:iCs/>
        </w:rPr>
        <w:t>durante</w:t>
      </w:r>
      <w:r w:rsidRPr="00AF1A90">
        <w:t xml:space="preserve"> </w:t>
      </w:r>
      <w:r w:rsidRPr="00AF1A90">
        <w:rPr>
          <w:b/>
          <w:bCs/>
          <w:i/>
          <w:iCs/>
        </w:rPr>
        <w:t>a</w:t>
      </w:r>
      <w:r w:rsidRPr="00AF1A90">
        <w:t xml:space="preserve"> crise energética desencadeada pela </w:t>
      </w:r>
      <w:r w:rsidRPr="00AF1A90">
        <w:rPr>
          <w:b/>
          <w:bCs/>
          <w:i/>
          <w:iCs/>
        </w:rPr>
        <w:t xml:space="preserve">guerra de </w:t>
      </w:r>
      <w:r w:rsidRPr="00AF1A90">
        <w:rPr>
          <w:b/>
          <w:bCs/>
          <w:i/>
          <w:iCs/>
        </w:rPr>
        <w:lastRenderedPageBreak/>
        <w:t>agressão da Rússia contra a Ucrânia</w:t>
      </w:r>
      <w:r w:rsidRPr="00AF1A90">
        <w:t xml:space="preserve"> e pela instrumentalização </w:t>
      </w:r>
      <w:r w:rsidRPr="00AF1A90">
        <w:rPr>
          <w:b/>
          <w:bCs/>
          <w:i/>
          <w:iCs/>
        </w:rPr>
        <w:t>por parte da Rússia dos</w:t>
      </w:r>
      <w:r w:rsidRPr="00AF1A90">
        <w:t xml:space="preserve"> </w:t>
      </w:r>
      <w:r w:rsidRPr="00AF1A90">
        <w:rPr>
          <w:b/>
          <w:bCs/>
          <w:i/>
          <w:iCs/>
        </w:rPr>
        <w:t>seus</w:t>
      </w:r>
      <w:r w:rsidRPr="00AF1A90">
        <w:t xml:space="preserve"> fornecimentos de gás, para: i) resistir aos episódios de escassez da oferta de gás e </w:t>
      </w:r>
      <w:proofErr w:type="spellStart"/>
      <w:r w:rsidRPr="00AF1A90">
        <w:t>ii</w:t>
      </w:r>
      <w:proofErr w:type="spellEnd"/>
      <w:r w:rsidRPr="00AF1A90">
        <w:t>) reduzir as incertezas do mercado e a volatilidade dos preços.</w:t>
      </w:r>
    </w:p>
    <w:p w14:paraId="42526BE4" w14:textId="77777777" w:rsidR="005576C0" w:rsidRPr="00AF1A90" w:rsidRDefault="005576C0" w:rsidP="005576C0">
      <w:pPr>
        <w:pStyle w:val="NormalHanging12a"/>
        <w:ind w:left="851" w:hanging="851"/>
        <w:rPr>
          <w:szCs w:val="24"/>
        </w:rPr>
      </w:pPr>
      <w:r w:rsidRPr="00AF1A90">
        <w:t>(5)</w:t>
      </w:r>
      <w:r w:rsidRPr="00AF1A90">
        <w:tab/>
        <w:t>Apesar da melhoria substancial da situação do mercado em comparação com o período 2022</w:t>
      </w:r>
      <w:r w:rsidRPr="00AF1A90">
        <w:noBreakHyphen/>
        <w:t xml:space="preserve">2023, o mercado europeu do gás continua sob pressão </w:t>
      </w:r>
      <w:r w:rsidRPr="00AF1A90">
        <w:rPr>
          <w:b/>
          <w:bCs/>
          <w:i/>
          <w:iCs/>
        </w:rPr>
        <w:t>e a situação geopolítica continua pouco clara</w:t>
      </w:r>
      <w:r w:rsidRPr="00AF1A90">
        <w:t>.</w:t>
      </w:r>
      <w:r w:rsidRPr="00AF1A90">
        <w:rPr>
          <w:b/>
          <w:i/>
        </w:rPr>
        <w:t xml:space="preserve"> </w:t>
      </w:r>
      <w:r w:rsidRPr="00AF1A90">
        <w:t>Uma concorrência mais intensa pelos fornecimentos de GNL a nível mundial pode aumentar a exposição dos Estados</w:t>
      </w:r>
      <w:r w:rsidRPr="00AF1A90">
        <w:noBreakHyphen/>
        <w:t>Membros à volatilidade dos preços. ▌Nesta conjuntura, o papel das instalações de armazenamento de gás continua a ser fundamental. ▌</w:t>
      </w:r>
    </w:p>
    <w:p w14:paraId="6F01EF04" w14:textId="77777777" w:rsidR="005576C0" w:rsidRPr="00AF1A90" w:rsidRDefault="005576C0" w:rsidP="005576C0">
      <w:pPr>
        <w:pStyle w:val="NormalCenter12a"/>
        <w:ind w:left="851" w:hanging="851"/>
        <w:jc w:val="left"/>
      </w:pPr>
      <w:r w:rsidRPr="00AF1A90">
        <w:t>(6)</w:t>
      </w:r>
      <w:r w:rsidRPr="00AF1A90">
        <w:tab/>
        <w:t>Nos termos do Regulamento (UE) 2017/1938, a obrigação dos Estados</w:t>
      </w:r>
      <w:r w:rsidRPr="00AF1A90">
        <w:noBreakHyphen/>
        <w:t>Membros seguirem uma trajetória de enchimento anual e alcançarem a meta de enchimento até 1 de novembro de cada ano caduca a 31 de dezembro de 2025.</w:t>
      </w:r>
    </w:p>
    <w:p w14:paraId="383B653D" w14:textId="77777777" w:rsidR="005576C0" w:rsidRPr="00AF1A90" w:rsidRDefault="005576C0" w:rsidP="005576C0">
      <w:pPr>
        <w:pStyle w:val="NormalHanging12a"/>
        <w:ind w:left="851" w:hanging="851"/>
        <w:rPr>
          <w:b/>
          <w:i/>
          <w:szCs w:val="24"/>
        </w:rPr>
      </w:pPr>
      <w:r w:rsidRPr="00AF1A90">
        <w:rPr>
          <w:b/>
          <w:i/>
        </w:rPr>
        <w:t>(6</w:t>
      </w:r>
      <w:r w:rsidRPr="00AF1A90">
        <w:rPr>
          <w:b/>
          <w:i/>
        </w:rPr>
        <w:noBreakHyphen/>
        <w:t>A)</w:t>
      </w:r>
      <w:r w:rsidRPr="00AF1A90">
        <w:rPr>
          <w:b/>
          <w:i/>
        </w:rPr>
        <w:tab/>
        <w:t xml:space="preserve">Desde 2022, a União conseguiu substancialmente tornar o aprovisionamento de gás mais seguro, aumentando as importações de GNL de parceiros mundiais fiáveis, e tem como objetivo eliminar plenamente a dependência da União dos combustíveis fósseis russos, com base nos progressos do </w:t>
      </w:r>
      <w:proofErr w:type="spellStart"/>
      <w:r w:rsidRPr="00AF1A90">
        <w:rPr>
          <w:b/>
          <w:i/>
        </w:rPr>
        <w:t>REPowerEU</w:t>
      </w:r>
      <w:proofErr w:type="spellEnd"/>
      <w:r w:rsidRPr="00AF1A90">
        <w:rPr>
          <w:b/>
          <w:i/>
        </w:rPr>
        <w:t>. A União desenvolveu novas instalações de regaseificação e terminais portuários, criando simultaneamente um mercado de gás líquido que assegura uma forte resiliência contra potenciais perturbações no aprovisionamento restante por gasoduto russo.</w:t>
      </w:r>
    </w:p>
    <w:p w14:paraId="59A7A781" w14:textId="77777777" w:rsidR="005576C0" w:rsidRPr="00AF1A90" w:rsidRDefault="005576C0" w:rsidP="005576C0">
      <w:pPr>
        <w:pStyle w:val="NormalHanging12a"/>
        <w:ind w:left="851" w:hanging="851"/>
        <w:rPr>
          <w:b/>
          <w:i/>
          <w:szCs w:val="24"/>
        </w:rPr>
      </w:pPr>
      <w:r w:rsidRPr="00AF1A90">
        <w:rPr>
          <w:b/>
          <w:i/>
        </w:rPr>
        <w:t>(6</w:t>
      </w:r>
      <w:r w:rsidRPr="00AF1A90">
        <w:rPr>
          <w:b/>
          <w:i/>
        </w:rPr>
        <w:noBreakHyphen/>
        <w:t>B)</w:t>
      </w:r>
      <w:r w:rsidRPr="00AF1A90">
        <w:rPr>
          <w:b/>
          <w:i/>
        </w:rPr>
        <w:tab/>
        <w:t>A alteração do contexto político mundial tem de ser tida em conta no que diz respeito à fiabilidade dos fornecedores de gás e dos países fornecedores de gás.</w:t>
      </w:r>
    </w:p>
    <w:p w14:paraId="0FD1F19C" w14:textId="77777777" w:rsidR="005576C0" w:rsidRPr="00AF1A90" w:rsidRDefault="005576C0" w:rsidP="005576C0">
      <w:pPr>
        <w:pStyle w:val="NormalHanging12a"/>
        <w:ind w:left="851" w:hanging="851"/>
        <w:rPr>
          <w:szCs w:val="24"/>
        </w:rPr>
      </w:pPr>
      <w:r w:rsidRPr="00AF1A90">
        <w:t>(7)</w:t>
      </w:r>
      <w:r w:rsidRPr="00AF1A90">
        <w:tab/>
      </w:r>
      <w:r w:rsidRPr="00AF1A90">
        <w:rPr>
          <w:b/>
          <w:bCs/>
          <w:i/>
          <w:iCs/>
        </w:rPr>
        <w:t>À luz do êxito europeu na redução dos riscos relativos à sua estrutura de importação de gás,</w:t>
      </w:r>
      <w:r w:rsidRPr="00AF1A90">
        <w:t xml:space="preserve"> o quadro geral para satisfazer </w:t>
      </w:r>
      <w:r w:rsidRPr="00AF1A90">
        <w:rPr>
          <w:b/>
          <w:bCs/>
          <w:i/>
          <w:iCs/>
        </w:rPr>
        <w:t>as necessidades de gás natural da União deve encontrar um equilíbrio entre a segurança energética e o regresso a princípios baseados no mercado</w:t>
      </w:r>
      <w:r w:rsidRPr="00AF1A90">
        <w:t>.</w:t>
      </w:r>
      <w:r w:rsidRPr="00AF1A90">
        <w:rPr>
          <w:b/>
          <w:i/>
        </w:rPr>
        <w:t xml:space="preserve"> </w:t>
      </w:r>
      <w:r w:rsidRPr="00AF1A90">
        <w:rPr>
          <w:b/>
          <w:bCs/>
          <w:i/>
          <w:iCs/>
        </w:rPr>
        <w:t>Por conseguinte,</w:t>
      </w:r>
      <w:r w:rsidRPr="00AF1A90">
        <w:t xml:space="preserve"> deve ser suficientemente flexível durante a época de enchimento para permitir uma reação rápida às condições de mercado em constante mutação e, em especial, para tirar partido das melhores condições de aquisição</w:t>
      </w:r>
      <w:r w:rsidRPr="00AF1A90">
        <w:rPr>
          <w:b/>
          <w:bCs/>
          <w:i/>
          <w:iCs/>
        </w:rPr>
        <w:t>, a fim de baixar os preços do gás na Europa.</w:t>
      </w:r>
      <w:r w:rsidRPr="00AF1A90">
        <w:t xml:space="preserve"> </w:t>
      </w:r>
      <w:r w:rsidRPr="00AF1A90">
        <w:rPr>
          <w:b/>
          <w:i/>
        </w:rPr>
        <w:t>Propõe</w:t>
      </w:r>
      <w:r w:rsidRPr="00AF1A90">
        <w:rPr>
          <w:b/>
          <w:i/>
        </w:rPr>
        <w:noBreakHyphen/>
        <w:t>se, por conseguinte, reduzir a meta de enchimento para 83 %.</w:t>
      </w:r>
    </w:p>
    <w:p w14:paraId="042E96D0" w14:textId="77777777" w:rsidR="005576C0" w:rsidRPr="00AF1A90" w:rsidRDefault="005576C0" w:rsidP="005576C0">
      <w:pPr>
        <w:pStyle w:val="NormalHanging12a"/>
        <w:ind w:left="851" w:hanging="851"/>
        <w:rPr>
          <w:szCs w:val="24"/>
        </w:rPr>
      </w:pPr>
      <w:r w:rsidRPr="00AF1A90">
        <w:t>(8)</w:t>
      </w:r>
      <w:r w:rsidRPr="00AF1A90">
        <w:tab/>
      </w:r>
      <w:r w:rsidRPr="00AF1A90">
        <w:rPr>
          <w:b/>
          <w:bCs/>
          <w:i/>
          <w:iCs/>
        </w:rPr>
        <w:t>A fim de reforçar a estabilidade do mercado e atenuar o risco de volatilidade indevida dos preços potencialmente desencadeada por</w:t>
      </w:r>
      <w:r w:rsidRPr="00AF1A90">
        <w:t xml:space="preserve"> metas intermédias de enchimento, </w:t>
      </w:r>
      <w:r w:rsidRPr="00AF1A90">
        <w:rPr>
          <w:b/>
          <w:bCs/>
          <w:i/>
          <w:iCs/>
        </w:rPr>
        <w:t>é conveniente prever uma maior flexibilidade para o enchimento das instalações de armazenamento.</w:t>
      </w:r>
      <w:r w:rsidRPr="00AF1A90">
        <w:t xml:space="preserve">  </w:t>
      </w:r>
      <w:r w:rsidRPr="00AF1A90">
        <w:rPr>
          <w:b/>
          <w:bCs/>
          <w:i/>
          <w:iCs/>
        </w:rPr>
        <w:t>Os</w:t>
      </w:r>
      <w:r w:rsidRPr="00AF1A90">
        <w:t xml:space="preserve"> Estados</w:t>
      </w:r>
      <w:r w:rsidRPr="00AF1A90">
        <w:noBreakHyphen/>
        <w:t xml:space="preserve">Membros </w:t>
      </w:r>
      <w:r w:rsidRPr="00AF1A90">
        <w:rPr>
          <w:b/>
          <w:bCs/>
          <w:i/>
          <w:iCs/>
        </w:rPr>
        <w:t>devem, por conseguinte, apresentar anualmente planos de enchimento indicativos que possam incluir, se for caso disso, uma trajetória indicativa de enchimento</w:t>
      </w:r>
      <w:r w:rsidRPr="00AF1A90">
        <w:t xml:space="preserve"> e permitir que o enchimento das instalações de armazenamento decorra de um modo que proporcione flexibilidade suficiente aos participantes no mercado ao longo do ano, </w:t>
      </w:r>
      <w:r w:rsidRPr="00AF1A90">
        <w:rPr>
          <w:b/>
          <w:bCs/>
          <w:i/>
          <w:iCs/>
        </w:rPr>
        <w:t>tendo em conta</w:t>
      </w:r>
      <w:r w:rsidRPr="00AF1A90">
        <w:t xml:space="preserve"> a Recomendação </w:t>
      </w:r>
      <w:r w:rsidRPr="00AF1A90">
        <w:rPr>
          <w:b/>
          <w:bCs/>
          <w:i/>
          <w:iCs/>
        </w:rPr>
        <w:t>(2025)1481</w:t>
      </w:r>
      <w:r w:rsidRPr="00AF1A90">
        <w:t>.</w:t>
      </w:r>
    </w:p>
    <w:p w14:paraId="0A5C5254" w14:textId="77777777" w:rsidR="005576C0" w:rsidRPr="00AF1A90" w:rsidRDefault="005576C0" w:rsidP="005576C0">
      <w:pPr>
        <w:pStyle w:val="NormalHanging12a"/>
        <w:ind w:left="851" w:hanging="851"/>
        <w:rPr>
          <w:b/>
          <w:i/>
          <w:szCs w:val="24"/>
        </w:rPr>
      </w:pPr>
      <w:r w:rsidRPr="00AF1A90">
        <w:rPr>
          <w:b/>
          <w:i/>
        </w:rPr>
        <w:t>(8</w:t>
      </w:r>
      <w:r w:rsidRPr="00AF1A90">
        <w:rPr>
          <w:b/>
          <w:i/>
        </w:rPr>
        <w:noBreakHyphen/>
        <w:t>A)</w:t>
      </w:r>
      <w:r w:rsidRPr="00AF1A90">
        <w:rPr>
          <w:b/>
          <w:i/>
        </w:rPr>
        <w:tab/>
        <w:t>Os Estados</w:t>
      </w:r>
      <w:r w:rsidRPr="00AF1A90">
        <w:rPr>
          <w:b/>
          <w:i/>
        </w:rPr>
        <w:noBreakHyphen/>
        <w:t>Membros devem ter a possibilidade de se desviar até quatro pontos percentuais da meta de enchimento em caso de condições de mercado desfavoráveis, relacionadas, nomeadamente, com fatores como a oferta e a procura e a concorrência, ou de atividades comerciais que criem obstáculos ao enchimento das instalações de armazenamento com uma boa relação custo</w:t>
      </w:r>
      <w:r w:rsidRPr="00AF1A90">
        <w:rPr>
          <w:b/>
          <w:i/>
        </w:rPr>
        <w:noBreakHyphen/>
        <w:t xml:space="preserve">eficácia, que limitem significativamente a capacidade de assegurar o </w:t>
      </w:r>
      <w:r w:rsidRPr="00AF1A90">
        <w:rPr>
          <w:b/>
          <w:i/>
        </w:rPr>
        <w:lastRenderedPageBreak/>
        <w:t>enchimento das instalações de armazenamento de gás em conformidade com o presente regulamento.</w:t>
      </w:r>
    </w:p>
    <w:p w14:paraId="12CF0CCD" w14:textId="77777777" w:rsidR="005576C0" w:rsidRPr="00AF1A90" w:rsidRDefault="005576C0" w:rsidP="005576C0">
      <w:pPr>
        <w:pStyle w:val="NormalHanging12a"/>
        <w:ind w:left="851" w:hanging="851"/>
        <w:rPr>
          <w:b/>
          <w:i/>
          <w:szCs w:val="24"/>
        </w:rPr>
      </w:pPr>
      <w:r w:rsidRPr="00AF1A90">
        <w:rPr>
          <w:b/>
          <w:i/>
        </w:rPr>
        <w:t>(8</w:t>
      </w:r>
      <w:r w:rsidRPr="00AF1A90">
        <w:rPr>
          <w:b/>
          <w:i/>
        </w:rPr>
        <w:noBreakHyphen/>
        <w:t>B)</w:t>
      </w:r>
      <w:r w:rsidRPr="00AF1A90">
        <w:rPr>
          <w:b/>
          <w:i/>
        </w:rPr>
        <w:tab/>
        <w:t>Além disso, a Comissão deve ficar habilitada a adotar atos delegados para alterar, para uma época de enchimento, o nível do desvio autorizado dos quatro pontos percentuais, aumentando</w:t>
      </w:r>
      <w:r w:rsidRPr="00AF1A90">
        <w:rPr>
          <w:b/>
          <w:i/>
        </w:rPr>
        <w:noBreakHyphen/>
        <w:t>o até mais quatro pontos percentuais, em caso de condições de mercado desfavoráveis persistentes.</w:t>
      </w:r>
    </w:p>
    <w:p w14:paraId="2C2AD55D" w14:textId="77777777" w:rsidR="005576C0" w:rsidRPr="00AF1A90" w:rsidRDefault="005576C0" w:rsidP="005576C0">
      <w:pPr>
        <w:pStyle w:val="NormalHanging12a"/>
        <w:ind w:left="851" w:hanging="851"/>
        <w:rPr>
          <w:b/>
          <w:i/>
          <w:szCs w:val="24"/>
        </w:rPr>
      </w:pPr>
      <w:r w:rsidRPr="00AF1A90">
        <w:rPr>
          <w:b/>
          <w:i/>
        </w:rPr>
        <w:t>(8</w:t>
      </w:r>
      <w:r w:rsidRPr="00AF1A90">
        <w:rPr>
          <w:b/>
          <w:i/>
        </w:rPr>
        <w:noBreakHyphen/>
        <w:t>C)</w:t>
      </w:r>
      <w:r w:rsidRPr="00AF1A90">
        <w:rPr>
          <w:b/>
          <w:i/>
        </w:rPr>
        <w:tab/>
        <w:t>Os efeitos cumulativos das flexibilidades e derrogações previstas no presente regulamento não devem reduzir as obrigações globais de enchimento das instalações de armazenamento para menos de 75 %.</w:t>
      </w:r>
    </w:p>
    <w:p w14:paraId="02480FCE" w14:textId="77777777" w:rsidR="005576C0" w:rsidRPr="00AF1A90" w:rsidRDefault="005576C0" w:rsidP="005576C0">
      <w:pPr>
        <w:pStyle w:val="NormalHanging12a"/>
        <w:ind w:left="851" w:hanging="851"/>
        <w:rPr>
          <w:szCs w:val="24"/>
        </w:rPr>
      </w:pPr>
      <w:r w:rsidRPr="00AF1A90">
        <w:t>(9)</w:t>
      </w:r>
      <w:r w:rsidRPr="00AF1A90">
        <w:tab/>
        <w:t xml:space="preserve">A avaliação do atual quadro de segurança energética realizada pela Comissão confirmou o impacto positivo das obrigações de enchimento das instalações de armazenamento na segurança do aprovisionamento de gás, devendo esses efeitos positivos ser salvaguardados para além de 2025. </w:t>
      </w:r>
      <w:r w:rsidRPr="00AF1A90">
        <w:rPr>
          <w:b/>
          <w:i/>
        </w:rPr>
        <w:t>A prorrogação destas medidas não só contribuirá para a manutenção da segurança do aprovisionamento, como constituirá também um instrumento fundamental nos esforços da União para eliminar a sua dependência das importações de gás originário da Federação da Rússia.</w:t>
      </w:r>
    </w:p>
    <w:p w14:paraId="2192FC19" w14:textId="77777777" w:rsidR="005576C0" w:rsidRPr="00AF1A90" w:rsidRDefault="005576C0" w:rsidP="005576C0">
      <w:pPr>
        <w:pStyle w:val="NormalHanging12a"/>
        <w:ind w:left="851" w:hanging="851"/>
        <w:rPr>
          <w:b/>
          <w:i/>
          <w:szCs w:val="24"/>
        </w:rPr>
      </w:pPr>
      <w:r w:rsidRPr="00AF1A90">
        <w:rPr>
          <w:b/>
          <w:i/>
        </w:rPr>
        <w:t>(9</w:t>
      </w:r>
      <w:r w:rsidRPr="00AF1A90">
        <w:rPr>
          <w:b/>
          <w:i/>
        </w:rPr>
        <w:noBreakHyphen/>
        <w:t>A)</w:t>
      </w:r>
      <w:r w:rsidRPr="00AF1A90">
        <w:rPr>
          <w:b/>
          <w:i/>
        </w:rPr>
        <w:tab/>
        <w:t>Ao mesmo tempo, o presente regulamento deve dar resposta às alterações atuais e futuras dos mercados do gás natural e contribuir para o objetivo estratégico de baixar os preços da energia e promover o regresso gradual a mecanismos baseados no mercado no que respeita ao reenchimento das instalações de armazenamento.</w:t>
      </w:r>
    </w:p>
    <w:p w14:paraId="1EDE0FA5" w14:textId="77777777" w:rsidR="005576C0" w:rsidRPr="00AF1A90" w:rsidRDefault="005576C0" w:rsidP="005576C0">
      <w:pPr>
        <w:pStyle w:val="NormalHanging12a"/>
        <w:ind w:left="851" w:hanging="851"/>
        <w:rPr>
          <w:b/>
          <w:i/>
          <w:szCs w:val="24"/>
        </w:rPr>
      </w:pPr>
      <w:r w:rsidRPr="00AF1A90">
        <w:rPr>
          <w:b/>
          <w:i/>
        </w:rPr>
        <w:t>(9</w:t>
      </w:r>
      <w:r w:rsidRPr="00AF1A90">
        <w:rPr>
          <w:b/>
          <w:i/>
        </w:rPr>
        <w:noBreakHyphen/>
        <w:t>B)</w:t>
      </w:r>
      <w:r w:rsidRPr="00AF1A90">
        <w:rPr>
          <w:b/>
          <w:i/>
        </w:rPr>
        <w:tab/>
        <w:t>A fim de manter a segurança do aprovisionamento e o nível adequado de enchimento, a Comissão deve acompanhar continuamente o mercado e explorar opções que possam ajudar a cumprir a meta de enchimento, por exemplo, utilizando mecanismos de agregação da procura e de aquisição conjunta.</w:t>
      </w:r>
    </w:p>
    <w:p w14:paraId="480AFF23" w14:textId="77777777" w:rsidR="005576C0" w:rsidRPr="00AF1A90" w:rsidRDefault="005576C0" w:rsidP="005576C0">
      <w:pPr>
        <w:pStyle w:val="NormalHanging12a"/>
        <w:ind w:left="851" w:hanging="851"/>
        <w:rPr>
          <w:szCs w:val="24"/>
        </w:rPr>
      </w:pPr>
      <w:r w:rsidRPr="00AF1A90">
        <w:t>(10)</w:t>
      </w:r>
      <w:r w:rsidRPr="00AF1A90">
        <w:tab/>
        <w:t xml:space="preserve">Por conseguinte, é necessário prorrogar por dois anos as disposições pertinentes em matéria de enchimento das instalações de armazenamento de gás, que proporcionam previsibilidade e transparência quanto à utilização desse tipo de instalações em toda a União, </w:t>
      </w:r>
      <w:r w:rsidRPr="00AF1A90">
        <w:rPr>
          <w:b/>
          <w:bCs/>
          <w:i/>
          <w:iCs/>
        </w:rPr>
        <w:t>introduzindo simultaneamente alguma flexibilidade no presente regulamento.</w:t>
      </w:r>
    </w:p>
    <w:p w14:paraId="68EAC584" w14:textId="77777777" w:rsidR="005576C0" w:rsidRPr="00AF1A90" w:rsidRDefault="005576C0" w:rsidP="005576C0">
      <w:pPr>
        <w:pStyle w:val="NormalHanging12a"/>
        <w:ind w:left="851" w:hanging="851"/>
        <w:rPr>
          <w:b/>
          <w:i/>
          <w:szCs w:val="24"/>
        </w:rPr>
      </w:pPr>
      <w:r w:rsidRPr="00AF1A90">
        <w:rPr>
          <w:b/>
          <w:i/>
        </w:rPr>
        <w:t>(10</w:t>
      </w:r>
      <w:r w:rsidRPr="00AF1A90">
        <w:rPr>
          <w:b/>
          <w:i/>
        </w:rPr>
        <w:noBreakHyphen/>
        <w:t>A)</w:t>
      </w:r>
      <w:r w:rsidRPr="00AF1A90">
        <w:rPr>
          <w:b/>
          <w:i/>
        </w:rPr>
        <w:tab/>
        <w:t>Em consonância com o compromisso da Comissão de legislar melhor e simplificar, e refletindo a melhoria global do quadro de segurança energética da União, o controlo do cumprimento do presente regulamento deve basear</w:t>
      </w:r>
      <w:r w:rsidRPr="00AF1A90">
        <w:rPr>
          <w:b/>
          <w:i/>
        </w:rPr>
        <w:noBreakHyphen/>
        <w:t>se numa maior confiança nas capacidades administrativas dos Estados</w:t>
      </w:r>
      <w:r w:rsidRPr="00AF1A90">
        <w:rPr>
          <w:b/>
          <w:i/>
        </w:rPr>
        <w:noBreakHyphen/>
        <w:t>Membros. Os encargos de supervisão para a Comissão devem ser reduzidos em conformidade, com uma transição para obrigações de comunicação de informações mais simples e procedimentos simplificados. Esta abordagem reforça o princípio da subsidiariedade, evita uma complexidade administrativa desnecessária e é coerente com os esforços de simplificação da Comissão enunciados no seu programa de trabalho para 2025.</w:t>
      </w:r>
    </w:p>
    <w:p w14:paraId="11A85710" w14:textId="77777777" w:rsidR="005576C0" w:rsidRPr="00AF1A90" w:rsidRDefault="005576C0" w:rsidP="005576C0">
      <w:pPr>
        <w:pStyle w:val="NormalHanging12a"/>
        <w:ind w:left="851" w:hanging="851"/>
        <w:rPr>
          <w:b/>
          <w:i/>
          <w:szCs w:val="24"/>
        </w:rPr>
      </w:pPr>
      <w:r w:rsidRPr="00AF1A90">
        <w:rPr>
          <w:b/>
          <w:i/>
        </w:rPr>
        <w:t>(10</w:t>
      </w:r>
      <w:r w:rsidRPr="00AF1A90">
        <w:rPr>
          <w:b/>
          <w:i/>
        </w:rPr>
        <w:noBreakHyphen/>
        <w:t>B)</w:t>
      </w:r>
      <w:r w:rsidRPr="00AF1A90">
        <w:rPr>
          <w:b/>
          <w:i/>
        </w:rPr>
        <w:tab/>
        <w:t xml:space="preserve">O Regulamento (UE) 2017/1938 deve ser revisto pela Comissão em tempo útil e antes de 2027, a fim de ser adaptado à evolução do panorama energético e refletir as futuras necessidades de armazenamento de gás. Entre outros assuntos, as </w:t>
      </w:r>
      <w:r w:rsidRPr="00AF1A90">
        <w:rPr>
          <w:b/>
          <w:i/>
        </w:rPr>
        <w:lastRenderedPageBreak/>
        <w:t>eventuais alterações devem abordar as limitações da atual definição de «clientes protegidos», a prevenção da especulação nos mercados do gás e das atividades especulativas que inflacionam artificialmente os preços, o papel das medidas de eficiência energética conducentes a uma redução verificável da procura de gás e a forma como tal poderá ser utilizado para novas flexibilidades pelos Estados</w:t>
      </w:r>
      <w:r w:rsidRPr="00AF1A90">
        <w:rPr>
          <w:b/>
          <w:i/>
        </w:rPr>
        <w:noBreakHyphen/>
        <w:t>Membros, bem como ter em conta o quadro no âmbito de um cabaz energético em evolução, no qual as fontes alternativas ao gás, como as fontes de energia renováveis e o hidrogénio, juntamente com a eficiência energética, terão um papel mais importante.</w:t>
      </w:r>
    </w:p>
    <w:p w14:paraId="0220A8D4" w14:textId="77777777" w:rsidR="005576C0" w:rsidRPr="00AF1A90" w:rsidRDefault="005576C0" w:rsidP="005576C0">
      <w:pPr>
        <w:pStyle w:val="NormalCenter12a"/>
        <w:ind w:left="851" w:hanging="851"/>
        <w:jc w:val="left"/>
      </w:pPr>
      <w:r w:rsidRPr="00AF1A90">
        <w:t>(11)</w:t>
      </w:r>
      <w:r w:rsidRPr="00AF1A90">
        <w:tab/>
        <w:t>O Regulamento (UE) 2017/1938 deve, pois, ser alterado em conformidade,</w:t>
      </w:r>
    </w:p>
    <w:p w14:paraId="39F98058" w14:textId="77777777" w:rsidR="005576C0" w:rsidRPr="00AF1A90" w:rsidRDefault="005576C0" w:rsidP="005576C0">
      <w:pPr>
        <w:pStyle w:val="NormalCenter12a"/>
        <w:jc w:val="left"/>
      </w:pPr>
      <w:r w:rsidRPr="00AF1A90">
        <w:t>ADOTARAM O PRESENTE REGULAMENTO:</w:t>
      </w:r>
    </w:p>
    <w:p w14:paraId="33BD73B5" w14:textId="77777777" w:rsidR="005576C0" w:rsidRPr="00AF1A90" w:rsidRDefault="005576C0" w:rsidP="005576C0">
      <w:pPr>
        <w:pStyle w:val="Titrearticle"/>
        <w:rPr>
          <w:noProof/>
        </w:rPr>
      </w:pPr>
      <w:r w:rsidRPr="00AF1A90">
        <w:t>Artigo 1.º</w:t>
      </w:r>
    </w:p>
    <w:p w14:paraId="060CB907" w14:textId="77777777" w:rsidR="005576C0" w:rsidRPr="00AF1A90" w:rsidRDefault="005576C0" w:rsidP="005576C0">
      <w:pPr>
        <w:jc w:val="center"/>
        <w:rPr>
          <w:b/>
          <w:bCs/>
          <w:noProof/>
        </w:rPr>
      </w:pPr>
      <w:r w:rsidRPr="00AF1A90">
        <w:rPr>
          <w:b/>
        </w:rPr>
        <w:t>Alteração do Regulamento (UE) 2017/1938</w:t>
      </w:r>
    </w:p>
    <w:p w14:paraId="312305F4" w14:textId="77777777" w:rsidR="005576C0" w:rsidRPr="00AF1A90" w:rsidRDefault="005576C0" w:rsidP="005576C0">
      <w:pPr>
        <w:rPr>
          <w:noProof/>
        </w:rPr>
      </w:pPr>
    </w:p>
    <w:p w14:paraId="27A83543" w14:textId="77777777" w:rsidR="005576C0" w:rsidRPr="00AF1A90" w:rsidRDefault="005576C0" w:rsidP="005576C0">
      <w:pPr>
        <w:pStyle w:val="NormalHanging12a"/>
        <w:rPr>
          <w:szCs w:val="24"/>
        </w:rPr>
      </w:pPr>
      <w:r w:rsidRPr="00AF1A90">
        <w:rPr>
          <w:b/>
          <w:bCs/>
          <w:i/>
          <w:iCs/>
        </w:rPr>
        <w:t>O</w:t>
      </w:r>
      <w:r w:rsidRPr="00AF1A90">
        <w:t xml:space="preserve"> Regulamento (UE) 2017/1938 </w:t>
      </w:r>
      <w:r w:rsidRPr="00AF1A90">
        <w:rPr>
          <w:b/>
          <w:bCs/>
          <w:i/>
          <w:iCs/>
        </w:rPr>
        <w:t>é alterado do seguinte modo</w:t>
      </w:r>
      <w:r w:rsidRPr="00AF1A90">
        <w:t>:</w:t>
      </w:r>
    </w:p>
    <w:p w14:paraId="7B101A16" w14:textId="77777777" w:rsidR="005576C0" w:rsidRPr="00AF1A90" w:rsidRDefault="005576C0" w:rsidP="005576C0">
      <w:pPr>
        <w:pStyle w:val="NormalHanging12a"/>
        <w:ind w:left="851" w:hanging="851"/>
        <w:rPr>
          <w:b/>
          <w:i/>
          <w:szCs w:val="24"/>
        </w:rPr>
      </w:pPr>
      <w:r w:rsidRPr="00AF1A90">
        <w:rPr>
          <w:b/>
          <w:i/>
        </w:rPr>
        <w:t>1)</w:t>
      </w:r>
      <w:r w:rsidRPr="00AF1A90">
        <w:rPr>
          <w:b/>
          <w:i/>
        </w:rPr>
        <w:tab/>
        <w:t>No artigo 2.º, o ponto 27 é suprimido;</w:t>
      </w:r>
    </w:p>
    <w:p w14:paraId="33C5BA86" w14:textId="2605DF04" w:rsidR="005576C0" w:rsidRPr="00AF1A90" w:rsidRDefault="005576C0" w:rsidP="005576C0">
      <w:pPr>
        <w:pStyle w:val="NormalHanging12a"/>
        <w:ind w:left="851" w:hanging="851"/>
        <w:rPr>
          <w:b/>
          <w:i/>
          <w:szCs w:val="24"/>
        </w:rPr>
      </w:pPr>
      <w:r w:rsidRPr="00AF1A90">
        <w:rPr>
          <w:b/>
          <w:i/>
        </w:rPr>
        <w:t>2)</w:t>
      </w:r>
      <w:r w:rsidRPr="00AF1A90">
        <w:rPr>
          <w:b/>
          <w:i/>
        </w:rPr>
        <w:tab/>
        <w:t>O artigo 6.º</w:t>
      </w:r>
      <w:r w:rsidRPr="00AF1A90">
        <w:rPr>
          <w:b/>
          <w:i/>
        </w:rPr>
        <w:noBreakHyphen/>
        <w:t>A é alterado do seguinte modo:</w:t>
      </w:r>
    </w:p>
    <w:p w14:paraId="43917C53" w14:textId="77777777" w:rsidR="005576C0" w:rsidRPr="00AF1A90" w:rsidRDefault="005576C0" w:rsidP="005576C0">
      <w:pPr>
        <w:pStyle w:val="NormalHanging12a"/>
        <w:ind w:left="1418"/>
        <w:rPr>
          <w:b/>
          <w:i/>
        </w:rPr>
      </w:pPr>
      <w:r w:rsidRPr="00AF1A90">
        <w:rPr>
          <w:b/>
          <w:i/>
        </w:rPr>
        <w:t>a)</w:t>
      </w:r>
      <w:r w:rsidRPr="00AF1A90">
        <w:rPr>
          <w:b/>
          <w:i/>
        </w:rPr>
        <w:tab/>
        <w:t>O título passa a ter a seguinte redação: «Meta de enchimento»;</w:t>
      </w:r>
    </w:p>
    <w:p w14:paraId="3F5B473B" w14:textId="77777777" w:rsidR="005576C0" w:rsidRPr="00AF1A90" w:rsidRDefault="005576C0" w:rsidP="005576C0">
      <w:pPr>
        <w:pStyle w:val="NormalHanging12a"/>
        <w:ind w:left="1418"/>
        <w:rPr>
          <w:b/>
          <w:i/>
        </w:rPr>
      </w:pPr>
      <w:r w:rsidRPr="00AF1A90">
        <w:rPr>
          <w:b/>
          <w:i/>
        </w:rPr>
        <w:t>b)</w:t>
      </w:r>
      <w:r w:rsidRPr="00AF1A90">
        <w:rPr>
          <w:b/>
          <w:i/>
        </w:rPr>
        <w:tab/>
        <w:t>No n.º 1, o primeiro parágrafo passa a ter a seguinte redação:</w:t>
      </w:r>
    </w:p>
    <w:p w14:paraId="2BC87C6D" w14:textId="4CCBE5A6" w:rsidR="005576C0" w:rsidRPr="00AF1A90" w:rsidRDefault="005576C0" w:rsidP="005576C0">
      <w:pPr>
        <w:pStyle w:val="NormalHanging12a"/>
        <w:ind w:left="1985"/>
        <w:rPr>
          <w:b/>
          <w:i/>
        </w:rPr>
      </w:pPr>
      <w:r w:rsidRPr="00AF1A90">
        <w:rPr>
          <w:b/>
          <w:i/>
        </w:rPr>
        <w:t>«1.</w:t>
      </w:r>
      <w:r w:rsidRPr="00AF1A90">
        <w:rPr>
          <w:b/>
          <w:i/>
        </w:rPr>
        <w:tab/>
        <w:t xml:space="preserve">Nos termos do disposto nos </w:t>
      </w:r>
      <w:proofErr w:type="spellStart"/>
      <w:proofErr w:type="gramStart"/>
      <w:r w:rsidRPr="00AF1A90">
        <w:rPr>
          <w:b/>
          <w:i/>
        </w:rPr>
        <w:t>n.</w:t>
      </w:r>
      <w:r w:rsidRPr="00AF1A90">
        <w:rPr>
          <w:b/>
          <w:i/>
          <w:vertAlign w:val="superscript"/>
        </w:rPr>
        <w:t>os</w:t>
      </w:r>
      <w:proofErr w:type="spellEnd"/>
      <w:proofErr w:type="gramEnd"/>
      <w:r w:rsidRPr="00AF1A90">
        <w:rPr>
          <w:b/>
          <w:i/>
        </w:rPr>
        <w:t xml:space="preserve"> 2 a 5, os Estados</w:t>
      </w:r>
      <w:r w:rsidRPr="00AF1A90">
        <w:rPr>
          <w:b/>
          <w:i/>
        </w:rPr>
        <w:noBreakHyphen/>
        <w:t>Membros asseguram a meta de enchimento de 83 % para a capacidade agregada de todas as instalações de armazenamento subterrâneo de gás situadas no seu território e diretamente interligadas a uma área de mercado no seu território e para as instalações de armazenamento enumeradas no anexo I</w:t>
      </w:r>
      <w:r w:rsidRPr="00AF1A90">
        <w:rPr>
          <w:b/>
          <w:i/>
        </w:rPr>
        <w:noBreakHyphen/>
        <w:t>B em qualquer altura entre 1 de outubro e 1 de dezembro de cada ano.»;</w:t>
      </w:r>
    </w:p>
    <w:p w14:paraId="5DAD6ACF" w14:textId="4A496BA7" w:rsidR="00A65FDC" w:rsidRPr="00AF1A90" w:rsidRDefault="002308B3" w:rsidP="00A65FDC">
      <w:pPr>
        <w:pStyle w:val="NormalHanging12a"/>
        <w:ind w:left="1418"/>
        <w:rPr>
          <w:b/>
          <w:i/>
          <w:szCs w:val="24"/>
        </w:rPr>
      </w:pPr>
      <w:r w:rsidRPr="00AF1A90">
        <w:rPr>
          <w:b/>
          <w:i/>
          <w:szCs w:val="24"/>
        </w:rPr>
        <w:t>c</w:t>
      </w:r>
      <w:r w:rsidR="00A65FDC" w:rsidRPr="00AF1A90">
        <w:rPr>
          <w:b/>
          <w:i/>
          <w:szCs w:val="24"/>
        </w:rPr>
        <w:t>)</w:t>
      </w:r>
      <w:r w:rsidR="00A65FDC" w:rsidRPr="00AF1A90">
        <w:rPr>
          <w:b/>
          <w:i/>
          <w:szCs w:val="24"/>
        </w:rPr>
        <w:tab/>
        <w:t>O n.º 2 passa a ter a seguinte redação:</w:t>
      </w:r>
    </w:p>
    <w:p w14:paraId="4535EC45" w14:textId="36B8A052" w:rsidR="00A65FDC" w:rsidRPr="00AF1A90" w:rsidRDefault="00A65FDC" w:rsidP="00AF1A90">
      <w:pPr>
        <w:pStyle w:val="NormalHanging12a"/>
        <w:ind w:left="1985"/>
        <w:rPr>
          <w:b/>
          <w:i/>
          <w:szCs w:val="24"/>
        </w:rPr>
      </w:pPr>
      <w:r w:rsidRPr="00AF1A90">
        <w:rPr>
          <w:b/>
          <w:i/>
          <w:szCs w:val="24"/>
        </w:rPr>
        <w:t>«2.</w:t>
      </w:r>
      <w:r w:rsidRPr="00AF1A90">
        <w:rPr>
          <w:b/>
          <w:i/>
          <w:szCs w:val="24"/>
        </w:rPr>
        <w:tab/>
        <w:t xml:space="preserve">Não obstante o disposto no n.º 1, e sem prejuízo das obrigações de outros Estados-Membros relativas ao enchimento das instalações de armazenamento subterrâneo de gás em causa, a meta de enchimento de cada Estado-Membro em que estão situadas as instalações de armazenamento subterrâneo de gás é </w:t>
      </w:r>
      <w:r w:rsidRPr="00AF1A90">
        <w:rPr>
          <w:b/>
          <w:i/>
        </w:rPr>
        <w:t>reduzida</w:t>
      </w:r>
      <w:r w:rsidRPr="00AF1A90">
        <w:rPr>
          <w:b/>
          <w:i/>
          <w:szCs w:val="24"/>
        </w:rPr>
        <w:t xml:space="preserve"> a um volume correspondente a 32,28 % do consumo médio anual de gás nos cinco anos anteriores para esse Estado-Membro.»;</w:t>
      </w:r>
    </w:p>
    <w:p w14:paraId="455A1AD8" w14:textId="7DB3BF47" w:rsidR="005576C0" w:rsidRPr="00AF1A90" w:rsidRDefault="002308B3" w:rsidP="005576C0">
      <w:pPr>
        <w:pStyle w:val="NormalHanging12a"/>
        <w:ind w:left="1418"/>
        <w:rPr>
          <w:b/>
          <w:i/>
        </w:rPr>
      </w:pPr>
      <w:r w:rsidRPr="00AF1A90">
        <w:rPr>
          <w:b/>
          <w:i/>
        </w:rPr>
        <w:t>d</w:t>
      </w:r>
      <w:r w:rsidR="005576C0" w:rsidRPr="00AF1A90">
        <w:rPr>
          <w:b/>
          <w:i/>
        </w:rPr>
        <w:t>)</w:t>
      </w:r>
      <w:r w:rsidR="005576C0" w:rsidRPr="00AF1A90">
        <w:rPr>
          <w:b/>
          <w:i/>
        </w:rPr>
        <w:tab/>
        <w:t>São aditados os seguintes números:</w:t>
      </w:r>
    </w:p>
    <w:p w14:paraId="2CC4A19E" w14:textId="77777777" w:rsidR="005576C0" w:rsidRPr="00AF1A90" w:rsidRDefault="005576C0" w:rsidP="005576C0">
      <w:pPr>
        <w:pStyle w:val="NormalHanging12a"/>
        <w:ind w:left="1985"/>
        <w:rPr>
          <w:b/>
          <w:i/>
          <w:szCs w:val="24"/>
        </w:rPr>
      </w:pPr>
      <w:r w:rsidRPr="00AF1A90">
        <w:rPr>
          <w:b/>
          <w:i/>
        </w:rPr>
        <w:t>«5</w:t>
      </w:r>
      <w:r w:rsidRPr="00AF1A90">
        <w:rPr>
          <w:b/>
          <w:i/>
        </w:rPr>
        <w:noBreakHyphen/>
        <w:t xml:space="preserve">A. </w:t>
      </w:r>
      <w:r w:rsidRPr="00AF1A90">
        <w:rPr>
          <w:b/>
          <w:i/>
        </w:rPr>
        <w:tab/>
        <w:t>Não obstante o disposto no n.º 1, e sem prejuízo da obrigação de outros Estados</w:t>
      </w:r>
      <w:r w:rsidRPr="00AF1A90">
        <w:rPr>
          <w:b/>
          <w:i/>
        </w:rPr>
        <w:noBreakHyphen/>
        <w:t>Membros encherem as instalações de armazenamento subterrâneo de gás em causa, os Estados</w:t>
      </w:r>
      <w:r w:rsidRPr="00AF1A90">
        <w:rPr>
          <w:b/>
          <w:i/>
        </w:rPr>
        <w:noBreakHyphen/>
        <w:t>Membros podem decidir desviar</w:t>
      </w:r>
      <w:r w:rsidRPr="00AF1A90">
        <w:rPr>
          <w:b/>
          <w:i/>
        </w:rPr>
        <w:noBreakHyphen/>
        <w:t xml:space="preserve">se até quatro pontos percentuais da meta de enchimento </w:t>
      </w:r>
      <w:r w:rsidRPr="00AF1A90">
        <w:rPr>
          <w:b/>
          <w:i/>
        </w:rPr>
        <w:lastRenderedPageBreak/>
        <w:t>estabelecida no n.º 1 para cada Estado</w:t>
      </w:r>
      <w:r w:rsidRPr="00AF1A90">
        <w:rPr>
          <w:b/>
          <w:i/>
        </w:rPr>
        <w:noBreakHyphen/>
        <w:t>Membro, se as condições de mercado forem desfavoráveis para o enchimento de instalações de armazenamento subterrâneo de gás.</w:t>
      </w:r>
    </w:p>
    <w:p w14:paraId="0E78F960" w14:textId="77777777" w:rsidR="005576C0" w:rsidRPr="00AF1A90" w:rsidRDefault="005576C0" w:rsidP="005576C0">
      <w:pPr>
        <w:pStyle w:val="NormalHanging12a"/>
        <w:ind w:left="1985"/>
        <w:rPr>
          <w:b/>
          <w:i/>
          <w:szCs w:val="24"/>
        </w:rPr>
      </w:pPr>
      <w:r w:rsidRPr="00AF1A90">
        <w:rPr>
          <w:b/>
          <w:i/>
        </w:rPr>
        <w:t>5</w:t>
      </w:r>
      <w:r w:rsidRPr="00AF1A90">
        <w:rPr>
          <w:b/>
          <w:i/>
        </w:rPr>
        <w:noBreakHyphen/>
        <w:t>B.</w:t>
      </w:r>
      <w:r w:rsidRPr="00AF1A90">
        <w:rPr>
          <w:b/>
          <w:i/>
        </w:rPr>
        <w:tab/>
        <w:t>Em casos devidamente justificados de condições de mercado desfavoráveis persistentes, e desde que a segurança do aprovisionamento da União e dos Estados</w:t>
      </w:r>
      <w:r w:rsidRPr="00AF1A90">
        <w:rPr>
          <w:b/>
          <w:i/>
        </w:rPr>
        <w:noBreakHyphen/>
        <w:t>Membros não seja posta em causa, a Comissão fica habilitada a adotar atos delegados nos termos do artigo 19.º para alterar o presente regulamento, aumentando o desvio autorizado para os Estados</w:t>
      </w:r>
      <w:r w:rsidRPr="00AF1A90">
        <w:rPr>
          <w:b/>
          <w:i/>
        </w:rPr>
        <w:noBreakHyphen/>
        <w:t>Membros, tal como estabelecido no n.º 5</w:t>
      </w:r>
      <w:r w:rsidRPr="00AF1A90">
        <w:rPr>
          <w:b/>
          <w:i/>
        </w:rPr>
        <w:noBreakHyphen/>
        <w:t>A, até mais quatro pontos percentuais.</w:t>
      </w:r>
    </w:p>
    <w:p w14:paraId="52039C95" w14:textId="77777777" w:rsidR="005576C0" w:rsidRPr="00AF1A90" w:rsidRDefault="005576C0" w:rsidP="005576C0">
      <w:pPr>
        <w:pStyle w:val="NormalHanging12a"/>
        <w:ind w:left="1985" w:firstLine="0"/>
        <w:rPr>
          <w:b/>
          <w:i/>
          <w:szCs w:val="24"/>
        </w:rPr>
      </w:pPr>
      <w:r w:rsidRPr="00AF1A90">
        <w:rPr>
          <w:b/>
          <w:i/>
        </w:rPr>
        <w:t>Na sua avaliação, a Comissão deve ter em conta, em especial, o nível de enchimento das instalações de armazenamento nos Estados</w:t>
      </w:r>
      <w:r w:rsidRPr="00AF1A90">
        <w:rPr>
          <w:b/>
          <w:i/>
        </w:rPr>
        <w:noBreakHyphen/>
        <w:t>Membros, o aprovisionamento mundial de gás, as perspetivas sazonais de aprovisionamento da REORT</w:t>
      </w:r>
      <w:r w:rsidRPr="00AF1A90">
        <w:rPr>
          <w:b/>
          <w:i/>
        </w:rPr>
        <w:noBreakHyphen/>
        <w:t>G e as indicações de manipulação de mercado.  Pode igualmente ter em conta medidas dos Estados</w:t>
      </w:r>
      <w:r w:rsidRPr="00AF1A90">
        <w:rPr>
          <w:b/>
          <w:i/>
        </w:rPr>
        <w:noBreakHyphen/>
        <w:t>Membros, como a implantação de medidas de redução da procura de gás que permitam reduções equivalentes do gás durante a época de retirada seguinte.</w:t>
      </w:r>
    </w:p>
    <w:p w14:paraId="6F9AEF9F" w14:textId="77777777" w:rsidR="005576C0" w:rsidRPr="00AF1A90" w:rsidRDefault="005576C0" w:rsidP="005576C0">
      <w:pPr>
        <w:pStyle w:val="NormalHanging12a"/>
        <w:ind w:left="1985"/>
        <w:rPr>
          <w:b/>
          <w:i/>
          <w:szCs w:val="24"/>
        </w:rPr>
      </w:pPr>
      <w:r w:rsidRPr="00AF1A90">
        <w:rPr>
          <w:b/>
          <w:i/>
        </w:rPr>
        <w:t>5</w:t>
      </w:r>
      <w:r w:rsidRPr="00AF1A90">
        <w:rPr>
          <w:b/>
          <w:i/>
        </w:rPr>
        <w:noBreakHyphen/>
        <w:t>C.</w:t>
      </w:r>
      <w:r w:rsidRPr="00AF1A90">
        <w:rPr>
          <w:b/>
          <w:i/>
        </w:rPr>
        <w:tab/>
        <w:t>Os Estados</w:t>
      </w:r>
      <w:r w:rsidRPr="00AF1A90">
        <w:rPr>
          <w:b/>
          <w:i/>
        </w:rPr>
        <w:noBreakHyphen/>
        <w:t>Membros a que se refere o n.º 2 podem, nas mesmas condições que as previstas no n.º 5</w:t>
      </w:r>
      <w:r w:rsidRPr="00AF1A90">
        <w:rPr>
          <w:b/>
          <w:i/>
        </w:rPr>
        <w:noBreakHyphen/>
        <w:t>A, decidir desviar</w:t>
      </w:r>
      <w:r w:rsidRPr="00AF1A90">
        <w:rPr>
          <w:b/>
          <w:i/>
        </w:rPr>
        <w:noBreakHyphen/>
        <w:t>se até 1,55 % abaixo do volume estabelecido no n.º 2.</w:t>
      </w:r>
    </w:p>
    <w:p w14:paraId="25E78B64" w14:textId="77777777" w:rsidR="005576C0" w:rsidRPr="00AF1A90" w:rsidRDefault="005576C0" w:rsidP="005576C0">
      <w:pPr>
        <w:pStyle w:val="NormalHanging12a"/>
        <w:ind w:left="1985"/>
        <w:rPr>
          <w:b/>
          <w:i/>
          <w:szCs w:val="24"/>
        </w:rPr>
      </w:pPr>
      <w:r w:rsidRPr="00AF1A90">
        <w:rPr>
          <w:b/>
          <w:i/>
        </w:rPr>
        <w:t>5</w:t>
      </w:r>
      <w:r w:rsidRPr="00AF1A90">
        <w:rPr>
          <w:b/>
          <w:i/>
        </w:rPr>
        <w:noBreakHyphen/>
        <w:t>D.</w:t>
      </w:r>
      <w:r w:rsidRPr="00AF1A90">
        <w:rPr>
          <w:b/>
          <w:i/>
        </w:rPr>
        <w:tab/>
        <w:t xml:space="preserve">Antes de utilizar qualquer dos desvios previstos nos </w:t>
      </w:r>
      <w:proofErr w:type="spellStart"/>
      <w:proofErr w:type="gramStart"/>
      <w:r w:rsidRPr="00AF1A90">
        <w:rPr>
          <w:b/>
          <w:i/>
        </w:rPr>
        <w:t>n.</w:t>
      </w:r>
      <w:r w:rsidRPr="00AF1A90">
        <w:rPr>
          <w:b/>
          <w:i/>
          <w:vertAlign w:val="superscript"/>
        </w:rPr>
        <w:t>os</w:t>
      </w:r>
      <w:proofErr w:type="spellEnd"/>
      <w:proofErr w:type="gramEnd"/>
      <w:r w:rsidRPr="00AF1A90">
        <w:rPr>
          <w:b/>
          <w:i/>
        </w:rPr>
        <w:t xml:space="preserve"> 5</w:t>
      </w:r>
      <w:r w:rsidRPr="00AF1A90">
        <w:rPr>
          <w:b/>
          <w:i/>
        </w:rPr>
        <w:noBreakHyphen/>
        <w:t>A e 5</w:t>
      </w:r>
      <w:r w:rsidRPr="00AF1A90">
        <w:rPr>
          <w:b/>
          <w:i/>
        </w:rPr>
        <w:noBreakHyphen/>
        <w:t>C, cada Estado</w:t>
      </w:r>
      <w:r w:rsidRPr="00AF1A90">
        <w:rPr>
          <w:b/>
          <w:i/>
        </w:rPr>
        <w:noBreakHyphen/>
        <w:t xml:space="preserve">Membro consulta a Comissão e apresenta, sem demora indevida, uma justificação para a sua decisão. A Comissão informa imediatamente o GCG dos efeitos cumulativos de todos os desvios nos termos dos </w:t>
      </w:r>
      <w:proofErr w:type="spellStart"/>
      <w:proofErr w:type="gramStart"/>
      <w:r w:rsidRPr="00AF1A90">
        <w:rPr>
          <w:b/>
          <w:i/>
        </w:rPr>
        <w:t>n.</w:t>
      </w:r>
      <w:r w:rsidRPr="00AF1A90">
        <w:rPr>
          <w:b/>
          <w:i/>
          <w:vertAlign w:val="superscript"/>
        </w:rPr>
        <w:t>os</w:t>
      </w:r>
      <w:proofErr w:type="spellEnd"/>
      <w:proofErr w:type="gramEnd"/>
      <w:r w:rsidRPr="00AF1A90">
        <w:rPr>
          <w:b/>
          <w:i/>
        </w:rPr>
        <w:t xml:space="preserve"> 5</w:t>
      </w:r>
      <w:r w:rsidRPr="00AF1A90">
        <w:rPr>
          <w:b/>
          <w:i/>
        </w:rPr>
        <w:noBreakHyphen/>
        <w:t>A e 5</w:t>
      </w:r>
      <w:r w:rsidRPr="00AF1A90">
        <w:rPr>
          <w:b/>
          <w:i/>
        </w:rPr>
        <w:noBreakHyphen/>
        <w:t>C e quaisquer Estados</w:t>
      </w:r>
      <w:r w:rsidRPr="00AF1A90">
        <w:rPr>
          <w:b/>
          <w:i/>
        </w:rPr>
        <w:noBreakHyphen/>
        <w:t>Membros diretamente afetados.»;</w:t>
      </w:r>
    </w:p>
    <w:p w14:paraId="3EDB5312" w14:textId="73BE1049" w:rsidR="005576C0" w:rsidRPr="00AF1A90" w:rsidRDefault="002308B3" w:rsidP="005576C0">
      <w:pPr>
        <w:pStyle w:val="NormalHanging12a"/>
        <w:ind w:left="1418"/>
        <w:rPr>
          <w:b/>
          <w:i/>
        </w:rPr>
      </w:pPr>
      <w:r w:rsidRPr="00AF1A90">
        <w:rPr>
          <w:b/>
          <w:i/>
        </w:rPr>
        <w:t>e</w:t>
      </w:r>
      <w:r w:rsidR="005576C0" w:rsidRPr="00AF1A90">
        <w:rPr>
          <w:b/>
          <w:i/>
        </w:rPr>
        <w:t>)</w:t>
      </w:r>
      <w:r w:rsidR="005576C0" w:rsidRPr="00AF1A90">
        <w:rPr>
          <w:b/>
          <w:i/>
        </w:rPr>
        <w:tab/>
        <w:t xml:space="preserve">Os </w:t>
      </w:r>
      <w:proofErr w:type="spellStart"/>
      <w:proofErr w:type="gramStart"/>
      <w:r w:rsidR="005576C0" w:rsidRPr="00AF1A90">
        <w:rPr>
          <w:b/>
          <w:i/>
        </w:rPr>
        <w:t>n.</w:t>
      </w:r>
      <w:r w:rsidR="005576C0" w:rsidRPr="00AF1A90">
        <w:rPr>
          <w:b/>
          <w:i/>
          <w:vertAlign w:val="superscript"/>
        </w:rPr>
        <w:t>os</w:t>
      </w:r>
      <w:proofErr w:type="spellEnd"/>
      <w:proofErr w:type="gramEnd"/>
      <w:r w:rsidR="005576C0" w:rsidRPr="00AF1A90">
        <w:rPr>
          <w:b/>
          <w:i/>
        </w:rPr>
        <w:t> 6 e 7 passam a ter a seguinte redação:</w:t>
      </w:r>
    </w:p>
    <w:p w14:paraId="7F0EA7E9" w14:textId="77777777" w:rsidR="005576C0" w:rsidRPr="00AF1A90" w:rsidRDefault="005576C0" w:rsidP="005576C0">
      <w:pPr>
        <w:pStyle w:val="NormalHanging12a"/>
        <w:ind w:left="1985"/>
        <w:rPr>
          <w:szCs w:val="24"/>
        </w:rPr>
      </w:pPr>
      <w:r w:rsidRPr="00AF1A90">
        <w:rPr>
          <w:b/>
          <w:i/>
        </w:rPr>
        <w:t>«6.</w:t>
      </w:r>
      <w:r w:rsidRPr="00AF1A90">
        <w:tab/>
      </w:r>
      <w:r w:rsidRPr="00AF1A90">
        <w:rPr>
          <w:b/>
          <w:bCs/>
          <w:i/>
          <w:iCs/>
        </w:rPr>
        <w:t>A fim de cumprir a meta de enchimento, os Estados</w:t>
      </w:r>
      <w:r w:rsidRPr="00AF1A90">
        <w:rPr>
          <w:b/>
          <w:bCs/>
          <w:i/>
          <w:iCs/>
        </w:rPr>
        <w:noBreakHyphen/>
        <w:t>Membros tomam todas as medidas necessárias e esforçam</w:t>
      </w:r>
      <w:r w:rsidRPr="00AF1A90">
        <w:rPr>
          <w:b/>
          <w:bCs/>
          <w:i/>
          <w:iCs/>
        </w:rPr>
        <w:noBreakHyphen/>
        <w:t>se por seguir o plano de enchimento definido em conformidade com o n.º 7.</w:t>
      </w:r>
    </w:p>
    <w:p w14:paraId="704C95B2" w14:textId="5D83A658" w:rsidR="005576C0" w:rsidRPr="00AF1A90" w:rsidRDefault="005576C0" w:rsidP="005576C0">
      <w:pPr>
        <w:pStyle w:val="NormalHanging12a"/>
        <w:ind w:left="1985"/>
      </w:pPr>
      <w:r w:rsidRPr="00AF1A90">
        <w:rPr>
          <w:b/>
          <w:i/>
        </w:rPr>
        <w:t>7.</w:t>
      </w:r>
      <w:r w:rsidRPr="00AF1A90">
        <w:tab/>
      </w:r>
      <w:r w:rsidRPr="00AF1A90">
        <w:rPr>
          <w:b/>
          <w:i/>
        </w:rPr>
        <w:t>Os Estados</w:t>
      </w:r>
      <w:r w:rsidRPr="00AF1A90">
        <w:rPr>
          <w:b/>
          <w:i/>
        </w:rPr>
        <w:noBreakHyphen/>
        <w:t>Membros que disponham de instalações de armazenamento subterrâneo de gás apresentam atempadamente à Comissão um plano indicativo de enchimento para todo o ano civil, a fim de alcançar a meta anual de enchimento das instalações de armazenamento de gás estabelecida no n.º 1. O plano deve incluir informações técnicas para as instalações de armazenamento subterrâneo de gás no seu território e estar diretamente interligado com a sua área de mercado de forma agregada.»;</w:t>
      </w:r>
    </w:p>
    <w:p w14:paraId="4517B7D6" w14:textId="4DC7B97C" w:rsidR="005576C0" w:rsidRPr="00AF1A90" w:rsidRDefault="002308B3" w:rsidP="005576C0">
      <w:pPr>
        <w:pStyle w:val="NormalHanging12a"/>
        <w:ind w:left="1418"/>
        <w:rPr>
          <w:b/>
          <w:i/>
        </w:rPr>
      </w:pPr>
      <w:r w:rsidRPr="00AF1A90">
        <w:rPr>
          <w:b/>
          <w:i/>
        </w:rPr>
        <w:t>f</w:t>
      </w:r>
      <w:r w:rsidR="005576C0" w:rsidRPr="00AF1A90">
        <w:rPr>
          <w:b/>
          <w:i/>
        </w:rPr>
        <w:t>)</w:t>
      </w:r>
      <w:r w:rsidR="005576C0" w:rsidRPr="00AF1A90">
        <w:rPr>
          <w:b/>
          <w:i/>
        </w:rPr>
        <w:tab/>
        <w:t>É suprimido o n.º 8</w:t>
      </w:r>
      <w:r w:rsidR="00A65FDC" w:rsidRPr="00AF1A90">
        <w:rPr>
          <w:b/>
          <w:i/>
        </w:rPr>
        <w:t>;</w:t>
      </w:r>
    </w:p>
    <w:p w14:paraId="39F4756B" w14:textId="0223A9BC" w:rsidR="005576C0" w:rsidRPr="00AF1A90" w:rsidRDefault="002308B3" w:rsidP="005576C0">
      <w:pPr>
        <w:pStyle w:val="NormalHanging12a"/>
        <w:ind w:left="1418"/>
        <w:rPr>
          <w:b/>
          <w:i/>
        </w:rPr>
      </w:pPr>
      <w:r w:rsidRPr="00AF1A90">
        <w:rPr>
          <w:b/>
          <w:i/>
        </w:rPr>
        <w:t>g</w:t>
      </w:r>
      <w:r w:rsidR="005576C0" w:rsidRPr="00AF1A90">
        <w:rPr>
          <w:b/>
          <w:i/>
        </w:rPr>
        <w:t>)</w:t>
      </w:r>
      <w:r w:rsidR="005576C0" w:rsidRPr="00AF1A90">
        <w:rPr>
          <w:b/>
          <w:i/>
        </w:rPr>
        <w:tab/>
        <w:t xml:space="preserve">Os </w:t>
      </w:r>
      <w:proofErr w:type="spellStart"/>
      <w:proofErr w:type="gramStart"/>
      <w:r w:rsidR="005576C0" w:rsidRPr="00AF1A90">
        <w:rPr>
          <w:b/>
          <w:i/>
        </w:rPr>
        <w:t>n.</w:t>
      </w:r>
      <w:r w:rsidR="005576C0" w:rsidRPr="00AF1A90">
        <w:rPr>
          <w:b/>
          <w:i/>
          <w:vertAlign w:val="superscript"/>
        </w:rPr>
        <w:t>os</w:t>
      </w:r>
      <w:proofErr w:type="spellEnd"/>
      <w:proofErr w:type="gramEnd"/>
      <w:r w:rsidR="005576C0" w:rsidRPr="00AF1A90">
        <w:rPr>
          <w:b/>
          <w:i/>
          <w:vertAlign w:val="superscript"/>
        </w:rPr>
        <w:t xml:space="preserve"> </w:t>
      </w:r>
      <w:r w:rsidR="005576C0" w:rsidRPr="00AF1A90">
        <w:rPr>
          <w:b/>
          <w:i/>
        </w:rPr>
        <w:t>10 e 11 passam a ter a seguinte redação:</w:t>
      </w:r>
    </w:p>
    <w:p w14:paraId="72495A31" w14:textId="2D33430D" w:rsidR="005576C0" w:rsidRPr="00AF1A90" w:rsidRDefault="005576C0" w:rsidP="005576C0">
      <w:pPr>
        <w:pStyle w:val="NormalHanging12a"/>
        <w:ind w:left="1985"/>
        <w:rPr>
          <w:b/>
          <w:i/>
        </w:rPr>
      </w:pPr>
      <w:r w:rsidRPr="00AF1A90">
        <w:rPr>
          <w:b/>
          <w:i/>
        </w:rPr>
        <w:t>«10.</w:t>
      </w:r>
      <w:r w:rsidRPr="00AF1A90">
        <w:rPr>
          <w:b/>
          <w:i/>
        </w:rPr>
        <w:tab/>
        <w:t>A autoridade competente de cada Estado</w:t>
      </w:r>
      <w:r w:rsidRPr="00AF1A90">
        <w:rPr>
          <w:b/>
          <w:i/>
        </w:rPr>
        <w:noBreakHyphen/>
        <w:t xml:space="preserve">Membro monitoriza </w:t>
      </w:r>
      <w:r w:rsidRPr="00AF1A90">
        <w:rPr>
          <w:b/>
          <w:i/>
        </w:rPr>
        <w:lastRenderedPageBreak/>
        <w:t>continuamente o cumprimento da meta de enchimento estabelecida no plano de enchimento e informa periodicamente e no mínimo uma vez por mês a Comissão e o GCG.  Se se previr que a meta não pode ser atingida, a autoridade competente toma, sem demora, medidas eficazes para atingir a meta. Os Estados</w:t>
      </w:r>
      <w:r w:rsidRPr="00AF1A90">
        <w:rPr>
          <w:b/>
          <w:i/>
        </w:rPr>
        <w:noBreakHyphen/>
        <w:t>Membros informam a Comissão e o GCG das medidas tomadas.</w:t>
      </w:r>
    </w:p>
    <w:p w14:paraId="0315FF38" w14:textId="77777777" w:rsidR="005576C0" w:rsidRPr="00AF1A90" w:rsidRDefault="005576C0" w:rsidP="005576C0">
      <w:pPr>
        <w:pStyle w:val="NormalHanging12a"/>
        <w:ind w:left="1985"/>
        <w:rPr>
          <w:b/>
          <w:i/>
          <w:szCs w:val="24"/>
        </w:rPr>
      </w:pPr>
      <w:r w:rsidRPr="00AF1A90">
        <w:rPr>
          <w:b/>
          <w:i/>
        </w:rPr>
        <w:t>11.</w:t>
      </w:r>
      <w:r w:rsidRPr="00AF1A90">
        <w:rPr>
          <w:b/>
          <w:i/>
        </w:rPr>
        <w:tab/>
        <w:t>Caso um Estado</w:t>
      </w:r>
      <w:r w:rsidRPr="00AF1A90">
        <w:rPr>
          <w:b/>
          <w:i/>
        </w:rPr>
        <w:noBreakHyphen/>
        <w:t>Membro se desvie substancial e persistentemente do plano de enchimento de forma que comprometa o cumprimento da meta de enchimento, ou se desvie da meta de enchimento, a Comissão, se for caso disso, após consulta do GCG e dos Estados</w:t>
      </w:r>
      <w:r w:rsidRPr="00AF1A90">
        <w:rPr>
          <w:b/>
          <w:i/>
        </w:rPr>
        <w:noBreakHyphen/>
        <w:t>Membros em causa, dirige uma recomendação a esse Estado</w:t>
      </w:r>
      <w:r w:rsidRPr="00AF1A90">
        <w:rPr>
          <w:b/>
          <w:i/>
        </w:rPr>
        <w:noBreakHyphen/>
        <w:t>Membro ou aos outros Estados</w:t>
      </w:r>
      <w:r w:rsidRPr="00AF1A90">
        <w:rPr>
          <w:b/>
          <w:i/>
        </w:rPr>
        <w:noBreakHyphen/>
        <w:t>Membros em causa sobre as medidas a adotar imediatamente para corrigir o desvio ou minimizar o impacto na segurança do aprovisionamento, tendo em conta, nomeadamente, as eventuais condições de mercado desfavoráveis e as especificidades dos Estados</w:t>
      </w:r>
      <w:r w:rsidRPr="00AF1A90">
        <w:rPr>
          <w:b/>
          <w:i/>
        </w:rPr>
        <w:noBreakHyphen/>
        <w:t>Membros, tais como as características técnicas e a dimensão das instalações de armazenamento subterrâneo de gás relativamente ao consumo interno de gás, a importância decrescente das instalações subterrâneas de armazenamento de gás de baixo poder calorífico para a segurança do aprovisionamento de gás e a capacidade de armazenamento de GNL existente.</w:t>
      </w:r>
    </w:p>
    <w:p w14:paraId="7DECACBB" w14:textId="3B5DC30A" w:rsidR="005576C0" w:rsidRPr="00AF1A90" w:rsidRDefault="005576C0" w:rsidP="005576C0">
      <w:pPr>
        <w:pStyle w:val="NormalHanging12a"/>
        <w:ind w:left="1985"/>
        <w:rPr>
          <w:szCs w:val="24"/>
        </w:rPr>
      </w:pPr>
      <w:r w:rsidRPr="00AF1A90">
        <w:rPr>
          <w:b/>
          <w:i/>
        </w:rPr>
        <w:t>11</w:t>
      </w:r>
      <w:r w:rsidRPr="00AF1A90">
        <w:rPr>
          <w:b/>
          <w:i/>
        </w:rPr>
        <w:noBreakHyphen/>
        <w:t>A</w:t>
      </w:r>
      <w:r w:rsidRPr="00AF1A90">
        <w:rPr>
          <w:b/>
          <w:i/>
        </w:rPr>
        <w:tab/>
        <w:t>Se um Estado</w:t>
      </w:r>
      <w:r w:rsidRPr="00AF1A90">
        <w:rPr>
          <w:b/>
          <w:i/>
        </w:rPr>
        <w:noBreakHyphen/>
        <w:t>Membro não alcançar a meta de enchimento estabelecida no n.º 1, pondo em risco a segurança do aprovisionamento da União, a Comissão adota um ato de execução que estabeleça um plano de enchimento para esse Estado</w:t>
      </w:r>
      <w:r w:rsidRPr="00AF1A90">
        <w:rPr>
          <w:b/>
          <w:i/>
        </w:rPr>
        <w:noBreakHyphen/>
        <w:t>Membro para o ano seguinte, com base nas informações técnicas fornecidas por cada Estado</w:t>
      </w:r>
      <w:r w:rsidRPr="00AF1A90">
        <w:rPr>
          <w:b/>
          <w:i/>
        </w:rPr>
        <w:noBreakHyphen/>
        <w:t>Membro e tendo em conta a avaliação do GCG.  Esse ato de execução é adotado pelo procedimento de exame a que se refere o artigo 18.º</w:t>
      </w:r>
      <w:r w:rsidRPr="00AF1A90">
        <w:rPr>
          <w:b/>
          <w:i/>
        </w:rPr>
        <w:noBreakHyphen/>
        <w:t>A, n.º 2. Baseia</w:t>
      </w:r>
      <w:r w:rsidRPr="00AF1A90">
        <w:rPr>
          <w:b/>
          <w:i/>
        </w:rPr>
        <w:noBreakHyphen/>
        <w:t>se numa avaliação da situação geral de segurança do aprovisionamento de gás e da evolução da procura e do aprovisionamento de gás na União e em cada Estado</w:t>
      </w:r>
      <w:r w:rsidRPr="00AF1A90">
        <w:rPr>
          <w:b/>
          <w:i/>
        </w:rPr>
        <w:noBreakHyphen/>
        <w:t>Membro, com o objetivo de garantir a segurança do aprovisionamento de gás.</w:t>
      </w:r>
      <w:r w:rsidR="00A65FDC" w:rsidRPr="00AF1A90">
        <w:rPr>
          <w:b/>
          <w:i/>
        </w:rPr>
        <w:t>»;</w:t>
      </w:r>
    </w:p>
    <w:p w14:paraId="7BAB7446" w14:textId="22A01495" w:rsidR="005576C0" w:rsidRPr="00AF1A90" w:rsidRDefault="005576C0" w:rsidP="005576C0">
      <w:pPr>
        <w:pStyle w:val="NormalHanging12a"/>
        <w:ind w:left="851" w:hanging="851"/>
        <w:rPr>
          <w:b/>
          <w:i/>
          <w:szCs w:val="24"/>
        </w:rPr>
      </w:pPr>
      <w:r w:rsidRPr="00AF1A90">
        <w:rPr>
          <w:b/>
          <w:i/>
        </w:rPr>
        <w:t>3)</w:t>
      </w:r>
      <w:r w:rsidRPr="00AF1A90">
        <w:rPr>
          <w:b/>
          <w:i/>
        </w:rPr>
        <w:tab/>
        <w:t>O artigo 6.º</w:t>
      </w:r>
      <w:r w:rsidRPr="00AF1A90">
        <w:rPr>
          <w:b/>
          <w:i/>
        </w:rPr>
        <w:noBreakHyphen/>
        <w:t>B é alterado do seguinte modo:</w:t>
      </w:r>
    </w:p>
    <w:p w14:paraId="7B989963" w14:textId="77777777" w:rsidR="005576C0" w:rsidRPr="00AF1A90" w:rsidRDefault="005576C0" w:rsidP="005576C0">
      <w:pPr>
        <w:pStyle w:val="NormalHanging12a"/>
        <w:ind w:left="1418"/>
        <w:rPr>
          <w:b/>
          <w:i/>
        </w:rPr>
      </w:pPr>
      <w:r w:rsidRPr="00AF1A90">
        <w:rPr>
          <w:b/>
          <w:i/>
        </w:rPr>
        <w:t>a)</w:t>
      </w:r>
      <w:r w:rsidRPr="00AF1A90">
        <w:rPr>
          <w:b/>
          <w:i/>
        </w:rPr>
        <w:tab/>
        <w:t>O título passa a ter a seguinte redação: «Execução da meta de enchimento»;</w:t>
      </w:r>
    </w:p>
    <w:p w14:paraId="284163D3" w14:textId="77777777" w:rsidR="005576C0" w:rsidRPr="00AF1A90" w:rsidRDefault="005576C0" w:rsidP="005576C0">
      <w:pPr>
        <w:pStyle w:val="NormalHanging12a"/>
        <w:ind w:left="1418"/>
        <w:rPr>
          <w:b/>
          <w:i/>
        </w:rPr>
      </w:pPr>
      <w:r w:rsidRPr="00AF1A90">
        <w:rPr>
          <w:b/>
          <w:i/>
        </w:rPr>
        <w:t>b)</w:t>
      </w:r>
      <w:r w:rsidRPr="00AF1A90">
        <w:rPr>
          <w:b/>
          <w:i/>
        </w:rPr>
        <w:tab/>
        <w:t>No n.º 1, o primeiro parágrafo passa a ter a seguinte redação:</w:t>
      </w:r>
    </w:p>
    <w:p w14:paraId="6F9F6F0A" w14:textId="72424DDA" w:rsidR="005576C0" w:rsidRPr="00AF1A90" w:rsidRDefault="005576C0" w:rsidP="005576C0">
      <w:pPr>
        <w:pStyle w:val="NormalHanging12a"/>
        <w:ind w:left="1985"/>
        <w:rPr>
          <w:szCs w:val="24"/>
        </w:rPr>
      </w:pPr>
      <w:r w:rsidRPr="00AF1A90">
        <w:rPr>
          <w:b/>
          <w:bCs/>
          <w:i/>
        </w:rPr>
        <w:t>«1.</w:t>
      </w:r>
      <w:r w:rsidRPr="00AF1A90">
        <w:rPr>
          <w:b/>
          <w:i/>
        </w:rPr>
        <w:tab/>
        <w:t>Os Estados</w:t>
      </w:r>
      <w:r w:rsidRPr="00AF1A90">
        <w:rPr>
          <w:b/>
          <w:i/>
        </w:rPr>
        <w:noBreakHyphen/>
        <w:t>Membros tomam todas as medidas necessárias para alcançar a meta de enchimento estabelecida nos termos do artigo 6.º</w:t>
      </w:r>
      <w:r w:rsidRPr="00AF1A90">
        <w:rPr>
          <w:b/>
          <w:i/>
        </w:rPr>
        <w:noBreakHyphen/>
        <w:t>A. Ao garantir que a meta de enchimento é alcançada, os Estados</w:t>
      </w:r>
      <w:r w:rsidRPr="00AF1A90">
        <w:rPr>
          <w:b/>
          <w:i/>
        </w:rPr>
        <w:noBreakHyphen/>
        <w:t>Membros dão prioridade, sempre que possível, a medidas baseadas no mercado.»;</w:t>
      </w:r>
    </w:p>
    <w:p w14:paraId="5273C738" w14:textId="77777777" w:rsidR="005576C0" w:rsidRPr="00AF1A90" w:rsidRDefault="005576C0" w:rsidP="005576C0">
      <w:pPr>
        <w:pStyle w:val="NormalHanging12a"/>
        <w:ind w:left="1418"/>
        <w:rPr>
          <w:b/>
          <w:i/>
        </w:rPr>
      </w:pPr>
      <w:r w:rsidRPr="00AF1A90">
        <w:rPr>
          <w:b/>
          <w:i/>
        </w:rPr>
        <w:t>c)</w:t>
      </w:r>
      <w:r w:rsidRPr="00AF1A90">
        <w:rPr>
          <w:b/>
          <w:i/>
        </w:rPr>
        <w:tab/>
        <w:t xml:space="preserve">O n.º 2 passa a ter a seguinte redação: </w:t>
      </w:r>
    </w:p>
    <w:p w14:paraId="3EAEA176" w14:textId="77777777" w:rsidR="005576C0" w:rsidRPr="00AF1A90" w:rsidRDefault="005576C0" w:rsidP="005576C0">
      <w:pPr>
        <w:pStyle w:val="NormalHanging12a"/>
        <w:ind w:left="1985"/>
        <w:rPr>
          <w:szCs w:val="24"/>
        </w:rPr>
      </w:pPr>
      <w:r w:rsidRPr="00AF1A90">
        <w:rPr>
          <w:b/>
          <w:i/>
        </w:rPr>
        <w:t>«2.</w:t>
      </w:r>
      <w:r w:rsidRPr="00AF1A90">
        <w:rPr>
          <w:b/>
          <w:i/>
        </w:rPr>
        <w:tab/>
        <w:t>As medidas tomadas pelos Estados</w:t>
      </w:r>
      <w:r w:rsidRPr="00AF1A90">
        <w:rPr>
          <w:b/>
          <w:i/>
        </w:rPr>
        <w:noBreakHyphen/>
        <w:t>Membros nos termos do n.º 1 limitam</w:t>
      </w:r>
      <w:r w:rsidRPr="00AF1A90">
        <w:rPr>
          <w:b/>
          <w:i/>
        </w:rPr>
        <w:noBreakHyphen/>
        <w:t xml:space="preserve">se ao necessário para alcançar a meta de enchimento. As </w:t>
      </w:r>
      <w:r w:rsidRPr="00AF1A90">
        <w:rPr>
          <w:b/>
          <w:i/>
        </w:rPr>
        <w:lastRenderedPageBreak/>
        <w:t>medidas referidas são claramente definidas, transparentes, proporcionadas, não discriminatórias e verificáveis. Não podem distorcer indevidamente a concorrência, obstar ao bom funcionamento do mercado interno do gás, aumentar indevidamente os custos da energia ou pôr em perigo a segurança do aprovisionamento de gás de outros Estados</w:t>
      </w:r>
      <w:r w:rsidRPr="00AF1A90">
        <w:rPr>
          <w:b/>
          <w:i/>
        </w:rPr>
        <w:noBreakHyphen/>
        <w:t>Membros ou da União.</w:t>
      </w:r>
      <w:r w:rsidRPr="00AF1A90">
        <w:t xml:space="preserve"> </w:t>
      </w:r>
      <w:r w:rsidRPr="00AF1A90">
        <w:rPr>
          <w:b/>
          <w:i/>
        </w:rPr>
        <w:t>Os Estados</w:t>
      </w:r>
      <w:r w:rsidRPr="00AF1A90">
        <w:rPr>
          <w:b/>
          <w:i/>
        </w:rPr>
        <w:noBreakHyphen/>
        <w:t>Membros informam a Comissão e o GCG dessas medidas.»;</w:t>
      </w:r>
    </w:p>
    <w:p w14:paraId="4C74F7D8" w14:textId="74B18719" w:rsidR="005576C0" w:rsidRPr="00AF1A90" w:rsidRDefault="005576C0" w:rsidP="005576C0">
      <w:pPr>
        <w:pStyle w:val="NormalHanging12a"/>
        <w:ind w:left="851" w:hanging="851"/>
        <w:rPr>
          <w:b/>
          <w:i/>
          <w:szCs w:val="24"/>
        </w:rPr>
      </w:pPr>
      <w:r w:rsidRPr="00AF1A90">
        <w:rPr>
          <w:b/>
          <w:i/>
        </w:rPr>
        <w:t>4)</w:t>
      </w:r>
      <w:r w:rsidRPr="00AF1A90">
        <w:rPr>
          <w:b/>
          <w:i/>
        </w:rPr>
        <w:tab/>
        <w:t>O artigo 6.º</w:t>
      </w:r>
      <w:r w:rsidRPr="00AF1A90">
        <w:rPr>
          <w:b/>
          <w:i/>
        </w:rPr>
        <w:noBreakHyphen/>
        <w:t>C é alterado do seguinte modo:</w:t>
      </w:r>
    </w:p>
    <w:p w14:paraId="3E54FA5A" w14:textId="77777777" w:rsidR="005576C0" w:rsidRPr="00AF1A90" w:rsidRDefault="005576C0" w:rsidP="005576C0">
      <w:pPr>
        <w:pStyle w:val="NormalHanging12a"/>
        <w:ind w:left="1418"/>
        <w:rPr>
          <w:b/>
          <w:i/>
        </w:rPr>
      </w:pPr>
      <w:r w:rsidRPr="00AF1A90">
        <w:rPr>
          <w:b/>
          <w:i/>
        </w:rPr>
        <w:t>a)</w:t>
      </w:r>
      <w:r w:rsidRPr="00AF1A90">
        <w:rPr>
          <w:b/>
          <w:i/>
        </w:rPr>
        <w:tab/>
        <w:t>No n.º 1, o primeiro parágrafo passa a ter a seguinte redação:</w:t>
      </w:r>
    </w:p>
    <w:p w14:paraId="5D152337" w14:textId="77777777" w:rsidR="005576C0" w:rsidRPr="00AF1A90" w:rsidRDefault="005576C0" w:rsidP="005576C0">
      <w:pPr>
        <w:pStyle w:val="NormalHanging12a"/>
        <w:ind w:left="1985"/>
        <w:rPr>
          <w:b/>
          <w:i/>
          <w:szCs w:val="24"/>
        </w:rPr>
      </w:pPr>
      <w:r w:rsidRPr="00AF1A90">
        <w:rPr>
          <w:b/>
          <w:i/>
        </w:rPr>
        <w:t>«1.</w:t>
      </w:r>
      <w:r w:rsidRPr="00AF1A90">
        <w:rPr>
          <w:b/>
          <w:i/>
        </w:rPr>
        <w:tab/>
        <w:t>Os Estados</w:t>
      </w:r>
      <w:r w:rsidRPr="00AF1A90">
        <w:rPr>
          <w:b/>
          <w:i/>
        </w:rPr>
        <w:noBreakHyphen/>
        <w:t>Membros que não dispõem de instalações de armazenamento subterrâneo de gás asseguram que os participantes no mercado nesse Estado</w:t>
      </w:r>
      <w:r w:rsidRPr="00AF1A90">
        <w:rPr>
          <w:b/>
          <w:i/>
        </w:rPr>
        <w:noBreakHyphen/>
        <w:t>Membro têm acordos em vigor com operadores da rede de armazenamento subterrâneo ou outros participantes no mercado em Estados</w:t>
      </w:r>
      <w:r w:rsidRPr="00AF1A90">
        <w:rPr>
          <w:b/>
          <w:i/>
        </w:rPr>
        <w:noBreakHyphen/>
        <w:t>Membros que dispõem de instalações de armazenamento subterrâneo de gás. Esses acordos devem prever a utilização, até 1 de dezembro, de volumes de armazenamento correspondentes a, pelo menos, 15 % do consumo médio anual de gás do Estado</w:t>
      </w:r>
      <w:r w:rsidRPr="00AF1A90">
        <w:rPr>
          <w:b/>
          <w:i/>
        </w:rPr>
        <w:noBreakHyphen/>
        <w:t>Membro que não dispõe de instalações de armazenamento subterrâneo de gás nos cinco anos anteriores.  Contudo, caso a capacidade de transporte transfronteiriço ou outras limitações técnicas impeçam a plena utilização por parte de um Estado</w:t>
      </w:r>
      <w:r w:rsidRPr="00AF1A90">
        <w:rPr>
          <w:b/>
          <w:i/>
        </w:rPr>
        <w:noBreakHyphen/>
        <w:t>Membro que não dispõe de instalações de armazenamento subterrâneo de gás de 15 % desses volumes de armazenamento, esse Estado</w:t>
      </w:r>
      <w:r w:rsidRPr="00AF1A90">
        <w:rPr>
          <w:b/>
          <w:i/>
        </w:rPr>
        <w:noBreakHyphen/>
        <w:t>Membro apenas armazena os volumes cujo transporte é tecnicamente possível.»;</w:t>
      </w:r>
    </w:p>
    <w:p w14:paraId="0EF4CAA0" w14:textId="77777777" w:rsidR="005576C0" w:rsidRPr="00AF1A90" w:rsidRDefault="005576C0" w:rsidP="005576C0">
      <w:pPr>
        <w:pStyle w:val="NormalHanging12a"/>
        <w:ind w:left="1418"/>
        <w:rPr>
          <w:b/>
          <w:i/>
          <w:szCs w:val="22"/>
        </w:rPr>
      </w:pPr>
      <w:r w:rsidRPr="00AF1A90">
        <w:rPr>
          <w:b/>
          <w:i/>
        </w:rPr>
        <w:t>b)</w:t>
      </w:r>
      <w:r w:rsidRPr="00AF1A90">
        <w:rPr>
          <w:b/>
          <w:i/>
        </w:rPr>
        <w:tab/>
        <w:t>No n.º 2, o segundo parágrafo passa a ter a seguinte redação:</w:t>
      </w:r>
    </w:p>
    <w:p w14:paraId="600E2734" w14:textId="77777777" w:rsidR="005576C0" w:rsidRPr="00AF1A90" w:rsidRDefault="005576C0" w:rsidP="005576C0">
      <w:pPr>
        <w:pStyle w:val="NormalHanging12a"/>
        <w:ind w:left="1418" w:firstLine="0"/>
        <w:rPr>
          <w:b/>
          <w:i/>
          <w:szCs w:val="24"/>
        </w:rPr>
      </w:pPr>
      <w:r w:rsidRPr="00AF1A90">
        <w:rPr>
          <w:b/>
          <w:i/>
        </w:rPr>
        <w:t>«Os Estados</w:t>
      </w:r>
      <w:r w:rsidRPr="00AF1A90">
        <w:rPr>
          <w:b/>
          <w:i/>
        </w:rPr>
        <w:noBreakHyphen/>
        <w:t>Membros que não dispõem de instalações de armazenamento subterrâneo de gás devem demonstrar que cumprem o disposto no n.º 1 e devem notificar a Comissão em conformidade.»;</w:t>
      </w:r>
    </w:p>
    <w:p w14:paraId="1A02CFE2" w14:textId="77777777" w:rsidR="005576C0" w:rsidRPr="00AF1A90" w:rsidRDefault="005576C0" w:rsidP="005576C0">
      <w:pPr>
        <w:pStyle w:val="NormalHanging12a"/>
        <w:tabs>
          <w:tab w:val="left" w:pos="1418"/>
        </w:tabs>
        <w:ind w:left="1418"/>
      </w:pPr>
      <w:r w:rsidRPr="00AF1A90">
        <w:t>c)</w:t>
      </w:r>
      <w:r w:rsidRPr="00AF1A90">
        <w:rPr>
          <w:b/>
          <w:i/>
        </w:rPr>
        <w:tab/>
        <w:t>No n.º 5, primeiro parágrafo, a alínea a) passa a ter a seguinte redação:</w:t>
      </w:r>
      <w:r w:rsidRPr="00AF1A90">
        <w:t xml:space="preserve"> </w:t>
      </w:r>
    </w:p>
    <w:p w14:paraId="78EDCA58" w14:textId="77777777" w:rsidR="005576C0" w:rsidRPr="00AF1A90" w:rsidRDefault="005576C0" w:rsidP="005576C0">
      <w:pPr>
        <w:pStyle w:val="NormalHanging12a"/>
        <w:ind w:left="1985"/>
        <w:rPr>
          <w:b/>
          <w:i/>
          <w:szCs w:val="24"/>
        </w:rPr>
      </w:pPr>
      <w:r w:rsidRPr="00AF1A90">
        <w:rPr>
          <w:b/>
          <w:i/>
        </w:rPr>
        <w:t>«a)</w:t>
      </w:r>
      <w:r w:rsidRPr="00AF1A90">
        <w:rPr>
          <w:b/>
          <w:i/>
        </w:rPr>
        <w:tab/>
        <w:t>Asseguram que, a 1 de dezembro, os volumes de armazenamento correspondem, pelo menos, à utilização média da capacidade de armazenamento nos cinco anos anteriores, determinada, nomeadamente, tendo em conta os fluxos durante a época de retirada nos cinco anos anteriores por parte dos Estados</w:t>
      </w:r>
      <w:r w:rsidRPr="00AF1A90">
        <w:rPr>
          <w:b/>
          <w:i/>
        </w:rPr>
        <w:noBreakHyphen/>
        <w:t>Membros em que se situam as instalações de armazenamento; ou»;</w:t>
      </w:r>
    </w:p>
    <w:p w14:paraId="5578897A" w14:textId="77777777" w:rsidR="005576C0" w:rsidRPr="00AF1A90" w:rsidRDefault="005576C0" w:rsidP="005576C0">
      <w:pPr>
        <w:pStyle w:val="NormalHanging12a"/>
        <w:ind w:left="1418"/>
        <w:rPr>
          <w:b/>
          <w:i/>
        </w:rPr>
      </w:pPr>
      <w:r w:rsidRPr="00AF1A90">
        <w:rPr>
          <w:b/>
          <w:i/>
        </w:rPr>
        <w:t>d)</w:t>
      </w:r>
      <w:r w:rsidRPr="00AF1A90">
        <w:rPr>
          <w:b/>
          <w:i/>
        </w:rPr>
        <w:tab/>
        <w:t>O n.º 6 passa a ter a seguinte redação:</w:t>
      </w:r>
    </w:p>
    <w:p w14:paraId="0C3F02BD" w14:textId="77777777" w:rsidR="005576C0" w:rsidRPr="00AF1A90" w:rsidRDefault="005576C0" w:rsidP="005576C0">
      <w:pPr>
        <w:pStyle w:val="NormalHanging12a"/>
        <w:ind w:left="1985"/>
        <w:rPr>
          <w:b/>
          <w:i/>
          <w:szCs w:val="24"/>
        </w:rPr>
      </w:pPr>
      <w:r w:rsidRPr="00AF1A90">
        <w:rPr>
          <w:b/>
          <w:i/>
        </w:rPr>
        <w:t>«6.</w:t>
      </w:r>
      <w:r w:rsidRPr="00AF1A90">
        <w:rPr>
          <w:b/>
          <w:i/>
        </w:rPr>
        <w:tab/>
        <w:t>Salvo disposição em contrário no anexo I</w:t>
      </w:r>
      <w:r w:rsidRPr="00AF1A90">
        <w:rPr>
          <w:b/>
          <w:i/>
        </w:rPr>
        <w:noBreakHyphen/>
        <w:t>B, no caso de instalações de armazenamento subterrâneo de gás situadas num Estado</w:t>
      </w:r>
      <w:r w:rsidRPr="00AF1A90">
        <w:rPr>
          <w:b/>
          <w:i/>
        </w:rPr>
        <w:noBreakHyphen/>
        <w:t>Membro que não são abrangidas pelo n.º 5, mas que estão diretamente ligadas à área de mercado de outro Estado</w:t>
      </w:r>
      <w:r w:rsidRPr="00AF1A90">
        <w:rPr>
          <w:b/>
          <w:i/>
        </w:rPr>
        <w:noBreakHyphen/>
        <w:t>Membro, esse último Estado</w:t>
      </w:r>
      <w:r w:rsidRPr="00AF1A90">
        <w:rPr>
          <w:b/>
          <w:i/>
        </w:rPr>
        <w:noBreakHyphen/>
        <w:t xml:space="preserve">Membro tem a obrigação de garantir que, entre 1 de outubro e 1 de dezembro, os volumes de armazenamento correspondem, pelo menos, à média da </w:t>
      </w:r>
      <w:r w:rsidRPr="00AF1A90">
        <w:rPr>
          <w:b/>
          <w:i/>
        </w:rPr>
        <w:lastRenderedPageBreak/>
        <w:t>capacidade de armazenamento reservada no ponto transfronteiriço pertinente nos cinco anos anteriores.»;</w:t>
      </w:r>
    </w:p>
    <w:p w14:paraId="6858B1F9" w14:textId="5998C14B" w:rsidR="005576C0" w:rsidRPr="00AF1A90" w:rsidRDefault="005576C0" w:rsidP="005576C0">
      <w:pPr>
        <w:pStyle w:val="NormalHanging12a"/>
        <w:ind w:left="851" w:hanging="851"/>
        <w:rPr>
          <w:b/>
          <w:i/>
        </w:rPr>
      </w:pPr>
      <w:r w:rsidRPr="00AF1A90">
        <w:rPr>
          <w:b/>
          <w:i/>
        </w:rPr>
        <w:t>5</w:t>
      </w:r>
      <w:r w:rsidR="00724E7C" w:rsidRPr="00AF1A90">
        <w:rPr>
          <w:b/>
          <w:i/>
        </w:rPr>
        <w:t>)</w:t>
      </w:r>
      <w:r w:rsidRPr="00AF1A90">
        <w:rPr>
          <w:b/>
          <w:i/>
        </w:rPr>
        <w:tab/>
        <w:t>O artigo 6.º</w:t>
      </w:r>
      <w:r w:rsidRPr="00AF1A90">
        <w:rPr>
          <w:b/>
          <w:i/>
        </w:rPr>
        <w:noBreakHyphen/>
        <w:t>D é alterado do seguinte modo:</w:t>
      </w:r>
    </w:p>
    <w:p w14:paraId="2DB088D5" w14:textId="77777777" w:rsidR="005576C0" w:rsidRPr="00AF1A90" w:rsidRDefault="005576C0" w:rsidP="005576C0">
      <w:pPr>
        <w:pStyle w:val="NormalHanging12a"/>
        <w:ind w:left="1418"/>
        <w:rPr>
          <w:b/>
          <w:i/>
        </w:rPr>
      </w:pPr>
      <w:r w:rsidRPr="00AF1A90">
        <w:rPr>
          <w:b/>
          <w:i/>
        </w:rPr>
        <w:t>a)</w:t>
      </w:r>
      <w:r w:rsidRPr="00AF1A90">
        <w:rPr>
          <w:b/>
          <w:i/>
        </w:rPr>
        <w:tab/>
        <w:t xml:space="preserve">Os </w:t>
      </w:r>
      <w:proofErr w:type="spellStart"/>
      <w:proofErr w:type="gramStart"/>
      <w:r w:rsidRPr="00AF1A90">
        <w:rPr>
          <w:b/>
          <w:i/>
        </w:rPr>
        <w:t>n.</w:t>
      </w:r>
      <w:r w:rsidRPr="00AF1A90">
        <w:rPr>
          <w:b/>
          <w:i/>
          <w:vertAlign w:val="superscript"/>
        </w:rPr>
        <w:t>os</w:t>
      </w:r>
      <w:proofErr w:type="spellEnd"/>
      <w:proofErr w:type="gramEnd"/>
      <w:r w:rsidRPr="00AF1A90">
        <w:rPr>
          <w:b/>
          <w:i/>
        </w:rPr>
        <w:t xml:space="preserve"> 1 e 2 passam a ter a seguinte redação:</w:t>
      </w:r>
    </w:p>
    <w:p w14:paraId="687E1204" w14:textId="77777777" w:rsidR="005576C0" w:rsidRPr="00AF1A90" w:rsidRDefault="005576C0" w:rsidP="005576C0">
      <w:pPr>
        <w:pStyle w:val="NormalHanging12a"/>
        <w:ind w:left="1985"/>
        <w:rPr>
          <w:b/>
          <w:i/>
          <w:szCs w:val="24"/>
        </w:rPr>
      </w:pPr>
      <w:r w:rsidRPr="00AF1A90">
        <w:rPr>
          <w:b/>
          <w:i/>
        </w:rPr>
        <w:t>«1.</w:t>
      </w:r>
      <w:r w:rsidRPr="00AF1A90">
        <w:rPr>
          <w:b/>
          <w:i/>
        </w:rPr>
        <w:tab/>
        <w:t>Os operadores da rede de armazenamento comunicam o nível de enchimento à autoridade competente em cada Estado</w:t>
      </w:r>
      <w:r w:rsidRPr="00AF1A90">
        <w:rPr>
          <w:b/>
          <w:i/>
        </w:rPr>
        <w:noBreakHyphen/>
        <w:t>Membro em que as instalações de armazenamento subterrâneo de gás em causa estão localizadas e, se for caso disso, a uma entidade designada por esse Estado</w:t>
      </w:r>
      <w:r w:rsidRPr="00AF1A90">
        <w:rPr>
          <w:b/>
          <w:i/>
        </w:rPr>
        <w:noBreakHyphen/>
        <w:t>Membro (a «entidade designada»), estabelecida nos termos do artigo 6.º</w:t>
      </w:r>
      <w:r w:rsidRPr="00AF1A90">
        <w:rPr>
          <w:b/>
          <w:i/>
        </w:rPr>
        <w:noBreakHyphen/>
        <w:t>A.</w:t>
      </w:r>
    </w:p>
    <w:p w14:paraId="47861DF6" w14:textId="77777777" w:rsidR="005576C0" w:rsidRPr="00AF1A90" w:rsidRDefault="005576C0" w:rsidP="005576C0">
      <w:pPr>
        <w:pStyle w:val="NormalHanging12a"/>
        <w:ind w:left="1985"/>
        <w:rPr>
          <w:szCs w:val="24"/>
        </w:rPr>
      </w:pPr>
      <w:r w:rsidRPr="00AF1A90">
        <w:rPr>
          <w:b/>
          <w:i/>
        </w:rPr>
        <w:t>2.</w:t>
      </w:r>
      <w:r w:rsidRPr="00AF1A90">
        <w:rPr>
          <w:b/>
          <w:i/>
        </w:rPr>
        <w:tab/>
        <w:t>No final de cada mês, a autoridade competente e, se for caso disso, a entidade designada de cada Estado</w:t>
      </w:r>
      <w:r w:rsidRPr="00AF1A90">
        <w:rPr>
          <w:b/>
          <w:i/>
        </w:rPr>
        <w:noBreakHyphen/>
        <w:t>Membro monitorizam os níveis de enchimento das instalações de armazenamento subterrâneo de gás no seu território e comunicam os resultados à Comissão mensalmente sem nenhuma demora. A autoridade competente inclui também informações sobre a percentagem de gás originário da Federação da Rússia armazenado nesse Estado</w:t>
      </w:r>
      <w:r w:rsidRPr="00AF1A90">
        <w:rPr>
          <w:b/>
          <w:i/>
        </w:rPr>
        <w:noBreakHyphen/>
        <w:t>Membro, se essas informações estiverem disponíveis.</w:t>
      </w:r>
    </w:p>
    <w:p w14:paraId="7F383F87" w14:textId="77777777" w:rsidR="005576C0" w:rsidRPr="00AF1A90" w:rsidRDefault="005576C0" w:rsidP="005576C0">
      <w:pPr>
        <w:pStyle w:val="NormalHanging12a"/>
        <w:ind w:left="1985" w:firstLine="0"/>
        <w:rPr>
          <w:b/>
          <w:i/>
        </w:rPr>
      </w:pPr>
      <w:r w:rsidRPr="00AF1A90">
        <w:rPr>
          <w:b/>
          <w:i/>
        </w:rPr>
        <w:t>A Comissão pode, se for caso disso, convidar a Agência da União Europeia de Cooperação dos Reguladores da Energia («ACER») a prestar assistência nessa monitorização.»;</w:t>
      </w:r>
    </w:p>
    <w:p w14:paraId="2BEA2417" w14:textId="77777777" w:rsidR="005576C0" w:rsidRPr="00AF1A90" w:rsidRDefault="005576C0" w:rsidP="005576C0">
      <w:pPr>
        <w:pStyle w:val="NormalHanging12a"/>
        <w:ind w:left="1418"/>
        <w:rPr>
          <w:b/>
          <w:i/>
        </w:rPr>
      </w:pPr>
      <w:r w:rsidRPr="00AF1A90">
        <w:rPr>
          <w:b/>
          <w:i/>
        </w:rPr>
        <w:t>b)</w:t>
      </w:r>
      <w:r w:rsidRPr="00AF1A90">
        <w:rPr>
          <w:b/>
          <w:i/>
        </w:rPr>
        <w:tab/>
        <w:t xml:space="preserve">Os </w:t>
      </w:r>
      <w:proofErr w:type="spellStart"/>
      <w:proofErr w:type="gramStart"/>
      <w:r w:rsidRPr="00AF1A90">
        <w:rPr>
          <w:b/>
          <w:i/>
        </w:rPr>
        <w:t>n.</w:t>
      </w:r>
      <w:r w:rsidRPr="00AF1A90">
        <w:rPr>
          <w:b/>
          <w:i/>
          <w:vertAlign w:val="superscript"/>
        </w:rPr>
        <w:t>os</w:t>
      </w:r>
      <w:proofErr w:type="spellEnd"/>
      <w:proofErr w:type="gramEnd"/>
      <w:r w:rsidRPr="00AF1A90">
        <w:rPr>
          <w:b/>
          <w:i/>
        </w:rPr>
        <w:t xml:space="preserve"> 4 e 5 passam a ter a seguinte redação:</w:t>
      </w:r>
    </w:p>
    <w:p w14:paraId="50775E8C" w14:textId="543C33C9" w:rsidR="005576C0" w:rsidRPr="00AF1A90" w:rsidRDefault="005576C0" w:rsidP="005576C0">
      <w:pPr>
        <w:pStyle w:val="NormalHanging12a"/>
        <w:ind w:left="1985"/>
        <w:rPr>
          <w:b/>
          <w:i/>
          <w:szCs w:val="24"/>
        </w:rPr>
      </w:pPr>
      <w:r w:rsidRPr="00AF1A90">
        <w:rPr>
          <w:b/>
          <w:i/>
        </w:rPr>
        <w:t>«4.</w:t>
      </w:r>
      <w:r w:rsidRPr="00AF1A90">
        <w:rPr>
          <w:b/>
          <w:i/>
        </w:rPr>
        <w:tab/>
        <w:t>O GCG assiste a Comissão na monitorização da meta de enchimento e elabora orientações para a Comissão sobre medidas adequadas para garantir um melhor alinhamento caso os índices de enchimento ponham em causa o cumprimento da meta de enchimento ou para garantir o cumprimento da meta de enchimento.</w:t>
      </w:r>
    </w:p>
    <w:p w14:paraId="0E72F2AF" w14:textId="7CDE0895" w:rsidR="005576C0" w:rsidRPr="00AF1A90" w:rsidRDefault="005576C0" w:rsidP="005576C0">
      <w:pPr>
        <w:pStyle w:val="NormalHanging12a"/>
        <w:ind w:left="1985"/>
        <w:rPr>
          <w:b/>
          <w:i/>
          <w:szCs w:val="24"/>
        </w:rPr>
      </w:pPr>
      <w:r w:rsidRPr="00AF1A90">
        <w:rPr>
          <w:b/>
          <w:i/>
        </w:rPr>
        <w:t>4</w:t>
      </w:r>
      <w:r w:rsidRPr="00AF1A90">
        <w:rPr>
          <w:b/>
          <w:i/>
        </w:rPr>
        <w:noBreakHyphen/>
        <w:t>A.</w:t>
      </w:r>
      <w:r w:rsidRPr="00AF1A90">
        <w:rPr>
          <w:b/>
          <w:i/>
        </w:rPr>
        <w:tab/>
        <w:t>Se for caso disso, a Comissão aplica medidas que ajudem os Estados</w:t>
      </w:r>
      <w:r w:rsidRPr="00AF1A90">
        <w:rPr>
          <w:b/>
          <w:i/>
        </w:rPr>
        <w:noBreakHyphen/>
        <w:t>Membros a alcançar a meta de enchimento, incluindo medidas para incentivar a participação no mecanismo de agregação da procura e aquisição conjunta estabelecido em virtude do Regulamento (UE) 2022/2576 («</w:t>
      </w:r>
      <w:proofErr w:type="spellStart"/>
      <w:r w:rsidRPr="00AF1A90">
        <w:rPr>
          <w:b/>
          <w:i/>
        </w:rPr>
        <w:t>Aggregate</w:t>
      </w:r>
      <w:proofErr w:type="spellEnd"/>
      <w:r w:rsidRPr="00AF1A90">
        <w:rPr>
          <w:b/>
          <w:i/>
        </w:rPr>
        <w:t xml:space="preserve"> EU</w:t>
      </w:r>
      <w:proofErr w:type="gramStart"/>
      <w:r w:rsidRPr="00AF1A90">
        <w:rPr>
          <w:b/>
          <w:i/>
        </w:rPr>
        <w:t>»)</w:t>
      </w:r>
      <w:r w:rsidRPr="00AF1A90">
        <w:rPr>
          <w:b/>
          <w:i/>
          <w:vertAlign w:val="superscript"/>
        </w:rPr>
        <w:t>*</w:t>
      </w:r>
      <w:proofErr w:type="gramEnd"/>
      <w:r w:rsidRPr="00AF1A90">
        <w:rPr>
          <w:b/>
          <w:i/>
        </w:rPr>
        <w:t>.</w:t>
      </w:r>
    </w:p>
    <w:p w14:paraId="6AD4E489" w14:textId="77777777" w:rsidR="005576C0" w:rsidRPr="00AF1A90" w:rsidRDefault="005576C0" w:rsidP="005576C0">
      <w:pPr>
        <w:pStyle w:val="NormalHanging12a"/>
        <w:ind w:left="1985"/>
        <w:rPr>
          <w:b/>
          <w:i/>
        </w:rPr>
      </w:pPr>
      <w:r w:rsidRPr="00AF1A90">
        <w:rPr>
          <w:b/>
          <w:i/>
        </w:rPr>
        <w:t>5.</w:t>
      </w:r>
      <w:r w:rsidRPr="00AF1A90">
        <w:rPr>
          <w:b/>
          <w:i/>
        </w:rPr>
        <w:tab/>
        <w:t>Os Estados</w:t>
      </w:r>
      <w:r w:rsidRPr="00AF1A90">
        <w:rPr>
          <w:b/>
          <w:i/>
        </w:rPr>
        <w:noBreakHyphen/>
        <w:t>Membros e, se for caso disso, a Comissão tomam as medidas necessárias para alcançar a meta de enchimento e para assegurar que os participantes no mercado cumprem as obrigações de armazenamento.  Estas medidas podem incluir sanções e coimas suficientemente dissuasivas, tais como sanções financeiras adequadas.</w:t>
      </w:r>
    </w:p>
    <w:p w14:paraId="0450481F" w14:textId="77777777" w:rsidR="005576C0" w:rsidRPr="00AF1A90" w:rsidRDefault="005576C0" w:rsidP="005576C0">
      <w:pPr>
        <w:pStyle w:val="NormalHanging12a"/>
        <w:ind w:left="1985"/>
        <w:rPr>
          <w:b/>
          <w:i/>
        </w:rPr>
      </w:pPr>
      <w:r w:rsidRPr="00AF1A90">
        <w:rPr>
          <w:b/>
          <w:i/>
        </w:rPr>
        <w:t>___________________</w:t>
      </w:r>
    </w:p>
    <w:p w14:paraId="16EB738E" w14:textId="77777777" w:rsidR="005576C0" w:rsidRPr="00AF1A90" w:rsidRDefault="005576C0" w:rsidP="005576C0">
      <w:pPr>
        <w:pStyle w:val="NormalHanging12a"/>
        <w:ind w:left="1985"/>
        <w:rPr>
          <w:b/>
          <w:i/>
        </w:rPr>
      </w:pPr>
      <w:r w:rsidRPr="00AF1A90">
        <w:rPr>
          <w:b/>
          <w:i/>
          <w:vertAlign w:val="superscript"/>
        </w:rPr>
        <w:t>*</w:t>
      </w:r>
      <w:r w:rsidRPr="00AF1A90">
        <w:rPr>
          <w:b/>
          <w:i/>
        </w:rPr>
        <w:tab/>
        <w:t xml:space="preserve">Regulamento (UE) 2022/2576 do Conselho, de 19 de dezembro de 2022, relativo ao reforço da solidariedade mediante melhor coordenação das aquisições de gás, índices de referência fiáveis dos preços e </w:t>
      </w:r>
      <w:r w:rsidRPr="00AF1A90">
        <w:rPr>
          <w:b/>
          <w:i/>
        </w:rPr>
        <w:lastRenderedPageBreak/>
        <w:t>transferências transfronteiras de gás (JO L 335 de 29.12.2022, p. 1, ELI: http://data.europa.eu/eli/reg/2022/2576/oj).»;</w:t>
      </w:r>
    </w:p>
    <w:p w14:paraId="61BCBB17" w14:textId="6CFC2F37" w:rsidR="005576C0" w:rsidRPr="00AF1A90" w:rsidRDefault="005576C0" w:rsidP="005576C0">
      <w:pPr>
        <w:pStyle w:val="NormalHanging12a"/>
        <w:ind w:left="851" w:hanging="851"/>
        <w:rPr>
          <w:b/>
          <w:i/>
          <w:szCs w:val="24"/>
        </w:rPr>
      </w:pPr>
      <w:r w:rsidRPr="00AF1A90">
        <w:rPr>
          <w:b/>
          <w:i/>
        </w:rPr>
        <w:t>6)</w:t>
      </w:r>
      <w:r w:rsidRPr="00AF1A90">
        <w:rPr>
          <w:b/>
          <w:i/>
        </w:rPr>
        <w:tab/>
        <w:t>Ao artigo 17.º</w:t>
      </w:r>
      <w:r w:rsidRPr="00AF1A90">
        <w:rPr>
          <w:b/>
          <w:i/>
        </w:rPr>
        <w:noBreakHyphen/>
        <w:t>A, n.º 1, é aditada a seguinte alínea:</w:t>
      </w:r>
    </w:p>
    <w:p w14:paraId="20625D84" w14:textId="77777777" w:rsidR="005576C0" w:rsidRPr="00AF1A90" w:rsidRDefault="005576C0" w:rsidP="005576C0">
      <w:pPr>
        <w:pStyle w:val="NormalHanging12a"/>
        <w:ind w:left="1418"/>
        <w:rPr>
          <w:b/>
          <w:i/>
          <w:szCs w:val="24"/>
        </w:rPr>
      </w:pPr>
      <w:r w:rsidRPr="00AF1A90">
        <w:rPr>
          <w:b/>
          <w:i/>
        </w:rPr>
        <w:t>«</w:t>
      </w:r>
      <w:proofErr w:type="spellStart"/>
      <w:r w:rsidRPr="00AF1A90">
        <w:rPr>
          <w:b/>
          <w:i/>
        </w:rPr>
        <w:t>d</w:t>
      </w:r>
      <w:r w:rsidRPr="00AF1A90">
        <w:rPr>
          <w:b/>
          <w:i/>
        </w:rPr>
        <w:noBreakHyphen/>
        <w:t>A</w:t>
      </w:r>
      <w:proofErr w:type="spellEnd"/>
      <w:r w:rsidRPr="00AF1A90">
        <w:rPr>
          <w:b/>
          <w:i/>
        </w:rPr>
        <w:t>)</w:t>
      </w:r>
      <w:r w:rsidRPr="00AF1A90">
        <w:rPr>
          <w:b/>
          <w:i/>
        </w:rPr>
        <w:tab/>
        <w:t>As informações sobre a percentagem de gás originário da Federação da Rússia armazenado nas instalações de armazenamento da UE, fornecidas pelos Estados</w:t>
      </w:r>
      <w:r w:rsidRPr="00AF1A90">
        <w:rPr>
          <w:b/>
          <w:i/>
        </w:rPr>
        <w:noBreakHyphen/>
        <w:t>Membros em conformidade com o artigo 6.º</w:t>
      </w:r>
      <w:r w:rsidRPr="00AF1A90">
        <w:rPr>
          <w:b/>
          <w:i/>
        </w:rPr>
        <w:noBreakHyphen/>
        <w:t>D, n.º 2.»;</w:t>
      </w:r>
    </w:p>
    <w:p w14:paraId="78AA439A" w14:textId="21AC512F" w:rsidR="005576C0" w:rsidRPr="00AF1A90" w:rsidRDefault="005576C0" w:rsidP="005576C0">
      <w:pPr>
        <w:pStyle w:val="NormalHanging12a"/>
        <w:ind w:left="851" w:hanging="851"/>
        <w:rPr>
          <w:b/>
          <w:i/>
          <w:szCs w:val="24"/>
        </w:rPr>
      </w:pPr>
      <w:r w:rsidRPr="00AF1A90">
        <w:rPr>
          <w:b/>
          <w:i/>
        </w:rPr>
        <w:t>7)</w:t>
      </w:r>
      <w:r w:rsidRPr="00AF1A90">
        <w:rPr>
          <w:b/>
          <w:i/>
        </w:rPr>
        <w:tab/>
        <w:t>No artigo 22.º, o quarto parágrafo passa a ter a seguinte redação:</w:t>
      </w:r>
    </w:p>
    <w:p w14:paraId="36F0630E" w14:textId="77777777" w:rsidR="005576C0" w:rsidRPr="00AF1A90" w:rsidRDefault="005576C0" w:rsidP="005576C0">
      <w:pPr>
        <w:pStyle w:val="NormalHanging12a"/>
        <w:ind w:left="851" w:firstLine="0"/>
        <w:rPr>
          <w:b/>
          <w:i/>
          <w:szCs w:val="24"/>
        </w:rPr>
      </w:pPr>
      <w:r w:rsidRPr="00AF1A90">
        <w:rPr>
          <w:b/>
          <w:i/>
        </w:rPr>
        <w:t>«O artigo 2.º, pontos 27 a 31, os artigos 6.º</w:t>
      </w:r>
      <w:r w:rsidRPr="00AF1A90">
        <w:rPr>
          <w:b/>
          <w:i/>
        </w:rPr>
        <w:noBreakHyphen/>
        <w:t>A a 6.º</w:t>
      </w:r>
      <w:r w:rsidRPr="00AF1A90">
        <w:rPr>
          <w:b/>
          <w:i/>
        </w:rPr>
        <w:noBreakHyphen/>
        <w:t>D, o artigo 16.º, n.º 3, o artigo 17.º</w:t>
      </w:r>
      <w:r w:rsidRPr="00AF1A90">
        <w:rPr>
          <w:b/>
          <w:i/>
        </w:rPr>
        <w:noBreakHyphen/>
        <w:t>A, o artigo 18.º</w:t>
      </w:r>
      <w:r w:rsidRPr="00AF1A90">
        <w:rPr>
          <w:b/>
          <w:i/>
        </w:rPr>
        <w:noBreakHyphen/>
        <w:t>A, o artigo 20.º, n.º 4, e o anexo I</w:t>
      </w:r>
      <w:r w:rsidRPr="00AF1A90">
        <w:rPr>
          <w:b/>
          <w:i/>
        </w:rPr>
        <w:noBreakHyphen/>
        <w:t>B são aplicáveis até 31 de dezembro de 2027.»;</w:t>
      </w:r>
    </w:p>
    <w:p w14:paraId="3F14F085" w14:textId="6AB349D2" w:rsidR="005576C0" w:rsidRPr="00AF1A90" w:rsidRDefault="005576C0" w:rsidP="005576C0">
      <w:pPr>
        <w:pStyle w:val="NormalHanging12a"/>
        <w:ind w:left="851" w:hanging="851"/>
        <w:rPr>
          <w:b/>
          <w:i/>
          <w:szCs w:val="24"/>
        </w:rPr>
      </w:pPr>
      <w:r w:rsidRPr="00AF1A90">
        <w:rPr>
          <w:b/>
          <w:i/>
        </w:rPr>
        <w:t>8)</w:t>
      </w:r>
      <w:r w:rsidRPr="00AF1A90">
        <w:rPr>
          <w:b/>
          <w:i/>
        </w:rPr>
        <w:tab/>
        <w:t>É suprimido o anexo I</w:t>
      </w:r>
      <w:r w:rsidRPr="00AF1A90">
        <w:rPr>
          <w:b/>
          <w:i/>
        </w:rPr>
        <w:noBreakHyphen/>
        <w:t>A.</w:t>
      </w:r>
    </w:p>
    <w:p w14:paraId="215BEF64" w14:textId="77777777" w:rsidR="005576C0" w:rsidRPr="00AF1A90" w:rsidRDefault="005576C0" w:rsidP="005576C0">
      <w:pPr>
        <w:rPr>
          <w:noProof/>
        </w:rPr>
      </w:pPr>
    </w:p>
    <w:p w14:paraId="5EFB9755" w14:textId="77777777" w:rsidR="005576C0" w:rsidRPr="00AF1A90" w:rsidRDefault="005576C0" w:rsidP="005576C0">
      <w:pPr>
        <w:pStyle w:val="Titrearticle"/>
        <w:rPr>
          <w:noProof/>
        </w:rPr>
      </w:pPr>
      <w:r w:rsidRPr="00AF1A90">
        <w:t>Artigo 2.º</w:t>
      </w:r>
    </w:p>
    <w:p w14:paraId="74E98712" w14:textId="77777777" w:rsidR="005576C0" w:rsidRPr="00AF1A90" w:rsidRDefault="005576C0" w:rsidP="00AF1A90">
      <w:pPr>
        <w:spacing w:after="240"/>
        <w:jc w:val="center"/>
        <w:rPr>
          <w:b/>
          <w:bCs/>
          <w:noProof/>
        </w:rPr>
      </w:pPr>
      <w:r w:rsidRPr="00AF1A90">
        <w:rPr>
          <w:b/>
        </w:rPr>
        <w:t>Entrada em vigor</w:t>
      </w:r>
    </w:p>
    <w:p w14:paraId="3DEFACA8" w14:textId="77777777" w:rsidR="005576C0" w:rsidRPr="00AF1A90" w:rsidRDefault="005576C0" w:rsidP="005576C0">
      <w:pPr>
        <w:pStyle w:val="NormalHanging12a"/>
        <w:ind w:left="0" w:firstLine="0"/>
        <w:rPr>
          <w:szCs w:val="24"/>
        </w:rPr>
      </w:pPr>
      <w:r w:rsidRPr="00AF1A90">
        <w:t xml:space="preserve">O presente regulamento entra em vigor e </w:t>
      </w:r>
      <w:r w:rsidRPr="00AF1A90">
        <w:rPr>
          <w:b/>
          <w:bCs/>
          <w:i/>
          <w:iCs/>
        </w:rPr>
        <w:t>é aplicável</w:t>
      </w:r>
      <w:r w:rsidRPr="00AF1A90">
        <w:t xml:space="preserve"> no dia seguinte ao da sua publicação no </w:t>
      </w:r>
      <w:r w:rsidRPr="00AF1A90">
        <w:rPr>
          <w:i/>
          <w:iCs/>
        </w:rPr>
        <w:t>Jornal Oficial da União Europeia</w:t>
      </w:r>
      <w:r w:rsidRPr="00AF1A90">
        <w:t>.</w:t>
      </w:r>
    </w:p>
    <w:p w14:paraId="2EBF9142" w14:textId="77777777" w:rsidR="005576C0" w:rsidRPr="00AF1A90" w:rsidRDefault="005576C0" w:rsidP="00AF1A90">
      <w:pPr>
        <w:pStyle w:val="NormalCenter12a"/>
        <w:spacing w:before="480" w:after="120"/>
        <w:jc w:val="left"/>
      </w:pPr>
      <w:r w:rsidRPr="00AF1A90">
        <w:t>O presente regulamento é obrigatório em todos os seus elementos e diretamente aplicável em todos os Estados</w:t>
      </w:r>
      <w:r w:rsidRPr="00AF1A90">
        <w:noBreakHyphen/>
        <w:t>Membros.</w:t>
      </w:r>
    </w:p>
    <w:p w14:paraId="06345DDB" w14:textId="77777777" w:rsidR="005576C0" w:rsidRPr="00AF1A90" w:rsidRDefault="005576C0" w:rsidP="00AF1A90">
      <w:pPr>
        <w:pStyle w:val="NormalCenter12a"/>
        <w:spacing w:before="120"/>
        <w:jc w:val="left"/>
      </w:pPr>
      <w:r w:rsidRPr="00AF1A90">
        <w:t>Feito em Bruxelas, em</w:t>
      </w:r>
    </w:p>
    <w:p w14:paraId="22015BF9" w14:textId="60D3650E" w:rsidR="005576C0" w:rsidRPr="00AF1A90" w:rsidRDefault="005576C0" w:rsidP="00724E7C">
      <w:pPr>
        <w:pStyle w:val="NormalCenter12a"/>
        <w:jc w:val="left"/>
      </w:pPr>
      <w:r w:rsidRPr="00AF1A90">
        <w:t>Pelo Parlamento Europeu</w:t>
      </w:r>
    </w:p>
    <w:p w14:paraId="293228E3" w14:textId="7B23DDA5" w:rsidR="005576C0" w:rsidRPr="00AF1A90" w:rsidRDefault="00724E7C" w:rsidP="00724E7C">
      <w:pPr>
        <w:pStyle w:val="NormalCenter12a"/>
        <w:jc w:val="left"/>
      </w:pPr>
      <w:r w:rsidRPr="00AF1A90">
        <w:t xml:space="preserve">A </w:t>
      </w:r>
      <w:r w:rsidR="005576C0" w:rsidRPr="00AF1A90">
        <w:t>Presidente</w:t>
      </w:r>
    </w:p>
    <w:p w14:paraId="0457669C" w14:textId="77777777" w:rsidR="005576C0" w:rsidRPr="00AF1A90" w:rsidRDefault="005576C0" w:rsidP="005576C0">
      <w:pPr>
        <w:pStyle w:val="NormalCenter12a"/>
        <w:jc w:val="left"/>
      </w:pPr>
      <w:r w:rsidRPr="00AF1A90">
        <w:t>Pelo Conselho</w:t>
      </w:r>
    </w:p>
    <w:p w14:paraId="28080F7E" w14:textId="4947C167" w:rsidR="00E427C7" w:rsidRPr="00AF1A90" w:rsidRDefault="005576C0" w:rsidP="00E427C7">
      <w:pPr>
        <w:pStyle w:val="NormalCenter12a"/>
        <w:jc w:val="left"/>
      </w:pPr>
      <w:r w:rsidRPr="00AF1A90">
        <w:t>O Presidente</w:t>
      </w:r>
      <w:r w:rsidR="00724E7C" w:rsidRPr="00AF1A90">
        <w:t>/A Presidente</w:t>
      </w:r>
    </w:p>
    <w:p w14:paraId="58471DAD" w14:textId="77777777" w:rsidR="00E365E1" w:rsidRPr="00AF1A90" w:rsidRDefault="00E365E1" w:rsidP="009603E4"/>
    <w:sectPr w:rsidR="00E365E1" w:rsidRPr="00AF1A90" w:rsidSect="00E427C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291691" w14:textId="77777777" w:rsidR="009603E4" w:rsidRPr="00E427C7" w:rsidRDefault="009603E4">
      <w:r w:rsidRPr="00E427C7">
        <w:separator/>
      </w:r>
    </w:p>
  </w:endnote>
  <w:endnote w:type="continuationSeparator" w:id="0">
    <w:p w14:paraId="0FE0A9BD" w14:textId="77777777" w:rsidR="009603E4" w:rsidRPr="00E427C7" w:rsidRDefault="009603E4">
      <w:r w:rsidRPr="00E427C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3B0DC" w14:textId="77777777" w:rsidR="00064002" w:rsidRPr="00E427C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78E1B" w14:textId="77777777" w:rsidR="00064002" w:rsidRPr="00E427C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BF066" w14:textId="77777777" w:rsidR="00064002" w:rsidRPr="00E427C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8F9C7B" w14:textId="77777777" w:rsidR="009603E4" w:rsidRPr="00E427C7" w:rsidRDefault="009603E4">
      <w:r w:rsidRPr="00E427C7">
        <w:separator/>
      </w:r>
    </w:p>
  </w:footnote>
  <w:footnote w:type="continuationSeparator" w:id="0">
    <w:p w14:paraId="480844CF" w14:textId="77777777" w:rsidR="009603E4" w:rsidRPr="00E427C7" w:rsidRDefault="009603E4">
      <w:r w:rsidRPr="00E427C7">
        <w:continuationSeparator/>
      </w:r>
    </w:p>
  </w:footnote>
  <w:footnote w:id="1">
    <w:p w14:paraId="2B64E7C3" w14:textId="467008EF" w:rsidR="00270812" w:rsidRPr="00AF1A90" w:rsidRDefault="00270812" w:rsidP="00AF1A90">
      <w:pPr>
        <w:pStyle w:val="FootnoteText"/>
        <w:ind w:left="567" w:hanging="567"/>
        <w:rPr>
          <w:sz w:val="24"/>
          <w:szCs w:val="24"/>
          <w:lang w:val="pt-PT"/>
        </w:rPr>
      </w:pPr>
      <w:r w:rsidRPr="00AF1A90">
        <w:rPr>
          <w:rStyle w:val="FootnoteReference"/>
          <w:sz w:val="24"/>
          <w:szCs w:val="24"/>
        </w:rPr>
        <w:footnoteRef/>
      </w:r>
      <w:r w:rsidRPr="00AF1A90">
        <w:rPr>
          <w:sz w:val="24"/>
          <w:szCs w:val="24"/>
          <w:lang w:val="pt-PT"/>
        </w:rPr>
        <w:t xml:space="preserve"> </w:t>
      </w:r>
      <w:r w:rsidRPr="00AF1A90">
        <w:rPr>
          <w:sz w:val="24"/>
          <w:szCs w:val="24"/>
          <w:lang w:val="pt-PT"/>
        </w:rPr>
        <w:tab/>
      </w:r>
      <w:r w:rsidRPr="00270812">
        <w:rPr>
          <w:sz w:val="24"/>
          <w:szCs w:val="24"/>
          <w:lang w:val="pt-PT"/>
        </w:rPr>
        <w:t>O assunto foi devolvido à comissã</w:t>
      </w:r>
      <w:r w:rsidR="0013272F">
        <w:rPr>
          <w:sz w:val="24"/>
          <w:szCs w:val="24"/>
          <w:lang w:val="pt-PT"/>
        </w:rPr>
        <w:t>o competente para</w:t>
      </w:r>
      <w:r>
        <w:rPr>
          <w:sz w:val="24"/>
          <w:szCs w:val="24"/>
          <w:lang w:val="pt-PT"/>
        </w:rPr>
        <w:t xml:space="preserve"> </w:t>
      </w:r>
      <w:r w:rsidRPr="00270812">
        <w:rPr>
          <w:sz w:val="24"/>
          <w:szCs w:val="24"/>
          <w:lang w:val="pt-PT"/>
        </w:rPr>
        <w:t xml:space="preserve">negociações interinstitucionais, nos termos do artigo </w:t>
      </w:r>
      <w:r w:rsidR="0013272F">
        <w:rPr>
          <w:sz w:val="24"/>
          <w:szCs w:val="24"/>
          <w:lang w:val="pt-PT"/>
        </w:rPr>
        <w:t>60</w:t>
      </w:r>
      <w:r w:rsidRPr="00270812">
        <w:rPr>
          <w:sz w:val="24"/>
          <w:szCs w:val="24"/>
          <w:lang w:val="pt-PT"/>
        </w:rPr>
        <w:t xml:space="preserve">.º, n.º 4, quarto </w:t>
      </w:r>
      <w:r>
        <w:rPr>
          <w:sz w:val="24"/>
          <w:szCs w:val="24"/>
          <w:lang w:val="pt-PT"/>
        </w:rPr>
        <w:t>parágrafo, do Regimento (A10-0079/2025</w:t>
      </w:r>
      <w:r w:rsidRPr="00270812">
        <w:rPr>
          <w:sz w:val="24"/>
          <w:szCs w:val="24"/>
          <w:lang w:val="pt-PT"/>
        </w:rPr>
        <w:t>).</w:t>
      </w:r>
    </w:p>
  </w:footnote>
  <w:footnote w:id="2">
    <w:p w14:paraId="4B231E1D" w14:textId="77777777" w:rsidR="005576C0" w:rsidRPr="00E427C7" w:rsidRDefault="005576C0" w:rsidP="00E427C7">
      <w:pPr>
        <w:pStyle w:val="FootnoteText"/>
        <w:ind w:left="567" w:hanging="567"/>
        <w:rPr>
          <w:sz w:val="24"/>
          <w:lang w:val="pt-PT"/>
        </w:rPr>
      </w:pPr>
      <w:r w:rsidRPr="00E427C7">
        <w:rPr>
          <w:rStyle w:val="FootnoteReference"/>
          <w:sz w:val="24"/>
          <w:lang w:val="pt-PT"/>
        </w:rPr>
        <w:t>*</w:t>
      </w:r>
      <w:r w:rsidR="00E427C7" w:rsidRPr="00E427C7">
        <w:rPr>
          <w:sz w:val="24"/>
          <w:lang w:val="pt-PT"/>
        </w:rPr>
        <w:t xml:space="preserve"> </w:t>
      </w:r>
      <w:r w:rsidR="00E427C7" w:rsidRPr="00E427C7">
        <w:rPr>
          <w:sz w:val="24"/>
          <w:lang w:val="pt-PT"/>
        </w:rPr>
        <w:tab/>
      </w:r>
      <w:r w:rsidRPr="00E427C7">
        <w:rPr>
          <w:sz w:val="24"/>
          <w:lang w:val="pt-PT"/>
        </w:rPr>
        <w:t>Alterações: o texto novo ou alterado é assinalado em itálico e a negrito; as supressões são indicadas pelo símbolo ▌.</w:t>
      </w:r>
    </w:p>
  </w:footnote>
  <w:footnote w:id="3">
    <w:p w14:paraId="1D472CD5" w14:textId="3DCF2D7F" w:rsidR="005576C0" w:rsidRPr="00E427C7" w:rsidRDefault="005576C0" w:rsidP="00E427C7">
      <w:pPr>
        <w:pStyle w:val="FootnoteText"/>
        <w:ind w:left="567" w:hanging="567"/>
        <w:rPr>
          <w:sz w:val="24"/>
          <w:lang w:val="pt-PT"/>
        </w:rPr>
      </w:pPr>
      <w:r w:rsidRPr="00E427C7">
        <w:rPr>
          <w:rStyle w:val="FootnoteReference"/>
          <w:sz w:val="24"/>
          <w:lang w:val="pt-PT"/>
        </w:rPr>
        <w:footnoteRef/>
      </w:r>
      <w:r w:rsidR="00E427C7" w:rsidRPr="00E427C7">
        <w:rPr>
          <w:sz w:val="24"/>
          <w:lang w:val="pt-PT"/>
        </w:rPr>
        <w:t xml:space="preserve"> </w:t>
      </w:r>
      <w:r w:rsidR="00E427C7" w:rsidRPr="00E427C7">
        <w:rPr>
          <w:sz w:val="24"/>
          <w:lang w:val="pt-PT"/>
        </w:rPr>
        <w:tab/>
      </w:r>
      <w:r w:rsidRPr="00E427C7">
        <w:rPr>
          <w:sz w:val="24"/>
          <w:lang w:val="pt-PT"/>
        </w:rPr>
        <w:t>Regulamento (UE) 2022/1032 do Parlamento Europeu e</w:t>
      </w:r>
      <w:r w:rsidR="00A65FDC">
        <w:rPr>
          <w:sz w:val="24"/>
          <w:lang w:val="pt-PT"/>
        </w:rPr>
        <w:t xml:space="preserve"> do Conselho, de 29 de junho de </w:t>
      </w:r>
      <w:r w:rsidRPr="00E427C7">
        <w:rPr>
          <w:sz w:val="24"/>
          <w:lang w:val="pt-PT"/>
        </w:rPr>
        <w:t xml:space="preserve">2022, que altera os Regulamentos (UE) 2017/1938 e (CE) n.º 715/2009 no que respeita ao armazenamento de gás (JO L 173 de 30.6.2022, p. 17, ELI: </w:t>
      </w:r>
      <w:r w:rsidR="00656ACF">
        <w:fldChar w:fldCharType="begin"/>
      </w:r>
      <w:r w:rsidR="00656ACF" w:rsidRPr="00656ACF">
        <w:rPr>
          <w:lang w:val="pt-PT"/>
        </w:rPr>
        <w:instrText>HYPERLINK "http://data.europa.eu/eli/reg/2022/1032/oj"</w:instrText>
      </w:r>
      <w:r w:rsidR="00656ACF">
        <w:fldChar w:fldCharType="separate"/>
      </w:r>
      <w:r w:rsidRPr="0013272F">
        <w:rPr>
          <w:rStyle w:val="Hyperlink"/>
          <w:sz w:val="24"/>
          <w:lang w:val="pt-PT"/>
        </w:rPr>
        <w:t>http://data.europa.eu/eli/reg/2022/1032/oj</w:t>
      </w:r>
      <w:r w:rsidR="00656ACF">
        <w:rPr>
          <w:rStyle w:val="Hyperlink"/>
          <w:sz w:val="24"/>
          <w:lang w:val="pt-PT"/>
        </w:rPr>
        <w:fldChar w:fldCharType="end"/>
      </w:r>
      <w:r w:rsidRPr="00E427C7">
        <w:rPr>
          <w:sz w:val="24"/>
          <w:lang w:val="pt-P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5B029" w14:textId="77777777" w:rsidR="00064002" w:rsidRPr="00E427C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DCA25" w14:textId="77777777" w:rsidR="00064002" w:rsidRPr="00E427C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D4204" w14:textId="77777777" w:rsidR="00064002" w:rsidRPr="00E427C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77665565">
    <w:abstractNumId w:val="9"/>
  </w:num>
  <w:num w:numId="2" w16cid:durableId="1403526265">
    <w:abstractNumId w:val="9"/>
  </w:num>
  <w:num w:numId="3" w16cid:durableId="905839481">
    <w:abstractNumId w:val="7"/>
  </w:num>
  <w:num w:numId="4" w16cid:durableId="1643847692">
    <w:abstractNumId w:val="7"/>
  </w:num>
  <w:num w:numId="5" w16cid:durableId="2073381092">
    <w:abstractNumId w:val="6"/>
  </w:num>
  <w:num w:numId="6" w16cid:durableId="429468306">
    <w:abstractNumId w:val="6"/>
  </w:num>
  <w:num w:numId="7" w16cid:durableId="657224287">
    <w:abstractNumId w:val="5"/>
  </w:num>
  <w:num w:numId="8" w16cid:durableId="2029526292">
    <w:abstractNumId w:val="5"/>
  </w:num>
  <w:num w:numId="9" w16cid:durableId="255790557">
    <w:abstractNumId w:val="4"/>
  </w:num>
  <w:num w:numId="10" w16cid:durableId="766272245">
    <w:abstractNumId w:val="4"/>
  </w:num>
  <w:num w:numId="11" w16cid:durableId="1839537335">
    <w:abstractNumId w:val="8"/>
  </w:num>
  <w:num w:numId="12" w16cid:durableId="1861241309">
    <w:abstractNumId w:val="8"/>
  </w:num>
  <w:num w:numId="13" w16cid:durableId="342561756">
    <w:abstractNumId w:val="3"/>
  </w:num>
  <w:num w:numId="14" w16cid:durableId="683672487">
    <w:abstractNumId w:val="3"/>
  </w:num>
  <w:num w:numId="15" w16cid:durableId="632294953">
    <w:abstractNumId w:val="2"/>
  </w:num>
  <w:num w:numId="16" w16cid:durableId="206571088">
    <w:abstractNumId w:val="2"/>
  </w:num>
  <w:num w:numId="17" w16cid:durableId="437877024">
    <w:abstractNumId w:val="1"/>
  </w:num>
  <w:num w:numId="18" w16cid:durableId="974799242">
    <w:abstractNumId w:val="1"/>
  </w:num>
  <w:num w:numId="19" w16cid:durableId="1422067506">
    <w:abstractNumId w:val="0"/>
  </w:num>
  <w:num w:numId="20" w16cid:durableId="661813265">
    <w:abstractNumId w:val="0"/>
  </w:num>
  <w:num w:numId="21" w16cid:durableId="528493724">
    <w:abstractNumId w:val="9"/>
  </w:num>
  <w:num w:numId="22" w16cid:durableId="1318724258">
    <w:abstractNumId w:val="7"/>
  </w:num>
  <w:num w:numId="23" w16cid:durableId="475995136">
    <w:abstractNumId w:val="6"/>
  </w:num>
  <w:num w:numId="24" w16cid:durableId="1272085999">
    <w:abstractNumId w:val="5"/>
  </w:num>
  <w:num w:numId="25" w16cid:durableId="520781753">
    <w:abstractNumId w:val="4"/>
  </w:num>
  <w:num w:numId="26" w16cid:durableId="1934513121">
    <w:abstractNumId w:val="8"/>
  </w:num>
  <w:num w:numId="27" w16cid:durableId="612324454">
    <w:abstractNumId w:val="3"/>
  </w:num>
  <w:num w:numId="28" w16cid:durableId="406732838">
    <w:abstractNumId w:val="2"/>
  </w:num>
  <w:num w:numId="29" w16cid:durableId="517886663">
    <w:abstractNumId w:val="1"/>
  </w:num>
  <w:num w:numId="30" w16cid:durableId="248855286">
    <w:abstractNumId w:val="0"/>
  </w:num>
  <w:num w:numId="31" w16cid:durableId="181239209">
    <w:abstractNumId w:val="9"/>
  </w:num>
  <w:num w:numId="32" w16cid:durableId="1150898674">
    <w:abstractNumId w:val="7"/>
  </w:num>
  <w:num w:numId="33" w16cid:durableId="1086458343">
    <w:abstractNumId w:val="6"/>
  </w:num>
  <w:num w:numId="34" w16cid:durableId="1439565593">
    <w:abstractNumId w:val="5"/>
  </w:num>
  <w:num w:numId="35" w16cid:durableId="359089168">
    <w:abstractNumId w:val="4"/>
  </w:num>
  <w:num w:numId="36" w16cid:durableId="1725446002">
    <w:abstractNumId w:val="8"/>
  </w:num>
  <w:num w:numId="37" w16cid:durableId="1516112542">
    <w:abstractNumId w:val="3"/>
  </w:num>
  <w:num w:numId="38" w16cid:durableId="967008319">
    <w:abstractNumId w:val="2"/>
  </w:num>
  <w:num w:numId="39" w16cid:durableId="1635328799">
    <w:abstractNumId w:val="1"/>
  </w:num>
  <w:num w:numId="40" w16cid:durableId="1556156266">
    <w:abstractNumId w:val="0"/>
  </w:num>
  <w:num w:numId="41" w16cid:durableId="635261193">
    <w:abstractNumId w:val="10"/>
  </w:num>
  <w:num w:numId="42" w16cid:durableId="1735540307">
    <w:abstractNumId w:val="10"/>
  </w:num>
  <w:num w:numId="43" w16cid:durableId="959382032">
    <w:abstractNumId w:val="10"/>
  </w:num>
  <w:num w:numId="44" w16cid:durableId="12222571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79/2025"/>
    <w:docVar w:name="dvlangue" w:val="PT"/>
    <w:docVar w:name="dvnumam" w:val="0"/>
    <w:docVar w:name="dvpe" w:val="772.015"/>
    <w:docVar w:name="dvrapporteur" w:val="Relator: "/>
    <w:docVar w:name="dvstar" w:val="***I"/>
    <w:docVar w:name="dvtitre" w:val="Resolução legislativa do Parlamento Europeu, de ... de ... de 2025,_x000d__x000a_ sobre a proposta de regulamento do Parlamento Europeu e do Conselho que altera o Regulamento (UE) 2017/1938 no respeitante ao papel do armazenamento de gás na garantia dos aprovisionamentos de gás antes da estação invernal(COM(2025)0099 – C10-0041/20285 – 2025/0051(COD))"/>
  </w:docVars>
  <w:rsids>
    <w:rsidRoot w:val="009603E4"/>
    <w:rsid w:val="00002272"/>
    <w:rsid w:val="00064002"/>
    <w:rsid w:val="000677B9"/>
    <w:rsid w:val="000831BA"/>
    <w:rsid w:val="000A42CC"/>
    <w:rsid w:val="000E7DD9"/>
    <w:rsid w:val="0010095E"/>
    <w:rsid w:val="00125B37"/>
    <w:rsid w:val="0013272F"/>
    <w:rsid w:val="00187494"/>
    <w:rsid w:val="001F32AE"/>
    <w:rsid w:val="002308B3"/>
    <w:rsid w:val="00270812"/>
    <w:rsid w:val="002767FF"/>
    <w:rsid w:val="002B18FE"/>
    <w:rsid w:val="002B5493"/>
    <w:rsid w:val="00343214"/>
    <w:rsid w:val="00361C00"/>
    <w:rsid w:val="00395FA1"/>
    <w:rsid w:val="003A50A3"/>
    <w:rsid w:val="003E15D4"/>
    <w:rsid w:val="00411CCE"/>
    <w:rsid w:val="0041666E"/>
    <w:rsid w:val="00421060"/>
    <w:rsid w:val="00471C19"/>
    <w:rsid w:val="00473A47"/>
    <w:rsid w:val="004867E3"/>
    <w:rsid w:val="00494A28"/>
    <w:rsid w:val="004C0004"/>
    <w:rsid w:val="004C5D52"/>
    <w:rsid w:val="0050519A"/>
    <w:rsid w:val="005072A1"/>
    <w:rsid w:val="00514517"/>
    <w:rsid w:val="0052117C"/>
    <w:rsid w:val="00545827"/>
    <w:rsid w:val="005576C0"/>
    <w:rsid w:val="00560270"/>
    <w:rsid w:val="005C2568"/>
    <w:rsid w:val="005F1B17"/>
    <w:rsid w:val="006037C0"/>
    <w:rsid w:val="00656ACF"/>
    <w:rsid w:val="006631B6"/>
    <w:rsid w:val="00680577"/>
    <w:rsid w:val="006C4FC4"/>
    <w:rsid w:val="006F74FA"/>
    <w:rsid w:val="00724E7C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03E4"/>
    <w:rsid w:val="00964E3D"/>
    <w:rsid w:val="00981893"/>
    <w:rsid w:val="00A1687D"/>
    <w:rsid w:val="00A2308B"/>
    <w:rsid w:val="00A43E52"/>
    <w:rsid w:val="00A4678D"/>
    <w:rsid w:val="00A65FDC"/>
    <w:rsid w:val="00A778C7"/>
    <w:rsid w:val="00A920DD"/>
    <w:rsid w:val="00AB441E"/>
    <w:rsid w:val="00AB5E25"/>
    <w:rsid w:val="00AB6293"/>
    <w:rsid w:val="00AE0928"/>
    <w:rsid w:val="00AF1A90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0985"/>
    <w:rsid w:val="00D834A0"/>
    <w:rsid w:val="00D872DF"/>
    <w:rsid w:val="00D91E21"/>
    <w:rsid w:val="00DA7FCD"/>
    <w:rsid w:val="00DE1835"/>
    <w:rsid w:val="00E365E1"/>
    <w:rsid w:val="00E427C7"/>
    <w:rsid w:val="00E820A4"/>
    <w:rsid w:val="00EB006A"/>
    <w:rsid w:val="00EB4772"/>
    <w:rsid w:val="00ED169E"/>
    <w:rsid w:val="00ED4235"/>
    <w:rsid w:val="00F04346"/>
    <w:rsid w:val="00F075DC"/>
    <w:rsid w:val="00F149E9"/>
    <w:rsid w:val="00F2157C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6E18E5"/>
  <w15:chartTrackingRefBased/>
  <w15:docId w15:val="{4A31A022-5ACB-42C5-A4BE-0266D09D2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576C0"/>
    <w:pPr>
      <w:spacing w:before="480" w:after="240"/>
    </w:pPr>
  </w:style>
  <w:style w:type="paragraph" w:customStyle="1" w:styleId="NormalBold">
    <w:name w:val="NormalBold"/>
    <w:basedOn w:val="Normal"/>
    <w:rsid w:val="005576C0"/>
    <w:rPr>
      <w:b/>
    </w:rPr>
  </w:style>
  <w:style w:type="paragraph" w:customStyle="1" w:styleId="NormalHanging12a">
    <w:name w:val="NormalHanging12a"/>
    <w:basedOn w:val="Normal"/>
    <w:link w:val="NormalHanging12aChar"/>
    <w:rsid w:val="005576C0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5576C0"/>
    <w:pPr>
      <w:spacing w:after="240"/>
      <w:jc w:val="center"/>
    </w:pPr>
  </w:style>
  <w:style w:type="paragraph" w:customStyle="1" w:styleId="AmNumberTabs">
    <w:name w:val="AmNumberTabs"/>
    <w:basedOn w:val="Normal"/>
    <w:rsid w:val="005576C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5576C0"/>
    <w:pPr>
      <w:spacing w:before="720" w:after="240"/>
      <w:jc w:val="center"/>
    </w:pPr>
  </w:style>
  <w:style w:type="character" w:customStyle="1" w:styleId="NormalHanging12aChar">
    <w:name w:val="NormalHanging12a Char"/>
    <w:basedOn w:val="DefaultParagraphFont"/>
    <w:link w:val="NormalHanging12a"/>
    <w:rsid w:val="005576C0"/>
    <w:rPr>
      <w:sz w:val="24"/>
      <w:lang w:val="pt-PT"/>
    </w:rPr>
  </w:style>
  <w:style w:type="paragraph" w:customStyle="1" w:styleId="Titrearticle">
    <w:name w:val="Titre article"/>
    <w:basedOn w:val="Normal"/>
    <w:next w:val="Normal"/>
    <w:rsid w:val="005576C0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character" w:styleId="CommentReference">
    <w:name w:val="annotation reference"/>
    <w:basedOn w:val="DefaultParagraphFont"/>
    <w:rsid w:val="00DE1835"/>
    <w:rPr>
      <w:sz w:val="16"/>
      <w:szCs w:val="16"/>
    </w:rPr>
  </w:style>
  <w:style w:type="paragraph" w:styleId="CommentText">
    <w:name w:val="annotation text"/>
    <w:basedOn w:val="Normal"/>
    <w:link w:val="CommentTextChar"/>
    <w:rsid w:val="00DE183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E1835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DE18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E1835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DE183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E1835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DE183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568B34-36A4-4010-935E-1D77BD2CB3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3627</Words>
  <Characters>19970</Characters>
  <Application>Microsoft Office Word</Application>
  <DocSecurity>0</DocSecurity>
  <Lines>166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 Isabel Alexandra</dc:creator>
  <cp:keywords/>
  <cp:lastModifiedBy>SEMEDO Teresa</cp:lastModifiedBy>
  <cp:revision>2</cp:revision>
  <cp:lastPrinted>2004-11-19T15:42:00Z</cp:lastPrinted>
  <dcterms:created xsi:type="dcterms:W3CDTF">2025-09-23T10:13:00Z</dcterms:created>
  <dcterms:modified xsi:type="dcterms:W3CDTF">2025-09-23T10:13:00Z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P10_TA(2025)0101_</vt:lpwstr>
  </property>
  <property fmtid="{D5CDD505-2E9C-101B-9397-08002B2CF9AE}" pid="4" name="&lt;Type&gt;">
    <vt:lpwstr>RR</vt:lpwstr>
  </property>
</Properties>
</file>