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016FB" w:rsidTr="0010095E">
        <w:trPr>
          <w:trHeight w:hRule="exact" w:val="1418"/>
        </w:trPr>
        <w:tc>
          <w:tcPr>
            <w:tcW w:w="6804" w:type="dxa"/>
            <w:shd w:val="clear" w:color="auto" w:fill="auto"/>
            <w:vAlign w:val="center"/>
          </w:tcPr>
          <w:p w:rsidR="00751A4A" w:rsidRPr="004016FB" w:rsidRDefault="00BB719A" w:rsidP="0010095E">
            <w:pPr>
              <w:pStyle w:val="EPName"/>
            </w:pPr>
            <w:bookmarkStart w:id="0" w:name="_GoBack"/>
            <w:bookmarkEnd w:id="0"/>
            <w:r w:rsidRPr="004016FB">
              <w:t>Parlamentul European</w:t>
            </w:r>
          </w:p>
          <w:p w:rsidR="00751A4A" w:rsidRPr="004016FB" w:rsidRDefault="005F1B17" w:rsidP="005F1B17">
            <w:pPr>
              <w:pStyle w:val="EPTerm"/>
              <w:rPr>
                <w:rStyle w:val="HideTWBExt"/>
                <w:noProof w:val="0"/>
                <w:vanish w:val="0"/>
                <w:color w:val="auto"/>
              </w:rPr>
            </w:pPr>
            <w:r w:rsidRPr="004016FB">
              <w:t>2024</w:t>
            </w:r>
            <w:r w:rsidR="00817416" w:rsidRPr="004016FB">
              <w:t>-202</w:t>
            </w:r>
            <w:r w:rsidRPr="004016FB">
              <w:t>9</w:t>
            </w:r>
          </w:p>
        </w:tc>
        <w:tc>
          <w:tcPr>
            <w:tcW w:w="2268" w:type="dxa"/>
            <w:shd w:val="clear" w:color="auto" w:fill="auto"/>
          </w:tcPr>
          <w:p w:rsidR="00751A4A" w:rsidRPr="004016FB" w:rsidRDefault="00187494" w:rsidP="0010095E">
            <w:pPr>
              <w:pStyle w:val="EPLogo"/>
            </w:pPr>
            <w:r w:rsidRPr="004016FB">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016FB" w:rsidRDefault="00D058B8" w:rsidP="004C5D52">
      <w:pPr>
        <w:pStyle w:val="LineTop"/>
      </w:pPr>
    </w:p>
    <w:p w:rsidR="00680577" w:rsidRPr="004016FB" w:rsidRDefault="00BB719A" w:rsidP="00680577">
      <w:pPr>
        <w:pStyle w:val="EPBodyTA1"/>
      </w:pPr>
      <w:r w:rsidRPr="004016FB">
        <w:t>TEXTE ADOPTATE</w:t>
      </w:r>
    </w:p>
    <w:p w:rsidR="00D058B8" w:rsidRPr="004016FB" w:rsidRDefault="00D058B8" w:rsidP="00D058B8">
      <w:pPr>
        <w:pStyle w:val="LineBottom"/>
      </w:pPr>
    </w:p>
    <w:p w:rsidR="00BB719A" w:rsidRPr="004016FB" w:rsidRDefault="00BB719A" w:rsidP="00BB719A">
      <w:pPr>
        <w:pStyle w:val="ATHeading1"/>
      </w:pPr>
      <w:bookmarkStart w:id="1" w:name="TANumber"/>
      <w:r w:rsidRPr="004016FB">
        <w:t>P10_TA(2025)0</w:t>
      </w:r>
      <w:bookmarkEnd w:id="1"/>
      <w:r w:rsidR="00816980" w:rsidRPr="004016FB">
        <w:t>101</w:t>
      </w:r>
    </w:p>
    <w:p w:rsidR="00BB719A" w:rsidRPr="004016FB" w:rsidRDefault="00BB719A" w:rsidP="00BB719A">
      <w:pPr>
        <w:pStyle w:val="ATHeading2"/>
      </w:pPr>
      <w:bookmarkStart w:id="2" w:name="title"/>
      <w:r w:rsidRPr="004016FB">
        <w:t>Rolul înmagazinării gazelor în asigurarea aprovizionării cu gaze înainte de iarnă</w:t>
      </w:r>
      <w:bookmarkEnd w:id="2"/>
    </w:p>
    <w:p w:rsidR="00BB719A" w:rsidRPr="004016FB" w:rsidRDefault="00BB719A" w:rsidP="00BB719A">
      <w:pPr>
        <w:rPr>
          <w:i/>
          <w:vanish/>
        </w:rPr>
      </w:pPr>
      <w:r w:rsidRPr="004016FB">
        <w:rPr>
          <w:i/>
        </w:rPr>
        <w:fldChar w:fldCharType="begin"/>
      </w:r>
      <w:r w:rsidRPr="004016FB">
        <w:rPr>
          <w:i/>
        </w:rPr>
        <w:instrText xml:space="preserve"> TC"(</w:instrText>
      </w:r>
      <w:bookmarkStart w:id="3" w:name="DocNumber"/>
      <w:r w:rsidRPr="004016FB">
        <w:rPr>
          <w:i/>
        </w:rPr>
        <w:instrText>A10-0079/2025</w:instrText>
      </w:r>
      <w:bookmarkEnd w:id="3"/>
      <w:r w:rsidRPr="004016FB">
        <w:rPr>
          <w:i/>
        </w:rPr>
        <w:instrText xml:space="preserve"> - Raportor: </w:instrText>
      </w:r>
      <w:proofErr w:type="spellStart"/>
      <w:r w:rsidRPr="004016FB">
        <w:rPr>
          <w:i/>
        </w:rPr>
        <w:instrText>Borys</w:instrText>
      </w:r>
      <w:proofErr w:type="spellEnd"/>
      <w:r w:rsidRPr="004016FB">
        <w:rPr>
          <w:i/>
        </w:rPr>
        <w:instrText xml:space="preserve"> </w:instrText>
      </w:r>
      <w:proofErr w:type="spellStart"/>
      <w:r w:rsidRPr="004016FB">
        <w:rPr>
          <w:i/>
        </w:rPr>
        <w:instrText>Budka</w:instrText>
      </w:r>
      <w:proofErr w:type="spellEnd"/>
      <w:r w:rsidRPr="004016FB">
        <w:rPr>
          <w:i/>
        </w:rPr>
        <w:instrText xml:space="preserve">)"\l3 \n&gt; \* MERGEFORMAT </w:instrText>
      </w:r>
      <w:r w:rsidRPr="004016FB">
        <w:rPr>
          <w:i/>
        </w:rPr>
        <w:fldChar w:fldCharType="end"/>
      </w:r>
    </w:p>
    <w:p w:rsidR="00BB719A" w:rsidRPr="004016FB" w:rsidRDefault="00BB719A" w:rsidP="00BB719A">
      <w:pPr>
        <w:rPr>
          <w:vanish/>
        </w:rPr>
      </w:pPr>
      <w:bookmarkStart w:id="4" w:name="Commission"/>
      <w:r w:rsidRPr="004016FB">
        <w:rPr>
          <w:vanish/>
        </w:rPr>
        <w:t>Comisia pentru industrie, cercetare și energie</w:t>
      </w:r>
      <w:bookmarkEnd w:id="4"/>
    </w:p>
    <w:p w:rsidR="00BB719A" w:rsidRPr="004016FB" w:rsidRDefault="00BB719A" w:rsidP="00BB719A">
      <w:pPr>
        <w:rPr>
          <w:vanish/>
        </w:rPr>
      </w:pPr>
      <w:bookmarkStart w:id="5" w:name="PE"/>
      <w:r w:rsidRPr="004016FB">
        <w:rPr>
          <w:vanish/>
        </w:rPr>
        <w:t>PE772.015</w:t>
      </w:r>
      <w:bookmarkEnd w:id="5"/>
    </w:p>
    <w:p w:rsidR="00BB719A" w:rsidRPr="004016FB" w:rsidRDefault="00F312FC" w:rsidP="00BB719A">
      <w:pPr>
        <w:pStyle w:val="ATHeading3"/>
      </w:pPr>
      <w:bookmarkStart w:id="6" w:name="Sujet"/>
      <w:r w:rsidRPr="004016FB">
        <w:t>Amendamentele adoptate de</w:t>
      </w:r>
      <w:r w:rsidR="00BB719A" w:rsidRPr="004016FB">
        <w:t xml:space="preserve"> Parlamentul European </w:t>
      </w:r>
      <w:r w:rsidRPr="004016FB">
        <w:t>la</w:t>
      </w:r>
      <w:r w:rsidR="00BB719A" w:rsidRPr="004016FB">
        <w:t xml:space="preserve"> 8 mai 2025 referitoare la propunerea de regulament al Parlamentului European și al Consiliului de modificare a Regulamentului (UE) 2017/1938 în ceea ce privește rolul înmagazinării gazelor în asigurarea aprovizionării cu gaze înainte de iarnă</w:t>
      </w:r>
      <w:bookmarkEnd w:id="6"/>
      <w:r w:rsidR="00BB719A" w:rsidRPr="004016FB">
        <w:t xml:space="preserve"> </w:t>
      </w:r>
      <w:bookmarkStart w:id="7" w:name="References"/>
      <w:r w:rsidR="00BB719A" w:rsidRPr="004016FB">
        <w:t>(COM(2025)0099 – C10-0041/2025 – 2025/0051(COD))</w:t>
      </w:r>
      <w:bookmarkEnd w:id="7"/>
      <w:r w:rsidR="004D2877" w:rsidRPr="004016FB">
        <w:rPr>
          <w:rStyle w:val="FootnoteReference"/>
          <w:szCs w:val="24"/>
        </w:rPr>
        <w:footnoteReference w:id="1"/>
      </w:r>
    </w:p>
    <w:p w:rsidR="00BB719A" w:rsidRPr="004016FB" w:rsidRDefault="00BB719A" w:rsidP="00BB719A"/>
    <w:p w:rsidR="006C12E0" w:rsidRPr="004016FB" w:rsidRDefault="006C12E0" w:rsidP="006C12E0">
      <w:pPr>
        <w:pStyle w:val="NormalBold"/>
      </w:pPr>
      <w:bookmarkStart w:id="8" w:name="TextBodyBegin"/>
      <w:bookmarkEnd w:id="8"/>
      <w:r w:rsidRPr="004016FB">
        <w:t>(Procedura legislativă ordinară: prima lectură)</w:t>
      </w:r>
    </w:p>
    <w:p w:rsidR="006C12E0" w:rsidRPr="004016FB" w:rsidRDefault="004D2877" w:rsidP="006C12E0">
      <w:pPr>
        <w:pStyle w:val="AmNumberTabs"/>
        <w:keepNext/>
      </w:pPr>
      <w:r w:rsidRPr="004016FB">
        <w:rPr>
          <w:sz w:val="22"/>
        </w:rPr>
        <w:t>[</w:t>
      </w:r>
      <w:r w:rsidR="006C12E0" w:rsidRPr="004016FB">
        <w:t>Amendamentul</w:t>
      </w:r>
      <w:r w:rsidR="006C12E0" w:rsidRPr="004016FB">
        <w:tab/>
      </w:r>
      <w:r w:rsidR="006C12E0" w:rsidRPr="004016FB">
        <w:tab/>
        <w:t>1</w:t>
      </w:r>
      <w:r w:rsidRPr="004016FB">
        <w:t>, dacă nu se indică altfel]</w:t>
      </w:r>
    </w:p>
    <w:p w:rsidR="006C12E0" w:rsidRPr="004016FB" w:rsidRDefault="006C12E0" w:rsidP="006C12E0">
      <w:pPr>
        <w:pStyle w:val="AmHeadingConsam"/>
      </w:pPr>
      <w:r w:rsidRPr="004016FB">
        <w:t>AMENDAMENTELE PARLAMENTULUI EUROPEAN</w:t>
      </w:r>
      <w:r w:rsidRPr="004016FB">
        <w:rPr>
          <w:rStyle w:val="FootnoteReference"/>
        </w:rPr>
        <w:footnoteReference w:customMarkFollows="1" w:id="2"/>
        <w:t>*</w:t>
      </w:r>
    </w:p>
    <w:p w:rsidR="006C12E0" w:rsidRPr="004016FB" w:rsidRDefault="006C12E0" w:rsidP="006C12E0">
      <w:pPr>
        <w:pStyle w:val="NormalCenter12a"/>
      </w:pPr>
      <w:r w:rsidRPr="004016FB">
        <w:t>la propunerea Comisiei</w:t>
      </w:r>
    </w:p>
    <w:p w:rsidR="006C12E0" w:rsidRPr="004016FB" w:rsidRDefault="006C12E0" w:rsidP="006C12E0">
      <w:pPr>
        <w:pStyle w:val="NormalCenter12a"/>
      </w:pPr>
      <w:r w:rsidRPr="004016FB">
        <w:t>---------------------------------------------------------</w:t>
      </w:r>
    </w:p>
    <w:p w:rsidR="006C12E0" w:rsidRPr="004016FB" w:rsidRDefault="006C12E0" w:rsidP="006C12E0">
      <w:pPr>
        <w:pStyle w:val="NormalCenter12a"/>
      </w:pPr>
    </w:p>
    <w:p w:rsidR="006C12E0" w:rsidRPr="004016FB" w:rsidRDefault="006C12E0" w:rsidP="006C12E0">
      <w:pPr>
        <w:pStyle w:val="NormalCenter12a"/>
        <w:rPr>
          <w:b/>
        </w:rPr>
      </w:pPr>
      <w:r w:rsidRPr="004016FB">
        <w:rPr>
          <w:b/>
        </w:rPr>
        <w:t>REGULAMENTUL PARLAMENTULUI EUROPEAN ȘI AL CONSILIULUI</w:t>
      </w:r>
    </w:p>
    <w:p w:rsidR="006C12E0" w:rsidRPr="004016FB" w:rsidRDefault="006C12E0" w:rsidP="006C12E0">
      <w:pPr>
        <w:pStyle w:val="NormalCenter12a"/>
      </w:pPr>
      <w:r w:rsidRPr="004016FB">
        <w:rPr>
          <w:b/>
        </w:rPr>
        <w:t>de modificare a Regulamentului (UE) 2017/1938 în ceea ce privește rolul înmagazinării gazelor în asigurarea aprovizionării cu gaze înainte de iarnă</w:t>
      </w:r>
    </w:p>
    <w:p w:rsidR="006C12E0" w:rsidRPr="004016FB" w:rsidRDefault="006C12E0" w:rsidP="006C12E0">
      <w:pPr>
        <w:pStyle w:val="NormalCenter12a"/>
        <w:jc w:val="left"/>
      </w:pPr>
      <w:r w:rsidRPr="004016FB">
        <w:t>PARLAMENTUL EUROPEAN ȘI CONSILIUL UNIUNII EUROPENE,</w:t>
      </w:r>
    </w:p>
    <w:p w:rsidR="006C12E0" w:rsidRPr="004016FB" w:rsidRDefault="006C12E0" w:rsidP="006C12E0">
      <w:pPr>
        <w:pStyle w:val="NormalCenter12a"/>
        <w:jc w:val="left"/>
      </w:pPr>
      <w:r w:rsidRPr="004016FB">
        <w:t xml:space="preserve">având în vedere Tratatul privind funcționarea Uniunii Europene, în special articolul 194 </w:t>
      </w:r>
      <w:r w:rsidRPr="004016FB">
        <w:lastRenderedPageBreak/>
        <w:t>alineatul (2),</w:t>
      </w:r>
    </w:p>
    <w:p w:rsidR="006C12E0" w:rsidRPr="004016FB" w:rsidRDefault="006C12E0" w:rsidP="006C12E0">
      <w:pPr>
        <w:pStyle w:val="NormalCenter12a"/>
        <w:jc w:val="left"/>
      </w:pPr>
      <w:r w:rsidRPr="004016FB">
        <w:t>având în vedere propunerea Comisiei Europene,</w:t>
      </w:r>
    </w:p>
    <w:p w:rsidR="006C12E0" w:rsidRPr="004016FB" w:rsidRDefault="006C12E0" w:rsidP="006C12E0">
      <w:pPr>
        <w:pStyle w:val="NormalCenter12a"/>
        <w:jc w:val="left"/>
      </w:pPr>
      <w:r w:rsidRPr="004016FB">
        <w:t>după transmiterea proiectului de act legislativ către parlamentele naționale,</w:t>
      </w:r>
    </w:p>
    <w:p w:rsidR="006C12E0" w:rsidRPr="004016FB" w:rsidRDefault="006C12E0" w:rsidP="006C12E0">
      <w:pPr>
        <w:pStyle w:val="NormalCenter12a"/>
        <w:jc w:val="left"/>
      </w:pPr>
      <w:r w:rsidRPr="004016FB">
        <w:t>hotărând în conformitate cu procedura legislativă ordinară,</w:t>
      </w:r>
    </w:p>
    <w:p w:rsidR="006C12E0" w:rsidRPr="004016FB" w:rsidRDefault="006C12E0" w:rsidP="006C12E0">
      <w:pPr>
        <w:pStyle w:val="NormalCenter12a"/>
        <w:jc w:val="left"/>
      </w:pPr>
      <w:r w:rsidRPr="004016FB">
        <w:t>întrucât:</w:t>
      </w:r>
    </w:p>
    <w:p w:rsidR="006C12E0" w:rsidRPr="004016FB" w:rsidRDefault="006C12E0" w:rsidP="006C12E0">
      <w:pPr>
        <w:pStyle w:val="NormalHanging12a"/>
        <w:ind w:left="851" w:hanging="851"/>
      </w:pPr>
      <w:r w:rsidRPr="004016FB">
        <w:t>(1)</w:t>
      </w:r>
      <w:r w:rsidRPr="004016FB">
        <w:tab/>
        <w:t>Regulamentul (UE) 2022/1032 al Parlamentului European și al Consiliului</w:t>
      </w:r>
      <w:r w:rsidRPr="004016FB">
        <w:rPr>
          <w:vertAlign w:val="superscript"/>
        </w:rPr>
        <w:footnoteReference w:id="3"/>
      </w:r>
      <w:r w:rsidRPr="004016FB">
        <w:t xml:space="preserve"> a fost adoptat ca reacție la criza furnizării de gaze și la creșterile fără precedent ale prețurilor cauzate de escaladarea </w:t>
      </w:r>
      <w:r w:rsidRPr="004016FB">
        <w:rPr>
          <w:b/>
          <w:i/>
        </w:rPr>
        <w:t>războiului de agresiune nejustificat și neprovocat purtat de Rusia</w:t>
      </w:r>
      <w:r w:rsidRPr="004016FB">
        <w:t xml:space="preserve"> împotriva Ucrainei începând cu februarie 2022, care au impulsionat Uniunea să acționeze în mod coordonat și cuprinzător pentru a evita potențialele riscuri rezultate din noi perturbări ale furnizării de gaze.</w:t>
      </w:r>
    </w:p>
    <w:p w:rsidR="00816980" w:rsidRPr="004016FB" w:rsidRDefault="00816980" w:rsidP="00CE352C">
      <w:pPr>
        <w:pStyle w:val="NormalCenter12a"/>
        <w:ind w:left="851" w:hanging="851"/>
        <w:jc w:val="left"/>
        <w:rPr>
          <w:b/>
          <w:szCs w:val="24"/>
        </w:rPr>
      </w:pPr>
      <w:r w:rsidRPr="004016FB">
        <w:rPr>
          <w:b/>
          <w:i/>
          <w:szCs w:val="24"/>
        </w:rPr>
        <w:t>(1</w:t>
      </w:r>
      <w:r w:rsidR="001557AA" w:rsidRPr="004016FB">
        <w:rPr>
          <w:b/>
          <w:i/>
          <w:szCs w:val="24"/>
        </w:rPr>
        <w:t>a</w:t>
      </w:r>
      <w:r w:rsidRPr="004016FB">
        <w:rPr>
          <w:b/>
          <w:i/>
          <w:szCs w:val="24"/>
        </w:rPr>
        <w:t>)</w:t>
      </w:r>
      <w:r w:rsidRPr="004016FB">
        <w:rPr>
          <w:b/>
          <w:i/>
          <w:szCs w:val="24"/>
        </w:rPr>
        <w:tab/>
        <w:t xml:space="preserve">Având în vedere războiul </w:t>
      </w:r>
      <w:r w:rsidR="004B1E65" w:rsidRPr="004016FB">
        <w:rPr>
          <w:b/>
          <w:i/>
          <w:szCs w:val="24"/>
        </w:rPr>
        <w:t>în curs</w:t>
      </w:r>
      <w:r w:rsidRPr="004016FB">
        <w:rPr>
          <w:b/>
          <w:i/>
          <w:szCs w:val="24"/>
        </w:rPr>
        <w:t xml:space="preserve"> al Rusiei împotriva Ucrainei și în conformitate cu angajamentul strategic al Uniunii de a pune capăt dependenței sale de combustibilii fosili din Rusia, statele membre ar trebui să se abțină de la înmagazinarea gazelor de </w:t>
      </w:r>
      <w:r w:rsidR="00C50D7A" w:rsidRPr="004016FB">
        <w:rPr>
          <w:b/>
          <w:i/>
          <w:szCs w:val="24"/>
        </w:rPr>
        <w:t>origine</w:t>
      </w:r>
      <w:r w:rsidRPr="004016FB">
        <w:rPr>
          <w:b/>
          <w:i/>
          <w:szCs w:val="24"/>
        </w:rPr>
        <w:t xml:space="preserve"> rusă. În ace</w:t>
      </w:r>
      <w:r w:rsidR="004B1E65" w:rsidRPr="004016FB">
        <w:rPr>
          <w:b/>
          <w:i/>
          <w:szCs w:val="24"/>
        </w:rPr>
        <w:t>st</w:t>
      </w:r>
      <w:r w:rsidRPr="004016FB">
        <w:rPr>
          <w:b/>
          <w:i/>
          <w:szCs w:val="24"/>
        </w:rPr>
        <w:t xml:space="preserve"> context, Uniunea ar trebui să aplice sancțiuni coordonate și imediate privind importul și achiziți</w:t>
      </w:r>
      <w:r w:rsidR="004B1E65" w:rsidRPr="004016FB">
        <w:rPr>
          <w:b/>
          <w:i/>
          <w:szCs w:val="24"/>
        </w:rPr>
        <w:t>a</w:t>
      </w:r>
      <w:r w:rsidRPr="004016FB">
        <w:rPr>
          <w:b/>
          <w:i/>
          <w:szCs w:val="24"/>
        </w:rPr>
        <w:t xml:space="preserve"> de </w:t>
      </w:r>
      <w:r w:rsidR="004B1E65" w:rsidRPr="004016FB">
        <w:rPr>
          <w:b/>
          <w:i/>
          <w:szCs w:val="24"/>
        </w:rPr>
        <w:t xml:space="preserve">orice </w:t>
      </w:r>
      <w:r w:rsidRPr="004016FB">
        <w:rPr>
          <w:b/>
          <w:i/>
          <w:szCs w:val="24"/>
        </w:rPr>
        <w:t xml:space="preserve">gaze rusești, inclusiv de gaze naturale lichefiate (GNL). Previziunile privind </w:t>
      </w:r>
      <w:r w:rsidR="00EE054B" w:rsidRPr="004016FB">
        <w:rPr>
          <w:b/>
          <w:i/>
          <w:szCs w:val="24"/>
        </w:rPr>
        <w:t>aprovizionarea</w:t>
      </w:r>
      <w:r w:rsidRPr="004016FB">
        <w:rPr>
          <w:b/>
          <w:i/>
          <w:szCs w:val="24"/>
        </w:rPr>
        <w:t xml:space="preserve"> pe timp de iarnă pentru perioada 2024-2025 ale Rețelei europene a operatorilor de transport și de sistem de gaze naturale (ENTSO-G) confirmă că Uniunea își poate atinge obiectivele de constituire de stocuri și poate menține siguranța </w:t>
      </w:r>
      <w:r w:rsidR="00015B2B" w:rsidRPr="004016FB">
        <w:rPr>
          <w:b/>
          <w:i/>
          <w:szCs w:val="24"/>
        </w:rPr>
        <w:t>aprovizionării</w:t>
      </w:r>
      <w:r w:rsidRPr="004016FB">
        <w:rPr>
          <w:b/>
          <w:i/>
          <w:szCs w:val="24"/>
        </w:rPr>
        <w:t xml:space="preserve"> fără a se baza pe gazul rusesc, prin punerea în aplicare a unei combinații de măsuri, inclusiv reducerea continuă a cererii. Prin urmare, un embargo total asupra gazului rusesc este necesar și fezabil, iar punerea sa rapidă în aplicare ar contribui la consolidarea suveranității energetice și a rezilienței geopolitice a Uniunii.</w:t>
      </w:r>
      <w:r w:rsidR="00263A93" w:rsidRPr="004016FB">
        <w:t xml:space="preserve"> </w:t>
      </w:r>
      <w:r w:rsidR="00263A93" w:rsidRPr="004016FB">
        <w:rPr>
          <w:b/>
          <w:szCs w:val="24"/>
        </w:rPr>
        <w:t>[Am. 7]</w:t>
      </w:r>
    </w:p>
    <w:p w:rsidR="006C12E0" w:rsidRPr="004016FB" w:rsidRDefault="006C12E0" w:rsidP="006C12E0">
      <w:pPr>
        <w:pStyle w:val="NormalCenter12a"/>
        <w:ind w:left="851" w:hanging="851"/>
        <w:jc w:val="left"/>
      </w:pPr>
      <w:r w:rsidRPr="004016FB">
        <w:t>(2)</w:t>
      </w:r>
      <w:r w:rsidRPr="004016FB">
        <w:tab/>
        <w:t>Regulamentul (UE) 2022/1032 a modificat Regulamentul (UE) 2017/1938 prin introducerea unui cadru juridic temporar pentru măsuri privind nivelul de constituire de stocuri în instalațiile de înmagazinare subterană în vederea consolidării siguranței furnizării de gaze în Uniune, în special a furnizării de gaze pentru clienții protejați.</w:t>
      </w:r>
    </w:p>
    <w:p w:rsidR="006C12E0" w:rsidRPr="004016FB" w:rsidRDefault="006C12E0" w:rsidP="006C12E0">
      <w:pPr>
        <w:pStyle w:val="NormalHanging12a"/>
        <w:ind w:left="851" w:hanging="851"/>
        <w:rPr>
          <w:szCs w:val="24"/>
        </w:rPr>
      </w:pPr>
      <w:r w:rsidRPr="004016FB">
        <w:t>(3)</w:t>
      </w:r>
      <w:r w:rsidRPr="004016FB">
        <w:tab/>
        <w:t>Instalațiile de înmagazinare a gazelor asigură 30 % din consumul de gaze al Uniunii în lunile de iarnă, iar constituirea unor stocuri suficiente în instalațiile de înmagazinare subterană a gazelor</w:t>
      </w:r>
      <w:r w:rsidRPr="004016FB">
        <w:rPr>
          <w:b/>
          <w:i/>
        </w:rPr>
        <w:t>, precum și reducerea cererii de gaze</w:t>
      </w:r>
      <w:r w:rsidRPr="004016FB">
        <w:t xml:space="preserve"> contribuie în mod substanțial la siguranța furnizării de gaze, permițând furnizarea suplimentară de gaze în caz de cerere mare sau de perturbări ale furnizării.</w:t>
      </w:r>
    </w:p>
    <w:p w:rsidR="006C12E0" w:rsidRPr="004016FB" w:rsidRDefault="006C12E0" w:rsidP="006C12E0">
      <w:pPr>
        <w:pStyle w:val="NormalHanging12a"/>
        <w:ind w:left="851" w:hanging="851"/>
        <w:rPr>
          <w:szCs w:val="24"/>
        </w:rPr>
      </w:pPr>
      <w:r w:rsidRPr="004016FB">
        <w:t>(4)</w:t>
      </w:r>
      <w:r w:rsidRPr="004016FB">
        <w:tab/>
        <w:t xml:space="preserve">Stabilirea unui obiectiv obligatoriu pentru a se asigura că în instalațiile de înmagazinare a gazelor sunt constituite stocuri la un nivel de 90 % din capacitatea lor până la data de 1 noiembrie (obiectivul de constituire de stocuri), precum și a unei serii de obiective intermediare pentru fiecare stat membru în lunile februarie, mai, </w:t>
      </w:r>
      <w:r w:rsidRPr="004016FB">
        <w:lastRenderedPageBreak/>
        <w:t xml:space="preserve">iulie și septembrie ale anului următor (traiectoria de constituire de stocuri), s-a dovedit a fi fundamentală </w:t>
      </w:r>
      <w:r w:rsidRPr="004016FB">
        <w:rPr>
          <w:b/>
          <w:i/>
        </w:rPr>
        <w:t>în timpul</w:t>
      </w:r>
      <w:r w:rsidRPr="004016FB">
        <w:t xml:space="preserve"> crizei energetice declanșate de </w:t>
      </w:r>
      <w:r w:rsidRPr="004016FB">
        <w:rPr>
          <w:b/>
          <w:i/>
        </w:rPr>
        <w:t>războiul de agresiune purtat de Rusia împotriva Ucrainei</w:t>
      </w:r>
      <w:r w:rsidRPr="004016FB">
        <w:t xml:space="preserve"> și de utilizarea ca armă de către Rusia a furnizării de gaze: (i) atât în ceea ce privește atenuarea deficitelor de aprovizionare cu gaze, (ii) cât și în ceea ce privește reducerea incertitudinilor de pe piață și a volatilității prețurilor.</w:t>
      </w:r>
    </w:p>
    <w:p w:rsidR="006C12E0" w:rsidRPr="004016FB" w:rsidRDefault="006C12E0" w:rsidP="006C12E0">
      <w:pPr>
        <w:pStyle w:val="NormalHanging12a"/>
        <w:ind w:left="851" w:hanging="851"/>
        <w:rPr>
          <w:szCs w:val="24"/>
        </w:rPr>
      </w:pPr>
      <w:r w:rsidRPr="004016FB">
        <w:t>(5)</w:t>
      </w:r>
      <w:r w:rsidRPr="004016FB">
        <w:tab/>
        <w:t>În pofida îmbunătățirii substanțiale a situației pe piața gazelor naturale în comparație cu perioada 2022-2023, situația pe piața europeană a gazelor rămâne tensionată</w:t>
      </w:r>
      <w:r w:rsidRPr="004016FB">
        <w:rPr>
          <w:b/>
          <w:i/>
        </w:rPr>
        <w:t>, iar situația geopolitică rămâne neclară</w:t>
      </w:r>
      <w:r w:rsidRPr="004016FB">
        <w:t>.</w:t>
      </w:r>
      <w:r w:rsidRPr="004016FB">
        <w:rPr>
          <w:b/>
          <w:i/>
        </w:rPr>
        <w:t xml:space="preserve"> </w:t>
      </w:r>
      <w:r w:rsidRPr="004016FB">
        <w:t>O concurență mai intensă pentru aprovizionarea cu GNL la nivel mondial poate spori expunerea statelor membre la volatilitatea prețurilor. ▌Într-o astfel de situație, rolul depozitelor de gaze rămâne esențial. ▌</w:t>
      </w:r>
    </w:p>
    <w:p w:rsidR="006C12E0" w:rsidRPr="004016FB" w:rsidRDefault="006C12E0" w:rsidP="006C12E0">
      <w:pPr>
        <w:pStyle w:val="NormalCenter12a"/>
        <w:ind w:left="851" w:hanging="851"/>
        <w:jc w:val="left"/>
      </w:pPr>
      <w:r w:rsidRPr="004016FB">
        <w:t>(6)</w:t>
      </w:r>
      <w:r w:rsidRPr="004016FB">
        <w:tab/>
        <w:t>În temeiul Regulamentului (UE) 2017/1938, obligația statelor membre este de a urma o traiectorie anuală de constituire de stocuri și de a se asigura că obiectivul de constituire de stocuri este îndeplinit până la data de 1 noiembrie a fiecărui an; aceste dispoziții expiră la 31 decembrie 2025.</w:t>
      </w:r>
    </w:p>
    <w:p w:rsidR="006C12E0" w:rsidRPr="004016FB" w:rsidRDefault="006C12E0" w:rsidP="006C12E0">
      <w:pPr>
        <w:pStyle w:val="NormalHanging12a"/>
        <w:ind w:left="851" w:hanging="851"/>
        <w:rPr>
          <w:b/>
          <w:i/>
          <w:szCs w:val="24"/>
        </w:rPr>
      </w:pPr>
      <w:r w:rsidRPr="004016FB">
        <w:rPr>
          <w:b/>
          <w:i/>
        </w:rPr>
        <w:t>(6a)</w:t>
      </w:r>
      <w:r w:rsidRPr="004016FB">
        <w:rPr>
          <w:b/>
          <w:i/>
        </w:rPr>
        <w:tab/>
        <w:t xml:space="preserve">Începând cu 2022, Uniunea a reușit să asigure, în mare măsură, aprovizionarea cu gaze crescând importurile de GNL de la parteneri mondiali de încredere și își propune să renunțe complet la dependența de combustibilii fosili din Rusia, bazându-se pe progresele înregistrate de </w:t>
      </w:r>
      <w:proofErr w:type="spellStart"/>
      <w:r w:rsidRPr="004016FB">
        <w:rPr>
          <w:b/>
          <w:i/>
        </w:rPr>
        <w:t>REPowerEU</w:t>
      </w:r>
      <w:proofErr w:type="spellEnd"/>
      <w:r w:rsidRPr="004016FB">
        <w:rPr>
          <w:b/>
          <w:i/>
        </w:rPr>
        <w:t xml:space="preserve">. Uniunea a construit noi instalații de regazeificare și terminale portuare, dezvoltând, în același timp, o piață a gazelor lichefiate care asigură o reziliență puternică la eventualele perturbări ale aprovizionării prin </w:t>
      </w:r>
      <w:proofErr w:type="spellStart"/>
      <w:r w:rsidRPr="004016FB">
        <w:rPr>
          <w:b/>
          <w:i/>
        </w:rPr>
        <w:t>gazoductele</w:t>
      </w:r>
      <w:proofErr w:type="spellEnd"/>
      <w:r w:rsidRPr="004016FB">
        <w:rPr>
          <w:b/>
          <w:i/>
        </w:rPr>
        <w:t xml:space="preserve"> rusești rămase.</w:t>
      </w:r>
    </w:p>
    <w:p w:rsidR="006C12E0" w:rsidRPr="004016FB" w:rsidRDefault="006C12E0" w:rsidP="006C12E0">
      <w:pPr>
        <w:pStyle w:val="NormalHanging12a"/>
        <w:ind w:left="851" w:hanging="851"/>
        <w:rPr>
          <w:b/>
          <w:i/>
          <w:szCs w:val="24"/>
        </w:rPr>
      </w:pPr>
      <w:r w:rsidRPr="004016FB">
        <w:rPr>
          <w:b/>
          <w:i/>
        </w:rPr>
        <w:t>(6b)</w:t>
      </w:r>
      <w:r w:rsidRPr="004016FB">
        <w:rPr>
          <w:b/>
          <w:i/>
        </w:rPr>
        <w:tab/>
        <w:t>Trebuie să se țină seama de schimbarea mediului politic la nivel mondial în ceea ce privește gradul de încredere al furnizorilor de gaze și al țărilor furnizoare de gaze.</w:t>
      </w:r>
    </w:p>
    <w:p w:rsidR="006C12E0" w:rsidRPr="004016FB" w:rsidRDefault="006C12E0" w:rsidP="006C12E0">
      <w:pPr>
        <w:pStyle w:val="NormalHanging12a"/>
        <w:ind w:left="851" w:hanging="851"/>
        <w:rPr>
          <w:szCs w:val="24"/>
        </w:rPr>
      </w:pPr>
      <w:r w:rsidRPr="004016FB">
        <w:t>(7)</w:t>
      </w:r>
      <w:r w:rsidRPr="004016FB">
        <w:tab/>
      </w:r>
      <w:r w:rsidRPr="004016FB">
        <w:rPr>
          <w:b/>
          <w:i/>
        </w:rPr>
        <w:t>Având în vedere că Uniunea a reușit să reducă riscurile legate de structura sa de importuri de gaze</w:t>
      </w:r>
      <w:r w:rsidRPr="004016FB">
        <w:t xml:space="preserve">, cadrul general stabilit pentru </w:t>
      </w:r>
      <w:r w:rsidRPr="004016FB">
        <w:rPr>
          <w:b/>
          <w:i/>
        </w:rPr>
        <w:t>satisfacerea nevoilor de gaze naturale ale UE trebuie să asigure un echilibru între securitatea energetică și revenirea la principiile bazate pe piață. Astfel, acesta</w:t>
      </w:r>
      <w:r w:rsidRPr="004016FB">
        <w:t xml:space="preserve"> trebuie să fie suficient de flexibil în timpul sezonului de constituire a stocurilor pentru a permite o reacție rapidă la condițiile de piață în continuă schimbare și, în special, pentru a profita de cele mai bune condiții de achiziție</w:t>
      </w:r>
      <w:r w:rsidRPr="004016FB">
        <w:rPr>
          <w:b/>
          <w:i/>
        </w:rPr>
        <w:t>, scopul fiind de a reduce prețurile gazelor în Europa</w:t>
      </w:r>
      <w:r w:rsidRPr="004016FB">
        <w:t xml:space="preserve">. </w:t>
      </w:r>
      <w:r w:rsidRPr="004016FB">
        <w:rPr>
          <w:b/>
          <w:i/>
        </w:rPr>
        <w:t>Prin urmare, obiectivul de constituire de stocuri ar trebui redus la 83 %.</w:t>
      </w:r>
    </w:p>
    <w:p w:rsidR="006C12E0" w:rsidRPr="004016FB" w:rsidRDefault="006C12E0" w:rsidP="006C12E0">
      <w:pPr>
        <w:pStyle w:val="NormalHanging12a"/>
        <w:ind w:left="851" w:hanging="851"/>
        <w:rPr>
          <w:szCs w:val="24"/>
        </w:rPr>
      </w:pPr>
      <w:r w:rsidRPr="004016FB">
        <w:t>(8)</w:t>
      </w:r>
      <w:r w:rsidRPr="004016FB">
        <w:tab/>
      </w:r>
      <w:r w:rsidRPr="004016FB">
        <w:rPr>
          <w:b/>
          <w:i/>
        </w:rPr>
        <w:t>Pentru a crește stabilitatea pieței și a atenua riscul de volatilitate nejustificată a prețurilor, care ar putea fi declanșată de obiectivele</w:t>
      </w:r>
      <w:r w:rsidRPr="004016FB">
        <w:t xml:space="preserve"> intermediare de constituire de stocuri, </w:t>
      </w:r>
      <w:r w:rsidRPr="004016FB">
        <w:rPr>
          <w:b/>
          <w:i/>
        </w:rPr>
        <w:t>este oportun să se asigure o flexibilitate sporită pentru constituirea de stocuri.</w:t>
      </w:r>
      <w:r w:rsidRPr="004016FB">
        <w:t xml:space="preserve"> </w:t>
      </w:r>
      <w:r w:rsidRPr="004016FB">
        <w:rPr>
          <w:b/>
          <w:i/>
        </w:rPr>
        <w:t>Prin urmare,</w:t>
      </w:r>
      <w:r w:rsidRPr="004016FB">
        <w:t xml:space="preserve"> statele membre </w:t>
      </w:r>
      <w:r w:rsidRPr="004016FB">
        <w:rPr>
          <w:b/>
          <w:i/>
        </w:rPr>
        <w:t>ar trebui să furnizeze anual planuri orientative de constituire de stocuri care ar putea include, după caz, o traiectorie orientativă de constituire de stocuri</w:t>
      </w:r>
      <w:r w:rsidRPr="004016FB">
        <w:t xml:space="preserve"> și ar trebui să permită constituirea de stocuri în așa fel încât să existe o flexibilitate suficientă pentru participanții la piață pe tot parcursul anului, </w:t>
      </w:r>
      <w:r w:rsidRPr="004016FB">
        <w:rPr>
          <w:b/>
          <w:i/>
        </w:rPr>
        <w:t>având în vedere</w:t>
      </w:r>
      <w:r w:rsidRPr="004016FB">
        <w:t xml:space="preserve"> Recomandarea </w:t>
      </w:r>
      <w:r w:rsidRPr="004016FB">
        <w:rPr>
          <w:b/>
          <w:i/>
        </w:rPr>
        <w:t>(2025)1481</w:t>
      </w:r>
      <w:r w:rsidRPr="004016FB">
        <w:t>.</w:t>
      </w:r>
    </w:p>
    <w:p w:rsidR="006C12E0" w:rsidRPr="004016FB" w:rsidRDefault="006C12E0" w:rsidP="006C12E0">
      <w:pPr>
        <w:pStyle w:val="NormalHanging12a"/>
        <w:ind w:left="851" w:hanging="851"/>
        <w:rPr>
          <w:b/>
          <w:i/>
          <w:szCs w:val="24"/>
        </w:rPr>
      </w:pPr>
      <w:r w:rsidRPr="004016FB">
        <w:rPr>
          <w:b/>
          <w:i/>
        </w:rPr>
        <w:t>(8a)</w:t>
      </w:r>
      <w:r w:rsidRPr="004016FB">
        <w:rPr>
          <w:b/>
          <w:i/>
        </w:rPr>
        <w:tab/>
        <w:t xml:space="preserve">Statele membre ar trebui să aibă posibilitatea de a se abate cu până la patru puncte procentuale de la obiectivul de constituire de stocuri în cazul unor condiții de piață </w:t>
      </w:r>
      <w:r w:rsidRPr="004016FB">
        <w:rPr>
          <w:b/>
          <w:i/>
        </w:rPr>
        <w:lastRenderedPageBreak/>
        <w:t>nefavorabile, legate, printre altele, de factori precum cererea și oferta și concurența, sau în cazul unor activități comerciale care împiedică constituirea de stocuri eficiente din punctul de vedere al costurilor, care limitează semnificativ capacitatea de a garanta constituirea de stocuri de gaze în conformitate cu prezentul regulament.</w:t>
      </w:r>
    </w:p>
    <w:p w:rsidR="006C12E0" w:rsidRPr="004016FB" w:rsidRDefault="006C12E0" w:rsidP="006C12E0">
      <w:pPr>
        <w:pStyle w:val="NormalHanging12a"/>
        <w:ind w:left="851" w:hanging="851"/>
        <w:rPr>
          <w:b/>
          <w:i/>
          <w:szCs w:val="24"/>
        </w:rPr>
      </w:pPr>
      <w:r w:rsidRPr="004016FB">
        <w:rPr>
          <w:b/>
          <w:i/>
        </w:rPr>
        <w:t>(8b)</w:t>
      </w:r>
      <w:r w:rsidRPr="004016FB">
        <w:rPr>
          <w:b/>
          <w:i/>
        </w:rPr>
        <w:tab/>
        <w:t>În plus, Comisia ar trebui să fie împuternicită să adopte acte delegate pentru a modifica, pentru un sezon de constituire a stocurilor, abaterea permisă de patru puncte procentuale, majorând-o cu până la încă patru puncte procentuale, în cazul unor condiții de piață nefavorabile persistente.</w:t>
      </w:r>
    </w:p>
    <w:p w:rsidR="006C12E0" w:rsidRPr="004016FB" w:rsidRDefault="006C12E0" w:rsidP="006C12E0">
      <w:pPr>
        <w:pStyle w:val="NormalHanging12a"/>
        <w:ind w:left="851" w:hanging="851"/>
        <w:rPr>
          <w:b/>
          <w:i/>
          <w:szCs w:val="24"/>
        </w:rPr>
      </w:pPr>
      <w:r w:rsidRPr="004016FB">
        <w:rPr>
          <w:b/>
          <w:i/>
        </w:rPr>
        <w:t>(8c)</w:t>
      </w:r>
      <w:r w:rsidRPr="004016FB">
        <w:rPr>
          <w:b/>
          <w:i/>
        </w:rPr>
        <w:tab/>
        <w:t xml:space="preserve">Efectele cumulative ale </w:t>
      </w:r>
      <w:proofErr w:type="spellStart"/>
      <w:r w:rsidRPr="004016FB">
        <w:rPr>
          <w:b/>
          <w:i/>
        </w:rPr>
        <w:t>flexibilităților</w:t>
      </w:r>
      <w:proofErr w:type="spellEnd"/>
      <w:r w:rsidRPr="004016FB">
        <w:rPr>
          <w:b/>
          <w:i/>
        </w:rPr>
        <w:t xml:space="preserve"> și derogărilor prevăzute în prezentul regulament nu ar trebui să reducă obligațiile globale de constituire a stocurilor sub 75 %.</w:t>
      </w:r>
    </w:p>
    <w:p w:rsidR="006C12E0" w:rsidRPr="004016FB" w:rsidRDefault="006C12E0" w:rsidP="006C12E0">
      <w:pPr>
        <w:pStyle w:val="NormalHanging12a"/>
        <w:ind w:left="851" w:hanging="851"/>
        <w:rPr>
          <w:szCs w:val="24"/>
        </w:rPr>
      </w:pPr>
      <w:r w:rsidRPr="004016FB">
        <w:t>(9)</w:t>
      </w:r>
      <w:r w:rsidRPr="004016FB">
        <w:tab/>
        <w:t xml:space="preserve">Evaluarea de către Comisie a cadrului actual de securitate energetică a confirmat impactul pozitiv al cerințelor privind constituirea de stocuri asupra siguranței furnizării de gaze, iar aceste efecte pozitive ar trebui menținute și după 2025. </w:t>
      </w:r>
      <w:r w:rsidRPr="004016FB">
        <w:rPr>
          <w:b/>
          <w:i/>
        </w:rPr>
        <w:t>Prelungirea acestor măsuri nu numai că ar contribui la menținerea securității aprovizionării, ci ar constitui, de asemenea, un instrument-cheie în eforturile Uniunii de a elimina dependența sa de importurile de gaze provenind din Federația Rusă.</w:t>
      </w:r>
    </w:p>
    <w:p w:rsidR="006C12E0" w:rsidRPr="004016FB" w:rsidRDefault="006C12E0" w:rsidP="006C12E0">
      <w:pPr>
        <w:pStyle w:val="NormalHanging12a"/>
        <w:ind w:left="851" w:hanging="851"/>
        <w:rPr>
          <w:b/>
          <w:i/>
          <w:szCs w:val="24"/>
        </w:rPr>
      </w:pPr>
      <w:r w:rsidRPr="004016FB">
        <w:rPr>
          <w:b/>
          <w:i/>
        </w:rPr>
        <w:t>(9a)</w:t>
      </w:r>
      <w:r w:rsidRPr="004016FB">
        <w:rPr>
          <w:b/>
          <w:i/>
        </w:rPr>
        <w:tab/>
        <w:t>În același timp, prezentul regulament ar trebui să răspundă schimbărilor actuale și viitoare de pe piețele gazelor naturale și să contribuie la obiectivul strategic de reducere a prețurilor la energie, facilitând revenirea treptată la mecanismele bazate pe piață pentru reconstituirea stocurilor în instalațiile de înmagazinare.</w:t>
      </w:r>
    </w:p>
    <w:p w:rsidR="006C12E0" w:rsidRPr="004016FB" w:rsidRDefault="006C12E0" w:rsidP="006C12E0">
      <w:pPr>
        <w:pStyle w:val="NormalHanging12a"/>
        <w:ind w:left="851" w:hanging="851"/>
        <w:rPr>
          <w:b/>
          <w:i/>
          <w:szCs w:val="24"/>
        </w:rPr>
      </w:pPr>
      <w:r w:rsidRPr="004016FB">
        <w:rPr>
          <w:b/>
          <w:i/>
        </w:rPr>
        <w:t>(9b)</w:t>
      </w:r>
      <w:r w:rsidRPr="004016FB">
        <w:rPr>
          <w:b/>
          <w:i/>
        </w:rPr>
        <w:tab/>
        <w:t>Pentru a menține securitatea aprovizionării și nivelul adecvat de constituire de stocuri, Comisia ar trebui să monitorizeze în permanență piața și să caute modalități care ar putea să contribuie la atingerea obiectivului de constituire de stocuri, de exemplu utilizând mecanisme de agregare a cererii și de achiziționare în comun.</w:t>
      </w:r>
    </w:p>
    <w:p w:rsidR="006C12E0" w:rsidRPr="004016FB" w:rsidRDefault="006C12E0" w:rsidP="006C12E0">
      <w:pPr>
        <w:pStyle w:val="NormalHanging12a"/>
        <w:ind w:left="851" w:hanging="851"/>
        <w:rPr>
          <w:szCs w:val="24"/>
        </w:rPr>
      </w:pPr>
      <w:r w:rsidRPr="004016FB">
        <w:t>(10)</w:t>
      </w:r>
      <w:r w:rsidRPr="004016FB">
        <w:tab/>
        <w:t>Prin urmare, este necesară o prelungire cu doi ani a dispozițiilor relevante privind constituirea de stocuri de gaze, care oferă previzibilitate și transparență în ceea ce privește utilizarea instalațiilor de înmagazinare a gazelor în întreaga Uniune</w:t>
      </w:r>
      <w:r w:rsidRPr="004016FB">
        <w:rPr>
          <w:b/>
          <w:i/>
        </w:rPr>
        <w:t>, introducând în același timp o anumită flexibilitate în prezentul regulament</w:t>
      </w:r>
      <w:r w:rsidRPr="004016FB">
        <w:t>.</w:t>
      </w:r>
    </w:p>
    <w:p w:rsidR="006C12E0" w:rsidRPr="004016FB" w:rsidRDefault="006C12E0" w:rsidP="006C12E0">
      <w:pPr>
        <w:pStyle w:val="NormalHanging12a"/>
        <w:ind w:left="851" w:hanging="851"/>
        <w:rPr>
          <w:b/>
          <w:i/>
          <w:szCs w:val="24"/>
        </w:rPr>
      </w:pPr>
      <w:r w:rsidRPr="004016FB">
        <w:rPr>
          <w:b/>
          <w:i/>
        </w:rPr>
        <w:t>(10a)</w:t>
      </w:r>
      <w:r w:rsidRPr="004016FB">
        <w:rPr>
          <w:b/>
          <w:i/>
        </w:rPr>
        <w:tab/>
        <w:t>În conformitate cu angajamentul Comisiei privind o mai bună legiferare și simplificare și reflectând îmbunătățirea generală a cadrului de securitate energetică al Uniunii, ar trebui să se acorde o mai mare încredere capacităților administrative ale statelor membre de a monitoriza respectarea prezentului regulament. Sarcina de supraveghere a Comisiei ar trebui redusă în consecință, prin reducerea obligațiilor de raportare și simplificarea procedurilor. Această abordare consolidează principiul subsidiarității, evită complexitatea administrativă inutilă și este în concordanță cu eforturile de simplificare ale Comisiei, astfel cum sunt prezentate în programul său de lucru pentru 2025.</w:t>
      </w:r>
    </w:p>
    <w:p w:rsidR="006C12E0" w:rsidRPr="004016FB" w:rsidRDefault="006C12E0" w:rsidP="006C12E0">
      <w:pPr>
        <w:pStyle w:val="NormalHanging12a"/>
        <w:ind w:left="851" w:hanging="851"/>
        <w:rPr>
          <w:b/>
          <w:i/>
          <w:szCs w:val="24"/>
        </w:rPr>
      </w:pPr>
      <w:r w:rsidRPr="004016FB">
        <w:rPr>
          <w:b/>
          <w:i/>
        </w:rPr>
        <w:t>(10b)</w:t>
      </w:r>
      <w:r w:rsidRPr="004016FB">
        <w:rPr>
          <w:b/>
          <w:i/>
        </w:rPr>
        <w:tab/>
        <w:t xml:space="preserve">Regulamentul (UE) 2017/1938 ar trebui revizuit de Comisie în timp util și înainte de 2027 pentru a fi adaptat la evoluția peisajului energetic și pentru a reflecta </w:t>
      </w:r>
      <w:r w:rsidRPr="004016FB">
        <w:rPr>
          <w:b/>
          <w:i/>
        </w:rPr>
        <w:lastRenderedPageBreak/>
        <w:t>nevoile viitoare de înmagazinare a gazelor. Eventualele modificări ar trebui să abordeze, printre alte aspecte, limitările definiției actuale a termenului de „clienți protejați”, prevenirea speculațiilor pe piețele gazelor și a activităților speculative care cresc în mod artificial prețurile, rolul măsurilor de eficiență energetică care conduc la o reducere verificabilă a cererii de gaze și modul în care acest lucru ar putea fi utilizat pentru mai multă flexibilitate de către statele membre și ar trebui să ia în considerare cadrul în contextul unui mix energetic în continuă evoluție, în care sursele alternative la gaze, precum sursele de energie regenerabile și hidrogenul, împreună cu rolul eficienței energetice, vor juca un rol mai important.</w:t>
      </w:r>
    </w:p>
    <w:p w:rsidR="006C12E0" w:rsidRPr="004016FB" w:rsidRDefault="006C12E0" w:rsidP="006C12E0">
      <w:pPr>
        <w:pStyle w:val="NormalCenter12a"/>
        <w:ind w:left="851" w:hanging="851"/>
        <w:jc w:val="left"/>
      </w:pPr>
      <w:r w:rsidRPr="004016FB">
        <w:t>(11)</w:t>
      </w:r>
      <w:r w:rsidRPr="004016FB">
        <w:tab/>
        <w:t>Prin urmare, Regulamentul (UE) 2017/1938 trebuie modificat în consecință,</w:t>
      </w:r>
    </w:p>
    <w:p w:rsidR="006C12E0" w:rsidRPr="004016FB" w:rsidRDefault="006C12E0" w:rsidP="006C12E0">
      <w:pPr>
        <w:pStyle w:val="NormalCenter12a"/>
        <w:jc w:val="left"/>
      </w:pPr>
      <w:r w:rsidRPr="004016FB">
        <w:t>ADOPTĂ PREZENTUL REGULAMENT:</w:t>
      </w:r>
    </w:p>
    <w:p w:rsidR="006C12E0" w:rsidRPr="004016FB" w:rsidRDefault="006C12E0" w:rsidP="006C12E0">
      <w:pPr>
        <w:pStyle w:val="Titrearticle"/>
        <w:rPr>
          <w:noProof/>
        </w:rPr>
      </w:pPr>
      <w:r w:rsidRPr="004016FB">
        <w:t>Articolul 1</w:t>
      </w:r>
    </w:p>
    <w:p w:rsidR="006C12E0" w:rsidRPr="004016FB" w:rsidRDefault="006C12E0" w:rsidP="006C12E0">
      <w:pPr>
        <w:jc w:val="center"/>
        <w:rPr>
          <w:b/>
          <w:bCs/>
          <w:noProof/>
        </w:rPr>
      </w:pPr>
      <w:r w:rsidRPr="004016FB">
        <w:rPr>
          <w:b/>
        </w:rPr>
        <w:t>Modificarea Regulamentului (UE) 2017/1938</w:t>
      </w:r>
    </w:p>
    <w:p w:rsidR="006C12E0" w:rsidRPr="004016FB" w:rsidRDefault="006C12E0" w:rsidP="006C12E0">
      <w:pPr>
        <w:rPr>
          <w:noProof/>
        </w:rPr>
      </w:pPr>
    </w:p>
    <w:p w:rsidR="006C12E0" w:rsidRPr="004016FB" w:rsidRDefault="006C12E0" w:rsidP="006C12E0">
      <w:pPr>
        <w:pStyle w:val="NormalHanging12a"/>
        <w:rPr>
          <w:szCs w:val="24"/>
        </w:rPr>
      </w:pPr>
      <w:r w:rsidRPr="004016FB">
        <w:t xml:space="preserve">▌Regulamentul (UE) 2017/1938 </w:t>
      </w:r>
      <w:r w:rsidRPr="004016FB">
        <w:rPr>
          <w:b/>
          <w:i/>
        </w:rPr>
        <w:t>se modifică după cum urmează</w:t>
      </w:r>
      <w:r w:rsidRPr="004016FB">
        <w:t>:</w:t>
      </w:r>
    </w:p>
    <w:p w:rsidR="006C12E0" w:rsidRPr="004016FB" w:rsidRDefault="006C12E0" w:rsidP="006C12E0">
      <w:pPr>
        <w:pStyle w:val="NormalHanging12a"/>
        <w:ind w:left="851" w:hanging="851"/>
        <w:rPr>
          <w:b/>
          <w:i/>
          <w:szCs w:val="24"/>
        </w:rPr>
      </w:pPr>
      <w:r w:rsidRPr="004016FB">
        <w:rPr>
          <w:b/>
          <w:i/>
        </w:rPr>
        <w:t>1</w:t>
      </w:r>
      <w:r w:rsidR="00A0445D" w:rsidRPr="004016FB">
        <w:rPr>
          <w:b/>
          <w:i/>
        </w:rPr>
        <w:t>.</w:t>
      </w:r>
      <w:r w:rsidRPr="004016FB">
        <w:rPr>
          <w:b/>
          <w:i/>
        </w:rPr>
        <w:tab/>
      </w:r>
      <w:r w:rsidR="006D619C" w:rsidRPr="004016FB">
        <w:rPr>
          <w:b/>
          <w:i/>
        </w:rPr>
        <w:t>L</w:t>
      </w:r>
      <w:r w:rsidRPr="004016FB">
        <w:rPr>
          <w:b/>
          <w:i/>
        </w:rPr>
        <w:t>a articolul 2, punctul 27 se elimină</w:t>
      </w:r>
      <w:r w:rsidR="006D619C" w:rsidRPr="004016FB">
        <w:rPr>
          <w:b/>
          <w:i/>
        </w:rPr>
        <w:t>.</w:t>
      </w:r>
    </w:p>
    <w:p w:rsidR="006C12E0" w:rsidRPr="004016FB" w:rsidRDefault="006C12E0" w:rsidP="006C12E0">
      <w:pPr>
        <w:pStyle w:val="NormalHanging12a"/>
        <w:ind w:left="851" w:hanging="851"/>
        <w:rPr>
          <w:b/>
          <w:i/>
          <w:szCs w:val="24"/>
        </w:rPr>
      </w:pPr>
      <w:r w:rsidRPr="004016FB">
        <w:rPr>
          <w:b/>
          <w:i/>
        </w:rPr>
        <w:t>2</w:t>
      </w:r>
      <w:r w:rsidR="00A0445D" w:rsidRPr="004016FB">
        <w:rPr>
          <w:b/>
          <w:i/>
        </w:rPr>
        <w:t>.</w:t>
      </w:r>
      <w:r w:rsidRPr="004016FB">
        <w:rPr>
          <w:b/>
          <w:i/>
        </w:rPr>
        <w:tab/>
      </w:r>
      <w:r w:rsidR="006D619C" w:rsidRPr="004016FB">
        <w:rPr>
          <w:b/>
          <w:i/>
        </w:rPr>
        <w:t>A</w:t>
      </w:r>
      <w:r w:rsidRPr="004016FB">
        <w:rPr>
          <w:b/>
          <w:i/>
        </w:rPr>
        <w:t>rticolul 6a se modifică după cum urmează:</w:t>
      </w:r>
    </w:p>
    <w:p w:rsidR="006C12E0" w:rsidRPr="004016FB" w:rsidRDefault="006C12E0" w:rsidP="006C12E0">
      <w:pPr>
        <w:pStyle w:val="NormalHanging12a"/>
        <w:ind w:left="1418"/>
        <w:rPr>
          <w:b/>
          <w:i/>
        </w:rPr>
      </w:pPr>
      <w:r w:rsidRPr="004016FB">
        <w:rPr>
          <w:b/>
          <w:i/>
        </w:rPr>
        <w:t>(a)</w:t>
      </w:r>
      <w:r w:rsidRPr="004016FB">
        <w:rPr>
          <w:b/>
          <w:i/>
        </w:rPr>
        <w:tab/>
        <w:t>titlul se înlocuiește cu următorul text: „Obiectivul de constituire de stocuri”;</w:t>
      </w:r>
    </w:p>
    <w:p w:rsidR="006C12E0" w:rsidRPr="004016FB" w:rsidRDefault="006C12E0" w:rsidP="006C12E0">
      <w:pPr>
        <w:pStyle w:val="NormalHanging12a"/>
        <w:ind w:left="1418"/>
        <w:rPr>
          <w:b/>
          <w:i/>
        </w:rPr>
      </w:pPr>
      <w:r w:rsidRPr="004016FB">
        <w:rPr>
          <w:b/>
          <w:i/>
        </w:rPr>
        <w:t>(b)</w:t>
      </w:r>
      <w:r w:rsidRPr="004016FB">
        <w:rPr>
          <w:b/>
          <w:i/>
        </w:rPr>
        <w:tab/>
        <w:t>la alineatul (1), primul paragraf se înlocuiește cu următorul text:</w:t>
      </w:r>
    </w:p>
    <w:p w:rsidR="006C12E0" w:rsidRPr="004016FB" w:rsidRDefault="006C12E0" w:rsidP="006C12E0">
      <w:pPr>
        <w:pStyle w:val="NormalHanging12a"/>
        <w:ind w:left="1985"/>
        <w:rPr>
          <w:szCs w:val="24"/>
        </w:rPr>
      </w:pPr>
      <w:r w:rsidRPr="004016FB">
        <w:rPr>
          <w:b/>
          <w:i/>
        </w:rPr>
        <w:t>„</w:t>
      </w:r>
      <w:r w:rsidR="00B337B3" w:rsidRPr="004016FB">
        <w:rPr>
          <w:b/>
          <w:i/>
        </w:rPr>
        <w:t>(</w:t>
      </w:r>
      <w:r w:rsidRPr="004016FB">
        <w:rPr>
          <w:b/>
          <w:i/>
        </w:rPr>
        <w:t>1</w:t>
      </w:r>
      <w:r w:rsidR="00B337B3" w:rsidRPr="004016FB">
        <w:rPr>
          <w:b/>
          <w:i/>
        </w:rPr>
        <w:t>)</w:t>
      </w:r>
      <w:r w:rsidRPr="004016FB">
        <w:rPr>
          <w:b/>
          <w:i/>
        </w:rPr>
        <w:tab/>
        <w:t xml:space="preserve">Sub rezerva alineatelor (2)-(5), statele membre se asigură că obiectivul de constituire de stocuri de 83 % pentru capacitatea agregată a tuturor instalațiilor de înmagazinare subterană a gazelor care sunt situate pe teritoriul lor și care sunt direct interconectate la o zonă de piață de pe teritoriul lor și pentru instalațiile de înmagazinare menționate </w:t>
      </w:r>
      <w:r w:rsidR="00A64380" w:rsidRPr="004016FB">
        <w:rPr>
          <w:b/>
          <w:i/>
        </w:rPr>
        <w:t>în</w:t>
      </w:r>
      <w:r w:rsidRPr="004016FB">
        <w:rPr>
          <w:b/>
          <w:i/>
        </w:rPr>
        <w:t xml:space="preserve"> anexa </w:t>
      </w:r>
      <w:proofErr w:type="spellStart"/>
      <w:r w:rsidRPr="004016FB">
        <w:rPr>
          <w:b/>
          <w:i/>
        </w:rPr>
        <w:t>Ib</w:t>
      </w:r>
      <w:proofErr w:type="spellEnd"/>
      <w:r w:rsidRPr="004016FB">
        <w:rPr>
          <w:b/>
          <w:i/>
        </w:rPr>
        <w:t xml:space="preserve"> este atins în orice moment între 1 octombrie și 1 decembrie ale fiecărui an.”;</w:t>
      </w:r>
    </w:p>
    <w:p w:rsidR="006D619C" w:rsidRPr="004016FB" w:rsidRDefault="006D619C" w:rsidP="004016FB">
      <w:pPr>
        <w:pStyle w:val="Normal12a"/>
        <w:ind w:left="1418" w:hanging="567"/>
        <w:rPr>
          <w:b/>
          <w:i/>
        </w:rPr>
      </w:pPr>
      <w:r w:rsidRPr="004016FB">
        <w:rPr>
          <w:b/>
          <w:i/>
        </w:rPr>
        <w:t>(</w:t>
      </w:r>
      <w:r w:rsidR="00CE352C" w:rsidRPr="004016FB">
        <w:rPr>
          <w:b/>
          <w:i/>
        </w:rPr>
        <w:t>c</w:t>
      </w:r>
      <w:r w:rsidRPr="004016FB">
        <w:rPr>
          <w:b/>
          <w:i/>
        </w:rPr>
        <w:t>)</w:t>
      </w:r>
      <w:r w:rsidRPr="004016FB">
        <w:rPr>
          <w:b/>
          <w:i/>
        </w:rPr>
        <w:tab/>
        <w:t>alineatul (2) se înlocuiește cu următorul text:</w:t>
      </w:r>
    </w:p>
    <w:p w:rsidR="006D619C" w:rsidRPr="004016FB" w:rsidRDefault="006D619C" w:rsidP="004016FB">
      <w:pPr>
        <w:pStyle w:val="Normal12a"/>
        <w:ind w:left="1985" w:hanging="567"/>
        <w:rPr>
          <w:b/>
          <w:i/>
        </w:rPr>
      </w:pPr>
      <w:r w:rsidRPr="004016FB">
        <w:rPr>
          <w:b/>
          <w:i/>
        </w:rPr>
        <w:t>„(2)</w:t>
      </w:r>
      <w:r w:rsidRPr="004016FB">
        <w:rPr>
          <w:b/>
          <w:i/>
        </w:rPr>
        <w:tab/>
        <w:t>În pofida alineatului (1) și fără a aduce atingere obligațiilor altor state membre în ceea ce privește constituirea de stocuri în instalațiile în cauză de înmagazinare subterană a gazelor, obiectivul de constituire de stocuri pentru fiecare stat membru în care sunt situate instalațiile de înmagazinare subterană a gazelor este redus la un volum corespunzând unui nivel de 32,28</w:t>
      </w:r>
      <w:r w:rsidR="00A32310" w:rsidRPr="004016FB">
        <w:rPr>
          <w:b/>
          <w:i/>
        </w:rPr>
        <w:t> </w:t>
      </w:r>
      <w:r w:rsidRPr="004016FB">
        <w:rPr>
          <w:b/>
          <w:i/>
        </w:rPr>
        <w:t>% din consumul mediu anual de gaze din perioada precedentă de cinci ani pentru statul membru respectiv.”;</w:t>
      </w:r>
    </w:p>
    <w:p w:rsidR="006D619C" w:rsidRPr="004016FB" w:rsidRDefault="006D619C" w:rsidP="006C12E0">
      <w:pPr>
        <w:pStyle w:val="NormalHanging12a"/>
        <w:ind w:left="1418"/>
        <w:rPr>
          <w:b/>
          <w:i/>
        </w:rPr>
      </w:pPr>
    </w:p>
    <w:p w:rsidR="006C12E0" w:rsidRPr="004016FB" w:rsidRDefault="006C12E0" w:rsidP="006C12E0">
      <w:pPr>
        <w:pStyle w:val="NormalHanging12a"/>
        <w:ind w:left="1418"/>
        <w:rPr>
          <w:b/>
          <w:i/>
        </w:rPr>
      </w:pPr>
      <w:r w:rsidRPr="004016FB">
        <w:rPr>
          <w:b/>
          <w:i/>
        </w:rPr>
        <w:t>(</w:t>
      </w:r>
      <w:r w:rsidR="00CE352C" w:rsidRPr="004016FB">
        <w:rPr>
          <w:b/>
          <w:i/>
        </w:rPr>
        <w:t>d</w:t>
      </w:r>
      <w:r w:rsidRPr="004016FB">
        <w:rPr>
          <w:b/>
          <w:i/>
        </w:rPr>
        <w:t>)</w:t>
      </w:r>
      <w:r w:rsidRPr="004016FB">
        <w:rPr>
          <w:b/>
          <w:i/>
        </w:rPr>
        <w:tab/>
        <w:t>se introduc următoarele alineate:</w:t>
      </w:r>
    </w:p>
    <w:p w:rsidR="006C12E0" w:rsidRPr="004016FB" w:rsidRDefault="006C12E0" w:rsidP="006C12E0">
      <w:pPr>
        <w:pStyle w:val="NormalHanging12a"/>
        <w:ind w:left="1985"/>
        <w:rPr>
          <w:b/>
          <w:i/>
          <w:szCs w:val="24"/>
        </w:rPr>
      </w:pPr>
      <w:r w:rsidRPr="004016FB">
        <w:rPr>
          <w:b/>
          <w:i/>
        </w:rPr>
        <w:t>„</w:t>
      </w:r>
      <w:r w:rsidR="0076286E" w:rsidRPr="004016FB">
        <w:rPr>
          <w:b/>
          <w:i/>
        </w:rPr>
        <w:t>(</w:t>
      </w:r>
      <w:r w:rsidRPr="004016FB">
        <w:rPr>
          <w:b/>
          <w:i/>
        </w:rPr>
        <w:t>5a</w:t>
      </w:r>
      <w:r w:rsidR="0076286E" w:rsidRPr="004016FB">
        <w:rPr>
          <w:b/>
          <w:i/>
        </w:rPr>
        <w:t>)</w:t>
      </w:r>
      <w:r w:rsidRPr="004016FB">
        <w:rPr>
          <w:b/>
          <w:i/>
        </w:rPr>
        <w:t xml:space="preserve"> </w:t>
      </w:r>
      <w:r w:rsidRPr="004016FB">
        <w:rPr>
          <w:b/>
          <w:i/>
        </w:rPr>
        <w:tab/>
        <w:t xml:space="preserve">Fără a aduce atingere alineatului (1) și în pofida obligației altor state </w:t>
      </w:r>
      <w:r w:rsidRPr="004016FB">
        <w:rPr>
          <w:b/>
          <w:i/>
        </w:rPr>
        <w:lastRenderedPageBreak/>
        <w:t>membre de a constitui stocuri în instalațiile de înmagazinare subterană a gazelor în cauză, statele membre pot decide să se abată cu până la patru puncte procentuale de la obiectivul de constituire de stocuri stabilit la alineatul (1) pentru fiecare stat membru în cazul în care condițiile de piață sunt nefavorabile pentru constituirea de stocuri în instalațiile de înmagazinare subterană a gazelor.</w:t>
      </w:r>
    </w:p>
    <w:p w:rsidR="006C12E0" w:rsidRPr="004016FB" w:rsidRDefault="00F60765" w:rsidP="006C12E0">
      <w:pPr>
        <w:pStyle w:val="NormalHanging12a"/>
        <w:ind w:left="1985"/>
        <w:rPr>
          <w:b/>
          <w:i/>
          <w:szCs w:val="24"/>
        </w:rPr>
      </w:pPr>
      <w:r w:rsidRPr="004016FB">
        <w:rPr>
          <w:b/>
          <w:i/>
        </w:rPr>
        <w:t>(</w:t>
      </w:r>
      <w:r w:rsidR="006C12E0" w:rsidRPr="004016FB">
        <w:rPr>
          <w:b/>
          <w:i/>
        </w:rPr>
        <w:t>5b</w:t>
      </w:r>
      <w:r w:rsidRPr="004016FB">
        <w:rPr>
          <w:b/>
          <w:i/>
        </w:rPr>
        <w:t>)</w:t>
      </w:r>
      <w:r w:rsidR="006C12E0" w:rsidRPr="004016FB">
        <w:rPr>
          <w:b/>
          <w:i/>
        </w:rPr>
        <w:tab/>
        <w:t>În cazuri bine justificate de condiții de piață nefavorabile persistente și cu condiția ca securitatea aprovizionării Uniunii și a statelor membre să nu fie subminată, Comisia este împuternicită să adopte acte delegate în conformitate cu articolul 19 pentru a modifica prezentul regulament prin creșterea abaterii permise pentru statele membre, astfel cum se prevede la alineatul (5a), cu până la patru puncte procentuale.</w:t>
      </w:r>
    </w:p>
    <w:p w:rsidR="006C12E0" w:rsidRPr="004016FB" w:rsidRDefault="006C12E0" w:rsidP="006C12E0">
      <w:pPr>
        <w:pStyle w:val="NormalHanging12a"/>
        <w:ind w:left="1985" w:firstLine="0"/>
        <w:rPr>
          <w:b/>
          <w:i/>
          <w:szCs w:val="24"/>
        </w:rPr>
      </w:pPr>
      <w:r w:rsidRPr="004016FB">
        <w:rPr>
          <w:b/>
          <w:i/>
        </w:rPr>
        <w:t>În evaluarea sa, Comisia ține seama în special de nivelul de umplere a instalațiilor de înmagazinare din statele membre, de aprovizionarea globală cu gaze, de perspectivele privind aprovizionarea sezonieră ale ENTSOG și de indiciile privind manipularea pieței. De asemenea, poate lua în considerare măsurile statelor membre, cum ar fi implementarea unor măsuri de reducere a cererii de gaze care să permită reduceri echivalente ale consumului de gaze în următorul sezon de extracție.</w:t>
      </w:r>
    </w:p>
    <w:p w:rsidR="006C12E0" w:rsidRPr="004016FB" w:rsidRDefault="009F077A" w:rsidP="006C12E0">
      <w:pPr>
        <w:pStyle w:val="NormalHanging12a"/>
        <w:ind w:left="1985"/>
        <w:rPr>
          <w:b/>
          <w:i/>
          <w:szCs w:val="24"/>
        </w:rPr>
      </w:pPr>
      <w:r w:rsidRPr="004016FB">
        <w:rPr>
          <w:b/>
          <w:i/>
        </w:rPr>
        <w:t>(</w:t>
      </w:r>
      <w:r w:rsidR="006C12E0" w:rsidRPr="004016FB">
        <w:rPr>
          <w:b/>
          <w:i/>
        </w:rPr>
        <w:t>5c</w:t>
      </w:r>
      <w:r w:rsidRPr="004016FB">
        <w:rPr>
          <w:b/>
          <w:i/>
        </w:rPr>
        <w:t>)</w:t>
      </w:r>
      <w:r w:rsidR="006C12E0" w:rsidRPr="004016FB">
        <w:rPr>
          <w:b/>
          <w:i/>
        </w:rPr>
        <w:tab/>
        <w:t>Statele membre menționate la alineatul (2) pot decide, în aceleași condiții ca cele prevăzute la alineatul (5a), să se abată de la volumul prevăzut la alineatul (2), vizând un volum inferior cu cel mult 1,55 %.</w:t>
      </w:r>
    </w:p>
    <w:p w:rsidR="006C12E0" w:rsidRPr="004016FB" w:rsidRDefault="009F077A" w:rsidP="006C12E0">
      <w:pPr>
        <w:pStyle w:val="NormalHanging12a"/>
        <w:ind w:left="1985"/>
        <w:rPr>
          <w:b/>
          <w:i/>
          <w:szCs w:val="24"/>
        </w:rPr>
      </w:pPr>
      <w:r w:rsidRPr="004016FB">
        <w:rPr>
          <w:b/>
          <w:i/>
        </w:rPr>
        <w:t>(</w:t>
      </w:r>
      <w:r w:rsidR="006C12E0" w:rsidRPr="004016FB">
        <w:rPr>
          <w:b/>
          <w:i/>
        </w:rPr>
        <w:t>5d</w:t>
      </w:r>
      <w:r w:rsidRPr="004016FB">
        <w:rPr>
          <w:b/>
          <w:i/>
        </w:rPr>
        <w:t>)</w:t>
      </w:r>
      <w:r w:rsidR="006C12E0" w:rsidRPr="004016FB">
        <w:rPr>
          <w:b/>
          <w:i/>
        </w:rPr>
        <w:tab/>
        <w:t>Înainte de a recurge la oricare dintre abaterile prevăzute la alineatele (5a) și (5c), fiecare stat membru consultă Comisia și își motivează decizia fără întârzieri nejustificate. Comisia informează prompt GCG cu privire la efectele cumulative ale tuturor abaterilor în temeiul alineatelor (5a) și (5c), precum și statele membre direct afectate.”;</w:t>
      </w:r>
    </w:p>
    <w:p w:rsidR="006C12E0" w:rsidRPr="004016FB" w:rsidRDefault="006C12E0" w:rsidP="006C12E0">
      <w:pPr>
        <w:pStyle w:val="NormalHanging12a"/>
        <w:ind w:left="1418"/>
        <w:rPr>
          <w:b/>
          <w:i/>
        </w:rPr>
      </w:pPr>
      <w:r w:rsidRPr="004016FB">
        <w:rPr>
          <w:b/>
          <w:i/>
        </w:rPr>
        <w:t>(</w:t>
      </w:r>
      <w:r w:rsidR="00CE352C" w:rsidRPr="004016FB">
        <w:rPr>
          <w:b/>
          <w:i/>
        </w:rPr>
        <w:t>e</w:t>
      </w:r>
      <w:r w:rsidRPr="004016FB">
        <w:rPr>
          <w:b/>
          <w:i/>
        </w:rPr>
        <w:t>)</w:t>
      </w:r>
      <w:r w:rsidRPr="004016FB">
        <w:rPr>
          <w:b/>
          <w:i/>
        </w:rPr>
        <w:tab/>
        <w:t>alineatele (6) și (7) se înlocuiesc cu următorul text:</w:t>
      </w:r>
    </w:p>
    <w:p w:rsidR="006C12E0" w:rsidRPr="004016FB" w:rsidRDefault="006C12E0" w:rsidP="006C12E0">
      <w:pPr>
        <w:pStyle w:val="NormalHanging12a"/>
        <w:ind w:left="1985"/>
        <w:rPr>
          <w:szCs w:val="24"/>
        </w:rPr>
      </w:pPr>
      <w:r w:rsidRPr="004016FB">
        <w:rPr>
          <w:b/>
          <w:i/>
        </w:rPr>
        <w:t>„</w:t>
      </w:r>
      <w:r w:rsidR="00D805DB" w:rsidRPr="004016FB">
        <w:rPr>
          <w:b/>
          <w:i/>
        </w:rPr>
        <w:t>(</w:t>
      </w:r>
      <w:r w:rsidRPr="004016FB">
        <w:rPr>
          <w:b/>
          <w:i/>
        </w:rPr>
        <w:t>6</w:t>
      </w:r>
      <w:r w:rsidR="00D805DB" w:rsidRPr="004016FB">
        <w:rPr>
          <w:b/>
          <w:i/>
        </w:rPr>
        <w:t>)</w:t>
      </w:r>
      <w:r w:rsidRPr="004016FB">
        <w:tab/>
      </w:r>
      <w:r w:rsidRPr="004016FB">
        <w:rPr>
          <w:b/>
          <w:i/>
        </w:rPr>
        <w:t>Pentru a îndeplini obiectivul de constituire de stocuri, statele membre iau toate măsurile necesare și depun eforturi pentru a respecta planul de constituire de stocuri definit în conformitate cu alineatul (7).</w:t>
      </w:r>
    </w:p>
    <w:p w:rsidR="006C12E0" w:rsidRPr="004016FB" w:rsidRDefault="003E5D60" w:rsidP="006C12E0">
      <w:pPr>
        <w:pStyle w:val="NormalHanging12a"/>
        <w:ind w:left="1985"/>
      </w:pPr>
      <w:r w:rsidRPr="004016FB">
        <w:rPr>
          <w:b/>
          <w:i/>
        </w:rPr>
        <w:t>(</w:t>
      </w:r>
      <w:r w:rsidR="006C12E0" w:rsidRPr="004016FB">
        <w:rPr>
          <w:b/>
          <w:i/>
        </w:rPr>
        <w:t>7</w:t>
      </w:r>
      <w:r w:rsidRPr="004016FB">
        <w:rPr>
          <w:b/>
          <w:i/>
        </w:rPr>
        <w:t>)</w:t>
      </w:r>
      <w:r w:rsidR="006C12E0" w:rsidRPr="004016FB">
        <w:tab/>
      </w:r>
      <w:r w:rsidR="006C12E0" w:rsidRPr="004016FB">
        <w:rPr>
          <w:b/>
          <w:i/>
        </w:rPr>
        <w:t>Statele membre care dispun de instalații de înmagazinare subterană a gazelor prezintă Comisiei în timp util un plan orientativ de constituire de stocuri pentru întregul an calendaristic în vederea atingerii obiectivului anual de constituire de stocuri de gaze stabilit la alineatul (1). Planul include informații tehnice pentru instalațiile de înmagazinare subterană a gazelor de pe teritoriul statului membru și este direct interconectat la zona sa de piață, în formă agregată.”;</w:t>
      </w:r>
    </w:p>
    <w:p w:rsidR="006C12E0" w:rsidRPr="004016FB" w:rsidRDefault="006C12E0" w:rsidP="006C12E0">
      <w:pPr>
        <w:pStyle w:val="NormalHanging12a"/>
        <w:ind w:left="1418"/>
        <w:rPr>
          <w:b/>
          <w:i/>
        </w:rPr>
      </w:pPr>
      <w:r w:rsidRPr="004016FB">
        <w:rPr>
          <w:b/>
          <w:i/>
        </w:rPr>
        <w:t>(</w:t>
      </w:r>
      <w:r w:rsidR="00CE352C" w:rsidRPr="004016FB">
        <w:rPr>
          <w:b/>
          <w:i/>
        </w:rPr>
        <w:t>f</w:t>
      </w:r>
      <w:r w:rsidRPr="004016FB">
        <w:rPr>
          <w:b/>
          <w:i/>
        </w:rPr>
        <w:t>)</w:t>
      </w:r>
      <w:r w:rsidRPr="004016FB">
        <w:rPr>
          <w:b/>
          <w:i/>
        </w:rPr>
        <w:tab/>
        <w:t>alineatul (8) se elimină;</w:t>
      </w:r>
    </w:p>
    <w:p w:rsidR="006C12E0" w:rsidRPr="004016FB" w:rsidRDefault="006C12E0" w:rsidP="006C12E0">
      <w:pPr>
        <w:pStyle w:val="NormalHanging12a"/>
        <w:ind w:left="1418"/>
        <w:rPr>
          <w:b/>
          <w:i/>
        </w:rPr>
      </w:pPr>
      <w:r w:rsidRPr="004016FB">
        <w:rPr>
          <w:b/>
          <w:i/>
        </w:rPr>
        <w:t>(</w:t>
      </w:r>
      <w:r w:rsidR="00CE352C" w:rsidRPr="004016FB">
        <w:rPr>
          <w:b/>
          <w:i/>
        </w:rPr>
        <w:t>g</w:t>
      </w:r>
      <w:r w:rsidRPr="004016FB">
        <w:rPr>
          <w:b/>
          <w:i/>
        </w:rPr>
        <w:t>)</w:t>
      </w:r>
      <w:r w:rsidRPr="004016FB">
        <w:rPr>
          <w:b/>
          <w:i/>
        </w:rPr>
        <w:tab/>
        <w:t>alineatele (10) și (11) se înlocuiesc cu următorul text:</w:t>
      </w:r>
    </w:p>
    <w:p w:rsidR="006C12E0" w:rsidRPr="004016FB" w:rsidRDefault="006C12E0" w:rsidP="006C12E0">
      <w:pPr>
        <w:pStyle w:val="NormalHanging12a"/>
        <w:ind w:left="1985"/>
        <w:rPr>
          <w:b/>
          <w:i/>
        </w:rPr>
      </w:pPr>
      <w:r w:rsidRPr="004016FB">
        <w:rPr>
          <w:b/>
          <w:i/>
        </w:rPr>
        <w:lastRenderedPageBreak/>
        <w:t>„</w:t>
      </w:r>
      <w:r w:rsidR="00B337B3" w:rsidRPr="004016FB">
        <w:rPr>
          <w:b/>
          <w:i/>
        </w:rPr>
        <w:t>(</w:t>
      </w:r>
      <w:r w:rsidRPr="004016FB">
        <w:rPr>
          <w:b/>
          <w:i/>
        </w:rPr>
        <w:t>10</w:t>
      </w:r>
      <w:r w:rsidR="00B337B3" w:rsidRPr="004016FB">
        <w:rPr>
          <w:b/>
          <w:i/>
        </w:rPr>
        <w:t>)</w:t>
      </w:r>
      <w:r w:rsidRPr="004016FB">
        <w:rPr>
          <w:b/>
          <w:i/>
        </w:rPr>
        <w:tab/>
        <w:t>Autoritatea competentă a fiecărui stat membru monitorizează în permanență respectarea obiectivului de constituire de stocuri stabilit în planurile de constituire de stocuri și raportează periodic, cel puțin o dată pe lună, Comisiei și GCG. Dacă se prevede că obiectivul nu poate fi atins, autoritatea competentă ia, fără întârziere, măsuri eficace pentru atingerea acestuia. Statele membre informează Comisia și GCG cu privire la măsurile luate.</w:t>
      </w:r>
    </w:p>
    <w:p w:rsidR="006C12E0" w:rsidRPr="004016FB" w:rsidRDefault="003E5D60" w:rsidP="006C12E0">
      <w:pPr>
        <w:pStyle w:val="NormalHanging12a"/>
        <w:ind w:left="1985"/>
        <w:rPr>
          <w:b/>
          <w:i/>
          <w:szCs w:val="24"/>
        </w:rPr>
      </w:pPr>
      <w:r w:rsidRPr="004016FB">
        <w:rPr>
          <w:b/>
          <w:i/>
        </w:rPr>
        <w:t>(</w:t>
      </w:r>
      <w:r w:rsidR="006C12E0" w:rsidRPr="004016FB">
        <w:rPr>
          <w:b/>
          <w:i/>
        </w:rPr>
        <w:t>11</w:t>
      </w:r>
      <w:r w:rsidRPr="004016FB">
        <w:rPr>
          <w:b/>
          <w:i/>
        </w:rPr>
        <w:t>)</w:t>
      </w:r>
      <w:r w:rsidR="006C12E0" w:rsidRPr="004016FB">
        <w:rPr>
          <w:b/>
          <w:i/>
        </w:rPr>
        <w:tab/>
        <w:t>În cazul unei abateri substanțiale și prelungite a unui stat membru de la planul de constituire de stocuri, care pune în pericol atingerea obiectivului de constituire de stocuri, sau în cazul unei abateri de la obiectivul de constituire de stocuri, Comisia, după consultarea GCG și a statelor membre în cauză, emite, după caz, o recomandare către statul membru respectiv sau către celelalte state membre în cauză în legătură cu măsurile care trebuie luate imediat pentru a remedia abaterea sau pentru a reduce la minimum impactul asupra securității aprovizionării, având în vedere, printre altele, posibilele condiții de piață nefavorabile și particularitățile statelor membre, cum ar fi caracteristicile tehnice și dimensiunea instalațiilor de înmagazinare subterană a gazelor în raport cu consumul intern de gaze, importanța în scădere a instalațiilor subterane de înmagazinare a gazelor cu putere calorică redusă pentru securitatea aprovizionării cu gaze și capacitatea existentă de înmagazinare a GNL.</w:t>
      </w:r>
    </w:p>
    <w:p w:rsidR="006C12E0" w:rsidRPr="004016FB" w:rsidRDefault="003E5D60" w:rsidP="006C12E0">
      <w:pPr>
        <w:pStyle w:val="NormalHanging12a"/>
        <w:ind w:left="1985"/>
        <w:rPr>
          <w:szCs w:val="24"/>
        </w:rPr>
      </w:pPr>
      <w:r w:rsidRPr="004016FB">
        <w:rPr>
          <w:b/>
          <w:i/>
        </w:rPr>
        <w:t>(</w:t>
      </w:r>
      <w:r w:rsidR="006C12E0" w:rsidRPr="004016FB">
        <w:rPr>
          <w:b/>
          <w:i/>
        </w:rPr>
        <w:t>11a</w:t>
      </w:r>
      <w:r w:rsidRPr="004016FB">
        <w:rPr>
          <w:b/>
          <w:i/>
        </w:rPr>
        <w:t>)</w:t>
      </w:r>
      <w:r w:rsidR="006C12E0" w:rsidRPr="004016FB">
        <w:rPr>
          <w:b/>
          <w:i/>
        </w:rPr>
        <w:tab/>
        <w:t>În cazul în care un stat membru nu atinge obiectivul de constituire de stocuri prevăzut la alineatul (1) și astfel pune în pericol securitatea aprovizionării Uniunii, Comisia adoptă un act de punere în aplicare prin care stabilește un plan de constituire de stocuri pentru statul membru respectiv pentru anul următor, pe baza informațiilor tehnice furnizate de fiecare stat membru și ținând seama de evaluarea GCG. Respectivul act de punere în aplicare se adoptă în conformitate cu procedura de examinare menționată la articolul 18a alineatul (2). El se bazează pe o evaluare a situației generale a securității aprovizionării cu gaze și a evoluției cererii și ofertei de gaze în Uniune și în statele membre individuale, cu scopul de a garanta securitatea aprovizionării cu gaze.</w:t>
      </w:r>
      <w:r w:rsidR="006D619C" w:rsidRPr="004016FB">
        <w:rPr>
          <w:b/>
          <w:i/>
        </w:rPr>
        <w:t>”</w:t>
      </w:r>
    </w:p>
    <w:p w:rsidR="006C12E0" w:rsidRPr="004016FB" w:rsidRDefault="006C12E0" w:rsidP="006C12E0">
      <w:pPr>
        <w:pStyle w:val="NormalHanging12a"/>
        <w:ind w:left="851" w:hanging="851"/>
        <w:rPr>
          <w:b/>
          <w:i/>
          <w:szCs w:val="24"/>
        </w:rPr>
      </w:pPr>
      <w:r w:rsidRPr="004016FB">
        <w:rPr>
          <w:b/>
          <w:i/>
        </w:rPr>
        <w:t>3</w:t>
      </w:r>
      <w:r w:rsidR="00107677" w:rsidRPr="004016FB">
        <w:rPr>
          <w:b/>
          <w:i/>
        </w:rPr>
        <w:t>.</w:t>
      </w:r>
      <w:r w:rsidRPr="004016FB">
        <w:rPr>
          <w:b/>
          <w:i/>
        </w:rPr>
        <w:tab/>
      </w:r>
      <w:r w:rsidR="006D619C" w:rsidRPr="004016FB">
        <w:rPr>
          <w:b/>
          <w:i/>
        </w:rPr>
        <w:t>A</w:t>
      </w:r>
      <w:r w:rsidRPr="004016FB">
        <w:rPr>
          <w:b/>
          <w:i/>
        </w:rPr>
        <w:t>rticolul 6b se modifică după cum urmează:</w:t>
      </w:r>
    </w:p>
    <w:p w:rsidR="006C12E0" w:rsidRPr="004016FB" w:rsidRDefault="006C12E0" w:rsidP="006C12E0">
      <w:pPr>
        <w:pStyle w:val="NormalHanging12a"/>
        <w:ind w:left="1418"/>
        <w:rPr>
          <w:b/>
          <w:i/>
        </w:rPr>
      </w:pPr>
      <w:r w:rsidRPr="004016FB">
        <w:rPr>
          <w:b/>
          <w:i/>
        </w:rPr>
        <w:t>(a)</w:t>
      </w:r>
      <w:r w:rsidRPr="004016FB">
        <w:rPr>
          <w:b/>
          <w:i/>
        </w:rPr>
        <w:tab/>
        <w:t>titlul se înlocuiește cu următorul text: „Implementarea obiectivului de constituire de stocuri”;</w:t>
      </w:r>
    </w:p>
    <w:p w:rsidR="006C12E0" w:rsidRPr="004016FB" w:rsidRDefault="006C12E0" w:rsidP="006C12E0">
      <w:pPr>
        <w:pStyle w:val="NormalHanging12a"/>
        <w:ind w:left="1418"/>
        <w:rPr>
          <w:b/>
          <w:i/>
        </w:rPr>
      </w:pPr>
      <w:r w:rsidRPr="004016FB">
        <w:rPr>
          <w:b/>
          <w:i/>
        </w:rPr>
        <w:t>(b)</w:t>
      </w:r>
      <w:r w:rsidRPr="004016FB">
        <w:rPr>
          <w:b/>
          <w:i/>
        </w:rPr>
        <w:tab/>
        <w:t>la alineatul (1), primul paragraf se înlocuiește cu următorul text:</w:t>
      </w:r>
    </w:p>
    <w:p w:rsidR="006C12E0" w:rsidRPr="004016FB" w:rsidRDefault="006C12E0" w:rsidP="006C12E0">
      <w:pPr>
        <w:pStyle w:val="NormalHanging12a"/>
        <w:ind w:left="1985"/>
        <w:rPr>
          <w:szCs w:val="24"/>
        </w:rPr>
      </w:pPr>
      <w:r w:rsidRPr="004016FB">
        <w:t>„</w:t>
      </w:r>
      <w:r w:rsidR="00570182" w:rsidRPr="004016FB">
        <w:t>(</w:t>
      </w:r>
      <w:r w:rsidRPr="004016FB">
        <w:rPr>
          <w:b/>
          <w:bCs/>
          <w:i/>
          <w:iCs/>
        </w:rPr>
        <w:t>1</w:t>
      </w:r>
      <w:r w:rsidR="00570182" w:rsidRPr="004016FB">
        <w:rPr>
          <w:b/>
          <w:bCs/>
          <w:i/>
          <w:iCs/>
        </w:rPr>
        <w:t>)</w:t>
      </w:r>
      <w:r w:rsidRPr="004016FB">
        <w:rPr>
          <w:b/>
          <w:i/>
        </w:rPr>
        <w:tab/>
        <w:t>Statele membre iau toate măsurile necesare pentru a îndeplini obiectivul de constituire de stocuri stabilit în conformitate cu articolul 6a. Pentru a se asigura că obiectivul de constituire de stocuri este îndeplinit, statele membre acordă prioritate, atunci când este posibil, măsurilor bazate pe piață.”;</w:t>
      </w:r>
    </w:p>
    <w:p w:rsidR="006C12E0" w:rsidRPr="004016FB" w:rsidRDefault="006C12E0" w:rsidP="006C12E0">
      <w:pPr>
        <w:pStyle w:val="NormalHanging12a"/>
        <w:ind w:left="1418"/>
        <w:rPr>
          <w:b/>
          <w:i/>
        </w:rPr>
      </w:pPr>
      <w:r w:rsidRPr="004016FB">
        <w:rPr>
          <w:b/>
          <w:i/>
        </w:rPr>
        <w:t>(c)</w:t>
      </w:r>
      <w:r w:rsidRPr="004016FB">
        <w:rPr>
          <w:b/>
          <w:i/>
        </w:rPr>
        <w:tab/>
        <w:t xml:space="preserve">alineatul (2) se înlocuiește cu următorul text: </w:t>
      </w:r>
    </w:p>
    <w:p w:rsidR="006C12E0" w:rsidRPr="004016FB" w:rsidRDefault="006C12E0" w:rsidP="006C12E0">
      <w:pPr>
        <w:pStyle w:val="NormalHanging12a"/>
        <w:ind w:left="1985"/>
        <w:rPr>
          <w:szCs w:val="24"/>
        </w:rPr>
      </w:pPr>
      <w:r w:rsidRPr="004016FB">
        <w:rPr>
          <w:b/>
          <w:i/>
        </w:rPr>
        <w:lastRenderedPageBreak/>
        <w:t>„</w:t>
      </w:r>
      <w:r w:rsidR="006D024B" w:rsidRPr="004016FB">
        <w:rPr>
          <w:b/>
          <w:i/>
        </w:rPr>
        <w:t>(</w:t>
      </w:r>
      <w:r w:rsidRPr="004016FB">
        <w:rPr>
          <w:b/>
          <w:i/>
        </w:rPr>
        <w:t>2</w:t>
      </w:r>
      <w:r w:rsidR="006D024B" w:rsidRPr="004016FB">
        <w:rPr>
          <w:b/>
          <w:i/>
        </w:rPr>
        <w:t>)</w:t>
      </w:r>
      <w:r w:rsidRPr="004016FB">
        <w:rPr>
          <w:b/>
          <w:i/>
        </w:rPr>
        <w:tab/>
        <w:t>Măsurile adoptate de statele membre în temeiul alineatului (1) se limitează la ceea ce este necesar pentru îndeplinirea obiectivului de constituire de stocuri. Aceste măsuri sunt clar definite, transparente, proporționale, nediscriminatorii și verificabile. Măsurile nu denaturează în mod nejustificat concurența sau buna funcționare a pieței interne a gazelor, nu cresc în mod nejustificat costurile energiei și nu pun în pericol siguranța furnizării de gaze pentru alte state membre sau pentru Uniune.</w:t>
      </w:r>
      <w:r w:rsidRPr="004016FB">
        <w:t xml:space="preserve"> </w:t>
      </w:r>
      <w:r w:rsidRPr="004016FB">
        <w:rPr>
          <w:b/>
          <w:i/>
        </w:rPr>
        <w:t>Statele membre informează Comisia și GCG cu privire la aceste măsuri.”</w:t>
      </w:r>
    </w:p>
    <w:p w:rsidR="006C12E0" w:rsidRPr="004016FB" w:rsidRDefault="006C12E0" w:rsidP="006C12E0">
      <w:pPr>
        <w:pStyle w:val="NormalHanging12a"/>
        <w:ind w:left="851" w:hanging="851"/>
        <w:rPr>
          <w:b/>
          <w:i/>
          <w:szCs w:val="24"/>
        </w:rPr>
      </w:pPr>
      <w:r w:rsidRPr="004016FB">
        <w:rPr>
          <w:b/>
          <w:i/>
        </w:rPr>
        <w:t>4</w:t>
      </w:r>
      <w:r w:rsidR="00107677" w:rsidRPr="004016FB">
        <w:rPr>
          <w:b/>
          <w:i/>
        </w:rPr>
        <w:t>.</w:t>
      </w:r>
      <w:r w:rsidRPr="004016FB">
        <w:rPr>
          <w:b/>
          <w:i/>
        </w:rPr>
        <w:tab/>
      </w:r>
      <w:r w:rsidR="006D619C" w:rsidRPr="004016FB">
        <w:rPr>
          <w:b/>
          <w:i/>
        </w:rPr>
        <w:t>A</w:t>
      </w:r>
      <w:r w:rsidRPr="004016FB">
        <w:rPr>
          <w:b/>
          <w:i/>
        </w:rPr>
        <w:t>rticolul 6c se modifică după cum urmează:</w:t>
      </w:r>
    </w:p>
    <w:p w:rsidR="006C12E0" w:rsidRPr="004016FB" w:rsidRDefault="006C12E0" w:rsidP="006C12E0">
      <w:pPr>
        <w:pStyle w:val="NormalHanging12a"/>
        <w:ind w:left="1418"/>
        <w:rPr>
          <w:b/>
          <w:i/>
        </w:rPr>
      </w:pPr>
      <w:r w:rsidRPr="004016FB">
        <w:rPr>
          <w:b/>
          <w:i/>
        </w:rPr>
        <w:t>(a)</w:t>
      </w:r>
      <w:r w:rsidRPr="004016FB">
        <w:rPr>
          <w:b/>
          <w:i/>
        </w:rPr>
        <w:tab/>
        <w:t>la alineatul (1), primul paragraf se înlocuiește cu următorul text:</w:t>
      </w:r>
    </w:p>
    <w:p w:rsidR="006C12E0" w:rsidRPr="004016FB" w:rsidRDefault="006C12E0" w:rsidP="006C12E0">
      <w:pPr>
        <w:pStyle w:val="NormalHanging12a"/>
        <w:ind w:left="1985"/>
        <w:rPr>
          <w:b/>
          <w:i/>
          <w:szCs w:val="24"/>
        </w:rPr>
      </w:pPr>
      <w:r w:rsidRPr="004016FB">
        <w:rPr>
          <w:b/>
          <w:i/>
        </w:rPr>
        <w:t>„</w:t>
      </w:r>
      <w:r w:rsidR="006907C8" w:rsidRPr="004016FB">
        <w:rPr>
          <w:b/>
          <w:i/>
        </w:rPr>
        <w:t>(</w:t>
      </w:r>
      <w:r w:rsidRPr="004016FB">
        <w:rPr>
          <w:b/>
          <w:i/>
        </w:rPr>
        <w:t>1</w:t>
      </w:r>
      <w:r w:rsidR="006907C8" w:rsidRPr="004016FB">
        <w:rPr>
          <w:b/>
          <w:i/>
        </w:rPr>
        <w:t>)</w:t>
      </w:r>
      <w:r w:rsidRPr="004016FB">
        <w:rPr>
          <w:b/>
          <w:i/>
        </w:rPr>
        <w:tab/>
        <w:t>Un stat membru care nu dispune de instalații de înmagazinare subterană a gazelor se asigură că participanții la piață din statul membru respectiv au încheiat acorduri cu operatori de înmagazinare subterană sau cu alți participanți la piață din statele membre în care există astfel de instalații de înmagazinare subterană a gazelor. Respectivele acorduri prevăd utilizarea, până la 1 decembrie, a unor volume de stocuri care corespund unui nivel de cel puțin 15 % din consumul mediu anual de gaze din perioada precedentă de cinci ani al statului membru care nu dispune de instalații de înmagazinare subterană a gazelor. Cu toate acestea, în cazul în care capacitatea transfrontalieră de transport sau alte limitări tehnice nu permit statului membru care nu dispune de instalații de înmagazinare subterană a gazelor utilizarea integrală a 15 % din volumele de stocuri respective, acel stat membru stochează numai volumele posibile din punct de vedere tehnic.”;</w:t>
      </w:r>
    </w:p>
    <w:p w:rsidR="006C12E0" w:rsidRPr="004016FB" w:rsidRDefault="006C12E0" w:rsidP="006C12E0">
      <w:pPr>
        <w:pStyle w:val="NormalHanging12a"/>
        <w:ind w:left="1418"/>
        <w:rPr>
          <w:b/>
          <w:i/>
          <w:szCs w:val="22"/>
        </w:rPr>
      </w:pPr>
      <w:r w:rsidRPr="004016FB">
        <w:rPr>
          <w:b/>
          <w:i/>
        </w:rPr>
        <w:t>(b)</w:t>
      </w:r>
      <w:r w:rsidRPr="004016FB">
        <w:rPr>
          <w:b/>
          <w:i/>
        </w:rPr>
        <w:tab/>
        <w:t>la alineatul (2), al doilea paragraf se înlocuiește cu următorul text:</w:t>
      </w:r>
    </w:p>
    <w:p w:rsidR="006C12E0" w:rsidRPr="004016FB" w:rsidRDefault="006C12E0" w:rsidP="006C12E0">
      <w:pPr>
        <w:pStyle w:val="NormalHanging12a"/>
        <w:ind w:left="1418" w:firstLine="0"/>
        <w:rPr>
          <w:b/>
          <w:i/>
          <w:szCs w:val="24"/>
        </w:rPr>
      </w:pPr>
      <w:r w:rsidRPr="004016FB">
        <w:rPr>
          <w:b/>
          <w:i/>
        </w:rPr>
        <w:t>„Statele membre care nu dispun de instalații de înmagazinare subterană a gazelor demonstrează că respectă alineatul (1) și notifică în acest sens Comisia.”;</w:t>
      </w:r>
    </w:p>
    <w:p w:rsidR="006C12E0" w:rsidRPr="004016FB" w:rsidRDefault="006C12E0" w:rsidP="006C12E0">
      <w:pPr>
        <w:pStyle w:val="NormalHanging12a"/>
        <w:tabs>
          <w:tab w:val="left" w:pos="1418"/>
        </w:tabs>
        <w:ind w:left="1418"/>
      </w:pPr>
      <w:r w:rsidRPr="004016FB">
        <w:t>(</w:t>
      </w:r>
      <w:r w:rsidRPr="004016FB">
        <w:rPr>
          <w:b/>
          <w:i/>
        </w:rPr>
        <w:t>c)</w:t>
      </w:r>
      <w:r w:rsidRPr="004016FB">
        <w:rPr>
          <w:b/>
          <w:i/>
        </w:rPr>
        <w:tab/>
        <w:t>la alineatul (5) primul paragraf, litera (a) se înlocuiește cu următorul text:</w:t>
      </w:r>
      <w:r w:rsidRPr="004016FB">
        <w:t xml:space="preserve"> </w:t>
      </w:r>
    </w:p>
    <w:p w:rsidR="006C12E0" w:rsidRPr="004016FB" w:rsidRDefault="006C12E0" w:rsidP="006C12E0">
      <w:pPr>
        <w:pStyle w:val="NormalHanging12a"/>
        <w:ind w:left="1985"/>
        <w:rPr>
          <w:b/>
          <w:i/>
          <w:szCs w:val="24"/>
        </w:rPr>
      </w:pPr>
      <w:r w:rsidRPr="004016FB">
        <w:rPr>
          <w:b/>
          <w:i/>
        </w:rPr>
        <w:t>„(a)</w:t>
      </w:r>
      <w:r w:rsidRPr="004016FB">
        <w:rPr>
          <w:b/>
          <w:i/>
        </w:rPr>
        <w:tab/>
        <w:t>se asigură că până la 1 decembrie volumele de stocuri corespund cel puțin utilizării medii a capacității de înmagazinare din perioada precedentă de cinci ani și sunt determinate luând în considerare, printre altele, fluxurile din cursul sezonului de extracție din perioada precedentă de cinci ani din statele membre în care se află instalațiile de înmagazinare; sau”;</w:t>
      </w:r>
    </w:p>
    <w:p w:rsidR="006C12E0" w:rsidRPr="004016FB" w:rsidRDefault="006C12E0" w:rsidP="006C12E0">
      <w:pPr>
        <w:pStyle w:val="NormalHanging12a"/>
        <w:ind w:left="1418"/>
        <w:rPr>
          <w:b/>
          <w:i/>
        </w:rPr>
      </w:pPr>
      <w:r w:rsidRPr="004016FB">
        <w:rPr>
          <w:b/>
          <w:i/>
        </w:rPr>
        <w:t>(d)</w:t>
      </w:r>
      <w:r w:rsidRPr="004016FB">
        <w:rPr>
          <w:b/>
          <w:i/>
        </w:rPr>
        <w:tab/>
        <w:t>alineatul (6) se înlocuiește cu următorul text:</w:t>
      </w:r>
    </w:p>
    <w:p w:rsidR="006C12E0" w:rsidRPr="004016FB" w:rsidRDefault="006C12E0" w:rsidP="006C12E0">
      <w:pPr>
        <w:pStyle w:val="NormalHanging12a"/>
        <w:ind w:left="1985"/>
        <w:rPr>
          <w:b/>
          <w:i/>
          <w:szCs w:val="24"/>
        </w:rPr>
      </w:pPr>
      <w:r w:rsidRPr="004016FB">
        <w:rPr>
          <w:b/>
          <w:i/>
        </w:rPr>
        <w:t>„</w:t>
      </w:r>
      <w:r w:rsidR="008F342B" w:rsidRPr="004016FB">
        <w:rPr>
          <w:b/>
          <w:i/>
        </w:rPr>
        <w:t>(</w:t>
      </w:r>
      <w:r w:rsidRPr="004016FB">
        <w:rPr>
          <w:b/>
          <w:i/>
        </w:rPr>
        <w:t>6</w:t>
      </w:r>
      <w:r w:rsidR="008F342B" w:rsidRPr="004016FB">
        <w:rPr>
          <w:b/>
          <w:i/>
        </w:rPr>
        <w:t>)</w:t>
      </w:r>
      <w:r w:rsidRPr="004016FB">
        <w:rPr>
          <w:b/>
          <w:i/>
        </w:rPr>
        <w:tab/>
        <w:t>Cu excepția cazului în care se prevede altfel în anexa </w:t>
      </w:r>
      <w:proofErr w:type="spellStart"/>
      <w:r w:rsidRPr="004016FB">
        <w:rPr>
          <w:b/>
          <w:i/>
        </w:rPr>
        <w:t>Ib</w:t>
      </w:r>
      <w:proofErr w:type="spellEnd"/>
      <w:r w:rsidRPr="004016FB">
        <w:rPr>
          <w:b/>
          <w:i/>
        </w:rPr>
        <w:t xml:space="preserve">, în cazul instalațiilor de înmagazinare subterană a gazelor situate într-un stat membru care nu intră sub incidența alineatului (5), dar care sunt direct conectate la zona de piață a unui alt stat membru, acest alt stat </w:t>
      </w:r>
      <w:r w:rsidRPr="004016FB">
        <w:rPr>
          <w:b/>
          <w:i/>
        </w:rPr>
        <w:lastRenderedPageBreak/>
        <w:t>membru se asigură că între 1 octombrie și 1 decembrie volumele de stocuri corespund, cel puțin, mediei capacității de înmagazinare rezervate la punctul transfrontalier relevant în perioada precedentă de cinci ani.”</w:t>
      </w:r>
    </w:p>
    <w:p w:rsidR="006C12E0" w:rsidRPr="004016FB" w:rsidRDefault="006C12E0" w:rsidP="006C12E0">
      <w:pPr>
        <w:pStyle w:val="NormalHanging12a"/>
        <w:ind w:left="851" w:hanging="851"/>
        <w:rPr>
          <w:b/>
          <w:i/>
        </w:rPr>
      </w:pPr>
      <w:r w:rsidRPr="004016FB">
        <w:rPr>
          <w:b/>
          <w:i/>
        </w:rPr>
        <w:t>5</w:t>
      </w:r>
      <w:r w:rsidR="00E77903" w:rsidRPr="004016FB">
        <w:rPr>
          <w:b/>
          <w:i/>
        </w:rPr>
        <w:t>.</w:t>
      </w:r>
      <w:r w:rsidRPr="004016FB">
        <w:rPr>
          <w:b/>
          <w:i/>
        </w:rPr>
        <w:tab/>
      </w:r>
      <w:r w:rsidR="006D619C" w:rsidRPr="004016FB">
        <w:rPr>
          <w:b/>
          <w:i/>
        </w:rPr>
        <w:t>A</w:t>
      </w:r>
      <w:r w:rsidRPr="004016FB">
        <w:rPr>
          <w:b/>
          <w:i/>
        </w:rPr>
        <w:t>rticolul 6d se modifică după cum urmează:</w:t>
      </w:r>
    </w:p>
    <w:p w:rsidR="006C12E0" w:rsidRPr="004016FB" w:rsidRDefault="006C12E0" w:rsidP="006C12E0">
      <w:pPr>
        <w:pStyle w:val="NormalHanging12a"/>
        <w:ind w:left="1418"/>
        <w:rPr>
          <w:b/>
          <w:i/>
        </w:rPr>
      </w:pPr>
      <w:r w:rsidRPr="004016FB">
        <w:rPr>
          <w:b/>
          <w:i/>
        </w:rPr>
        <w:t>(a)</w:t>
      </w:r>
      <w:r w:rsidRPr="004016FB">
        <w:rPr>
          <w:b/>
          <w:i/>
        </w:rPr>
        <w:tab/>
        <w:t>alineatele (1) și (2) se înlocuiesc cu următorul text:</w:t>
      </w:r>
    </w:p>
    <w:p w:rsidR="006C12E0" w:rsidRPr="004016FB" w:rsidRDefault="006C12E0" w:rsidP="006C12E0">
      <w:pPr>
        <w:pStyle w:val="NormalHanging12a"/>
        <w:ind w:left="1985"/>
        <w:rPr>
          <w:b/>
          <w:i/>
          <w:szCs w:val="24"/>
        </w:rPr>
      </w:pPr>
      <w:r w:rsidRPr="004016FB">
        <w:rPr>
          <w:b/>
          <w:i/>
        </w:rPr>
        <w:t>„</w:t>
      </w:r>
      <w:r w:rsidR="008F342B" w:rsidRPr="004016FB">
        <w:rPr>
          <w:b/>
          <w:i/>
        </w:rPr>
        <w:t>(</w:t>
      </w:r>
      <w:r w:rsidRPr="004016FB">
        <w:rPr>
          <w:b/>
          <w:i/>
        </w:rPr>
        <w:t>1</w:t>
      </w:r>
      <w:r w:rsidR="008F342B" w:rsidRPr="004016FB">
        <w:rPr>
          <w:b/>
          <w:i/>
        </w:rPr>
        <w:t>)</w:t>
      </w:r>
      <w:r w:rsidRPr="004016FB">
        <w:rPr>
          <w:b/>
          <w:i/>
        </w:rPr>
        <w:tab/>
        <w:t>Operatorii de înmagazinare raportează nivelul de constituire de stocuri autorității competente din fiecare stat membru în care se află instalațiile în cauză de înmagazinare subterană a gazelor și, dacă este cazul, unei entități desemnate de statul membru respectiv (denumită în continuare „entitatea desemnată”) după cum se prevede la articolul 6a.</w:t>
      </w:r>
    </w:p>
    <w:p w:rsidR="006C12E0" w:rsidRPr="004016FB" w:rsidRDefault="008F342B" w:rsidP="006C12E0">
      <w:pPr>
        <w:pStyle w:val="NormalHanging12a"/>
        <w:ind w:left="1985"/>
        <w:rPr>
          <w:szCs w:val="24"/>
        </w:rPr>
      </w:pPr>
      <w:r w:rsidRPr="004016FB">
        <w:rPr>
          <w:b/>
          <w:i/>
        </w:rPr>
        <w:t>(</w:t>
      </w:r>
      <w:r w:rsidR="006C12E0" w:rsidRPr="004016FB">
        <w:rPr>
          <w:b/>
          <w:i/>
        </w:rPr>
        <w:t>2</w:t>
      </w:r>
      <w:r w:rsidRPr="004016FB">
        <w:rPr>
          <w:b/>
          <w:i/>
        </w:rPr>
        <w:t>)</w:t>
      </w:r>
      <w:r w:rsidR="006C12E0" w:rsidRPr="004016FB">
        <w:rPr>
          <w:b/>
          <w:i/>
        </w:rPr>
        <w:tab/>
        <w:t>Autoritatea competentă și, dacă este cazul, entitatea desemnată de fiecare stat membru monitorizează nivelurile de stocuri constituite în instalațiile de înmagazinare subterană a gazelor de pe teritoriul lor la sfârșitul fiecărei luni și raportează lunar Comisiei rezultatele, fără nicio întârziere. Autoritatea competentă include, de asemenea, informații privind ponderea gazelor care provin din Federația Rusă și sunt stocate în statul membru respectiv, dacă sunt disponibile.</w:t>
      </w:r>
    </w:p>
    <w:p w:rsidR="006C12E0" w:rsidRPr="004016FB" w:rsidRDefault="006C12E0" w:rsidP="006C12E0">
      <w:pPr>
        <w:pStyle w:val="NormalHanging12a"/>
        <w:ind w:left="1985" w:firstLine="0"/>
        <w:rPr>
          <w:b/>
          <w:i/>
        </w:rPr>
      </w:pPr>
      <w:r w:rsidRPr="004016FB">
        <w:rPr>
          <w:b/>
          <w:i/>
        </w:rPr>
        <w:t>Comisia poate, dacă este cazul, să invite Agenția Uniunii Europene pentru Cooperarea Autorităților de Reglementare din Domeniul Energiei (ACER) să acorde asistență în ceea ce privește această monitorizare.”;</w:t>
      </w:r>
    </w:p>
    <w:p w:rsidR="006C12E0" w:rsidRPr="004016FB" w:rsidRDefault="006C12E0" w:rsidP="006C12E0">
      <w:pPr>
        <w:pStyle w:val="NormalHanging12a"/>
        <w:ind w:left="1418"/>
        <w:rPr>
          <w:b/>
          <w:i/>
        </w:rPr>
      </w:pPr>
      <w:r w:rsidRPr="004016FB">
        <w:rPr>
          <w:b/>
          <w:i/>
        </w:rPr>
        <w:t>(b)</w:t>
      </w:r>
      <w:r w:rsidRPr="004016FB">
        <w:rPr>
          <w:b/>
          <w:i/>
        </w:rPr>
        <w:tab/>
        <w:t>alineatele (4) și (5) se înlocuiesc cu următorul text:</w:t>
      </w:r>
    </w:p>
    <w:p w:rsidR="006C12E0" w:rsidRPr="004016FB" w:rsidRDefault="006C12E0" w:rsidP="006C12E0">
      <w:pPr>
        <w:pStyle w:val="NormalHanging12a"/>
        <w:ind w:left="1985"/>
        <w:rPr>
          <w:b/>
          <w:i/>
          <w:szCs w:val="24"/>
        </w:rPr>
      </w:pPr>
      <w:r w:rsidRPr="004016FB">
        <w:rPr>
          <w:b/>
          <w:i/>
        </w:rPr>
        <w:t>„</w:t>
      </w:r>
      <w:r w:rsidR="008F342B" w:rsidRPr="004016FB">
        <w:rPr>
          <w:b/>
          <w:i/>
        </w:rPr>
        <w:t>(</w:t>
      </w:r>
      <w:r w:rsidRPr="004016FB">
        <w:rPr>
          <w:b/>
          <w:i/>
        </w:rPr>
        <w:t>4</w:t>
      </w:r>
      <w:r w:rsidR="008F342B" w:rsidRPr="004016FB">
        <w:rPr>
          <w:b/>
          <w:i/>
        </w:rPr>
        <w:t>)</w:t>
      </w:r>
      <w:r w:rsidRPr="004016FB">
        <w:rPr>
          <w:b/>
          <w:i/>
        </w:rPr>
        <w:tab/>
        <w:t>GCG acordă asistență Comisiei în ceea ce privește monitorizarea obiectivului de constituire de stocuri și elaborează orientări pentru Comisie cu privire la măsurile adecvate de asigurare a unei mai bune alinieri în cazul în care ratele de constituire de stocuri ale statelor membre pun în pericol atingerea obiectivului de constituire de stocuri sau de asigurare a respectării obiectivului de constituire de stocuri.</w:t>
      </w:r>
    </w:p>
    <w:p w:rsidR="006C12E0" w:rsidRPr="004016FB" w:rsidRDefault="008F342B" w:rsidP="006C12E0">
      <w:pPr>
        <w:pStyle w:val="NormalHanging12a"/>
        <w:ind w:left="1985"/>
        <w:rPr>
          <w:b/>
          <w:i/>
          <w:szCs w:val="24"/>
        </w:rPr>
      </w:pPr>
      <w:r w:rsidRPr="004016FB">
        <w:rPr>
          <w:b/>
          <w:i/>
        </w:rPr>
        <w:t>(</w:t>
      </w:r>
      <w:r w:rsidR="006C12E0" w:rsidRPr="004016FB">
        <w:rPr>
          <w:b/>
          <w:i/>
        </w:rPr>
        <w:t>4a</w:t>
      </w:r>
      <w:r w:rsidRPr="004016FB">
        <w:rPr>
          <w:b/>
          <w:i/>
        </w:rPr>
        <w:t>)</w:t>
      </w:r>
      <w:r w:rsidR="006C12E0" w:rsidRPr="004016FB">
        <w:rPr>
          <w:b/>
          <w:i/>
        </w:rPr>
        <w:tab/>
        <w:t>După caz, Comisia pune în aplicare măsuri care ajută statele membre să îndeplinească obiectivul de constituire de stocuri, inclusiv măsuri care să încurajeze participarea la mecanismul de agregare a cererii și de achiziționare în comun instituit în temeiul Regulamentului (UE) 2022/2576 (</w:t>
      </w:r>
      <w:proofErr w:type="spellStart"/>
      <w:r w:rsidR="006C12E0" w:rsidRPr="004016FB">
        <w:rPr>
          <w:b/>
          <w:i/>
        </w:rPr>
        <w:t>AggregateEU</w:t>
      </w:r>
      <w:proofErr w:type="spellEnd"/>
      <w:r w:rsidR="006C12E0" w:rsidRPr="004016FB">
        <w:rPr>
          <w:b/>
          <w:i/>
        </w:rPr>
        <w:t>)</w:t>
      </w:r>
      <w:r w:rsidR="006C12E0" w:rsidRPr="004016FB">
        <w:rPr>
          <w:rStyle w:val="FootnoteReference"/>
          <w:b/>
          <w:i/>
        </w:rPr>
        <w:t>*</w:t>
      </w:r>
      <w:r w:rsidR="006C12E0" w:rsidRPr="004016FB">
        <w:rPr>
          <w:b/>
          <w:i/>
        </w:rPr>
        <w:t>.</w:t>
      </w:r>
    </w:p>
    <w:p w:rsidR="006C12E0" w:rsidRPr="004016FB" w:rsidRDefault="008F342B" w:rsidP="006C12E0">
      <w:pPr>
        <w:pStyle w:val="NormalHanging12a"/>
        <w:ind w:left="1985"/>
        <w:rPr>
          <w:b/>
          <w:i/>
        </w:rPr>
      </w:pPr>
      <w:r w:rsidRPr="004016FB">
        <w:rPr>
          <w:b/>
          <w:i/>
        </w:rPr>
        <w:t>(</w:t>
      </w:r>
      <w:r w:rsidR="006C12E0" w:rsidRPr="004016FB">
        <w:rPr>
          <w:b/>
          <w:i/>
        </w:rPr>
        <w:t>5</w:t>
      </w:r>
      <w:r w:rsidRPr="004016FB">
        <w:rPr>
          <w:b/>
          <w:i/>
        </w:rPr>
        <w:t>)</w:t>
      </w:r>
      <w:r w:rsidR="006C12E0" w:rsidRPr="004016FB">
        <w:rPr>
          <w:b/>
          <w:i/>
        </w:rPr>
        <w:tab/>
        <w:t>Statele membre și, după caz, Comisia iau măsurile necesare pentru a îndeplini obiectivul de constituire de stocuri și pentru a asigura respectarea obligațiilor de înmagazinare impuse participanților la piață. Aceste măsuri pot include sancțiuni și amenzi suficient de disuasive, cum ar fi sancțiuni financiare adecvate.</w:t>
      </w:r>
    </w:p>
    <w:p w:rsidR="006C12E0" w:rsidRPr="004016FB" w:rsidRDefault="006C12E0" w:rsidP="006C12E0">
      <w:pPr>
        <w:pStyle w:val="NormalHanging12a"/>
        <w:ind w:left="1985"/>
        <w:rPr>
          <w:b/>
          <w:i/>
        </w:rPr>
      </w:pPr>
      <w:r w:rsidRPr="004016FB">
        <w:rPr>
          <w:b/>
          <w:i/>
        </w:rPr>
        <w:t>___________________</w:t>
      </w:r>
    </w:p>
    <w:p w:rsidR="006C12E0" w:rsidRPr="004016FB" w:rsidRDefault="006C12E0" w:rsidP="006C12E0">
      <w:pPr>
        <w:pStyle w:val="NormalHanging12a"/>
        <w:ind w:left="1985"/>
        <w:rPr>
          <w:b/>
          <w:i/>
        </w:rPr>
      </w:pPr>
      <w:r w:rsidRPr="004016FB">
        <w:rPr>
          <w:b/>
          <w:i/>
        </w:rPr>
        <w:t>*</w:t>
      </w:r>
      <w:r w:rsidRPr="004016FB">
        <w:rPr>
          <w:b/>
          <w:i/>
        </w:rPr>
        <w:tab/>
        <w:t xml:space="preserve">Regulamentul (UE) 2022/2576 al Consiliului din 19 decembrie 2022 </w:t>
      </w:r>
      <w:r w:rsidRPr="004016FB">
        <w:rPr>
          <w:b/>
          <w:i/>
        </w:rPr>
        <w:lastRenderedPageBreak/>
        <w:t>privind consolidarea solidarității printr-o mai bună coordonare a achizițiilor de gaze, prin indici de referință ai prețurilor fiabili și prin schimburi transfrontaliere de gaze (JO L 335, 29.12.2022, p. 1, ELI: http://data.europa.eu/eli/reg/2022/2576/oj).</w:t>
      </w:r>
      <w:r w:rsidR="007C29C6" w:rsidRPr="004016FB">
        <w:rPr>
          <w:b/>
          <w:i/>
        </w:rPr>
        <w:t>”</w:t>
      </w:r>
    </w:p>
    <w:p w:rsidR="006C12E0" w:rsidRPr="004016FB" w:rsidRDefault="006C12E0" w:rsidP="006C12E0">
      <w:pPr>
        <w:pStyle w:val="NormalHanging12a"/>
        <w:ind w:left="851" w:hanging="851"/>
        <w:rPr>
          <w:b/>
          <w:i/>
          <w:szCs w:val="24"/>
        </w:rPr>
      </w:pPr>
      <w:r w:rsidRPr="004016FB">
        <w:rPr>
          <w:b/>
          <w:i/>
        </w:rPr>
        <w:t>6</w:t>
      </w:r>
      <w:r w:rsidR="006F7703" w:rsidRPr="004016FB">
        <w:rPr>
          <w:b/>
          <w:i/>
        </w:rPr>
        <w:t>.</w:t>
      </w:r>
      <w:r w:rsidRPr="004016FB">
        <w:rPr>
          <w:b/>
          <w:i/>
        </w:rPr>
        <w:tab/>
      </w:r>
      <w:r w:rsidR="006D619C" w:rsidRPr="004016FB">
        <w:rPr>
          <w:b/>
          <w:i/>
        </w:rPr>
        <w:t>L</w:t>
      </w:r>
      <w:r w:rsidRPr="004016FB">
        <w:rPr>
          <w:b/>
          <w:i/>
        </w:rPr>
        <w:t>a articolul 17a alineatul (1), se adaugă următoarea literă:</w:t>
      </w:r>
    </w:p>
    <w:p w:rsidR="006C12E0" w:rsidRPr="004016FB" w:rsidRDefault="006C12E0" w:rsidP="006C12E0">
      <w:pPr>
        <w:pStyle w:val="NormalHanging12a"/>
        <w:ind w:left="1418"/>
        <w:rPr>
          <w:b/>
          <w:i/>
          <w:szCs w:val="24"/>
        </w:rPr>
      </w:pPr>
      <w:r w:rsidRPr="004016FB">
        <w:rPr>
          <w:b/>
          <w:i/>
        </w:rPr>
        <w:t>„(da)</w:t>
      </w:r>
      <w:r w:rsidRPr="004016FB">
        <w:rPr>
          <w:b/>
          <w:i/>
        </w:rPr>
        <w:tab/>
        <w:t>informațiile privind ponderea gazelor care provin din Federația Rusă stocate în instalațiile de înmagazinare ale UE, furnizate de statele membre în conformitate cu articolul 6d alineatul (2).”</w:t>
      </w:r>
    </w:p>
    <w:p w:rsidR="006C12E0" w:rsidRPr="004016FB" w:rsidRDefault="006C12E0" w:rsidP="006C12E0">
      <w:pPr>
        <w:pStyle w:val="NormalHanging12a"/>
        <w:ind w:left="851" w:hanging="851"/>
        <w:rPr>
          <w:b/>
          <w:i/>
          <w:szCs w:val="24"/>
        </w:rPr>
      </w:pPr>
      <w:r w:rsidRPr="004016FB">
        <w:rPr>
          <w:b/>
          <w:i/>
        </w:rPr>
        <w:t>7</w:t>
      </w:r>
      <w:r w:rsidR="006F7703" w:rsidRPr="004016FB">
        <w:rPr>
          <w:b/>
          <w:i/>
        </w:rPr>
        <w:t>.</w:t>
      </w:r>
      <w:r w:rsidRPr="004016FB">
        <w:rPr>
          <w:b/>
          <w:i/>
        </w:rPr>
        <w:tab/>
      </w:r>
      <w:r w:rsidR="006D619C" w:rsidRPr="004016FB">
        <w:rPr>
          <w:b/>
          <w:i/>
        </w:rPr>
        <w:t>L</w:t>
      </w:r>
      <w:r w:rsidRPr="004016FB">
        <w:rPr>
          <w:b/>
          <w:i/>
        </w:rPr>
        <w:t>a articolul 22, al patrulea paragraf se înlocuiește cu următorul text:</w:t>
      </w:r>
    </w:p>
    <w:p w:rsidR="006C12E0" w:rsidRPr="004016FB" w:rsidRDefault="006C12E0" w:rsidP="006C12E0">
      <w:pPr>
        <w:pStyle w:val="NormalHanging12a"/>
        <w:ind w:left="851" w:firstLine="0"/>
        <w:rPr>
          <w:b/>
          <w:i/>
          <w:szCs w:val="24"/>
        </w:rPr>
      </w:pPr>
      <w:r w:rsidRPr="004016FB">
        <w:rPr>
          <w:b/>
          <w:i/>
        </w:rPr>
        <w:t xml:space="preserve">„Articolul 2 punctele 27-31, articolele 6a-6d, articolul 16 alineatul (3), articolul 17a, articolul 18a, articolul 20 alineatul (4) și anexa </w:t>
      </w:r>
      <w:proofErr w:type="spellStart"/>
      <w:r w:rsidRPr="004016FB">
        <w:rPr>
          <w:b/>
          <w:i/>
        </w:rPr>
        <w:t>Ib</w:t>
      </w:r>
      <w:proofErr w:type="spellEnd"/>
      <w:r w:rsidRPr="004016FB">
        <w:rPr>
          <w:b/>
          <w:i/>
        </w:rPr>
        <w:t xml:space="preserve"> se aplică până la 31 decembrie 2027.”</w:t>
      </w:r>
    </w:p>
    <w:p w:rsidR="006C12E0" w:rsidRPr="004016FB" w:rsidRDefault="006C12E0" w:rsidP="006C12E0">
      <w:pPr>
        <w:pStyle w:val="NormalHanging12a"/>
        <w:ind w:left="851" w:hanging="851"/>
        <w:rPr>
          <w:b/>
          <w:i/>
          <w:szCs w:val="24"/>
        </w:rPr>
      </w:pPr>
      <w:r w:rsidRPr="004016FB">
        <w:rPr>
          <w:b/>
          <w:i/>
        </w:rPr>
        <w:t>8</w:t>
      </w:r>
      <w:r w:rsidR="00525C20" w:rsidRPr="004016FB">
        <w:rPr>
          <w:b/>
          <w:i/>
        </w:rPr>
        <w:t>.</w:t>
      </w:r>
      <w:r w:rsidRPr="004016FB">
        <w:rPr>
          <w:b/>
          <w:i/>
        </w:rPr>
        <w:tab/>
        <w:t>Anexa Ia se elimină.</w:t>
      </w:r>
    </w:p>
    <w:p w:rsidR="006C12E0" w:rsidRPr="004016FB" w:rsidRDefault="006C12E0" w:rsidP="006C12E0">
      <w:pPr>
        <w:rPr>
          <w:noProof/>
        </w:rPr>
      </w:pPr>
    </w:p>
    <w:p w:rsidR="006C12E0" w:rsidRPr="004016FB" w:rsidRDefault="006C12E0" w:rsidP="006C12E0">
      <w:pPr>
        <w:pStyle w:val="Titrearticle"/>
        <w:rPr>
          <w:noProof/>
        </w:rPr>
      </w:pPr>
      <w:r w:rsidRPr="004016FB">
        <w:t>Articolul 2</w:t>
      </w:r>
    </w:p>
    <w:p w:rsidR="006C12E0" w:rsidRPr="004016FB" w:rsidRDefault="006C12E0" w:rsidP="006C12E0">
      <w:pPr>
        <w:jc w:val="center"/>
        <w:rPr>
          <w:b/>
          <w:bCs/>
          <w:noProof/>
        </w:rPr>
      </w:pPr>
      <w:r w:rsidRPr="004016FB">
        <w:rPr>
          <w:b/>
        </w:rPr>
        <w:t>Intrarea în vigoare</w:t>
      </w:r>
    </w:p>
    <w:p w:rsidR="006C12E0" w:rsidRPr="004016FB" w:rsidRDefault="006C12E0" w:rsidP="004016FB">
      <w:pPr>
        <w:pStyle w:val="NormalHanging12a"/>
        <w:spacing w:before="240"/>
        <w:ind w:left="0" w:firstLine="0"/>
        <w:rPr>
          <w:szCs w:val="24"/>
        </w:rPr>
      </w:pPr>
      <w:r w:rsidRPr="004016FB">
        <w:t xml:space="preserve">Prezentul regulament intră în vigoare </w:t>
      </w:r>
      <w:r w:rsidRPr="004016FB">
        <w:rPr>
          <w:b/>
          <w:i/>
        </w:rPr>
        <w:t>și se aplică</w:t>
      </w:r>
      <w:r w:rsidRPr="004016FB">
        <w:t xml:space="preserve"> din ziua următoare datei publicării în </w:t>
      </w:r>
      <w:r w:rsidRPr="004016FB">
        <w:rPr>
          <w:i/>
        </w:rPr>
        <w:t>Jurnalul Oficial al Uniunii Europene</w:t>
      </w:r>
      <w:r w:rsidRPr="004016FB">
        <w:t>.</w:t>
      </w:r>
    </w:p>
    <w:p w:rsidR="006C12E0" w:rsidRPr="004016FB" w:rsidRDefault="006C12E0" w:rsidP="006C12E0">
      <w:pPr>
        <w:pStyle w:val="NormalCenter12a"/>
        <w:jc w:val="left"/>
      </w:pPr>
      <w:r w:rsidRPr="004016FB">
        <w:t>Prezentul regulament este obligatoriu în toate elementele sale și se aplică direct în toate statele membre.</w:t>
      </w:r>
    </w:p>
    <w:p w:rsidR="006C12E0" w:rsidRPr="004016FB" w:rsidRDefault="006C12E0" w:rsidP="006C12E0">
      <w:pPr>
        <w:pStyle w:val="NormalCenter12a"/>
        <w:jc w:val="left"/>
      </w:pPr>
      <w:r w:rsidRPr="004016FB">
        <w:t xml:space="preserve">Adoptat la </w:t>
      </w:r>
      <w:r w:rsidR="00310CD3" w:rsidRPr="004016FB">
        <w:t>...</w:t>
      </w:r>
      <w:r w:rsidRPr="004016FB">
        <w:t>,</w:t>
      </w:r>
    </w:p>
    <w:p w:rsidR="006C12E0" w:rsidRPr="004016FB" w:rsidRDefault="006C12E0" w:rsidP="006C12E0">
      <w:pPr>
        <w:pStyle w:val="NormalCenter12a"/>
        <w:jc w:val="left"/>
      </w:pPr>
      <w:r w:rsidRPr="004016FB">
        <w:t>Pentru Parlamentul European</w:t>
      </w:r>
    </w:p>
    <w:p w:rsidR="006C12E0" w:rsidRPr="004016FB" w:rsidRDefault="006C12E0" w:rsidP="006C12E0">
      <w:pPr>
        <w:pStyle w:val="NormalCenter12a"/>
        <w:jc w:val="left"/>
      </w:pPr>
      <w:r w:rsidRPr="004016FB">
        <w:t>Președinta</w:t>
      </w:r>
    </w:p>
    <w:p w:rsidR="006C12E0" w:rsidRPr="004016FB" w:rsidRDefault="006C12E0" w:rsidP="006C12E0">
      <w:pPr>
        <w:pStyle w:val="NormalCenter12a"/>
        <w:jc w:val="left"/>
      </w:pPr>
      <w:r w:rsidRPr="004016FB">
        <w:t>Pentru Consiliu</w:t>
      </w:r>
    </w:p>
    <w:p w:rsidR="006C12E0" w:rsidRPr="004016FB" w:rsidRDefault="006C12E0" w:rsidP="006C12E0">
      <w:pPr>
        <w:pStyle w:val="NormalCenter12a"/>
        <w:jc w:val="left"/>
      </w:pPr>
      <w:r w:rsidRPr="004016FB">
        <w:t>Președintele</w:t>
      </w:r>
    </w:p>
    <w:sectPr w:rsidR="006C12E0" w:rsidRPr="004016FB" w:rsidSect="0095752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719A" w:rsidRPr="00957526" w:rsidRDefault="00BB719A">
      <w:r w:rsidRPr="00957526">
        <w:separator/>
      </w:r>
    </w:p>
  </w:endnote>
  <w:endnote w:type="continuationSeparator" w:id="0">
    <w:p w:rsidR="00BB719A" w:rsidRPr="00957526" w:rsidRDefault="00BB719A">
      <w:r w:rsidRPr="009575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752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752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752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719A" w:rsidRPr="00957526" w:rsidRDefault="00BB719A">
      <w:r w:rsidRPr="00957526">
        <w:separator/>
      </w:r>
    </w:p>
  </w:footnote>
  <w:footnote w:type="continuationSeparator" w:id="0">
    <w:p w:rsidR="00BB719A" w:rsidRPr="00957526" w:rsidRDefault="00BB719A">
      <w:r w:rsidRPr="00957526">
        <w:continuationSeparator/>
      </w:r>
    </w:p>
  </w:footnote>
  <w:footnote w:id="1">
    <w:p w:rsidR="004D2877" w:rsidRPr="004118C0" w:rsidRDefault="004D2877" w:rsidP="004D2877">
      <w:pPr>
        <w:pStyle w:val="FootnoteText"/>
        <w:ind w:left="567" w:hanging="567"/>
        <w:rPr>
          <w:sz w:val="24"/>
          <w:lang w:val="ro-RO"/>
        </w:rPr>
      </w:pPr>
      <w:r w:rsidRPr="004118C0">
        <w:rPr>
          <w:rStyle w:val="FootnoteReference"/>
          <w:sz w:val="24"/>
          <w:lang w:val="ro-RO"/>
        </w:rPr>
        <w:footnoteRef/>
      </w:r>
      <w:r w:rsidRPr="004118C0">
        <w:rPr>
          <w:sz w:val="24"/>
          <w:lang w:val="ro-RO"/>
        </w:rPr>
        <w:t xml:space="preserve"> </w:t>
      </w:r>
      <w:r w:rsidRPr="004118C0">
        <w:rPr>
          <w:sz w:val="24"/>
          <w:lang w:val="ro-RO"/>
        </w:rPr>
        <w:tab/>
      </w:r>
      <w:r w:rsidRPr="004016FB">
        <w:rPr>
          <w:sz w:val="24"/>
          <w:lang w:val="ro-RO"/>
        </w:rPr>
        <w:t xml:space="preserve">Chestiunea a fost retrimisă </w:t>
      </w:r>
      <w:r w:rsidRPr="004D2877">
        <w:rPr>
          <w:sz w:val="24"/>
          <w:lang w:val="ro-RO"/>
        </w:rPr>
        <w:t>pentru negocieri interinstituționale</w:t>
      </w:r>
      <w:r w:rsidRPr="004016FB">
        <w:rPr>
          <w:sz w:val="24"/>
          <w:lang w:val="ro-RO"/>
        </w:rPr>
        <w:t xml:space="preserve"> comisiei competente în temeiul articolului 60 alineatul (4) al patrulea paragraf din Regulamentul de procedură (A10-0079/2025).</w:t>
      </w:r>
    </w:p>
  </w:footnote>
  <w:footnote w:id="2">
    <w:p w:rsidR="006C12E0" w:rsidRPr="00957526" w:rsidRDefault="006C12E0" w:rsidP="00957526">
      <w:pPr>
        <w:pStyle w:val="FootnoteText"/>
        <w:ind w:left="567" w:hanging="567"/>
        <w:rPr>
          <w:sz w:val="24"/>
          <w:lang w:val="ro-RO"/>
        </w:rPr>
      </w:pPr>
      <w:r w:rsidRPr="00957526">
        <w:rPr>
          <w:rStyle w:val="FootnoteReference"/>
          <w:sz w:val="24"/>
          <w:lang w:val="ro-RO"/>
        </w:rPr>
        <w:t>*</w:t>
      </w:r>
      <w:r w:rsidR="00957526" w:rsidRPr="00957526">
        <w:rPr>
          <w:sz w:val="24"/>
          <w:lang w:val="ro-RO"/>
        </w:rPr>
        <w:t xml:space="preserve"> </w:t>
      </w:r>
      <w:r w:rsidR="00957526" w:rsidRPr="00957526">
        <w:rPr>
          <w:sz w:val="24"/>
          <w:lang w:val="ro-RO"/>
        </w:rPr>
        <w:tab/>
      </w:r>
      <w:r w:rsidRPr="00957526">
        <w:rPr>
          <w:sz w:val="24"/>
          <w:lang w:val="ro-RO"/>
        </w:rPr>
        <w:t xml:space="preserve">Amendamente: textul nou sau modificat este marcat cu caractere </w:t>
      </w:r>
      <w:r w:rsidRPr="00957526">
        <w:rPr>
          <w:b/>
          <w:bCs/>
          <w:i/>
          <w:iCs/>
          <w:sz w:val="24"/>
          <w:lang w:val="ro-RO"/>
        </w:rPr>
        <w:t>cursive aldine</w:t>
      </w:r>
      <w:r w:rsidRPr="00957526">
        <w:rPr>
          <w:sz w:val="24"/>
          <w:lang w:val="ro-RO"/>
        </w:rPr>
        <w:t>; textul eliminat este marcat prin simbolul ▌.</w:t>
      </w:r>
    </w:p>
  </w:footnote>
  <w:footnote w:id="3">
    <w:p w:rsidR="006C12E0" w:rsidRPr="00957526" w:rsidRDefault="006C12E0" w:rsidP="00957526">
      <w:pPr>
        <w:pStyle w:val="FootnoteText"/>
        <w:ind w:left="567" w:hanging="567"/>
        <w:rPr>
          <w:sz w:val="24"/>
          <w:lang w:val="ro-RO"/>
        </w:rPr>
      </w:pPr>
      <w:r w:rsidRPr="00957526">
        <w:rPr>
          <w:rStyle w:val="FootnoteReference"/>
          <w:sz w:val="24"/>
          <w:lang w:val="ro-RO"/>
        </w:rPr>
        <w:footnoteRef/>
      </w:r>
      <w:r w:rsidR="00957526" w:rsidRPr="00957526">
        <w:rPr>
          <w:sz w:val="24"/>
          <w:lang w:val="ro-RO"/>
        </w:rPr>
        <w:t xml:space="preserve"> </w:t>
      </w:r>
      <w:r w:rsidR="00957526" w:rsidRPr="00957526">
        <w:rPr>
          <w:sz w:val="24"/>
          <w:lang w:val="ro-RO"/>
        </w:rPr>
        <w:tab/>
      </w:r>
      <w:r w:rsidRPr="00957526">
        <w:rPr>
          <w:sz w:val="24"/>
          <w:lang w:val="ro-RO"/>
        </w:rPr>
        <w:t> Regulamentul (UE) 2022/1032 al Parlamentului European și al Consiliului din 29 iunie 2022 de modificare a Regulamentelor (UE) 2017/1938 și (CE) nr. 715/2009 în ceea ce privește înmagazinarea gazelor (JO L 173, 30.6.2022, p. 17, ELI: http://data.europa.eu/eli/reg/2022/1032/oj).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752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752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752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9/2025"/>
    <w:docVar w:name="dvlangue" w:val="RO"/>
    <w:docVar w:name="dvnumam" w:val="0"/>
    <w:docVar w:name="dvpe" w:val="772.015"/>
    <w:docVar w:name="dvrapporteur" w:val="Raportor: "/>
    <w:docVar w:name="dvstar" w:val="***I"/>
    <w:docVar w:name="dvtitre" w:val="Rezoluția legislativă a Parlamentului European din 8 mai 2025 referitoare la propunerea de regulament al Parlamentului European și al Consiliului de modificare a Regulamentului (UE) 2017/1938 în ceea ce privește rolul înmagazinării gazelor în asigurarea aprovizionării cu gaze înainte de iarnă(COM(2025)0099 – C10-0041/2025 – 2025/0051(COD))"/>
  </w:docVars>
  <w:rsids>
    <w:rsidRoot w:val="00BB719A"/>
    <w:rsid w:val="00002272"/>
    <w:rsid w:val="00015B2B"/>
    <w:rsid w:val="00064002"/>
    <w:rsid w:val="000677B9"/>
    <w:rsid w:val="000831BA"/>
    <w:rsid w:val="000A42CC"/>
    <w:rsid w:val="000E7DD9"/>
    <w:rsid w:val="0010095E"/>
    <w:rsid w:val="00107677"/>
    <w:rsid w:val="00125B37"/>
    <w:rsid w:val="001557AA"/>
    <w:rsid w:val="00187494"/>
    <w:rsid w:val="001F32AE"/>
    <w:rsid w:val="00263A93"/>
    <w:rsid w:val="002767FF"/>
    <w:rsid w:val="002B18FE"/>
    <w:rsid w:val="002B5493"/>
    <w:rsid w:val="00310CD3"/>
    <w:rsid w:val="00343214"/>
    <w:rsid w:val="00361C00"/>
    <w:rsid w:val="00395FA1"/>
    <w:rsid w:val="0039640B"/>
    <w:rsid w:val="003E15D4"/>
    <w:rsid w:val="003E5D60"/>
    <w:rsid w:val="004016FB"/>
    <w:rsid w:val="00411CCE"/>
    <w:rsid w:val="0041666E"/>
    <w:rsid w:val="00421060"/>
    <w:rsid w:val="00471C19"/>
    <w:rsid w:val="004867E3"/>
    <w:rsid w:val="00494A28"/>
    <w:rsid w:val="004B1E65"/>
    <w:rsid w:val="004C0004"/>
    <w:rsid w:val="004C5D52"/>
    <w:rsid w:val="004D2877"/>
    <w:rsid w:val="0050519A"/>
    <w:rsid w:val="005072A1"/>
    <w:rsid w:val="00514517"/>
    <w:rsid w:val="00525C20"/>
    <w:rsid w:val="00545827"/>
    <w:rsid w:val="00560270"/>
    <w:rsid w:val="00570182"/>
    <w:rsid w:val="005C2568"/>
    <w:rsid w:val="005F1B17"/>
    <w:rsid w:val="006037C0"/>
    <w:rsid w:val="006631B6"/>
    <w:rsid w:val="00680577"/>
    <w:rsid w:val="006907C8"/>
    <w:rsid w:val="006C12E0"/>
    <w:rsid w:val="006D024B"/>
    <w:rsid w:val="006D619C"/>
    <w:rsid w:val="006F74FA"/>
    <w:rsid w:val="006F7703"/>
    <w:rsid w:val="00731ADD"/>
    <w:rsid w:val="00734777"/>
    <w:rsid w:val="00747932"/>
    <w:rsid w:val="00751A4A"/>
    <w:rsid w:val="00756632"/>
    <w:rsid w:val="0076286E"/>
    <w:rsid w:val="00762C74"/>
    <w:rsid w:val="00786EC0"/>
    <w:rsid w:val="007C29C6"/>
    <w:rsid w:val="007D1690"/>
    <w:rsid w:val="007E22AD"/>
    <w:rsid w:val="00816980"/>
    <w:rsid w:val="00817416"/>
    <w:rsid w:val="00842779"/>
    <w:rsid w:val="00865F67"/>
    <w:rsid w:val="00881A7B"/>
    <w:rsid w:val="008840E5"/>
    <w:rsid w:val="00887B3E"/>
    <w:rsid w:val="008C2AC6"/>
    <w:rsid w:val="008F342B"/>
    <w:rsid w:val="00930C23"/>
    <w:rsid w:val="0093193B"/>
    <w:rsid w:val="009509D8"/>
    <w:rsid w:val="00950B64"/>
    <w:rsid w:val="00957526"/>
    <w:rsid w:val="00981893"/>
    <w:rsid w:val="009F077A"/>
    <w:rsid w:val="00A0445D"/>
    <w:rsid w:val="00A1687D"/>
    <w:rsid w:val="00A32310"/>
    <w:rsid w:val="00A43E52"/>
    <w:rsid w:val="00A4678D"/>
    <w:rsid w:val="00A64380"/>
    <w:rsid w:val="00A778C7"/>
    <w:rsid w:val="00AB441E"/>
    <w:rsid w:val="00AB6293"/>
    <w:rsid w:val="00AE0928"/>
    <w:rsid w:val="00AF3B82"/>
    <w:rsid w:val="00B12E95"/>
    <w:rsid w:val="00B22876"/>
    <w:rsid w:val="00B337B3"/>
    <w:rsid w:val="00B558F0"/>
    <w:rsid w:val="00BB719A"/>
    <w:rsid w:val="00BD48FE"/>
    <w:rsid w:val="00BD7BD8"/>
    <w:rsid w:val="00BE6ADC"/>
    <w:rsid w:val="00C05BFE"/>
    <w:rsid w:val="00C23CD4"/>
    <w:rsid w:val="00C50D7A"/>
    <w:rsid w:val="00C61C0C"/>
    <w:rsid w:val="00C941CB"/>
    <w:rsid w:val="00CC2357"/>
    <w:rsid w:val="00CE352C"/>
    <w:rsid w:val="00CF071A"/>
    <w:rsid w:val="00D058B8"/>
    <w:rsid w:val="00D56C11"/>
    <w:rsid w:val="00D805DB"/>
    <w:rsid w:val="00D834A0"/>
    <w:rsid w:val="00D872DF"/>
    <w:rsid w:val="00D91E21"/>
    <w:rsid w:val="00DA7FCD"/>
    <w:rsid w:val="00E365E1"/>
    <w:rsid w:val="00E77903"/>
    <w:rsid w:val="00E820A4"/>
    <w:rsid w:val="00EB006A"/>
    <w:rsid w:val="00EB4772"/>
    <w:rsid w:val="00ED169E"/>
    <w:rsid w:val="00ED4235"/>
    <w:rsid w:val="00EE054B"/>
    <w:rsid w:val="00F04346"/>
    <w:rsid w:val="00F075DC"/>
    <w:rsid w:val="00F149E9"/>
    <w:rsid w:val="00F312FC"/>
    <w:rsid w:val="00F5134D"/>
    <w:rsid w:val="00F60765"/>
    <w:rsid w:val="00F74202"/>
    <w:rsid w:val="00F87713"/>
    <w:rsid w:val="00FB4360"/>
    <w:rsid w:val="00FD0C70"/>
    <w:rsid w:val="00FF192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3864CC1-9E6A-4050-B913-FAAA9789E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C12E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C12E0"/>
    <w:pPr>
      <w:spacing w:before="480" w:after="240"/>
    </w:pPr>
  </w:style>
  <w:style w:type="paragraph" w:customStyle="1" w:styleId="PageHeading">
    <w:name w:val="PageHeading"/>
    <w:basedOn w:val="Normal"/>
    <w:rsid w:val="006C12E0"/>
    <w:pPr>
      <w:keepNext/>
      <w:spacing w:after="480"/>
      <w:jc w:val="center"/>
    </w:pPr>
    <w:rPr>
      <w:rFonts w:ascii="Arial" w:hAnsi="Arial" w:cs="Arial"/>
      <w:b/>
    </w:rPr>
  </w:style>
  <w:style w:type="paragraph" w:customStyle="1" w:styleId="NormalBold">
    <w:name w:val="NormalBold"/>
    <w:basedOn w:val="Normal"/>
    <w:rsid w:val="006C12E0"/>
    <w:rPr>
      <w:b/>
    </w:rPr>
  </w:style>
  <w:style w:type="paragraph" w:customStyle="1" w:styleId="NormalHanging12a">
    <w:name w:val="NormalHanging12a"/>
    <w:basedOn w:val="Normal"/>
    <w:link w:val="NormalHanging12aChar"/>
    <w:rsid w:val="006C12E0"/>
    <w:pPr>
      <w:spacing w:after="240"/>
      <w:ind w:left="567" w:hanging="567"/>
    </w:pPr>
  </w:style>
  <w:style w:type="paragraph" w:customStyle="1" w:styleId="NormalCenter12a">
    <w:name w:val="NormalCenter12a"/>
    <w:basedOn w:val="Normal"/>
    <w:rsid w:val="006C12E0"/>
    <w:pPr>
      <w:spacing w:after="240"/>
      <w:jc w:val="center"/>
    </w:pPr>
  </w:style>
  <w:style w:type="paragraph" w:styleId="Header">
    <w:name w:val="header"/>
    <w:basedOn w:val="Normal"/>
    <w:link w:val="HeaderChar"/>
    <w:rsid w:val="006C12E0"/>
    <w:pPr>
      <w:tabs>
        <w:tab w:val="center" w:pos="4513"/>
        <w:tab w:val="right" w:pos="9026"/>
      </w:tabs>
    </w:pPr>
  </w:style>
  <w:style w:type="character" w:customStyle="1" w:styleId="HeaderChar">
    <w:name w:val="Header Char"/>
    <w:basedOn w:val="DefaultParagraphFont"/>
    <w:link w:val="Header"/>
    <w:rsid w:val="006C12E0"/>
    <w:rPr>
      <w:sz w:val="24"/>
      <w:lang w:val="ro-RO"/>
    </w:rPr>
  </w:style>
  <w:style w:type="paragraph" w:customStyle="1" w:styleId="AmNumberTabs">
    <w:name w:val="AmNumberTabs"/>
    <w:basedOn w:val="Normal"/>
    <w:rsid w:val="006C12E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6C12E0"/>
    <w:pPr>
      <w:spacing w:before="720" w:after="240"/>
      <w:jc w:val="center"/>
    </w:pPr>
  </w:style>
  <w:style w:type="paragraph" w:customStyle="1" w:styleId="EPFooter">
    <w:name w:val="EPFooter"/>
    <w:basedOn w:val="Normal"/>
    <w:rsid w:val="006C12E0"/>
    <w:pPr>
      <w:tabs>
        <w:tab w:val="center" w:pos="4535"/>
        <w:tab w:val="right" w:pos="9071"/>
      </w:tabs>
      <w:spacing w:before="240" w:after="240"/>
    </w:pPr>
    <w:rPr>
      <w:color w:val="010000"/>
      <w:sz w:val="22"/>
    </w:rPr>
  </w:style>
  <w:style w:type="paragraph" w:customStyle="1" w:styleId="Normal24a">
    <w:name w:val="Normal24a"/>
    <w:basedOn w:val="Normal"/>
    <w:rsid w:val="006C12E0"/>
    <w:pPr>
      <w:spacing w:after="480"/>
    </w:pPr>
  </w:style>
  <w:style w:type="paragraph" w:customStyle="1" w:styleId="NormalBoldCenter">
    <w:name w:val="NormalBoldCenter"/>
    <w:basedOn w:val="Normal"/>
    <w:rsid w:val="006C12E0"/>
    <w:pPr>
      <w:jc w:val="center"/>
    </w:pPr>
    <w:rPr>
      <w:b/>
    </w:rPr>
  </w:style>
  <w:style w:type="paragraph" w:customStyle="1" w:styleId="Footprint12b">
    <w:name w:val="Footprint12b"/>
    <w:basedOn w:val="Normal"/>
    <w:rsid w:val="006C12E0"/>
    <w:pPr>
      <w:spacing w:before="240"/>
    </w:pPr>
    <w:rPr>
      <w:szCs w:val="24"/>
    </w:rPr>
  </w:style>
  <w:style w:type="paragraph" w:customStyle="1" w:styleId="NormalSingle">
    <w:name w:val="NormalSingle"/>
    <w:basedOn w:val="Normal"/>
    <w:qFormat/>
    <w:rsid w:val="006C12E0"/>
    <w:rPr>
      <w:szCs w:val="24"/>
    </w:rPr>
  </w:style>
  <w:style w:type="character" w:styleId="Hyperlink">
    <w:name w:val="Hyperlink"/>
    <w:basedOn w:val="DefaultParagraphFont"/>
    <w:rsid w:val="006C12E0"/>
    <w:rPr>
      <w:color w:val="0563C1" w:themeColor="hyperlink"/>
      <w:u w:val="single"/>
    </w:rPr>
  </w:style>
  <w:style w:type="paragraph" w:customStyle="1" w:styleId="Titrearticle">
    <w:name w:val="Titre article"/>
    <w:basedOn w:val="Normal"/>
    <w:next w:val="Normal"/>
    <w:rsid w:val="006C12E0"/>
    <w:pPr>
      <w:keepNext/>
      <w:widowControl/>
      <w:spacing w:before="360" w:after="120"/>
      <w:jc w:val="center"/>
    </w:pPr>
    <w:rPr>
      <w:rFonts w:eastAsiaTheme="minorHAnsi"/>
      <w:i/>
      <w:szCs w:val="22"/>
      <w:lang w:eastAsia="en-US"/>
    </w:rPr>
  </w:style>
  <w:style w:type="character" w:customStyle="1" w:styleId="NormalHanging12aChar">
    <w:name w:val="NormalHanging12a Char"/>
    <w:basedOn w:val="DefaultParagraphFont"/>
    <w:link w:val="NormalHanging12a"/>
    <w:rsid w:val="006C12E0"/>
    <w:rPr>
      <w:sz w:val="24"/>
      <w:lang w:val="ro-RO"/>
    </w:rPr>
  </w:style>
  <w:style w:type="paragraph" w:customStyle="1" w:styleId="RollCallVotes">
    <w:name w:val="RollCallVotes"/>
    <w:basedOn w:val="Normal"/>
    <w:rsid w:val="006C12E0"/>
    <w:pPr>
      <w:spacing w:before="120" w:after="120"/>
      <w:jc w:val="center"/>
    </w:pPr>
    <w:rPr>
      <w:b/>
      <w:bCs/>
      <w:snapToGrid w:val="0"/>
      <w:sz w:val="16"/>
      <w:lang w:eastAsia="en-US"/>
    </w:rPr>
  </w:style>
  <w:style w:type="paragraph" w:customStyle="1" w:styleId="RollCallSymbols14pt">
    <w:name w:val="RollCallSymbols14pt"/>
    <w:basedOn w:val="Normal"/>
    <w:rsid w:val="006C12E0"/>
    <w:pPr>
      <w:spacing w:before="120" w:after="120"/>
      <w:jc w:val="center"/>
    </w:pPr>
    <w:rPr>
      <w:rFonts w:ascii="Arial" w:hAnsi="Arial"/>
      <w:b/>
      <w:bCs/>
      <w:snapToGrid w:val="0"/>
      <w:sz w:val="28"/>
      <w:lang w:eastAsia="en-US"/>
    </w:rPr>
  </w:style>
  <w:style w:type="paragraph" w:customStyle="1" w:styleId="RollCallTable">
    <w:name w:val="RollCallTable"/>
    <w:basedOn w:val="Normal"/>
    <w:rsid w:val="006C12E0"/>
    <w:pPr>
      <w:spacing w:before="120" w:after="120"/>
    </w:pPr>
    <w:rPr>
      <w:snapToGrid w:val="0"/>
      <w:sz w:val="16"/>
      <w:lang w:eastAsia="en-US"/>
    </w:rPr>
  </w:style>
  <w:style w:type="paragraph" w:styleId="ListParagraph">
    <w:name w:val="List Paragraph"/>
    <w:basedOn w:val="Normal"/>
    <w:uiPriority w:val="34"/>
    <w:qFormat/>
    <w:rsid w:val="006C12E0"/>
    <w:pPr>
      <w:widowControl/>
      <w:spacing w:after="200" w:line="276" w:lineRule="auto"/>
      <w:ind w:left="720"/>
      <w:contextualSpacing/>
    </w:pPr>
    <w:rPr>
      <w:rFonts w:ascii="Calibri" w:eastAsia="Calibri" w:hAnsi="Calibri"/>
      <w:sz w:val="22"/>
      <w:szCs w:val="22"/>
      <w:lang w:eastAsia="en-US"/>
    </w:rPr>
  </w:style>
  <w:style w:type="paragraph" w:customStyle="1" w:styleId="Normal12">
    <w:name w:val="Normal12"/>
    <w:basedOn w:val="Normal"/>
    <w:qFormat/>
    <w:rsid w:val="006C12E0"/>
    <w:pPr>
      <w:spacing w:after="240"/>
    </w:pPr>
    <w:rPr>
      <w:snapToGrid w:val="0"/>
      <w:lang w:eastAsia="en-US"/>
    </w:rPr>
  </w:style>
  <w:style w:type="paragraph" w:styleId="Footer">
    <w:name w:val="footer"/>
    <w:basedOn w:val="Normal"/>
    <w:link w:val="FooterChar"/>
    <w:rsid w:val="006D619C"/>
    <w:pPr>
      <w:tabs>
        <w:tab w:val="center" w:pos="4513"/>
        <w:tab w:val="right" w:pos="9026"/>
      </w:tabs>
    </w:pPr>
  </w:style>
  <w:style w:type="character" w:customStyle="1" w:styleId="FooterChar">
    <w:name w:val="Footer Char"/>
    <w:basedOn w:val="DefaultParagraphFont"/>
    <w:link w:val="Footer"/>
    <w:rsid w:val="006D619C"/>
    <w:rPr>
      <w:sz w:val="24"/>
      <w:lang w:val="ro-RO"/>
    </w:rPr>
  </w:style>
  <w:style w:type="paragraph" w:customStyle="1" w:styleId="Normal12a">
    <w:name w:val="Normal12a"/>
    <w:basedOn w:val="Normal"/>
    <w:rsid w:val="006D619C"/>
    <w:pPr>
      <w:spacing w:after="240"/>
    </w:pPr>
  </w:style>
  <w:style w:type="paragraph" w:styleId="BalloonText">
    <w:name w:val="Balloon Text"/>
    <w:basedOn w:val="Normal"/>
    <w:link w:val="BalloonTextChar"/>
    <w:rsid w:val="006D619C"/>
    <w:rPr>
      <w:rFonts w:ascii="Segoe UI" w:hAnsi="Segoe UI" w:cs="Segoe UI"/>
      <w:sz w:val="18"/>
      <w:szCs w:val="18"/>
    </w:rPr>
  </w:style>
  <w:style w:type="character" w:customStyle="1" w:styleId="BalloonTextChar">
    <w:name w:val="Balloon Text Char"/>
    <w:basedOn w:val="DefaultParagraphFont"/>
    <w:link w:val="BalloonText"/>
    <w:rsid w:val="006D619C"/>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4A3AB6-6B28-4CE2-85E6-45C49ED27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3647</Words>
  <Characters>21244</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GHERMAN Laura</cp:lastModifiedBy>
  <cp:revision>2</cp:revision>
  <cp:lastPrinted>2004-11-19T15:42:00Z</cp:lastPrinted>
  <dcterms:created xsi:type="dcterms:W3CDTF">2025-05-08T14:06:00Z</dcterms:created>
  <dcterms:modified xsi:type="dcterms:W3CDTF">2025-05-08T14:06:00Z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A10-0079/2025</vt:lpwstr>
  </property>
  <property fmtid="{D5CDD505-2E9C-101B-9397-08002B2CF9AE}" pid="4" name="&lt;Type&gt;">
    <vt:lpwstr>RR</vt:lpwstr>
  </property>
</Properties>
</file>