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4481" w14:paraId="691C9F1A" w14:textId="77777777" w:rsidTr="0010095E">
        <w:trPr>
          <w:trHeight w:hRule="exact" w:val="1418"/>
        </w:trPr>
        <w:tc>
          <w:tcPr>
            <w:tcW w:w="6804" w:type="dxa"/>
            <w:shd w:val="clear" w:color="auto" w:fill="auto"/>
            <w:vAlign w:val="center"/>
          </w:tcPr>
          <w:p w14:paraId="5F33CD15" w14:textId="77777777" w:rsidR="00751A4A" w:rsidRPr="00D74481" w:rsidRDefault="001049C1" w:rsidP="0010095E">
            <w:pPr>
              <w:pStyle w:val="EPName"/>
            </w:pPr>
            <w:r w:rsidRPr="00D74481">
              <w:t>Evropski parlament</w:t>
            </w:r>
          </w:p>
          <w:p w14:paraId="614F8BA6" w14:textId="77777777" w:rsidR="00751A4A" w:rsidRPr="00D74481" w:rsidRDefault="005F1B17" w:rsidP="005F1B17">
            <w:pPr>
              <w:pStyle w:val="EPTerm"/>
              <w:rPr>
                <w:rStyle w:val="HideTWBExt"/>
                <w:noProof w:val="0"/>
                <w:vanish w:val="0"/>
                <w:color w:val="auto"/>
              </w:rPr>
            </w:pPr>
            <w:r w:rsidRPr="00D74481">
              <w:t>2024</w:t>
            </w:r>
            <w:r w:rsidR="00817416" w:rsidRPr="00D74481">
              <w:t>-202</w:t>
            </w:r>
            <w:r w:rsidRPr="00D74481">
              <w:t>9</w:t>
            </w:r>
          </w:p>
        </w:tc>
        <w:tc>
          <w:tcPr>
            <w:tcW w:w="2268" w:type="dxa"/>
            <w:shd w:val="clear" w:color="auto" w:fill="auto"/>
          </w:tcPr>
          <w:p w14:paraId="43AD4429" w14:textId="77777777" w:rsidR="00751A4A" w:rsidRPr="00D74481" w:rsidRDefault="00187494" w:rsidP="0010095E">
            <w:pPr>
              <w:pStyle w:val="EPLogo"/>
            </w:pPr>
            <w:r w:rsidRPr="00D74481">
              <w:rPr>
                <w:noProof/>
                <w:lang w:val="en-GB"/>
              </w:rPr>
              <w:drawing>
                <wp:inline distT="0" distB="0" distL="0" distR="0" wp14:anchorId="1F7D67D5" wp14:editId="29052C2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1089DB" w14:textId="77777777" w:rsidR="00D058B8" w:rsidRPr="00D74481" w:rsidRDefault="00D058B8" w:rsidP="004C5D52">
      <w:pPr>
        <w:pStyle w:val="LineTop"/>
      </w:pPr>
    </w:p>
    <w:p w14:paraId="37854F21" w14:textId="77777777" w:rsidR="00680577" w:rsidRPr="00D74481" w:rsidRDefault="001049C1" w:rsidP="00680577">
      <w:pPr>
        <w:pStyle w:val="EPBodyTA1"/>
      </w:pPr>
      <w:r w:rsidRPr="00D74481">
        <w:t>SPREJETA BESEDILA</w:t>
      </w:r>
    </w:p>
    <w:p w14:paraId="10398427" w14:textId="77777777" w:rsidR="00D058B8" w:rsidRPr="00D74481" w:rsidRDefault="00D058B8" w:rsidP="00D058B8">
      <w:pPr>
        <w:pStyle w:val="LineBottom"/>
      </w:pPr>
    </w:p>
    <w:p w14:paraId="098F7382" w14:textId="77777777" w:rsidR="001049C1" w:rsidRPr="00D74481" w:rsidRDefault="001049C1" w:rsidP="00E57F1D">
      <w:pPr>
        <w:pStyle w:val="ATHeading1"/>
      </w:pPr>
      <w:bookmarkStart w:id="0" w:name="TANumber"/>
      <w:r w:rsidRPr="00D74481">
        <w:t>P10_TA(2025)</w:t>
      </w:r>
      <w:bookmarkEnd w:id="0"/>
      <w:r w:rsidR="00E57F1D" w:rsidRPr="00D74481">
        <w:t>0</w:t>
      </w:r>
      <w:r w:rsidR="00E57F1D">
        <w:t>101</w:t>
      </w:r>
    </w:p>
    <w:p w14:paraId="5F4F0390" w14:textId="77777777" w:rsidR="001049C1" w:rsidRPr="00D74481" w:rsidRDefault="001049C1" w:rsidP="001049C1">
      <w:pPr>
        <w:pStyle w:val="ATHeading2"/>
      </w:pPr>
      <w:bookmarkStart w:id="1" w:name="title"/>
      <w:r w:rsidRPr="00D74481">
        <w:t>Vloga skladiščenja plina pri zagotavljanju oskrbe s plinom pred zimsko sezono</w:t>
      </w:r>
      <w:bookmarkEnd w:id="1"/>
    </w:p>
    <w:p w14:paraId="75489422" w14:textId="77777777" w:rsidR="001049C1" w:rsidRPr="00D74481" w:rsidRDefault="001049C1" w:rsidP="001049C1">
      <w:pPr>
        <w:rPr>
          <w:i/>
          <w:vanish/>
        </w:rPr>
      </w:pPr>
      <w:r w:rsidRPr="00D74481">
        <w:rPr>
          <w:i/>
        </w:rPr>
        <w:fldChar w:fldCharType="begin"/>
      </w:r>
      <w:r w:rsidRPr="00D74481">
        <w:rPr>
          <w:i/>
        </w:rPr>
        <w:instrText xml:space="preserve"> TC"(</w:instrText>
      </w:r>
      <w:bookmarkStart w:id="2" w:name="DocNumber"/>
      <w:r w:rsidRPr="00D74481">
        <w:rPr>
          <w:i/>
        </w:rPr>
        <w:instrText>A10-0079/2025</w:instrText>
      </w:r>
      <w:bookmarkEnd w:id="2"/>
      <w:r w:rsidRPr="00D74481">
        <w:rPr>
          <w:i/>
        </w:rPr>
        <w:instrText xml:space="preserve"> - Poročevalec: </w:instrText>
      </w:r>
      <w:proofErr w:type="spellStart"/>
      <w:r w:rsidRPr="00D74481">
        <w:rPr>
          <w:i/>
        </w:rPr>
        <w:instrText>Borys</w:instrText>
      </w:r>
      <w:proofErr w:type="spellEnd"/>
      <w:r w:rsidRPr="00D74481">
        <w:rPr>
          <w:i/>
        </w:rPr>
        <w:instrText xml:space="preserve"> </w:instrText>
      </w:r>
      <w:proofErr w:type="spellStart"/>
      <w:r w:rsidRPr="00D74481">
        <w:rPr>
          <w:i/>
        </w:rPr>
        <w:instrText>Budka</w:instrText>
      </w:r>
      <w:proofErr w:type="spellEnd"/>
      <w:r w:rsidRPr="00D74481">
        <w:rPr>
          <w:i/>
        </w:rPr>
        <w:instrText xml:space="preserve">)"\l3 \n&gt; \* MERGEFORMAT </w:instrText>
      </w:r>
      <w:r w:rsidRPr="00D74481">
        <w:rPr>
          <w:i/>
        </w:rPr>
        <w:fldChar w:fldCharType="end"/>
      </w:r>
    </w:p>
    <w:p w14:paraId="7C67E0F9" w14:textId="77777777" w:rsidR="001049C1" w:rsidRPr="00D74481" w:rsidRDefault="001049C1" w:rsidP="001049C1">
      <w:pPr>
        <w:rPr>
          <w:vanish/>
        </w:rPr>
      </w:pPr>
      <w:bookmarkStart w:id="3" w:name="Commission"/>
      <w:r w:rsidRPr="00D74481">
        <w:rPr>
          <w:vanish/>
        </w:rPr>
        <w:t>Odbor za industrijo, raziskave in energetiko</w:t>
      </w:r>
      <w:bookmarkEnd w:id="3"/>
    </w:p>
    <w:p w14:paraId="382E9DC7" w14:textId="77777777" w:rsidR="001049C1" w:rsidRPr="00D74481" w:rsidRDefault="001049C1" w:rsidP="001049C1">
      <w:pPr>
        <w:rPr>
          <w:vanish/>
        </w:rPr>
      </w:pPr>
      <w:bookmarkStart w:id="4" w:name="PE"/>
      <w:r w:rsidRPr="00D74481">
        <w:rPr>
          <w:vanish/>
        </w:rPr>
        <w:t>PE772.015</w:t>
      </w:r>
      <w:bookmarkEnd w:id="4"/>
    </w:p>
    <w:p w14:paraId="6F67B5BB" w14:textId="77777777" w:rsidR="001049C1" w:rsidRPr="00D74481" w:rsidRDefault="00E57F1D" w:rsidP="005B1BAA">
      <w:pPr>
        <w:pStyle w:val="ATHeading3"/>
      </w:pPr>
      <w:bookmarkStart w:id="5" w:name="Sujet"/>
      <w:r>
        <w:t>Spremembe</w:t>
      </w:r>
      <w:r w:rsidR="001049C1" w:rsidRPr="00D74481">
        <w:t xml:space="preserve"> Evropskega parlamenta</w:t>
      </w:r>
      <w:r>
        <w:t>, sprejete</w:t>
      </w:r>
      <w:r w:rsidR="001049C1" w:rsidRPr="00D74481">
        <w:t xml:space="preserve"> 8. maja 2025</w:t>
      </w:r>
      <w:r>
        <w:t>,</w:t>
      </w:r>
      <w:r w:rsidR="001049C1" w:rsidRPr="00D74481">
        <w:t xml:space="preserve"> o predlogu uredbe Evropskega parlamenta in Sveta o spremembi Uredbe (EU) 2017/1938 glede vloge skladiščenja plina pri zagotavljanju oskrbe s plinom pred zimsko sezono</w:t>
      </w:r>
      <w:bookmarkEnd w:id="5"/>
      <w:r w:rsidR="001049C1" w:rsidRPr="00D74481">
        <w:t xml:space="preserve"> </w:t>
      </w:r>
      <w:bookmarkStart w:id="6" w:name="References"/>
      <w:r w:rsidR="001049C1" w:rsidRPr="00D74481">
        <w:t>(COM(2025)0099 – C10-0041/2025 – 2025/0051(COD))</w:t>
      </w:r>
      <w:bookmarkEnd w:id="6"/>
      <w:r w:rsidR="005B1BAA" w:rsidRPr="007A2FD9">
        <w:rPr>
          <w:rStyle w:val="FootnoteReference"/>
        </w:rPr>
        <w:footnoteReference w:id="1"/>
      </w:r>
    </w:p>
    <w:p w14:paraId="78B3A9FC" w14:textId="77777777" w:rsidR="001049C1" w:rsidRPr="00D74481" w:rsidRDefault="001049C1" w:rsidP="001049C1"/>
    <w:p w14:paraId="1F8D2DD9" w14:textId="77777777" w:rsidR="00801600" w:rsidRPr="00D74481" w:rsidRDefault="00801600" w:rsidP="00801600">
      <w:pPr>
        <w:pStyle w:val="NormalBold"/>
      </w:pPr>
      <w:bookmarkStart w:id="7" w:name="TextBodyBegin"/>
      <w:bookmarkEnd w:id="7"/>
      <w:r w:rsidRPr="00D74481">
        <w:t>(Redni zakonodajni postopek: prva obravnava)</w:t>
      </w:r>
    </w:p>
    <w:p w14:paraId="062496B5" w14:textId="77777777" w:rsidR="00801600" w:rsidRPr="00D74481" w:rsidRDefault="00406EE0" w:rsidP="00406EE0">
      <w:pPr>
        <w:pStyle w:val="AmNumberTabs"/>
        <w:keepNext/>
      </w:pPr>
      <w:r>
        <w:t>[</w:t>
      </w:r>
      <w:r w:rsidR="00E57F1D">
        <w:t>S</w:t>
      </w:r>
      <w:r w:rsidR="00801600" w:rsidRPr="00D74481">
        <w:t>prememb</w:t>
      </w:r>
      <w:r w:rsidR="00E57F1D">
        <w:t>a</w:t>
      </w:r>
      <w:r w:rsidR="00801600" w:rsidRPr="00D74481">
        <w:tab/>
        <w:t>1</w:t>
      </w:r>
      <w:r>
        <w:t>, razen če je navedeno drugače]</w:t>
      </w:r>
    </w:p>
    <w:p w14:paraId="44B64C0F" w14:textId="77777777" w:rsidR="00801600" w:rsidRPr="00D74481" w:rsidRDefault="00801600" w:rsidP="00E57F1D">
      <w:pPr>
        <w:pStyle w:val="AmHeadingConsam"/>
      </w:pPr>
      <w:r w:rsidRPr="00D74481">
        <w:t>SPREMEMB</w:t>
      </w:r>
      <w:r w:rsidR="00E57F1D">
        <w:t>E</w:t>
      </w:r>
      <w:r w:rsidRPr="00D74481">
        <w:t xml:space="preserve"> EVROPSKEGA PARLAMENTA</w:t>
      </w:r>
      <w:r w:rsidRPr="00D74481">
        <w:rPr>
          <w:rStyle w:val="FootnoteReference"/>
        </w:rPr>
        <w:footnoteReference w:customMarkFollows="1" w:id="2"/>
        <w:t>*</w:t>
      </w:r>
    </w:p>
    <w:p w14:paraId="2090BF08" w14:textId="77777777" w:rsidR="00801600" w:rsidRPr="00D74481" w:rsidRDefault="00801600" w:rsidP="00801600">
      <w:pPr>
        <w:pStyle w:val="NormalCenter12a"/>
      </w:pPr>
      <w:r w:rsidRPr="00D74481">
        <w:t>k predlogu Komisije</w:t>
      </w:r>
    </w:p>
    <w:p w14:paraId="6BFD58BD" w14:textId="77777777" w:rsidR="00801600" w:rsidRPr="00D74481" w:rsidRDefault="00801600" w:rsidP="00801600">
      <w:pPr>
        <w:pStyle w:val="NormalCenter12a"/>
      </w:pPr>
      <w:r w:rsidRPr="00D74481">
        <w:t>---------------------------------------------------------</w:t>
      </w:r>
    </w:p>
    <w:p w14:paraId="71424BC2" w14:textId="77777777" w:rsidR="00801600" w:rsidRPr="00D74481" w:rsidRDefault="00801600" w:rsidP="00801600">
      <w:pPr>
        <w:pStyle w:val="NormalCenter12a"/>
      </w:pPr>
    </w:p>
    <w:p w14:paraId="1761507C" w14:textId="77777777" w:rsidR="00801600" w:rsidRPr="00D74481" w:rsidRDefault="00801600" w:rsidP="00801600">
      <w:pPr>
        <w:pStyle w:val="NormalCenter12a"/>
        <w:rPr>
          <w:b/>
        </w:rPr>
      </w:pPr>
      <w:r w:rsidRPr="00D74481">
        <w:rPr>
          <w:b/>
        </w:rPr>
        <w:t>UREDBA EVROPSKEGA PARLAMENTA IN SVETA</w:t>
      </w:r>
    </w:p>
    <w:p w14:paraId="0B595408" w14:textId="77777777" w:rsidR="00801600" w:rsidRPr="00D74481" w:rsidRDefault="00801600" w:rsidP="00801600">
      <w:pPr>
        <w:pStyle w:val="NormalCenter12a"/>
      </w:pPr>
      <w:r w:rsidRPr="00D74481">
        <w:rPr>
          <w:b/>
        </w:rPr>
        <w:t>o spremembi Uredbe (EU) 2017/1938 glede vloge skladiščenja plina pri zagotavljanju oskrbe s plinom pred zimsko sezono</w:t>
      </w:r>
    </w:p>
    <w:p w14:paraId="7CF9661C" w14:textId="77777777" w:rsidR="00801600" w:rsidRPr="00D74481" w:rsidRDefault="00801600" w:rsidP="00801600">
      <w:pPr>
        <w:pStyle w:val="NormalCenter12a"/>
        <w:jc w:val="left"/>
      </w:pPr>
      <w:r w:rsidRPr="00D74481">
        <w:t>EVROPSKI PARLAMENT IN SVET EVROPSKE UNIJE STA –</w:t>
      </w:r>
    </w:p>
    <w:p w14:paraId="06CF2AA6" w14:textId="77777777" w:rsidR="00801600" w:rsidRPr="00D74481" w:rsidRDefault="00801600" w:rsidP="00801600">
      <w:pPr>
        <w:pStyle w:val="NormalCenter12a"/>
        <w:jc w:val="left"/>
      </w:pPr>
      <w:r w:rsidRPr="00D74481">
        <w:t>ob upoštevanju Pogodbe o delovanju Evropske unije in zlasti člena 194(2) Pogodbe,</w:t>
      </w:r>
    </w:p>
    <w:p w14:paraId="54A3DA20" w14:textId="77777777" w:rsidR="00801600" w:rsidRPr="00D74481" w:rsidRDefault="00801600" w:rsidP="00801600">
      <w:pPr>
        <w:pStyle w:val="NormalCenter12a"/>
        <w:jc w:val="left"/>
      </w:pPr>
      <w:r w:rsidRPr="00D74481">
        <w:t>ob upoštevanju predloga Evropske komisije,</w:t>
      </w:r>
    </w:p>
    <w:p w14:paraId="2CF3E3D4" w14:textId="77777777" w:rsidR="00801600" w:rsidRPr="00D74481" w:rsidRDefault="00801600" w:rsidP="00801600">
      <w:pPr>
        <w:pStyle w:val="NormalCenter12a"/>
        <w:jc w:val="left"/>
      </w:pPr>
      <w:r w:rsidRPr="00D74481">
        <w:lastRenderedPageBreak/>
        <w:t>po posredovanju osnutka zakonodajnega akta nacionalnim parlamentom,</w:t>
      </w:r>
    </w:p>
    <w:p w14:paraId="23780C91" w14:textId="77777777" w:rsidR="00801600" w:rsidRPr="00D74481" w:rsidRDefault="00801600" w:rsidP="00801600">
      <w:pPr>
        <w:pStyle w:val="NormalCenter12a"/>
        <w:jc w:val="left"/>
      </w:pPr>
      <w:r w:rsidRPr="00D74481">
        <w:t>v skladu z rednim zakonodajnim postopkom,</w:t>
      </w:r>
    </w:p>
    <w:p w14:paraId="4F86D444" w14:textId="77777777" w:rsidR="00801600" w:rsidRPr="00D74481" w:rsidRDefault="00801600" w:rsidP="00801600">
      <w:pPr>
        <w:pStyle w:val="NormalCenter12a"/>
        <w:jc w:val="left"/>
      </w:pPr>
      <w:r w:rsidRPr="00D74481">
        <w:t>ob upoštevanju naslednjega:</w:t>
      </w:r>
    </w:p>
    <w:p w14:paraId="028A1A63" w14:textId="77777777" w:rsidR="00801600" w:rsidRDefault="00801600" w:rsidP="00801600">
      <w:pPr>
        <w:pStyle w:val="NormalHanging12a"/>
        <w:ind w:left="851" w:hanging="851"/>
      </w:pPr>
      <w:r w:rsidRPr="00D74481">
        <w:t>(1)</w:t>
      </w:r>
      <w:r w:rsidRPr="00D74481">
        <w:tab/>
        <w:t>Uredba (EU) 2022/1032 Evropskega parlamenta in Sveta</w:t>
      </w:r>
      <w:r w:rsidRPr="00D74481">
        <w:rPr>
          <w:vertAlign w:val="superscript"/>
        </w:rPr>
        <w:footnoteReference w:id="3"/>
      </w:r>
      <w:r w:rsidRPr="00D74481">
        <w:t xml:space="preserve"> je bila sprejeta v odziv na krizo pri oskrbi s plinom in doslej največje zvišanje cen zaradi stopnjevanja </w:t>
      </w:r>
      <w:r w:rsidRPr="00D74481">
        <w:rPr>
          <w:b/>
          <w:bCs/>
          <w:i/>
          <w:iCs/>
        </w:rPr>
        <w:t xml:space="preserve">neupravičene in </w:t>
      </w:r>
      <w:proofErr w:type="spellStart"/>
      <w:r w:rsidRPr="00D74481">
        <w:rPr>
          <w:b/>
          <w:bCs/>
          <w:i/>
          <w:iCs/>
        </w:rPr>
        <w:t>neizzvane</w:t>
      </w:r>
      <w:proofErr w:type="spellEnd"/>
      <w:r w:rsidRPr="00D74481">
        <w:rPr>
          <w:b/>
          <w:bCs/>
          <w:i/>
          <w:iCs/>
        </w:rPr>
        <w:t xml:space="preserve"> vojaške agresije Rusije</w:t>
      </w:r>
      <w:r w:rsidRPr="00D74481">
        <w:t xml:space="preserve"> proti Ukrajini od februarja 2022, ki sta Unijo prisilili k usklajenemu in celovitemu ukrepanju, da bi se izognili morebitnim tveganjem zaradi nadaljnjih motenj v oskrbi s plinom.</w:t>
      </w:r>
    </w:p>
    <w:p w14:paraId="0722E7BD" w14:textId="77777777" w:rsidR="007E6B09" w:rsidRPr="00184FF2" w:rsidRDefault="007E6B09" w:rsidP="00801600">
      <w:pPr>
        <w:pStyle w:val="NormalHanging12a"/>
        <w:ind w:left="851" w:hanging="851"/>
        <w:rPr>
          <w:b/>
          <w:szCs w:val="24"/>
        </w:rPr>
      </w:pPr>
      <w:r w:rsidRPr="007E6B09">
        <w:rPr>
          <w:b/>
          <w:i/>
          <w:szCs w:val="24"/>
          <w:lang w:eastAsia="en-US"/>
        </w:rPr>
        <w:t>(1a)</w:t>
      </w:r>
      <w:r w:rsidRPr="007E6B09">
        <w:rPr>
          <w:szCs w:val="24"/>
          <w:lang w:eastAsia="en-US"/>
        </w:rPr>
        <w:tab/>
      </w:r>
      <w:r w:rsidRPr="007E6B09">
        <w:rPr>
          <w:b/>
          <w:i/>
          <w:szCs w:val="24"/>
          <w:lang w:eastAsia="en-US"/>
        </w:rPr>
        <w:t>Glede na sedanjo rusko vojno proti Ukrajini in v skladu s strateško zavezo Unije, da odpravi svojo odvisnost od ruskih fosilnih goriv, države članice ne bi smele skladiščiti plina ruskega izvora. V zvezi s tem bi si morala Unija prizadevati za usklajene in takojšnje sankcije za uvoz in nabavo vsega ruskega plina, vključno z utekočinjenim zemeljskim plinom (UZP). Iz napovedi mreže ENTSO-G za zimsko oskrbo za obdobje 2024–2025 je razvidno, da lahko Unija z izvajanjem kombinacije ukrepov, vključno z nadaljnjim zmanjšanjem povpraševanja, doseže svoje cilje glede skladiščenja in ohrani zanesljivost oskrbe brez zanašanja na ruski plin. Popoln embargo na ruski plin je torej potreben in tudi izvedljiv, z njegovo hitro uvedbo pa bi okrepili energetsko suverenost in geopolitično odpornost Unije.</w:t>
      </w:r>
      <w:r w:rsidR="00406EE0">
        <w:rPr>
          <w:b/>
          <w:i/>
          <w:szCs w:val="24"/>
          <w:lang w:eastAsia="en-US"/>
        </w:rPr>
        <w:t xml:space="preserve"> </w:t>
      </w:r>
      <w:r w:rsidR="00406EE0">
        <w:rPr>
          <w:b/>
          <w:szCs w:val="24"/>
          <w:lang w:eastAsia="en-US"/>
        </w:rPr>
        <w:t>[Sprememba 7]</w:t>
      </w:r>
    </w:p>
    <w:p w14:paraId="6120F1BC" w14:textId="77777777" w:rsidR="00801600" w:rsidRPr="00D74481" w:rsidRDefault="00801600" w:rsidP="00801600">
      <w:pPr>
        <w:pStyle w:val="NormalCenter12a"/>
        <w:ind w:left="851" w:hanging="851"/>
        <w:jc w:val="left"/>
      </w:pPr>
      <w:r w:rsidRPr="00D74481">
        <w:t>(2)</w:t>
      </w:r>
      <w:r w:rsidRPr="00D74481">
        <w:tab/>
        <w:t>Uredba (EU) 2022/1032 je spremenila Uredbo (EU) 2017/1938 z uvedbo začasnega pravnega okvira za ukrepe glede ravni napolnjenosti podzemnih skladišč za okrepitev zanesljivosti oskrbe s plinom v Uniji, zlasti zaščitenih odjemalcev.</w:t>
      </w:r>
    </w:p>
    <w:p w14:paraId="47E6B358" w14:textId="77777777" w:rsidR="00801600" w:rsidRPr="00D74481" w:rsidRDefault="00801600" w:rsidP="00801600">
      <w:pPr>
        <w:pStyle w:val="NormalHanging12a"/>
        <w:ind w:left="851" w:hanging="851"/>
        <w:rPr>
          <w:szCs w:val="24"/>
        </w:rPr>
      </w:pPr>
      <w:r w:rsidRPr="00D74481">
        <w:t>(3)</w:t>
      </w:r>
      <w:r w:rsidRPr="00D74481">
        <w:tab/>
        <w:t>Skladišča plina zagotavljajo 30 % porabe plina v Uniji v zimskih mesecih, ustrezno napolnjena podzemna skladišča plina</w:t>
      </w:r>
      <w:r w:rsidRPr="00D74481">
        <w:rPr>
          <w:b/>
          <w:bCs/>
          <w:i/>
          <w:iCs/>
        </w:rPr>
        <w:t>, pa tudi zmanjšano povpraševanje po plinu,</w:t>
      </w:r>
      <w:r w:rsidRPr="00D74481">
        <w:t xml:space="preserve"> pa znatno prispevajo k zanesljivosti oskrbe s plinom z zagotavljanjem dodatnega plina v primeru velikega povpraševanja ali motenj v oskrbi.</w:t>
      </w:r>
    </w:p>
    <w:p w14:paraId="787B23C3" w14:textId="77777777" w:rsidR="00801600" w:rsidRPr="00D74481" w:rsidRDefault="00801600" w:rsidP="00801600">
      <w:pPr>
        <w:pStyle w:val="NormalHanging12a"/>
        <w:ind w:left="851" w:hanging="851"/>
        <w:rPr>
          <w:szCs w:val="24"/>
        </w:rPr>
      </w:pPr>
      <w:r w:rsidRPr="00D74481">
        <w:t>(4)</w:t>
      </w:r>
      <w:r w:rsidRPr="00D74481">
        <w:tab/>
        <w:t xml:space="preserve">Določitev obveznega cilja zagotavljanja 90-odstotne napolnjenosti skladišč plina do 1. novembra (cilj napolnjenosti) in niza vmesnih ciljev za vsako državo članico za februar, maj, julij in september naslednje leto (krivulja polnjenja) se je v času energetske krize, ki sta jo povzročila </w:t>
      </w:r>
      <w:r w:rsidRPr="00D74481">
        <w:rPr>
          <w:b/>
          <w:bCs/>
          <w:i/>
          <w:iCs/>
        </w:rPr>
        <w:t>ruska vojaška agresija proti Ukrajini in</w:t>
      </w:r>
      <w:r w:rsidRPr="00D74481">
        <w:t xml:space="preserve"> to, da je </w:t>
      </w:r>
      <w:r w:rsidRPr="00D74481">
        <w:rPr>
          <w:b/>
          <w:bCs/>
          <w:i/>
          <w:iCs/>
        </w:rPr>
        <w:t>Rusija</w:t>
      </w:r>
      <w:r w:rsidRPr="00D74481">
        <w:t xml:space="preserve"> oskrbo s plinom uporabljala kot orožje, izkazala za bistveno za: (i) premagovanje pomanjkanja oskrbe s plinom ter (ii) zmanjšanje negotovosti na trgu in nestanovitnosti cen.</w:t>
      </w:r>
    </w:p>
    <w:p w14:paraId="2717E627" w14:textId="77777777" w:rsidR="00801600" w:rsidRPr="00D74481" w:rsidRDefault="00801600" w:rsidP="00801600">
      <w:pPr>
        <w:pStyle w:val="NormalHanging12a"/>
        <w:ind w:left="851" w:hanging="851"/>
        <w:rPr>
          <w:szCs w:val="24"/>
        </w:rPr>
      </w:pPr>
      <w:r w:rsidRPr="00D74481">
        <w:t>(5)</w:t>
      </w:r>
      <w:r w:rsidRPr="00D74481">
        <w:tab/>
        <w:t>Kljub znatnemu izboljšanju razmer na trgu plina v primerjavi z obdobjem 2022–2023 razmere na evropskem trgu s plinom ostajajo zaostrene</w:t>
      </w:r>
      <w:r w:rsidRPr="00D74481">
        <w:rPr>
          <w:b/>
          <w:bCs/>
          <w:i/>
          <w:iCs/>
        </w:rPr>
        <w:t>, geopolitične razmere pa negotove</w:t>
      </w:r>
      <w:r w:rsidRPr="00D74481">
        <w:t>.</w:t>
      </w:r>
      <w:r w:rsidRPr="00D74481">
        <w:rPr>
          <w:b/>
          <w:i/>
        </w:rPr>
        <w:t xml:space="preserve"> </w:t>
      </w:r>
      <w:r w:rsidRPr="00D74481">
        <w:t>Močnejša konkurenca za svetovno oskrbo z utekočinjenim zemeljskim plinom lahko poveča izpostavljenost držav članic nestanovitnosti cen. ▌V takih razmerah vloga skladišč plina ostaja ključnega pomena. ▌</w:t>
      </w:r>
    </w:p>
    <w:p w14:paraId="5AE538D0" w14:textId="77777777" w:rsidR="00801600" w:rsidRPr="00D74481" w:rsidRDefault="00801600" w:rsidP="00801600">
      <w:pPr>
        <w:pStyle w:val="NormalCenter12a"/>
        <w:ind w:left="851" w:hanging="851"/>
        <w:jc w:val="left"/>
      </w:pPr>
      <w:r w:rsidRPr="00D74481">
        <w:t>(6)</w:t>
      </w:r>
      <w:r w:rsidRPr="00D74481">
        <w:tab/>
        <w:t xml:space="preserve">V skladu z Uredbo (EU) 2017/1938 obveznost držav članic, da upoštevajo letno </w:t>
      </w:r>
      <w:r w:rsidRPr="00D74481">
        <w:lastRenderedPageBreak/>
        <w:t>krivuljo polnjenja in zagotovijo, da se cilj napolnjenosti doseže do 1. novembra vsako leto, preneha veljati 31. decembra 2025.</w:t>
      </w:r>
    </w:p>
    <w:p w14:paraId="26C16AD1" w14:textId="77777777" w:rsidR="00801600" w:rsidRPr="00D74481" w:rsidRDefault="00801600" w:rsidP="00801600">
      <w:pPr>
        <w:pStyle w:val="NormalHanging12a"/>
        <w:ind w:left="851" w:hanging="851"/>
        <w:rPr>
          <w:b/>
          <w:i/>
          <w:szCs w:val="24"/>
        </w:rPr>
      </w:pPr>
      <w:r w:rsidRPr="00D74481">
        <w:rPr>
          <w:b/>
          <w:i/>
        </w:rPr>
        <w:t>(6a)</w:t>
      </w:r>
      <w:r w:rsidRPr="00D74481">
        <w:rPr>
          <w:b/>
          <w:i/>
        </w:rPr>
        <w:tab/>
        <w:t xml:space="preserve">Uniji je od leta 2022 uspelo poskrbeti za znatno zanesljivejšo oskrbo s plinom, in sicer s povečanjem uvoza utekočinjenega zemeljskega plina od zaupanja vrednih svetovnih partneric, njen cilj pa je z nadaljnjim uresničevanjem načrta </w:t>
      </w:r>
      <w:proofErr w:type="spellStart"/>
      <w:r w:rsidRPr="00D74481">
        <w:rPr>
          <w:b/>
          <w:i/>
        </w:rPr>
        <w:t>REPowerEU</w:t>
      </w:r>
      <w:proofErr w:type="spellEnd"/>
      <w:r w:rsidRPr="00D74481">
        <w:rPr>
          <w:b/>
          <w:i/>
        </w:rPr>
        <w:t xml:space="preserve"> v celoti odpraviti svojo odvisnost od ruskih fosilnih goriv. Unija je zgradila nove obrate za ponovno uplinjanje in pristaniške terminale, hkrati pa je vzpostavila trg utekočinjenega plina, ki zagotavlja močno odpornost proti morebitnim motnjam v preostali dobavi po ruskih plinovodih.</w:t>
      </w:r>
    </w:p>
    <w:p w14:paraId="652B92F0" w14:textId="77777777" w:rsidR="00801600" w:rsidRPr="00D74481" w:rsidRDefault="00801600" w:rsidP="00801600">
      <w:pPr>
        <w:pStyle w:val="NormalHanging12a"/>
        <w:ind w:left="851" w:hanging="851"/>
        <w:rPr>
          <w:b/>
          <w:i/>
          <w:szCs w:val="24"/>
        </w:rPr>
      </w:pPr>
      <w:r w:rsidRPr="00D74481">
        <w:rPr>
          <w:b/>
          <w:i/>
        </w:rPr>
        <w:t>(6b)</w:t>
      </w:r>
      <w:r w:rsidRPr="00D74481">
        <w:rPr>
          <w:b/>
          <w:i/>
        </w:rPr>
        <w:tab/>
        <w:t>V zvezi z zanesljivostjo dobaviteljev plina in držav dobaviteljic plina je treba upoštevati spremenjeno svetovno politično okolje.</w:t>
      </w:r>
    </w:p>
    <w:p w14:paraId="53B0F82C" w14:textId="77777777" w:rsidR="00801600" w:rsidRPr="00D74481" w:rsidRDefault="00801600" w:rsidP="00801600">
      <w:pPr>
        <w:pStyle w:val="NormalHanging12a"/>
        <w:ind w:left="851" w:hanging="851"/>
        <w:rPr>
          <w:szCs w:val="24"/>
        </w:rPr>
      </w:pPr>
      <w:r w:rsidRPr="00D74481">
        <w:t>(7)</w:t>
      </w:r>
      <w:r w:rsidRPr="00D74481">
        <w:tab/>
      </w:r>
      <w:r w:rsidRPr="00D74481">
        <w:rPr>
          <w:b/>
          <w:bCs/>
          <w:i/>
          <w:iCs/>
        </w:rPr>
        <w:t>Če želi Evropa uspešno zmanjšati tveganje v strukturi uvoza plina, je treba s splošnim okvirom za zadovoljitev potreb Unije po zemeljskem plinu vzpostaviti ravnovesje med energetsko varnostjo in vrnitvijo k tržnim načelom.</w:t>
      </w:r>
      <w:r w:rsidRPr="00D74481">
        <w:rPr>
          <w:b/>
          <w:i/>
        </w:rPr>
        <w:t xml:space="preserve"> </w:t>
      </w:r>
      <w:r w:rsidRPr="00D74481">
        <w:rPr>
          <w:b/>
          <w:bCs/>
          <w:i/>
          <w:iCs/>
        </w:rPr>
        <w:t>Zato mora biti</w:t>
      </w:r>
      <w:r w:rsidRPr="00D74481">
        <w:t xml:space="preserve"> splošni okvir ▌dovolj prožen med sezono polnjenja, da se omogoči hiter odziv na nenehno spreminjajoče se tržne pogoje in zlasti da se izkoristijo najboljši nakupni pogoji</w:t>
      </w:r>
      <w:r w:rsidRPr="00D74481">
        <w:rPr>
          <w:b/>
          <w:bCs/>
          <w:i/>
          <w:iCs/>
        </w:rPr>
        <w:t>, s čimer se bodo cene plina v Evropi znižale</w:t>
      </w:r>
      <w:r w:rsidRPr="00D74481">
        <w:t xml:space="preserve">. </w:t>
      </w:r>
      <w:r w:rsidRPr="00D74481">
        <w:rPr>
          <w:b/>
          <w:i/>
        </w:rPr>
        <w:t>Cilj napolnjenosti bi bilo zato treba znižati na 83 %.</w:t>
      </w:r>
    </w:p>
    <w:p w14:paraId="472D9AE8" w14:textId="77777777" w:rsidR="00801600" w:rsidRPr="00D74481" w:rsidRDefault="00801600" w:rsidP="00801600">
      <w:pPr>
        <w:pStyle w:val="NormalHanging12a"/>
        <w:ind w:left="851" w:hanging="851"/>
        <w:rPr>
          <w:szCs w:val="24"/>
        </w:rPr>
      </w:pPr>
      <w:r w:rsidRPr="00D74481">
        <w:t>(8)</w:t>
      </w:r>
      <w:r w:rsidRPr="00D74481">
        <w:tab/>
      </w:r>
      <w:r w:rsidRPr="00D74481">
        <w:rPr>
          <w:b/>
          <w:bCs/>
          <w:i/>
          <w:iCs/>
        </w:rPr>
        <w:t>Da bi bil trg stabilnejši in da bi v čim večji meri preprečili, da bi zaradi</w:t>
      </w:r>
      <w:r w:rsidRPr="00D74481">
        <w:t xml:space="preserve"> vmesnih ciljev napolnjenosti </w:t>
      </w:r>
      <w:r w:rsidRPr="00D74481">
        <w:rPr>
          <w:b/>
          <w:bCs/>
          <w:i/>
          <w:iCs/>
        </w:rPr>
        <w:t>prišlo do neupravičene nestanovitnosti cen, je primerno povečati prožnost pri polnjenju skladišč</w:t>
      </w:r>
      <w:r w:rsidRPr="00D74481">
        <w:t>. Države članice</w:t>
      </w:r>
      <w:r w:rsidRPr="00D74481">
        <w:rPr>
          <w:b/>
          <w:bCs/>
          <w:i/>
          <w:iCs/>
        </w:rPr>
        <w:t xml:space="preserve"> bi zato morale ob upoštevanju Priporočila (2025)1481 vsako leto predložiti okvirne načrte polnjenja, ki bi lahko po potrebi vključevali okvirno krivuljo polnjenja</w:t>
      </w:r>
      <w:r w:rsidRPr="00D74481">
        <w:t xml:space="preserve"> in bi morali omogočati takšno polnjenje skladišč, da bi bila udeležencem na trgu na voljo zadostna prožnost skozi vse leto ▌.</w:t>
      </w:r>
    </w:p>
    <w:p w14:paraId="3B9C97D7" w14:textId="77777777" w:rsidR="00801600" w:rsidRPr="00D74481" w:rsidRDefault="00801600" w:rsidP="00801600">
      <w:pPr>
        <w:pStyle w:val="NormalHanging12a"/>
        <w:ind w:left="851" w:hanging="851"/>
        <w:rPr>
          <w:b/>
          <w:i/>
          <w:szCs w:val="24"/>
        </w:rPr>
      </w:pPr>
      <w:r w:rsidRPr="00D74481">
        <w:rPr>
          <w:b/>
          <w:i/>
        </w:rPr>
        <w:t>(8a)</w:t>
      </w:r>
      <w:r w:rsidRPr="00D74481">
        <w:rPr>
          <w:b/>
          <w:i/>
        </w:rPr>
        <w:tab/>
        <w:t>Države članice bi morale imeti možnost, da do štiri odstotne točke odstopajo od cilja napolnjenosti v primeru neugodnih tržnih razmer, ki so med drugim povezane z dejavniki, kot so ponudba in povpraševanje ter konkurenca, ali v primeru dejavnosti trgovanja, ki ovirajo stroškovno učinkovito polnjenje skladišč, tako da je zmožnost, da bi se skladišča plina polnila v skladu s to uredbo, znatno omejena.</w:t>
      </w:r>
    </w:p>
    <w:p w14:paraId="0179D99E" w14:textId="77777777" w:rsidR="00801600" w:rsidRPr="00D74481" w:rsidRDefault="00801600" w:rsidP="00801600">
      <w:pPr>
        <w:pStyle w:val="NormalHanging12a"/>
        <w:ind w:left="851" w:hanging="851"/>
        <w:rPr>
          <w:b/>
          <w:i/>
          <w:szCs w:val="24"/>
        </w:rPr>
      </w:pPr>
      <w:r w:rsidRPr="00D74481">
        <w:rPr>
          <w:b/>
          <w:i/>
        </w:rPr>
        <w:t>(8b)</w:t>
      </w:r>
      <w:r w:rsidRPr="00D74481">
        <w:rPr>
          <w:b/>
          <w:i/>
        </w:rPr>
        <w:tab/>
        <w:t>Poleg tega bi bilo treba na Komisijo prenesti pooblastilo za sprejemanje delegiranih aktov, s katerimi bi za eno sezono polnjenja spremenila raven dovoljenega odstopanja za štiri odstotne točke, tako da bi ga v primeru dolgotrajnih neugodnih tržnih razmer povečala za največ štiri odstotne točke.</w:t>
      </w:r>
    </w:p>
    <w:p w14:paraId="3A9E32F4" w14:textId="77777777" w:rsidR="00801600" w:rsidRPr="00D74481" w:rsidRDefault="00801600" w:rsidP="00801600">
      <w:pPr>
        <w:pStyle w:val="NormalHanging12a"/>
        <w:ind w:left="851" w:hanging="851"/>
        <w:rPr>
          <w:b/>
          <w:i/>
          <w:szCs w:val="24"/>
        </w:rPr>
      </w:pPr>
      <w:r w:rsidRPr="00D74481">
        <w:rPr>
          <w:b/>
          <w:i/>
        </w:rPr>
        <w:t>(8c)</w:t>
      </w:r>
      <w:r w:rsidRPr="00D74481">
        <w:rPr>
          <w:b/>
          <w:i/>
        </w:rPr>
        <w:tab/>
        <w:t>Kumulativni učinki določb o prožnosti in odstopanjih iz te uredbe ne bi smeli znižati skupnih obveznosti polnjenja skladišč pod 75 %.</w:t>
      </w:r>
    </w:p>
    <w:p w14:paraId="62158917" w14:textId="77777777" w:rsidR="00801600" w:rsidRPr="00D74481" w:rsidRDefault="00801600" w:rsidP="00801600">
      <w:pPr>
        <w:pStyle w:val="NormalHanging12a"/>
        <w:ind w:left="851" w:hanging="851"/>
        <w:rPr>
          <w:szCs w:val="24"/>
        </w:rPr>
      </w:pPr>
      <w:r w:rsidRPr="00D74481">
        <w:t>(9)</w:t>
      </w:r>
      <w:r w:rsidRPr="00D74481">
        <w:tab/>
        <w:t xml:space="preserve">Ocena sedanjega okvira energetske varnosti, ki jo je opravila Komisija, je potrdila pozitiven učinek zahtev za polnjenje skladišč na zanesljivost oskrbe s plinom, te pozitivne učinke pa bi bilo treba ohraniti tudi po letu 2025. </w:t>
      </w:r>
      <w:r w:rsidRPr="00D74481">
        <w:rPr>
          <w:b/>
          <w:i/>
        </w:rPr>
        <w:t>S podaljšanjem teh ukrepov ne bi le prispevali k nadaljnji zanesljivosti oskrbe, temveč bi bilo njihovo podaljšanje ključno tudi v prizadevanjih Unije, da odpravi svojo odvisnost od uvoza plina iz Ruske federacije.</w:t>
      </w:r>
    </w:p>
    <w:p w14:paraId="6F392379" w14:textId="77777777" w:rsidR="00801600" w:rsidRPr="00D74481" w:rsidRDefault="00801600" w:rsidP="00801600">
      <w:pPr>
        <w:pStyle w:val="NormalHanging12a"/>
        <w:ind w:left="851" w:hanging="851"/>
        <w:rPr>
          <w:b/>
          <w:i/>
          <w:szCs w:val="24"/>
        </w:rPr>
      </w:pPr>
      <w:r w:rsidRPr="00D74481">
        <w:rPr>
          <w:b/>
          <w:i/>
        </w:rPr>
        <w:lastRenderedPageBreak/>
        <w:t>(9a)</w:t>
      </w:r>
      <w:r w:rsidRPr="00D74481">
        <w:rPr>
          <w:b/>
          <w:i/>
        </w:rPr>
        <w:tab/>
        <w:t>Hkrati bi se bilo treba s to uredbo odzvati na sedanje in prihodnje spremembe na trgih zemeljskega plina ter prispevati k strateškemu cilju znižanja cen energije in olajšati postopno vrnitev k tržno zasnovanim mehanizmom za ponovno polnjenje skladišč.</w:t>
      </w:r>
    </w:p>
    <w:p w14:paraId="7E12DD47" w14:textId="77777777" w:rsidR="00801600" w:rsidRPr="00D74481" w:rsidRDefault="00801600" w:rsidP="00801600">
      <w:pPr>
        <w:pStyle w:val="NormalHanging12a"/>
        <w:ind w:left="851" w:hanging="851"/>
        <w:rPr>
          <w:b/>
          <w:i/>
          <w:szCs w:val="24"/>
        </w:rPr>
      </w:pPr>
      <w:r w:rsidRPr="00D74481">
        <w:rPr>
          <w:b/>
          <w:i/>
        </w:rPr>
        <w:t>(9b)</w:t>
      </w:r>
      <w:r w:rsidRPr="00D74481">
        <w:rPr>
          <w:b/>
          <w:i/>
        </w:rPr>
        <w:tab/>
        <w:t>Da bi ohranili zanesljivost oskrbe in ustrezno raven napolnjenosti, bi morala Komisija stalno spremljati trg in preučiti načine, na katere bi lahko pomagali doseči cilj napolnjenosti, na primer z uporabo mehanizmov za združevanje povpraševanja in skupno nabavo.</w:t>
      </w:r>
    </w:p>
    <w:p w14:paraId="34BFE49B" w14:textId="77777777" w:rsidR="00801600" w:rsidRPr="00D74481" w:rsidRDefault="00801600" w:rsidP="00801600">
      <w:pPr>
        <w:pStyle w:val="NormalHanging12a"/>
        <w:ind w:left="851" w:hanging="851"/>
        <w:rPr>
          <w:szCs w:val="24"/>
        </w:rPr>
      </w:pPr>
      <w:r w:rsidRPr="00D74481">
        <w:t>(10)</w:t>
      </w:r>
      <w:r w:rsidRPr="00D74481">
        <w:tab/>
        <w:t>Zato je treba za dve leti podaljšati ustrezne določbe o polnjenju skladišč plina, ki zagotavljajo predvidljivost in preglednost uporabe skladišč plina po vsej Uniji</w:t>
      </w:r>
      <w:r w:rsidRPr="00D74481">
        <w:rPr>
          <w:b/>
          <w:bCs/>
          <w:i/>
          <w:iCs/>
        </w:rPr>
        <w:t>, hkrati pa v to uredbo uvesti nekaj prožnosti</w:t>
      </w:r>
      <w:r w:rsidRPr="00D74481">
        <w:t>.</w:t>
      </w:r>
    </w:p>
    <w:p w14:paraId="40B1D2DE" w14:textId="77777777" w:rsidR="00801600" w:rsidRPr="00D74481" w:rsidRDefault="00801600" w:rsidP="00801600">
      <w:pPr>
        <w:pStyle w:val="NormalHanging12a"/>
        <w:ind w:left="851" w:hanging="851"/>
        <w:rPr>
          <w:b/>
          <w:i/>
          <w:szCs w:val="24"/>
        </w:rPr>
      </w:pPr>
      <w:r w:rsidRPr="00D74481">
        <w:rPr>
          <w:b/>
          <w:i/>
        </w:rPr>
        <w:t>(10a)</w:t>
      </w:r>
      <w:r w:rsidRPr="00D74481">
        <w:rPr>
          <w:b/>
          <w:i/>
        </w:rPr>
        <w:tab/>
        <w:t>V skladu z zavezanostjo Komisije boljši pravni ureditvi in poenostavitvi ter zaradi splošnega izboljšanja okvira energetske varnosti Unije bi bilo treba pri spremljanju skladnosti s to uredbo pokazati večje zaupanje v upravne zmogljivosti držav članic. Breme Komisije v zvezi s spremljanjem bi bilo treba ustrezno zmanjšati, in sicer z uvedbo manj strogih obveznosti poročanja in z racionalizacijo postopkov. S tem pristopom bi utrdili načelo subsidiarnosti in preprečili nepotrebno upravno zapletenost, pristop pa je skladen tudi s prizadevanji Komisije za poenostavitev, ki so opisana v njenem delovnem programu za leto 2025.</w:t>
      </w:r>
    </w:p>
    <w:p w14:paraId="00F37036" w14:textId="77777777" w:rsidR="00801600" w:rsidRPr="00D74481" w:rsidRDefault="00801600" w:rsidP="00801600">
      <w:pPr>
        <w:pStyle w:val="NormalHanging12a"/>
        <w:ind w:left="851" w:hanging="851"/>
        <w:rPr>
          <w:b/>
          <w:i/>
          <w:szCs w:val="24"/>
        </w:rPr>
      </w:pPr>
      <w:r w:rsidRPr="00D74481">
        <w:rPr>
          <w:b/>
          <w:i/>
        </w:rPr>
        <w:t>(10b)</w:t>
      </w:r>
      <w:r w:rsidRPr="00D74481">
        <w:rPr>
          <w:b/>
          <w:i/>
        </w:rPr>
        <w:tab/>
        <w:t>Komisija bi morala Uredbo (EU) 2017/1938 revidirati pravočasno in še pred letom 2027, da bi jo prilagodili spreminjajočim se energetskim razmeram in v njej upoštevali prihodnje potrebe po skladiščenju plina. Pri spremembah bi se bilo treba med drugim osredotočiti na omejitve sedanje opredelitve zaščitenih odjemalcev, preprečevanje špekulacij na trgih plina in špekulativnih dejavnosti, ki umetno napihujejo cene, vlogo ukrepov za energijsko učinkovitost, ki vodijo k preverljivemu zmanjšanju povpraševanja po plinu, in način, kako bi lahko države članice te ukrepe uporabile za še večjo prožnost, poleg tega pa bi bilo treba razmisliti o okviru za spreminjajočo se mešanico virov energije, v kateri bodo imeli večjo vlogo alternativni viri plina, kot so obnovljivi viri energije in vodik, ter o vlogi energijske učinkovitosti.</w:t>
      </w:r>
    </w:p>
    <w:p w14:paraId="162467C4" w14:textId="77777777" w:rsidR="00801600" w:rsidRPr="00D74481" w:rsidRDefault="00801600" w:rsidP="00801600">
      <w:pPr>
        <w:pStyle w:val="NormalCenter12a"/>
        <w:ind w:left="851" w:hanging="851"/>
        <w:jc w:val="left"/>
      </w:pPr>
      <w:r w:rsidRPr="00D74481">
        <w:t>(11)</w:t>
      </w:r>
      <w:r w:rsidRPr="00D74481">
        <w:tab/>
        <w:t>Uredbo (EU) 2017/1938 bi bilo zato treba ustrezno spremeniti –</w:t>
      </w:r>
    </w:p>
    <w:p w14:paraId="0DAD7AC3" w14:textId="77777777" w:rsidR="00801600" w:rsidRPr="00D74481" w:rsidRDefault="00801600" w:rsidP="00801600">
      <w:pPr>
        <w:pStyle w:val="NormalCenter12a"/>
        <w:jc w:val="left"/>
      </w:pPr>
      <w:r w:rsidRPr="00D74481">
        <w:t>SPREJELA NASLEDNJO UREDBO:</w:t>
      </w:r>
    </w:p>
    <w:p w14:paraId="534B3E6D" w14:textId="77777777" w:rsidR="00801600" w:rsidRPr="00D74481" w:rsidRDefault="00801600" w:rsidP="00801600">
      <w:pPr>
        <w:pStyle w:val="Titrearticle"/>
        <w:rPr>
          <w:noProof/>
        </w:rPr>
      </w:pPr>
      <w:r w:rsidRPr="00D74481">
        <w:t>Člen 1</w:t>
      </w:r>
    </w:p>
    <w:p w14:paraId="08A6CAE8" w14:textId="77777777" w:rsidR="00801600" w:rsidRPr="00D74481" w:rsidRDefault="00801600" w:rsidP="00801600">
      <w:pPr>
        <w:jc w:val="center"/>
        <w:rPr>
          <w:b/>
          <w:bCs/>
          <w:noProof/>
        </w:rPr>
      </w:pPr>
      <w:r w:rsidRPr="00D74481">
        <w:rPr>
          <w:b/>
        </w:rPr>
        <w:t>Sprememba Uredbe (EU) 2017/1938</w:t>
      </w:r>
    </w:p>
    <w:p w14:paraId="01C2E646" w14:textId="77777777" w:rsidR="00801600" w:rsidRPr="00D74481" w:rsidRDefault="00801600" w:rsidP="00801600">
      <w:pPr>
        <w:rPr>
          <w:noProof/>
        </w:rPr>
      </w:pPr>
    </w:p>
    <w:p w14:paraId="2D08C38D" w14:textId="77777777" w:rsidR="00801600" w:rsidRPr="00D74481" w:rsidRDefault="00801600" w:rsidP="00801600">
      <w:pPr>
        <w:pStyle w:val="NormalHanging12a"/>
        <w:rPr>
          <w:szCs w:val="24"/>
        </w:rPr>
      </w:pPr>
      <w:r w:rsidRPr="00D74481">
        <w:rPr>
          <w:b/>
          <w:bCs/>
          <w:i/>
          <w:iCs/>
        </w:rPr>
        <w:t>Uredba</w:t>
      </w:r>
      <w:r w:rsidRPr="00D74481">
        <w:t xml:space="preserve"> (EU) 2017/1938 </w:t>
      </w:r>
      <w:r w:rsidRPr="00D74481">
        <w:rPr>
          <w:b/>
          <w:bCs/>
          <w:i/>
          <w:iCs/>
        </w:rPr>
        <w:t>se spremeni</w:t>
      </w:r>
      <w:r w:rsidRPr="00D74481">
        <w:t>:</w:t>
      </w:r>
    </w:p>
    <w:p w14:paraId="4442D3F0" w14:textId="77777777" w:rsidR="00801600" w:rsidRPr="00D74481" w:rsidRDefault="00801600" w:rsidP="00801600">
      <w:pPr>
        <w:pStyle w:val="NormalHanging12a"/>
        <w:ind w:left="851" w:hanging="851"/>
        <w:rPr>
          <w:b/>
          <w:i/>
          <w:szCs w:val="24"/>
        </w:rPr>
      </w:pPr>
      <w:r w:rsidRPr="00D74481">
        <w:rPr>
          <w:b/>
          <w:i/>
        </w:rPr>
        <w:t>(1)</w:t>
      </w:r>
      <w:r w:rsidRPr="00D74481">
        <w:rPr>
          <w:b/>
          <w:i/>
        </w:rPr>
        <w:tab/>
        <w:t>v členu 2 se črta točka 27;</w:t>
      </w:r>
    </w:p>
    <w:p w14:paraId="52C97541" w14:textId="77777777" w:rsidR="00801600" w:rsidRPr="00D74481" w:rsidRDefault="00801600" w:rsidP="00801600">
      <w:pPr>
        <w:pStyle w:val="NormalHanging12a"/>
        <w:ind w:left="851" w:hanging="851"/>
        <w:rPr>
          <w:b/>
          <w:i/>
          <w:szCs w:val="24"/>
        </w:rPr>
      </w:pPr>
      <w:r w:rsidRPr="00D74481">
        <w:rPr>
          <w:b/>
          <w:i/>
        </w:rPr>
        <w:t>(2)</w:t>
      </w:r>
      <w:r w:rsidRPr="00D74481">
        <w:rPr>
          <w:b/>
          <w:i/>
        </w:rPr>
        <w:tab/>
        <w:t>člen 6a se spremeni:</w:t>
      </w:r>
    </w:p>
    <w:p w14:paraId="15A41B01" w14:textId="77777777" w:rsidR="00801600" w:rsidRPr="00D74481" w:rsidRDefault="00801600" w:rsidP="00801600">
      <w:pPr>
        <w:pStyle w:val="NormalHanging12a"/>
        <w:ind w:left="1418"/>
        <w:rPr>
          <w:b/>
          <w:i/>
        </w:rPr>
      </w:pPr>
      <w:r w:rsidRPr="00D74481">
        <w:rPr>
          <w:b/>
          <w:i/>
        </w:rPr>
        <w:t>(a)</w:t>
      </w:r>
      <w:r w:rsidRPr="00D74481">
        <w:rPr>
          <w:b/>
          <w:i/>
        </w:rPr>
        <w:tab/>
        <w:t>naslov se nadomesti z naslednjim: „Cilj napolnjenosti“;</w:t>
      </w:r>
    </w:p>
    <w:p w14:paraId="53ACA76A" w14:textId="77777777" w:rsidR="00801600" w:rsidRPr="00D74481" w:rsidRDefault="00801600" w:rsidP="00801600">
      <w:pPr>
        <w:pStyle w:val="NormalHanging12a"/>
        <w:ind w:left="1418"/>
        <w:rPr>
          <w:b/>
          <w:i/>
        </w:rPr>
      </w:pPr>
      <w:r w:rsidRPr="00D74481">
        <w:rPr>
          <w:b/>
          <w:i/>
        </w:rPr>
        <w:t>(b)</w:t>
      </w:r>
      <w:r w:rsidRPr="00D74481">
        <w:rPr>
          <w:b/>
          <w:i/>
        </w:rPr>
        <w:tab/>
        <w:t>v odstavku 1 se prvi pododstavek nadomesti z naslednjim:</w:t>
      </w:r>
    </w:p>
    <w:p w14:paraId="219F743D" w14:textId="77777777" w:rsidR="00801600" w:rsidRPr="00D74481" w:rsidRDefault="00801600" w:rsidP="00801600">
      <w:pPr>
        <w:pStyle w:val="NormalHanging12a"/>
        <w:ind w:left="1985"/>
        <w:rPr>
          <w:szCs w:val="24"/>
        </w:rPr>
      </w:pPr>
      <w:r w:rsidRPr="00D74481">
        <w:rPr>
          <w:b/>
          <w:i/>
        </w:rPr>
        <w:lastRenderedPageBreak/>
        <w:t>„1.</w:t>
      </w:r>
      <w:r w:rsidRPr="00D74481">
        <w:rPr>
          <w:b/>
          <w:i/>
        </w:rPr>
        <w:tab/>
        <w:t xml:space="preserve">Ob upoštevanju odstavkov 2 do 5 države članice za skupno zmogljivost vseh podzemnih skladišč plina, ki se nahajajo na njihovem ozemlju in so neposredno povezana s tržnim območjem na njihovem ozemlju, in za skladišča, navedena v Prilogi </w:t>
      </w:r>
      <w:proofErr w:type="spellStart"/>
      <w:r w:rsidRPr="00D74481">
        <w:rPr>
          <w:b/>
          <w:i/>
        </w:rPr>
        <w:t>Ib</w:t>
      </w:r>
      <w:proofErr w:type="spellEnd"/>
      <w:r w:rsidRPr="00D74481">
        <w:rPr>
          <w:b/>
          <w:i/>
        </w:rPr>
        <w:t>, dosežejo kadar koli med 1. oktobrom in 1. decembrom vsako leto cilj napolnjenosti 83 %.“;</w:t>
      </w:r>
    </w:p>
    <w:p w14:paraId="7D3AFCC2" w14:textId="77777777" w:rsidR="00430015" w:rsidRDefault="00430015" w:rsidP="00406EE0">
      <w:pPr>
        <w:pStyle w:val="NormalHanging12a"/>
        <w:ind w:left="1418"/>
        <w:rPr>
          <w:b/>
          <w:i/>
        </w:rPr>
      </w:pPr>
      <w:r>
        <w:rPr>
          <w:b/>
          <w:i/>
        </w:rPr>
        <w:t>(</w:t>
      </w:r>
      <w:r w:rsidR="00406EE0">
        <w:rPr>
          <w:b/>
          <w:i/>
        </w:rPr>
        <w:t>c</w:t>
      </w:r>
      <w:r>
        <w:rPr>
          <w:b/>
          <w:i/>
        </w:rPr>
        <w:t>)</w:t>
      </w:r>
      <w:r>
        <w:rPr>
          <w:b/>
          <w:i/>
        </w:rPr>
        <w:tab/>
        <w:t>odstavek 2 se nadomesti z naslednjim:</w:t>
      </w:r>
    </w:p>
    <w:p w14:paraId="5AFF8BF2" w14:textId="77777777" w:rsidR="00430015" w:rsidRDefault="00430015" w:rsidP="00430015">
      <w:pPr>
        <w:pStyle w:val="NormalHanging12a"/>
        <w:ind w:left="1985"/>
        <w:rPr>
          <w:b/>
          <w:i/>
        </w:rPr>
      </w:pPr>
      <w:r>
        <w:rPr>
          <w:b/>
          <w:i/>
        </w:rPr>
        <w:t>„2.</w:t>
      </w:r>
      <w:r>
        <w:rPr>
          <w:b/>
          <w:i/>
        </w:rPr>
        <w:tab/>
      </w:r>
      <w:r w:rsidRPr="00430015">
        <w:rPr>
          <w:b/>
          <w:i/>
        </w:rPr>
        <w:t xml:space="preserve">Ne glede na odstavek 1 in brez poseganja v obveznosti drugih držav članic, da napolnijo zadevna podzemna skladišča plina, </w:t>
      </w:r>
      <w:r w:rsidR="00A4157C">
        <w:rPr>
          <w:b/>
          <w:i/>
        </w:rPr>
        <w:t>s</w:t>
      </w:r>
      <w:r w:rsidRPr="00430015">
        <w:rPr>
          <w:b/>
          <w:i/>
        </w:rPr>
        <w:t>e cilj napolnjenosti za vsako državo članico, v kateri se nahajajo podzemna skladišča plina, zma</w:t>
      </w:r>
      <w:r>
        <w:rPr>
          <w:b/>
          <w:i/>
        </w:rPr>
        <w:t>njša na količino, ki ustreza 32,28 </w:t>
      </w:r>
      <w:r w:rsidRPr="00430015">
        <w:rPr>
          <w:b/>
          <w:i/>
        </w:rPr>
        <w:t>% povprečne letne porabe plina v predhodnih petih letih za to državo članico.</w:t>
      </w:r>
      <w:r>
        <w:rPr>
          <w:b/>
          <w:i/>
        </w:rPr>
        <w:t>“;</w:t>
      </w:r>
    </w:p>
    <w:p w14:paraId="18A8AB4B" w14:textId="77777777" w:rsidR="00801600" w:rsidRPr="00D74481" w:rsidRDefault="00801600" w:rsidP="00406EE0">
      <w:pPr>
        <w:pStyle w:val="NormalHanging12a"/>
        <w:ind w:left="1418"/>
        <w:rPr>
          <w:b/>
          <w:i/>
        </w:rPr>
      </w:pPr>
      <w:r w:rsidRPr="00D74481">
        <w:rPr>
          <w:b/>
          <w:i/>
        </w:rPr>
        <w:t>(</w:t>
      </w:r>
      <w:r w:rsidR="00406EE0">
        <w:rPr>
          <w:b/>
          <w:i/>
        </w:rPr>
        <w:t>d</w:t>
      </w:r>
      <w:r w:rsidRPr="00D74481">
        <w:rPr>
          <w:b/>
          <w:i/>
        </w:rPr>
        <w:t>)</w:t>
      </w:r>
      <w:r w:rsidRPr="00D74481">
        <w:rPr>
          <w:b/>
          <w:i/>
        </w:rPr>
        <w:tab/>
        <w:t>vstavijo se naslednji odstavki:</w:t>
      </w:r>
    </w:p>
    <w:p w14:paraId="19C010B3" w14:textId="77777777" w:rsidR="00801600" w:rsidRPr="00D74481" w:rsidRDefault="00801600" w:rsidP="00801600">
      <w:pPr>
        <w:pStyle w:val="NormalHanging12a"/>
        <w:ind w:left="1985"/>
        <w:rPr>
          <w:b/>
          <w:i/>
          <w:szCs w:val="24"/>
        </w:rPr>
      </w:pPr>
      <w:r w:rsidRPr="00D74481">
        <w:rPr>
          <w:b/>
          <w:i/>
        </w:rPr>
        <w:t xml:space="preserve">„5a. </w:t>
      </w:r>
      <w:r w:rsidRPr="00D74481">
        <w:rPr>
          <w:b/>
          <w:i/>
        </w:rPr>
        <w:tab/>
        <w:t>Ne glede na odstavek 1 in brez poseganja v obveznost drugih držav članic, da napolnijo zadevna podzemna skladišča plina, se lahko države članice odločijo, da bodo za največ štiri odstotne točke odstopale od cilja napolnjenosti iz odstavka 1, določenega za vsako državo članico, če so tržne razmere za polnjenje podzemnih skladišč plina neugodne.</w:t>
      </w:r>
    </w:p>
    <w:p w14:paraId="784D5C32" w14:textId="77777777" w:rsidR="00801600" w:rsidRPr="00D74481" w:rsidRDefault="00801600" w:rsidP="00801600">
      <w:pPr>
        <w:pStyle w:val="NormalHanging12a"/>
        <w:ind w:left="1985"/>
        <w:rPr>
          <w:b/>
          <w:i/>
          <w:szCs w:val="24"/>
        </w:rPr>
      </w:pPr>
      <w:r w:rsidRPr="00D74481">
        <w:rPr>
          <w:b/>
          <w:i/>
        </w:rPr>
        <w:t>5b.</w:t>
      </w:r>
      <w:r w:rsidRPr="00D74481">
        <w:rPr>
          <w:b/>
          <w:i/>
        </w:rPr>
        <w:tab/>
        <w:t>V ustrezno utemeljenih primerih dolgotrajnih neugodnih tržnih razmer in če ni ogrožena zanesljivost oskrbe Unije in držav članic, se na Komisijo prenese pooblastilo za sprejemanje delegiranih aktov v skladu s členom 19 za spremembo te uredbe s povečanjem dovoljenega odstopanja za države članice, kot je določeno v odstavku 5a, za največ 4 odstotne točke.</w:t>
      </w:r>
    </w:p>
    <w:p w14:paraId="4AD6DAB5" w14:textId="77777777" w:rsidR="00801600" w:rsidRPr="00D74481" w:rsidRDefault="00801600" w:rsidP="00801600">
      <w:pPr>
        <w:pStyle w:val="NormalHanging12a"/>
        <w:ind w:left="1985" w:firstLine="0"/>
        <w:rPr>
          <w:b/>
          <w:i/>
          <w:szCs w:val="24"/>
        </w:rPr>
      </w:pPr>
      <w:r w:rsidRPr="00D74481">
        <w:rPr>
          <w:b/>
          <w:i/>
        </w:rPr>
        <w:t>Komisija v svoji oceni upošteva zlasti raven napolnjenosti skladišč v državah članicah, svetovno oskrbo s plinom, sezonske napovedi mreže ENTSO-G za oskrbo in znake tržne manipulacije. Upošteva lahko tudi ukrepe držav članic, kot je uvedba ukrepov za zmanjšanje povpraševanja po plinu, s katerimi se doseže enakovredno zmanjšanje povpraševanja po plinu v naslednji sezoni praznjenja.</w:t>
      </w:r>
    </w:p>
    <w:p w14:paraId="2F912500" w14:textId="77777777" w:rsidR="00801600" w:rsidRPr="00D74481" w:rsidRDefault="00801600" w:rsidP="00801600">
      <w:pPr>
        <w:pStyle w:val="NormalHanging12a"/>
        <w:ind w:left="1985"/>
        <w:rPr>
          <w:b/>
          <w:i/>
          <w:szCs w:val="24"/>
        </w:rPr>
      </w:pPr>
      <w:r w:rsidRPr="00D74481">
        <w:rPr>
          <w:b/>
          <w:i/>
        </w:rPr>
        <w:t>5c.</w:t>
      </w:r>
      <w:r w:rsidRPr="00D74481">
        <w:rPr>
          <w:b/>
          <w:i/>
        </w:rPr>
        <w:tab/>
        <w:t>Države članice iz odstavka 2 se lahko pod enakimi pogoji, kot so določeni v odstavku 5a, odločijo, da bodo za največ 1,55 % odstopale od količine iz odstavka 2 .</w:t>
      </w:r>
    </w:p>
    <w:p w14:paraId="6E454345" w14:textId="77777777" w:rsidR="00801600" w:rsidRPr="00D74481" w:rsidRDefault="00801600" w:rsidP="00801600">
      <w:pPr>
        <w:pStyle w:val="NormalHanging12a"/>
        <w:ind w:left="1985"/>
        <w:rPr>
          <w:b/>
          <w:i/>
          <w:szCs w:val="24"/>
        </w:rPr>
      </w:pPr>
      <w:r w:rsidRPr="00D74481">
        <w:rPr>
          <w:b/>
          <w:i/>
        </w:rPr>
        <w:t>5d.</w:t>
      </w:r>
      <w:r w:rsidRPr="00D74481">
        <w:rPr>
          <w:b/>
          <w:i/>
        </w:rPr>
        <w:tab/>
        <w:t>Vsaka država članica se pred uporabo katerega koli odstopanja iz odstavkov 5a in 5c posvetuje s Komisijo in svojo odločitev brez nepotrebnega odlašanja utemelji. Komisija KSP nemudoma obvesti o kumulativnih učinkih vseh odstopanj iz odstavkov 5a in 5c ter o vseh neposredno prizadetih državah članicah.“;</w:t>
      </w:r>
    </w:p>
    <w:p w14:paraId="723298D6" w14:textId="77777777" w:rsidR="00801600" w:rsidRPr="00D74481" w:rsidRDefault="00801600" w:rsidP="00801600">
      <w:pPr>
        <w:pStyle w:val="NormalHanging12a"/>
        <w:ind w:left="1418"/>
        <w:rPr>
          <w:b/>
          <w:i/>
        </w:rPr>
      </w:pPr>
      <w:r w:rsidRPr="00D74481">
        <w:rPr>
          <w:b/>
          <w:i/>
        </w:rPr>
        <w:t>(</w:t>
      </w:r>
      <w:r w:rsidR="00406EE0">
        <w:rPr>
          <w:b/>
          <w:i/>
        </w:rPr>
        <w:t>e</w:t>
      </w:r>
      <w:r w:rsidRPr="00D74481">
        <w:rPr>
          <w:b/>
          <w:i/>
        </w:rPr>
        <w:t>)</w:t>
      </w:r>
      <w:r w:rsidRPr="00D74481">
        <w:rPr>
          <w:b/>
          <w:i/>
        </w:rPr>
        <w:tab/>
        <w:t>odstavka 6 in 7 se nadomestita z naslednjim:</w:t>
      </w:r>
    </w:p>
    <w:p w14:paraId="1A1E43CE" w14:textId="77777777" w:rsidR="00801600" w:rsidRPr="00D74481" w:rsidRDefault="00801600" w:rsidP="00801600">
      <w:pPr>
        <w:pStyle w:val="NormalHanging12a"/>
        <w:ind w:left="1985"/>
        <w:rPr>
          <w:szCs w:val="24"/>
        </w:rPr>
      </w:pPr>
      <w:r w:rsidRPr="00D74481">
        <w:rPr>
          <w:b/>
          <w:i/>
        </w:rPr>
        <w:t>„6.</w:t>
      </w:r>
      <w:r w:rsidRPr="00D74481">
        <w:tab/>
      </w:r>
      <w:r w:rsidRPr="00D74481">
        <w:rPr>
          <w:b/>
          <w:bCs/>
          <w:i/>
          <w:iCs/>
        </w:rPr>
        <w:t>Da bi države članice dosegle cilj napolnjenosti, sprejmejo vse potrebne ukrepe in si prizadevajo upoštevati načrt polnjenja, določen v skladu z odstavkom 7.</w:t>
      </w:r>
    </w:p>
    <w:p w14:paraId="161BE545" w14:textId="77777777" w:rsidR="00801600" w:rsidRPr="00D74481" w:rsidRDefault="00801600" w:rsidP="00801600">
      <w:pPr>
        <w:pStyle w:val="NormalHanging12a"/>
        <w:ind w:left="1985"/>
      </w:pPr>
      <w:r w:rsidRPr="00D74481">
        <w:rPr>
          <w:b/>
          <w:i/>
        </w:rPr>
        <w:lastRenderedPageBreak/>
        <w:t>7.</w:t>
      </w:r>
      <w:r w:rsidRPr="00D74481">
        <w:tab/>
      </w:r>
      <w:r w:rsidRPr="00D74481">
        <w:rPr>
          <w:b/>
          <w:i/>
        </w:rPr>
        <w:t>Države članice s podzemnimi skladišči plina Komisiji pravočasno predložijo okvirni načrt polnjenja za celotno koledarsko leto, kako bodo dosegle letni cilj napolnjenosti skladišč plina iz odstavka 1. Načrt vključuje tehnične informacije za podzemna skladišča plina na njihovem ozemlju in je neposredno povezan z njihovim tržnim območjem. “;</w:t>
      </w:r>
    </w:p>
    <w:p w14:paraId="47373AB8" w14:textId="77777777" w:rsidR="00801600" w:rsidRPr="00D74481" w:rsidRDefault="00801600" w:rsidP="00406EE0">
      <w:pPr>
        <w:pStyle w:val="NormalHanging12a"/>
        <w:ind w:left="1418"/>
        <w:rPr>
          <w:b/>
          <w:i/>
        </w:rPr>
      </w:pPr>
      <w:r w:rsidRPr="00D74481">
        <w:rPr>
          <w:b/>
          <w:i/>
        </w:rPr>
        <w:t>(</w:t>
      </w:r>
      <w:r w:rsidR="00406EE0">
        <w:rPr>
          <w:b/>
          <w:i/>
        </w:rPr>
        <w:t>f</w:t>
      </w:r>
      <w:r w:rsidRPr="00D74481">
        <w:rPr>
          <w:b/>
          <w:i/>
        </w:rPr>
        <w:t>)</w:t>
      </w:r>
      <w:r w:rsidRPr="00D74481">
        <w:rPr>
          <w:b/>
          <w:i/>
        </w:rPr>
        <w:tab/>
        <w:t>odstavek 8 se črta;</w:t>
      </w:r>
    </w:p>
    <w:p w14:paraId="2CD47698" w14:textId="77777777" w:rsidR="00801600" w:rsidRPr="00D74481" w:rsidRDefault="00801600" w:rsidP="00406EE0">
      <w:pPr>
        <w:pStyle w:val="NormalHanging12a"/>
        <w:ind w:left="1418"/>
        <w:rPr>
          <w:b/>
          <w:i/>
        </w:rPr>
      </w:pPr>
      <w:r w:rsidRPr="00D74481">
        <w:rPr>
          <w:b/>
          <w:i/>
        </w:rPr>
        <w:t>(</w:t>
      </w:r>
      <w:r w:rsidR="00406EE0">
        <w:rPr>
          <w:b/>
          <w:i/>
        </w:rPr>
        <w:t>g</w:t>
      </w:r>
      <w:r w:rsidRPr="00D74481">
        <w:rPr>
          <w:b/>
          <w:i/>
        </w:rPr>
        <w:t>)</w:t>
      </w:r>
      <w:r w:rsidRPr="00D74481">
        <w:rPr>
          <w:b/>
          <w:i/>
        </w:rPr>
        <w:tab/>
        <w:t>odstavka 10 in 11 se nadomestita z naslednjim:</w:t>
      </w:r>
    </w:p>
    <w:p w14:paraId="6DD65F36" w14:textId="77777777" w:rsidR="00801600" w:rsidRPr="00D74481" w:rsidRDefault="00801600" w:rsidP="00801600">
      <w:pPr>
        <w:pStyle w:val="NormalHanging12a"/>
        <w:ind w:left="1985"/>
        <w:rPr>
          <w:b/>
          <w:i/>
        </w:rPr>
      </w:pPr>
      <w:r w:rsidRPr="00D74481">
        <w:rPr>
          <w:b/>
          <w:i/>
        </w:rPr>
        <w:t>„10.</w:t>
      </w:r>
      <w:r w:rsidRPr="00D74481">
        <w:rPr>
          <w:b/>
          <w:i/>
        </w:rPr>
        <w:tab/>
        <w:t>Pristojni organ vsake države članice stalno spremlja doseganje cilja napolnjenosti, kot je določen v načrtu polnjenja, ter redno in vsaj enkrat mesečno poroča Komisiji in KSP. Če se pričakuje, da cilj ne bo dosežen, pristojni organ brez odlašanja sprejme učinkovite ukrepe za doseganje cilja. Države članice o sprejetih ukrepih obvestijo Komisijo in KSP.</w:t>
      </w:r>
    </w:p>
    <w:p w14:paraId="540F8B15" w14:textId="77777777" w:rsidR="00801600" w:rsidRPr="00D74481" w:rsidRDefault="00801600" w:rsidP="00801600">
      <w:pPr>
        <w:pStyle w:val="NormalHanging12a"/>
        <w:ind w:left="1985"/>
        <w:rPr>
          <w:b/>
          <w:i/>
          <w:szCs w:val="24"/>
        </w:rPr>
      </w:pPr>
      <w:r w:rsidRPr="00D74481">
        <w:rPr>
          <w:b/>
          <w:i/>
        </w:rPr>
        <w:t>11.</w:t>
      </w:r>
      <w:r w:rsidRPr="00D74481">
        <w:rPr>
          <w:b/>
          <w:i/>
        </w:rPr>
        <w:tab/>
        <w:t>V primeru, da država članica znatno in dolgotrajno odstopa od načrta polnjenja, tako da to ogroža doseganje cilja napolnjenosti, ali v primeru, da odstopa od cilja napolnjenosti, Komisija, če je ustrezno, po posvetovanju s KSP in zadevnimi državami članicami tej državi članici ali drugim zadevnim državam članicam izda priporočilo o ukrepih, ki bi jih bilo treba nemudoma sprejeti, da se odpravi odstopanje ali zmanjša vpliv na zanesljivost oskrbe, pri čemer med drugim upošteva morebitne neugodne tržne razmere in posebnosti držav članic, kot so tehnične značilnosti in velikost podzemnih skladišč plina glede na domačo porabo plina, vse manjši pomen podzemnih skladišč plina z nizko kalorično vrednostjo za zanesljivost oskrbe s plinom in obstoječi obrati za skladiščenje utekočinjenega zemeljskega plina.</w:t>
      </w:r>
    </w:p>
    <w:p w14:paraId="73579731" w14:textId="77777777" w:rsidR="00801600" w:rsidRPr="00D74481" w:rsidRDefault="00801600" w:rsidP="00801600">
      <w:pPr>
        <w:pStyle w:val="NormalHanging12a"/>
        <w:ind w:left="1985"/>
        <w:rPr>
          <w:szCs w:val="24"/>
        </w:rPr>
      </w:pPr>
      <w:r w:rsidRPr="00D74481">
        <w:rPr>
          <w:b/>
          <w:i/>
        </w:rPr>
        <w:t>11a.</w:t>
      </w:r>
      <w:r w:rsidRPr="00D74481">
        <w:rPr>
          <w:b/>
          <w:i/>
        </w:rPr>
        <w:tab/>
        <w:t>Kadar država članica ne dosega cilja napolnjenosti iz odstavka 1 in tako ogroža zanesljivost oskrbe Unije, Komisija sprejme izvedbeni akt, s katerim določi načrt polnjenja za to državo članico za naslednje leto, in sicer na podlagi tehničnih informacij, ki jih predloži vsaka država članica, in ob upoštevanju ocene KSP. Ta izvedbeni akt se sprejme v skladu s postopkom pregleda iz člena 18a(2). Temelji na oceni splošnega stanja zanesljivosti oskrbe s plinom ter razvoja povpraševanja po plinu in oskrbe z njim v Uniji in posameznih državah članicah, da se zagotovi zanesljivost oskrbe s plinom.“;</w:t>
      </w:r>
    </w:p>
    <w:p w14:paraId="02502898" w14:textId="77777777" w:rsidR="00801600" w:rsidRPr="00D74481" w:rsidRDefault="00801600" w:rsidP="00801600">
      <w:pPr>
        <w:pStyle w:val="NormalHanging12a"/>
        <w:ind w:left="851" w:hanging="851"/>
        <w:rPr>
          <w:b/>
          <w:i/>
          <w:szCs w:val="24"/>
        </w:rPr>
      </w:pPr>
      <w:r w:rsidRPr="00D74481">
        <w:rPr>
          <w:b/>
          <w:i/>
        </w:rPr>
        <w:t>(3)</w:t>
      </w:r>
      <w:r w:rsidRPr="00D74481">
        <w:rPr>
          <w:b/>
          <w:i/>
        </w:rPr>
        <w:tab/>
        <w:t>člen 6b se spremeni:</w:t>
      </w:r>
    </w:p>
    <w:p w14:paraId="5831F103" w14:textId="77777777" w:rsidR="00801600" w:rsidRPr="00D74481" w:rsidRDefault="00801600" w:rsidP="00801600">
      <w:pPr>
        <w:pStyle w:val="NormalHanging12a"/>
        <w:ind w:left="1418"/>
        <w:rPr>
          <w:b/>
          <w:i/>
        </w:rPr>
      </w:pPr>
      <w:r w:rsidRPr="00D74481">
        <w:rPr>
          <w:b/>
          <w:i/>
        </w:rPr>
        <w:t>(a)</w:t>
      </w:r>
      <w:r w:rsidRPr="00D74481">
        <w:rPr>
          <w:b/>
          <w:i/>
        </w:rPr>
        <w:tab/>
        <w:t>naslov se nadomesti z naslednjim: „Izpolnjevanje cilja napolnjenosti“;</w:t>
      </w:r>
    </w:p>
    <w:p w14:paraId="0EF7D6DD" w14:textId="77777777" w:rsidR="00801600" w:rsidRPr="00D74481" w:rsidRDefault="00801600" w:rsidP="00801600">
      <w:pPr>
        <w:pStyle w:val="NormalHanging12a"/>
        <w:ind w:left="1418"/>
        <w:rPr>
          <w:b/>
          <w:i/>
        </w:rPr>
      </w:pPr>
      <w:r w:rsidRPr="00D74481">
        <w:rPr>
          <w:b/>
          <w:i/>
        </w:rPr>
        <w:t>(b)</w:t>
      </w:r>
      <w:r w:rsidRPr="00D74481">
        <w:rPr>
          <w:b/>
          <w:i/>
        </w:rPr>
        <w:tab/>
        <w:t>v odstavku 1 se prvi pododstavek nadomesti z naslednjim:</w:t>
      </w:r>
    </w:p>
    <w:p w14:paraId="54FA8D70" w14:textId="77777777" w:rsidR="00801600" w:rsidRPr="00D74481" w:rsidRDefault="00801600" w:rsidP="00801600">
      <w:pPr>
        <w:pStyle w:val="NormalHanging12a"/>
        <w:ind w:left="1985"/>
        <w:rPr>
          <w:szCs w:val="24"/>
        </w:rPr>
      </w:pPr>
      <w:r w:rsidRPr="00D74481">
        <w:rPr>
          <w:b/>
          <w:bCs/>
          <w:i/>
          <w:iCs/>
        </w:rPr>
        <w:t>„1.</w:t>
      </w:r>
      <w:r w:rsidRPr="00D74481">
        <w:rPr>
          <w:b/>
          <w:i/>
        </w:rPr>
        <w:tab/>
        <w:t>Države članice sprejmejo vse potrebne ukrepe, da dosežejo cilj napolnjenosti, določen na podlagi člena 6a. Države članice pri zagotavljanju, da bo cilj napolnjenosti dosežen, dajo prednost tržnim ukrepom, kadar je to mogoče.“;</w:t>
      </w:r>
    </w:p>
    <w:p w14:paraId="2B10E186" w14:textId="77777777" w:rsidR="00801600" w:rsidRPr="00D74481" w:rsidRDefault="00801600" w:rsidP="00801600">
      <w:pPr>
        <w:pStyle w:val="NormalHanging12a"/>
        <w:ind w:left="1418"/>
        <w:rPr>
          <w:b/>
          <w:i/>
        </w:rPr>
      </w:pPr>
      <w:r w:rsidRPr="00D74481">
        <w:rPr>
          <w:b/>
          <w:i/>
        </w:rPr>
        <w:lastRenderedPageBreak/>
        <w:t>(c)</w:t>
      </w:r>
      <w:r w:rsidRPr="00D74481">
        <w:rPr>
          <w:b/>
          <w:i/>
        </w:rPr>
        <w:tab/>
        <w:t xml:space="preserve">odstavek 2 se nadomesti z naslednjim: </w:t>
      </w:r>
    </w:p>
    <w:p w14:paraId="41A8915E" w14:textId="77777777" w:rsidR="00801600" w:rsidRPr="00D74481" w:rsidRDefault="00801600" w:rsidP="00801600">
      <w:pPr>
        <w:pStyle w:val="NormalHanging12a"/>
        <w:ind w:left="1985"/>
        <w:rPr>
          <w:szCs w:val="24"/>
        </w:rPr>
      </w:pPr>
      <w:r w:rsidRPr="00D74481">
        <w:rPr>
          <w:b/>
          <w:i/>
        </w:rPr>
        <w:t>„2.</w:t>
      </w:r>
      <w:r w:rsidRPr="00D74481">
        <w:rPr>
          <w:b/>
          <w:i/>
        </w:rPr>
        <w:tab/>
        <w:t xml:space="preserve">Ukrepi, ki jih države članice sprejmejo na podlagi odstavka 1, so omejeni na to, kar je potrebno za doseganje cilja napolnjenosti. Biti morajo jasno določeni, pregledni, sorazmerni, </w:t>
      </w:r>
      <w:proofErr w:type="spellStart"/>
      <w:r w:rsidRPr="00D74481">
        <w:rPr>
          <w:b/>
          <w:i/>
        </w:rPr>
        <w:t>nediskriminatorni</w:t>
      </w:r>
      <w:proofErr w:type="spellEnd"/>
      <w:r w:rsidRPr="00D74481">
        <w:rPr>
          <w:b/>
          <w:i/>
        </w:rPr>
        <w:t xml:space="preserve"> in preverljivi. Ne smejo neupravičeno izkrivljati konkurence ali pravilnega delovanja notranjega trga plina, neupravičeno zviševati stroškov energije ali ogroziti zanesljivosti oskrbe s plinom v drugih državah članicah ali Uniji.</w:t>
      </w:r>
      <w:r w:rsidRPr="00D74481">
        <w:t xml:space="preserve"> </w:t>
      </w:r>
      <w:r w:rsidRPr="00D74481">
        <w:rPr>
          <w:b/>
          <w:i/>
        </w:rPr>
        <w:t>Države članice o vseh teh ukrepih obvestijo Komisijo in KSP.“;</w:t>
      </w:r>
    </w:p>
    <w:p w14:paraId="7ADDAC1F" w14:textId="77777777" w:rsidR="00801600" w:rsidRPr="00D74481" w:rsidRDefault="00801600" w:rsidP="00801600">
      <w:pPr>
        <w:pStyle w:val="NormalHanging12a"/>
        <w:ind w:left="851" w:hanging="851"/>
        <w:rPr>
          <w:b/>
          <w:i/>
          <w:szCs w:val="24"/>
        </w:rPr>
      </w:pPr>
      <w:r w:rsidRPr="00D74481">
        <w:rPr>
          <w:b/>
          <w:i/>
        </w:rPr>
        <w:t>(4)</w:t>
      </w:r>
      <w:r w:rsidRPr="00D74481">
        <w:rPr>
          <w:b/>
          <w:i/>
        </w:rPr>
        <w:tab/>
        <w:t>člen 6c se spremeni:</w:t>
      </w:r>
    </w:p>
    <w:p w14:paraId="25210D76" w14:textId="77777777" w:rsidR="00801600" w:rsidRPr="00D74481" w:rsidRDefault="00801600" w:rsidP="00801600">
      <w:pPr>
        <w:pStyle w:val="NormalHanging12a"/>
        <w:ind w:left="1418"/>
        <w:rPr>
          <w:b/>
          <w:i/>
        </w:rPr>
      </w:pPr>
      <w:r w:rsidRPr="00D74481">
        <w:rPr>
          <w:b/>
          <w:i/>
        </w:rPr>
        <w:t>(a)</w:t>
      </w:r>
      <w:r w:rsidRPr="00D74481">
        <w:rPr>
          <w:b/>
          <w:i/>
        </w:rPr>
        <w:tab/>
        <w:t>v odstavku 1 se prvi pododstavek nadomesti z naslednjim:</w:t>
      </w:r>
    </w:p>
    <w:p w14:paraId="000E2670" w14:textId="77777777" w:rsidR="00801600" w:rsidRPr="00D74481" w:rsidRDefault="00801600" w:rsidP="00801600">
      <w:pPr>
        <w:pStyle w:val="NormalHanging12a"/>
        <w:ind w:left="1985"/>
        <w:rPr>
          <w:b/>
          <w:i/>
          <w:szCs w:val="24"/>
        </w:rPr>
      </w:pPr>
      <w:r w:rsidRPr="00D74481">
        <w:rPr>
          <w:b/>
          <w:i/>
        </w:rPr>
        <w:t>„1.</w:t>
      </w:r>
      <w:r w:rsidRPr="00D74481">
        <w:rPr>
          <w:b/>
          <w:i/>
        </w:rPr>
        <w:tab/>
        <w:t>Država članica brez podzemnih skladišč plina zagotovi, da imajo udeleženci na trgu v tej državi članici vzpostavljene dogovore z operaterji podzemnih skladiščnih sistemov ali drugimi udeleženci na trgu iz držav članic s podzemnimi skladišči plina. S temi dogovori se zagotovi, da se do 1. decembra uporabijo skladiščene količine, ki ustrezajo vsaj 15 % povprečne letne porabe plina v predhodnih petih letih v državi članici brez podzemnih skladišč plina. Kadar pa čezmejne prenosne zmogljivosti ali druge tehnične omejitve državi članici brez podzemnih skladišč plina preprečujejo, da bi v celoti uporabila 15 % teh skladiščenih količin, ta država članica skladišči le tiste količine, ki jih je tehnično mogoče uporabiti.“;</w:t>
      </w:r>
    </w:p>
    <w:p w14:paraId="39E53D80" w14:textId="77777777" w:rsidR="00801600" w:rsidRPr="00D74481" w:rsidRDefault="00801600" w:rsidP="00801600">
      <w:pPr>
        <w:pStyle w:val="NormalHanging12a"/>
        <w:ind w:left="1418"/>
        <w:rPr>
          <w:b/>
          <w:i/>
          <w:szCs w:val="22"/>
        </w:rPr>
      </w:pPr>
      <w:r w:rsidRPr="00D74481">
        <w:rPr>
          <w:b/>
          <w:i/>
        </w:rPr>
        <w:t>(b)</w:t>
      </w:r>
      <w:r w:rsidRPr="00D74481">
        <w:rPr>
          <w:b/>
          <w:i/>
        </w:rPr>
        <w:tab/>
        <w:t>v odstavku 2 se drugi pododstavek nadomesti z naslednjim:</w:t>
      </w:r>
    </w:p>
    <w:p w14:paraId="2A7534CA" w14:textId="77777777" w:rsidR="00801600" w:rsidRPr="00D74481" w:rsidRDefault="00801600" w:rsidP="00801600">
      <w:pPr>
        <w:pStyle w:val="NormalHanging12a"/>
        <w:ind w:left="1418" w:firstLine="0"/>
        <w:rPr>
          <w:b/>
          <w:i/>
          <w:szCs w:val="24"/>
        </w:rPr>
      </w:pPr>
      <w:r w:rsidRPr="00D74481">
        <w:rPr>
          <w:b/>
          <w:i/>
        </w:rPr>
        <w:t>„Države članice brez podzemnih skladišč plina morajo dokazati, da izpolnjujejo obveznost iz odstavka 1, in o tem uradno obvestiti Komisijo.“;</w:t>
      </w:r>
    </w:p>
    <w:p w14:paraId="6D76EFF6" w14:textId="77777777" w:rsidR="00801600" w:rsidRPr="00D74481" w:rsidRDefault="00801600" w:rsidP="00801600">
      <w:pPr>
        <w:pStyle w:val="NormalHanging12a"/>
        <w:tabs>
          <w:tab w:val="left" w:pos="1418"/>
        </w:tabs>
        <w:ind w:left="1418"/>
      </w:pPr>
      <w:r w:rsidRPr="00D74481">
        <w:t>(</w:t>
      </w:r>
      <w:r w:rsidRPr="00D74481">
        <w:rPr>
          <w:b/>
          <w:i/>
        </w:rPr>
        <w:t>c)</w:t>
      </w:r>
      <w:r w:rsidRPr="00D74481">
        <w:rPr>
          <w:b/>
          <w:i/>
        </w:rPr>
        <w:tab/>
        <w:t>v prvem pododstavku odstavka 5 se točka (a) nadomesti z naslednjim:</w:t>
      </w:r>
      <w:r w:rsidRPr="00D74481">
        <w:t xml:space="preserve"> </w:t>
      </w:r>
    </w:p>
    <w:p w14:paraId="06E0B49F" w14:textId="77777777" w:rsidR="00801600" w:rsidRPr="00D74481" w:rsidRDefault="00801600" w:rsidP="00801600">
      <w:pPr>
        <w:pStyle w:val="NormalHanging12a"/>
        <w:ind w:left="1985"/>
        <w:rPr>
          <w:b/>
          <w:i/>
          <w:szCs w:val="24"/>
        </w:rPr>
      </w:pPr>
      <w:r w:rsidRPr="00D74481">
        <w:rPr>
          <w:b/>
          <w:i/>
        </w:rPr>
        <w:t>„(a)</w:t>
      </w:r>
      <w:r w:rsidRPr="00D74481">
        <w:rPr>
          <w:b/>
          <w:i/>
        </w:rPr>
        <w:tab/>
        <w:t>zagotovijo, da skladiščne količine do 1. decembra ustrezajo vsaj povprečni uporabi skladiščne zmogljivosti v predhodnih petih letih, ki se med drugim določi ob upoštevanju pretoka med sezono praznjenja v predhodnih petih letih iz držav članic, v katerih se skladišča nahajajo; ali“;</w:t>
      </w:r>
    </w:p>
    <w:p w14:paraId="757DDBCD" w14:textId="77777777" w:rsidR="00801600" w:rsidRPr="00D74481" w:rsidRDefault="00801600" w:rsidP="00801600">
      <w:pPr>
        <w:pStyle w:val="NormalHanging12a"/>
        <w:ind w:left="1418"/>
        <w:rPr>
          <w:b/>
          <w:i/>
        </w:rPr>
      </w:pPr>
      <w:r w:rsidRPr="00D74481">
        <w:rPr>
          <w:b/>
          <w:i/>
        </w:rPr>
        <w:t>(d)</w:t>
      </w:r>
      <w:r w:rsidRPr="00D74481">
        <w:rPr>
          <w:b/>
          <w:i/>
        </w:rPr>
        <w:tab/>
        <w:t>odstavek 6 se nadomesti z naslednjim:</w:t>
      </w:r>
    </w:p>
    <w:p w14:paraId="78662F78" w14:textId="77777777" w:rsidR="00801600" w:rsidRPr="00D74481" w:rsidRDefault="00801600" w:rsidP="00801600">
      <w:pPr>
        <w:pStyle w:val="NormalHanging12a"/>
        <w:ind w:left="1985"/>
        <w:rPr>
          <w:b/>
          <w:i/>
          <w:szCs w:val="24"/>
        </w:rPr>
      </w:pPr>
      <w:r w:rsidRPr="00D74481">
        <w:rPr>
          <w:b/>
          <w:i/>
        </w:rPr>
        <w:t>„6.</w:t>
      </w:r>
      <w:r w:rsidRPr="00D74481">
        <w:rPr>
          <w:b/>
          <w:i/>
        </w:rPr>
        <w:tab/>
        <w:t xml:space="preserve">Če v Prilogi </w:t>
      </w:r>
      <w:proofErr w:type="spellStart"/>
      <w:r w:rsidRPr="00D74481">
        <w:rPr>
          <w:b/>
          <w:i/>
        </w:rPr>
        <w:t>Ib</w:t>
      </w:r>
      <w:proofErr w:type="spellEnd"/>
      <w:r w:rsidRPr="00D74481">
        <w:rPr>
          <w:b/>
          <w:i/>
        </w:rPr>
        <w:t xml:space="preserve"> ni določeno drugače, v primeru podzemnih skladišč plina, ki se nahajajo v eni državi članici, ki niso zajeta v odstavku 5, vendar so neposredno povezana s tržnim območjem druge države članice, ta druga država članica zagotovi, da skladiščne količine med 1. oktobrom in 1. decembrom ustrezajo vsaj povprečju skladiščnih zmogljivosti, rezerviranih na zadevni čezmejni točki v predhodnih petih letih.“;</w:t>
      </w:r>
    </w:p>
    <w:p w14:paraId="0338134C" w14:textId="77777777" w:rsidR="00801600" w:rsidRPr="00D74481" w:rsidRDefault="00801600" w:rsidP="00801600">
      <w:pPr>
        <w:pStyle w:val="NormalHanging12a"/>
        <w:ind w:left="851" w:hanging="851"/>
        <w:rPr>
          <w:b/>
          <w:i/>
        </w:rPr>
      </w:pPr>
      <w:r w:rsidRPr="00D74481">
        <w:rPr>
          <w:b/>
          <w:i/>
        </w:rPr>
        <w:t>(5)</w:t>
      </w:r>
      <w:r w:rsidRPr="00D74481">
        <w:rPr>
          <w:b/>
          <w:i/>
        </w:rPr>
        <w:tab/>
        <w:t>člen 6d se spremeni:</w:t>
      </w:r>
    </w:p>
    <w:p w14:paraId="1948F219" w14:textId="77777777" w:rsidR="00801600" w:rsidRPr="00D74481" w:rsidRDefault="00801600" w:rsidP="00801600">
      <w:pPr>
        <w:pStyle w:val="NormalHanging12a"/>
        <w:ind w:left="1418"/>
        <w:rPr>
          <w:b/>
          <w:i/>
        </w:rPr>
      </w:pPr>
      <w:r w:rsidRPr="00D74481">
        <w:rPr>
          <w:b/>
          <w:i/>
        </w:rPr>
        <w:lastRenderedPageBreak/>
        <w:t>(a)</w:t>
      </w:r>
      <w:r w:rsidRPr="00D74481">
        <w:rPr>
          <w:b/>
          <w:i/>
        </w:rPr>
        <w:tab/>
        <w:t>odstavka 1 in 2 se nadomestita z naslednjim:</w:t>
      </w:r>
    </w:p>
    <w:p w14:paraId="1E7C785C" w14:textId="77777777" w:rsidR="00801600" w:rsidRPr="00D74481" w:rsidRDefault="00801600" w:rsidP="00801600">
      <w:pPr>
        <w:pStyle w:val="NormalHanging12a"/>
        <w:ind w:left="1985"/>
        <w:rPr>
          <w:b/>
          <w:i/>
          <w:szCs w:val="24"/>
        </w:rPr>
      </w:pPr>
      <w:r w:rsidRPr="00D74481">
        <w:rPr>
          <w:b/>
          <w:i/>
        </w:rPr>
        <w:t>„1.</w:t>
      </w:r>
      <w:r w:rsidRPr="00D74481">
        <w:rPr>
          <w:b/>
          <w:i/>
        </w:rPr>
        <w:tab/>
        <w:t>Operaterji skladiščnih sistemov pristojnemu organu v vsaki državi članici, v kateri se nahajajo zadevna podzemna skladišča plina, in, če je ustrezno, subjektu, ki ga imenuje ta država članica (v nadaljnjem besedilu: imenovani subjekt), sporočijo raven napolnjenosti, kakor je določeno v členu 6a.</w:t>
      </w:r>
    </w:p>
    <w:p w14:paraId="282232A5" w14:textId="77777777" w:rsidR="00801600" w:rsidRPr="00D74481" w:rsidRDefault="00801600" w:rsidP="00801600">
      <w:pPr>
        <w:pStyle w:val="NormalHanging12a"/>
        <w:ind w:left="1985"/>
        <w:rPr>
          <w:szCs w:val="24"/>
        </w:rPr>
      </w:pPr>
      <w:r w:rsidRPr="00D74481">
        <w:rPr>
          <w:b/>
          <w:i/>
        </w:rPr>
        <w:t>2.</w:t>
      </w:r>
      <w:r w:rsidRPr="00D74481">
        <w:rPr>
          <w:b/>
          <w:i/>
        </w:rPr>
        <w:tab/>
        <w:t>Pristojni organ in, če je ustrezno, imenovani subjekt vsake države članice ob koncu vsakega meseca spremlja raven napolnjenosti podzemnih skladišč plina na svojem ozemlju in o rezultatih brez odlašanja mesečno poroča Komisiji. Pristojni organ vključi tudi informacije o deležu plina iz Ruske federacije, ki se skladišči v tej državi članici, če so na voljo.</w:t>
      </w:r>
    </w:p>
    <w:p w14:paraId="42FDB9E2" w14:textId="77777777" w:rsidR="00801600" w:rsidRPr="00D74481" w:rsidRDefault="00801600" w:rsidP="00801600">
      <w:pPr>
        <w:pStyle w:val="NormalHanging12a"/>
        <w:ind w:left="1985" w:firstLine="0"/>
        <w:rPr>
          <w:b/>
          <w:i/>
        </w:rPr>
      </w:pPr>
      <w:r w:rsidRPr="00D74481">
        <w:rPr>
          <w:b/>
          <w:i/>
        </w:rPr>
        <w:t>Komisija lahko po potrebi povabi tudi Agencijo Evropske unije za sodelovanje energetskih regulatorjev (ACER), naj pomaga pri spremljanju.“;</w:t>
      </w:r>
    </w:p>
    <w:p w14:paraId="1AD0FA0E" w14:textId="77777777" w:rsidR="00801600" w:rsidRPr="00D74481" w:rsidRDefault="00801600" w:rsidP="00801600">
      <w:pPr>
        <w:pStyle w:val="NormalHanging12a"/>
        <w:ind w:left="1418"/>
        <w:rPr>
          <w:b/>
          <w:i/>
        </w:rPr>
      </w:pPr>
      <w:r w:rsidRPr="00D74481">
        <w:rPr>
          <w:b/>
          <w:i/>
        </w:rPr>
        <w:t>(b)</w:t>
      </w:r>
      <w:r w:rsidRPr="00D74481">
        <w:rPr>
          <w:b/>
          <w:i/>
        </w:rPr>
        <w:tab/>
        <w:t>odstavka 4 in 5 se nadomestita z naslednjim:</w:t>
      </w:r>
    </w:p>
    <w:p w14:paraId="5E15B497" w14:textId="77777777" w:rsidR="00801600" w:rsidRPr="00D74481" w:rsidRDefault="00801600" w:rsidP="00801600">
      <w:pPr>
        <w:pStyle w:val="NormalHanging12a"/>
        <w:ind w:left="1985"/>
        <w:rPr>
          <w:b/>
          <w:i/>
          <w:szCs w:val="24"/>
        </w:rPr>
      </w:pPr>
      <w:r w:rsidRPr="00D74481">
        <w:rPr>
          <w:b/>
          <w:i/>
        </w:rPr>
        <w:t>„4.</w:t>
      </w:r>
      <w:r w:rsidRPr="00D74481">
        <w:rPr>
          <w:b/>
          <w:i/>
        </w:rPr>
        <w:tab/>
        <w:t>KSP Komisiji pomaga pri spremljanju cilja napolnjenosti ter zanjo pripravi smernice o primernih ukrepih za zagotovitev boljše usklajenosti v primeru, da bi stopnje napolnjenosti v državah članicah ogrozile doseganje cilja napolnjenosti, ali za zagotovitev doseganja cilja napolnjenosti.</w:t>
      </w:r>
    </w:p>
    <w:p w14:paraId="01BDE5F7" w14:textId="414461BC" w:rsidR="00801600" w:rsidRPr="00D74481" w:rsidRDefault="00801600" w:rsidP="00801600">
      <w:pPr>
        <w:pStyle w:val="NormalHanging12a"/>
        <w:ind w:left="1985"/>
        <w:rPr>
          <w:b/>
          <w:i/>
          <w:szCs w:val="24"/>
        </w:rPr>
      </w:pPr>
      <w:r w:rsidRPr="00D74481">
        <w:rPr>
          <w:b/>
          <w:i/>
        </w:rPr>
        <w:t>4a.</w:t>
      </w:r>
      <w:r w:rsidRPr="00D74481">
        <w:rPr>
          <w:b/>
          <w:i/>
        </w:rPr>
        <w:tab/>
        <w:t xml:space="preserve">Komisija po potrebi uvede ukrepe, ki državam članicam pomagajo doseči cilj napolnjenosti, vključno z ukrepi za spodbujanje sodelovanja v mehanizmih za združevanje povpraševanja in skupno nabavo, vzpostavljenim v Uredbi </w:t>
      </w:r>
      <w:r w:rsidR="006C5F8D">
        <w:rPr>
          <w:b/>
          <w:i/>
        </w:rPr>
        <w:t xml:space="preserve">(EU) </w:t>
      </w:r>
      <w:r w:rsidRPr="00D74481">
        <w:rPr>
          <w:b/>
          <w:i/>
        </w:rPr>
        <w:t xml:space="preserve">2022/2576 (mehanizem </w:t>
      </w:r>
      <w:proofErr w:type="spellStart"/>
      <w:r w:rsidRPr="00D74481">
        <w:rPr>
          <w:b/>
          <w:i/>
        </w:rPr>
        <w:t>Aggregate</w:t>
      </w:r>
      <w:proofErr w:type="spellEnd"/>
      <w:r w:rsidRPr="00D74481">
        <w:rPr>
          <w:b/>
          <w:i/>
        </w:rPr>
        <w:t xml:space="preserve"> EU)</w:t>
      </w:r>
      <w:r w:rsidRPr="00D74481">
        <w:rPr>
          <w:rStyle w:val="FootnoteReference"/>
          <w:b/>
          <w:i/>
        </w:rPr>
        <w:t xml:space="preserve"> </w:t>
      </w:r>
      <w:r w:rsidRPr="00D74481">
        <w:rPr>
          <w:b/>
          <w:i/>
        </w:rPr>
        <w:t>.</w:t>
      </w:r>
    </w:p>
    <w:p w14:paraId="6D2BF7CA" w14:textId="77777777" w:rsidR="00801600" w:rsidRPr="00D74481" w:rsidRDefault="00801600" w:rsidP="00801600">
      <w:pPr>
        <w:pStyle w:val="NormalHanging12a"/>
        <w:ind w:left="1985"/>
        <w:rPr>
          <w:b/>
          <w:i/>
        </w:rPr>
      </w:pPr>
      <w:r w:rsidRPr="00D74481">
        <w:rPr>
          <w:b/>
          <w:i/>
        </w:rPr>
        <w:t>5.</w:t>
      </w:r>
      <w:r w:rsidRPr="00D74481">
        <w:rPr>
          <w:b/>
          <w:i/>
        </w:rPr>
        <w:tab/>
        <w:t>Države članice in po potrebi Komisija sprejmejo potrebne ukrepe za doseganje cilja napolnjenosti ter za to, da bodo udeleženci na trgu izpolnjevali obveznosti skladiščenja. Ti ukrepi lahko vključujejo zadostno odvračilne sankcije in globe, kot so ustrezne denarne kazni.</w:t>
      </w:r>
    </w:p>
    <w:p w14:paraId="4ACDF007" w14:textId="77777777" w:rsidR="00801600" w:rsidRPr="00D74481" w:rsidRDefault="00801600" w:rsidP="00801600">
      <w:pPr>
        <w:pStyle w:val="NormalHanging12a"/>
        <w:ind w:left="1985"/>
        <w:rPr>
          <w:b/>
          <w:i/>
        </w:rPr>
      </w:pPr>
      <w:r w:rsidRPr="00D74481">
        <w:rPr>
          <w:b/>
          <w:i/>
        </w:rPr>
        <w:t>___________________</w:t>
      </w:r>
    </w:p>
    <w:p w14:paraId="597E1FD2" w14:textId="77777777" w:rsidR="00801600" w:rsidRPr="00D74481" w:rsidRDefault="00801600" w:rsidP="00801600">
      <w:pPr>
        <w:pStyle w:val="NormalHanging12a"/>
        <w:ind w:left="1985"/>
        <w:rPr>
          <w:b/>
          <w:i/>
        </w:rPr>
      </w:pPr>
      <w:r w:rsidRPr="00D74481">
        <w:rPr>
          <w:b/>
          <w:i/>
        </w:rPr>
        <w:t>*</w:t>
      </w:r>
      <w:r w:rsidRPr="00D74481">
        <w:rPr>
          <w:b/>
          <w:i/>
        </w:rPr>
        <w:tab/>
        <w:t>Uredba Sveta (EU) 2022/2576 z dne 19. decembra 2022 o krepitvi solidarnosti z boljšim usklajevanjem nakupov plina, zanesljivimi referenčnimi cenami in čezmejno izmenjavo plina (UL L 335, 29.12.2022, str. 1, ELI: http://data.europa.eu/eli/reg/2022/2576/oj).“;</w:t>
      </w:r>
    </w:p>
    <w:p w14:paraId="5697AEFA" w14:textId="77777777" w:rsidR="00801600" w:rsidRPr="00D74481" w:rsidRDefault="00801600" w:rsidP="00801600">
      <w:pPr>
        <w:pStyle w:val="NormalHanging12a"/>
        <w:ind w:left="851" w:hanging="851"/>
        <w:rPr>
          <w:b/>
          <w:i/>
          <w:szCs w:val="24"/>
        </w:rPr>
      </w:pPr>
      <w:r w:rsidRPr="00D74481">
        <w:rPr>
          <w:b/>
          <w:i/>
        </w:rPr>
        <w:t>(6)</w:t>
      </w:r>
      <w:r w:rsidRPr="00D74481">
        <w:rPr>
          <w:b/>
          <w:i/>
        </w:rPr>
        <w:tab/>
        <w:t>v odstavku 1 člena 17a se doda naslednja točka:</w:t>
      </w:r>
    </w:p>
    <w:p w14:paraId="1420980C" w14:textId="77777777" w:rsidR="00801600" w:rsidRPr="00D74481" w:rsidRDefault="00801600" w:rsidP="00801600">
      <w:pPr>
        <w:pStyle w:val="NormalHanging12a"/>
        <w:ind w:left="1418"/>
        <w:rPr>
          <w:b/>
          <w:i/>
          <w:szCs w:val="24"/>
        </w:rPr>
      </w:pPr>
      <w:r w:rsidRPr="00D74481">
        <w:rPr>
          <w:b/>
          <w:i/>
        </w:rPr>
        <w:t>„(da)</w:t>
      </w:r>
      <w:r w:rsidRPr="00D74481">
        <w:rPr>
          <w:b/>
          <w:i/>
        </w:rPr>
        <w:tab/>
        <w:t>informacije o deležu plina iz Ruske federacije, shranjenega v skladiščih EU, ki jih predložijo države članice v skladu s členom 6d(2).“;</w:t>
      </w:r>
    </w:p>
    <w:p w14:paraId="4175B510" w14:textId="77777777" w:rsidR="00801600" w:rsidRPr="00D74481" w:rsidRDefault="00801600" w:rsidP="00801600">
      <w:pPr>
        <w:pStyle w:val="NormalHanging12a"/>
        <w:ind w:left="851" w:hanging="851"/>
        <w:rPr>
          <w:b/>
          <w:i/>
          <w:szCs w:val="24"/>
        </w:rPr>
      </w:pPr>
      <w:r w:rsidRPr="00D74481">
        <w:rPr>
          <w:b/>
          <w:i/>
        </w:rPr>
        <w:t>(7)</w:t>
      </w:r>
      <w:r w:rsidRPr="00D74481">
        <w:rPr>
          <w:b/>
          <w:i/>
        </w:rPr>
        <w:tab/>
        <w:t>v členu 22 se četrti odstavek nadomesti z naslednjim:</w:t>
      </w:r>
    </w:p>
    <w:p w14:paraId="5BB00333" w14:textId="77777777" w:rsidR="00801600" w:rsidRPr="00D74481" w:rsidRDefault="00801600" w:rsidP="00801600">
      <w:pPr>
        <w:pStyle w:val="NormalHanging12a"/>
        <w:ind w:left="851" w:firstLine="0"/>
        <w:rPr>
          <w:b/>
          <w:i/>
          <w:szCs w:val="24"/>
        </w:rPr>
      </w:pPr>
      <w:r w:rsidRPr="00D74481">
        <w:rPr>
          <w:b/>
          <w:i/>
        </w:rPr>
        <w:t xml:space="preserve">„Člen 2, točke (27) do (31), členi 6a do 6d, člen 16(3), člen 17a, člen 18a, </w:t>
      </w:r>
      <w:r w:rsidRPr="00D74481">
        <w:rPr>
          <w:b/>
          <w:i/>
        </w:rPr>
        <w:lastRenderedPageBreak/>
        <w:t>člen 20(4) ter priloga </w:t>
      </w:r>
      <w:proofErr w:type="spellStart"/>
      <w:r w:rsidRPr="00D74481">
        <w:rPr>
          <w:b/>
          <w:i/>
        </w:rPr>
        <w:t>Ib</w:t>
      </w:r>
      <w:proofErr w:type="spellEnd"/>
      <w:r w:rsidRPr="00D74481">
        <w:rPr>
          <w:b/>
          <w:i/>
        </w:rPr>
        <w:t xml:space="preserve"> se uporabljajo do 31. decembra 2027.“;</w:t>
      </w:r>
    </w:p>
    <w:p w14:paraId="0A7793F2" w14:textId="77777777" w:rsidR="00801600" w:rsidRPr="00D74481" w:rsidRDefault="00801600" w:rsidP="00801600">
      <w:pPr>
        <w:pStyle w:val="NormalHanging12a"/>
        <w:ind w:left="851" w:hanging="851"/>
        <w:rPr>
          <w:b/>
          <w:i/>
          <w:szCs w:val="24"/>
        </w:rPr>
      </w:pPr>
      <w:r w:rsidRPr="00D74481">
        <w:rPr>
          <w:b/>
          <w:i/>
        </w:rPr>
        <w:t>(8)</w:t>
      </w:r>
      <w:r w:rsidRPr="00D74481">
        <w:rPr>
          <w:b/>
          <w:i/>
        </w:rPr>
        <w:tab/>
        <w:t>Priloga </w:t>
      </w:r>
      <w:proofErr w:type="spellStart"/>
      <w:r w:rsidRPr="00D74481">
        <w:rPr>
          <w:b/>
          <w:i/>
        </w:rPr>
        <w:t>Ia</w:t>
      </w:r>
      <w:proofErr w:type="spellEnd"/>
      <w:r w:rsidRPr="00D74481">
        <w:rPr>
          <w:b/>
          <w:i/>
        </w:rPr>
        <w:t xml:space="preserve"> se črta.</w:t>
      </w:r>
    </w:p>
    <w:p w14:paraId="28736B47" w14:textId="77777777" w:rsidR="00801600" w:rsidRPr="00D74481" w:rsidRDefault="00801600" w:rsidP="00801600">
      <w:pPr>
        <w:rPr>
          <w:noProof/>
        </w:rPr>
      </w:pPr>
    </w:p>
    <w:p w14:paraId="6EE75DC1" w14:textId="77777777" w:rsidR="00801600" w:rsidRPr="00D74481" w:rsidRDefault="00801600" w:rsidP="00801600">
      <w:pPr>
        <w:pStyle w:val="Titrearticle"/>
        <w:rPr>
          <w:noProof/>
        </w:rPr>
      </w:pPr>
      <w:r w:rsidRPr="00D74481">
        <w:t>Člen 2</w:t>
      </w:r>
    </w:p>
    <w:p w14:paraId="3D04A296" w14:textId="77777777" w:rsidR="00801600" w:rsidRPr="00D74481" w:rsidRDefault="00801600" w:rsidP="00801600">
      <w:pPr>
        <w:jc w:val="center"/>
        <w:rPr>
          <w:b/>
          <w:bCs/>
          <w:noProof/>
        </w:rPr>
      </w:pPr>
      <w:r w:rsidRPr="00D74481">
        <w:rPr>
          <w:b/>
        </w:rPr>
        <w:t>Začetek veljavnosti</w:t>
      </w:r>
    </w:p>
    <w:p w14:paraId="75DE1680" w14:textId="77777777" w:rsidR="00801600" w:rsidRPr="00D74481" w:rsidRDefault="00801600" w:rsidP="00801600">
      <w:pPr>
        <w:pStyle w:val="NormalHanging12a"/>
        <w:ind w:left="0" w:firstLine="0"/>
        <w:rPr>
          <w:szCs w:val="24"/>
        </w:rPr>
      </w:pPr>
      <w:r w:rsidRPr="00D74481">
        <w:t xml:space="preserve">Ta uredba začne veljati </w:t>
      </w:r>
      <w:r w:rsidRPr="00D74481">
        <w:rPr>
          <w:b/>
          <w:bCs/>
          <w:i/>
          <w:iCs/>
        </w:rPr>
        <w:t>in se začne uporabljati</w:t>
      </w:r>
      <w:r w:rsidRPr="00D74481">
        <w:t xml:space="preserve"> dan po objavi v </w:t>
      </w:r>
      <w:r w:rsidRPr="00E57F1D">
        <w:rPr>
          <w:i/>
          <w:iCs/>
        </w:rPr>
        <w:t>Uradnem listu Evropske unije</w:t>
      </w:r>
      <w:r w:rsidRPr="00D74481">
        <w:t>.</w:t>
      </w:r>
    </w:p>
    <w:p w14:paraId="64122DAD" w14:textId="77777777" w:rsidR="00801600" w:rsidRPr="00D74481" w:rsidRDefault="00801600" w:rsidP="00801600">
      <w:pPr>
        <w:pStyle w:val="NormalCenter12a"/>
        <w:jc w:val="left"/>
      </w:pPr>
      <w:r w:rsidRPr="00D74481">
        <w:t>Ta uredba je v celoti zavezujoča in se neposredno uporablja v vseh državah članicah.</w:t>
      </w:r>
    </w:p>
    <w:p w14:paraId="286F2562" w14:textId="77777777" w:rsidR="00801600" w:rsidRPr="00D74481" w:rsidRDefault="00801600" w:rsidP="00801600">
      <w:pPr>
        <w:pStyle w:val="NormalCenter12a"/>
        <w:jc w:val="left"/>
      </w:pPr>
      <w:r w:rsidRPr="00D74481">
        <w:t>V Bruslju,</w:t>
      </w:r>
    </w:p>
    <w:p w14:paraId="4AF9EAC8" w14:textId="77777777" w:rsidR="00801600" w:rsidRPr="00D74481" w:rsidRDefault="00801600" w:rsidP="00801600">
      <w:pPr>
        <w:pStyle w:val="NormalCenter12a"/>
        <w:jc w:val="left"/>
      </w:pPr>
      <w:r w:rsidRPr="00D74481">
        <w:t>Za Evropski parlament</w:t>
      </w:r>
    </w:p>
    <w:p w14:paraId="70B0CDC0" w14:textId="77777777" w:rsidR="00801600" w:rsidRPr="00D74481" w:rsidRDefault="00801600" w:rsidP="00801600">
      <w:pPr>
        <w:pStyle w:val="NormalCenter12a"/>
        <w:jc w:val="left"/>
      </w:pPr>
      <w:r w:rsidRPr="00D74481">
        <w:t>predsednica</w:t>
      </w:r>
    </w:p>
    <w:p w14:paraId="49D22973" w14:textId="77777777" w:rsidR="00801600" w:rsidRPr="00D74481" w:rsidRDefault="00801600" w:rsidP="00801600">
      <w:pPr>
        <w:pStyle w:val="NormalCenter12a"/>
        <w:jc w:val="left"/>
      </w:pPr>
      <w:r w:rsidRPr="00D74481">
        <w:t>Za Svet</w:t>
      </w:r>
    </w:p>
    <w:p w14:paraId="1E8CED6E" w14:textId="77777777" w:rsidR="00E365E1" w:rsidRPr="00D74481" w:rsidRDefault="00801600" w:rsidP="00D74481">
      <w:r w:rsidRPr="00D74481">
        <w:t>predsednik</w:t>
      </w:r>
    </w:p>
    <w:sectPr w:rsidR="00E365E1" w:rsidRPr="00D74481" w:rsidSect="00D7448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9B560" w14:textId="77777777" w:rsidR="001049C1" w:rsidRPr="00D74481" w:rsidRDefault="001049C1">
      <w:r w:rsidRPr="00D74481">
        <w:separator/>
      </w:r>
    </w:p>
  </w:endnote>
  <w:endnote w:type="continuationSeparator" w:id="0">
    <w:p w14:paraId="02DCDE90" w14:textId="77777777" w:rsidR="001049C1" w:rsidRPr="00D74481" w:rsidRDefault="001049C1">
      <w:r w:rsidRPr="00D744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22DCC" w14:textId="77777777" w:rsidR="00064002" w:rsidRPr="00D7448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57848" w14:textId="77777777" w:rsidR="00064002" w:rsidRPr="00D7448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BF90E" w14:textId="77777777" w:rsidR="00064002" w:rsidRPr="00D744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E6AC0" w14:textId="77777777" w:rsidR="001049C1" w:rsidRPr="00D74481" w:rsidRDefault="001049C1">
      <w:r w:rsidRPr="00D74481">
        <w:separator/>
      </w:r>
    </w:p>
  </w:footnote>
  <w:footnote w:type="continuationSeparator" w:id="0">
    <w:p w14:paraId="3109C67E" w14:textId="77777777" w:rsidR="001049C1" w:rsidRPr="00D74481" w:rsidRDefault="001049C1">
      <w:r w:rsidRPr="00D74481">
        <w:continuationSeparator/>
      </w:r>
    </w:p>
  </w:footnote>
  <w:footnote w:id="1">
    <w:p w14:paraId="5349468B" w14:textId="77777777" w:rsidR="005B1BAA" w:rsidRPr="001145CC" w:rsidRDefault="005B1BAA" w:rsidP="005B1BAA">
      <w:pPr>
        <w:pStyle w:val="FootnoteText"/>
        <w:ind w:left="567" w:hanging="567"/>
        <w:rPr>
          <w:lang w:val="en-GB"/>
        </w:rPr>
      </w:pPr>
      <w:r>
        <w:rPr>
          <w:rStyle w:val="FootnoteReference"/>
        </w:rPr>
        <w:footnoteRef/>
      </w:r>
      <w:r w:rsidRPr="001145CC">
        <w:rPr>
          <w:lang w:val="en-GB"/>
        </w:rPr>
        <w:t xml:space="preserve"> </w:t>
      </w:r>
      <w:r w:rsidRPr="001145CC">
        <w:rPr>
          <w:lang w:val="en-GB"/>
        </w:rPr>
        <w:tab/>
      </w:r>
      <w:r w:rsidRPr="00577391">
        <w:rPr>
          <w:sz w:val="24"/>
          <w:lang w:val="sl-SI"/>
        </w:rPr>
        <w:t xml:space="preserve">Zadeva je bila v skladu </w:t>
      </w:r>
      <w:r>
        <w:rPr>
          <w:sz w:val="24"/>
          <w:lang w:val="sl-SI"/>
        </w:rPr>
        <w:t>s</w:t>
      </w:r>
      <w:r w:rsidRPr="00577391">
        <w:rPr>
          <w:sz w:val="24"/>
          <w:lang w:val="sl-SI"/>
        </w:rPr>
        <w:t xml:space="preserve"> </w:t>
      </w:r>
      <w:r>
        <w:rPr>
          <w:sz w:val="24"/>
          <w:lang w:val="sl-SI"/>
        </w:rPr>
        <w:t>četrtim</w:t>
      </w:r>
      <w:r w:rsidRPr="00577391">
        <w:rPr>
          <w:sz w:val="24"/>
          <w:lang w:val="sl-SI"/>
        </w:rPr>
        <w:t xml:space="preserve"> </w:t>
      </w:r>
      <w:r w:rsidRPr="00B9461A">
        <w:rPr>
          <w:sz w:val="24"/>
          <w:lang w:val="sl-SI"/>
        </w:rPr>
        <w:t xml:space="preserve">pododstavkom člena </w:t>
      </w:r>
      <w:r>
        <w:rPr>
          <w:sz w:val="24"/>
          <w:lang w:val="sl-SI"/>
        </w:rPr>
        <w:t>60</w:t>
      </w:r>
      <w:r w:rsidRPr="00B9461A">
        <w:rPr>
          <w:sz w:val="24"/>
          <w:lang w:val="sl-SI"/>
        </w:rPr>
        <w:t xml:space="preserve">(4) Poslovnika vrnjena pristojnemu odboru v medinstitucionalna pogajanja </w:t>
      </w:r>
      <w:r w:rsidRPr="006D1F8A">
        <w:rPr>
          <w:sz w:val="24"/>
          <w:szCs w:val="24"/>
          <w:lang w:val="en-GB"/>
        </w:rPr>
        <w:t>(A</w:t>
      </w:r>
      <w:r>
        <w:rPr>
          <w:sz w:val="24"/>
          <w:szCs w:val="24"/>
          <w:lang w:val="en-GB"/>
        </w:rPr>
        <w:t>10</w:t>
      </w:r>
      <w:r w:rsidRPr="006D1F8A">
        <w:rPr>
          <w:sz w:val="24"/>
          <w:szCs w:val="24"/>
          <w:lang w:val="en-GB"/>
        </w:rPr>
        <w:t>-0</w:t>
      </w:r>
      <w:r>
        <w:rPr>
          <w:sz w:val="24"/>
          <w:szCs w:val="24"/>
          <w:lang w:val="en-GB"/>
        </w:rPr>
        <w:t>079</w:t>
      </w:r>
      <w:r w:rsidRPr="006D1F8A">
        <w:rPr>
          <w:sz w:val="24"/>
          <w:szCs w:val="24"/>
          <w:lang w:val="en-GB"/>
        </w:rPr>
        <w:t>/202</w:t>
      </w:r>
      <w:r>
        <w:rPr>
          <w:sz w:val="24"/>
          <w:szCs w:val="24"/>
          <w:lang w:val="en-GB"/>
        </w:rPr>
        <w:t>5</w:t>
      </w:r>
      <w:r w:rsidRPr="006D1F8A">
        <w:rPr>
          <w:sz w:val="24"/>
          <w:szCs w:val="24"/>
          <w:lang w:val="en-GB"/>
        </w:rPr>
        <w:t>).</w:t>
      </w:r>
    </w:p>
  </w:footnote>
  <w:footnote w:id="2">
    <w:p w14:paraId="3D2435D0" w14:textId="77777777" w:rsidR="00801600" w:rsidRPr="00D74481" w:rsidRDefault="00801600" w:rsidP="00E57F1D">
      <w:pPr>
        <w:pStyle w:val="FootnoteText"/>
        <w:ind w:left="567" w:hanging="567"/>
        <w:rPr>
          <w:sz w:val="24"/>
          <w:lang w:val="sl-SI"/>
        </w:rPr>
      </w:pPr>
      <w:r w:rsidRPr="00D74481">
        <w:rPr>
          <w:rStyle w:val="FootnoteReference"/>
          <w:sz w:val="24"/>
          <w:lang w:val="sl-SI"/>
        </w:rPr>
        <w:t>*</w:t>
      </w:r>
      <w:r w:rsidR="00D74481" w:rsidRPr="00D74481">
        <w:rPr>
          <w:sz w:val="24"/>
          <w:lang w:val="sl-SI"/>
        </w:rPr>
        <w:t xml:space="preserve"> </w:t>
      </w:r>
      <w:r w:rsidR="00D74481" w:rsidRPr="00D74481">
        <w:rPr>
          <w:sz w:val="24"/>
          <w:lang w:val="sl-SI"/>
        </w:rPr>
        <w:tab/>
      </w:r>
      <w:r w:rsidR="00E57F1D">
        <w:rPr>
          <w:sz w:val="24"/>
          <w:lang w:val="sl-SI"/>
        </w:rPr>
        <w:t>S</w:t>
      </w:r>
      <w:r w:rsidRPr="00D74481">
        <w:rPr>
          <w:sz w:val="24"/>
          <w:lang w:val="sl-SI"/>
        </w:rPr>
        <w:t>prememb</w:t>
      </w:r>
      <w:r w:rsidR="00E57F1D">
        <w:rPr>
          <w:sz w:val="24"/>
          <w:lang w:val="sl-SI"/>
        </w:rPr>
        <w:t>e</w:t>
      </w:r>
      <w:r w:rsidRPr="00D74481">
        <w:rPr>
          <w:sz w:val="24"/>
          <w:lang w:val="sl-SI"/>
        </w:rPr>
        <w:t>: novo ali spremenjeno besedilo je označeno s krepkim ležečim tiskom; simbol ▌pa tiste dele besedila, ki so bili črtani.</w:t>
      </w:r>
    </w:p>
  </w:footnote>
  <w:footnote w:id="3">
    <w:p w14:paraId="313134F2" w14:textId="77777777" w:rsidR="00801600" w:rsidRPr="00D74481" w:rsidRDefault="00801600" w:rsidP="00D74481">
      <w:pPr>
        <w:pStyle w:val="FootnoteText"/>
        <w:ind w:left="567" w:hanging="567"/>
        <w:rPr>
          <w:sz w:val="24"/>
          <w:lang w:val="sl-SI"/>
        </w:rPr>
      </w:pPr>
      <w:r w:rsidRPr="00D74481">
        <w:rPr>
          <w:rStyle w:val="FootnoteReference"/>
          <w:sz w:val="24"/>
          <w:lang w:val="sl-SI"/>
        </w:rPr>
        <w:footnoteRef/>
      </w:r>
      <w:r w:rsidR="00D74481" w:rsidRPr="00D74481">
        <w:rPr>
          <w:sz w:val="24"/>
          <w:lang w:val="sl-SI"/>
        </w:rPr>
        <w:t xml:space="preserve"> </w:t>
      </w:r>
      <w:r w:rsidR="00D74481" w:rsidRPr="00D74481">
        <w:rPr>
          <w:sz w:val="24"/>
          <w:lang w:val="sl-SI"/>
        </w:rPr>
        <w:tab/>
      </w:r>
      <w:r w:rsidRPr="00D74481">
        <w:rPr>
          <w:sz w:val="24"/>
          <w:lang w:val="sl-SI"/>
        </w:rPr>
        <w:t>Uredba (EU) 2022/1032 Evropskega parlamenta in Sveta z dne 29. junija 2022 o spremembi Uredb (EU) 2017/1938 in (ES) št. 715/2009 glede skladiščenja plina (UL L 173, 30.6.2022, str. 17, ELI: http://data.europa.eu/eli/reg/2022/1032/oj).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4737B" w14:textId="77777777" w:rsidR="00064002" w:rsidRPr="00D7448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365A8" w14:textId="77777777" w:rsidR="00064002" w:rsidRPr="00D7448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72154" w14:textId="77777777" w:rsidR="00064002" w:rsidRPr="00D744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3733636">
    <w:abstractNumId w:val="9"/>
  </w:num>
  <w:num w:numId="2" w16cid:durableId="504635320">
    <w:abstractNumId w:val="9"/>
  </w:num>
  <w:num w:numId="3" w16cid:durableId="1196885917">
    <w:abstractNumId w:val="7"/>
  </w:num>
  <w:num w:numId="4" w16cid:durableId="514536763">
    <w:abstractNumId w:val="7"/>
  </w:num>
  <w:num w:numId="5" w16cid:durableId="567611004">
    <w:abstractNumId w:val="6"/>
  </w:num>
  <w:num w:numId="6" w16cid:durableId="405803063">
    <w:abstractNumId w:val="6"/>
  </w:num>
  <w:num w:numId="7" w16cid:durableId="2011178747">
    <w:abstractNumId w:val="5"/>
  </w:num>
  <w:num w:numId="8" w16cid:durableId="940527489">
    <w:abstractNumId w:val="5"/>
  </w:num>
  <w:num w:numId="9" w16cid:durableId="1430464315">
    <w:abstractNumId w:val="4"/>
  </w:num>
  <w:num w:numId="10" w16cid:durableId="1703553290">
    <w:abstractNumId w:val="4"/>
  </w:num>
  <w:num w:numId="11" w16cid:durableId="1830250323">
    <w:abstractNumId w:val="8"/>
  </w:num>
  <w:num w:numId="12" w16cid:durableId="365254603">
    <w:abstractNumId w:val="8"/>
  </w:num>
  <w:num w:numId="13" w16cid:durableId="1390492550">
    <w:abstractNumId w:val="3"/>
  </w:num>
  <w:num w:numId="14" w16cid:durableId="245499979">
    <w:abstractNumId w:val="3"/>
  </w:num>
  <w:num w:numId="15" w16cid:durableId="455880435">
    <w:abstractNumId w:val="2"/>
  </w:num>
  <w:num w:numId="16" w16cid:durableId="36325046">
    <w:abstractNumId w:val="2"/>
  </w:num>
  <w:num w:numId="17" w16cid:durableId="638800213">
    <w:abstractNumId w:val="1"/>
  </w:num>
  <w:num w:numId="18" w16cid:durableId="1635059499">
    <w:abstractNumId w:val="1"/>
  </w:num>
  <w:num w:numId="19" w16cid:durableId="1843231619">
    <w:abstractNumId w:val="0"/>
  </w:num>
  <w:num w:numId="20" w16cid:durableId="51733523">
    <w:abstractNumId w:val="0"/>
  </w:num>
  <w:num w:numId="21" w16cid:durableId="1985619281">
    <w:abstractNumId w:val="9"/>
  </w:num>
  <w:num w:numId="22" w16cid:durableId="1583249880">
    <w:abstractNumId w:val="7"/>
  </w:num>
  <w:num w:numId="23" w16cid:durableId="1691056943">
    <w:abstractNumId w:val="6"/>
  </w:num>
  <w:num w:numId="24" w16cid:durableId="498425076">
    <w:abstractNumId w:val="5"/>
  </w:num>
  <w:num w:numId="25" w16cid:durableId="751005583">
    <w:abstractNumId w:val="4"/>
  </w:num>
  <w:num w:numId="26" w16cid:durableId="1555774639">
    <w:abstractNumId w:val="8"/>
  </w:num>
  <w:num w:numId="27" w16cid:durableId="956376897">
    <w:abstractNumId w:val="3"/>
  </w:num>
  <w:num w:numId="28" w16cid:durableId="154225220">
    <w:abstractNumId w:val="2"/>
  </w:num>
  <w:num w:numId="29" w16cid:durableId="412242484">
    <w:abstractNumId w:val="1"/>
  </w:num>
  <w:num w:numId="30" w16cid:durableId="2026205467">
    <w:abstractNumId w:val="0"/>
  </w:num>
  <w:num w:numId="31" w16cid:durableId="54164047">
    <w:abstractNumId w:val="9"/>
  </w:num>
  <w:num w:numId="32" w16cid:durableId="1156192609">
    <w:abstractNumId w:val="7"/>
  </w:num>
  <w:num w:numId="33" w16cid:durableId="1179661289">
    <w:abstractNumId w:val="6"/>
  </w:num>
  <w:num w:numId="34" w16cid:durableId="1480146886">
    <w:abstractNumId w:val="5"/>
  </w:num>
  <w:num w:numId="35" w16cid:durableId="2135169576">
    <w:abstractNumId w:val="4"/>
  </w:num>
  <w:num w:numId="36" w16cid:durableId="576062306">
    <w:abstractNumId w:val="8"/>
  </w:num>
  <w:num w:numId="37" w16cid:durableId="1580556764">
    <w:abstractNumId w:val="3"/>
  </w:num>
  <w:num w:numId="38" w16cid:durableId="1187209833">
    <w:abstractNumId w:val="2"/>
  </w:num>
  <w:num w:numId="39" w16cid:durableId="1155414457">
    <w:abstractNumId w:val="1"/>
  </w:num>
  <w:num w:numId="40" w16cid:durableId="509414151">
    <w:abstractNumId w:val="0"/>
  </w:num>
  <w:num w:numId="41" w16cid:durableId="1943418059">
    <w:abstractNumId w:val="10"/>
  </w:num>
  <w:num w:numId="42" w16cid:durableId="232161261">
    <w:abstractNumId w:val="10"/>
  </w:num>
  <w:num w:numId="43" w16cid:durableId="1636980569">
    <w:abstractNumId w:val="10"/>
  </w:num>
  <w:num w:numId="44" w16cid:durableId="1650212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9/2025"/>
    <w:docVar w:name="dvlangue" w:val="SL"/>
    <w:docVar w:name="dvnumam" w:val="0"/>
    <w:docVar w:name="dvpe" w:val="772.015"/>
    <w:docVar w:name="dvrapporteur" w:val="Poročevalec: "/>
    <w:docVar w:name="dvstar" w:val="***I"/>
    <w:docVar w:name="dvtitre" w:val="Zakonodajna resolucija Evropskega parlamenta z dne 8. maja 2025 o predlogu uredbe Evropskega parlamenta in Sveta o spremembi Uredbe (EU) 2017/1938 glede vloge skladiščenja plina pri zagotavljanju oskrbe s plinom pred zimsko sezono(COM(2025)0099 – C10-0041/2025 – 2025/0051(COD))"/>
  </w:docVars>
  <w:rsids>
    <w:rsidRoot w:val="001049C1"/>
    <w:rsid w:val="00002272"/>
    <w:rsid w:val="00064002"/>
    <w:rsid w:val="000677B9"/>
    <w:rsid w:val="000831BA"/>
    <w:rsid w:val="000A42CC"/>
    <w:rsid w:val="000E7DD9"/>
    <w:rsid w:val="0010095E"/>
    <w:rsid w:val="001049C1"/>
    <w:rsid w:val="00125B37"/>
    <w:rsid w:val="00184FF2"/>
    <w:rsid w:val="00187494"/>
    <w:rsid w:val="001F32AE"/>
    <w:rsid w:val="002767FF"/>
    <w:rsid w:val="002B18FE"/>
    <w:rsid w:val="002B5493"/>
    <w:rsid w:val="00343214"/>
    <w:rsid w:val="00361C00"/>
    <w:rsid w:val="00395FA1"/>
    <w:rsid w:val="003E15D4"/>
    <w:rsid w:val="00406EE0"/>
    <w:rsid w:val="00411CCE"/>
    <w:rsid w:val="0041666E"/>
    <w:rsid w:val="00421060"/>
    <w:rsid w:val="00430015"/>
    <w:rsid w:val="00471C19"/>
    <w:rsid w:val="004867E3"/>
    <w:rsid w:val="00494A28"/>
    <w:rsid w:val="004C0004"/>
    <w:rsid w:val="004C5D52"/>
    <w:rsid w:val="0050519A"/>
    <w:rsid w:val="005072A1"/>
    <w:rsid w:val="00514517"/>
    <w:rsid w:val="00545827"/>
    <w:rsid w:val="00560270"/>
    <w:rsid w:val="005B1BAA"/>
    <w:rsid w:val="005C2568"/>
    <w:rsid w:val="005F1B17"/>
    <w:rsid w:val="006037C0"/>
    <w:rsid w:val="006631B6"/>
    <w:rsid w:val="00680577"/>
    <w:rsid w:val="006C5F8D"/>
    <w:rsid w:val="006F74FA"/>
    <w:rsid w:val="00731ADD"/>
    <w:rsid w:val="00734777"/>
    <w:rsid w:val="00747932"/>
    <w:rsid w:val="00751A4A"/>
    <w:rsid w:val="00756632"/>
    <w:rsid w:val="00762C74"/>
    <w:rsid w:val="00786EC0"/>
    <w:rsid w:val="007D1690"/>
    <w:rsid w:val="007E22AD"/>
    <w:rsid w:val="007E6B09"/>
    <w:rsid w:val="00801600"/>
    <w:rsid w:val="00817416"/>
    <w:rsid w:val="00842779"/>
    <w:rsid w:val="00865F67"/>
    <w:rsid w:val="00881A7B"/>
    <w:rsid w:val="008840E5"/>
    <w:rsid w:val="00887B3E"/>
    <w:rsid w:val="008C2AC6"/>
    <w:rsid w:val="008C788E"/>
    <w:rsid w:val="00930C23"/>
    <w:rsid w:val="0093193B"/>
    <w:rsid w:val="009509D8"/>
    <w:rsid w:val="00950B64"/>
    <w:rsid w:val="00981893"/>
    <w:rsid w:val="00A1687D"/>
    <w:rsid w:val="00A4157C"/>
    <w:rsid w:val="00A43E52"/>
    <w:rsid w:val="00A4678D"/>
    <w:rsid w:val="00A778C7"/>
    <w:rsid w:val="00AB441E"/>
    <w:rsid w:val="00AB6293"/>
    <w:rsid w:val="00AE0928"/>
    <w:rsid w:val="00AF3B82"/>
    <w:rsid w:val="00B12E95"/>
    <w:rsid w:val="00B22876"/>
    <w:rsid w:val="00B558F0"/>
    <w:rsid w:val="00BA7D7D"/>
    <w:rsid w:val="00BD48FE"/>
    <w:rsid w:val="00BD7BD8"/>
    <w:rsid w:val="00BE6ADC"/>
    <w:rsid w:val="00C05BFE"/>
    <w:rsid w:val="00C23CD4"/>
    <w:rsid w:val="00C61C0C"/>
    <w:rsid w:val="00C941CB"/>
    <w:rsid w:val="00CC2357"/>
    <w:rsid w:val="00CF071A"/>
    <w:rsid w:val="00D058B8"/>
    <w:rsid w:val="00D56C11"/>
    <w:rsid w:val="00D74481"/>
    <w:rsid w:val="00D834A0"/>
    <w:rsid w:val="00D872DF"/>
    <w:rsid w:val="00D91E21"/>
    <w:rsid w:val="00DA7FCD"/>
    <w:rsid w:val="00E365E1"/>
    <w:rsid w:val="00E57F1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94145F"/>
  <w15:chartTrackingRefBased/>
  <w15:docId w15:val="{FCEEF9A5-42E5-4FD0-99F5-09BC422DD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 Reference Number,Footnote Reference_LVL6,Footnote Reference_LVL61,Footnote Reference_LVL62,Footnote Reference_LVL63,Footnote Reference_LVL64,Footnote reference number,BVI fnr,SUPERS,16 Point,Superscript 6 Poin"/>
    <w:uiPriority w:val="99"/>
    <w:rsid w:val="00395FA1"/>
    <w:rPr>
      <w:b w:val="0"/>
      <w:vertAlign w:val="superscript"/>
    </w:rPr>
  </w:style>
  <w:style w:type="paragraph" w:styleId="FootnoteText">
    <w:name w:val="footnote text"/>
    <w:aliases w:val=" Char Char Char Char"/>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 Char Char Char Char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0160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01600"/>
    <w:pPr>
      <w:spacing w:before="480" w:after="240"/>
    </w:pPr>
  </w:style>
  <w:style w:type="paragraph" w:customStyle="1" w:styleId="NormalBold">
    <w:name w:val="NormalBold"/>
    <w:basedOn w:val="Normal"/>
    <w:rsid w:val="00801600"/>
    <w:rPr>
      <w:b/>
    </w:rPr>
  </w:style>
  <w:style w:type="paragraph" w:customStyle="1" w:styleId="NormalHanging12a">
    <w:name w:val="NormalHanging12a"/>
    <w:basedOn w:val="Normal"/>
    <w:link w:val="NormalHanging12aChar"/>
    <w:rsid w:val="00801600"/>
    <w:pPr>
      <w:spacing w:after="240"/>
      <w:ind w:left="567" w:hanging="567"/>
    </w:pPr>
  </w:style>
  <w:style w:type="paragraph" w:styleId="Header">
    <w:name w:val="header"/>
    <w:basedOn w:val="Normal"/>
    <w:link w:val="HeaderChar"/>
    <w:rsid w:val="00801600"/>
    <w:pPr>
      <w:tabs>
        <w:tab w:val="center" w:pos="4513"/>
        <w:tab w:val="right" w:pos="9026"/>
      </w:tabs>
    </w:pPr>
  </w:style>
  <w:style w:type="character" w:customStyle="1" w:styleId="HeaderChar">
    <w:name w:val="Header Char"/>
    <w:basedOn w:val="DefaultParagraphFont"/>
    <w:link w:val="Header"/>
    <w:rsid w:val="00801600"/>
    <w:rPr>
      <w:sz w:val="24"/>
      <w:lang w:val="sl-SI"/>
    </w:rPr>
  </w:style>
  <w:style w:type="paragraph" w:customStyle="1" w:styleId="EPFooter">
    <w:name w:val="EPFooter"/>
    <w:basedOn w:val="Normal"/>
    <w:rsid w:val="00801600"/>
    <w:pPr>
      <w:tabs>
        <w:tab w:val="center" w:pos="4535"/>
        <w:tab w:val="right" w:pos="9071"/>
      </w:tabs>
      <w:spacing w:before="240" w:after="240"/>
    </w:pPr>
    <w:rPr>
      <w:color w:val="010000"/>
      <w:sz w:val="22"/>
    </w:rPr>
  </w:style>
  <w:style w:type="paragraph" w:customStyle="1" w:styleId="NormalCenter12a">
    <w:name w:val="NormalCenter12a"/>
    <w:basedOn w:val="Normal"/>
    <w:rsid w:val="00801600"/>
    <w:pPr>
      <w:spacing w:after="240"/>
      <w:jc w:val="center"/>
    </w:pPr>
  </w:style>
  <w:style w:type="paragraph" w:customStyle="1" w:styleId="AmNumberTabs">
    <w:name w:val="AmNumberTabs"/>
    <w:basedOn w:val="Normal"/>
    <w:rsid w:val="0080160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801600"/>
    <w:pPr>
      <w:spacing w:before="720" w:after="240"/>
      <w:jc w:val="center"/>
    </w:pPr>
  </w:style>
  <w:style w:type="paragraph" w:customStyle="1" w:styleId="Titrearticle">
    <w:name w:val="Titre article"/>
    <w:basedOn w:val="Normal"/>
    <w:next w:val="Normal"/>
    <w:rsid w:val="00801600"/>
    <w:pPr>
      <w:keepNext/>
      <w:widowControl/>
      <w:spacing w:before="360" w:after="120"/>
      <w:jc w:val="center"/>
    </w:pPr>
    <w:rPr>
      <w:rFonts w:eastAsiaTheme="minorHAnsi"/>
      <w:i/>
      <w:szCs w:val="22"/>
      <w:lang w:eastAsia="en-US"/>
    </w:rPr>
  </w:style>
  <w:style w:type="character" w:customStyle="1" w:styleId="NormalHanging12aChar">
    <w:name w:val="NormalHanging12a Char"/>
    <w:basedOn w:val="DefaultParagraphFont"/>
    <w:link w:val="NormalHanging12a"/>
    <w:rsid w:val="00801600"/>
    <w:rPr>
      <w:sz w:val="24"/>
      <w:lang w:val="sl-SI"/>
    </w:rPr>
  </w:style>
  <w:style w:type="paragraph" w:styleId="Footer">
    <w:name w:val="footer"/>
    <w:basedOn w:val="Normal"/>
    <w:link w:val="FooterChar"/>
    <w:rsid w:val="00430015"/>
    <w:pPr>
      <w:tabs>
        <w:tab w:val="center" w:pos="4513"/>
        <w:tab w:val="right" w:pos="9026"/>
      </w:tabs>
    </w:pPr>
  </w:style>
  <w:style w:type="character" w:customStyle="1" w:styleId="FooterChar">
    <w:name w:val="Footer Char"/>
    <w:basedOn w:val="DefaultParagraphFont"/>
    <w:link w:val="Footer"/>
    <w:rsid w:val="00430015"/>
    <w:rPr>
      <w:sz w:val="24"/>
      <w:lang w:val="sl-SI"/>
    </w:rPr>
  </w:style>
  <w:style w:type="paragraph" w:styleId="BalloonText">
    <w:name w:val="Balloon Text"/>
    <w:basedOn w:val="Normal"/>
    <w:link w:val="BalloonTextChar"/>
    <w:rsid w:val="00430015"/>
    <w:rPr>
      <w:rFonts w:ascii="Segoe UI" w:hAnsi="Segoe UI" w:cs="Segoe UI"/>
      <w:sz w:val="18"/>
      <w:szCs w:val="18"/>
    </w:rPr>
  </w:style>
  <w:style w:type="character" w:customStyle="1" w:styleId="BalloonTextChar">
    <w:name w:val="Balloon Text Char"/>
    <w:basedOn w:val="DefaultParagraphFont"/>
    <w:link w:val="BalloonText"/>
    <w:rsid w:val="00430015"/>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78E6D-8618-4ABD-974F-ADE9EC620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2913</Words>
  <Characters>16939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PESA Karina</cp:lastModifiedBy>
  <cp:revision>3</cp:revision>
  <cp:lastPrinted>2004-11-19T15:42:00Z</cp:lastPrinted>
  <dcterms:created xsi:type="dcterms:W3CDTF">2025-05-08T13:13:00Z</dcterms:created>
  <dcterms:modified xsi:type="dcterms:W3CDTF">2025-10-13T14:03:00Z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A10-0079/2025</vt:lpwstr>
  </property>
  <property fmtid="{D5CDD505-2E9C-101B-9397-08002B2CF9AE}" pid="4" name="&lt;Type&gt;">
    <vt:lpwstr>RR</vt:lpwstr>
  </property>
</Properties>
</file>