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1713" w14:paraId="7DFBB379" w14:textId="77777777" w:rsidTr="0010095E">
        <w:trPr>
          <w:trHeight w:hRule="exact" w:val="1418"/>
        </w:trPr>
        <w:tc>
          <w:tcPr>
            <w:tcW w:w="6804" w:type="dxa"/>
            <w:shd w:val="clear" w:color="auto" w:fill="auto"/>
            <w:vAlign w:val="center"/>
          </w:tcPr>
          <w:p w14:paraId="68213C9A" w14:textId="77777777" w:rsidR="00751A4A" w:rsidRPr="00741713" w:rsidRDefault="007A22DD" w:rsidP="0010095E">
            <w:pPr>
              <w:pStyle w:val="EPName"/>
            </w:pPr>
            <w:r w:rsidRPr="00741713">
              <w:t>Europaparlamentet</w:t>
            </w:r>
          </w:p>
          <w:p w14:paraId="5E1EDF9F" w14:textId="77777777" w:rsidR="00751A4A" w:rsidRPr="00741713" w:rsidRDefault="005F1B17" w:rsidP="005F1B17">
            <w:pPr>
              <w:pStyle w:val="EPTerm"/>
              <w:rPr>
                <w:rStyle w:val="HideTWBExt"/>
                <w:noProof w:val="0"/>
                <w:vanish w:val="0"/>
                <w:color w:val="auto"/>
              </w:rPr>
            </w:pPr>
            <w:r w:rsidRPr="00741713">
              <w:t>2024</w:t>
            </w:r>
            <w:r w:rsidR="00817416" w:rsidRPr="00741713">
              <w:t>-202</w:t>
            </w:r>
            <w:r w:rsidRPr="00741713">
              <w:t>9</w:t>
            </w:r>
          </w:p>
        </w:tc>
        <w:tc>
          <w:tcPr>
            <w:tcW w:w="2268" w:type="dxa"/>
            <w:shd w:val="clear" w:color="auto" w:fill="auto"/>
          </w:tcPr>
          <w:p w14:paraId="6175C461" w14:textId="77777777" w:rsidR="00751A4A" w:rsidRPr="00741713" w:rsidRDefault="00187494" w:rsidP="0010095E">
            <w:pPr>
              <w:pStyle w:val="EPLogo"/>
            </w:pPr>
            <w:r w:rsidRPr="00741713">
              <w:rPr>
                <w:noProof/>
                <w:lang w:val="en-GB"/>
              </w:rPr>
              <w:drawing>
                <wp:inline distT="0" distB="0" distL="0" distR="0" wp14:anchorId="7E9809A7" wp14:editId="29B757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211AEC" w14:textId="77777777" w:rsidR="00D058B8" w:rsidRPr="00741713" w:rsidRDefault="00D058B8" w:rsidP="004C5D52">
      <w:pPr>
        <w:pStyle w:val="LineTop"/>
      </w:pPr>
    </w:p>
    <w:p w14:paraId="5D12B436" w14:textId="77777777" w:rsidR="00680577" w:rsidRPr="00741713" w:rsidRDefault="007A22DD" w:rsidP="00680577">
      <w:pPr>
        <w:pStyle w:val="EPBodyTA1"/>
      </w:pPr>
      <w:r w:rsidRPr="00741713">
        <w:t>ANTAGNA TEXTER</w:t>
      </w:r>
    </w:p>
    <w:p w14:paraId="31986BB6" w14:textId="77777777" w:rsidR="00D058B8" w:rsidRPr="00741713" w:rsidRDefault="00D058B8" w:rsidP="00D058B8">
      <w:pPr>
        <w:pStyle w:val="LineBottom"/>
      </w:pPr>
    </w:p>
    <w:p w14:paraId="3F68F4C4" w14:textId="33E5F513" w:rsidR="007A22DD" w:rsidRPr="00741713" w:rsidRDefault="007A22DD" w:rsidP="007A22DD">
      <w:pPr>
        <w:pStyle w:val="ATHeading1"/>
      </w:pPr>
      <w:bookmarkStart w:id="0" w:name="TANumber"/>
      <w:r w:rsidRPr="00741713">
        <w:t>P10_TA(2025)</w:t>
      </w:r>
      <w:bookmarkEnd w:id="0"/>
      <w:r w:rsidR="00EA2941" w:rsidRPr="00741713">
        <w:t>0101</w:t>
      </w:r>
    </w:p>
    <w:p w14:paraId="3882E044" w14:textId="77777777" w:rsidR="007A22DD" w:rsidRPr="00741713" w:rsidRDefault="007A22DD" w:rsidP="007A22DD">
      <w:pPr>
        <w:pStyle w:val="ATHeading2"/>
      </w:pPr>
      <w:bookmarkStart w:id="1" w:name="title"/>
      <w:r w:rsidRPr="00741713">
        <w:t>Gaslagringens betydelse för en tryggad gasförsörjning inför vintersäsongen</w:t>
      </w:r>
      <w:bookmarkEnd w:id="1"/>
    </w:p>
    <w:p w14:paraId="0FE25B1C" w14:textId="77777777" w:rsidR="007A22DD" w:rsidRPr="00741713" w:rsidRDefault="007A22DD" w:rsidP="007A22DD">
      <w:pPr>
        <w:rPr>
          <w:i/>
          <w:vanish/>
        </w:rPr>
      </w:pPr>
      <w:r w:rsidRPr="00741713">
        <w:rPr>
          <w:i/>
        </w:rPr>
        <w:fldChar w:fldCharType="begin"/>
      </w:r>
      <w:r w:rsidRPr="00741713">
        <w:rPr>
          <w:i/>
        </w:rPr>
        <w:instrText xml:space="preserve"> TC"(</w:instrText>
      </w:r>
      <w:bookmarkStart w:id="2" w:name="DocNumber"/>
      <w:r w:rsidRPr="00741713">
        <w:rPr>
          <w:i/>
        </w:rPr>
        <w:instrText>A10-0079/2025</w:instrText>
      </w:r>
      <w:bookmarkEnd w:id="2"/>
      <w:r w:rsidRPr="00741713">
        <w:rPr>
          <w:i/>
        </w:rPr>
        <w:instrText xml:space="preserve"> - Föredragande: Borys Budka)"\l3 \n&gt; \* MERGEFORMAT </w:instrText>
      </w:r>
      <w:r w:rsidRPr="00741713">
        <w:rPr>
          <w:i/>
        </w:rPr>
        <w:fldChar w:fldCharType="end"/>
      </w:r>
    </w:p>
    <w:p w14:paraId="79CE02CE" w14:textId="77777777" w:rsidR="007A22DD" w:rsidRPr="00741713" w:rsidRDefault="007A22DD" w:rsidP="007A22DD">
      <w:pPr>
        <w:rPr>
          <w:vanish/>
        </w:rPr>
      </w:pPr>
      <w:bookmarkStart w:id="3" w:name="Commission"/>
      <w:r w:rsidRPr="00741713">
        <w:rPr>
          <w:vanish/>
        </w:rPr>
        <w:t>Utskottet för industrifrågor, forskning och energi</w:t>
      </w:r>
      <w:bookmarkEnd w:id="3"/>
    </w:p>
    <w:p w14:paraId="6F4E9D88" w14:textId="77777777" w:rsidR="007A22DD" w:rsidRPr="00741713" w:rsidRDefault="007A22DD" w:rsidP="007A22DD">
      <w:pPr>
        <w:rPr>
          <w:vanish/>
        </w:rPr>
      </w:pPr>
      <w:bookmarkStart w:id="4" w:name="PE"/>
      <w:r w:rsidRPr="00741713">
        <w:rPr>
          <w:vanish/>
        </w:rPr>
        <w:t>PE772.015</w:t>
      </w:r>
      <w:bookmarkEnd w:id="4"/>
    </w:p>
    <w:p w14:paraId="35FE5E9F" w14:textId="56D99367" w:rsidR="007A22DD" w:rsidRPr="00741713" w:rsidRDefault="007A22DD" w:rsidP="007A22DD">
      <w:pPr>
        <w:pStyle w:val="ATHeading3"/>
      </w:pPr>
      <w:bookmarkStart w:id="5" w:name="Sujet"/>
      <w:r w:rsidRPr="00741713">
        <w:t xml:space="preserve">Europaparlamentets </w:t>
      </w:r>
      <w:r w:rsidR="0045673D" w:rsidRPr="00741713">
        <w:t xml:space="preserve">ändringar antagna den </w:t>
      </w:r>
      <w:r w:rsidR="00A0794E" w:rsidRPr="00741713">
        <w:t xml:space="preserve">8 </w:t>
      </w:r>
      <w:r w:rsidR="00701603" w:rsidRPr="00741713">
        <w:t xml:space="preserve">maj </w:t>
      </w:r>
      <w:r w:rsidRPr="00741713">
        <w:t xml:space="preserve">2025 </w:t>
      </w:r>
      <w:r w:rsidR="0045673D" w:rsidRPr="00741713">
        <w:t xml:space="preserve">av </w:t>
      </w:r>
      <w:r w:rsidRPr="00741713">
        <w:t>förslaget till Europaparlamentets och rådets förordning om ändring av förordning (EU) 2017/1938 vad gäller gaslagringens betydelse för en tryggad gasförsörjning inför vintersäsongen</w:t>
      </w:r>
      <w:bookmarkEnd w:id="5"/>
      <w:r w:rsidRPr="00741713">
        <w:t xml:space="preserve"> </w:t>
      </w:r>
      <w:bookmarkStart w:id="6" w:name="References"/>
      <w:r w:rsidRPr="00741713">
        <w:t>(COM(2025)0099 – C10-0041/2025 – 2025/0051(COD))</w:t>
      </w:r>
      <w:bookmarkEnd w:id="6"/>
      <w:r w:rsidR="0045673D" w:rsidRPr="00741713">
        <w:rPr>
          <w:rStyle w:val="FootnoteReference"/>
        </w:rPr>
        <w:footnoteReference w:id="1"/>
      </w:r>
    </w:p>
    <w:p w14:paraId="7A80C91C" w14:textId="77777777" w:rsidR="007A22DD" w:rsidRPr="00741713" w:rsidRDefault="007A22DD" w:rsidP="007A22DD"/>
    <w:p w14:paraId="39B01EB9" w14:textId="77777777" w:rsidR="00BD0969" w:rsidRPr="00741713" w:rsidRDefault="00BD0969" w:rsidP="00BD0969">
      <w:pPr>
        <w:pStyle w:val="NormalBold"/>
      </w:pPr>
      <w:bookmarkStart w:id="7" w:name="TextBodyBegin"/>
      <w:bookmarkEnd w:id="7"/>
      <w:r w:rsidRPr="00741713">
        <w:t>(Ordinarie lagstiftningsförfarande: första behandlingen)</w:t>
      </w:r>
    </w:p>
    <w:p w14:paraId="1016896D" w14:textId="2300EE20" w:rsidR="00BD0969" w:rsidRPr="00741713" w:rsidRDefault="0045673D" w:rsidP="00BD0969">
      <w:pPr>
        <w:pStyle w:val="AmNumberTabs"/>
        <w:keepNext/>
      </w:pPr>
      <w:r w:rsidRPr="00741713">
        <w:t>[</w:t>
      </w:r>
      <w:r w:rsidR="00BD0969" w:rsidRPr="00741713">
        <w:t>Ändring</w:t>
      </w:r>
      <w:r w:rsidR="00BD0969" w:rsidRPr="00741713">
        <w:tab/>
      </w:r>
      <w:r w:rsidR="00BD0969" w:rsidRPr="00741713">
        <w:tab/>
        <w:t>1</w:t>
      </w:r>
      <w:r w:rsidR="005A4D86" w:rsidRPr="00741713">
        <w:t xml:space="preserve"> om inte annat anges</w:t>
      </w:r>
      <w:r w:rsidRPr="00741713">
        <w:t>]</w:t>
      </w:r>
    </w:p>
    <w:p w14:paraId="4BA2D2CB" w14:textId="77777777" w:rsidR="00BD0969" w:rsidRPr="00741713" w:rsidRDefault="00BD0969" w:rsidP="00BD0969">
      <w:pPr>
        <w:pStyle w:val="AmHeadingConsam"/>
      </w:pPr>
      <w:r w:rsidRPr="00741713">
        <w:t>EUROPAPARLAMENTETS ÄNDRINGSFÖRSLAG</w:t>
      </w:r>
      <w:r w:rsidRPr="00741713">
        <w:rPr>
          <w:rStyle w:val="FootnoteReference"/>
        </w:rPr>
        <w:footnoteReference w:customMarkFollows="1" w:id="2"/>
        <w:t>*</w:t>
      </w:r>
    </w:p>
    <w:p w14:paraId="407D986D" w14:textId="77777777" w:rsidR="00BD0969" w:rsidRPr="00741713" w:rsidRDefault="00BD0969" w:rsidP="00BD0969">
      <w:pPr>
        <w:pStyle w:val="NormalCenter12a"/>
      </w:pPr>
      <w:r w:rsidRPr="00741713">
        <w:t>till kommissionens förslag</w:t>
      </w:r>
    </w:p>
    <w:p w14:paraId="2D4D6FE8" w14:textId="77777777" w:rsidR="00BD0969" w:rsidRPr="00741713" w:rsidRDefault="00BD0969" w:rsidP="00BD0969">
      <w:pPr>
        <w:pStyle w:val="NormalCenter12a"/>
      </w:pPr>
      <w:r w:rsidRPr="00741713">
        <w:t>---------------------------------------------------------</w:t>
      </w:r>
    </w:p>
    <w:p w14:paraId="0ECAD6C0" w14:textId="77777777" w:rsidR="00BD0969" w:rsidRPr="00741713" w:rsidRDefault="00BD0969" w:rsidP="00BD0969">
      <w:pPr>
        <w:pStyle w:val="NormalCenter12a"/>
      </w:pPr>
    </w:p>
    <w:p w14:paraId="169D3176" w14:textId="77777777" w:rsidR="00BD0969" w:rsidRPr="00741713" w:rsidRDefault="00BD0969" w:rsidP="00BD0969">
      <w:pPr>
        <w:pStyle w:val="NormalCenter12a"/>
        <w:rPr>
          <w:b/>
        </w:rPr>
      </w:pPr>
      <w:r w:rsidRPr="00741713">
        <w:rPr>
          <w:b/>
        </w:rPr>
        <w:t>EUROPAPARLAMENTETS OCH RÅDETS FÖRORDNING</w:t>
      </w:r>
    </w:p>
    <w:p w14:paraId="277F27B4" w14:textId="77777777" w:rsidR="00BD0969" w:rsidRPr="00741713" w:rsidRDefault="00BD0969" w:rsidP="00BD0969">
      <w:pPr>
        <w:pStyle w:val="NormalCenter12a"/>
      </w:pPr>
      <w:r w:rsidRPr="00741713">
        <w:rPr>
          <w:b/>
        </w:rPr>
        <w:t>om ändring av förordning (EU) 2017/1938 vad gäller gaslagringens betydelse för en tryggad gasförsörjning inför vintersäsongen</w:t>
      </w:r>
    </w:p>
    <w:p w14:paraId="5422E1D5" w14:textId="77777777" w:rsidR="00BD0969" w:rsidRPr="00741713" w:rsidRDefault="00BD0969" w:rsidP="00BD0969">
      <w:pPr>
        <w:pStyle w:val="NormalCenter12a"/>
        <w:jc w:val="left"/>
      </w:pPr>
      <w:r w:rsidRPr="00741713">
        <w:t>EUROPAPARLAMENTET OCH EURO</w:t>
      </w:r>
      <w:bookmarkStart w:id="8" w:name="_GoBack"/>
      <w:bookmarkEnd w:id="8"/>
      <w:r w:rsidRPr="00741713">
        <w:t>PEISKA UNIONENS RÅD HAR ANTAGIT DENNA FÖRORDNING</w:t>
      </w:r>
    </w:p>
    <w:p w14:paraId="593E801E" w14:textId="77777777" w:rsidR="00BD0969" w:rsidRPr="00741713" w:rsidRDefault="00BD0969" w:rsidP="00BD0969">
      <w:pPr>
        <w:pStyle w:val="NormalCenter12a"/>
        <w:jc w:val="left"/>
      </w:pPr>
      <w:r w:rsidRPr="00741713">
        <w:t>med beaktande av fördraget om Europeiska unionens funktionssätt, särskilt artikel 194.2,</w:t>
      </w:r>
    </w:p>
    <w:p w14:paraId="4DC5F3A3" w14:textId="77777777" w:rsidR="00BD0969" w:rsidRPr="00741713" w:rsidRDefault="00BD0969" w:rsidP="00BD0969">
      <w:pPr>
        <w:pStyle w:val="NormalCenter12a"/>
        <w:jc w:val="left"/>
      </w:pPr>
      <w:r w:rsidRPr="00741713">
        <w:t>med beaktande av Europeiska kommissionens förslag,</w:t>
      </w:r>
    </w:p>
    <w:p w14:paraId="3E208DE8" w14:textId="77777777" w:rsidR="00BD0969" w:rsidRPr="00741713" w:rsidRDefault="00BD0969" w:rsidP="00BD0969">
      <w:pPr>
        <w:pStyle w:val="NormalCenter12a"/>
        <w:jc w:val="left"/>
      </w:pPr>
      <w:r w:rsidRPr="00741713">
        <w:lastRenderedPageBreak/>
        <w:t>efter översändande av utkastet till lagstiftningsakt till de nationella parlamenten,</w:t>
      </w:r>
    </w:p>
    <w:p w14:paraId="01F0C105" w14:textId="77777777" w:rsidR="00BD0969" w:rsidRPr="00741713" w:rsidRDefault="00BD0969" w:rsidP="00BD0969">
      <w:pPr>
        <w:pStyle w:val="NormalCenter12a"/>
        <w:jc w:val="left"/>
      </w:pPr>
      <w:r w:rsidRPr="00741713">
        <w:t>i enlighet med det ordinarie lagstiftningsförfarandet, och</w:t>
      </w:r>
    </w:p>
    <w:p w14:paraId="0C299817" w14:textId="77777777" w:rsidR="00BD0969" w:rsidRPr="00741713" w:rsidRDefault="00BD0969" w:rsidP="00BD0969">
      <w:pPr>
        <w:pStyle w:val="NormalCenter12a"/>
        <w:jc w:val="left"/>
      </w:pPr>
      <w:r w:rsidRPr="00741713">
        <w:t>av följande skäl:</w:t>
      </w:r>
    </w:p>
    <w:p w14:paraId="32BC5179" w14:textId="77777777" w:rsidR="00BD0969" w:rsidRPr="00741713" w:rsidRDefault="00BD0969" w:rsidP="00BD0969">
      <w:pPr>
        <w:pStyle w:val="NormalHanging12a"/>
        <w:ind w:left="851" w:hanging="851"/>
      </w:pPr>
      <w:r w:rsidRPr="00741713">
        <w:t>(1)</w:t>
      </w:r>
      <w:r w:rsidRPr="00741713">
        <w:tab/>
        <w:t>Europaparlamentets och rådets förordning (EU) 2022/1032</w:t>
      </w:r>
      <w:r w:rsidRPr="00741713">
        <w:rPr>
          <w:vertAlign w:val="superscript"/>
        </w:rPr>
        <w:footnoteReference w:id="3"/>
      </w:r>
      <w:r w:rsidRPr="00741713">
        <w:t xml:space="preserve"> antogs med anledning av gasförsörjningskrisen och de aldrig tidigare skådade prisökningar som orsakades av upptrappningen av Rysslands </w:t>
      </w:r>
      <w:r w:rsidRPr="00741713">
        <w:rPr>
          <w:b/>
          <w:bCs/>
          <w:i/>
          <w:iCs/>
        </w:rPr>
        <w:t>pågående, oberättigade och oprovocerade anfallskrig</w:t>
      </w:r>
      <w:r w:rsidRPr="00741713">
        <w:t xml:space="preserve"> mot Ukraina sedan februari 2022, vilket föranledde unionen att agera på ett samordnat och övergripande sätt för att motverka potentiella risker till följd av ytterligare avbrott i gasförsörjningen.</w:t>
      </w:r>
    </w:p>
    <w:p w14:paraId="7D8E5261" w14:textId="505EC819" w:rsidR="00B742E7" w:rsidRPr="00741713" w:rsidRDefault="00B742E7" w:rsidP="00BD0969">
      <w:pPr>
        <w:pStyle w:val="NormalHanging12a"/>
        <w:ind w:left="851" w:hanging="851"/>
        <w:rPr>
          <w:b/>
          <w:i/>
          <w:szCs w:val="24"/>
        </w:rPr>
      </w:pPr>
      <w:r w:rsidRPr="00741713">
        <w:rPr>
          <w:b/>
          <w:i/>
          <w:szCs w:val="24"/>
        </w:rPr>
        <w:t>(1a)</w:t>
      </w:r>
      <w:r w:rsidRPr="00741713">
        <w:rPr>
          <w:b/>
          <w:i/>
          <w:szCs w:val="24"/>
        </w:rPr>
        <w:tab/>
        <w:t>Mot bakgrund av Rysslands pågående krig mot Ukraina och i linje med unionens strategiska åtagande att upphöra med sitt beroende av ryska fossila bränslen bör medlemsstaterna avstå från att lagra gas av ryskt ursprung. I detta sammanhang bör unionen eftersträva samordnade och omedelbara sanktioner mot import och inköp av all rysk gas, inklusive flytande naturgas (LNG). Entso-G:s försörjningsprognos för vintern 2024–2025 bekräftar att unionen kan uppnå sina lagringsmål och upprätthålla försörjningstryggheten utan att förlita sig på rysk gas, genom att genomföra en kombination av åtgärder, inklusive fortsatt efterfrågeminskning. Ett fullständigt embargo mot rysk gas är därför både nödvändigt och genomförbart, och ett snabbt genomförande av detta skulle bidra till att stärka unionens energisuveränitet och geopolitiska resiliens.</w:t>
      </w:r>
      <w:r w:rsidR="005A4D86" w:rsidRPr="00741713">
        <w:rPr>
          <w:b/>
          <w:i/>
          <w:szCs w:val="24"/>
        </w:rPr>
        <w:t xml:space="preserve"> [Ändr. 7]</w:t>
      </w:r>
    </w:p>
    <w:p w14:paraId="57FB5679" w14:textId="77777777" w:rsidR="00BD0969" w:rsidRPr="00741713" w:rsidRDefault="00BD0969" w:rsidP="00BD0969">
      <w:pPr>
        <w:pStyle w:val="NormalCenter12a"/>
        <w:ind w:left="851" w:hanging="851"/>
        <w:jc w:val="left"/>
      </w:pPr>
      <w:r w:rsidRPr="00741713">
        <w:t>(2)</w:t>
      </w:r>
      <w:r w:rsidRPr="00741713">
        <w:tab/>
        <w:t>Förordning (EU) 2022/1032 ändrade förordning (EU) 2017/1938 genom att införa en tillfällig rättslig ram för åtgärder vad gäller fyllnadsnivån för underjordiska lagringsanläggningar med syftet att stärka unionens försörjningstrygghet för gas, i synnerhet gasleveranser till skyddade kunder.</w:t>
      </w:r>
    </w:p>
    <w:p w14:paraId="60315285" w14:textId="77777777" w:rsidR="00BD0969" w:rsidRPr="00741713" w:rsidRDefault="00BD0969" w:rsidP="00A0794E">
      <w:pPr>
        <w:pStyle w:val="NormalHanging12a"/>
        <w:ind w:left="851" w:hanging="851"/>
        <w:rPr>
          <w:szCs w:val="24"/>
        </w:rPr>
      </w:pPr>
      <w:r w:rsidRPr="00741713">
        <w:t>(3)</w:t>
      </w:r>
      <w:r w:rsidRPr="00741713">
        <w:tab/>
        <w:t xml:space="preserve">Gaslagringsanläggningar tillgodoser 30 % av unionens gasförbrukning under vintermånaderna, och välfyllda underjordiska gaslagringsanläggningar </w:t>
      </w:r>
      <w:r w:rsidRPr="00741713">
        <w:rPr>
          <w:b/>
          <w:bCs/>
          <w:i/>
          <w:iCs/>
        </w:rPr>
        <w:t>samt minskad efterfrågan på gas</w:t>
      </w:r>
      <w:r w:rsidRPr="00741713">
        <w:t xml:space="preserve"> bidrar väsentligt till att trygga gasförsörjningen genom att öka tillgången till gas vid hög efterfrågan eller försörjningsavbrott.</w:t>
      </w:r>
    </w:p>
    <w:p w14:paraId="5F37AE1A" w14:textId="77777777" w:rsidR="00BD0969" w:rsidRPr="00741713" w:rsidRDefault="00BD0969" w:rsidP="00BD0969">
      <w:pPr>
        <w:pStyle w:val="NormalHanging12a"/>
        <w:ind w:left="851" w:hanging="851"/>
        <w:rPr>
          <w:szCs w:val="24"/>
        </w:rPr>
      </w:pPr>
      <w:r w:rsidRPr="00741713">
        <w:t>(4)</w:t>
      </w:r>
      <w:r w:rsidRPr="00741713">
        <w:tab/>
        <w:t xml:space="preserve">Ett obligatoriskt mål som fastställts för att säkerställa att gaslagringsanläggningarna är fyllda till 90 % senast den 1 november (fyllnadsmål), med en serie delmål för varje medlemsstat i februari, maj, juli och september </w:t>
      </w:r>
      <w:r w:rsidRPr="00741713">
        <w:rPr>
          <w:b/>
          <w:bCs/>
          <w:i/>
          <w:iCs/>
        </w:rPr>
        <w:t>påföljande år</w:t>
      </w:r>
      <w:r w:rsidRPr="00741713">
        <w:t xml:space="preserve"> (fyllnadsbanan), visade sig vara avgörande under den energikris som orsakades av ▌Rysslands </w:t>
      </w:r>
      <w:r w:rsidRPr="00741713">
        <w:rPr>
          <w:b/>
          <w:bCs/>
          <w:i/>
          <w:iCs/>
        </w:rPr>
        <w:t>anfallskrig mot</w:t>
      </w:r>
      <w:r w:rsidRPr="00741713">
        <w:t xml:space="preserve"> Ukraina och </w:t>
      </w:r>
      <w:r w:rsidRPr="00741713">
        <w:rPr>
          <w:b/>
          <w:bCs/>
          <w:i/>
          <w:iCs/>
        </w:rPr>
        <w:t>av Rysslands användning av sina gasleveranser</w:t>
      </w:r>
      <w:r w:rsidRPr="00741713">
        <w:t xml:space="preserve"> som ett vapen när det gäller både att i) klara av gasförsörjningsbrister och ii) minska prisvolatiliteten och osäkerheten på marknaden.</w:t>
      </w:r>
    </w:p>
    <w:p w14:paraId="761F09F6" w14:textId="77777777" w:rsidR="00BD0969" w:rsidRPr="00741713" w:rsidRDefault="00BD0969" w:rsidP="00BD0969">
      <w:pPr>
        <w:pStyle w:val="NormalHanging12a"/>
        <w:ind w:left="851" w:hanging="851"/>
        <w:rPr>
          <w:szCs w:val="24"/>
        </w:rPr>
      </w:pPr>
      <w:r w:rsidRPr="00741713">
        <w:t>(5)</w:t>
      </w:r>
      <w:r w:rsidRPr="00741713">
        <w:tab/>
        <w:t xml:space="preserve">Den europeiska gasmarknaden är fortfarande ansträngd </w:t>
      </w:r>
      <w:r w:rsidRPr="00741713">
        <w:rPr>
          <w:b/>
          <w:bCs/>
          <w:i/>
          <w:iCs/>
        </w:rPr>
        <w:t>och det geopolitiska läget förblir oklart</w:t>
      </w:r>
      <w:r w:rsidRPr="00741713">
        <w:t>, trots att situationen på marknaden har förbättrats väsentligt jämfört med perioden 2022–2023.</w:t>
      </w:r>
      <w:r w:rsidRPr="00741713">
        <w:rPr>
          <w:b/>
          <w:i/>
        </w:rPr>
        <w:t xml:space="preserve"> </w:t>
      </w:r>
      <w:r w:rsidRPr="00741713">
        <w:t>Hårdare konkurrens om globala LNG-leveranser kan öka medlemsstaternas exponering för prisvolatilitet. ▌I ett sådant läge är gaslagringen fortsatt av största vikt. ▌</w:t>
      </w:r>
    </w:p>
    <w:p w14:paraId="1FCE1F80" w14:textId="77777777" w:rsidR="00BD0969" w:rsidRPr="00741713" w:rsidRDefault="00BD0969" w:rsidP="00BD0969">
      <w:pPr>
        <w:pStyle w:val="NormalCenter12a"/>
        <w:ind w:left="851" w:hanging="851"/>
        <w:jc w:val="left"/>
      </w:pPr>
      <w:r w:rsidRPr="00741713">
        <w:t>(6)</w:t>
      </w:r>
      <w:r w:rsidRPr="00741713">
        <w:tab/>
        <w:t>Medlemsstaternas skyldighet att följa en årlig fyllnadsbana och säkerställa att fyllnadsmålet uppnås senast den 1 november varje år i enlighet med förordning (EU) 2017/1938 upphör att gälla den 31 december 2025.</w:t>
      </w:r>
    </w:p>
    <w:p w14:paraId="419B322A" w14:textId="77777777" w:rsidR="00BD0969" w:rsidRPr="00741713" w:rsidRDefault="00BD0969" w:rsidP="00BD0969">
      <w:pPr>
        <w:pStyle w:val="NormalHanging12a"/>
        <w:ind w:left="851" w:hanging="851"/>
        <w:rPr>
          <w:b/>
          <w:i/>
          <w:szCs w:val="24"/>
        </w:rPr>
      </w:pPr>
      <w:r w:rsidRPr="00741713">
        <w:rPr>
          <w:b/>
          <w:i/>
        </w:rPr>
        <w:t>(6a)</w:t>
      </w:r>
      <w:r w:rsidRPr="00741713">
        <w:rPr>
          <w:b/>
          <w:i/>
        </w:rPr>
        <w:tab/>
        <w:t>Sedan 2022 har unionen i hög grad lyckats trygga gasförsörjningen genom att öka importen av LNG från tillförlitliga globala partner och strävar efter att fullt ut undanröja sitt beroende av ryska fossila bränslen genom att bygga vidare på framstegen med REPowerEU. Unionen har utvecklat nya återförgasningsanläggningar och hamnterminaler, samtidigt som den har upprättat en marknad för flytande gas som säkerställer stark resiliens mot potentiella störningar i de återstående ryska rörledningsleveranserna.</w:t>
      </w:r>
    </w:p>
    <w:p w14:paraId="79E045BA" w14:textId="77777777" w:rsidR="00BD0969" w:rsidRPr="00741713" w:rsidRDefault="00BD0969" w:rsidP="00BD0969">
      <w:pPr>
        <w:pStyle w:val="NormalHanging12a"/>
        <w:ind w:left="851" w:hanging="851"/>
        <w:rPr>
          <w:b/>
          <w:i/>
          <w:szCs w:val="24"/>
        </w:rPr>
      </w:pPr>
      <w:r w:rsidRPr="00741713">
        <w:rPr>
          <w:b/>
          <w:i/>
        </w:rPr>
        <w:t>(6b)</w:t>
      </w:r>
      <w:r w:rsidRPr="00741713">
        <w:rPr>
          <w:b/>
          <w:i/>
        </w:rPr>
        <w:tab/>
        <w:t>Det förändrade globala politiska läget måste beaktas när det gäller tillförlitligheten hos gasleverantörer och gaslevererande länder.</w:t>
      </w:r>
    </w:p>
    <w:p w14:paraId="2BDFF3EC" w14:textId="77777777" w:rsidR="00BD0969" w:rsidRPr="00741713" w:rsidRDefault="00BD0969" w:rsidP="00BD0969">
      <w:pPr>
        <w:pStyle w:val="NormalHanging12a"/>
        <w:ind w:left="851" w:hanging="851"/>
        <w:rPr>
          <w:szCs w:val="24"/>
        </w:rPr>
      </w:pPr>
      <w:r w:rsidRPr="00741713">
        <w:t>(7)</w:t>
      </w:r>
      <w:r w:rsidRPr="00741713">
        <w:tab/>
      </w:r>
      <w:r w:rsidRPr="00741713">
        <w:rPr>
          <w:b/>
          <w:bCs/>
          <w:i/>
          <w:iCs/>
        </w:rPr>
        <w:t>Mot bakgrund av att Europa har lyckats minska sitt beroende av gasimport</w:t>
      </w:r>
      <w:r w:rsidRPr="00741713">
        <w:t xml:space="preserve"> måste den övergripande ramen för att </w:t>
      </w:r>
      <w:r w:rsidRPr="00741713">
        <w:rPr>
          <w:b/>
          <w:bCs/>
          <w:i/>
          <w:iCs/>
        </w:rPr>
        <w:t>tillgodose unionens behov av naturgas skapa en balans mellan energitrygghet och en återgång till marknadsbaserade principer.</w:t>
      </w:r>
      <w:r w:rsidRPr="00741713">
        <w:rPr>
          <w:b/>
          <w:i/>
        </w:rPr>
        <w:t xml:space="preserve"> </w:t>
      </w:r>
      <w:r w:rsidRPr="00741713">
        <w:rPr>
          <w:b/>
          <w:bCs/>
          <w:i/>
          <w:iCs/>
        </w:rPr>
        <w:t>Den måste därför</w:t>
      </w:r>
      <w:r w:rsidRPr="00741713">
        <w:t xml:space="preserve"> vara tillräckligt flexibel under lagerpåfyllningssäsongen för att göra det möjligt att reagera snabbt på de ständigt skiftande </w:t>
      </w:r>
      <w:r w:rsidRPr="00741713">
        <w:rPr>
          <w:b/>
          <w:bCs/>
          <w:i/>
          <w:iCs/>
        </w:rPr>
        <w:t>marknadsförhållandena</w:t>
      </w:r>
      <w:r w:rsidRPr="00741713">
        <w:t xml:space="preserve"> och i synnerhet dra nytta av de bästa inköpsvillkoren </w:t>
      </w:r>
      <w:r w:rsidRPr="00741713">
        <w:rPr>
          <w:b/>
          <w:bCs/>
          <w:i/>
          <w:iCs/>
        </w:rPr>
        <w:t>för att sänka gaspriserna i Europa.</w:t>
      </w:r>
      <w:r w:rsidRPr="00741713">
        <w:t xml:space="preserve"> </w:t>
      </w:r>
      <w:r w:rsidRPr="00741713">
        <w:rPr>
          <w:b/>
          <w:i/>
        </w:rPr>
        <w:t>Fyllnadsmålet bör därför sänkas till 83 %.</w:t>
      </w:r>
    </w:p>
    <w:p w14:paraId="499D683F" w14:textId="77777777" w:rsidR="00BD0969" w:rsidRPr="00741713" w:rsidRDefault="00BD0969" w:rsidP="00BD0969">
      <w:pPr>
        <w:pStyle w:val="NormalHanging12a"/>
        <w:ind w:left="851" w:hanging="851"/>
        <w:rPr>
          <w:szCs w:val="24"/>
        </w:rPr>
      </w:pPr>
      <w:r w:rsidRPr="00741713">
        <w:t>(8)</w:t>
      </w:r>
      <w:r w:rsidRPr="00741713">
        <w:tab/>
      </w:r>
      <w:r w:rsidRPr="00741713">
        <w:rPr>
          <w:b/>
          <w:bCs/>
          <w:i/>
          <w:iCs/>
        </w:rPr>
        <w:t>För att öka marknadsstabiliteten och minska risken för otillbörlig prisvolatilitet som kan uppstå på grund av</w:t>
      </w:r>
      <w:r w:rsidRPr="00741713">
        <w:t xml:space="preserve"> fyllnadsdelmålen</w:t>
      </w:r>
      <w:r w:rsidRPr="00741713">
        <w:rPr>
          <w:b/>
          <w:bCs/>
          <w:i/>
          <w:iCs/>
        </w:rPr>
        <w:t xml:space="preserve"> är det lämpligt att medge ökad flexibilitet för lagerpåfyllning.</w:t>
      </w:r>
      <w:r w:rsidRPr="00741713">
        <w:t xml:space="preserve"> Medlemsstaterna </w:t>
      </w:r>
      <w:r w:rsidRPr="00741713">
        <w:rPr>
          <w:b/>
          <w:bCs/>
          <w:i/>
          <w:iCs/>
        </w:rPr>
        <w:t>bör därför årligen tillhandahålla</w:t>
      </w:r>
      <w:r w:rsidRPr="00741713">
        <w:t xml:space="preserve"> vägledande </w:t>
      </w:r>
      <w:r w:rsidRPr="00741713">
        <w:rPr>
          <w:b/>
          <w:bCs/>
          <w:i/>
          <w:iCs/>
        </w:rPr>
        <w:t>fyllnadsplaner som när så är lämpligt kan innehålla en vägledande fyllnadsbana</w:t>
      </w:r>
      <w:r w:rsidRPr="00741713">
        <w:t xml:space="preserve"> och bör göra det möjligt att fylla lagren på ett sådant sätt att marknadsaktörerna får tillräcklig flexibilitet under året, </w:t>
      </w:r>
      <w:r w:rsidRPr="00741713">
        <w:rPr>
          <w:b/>
          <w:bCs/>
          <w:i/>
          <w:iCs/>
        </w:rPr>
        <w:t>med beaktande av</w:t>
      </w:r>
      <w:r w:rsidRPr="00741713">
        <w:t xml:space="preserve"> rekommendation </w:t>
      </w:r>
      <w:r w:rsidRPr="00741713">
        <w:rPr>
          <w:b/>
          <w:bCs/>
          <w:i/>
          <w:iCs/>
        </w:rPr>
        <w:t>(2025)1481</w:t>
      </w:r>
      <w:r w:rsidRPr="00741713">
        <w:t>.</w:t>
      </w:r>
    </w:p>
    <w:p w14:paraId="36B5059D" w14:textId="77777777" w:rsidR="00BD0969" w:rsidRPr="00741713" w:rsidRDefault="00BD0969" w:rsidP="00BD0969">
      <w:pPr>
        <w:pStyle w:val="NormalHanging12a"/>
        <w:ind w:left="851" w:hanging="851"/>
        <w:rPr>
          <w:b/>
          <w:i/>
          <w:szCs w:val="24"/>
        </w:rPr>
      </w:pPr>
      <w:r w:rsidRPr="00741713">
        <w:rPr>
          <w:b/>
          <w:i/>
        </w:rPr>
        <w:t>(8a)</w:t>
      </w:r>
      <w:r w:rsidRPr="00741713">
        <w:rPr>
          <w:b/>
          <w:i/>
        </w:rPr>
        <w:tab/>
        <w:t>Medlemsstaterna bör ha möjlighet att avvika från fyllnadsmålet med upp till fyra procentenheter i händelse av ogynnsamma marknadsförhållanden, bland annat med avseende på faktorer som tillgång och efterfrågan och konkurrens, eller handelsverksamhet som hindrar kostnadseffektiv lagerpåfyllning, vilket avsevärt begränsar möjligheten att säkerställa att gaslagren fylls på i enlighet med denna förordning.</w:t>
      </w:r>
    </w:p>
    <w:p w14:paraId="59A531DF" w14:textId="77777777" w:rsidR="00BD0969" w:rsidRPr="00741713" w:rsidRDefault="00BD0969" w:rsidP="00BD0969">
      <w:pPr>
        <w:pStyle w:val="NormalHanging12a"/>
        <w:ind w:left="851" w:hanging="851"/>
        <w:rPr>
          <w:b/>
          <w:i/>
          <w:szCs w:val="24"/>
        </w:rPr>
      </w:pPr>
      <w:r w:rsidRPr="00741713">
        <w:rPr>
          <w:b/>
          <w:i/>
        </w:rPr>
        <w:t>(8b)</w:t>
      </w:r>
      <w:r w:rsidRPr="00741713">
        <w:rPr>
          <w:b/>
          <w:i/>
        </w:rPr>
        <w:tab/>
        <w:t>Dessutom bör kommissionen ges befogenhet att anta delegerade akter för att under en lagerpåfyllningssäsong ändra nivån på den tillåtna avvikelsen på fyra procentenheter genom att öka den med upp till ytterligare fyra procentenheter i händelse av ihållande ogynnsamma marknadsförhållanden.</w:t>
      </w:r>
    </w:p>
    <w:p w14:paraId="3177300C" w14:textId="77777777" w:rsidR="00BD0969" w:rsidRPr="00741713" w:rsidRDefault="00BD0969" w:rsidP="00BD0969">
      <w:pPr>
        <w:pStyle w:val="NormalHanging12a"/>
        <w:ind w:left="851" w:hanging="851"/>
        <w:rPr>
          <w:b/>
          <w:i/>
          <w:szCs w:val="24"/>
        </w:rPr>
      </w:pPr>
      <w:r w:rsidRPr="00741713">
        <w:rPr>
          <w:b/>
          <w:i/>
        </w:rPr>
        <w:t>(8c)</w:t>
      </w:r>
      <w:r w:rsidRPr="00741713">
        <w:rPr>
          <w:b/>
          <w:i/>
        </w:rPr>
        <w:tab/>
        <w:t>De sammanlagda effekterna av flexibiliteten och undantagen i denna förordning bör inte medföra en minskning av de övergripande lagerpåfyllnadsskyldigheterna till under 75 %.</w:t>
      </w:r>
    </w:p>
    <w:p w14:paraId="447B15C0" w14:textId="77777777" w:rsidR="00BD0969" w:rsidRPr="00741713" w:rsidRDefault="00BD0969" w:rsidP="00BD0969">
      <w:pPr>
        <w:pStyle w:val="NormalHanging12a"/>
        <w:ind w:left="851" w:hanging="851"/>
        <w:rPr>
          <w:szCs w:val="24"/>
        </w:rPr>
      </w:pPr>
      <w:r w:rsidRPr="00741713">
        <w:t>(9)</w:t>
      </w:r>
      <w:r w:rsidRPr="00741713">
        <w:tab/>
        <w:t xml:space="preserve">Kommissionens bedömning av den nuvarande ramen för energitrygghet har bekräftat att lagerpåfyllnadskraven har en positiv inverkan på försörjningstryggheten för gas, och dessa positiva effekter bör bevaras efter 2025. </w:t>
      </w:r>
      <w:r w:rsidRPr="00741713">
        <w:rPr>
          <w:b/>
          <w:i/>
        </w:rPr>
        <w:t>En utvidgning av dessa åtgärder skulle inte bara bidra till en fortsatt försörjningstrygghet, utan också utgöra ett viktigt instrument i unionens ansträngningar för att undanröja sitt beroende av import av gas med ursprung i Ryska federationen.</w:t>
      </w:r>
    </w:p>
    <w:p w14:paraId="40FE34FA" w14:textId="77777777" w:rsidR="00BD0969" w:rsidRPr="00741713" w:rsidRDefault="00BD0969" w:rsidP="00BD0969">
      <w:pPr>
        <w:pStyle w:val="NormalHanging12a"/>
        <w:ind w:left="851" w:hanging="851"/>
        <w:rPr>
          <w:b/>
          <w:i/>
          <w:szCs w:val="24"/>
        </w:rPr>
      </w:pPr>
      <w:r w:rsidRPr="00741713">
        <w:rPr>
          <w:b/>
          <w:i/>
        </w:rPr>
        <w:t>(9a)</w:t>
      </w:r>
      <w:r w:rsidRPr="00741713">
        <w:rPr>
          <w:b/>
          <w:i/>
        </w:rPr>
        <w:tab/>
        <w:t>Samtidigt bör denna förordning bemöta nuvarande och framtida förändringar på naturgasmarknaderna och bidra till det strategiska målet att sänka energipriserna och underlätta en gradvis återgång till marknadsbaserade mekanismer för lagringspåfyllning.</w:t>
      </w:r>
    </w:p>
    <w:p w14:paraId="73432692" w14:textId="77777777" w:rsidR="00BD0969" w:rsidRPr="00741713" w:rsidRDefault="00BD0969" w:rsidP="00BD0969">
      <w:pPr>
        <w:pStyle w:val="NormalHanging12a"/>
        <w:ind w:left="851" w:hanging="851"/>
        <w:rPr>
          <w:b/>
          <w:i/>
          <w:szCs w:val="24"/>
        </w:rPr>
      </w:pPr>
      <w:r w:rsidRPr="00741713">
        <w:rPr>
          <w:b/>
          <w:i/>
        </w:rPr>
        <w:t>(9b)</w:t>
      </w:r>
      <w:r w:rsidRPr="00741713">
        <w:rPr>
          <w:b/>
          <w:i/>
        </w:rPr>
        <w:tab/>
        <w:t>För att upprätthålla försörjningstryggheten och en lämplig fyllnadsnivå bör kommissionen kontinuerligt övervaka marknaden och undersöka sätt att bidra till att nå fyllnadsmålet, till exempel genom att använda mekanismer för aggregering av efterfrågan och gemensamma inköp.</w:t>
      </w:r>
    </w:p>
    <w:p w14:paraId="722BA160" w14:textId="77777777" w:rsidR="00BD0969" w:rsidRPr="00741713" w:rsidRDefault="00BD0969" w:rsidP="00BD0969">
      <w:pPr>
        <w:pStyle w:val="NormalHanging12a"/>
        <w:ind w:left="851" w:hanging="851"/>
        <w:rPr>
          <w:szCs w:val="24"/>
        </w:rPr>
      </w:pPr>
      <w:r w:rsidRPr="00741713">
        <w:t>(10)</w:t>
      </w:r>
      <w:r w:rsidRPr="00741713">
        <w:tab/>
        <w:t xml:space="preserve">Det är därför nödvändigt att förlänga giltighetstiden med två år för de relevanta bestämmelserna om gaslagring som skapar förutsebarhet och insyn i fråga om användningen av gaslagringsanläggningar i hela unionen </w:t>
      </w:r>
      <w:r w:rsidRPr="00741713">
        <w:rPr>
          <w:b/>
          <w:bCs/>
          <w:i/>
          <w:iCs/>
        </w:rPr>
        <w:t>och samtidigt införa viss flexibilitet i denna förordning</w:t>
      </w:r>
      <w:r w:rsidRPr="00741713">
        <w:t>.</w:t>
      </w:r>
    </w:p>
    <w:p w14:paraId="0EDAE746" w14:textId="77777777" w:rsidR="00BD0969" w:rsidRPr="00741713" w:rsidRDefault="00BD0969" w:rsidP="00BD0969">
      <w:pPr>
        <w:pStyle w:val="NormalHanging12a"/>
        <w:ind w:left="851" w:hanging="851"/>
        <w:rPr>
          <w:b/>
          <w:i/>
          <w:szCs w:val="24"/>
        </w:rPr>
      </w:pPr>
      <w:r w:rsidRPr="00741713">
        <w:rPr>
          <w:b/>
          <w:i/>
        </w:rPr>
        <w:t>(10a)</w:t>
      </w:r>
      <w:r w:rsidRPr="00741713">
        <w:rPr>
          <w:b/>
          <w:i/>
        </w:rPr>
        <w:tab/>
        <w:t>I linje med kommissionens åtagande om bättre lagstiftning och förenkling, och som en reflektion av den övergripande förbättringen av unionens ram för en tryggad energiförsörjning, bör övervakningen av efterlevnaden av denna förordning i högre grad bygga på medlemsstaternas administrativa kapacitet. Kommissionens tillsynsbörda bör minskas därefter, genom en övergång till mindre strikta rapporteringsskyldigheter och förenklade förfaranden. Detta tillvägagångssätt stärker subsidiaritetsprincipen, innebär att onödig administrativ komplexitet undviks och står i samklang med kommissionens förenklingsinsatser i enlighet med arbetsprogrammet för 2025.</w:t>
      </w:r>
    </w:p>
    <w:p w14:paraId="7EE72498" w14:textId="77777777" w:rsidR="00BD0969" w:rsidRPr="00741713" w:rsidRDefault="00BD0969" w:rsidP="00A0794E">
      <w:pPr>
        <w:pStyle w:val="NormalHanging12a"/>
        <w:ind w:left="851" w:hanging="851"/>
        <w:rPr>
          <w:b/>
          <w:i/>
          <w:szCs w:val="24"/>
        </w:rPr>
      </w:pPr>
      <w:r w:rsidRPr="00741713">
        <w:rPr>
          <w:b/>
          <w:i/>
        </w:rPr>
        <w:t>(10b)</w:t>
      </w:r>
      <w:r w:rsidRPr="00741713">
        <w:rPr>
          <w:b/>
          <w:i/>
        </w:rPr>
        <w:tab/>
        <w:t>Förordning (EU) 2017/1938 bör revideras av kommissionen i god tid och före 2027 för att anpassas till det föränderliga energilandskapet och för att avspegla de framtida gaslagringsbehoven. Bland annat bör eventuella ändringar rikta in sig på begränsningarna i den nuvarande definitionen av ”skyddade kunder”, förebyggandet av spekulation på gasmarknaderna och spekulativ verksamhet som artificiellt höjer priser, rollen som energieffektivitetsåtgärder spelar för att på ett kontrollerbart sätt minska efterfrågan på gas och hur medlemsstaterna skulle kunna använda detta för ytterligare flexibilitet, och beakta regelverket utifrån en föränderlig energimix som ger en utökad roll åt alternativa källor till gas såsom förnybara energikällor och vätgas tillsammans med energieffektivitetens roll.</w:t>
      </w:r>
    </w:p>
    <w:p w14:paraId="0473D5F5" w14:textId="77777777" w:rsidR="00BD0969" w:rsidRPr="00741713" w:rsidRDefault="00BD0969" w:rsidP="00BD0969">
      <w:pPr>
        <w:pStyle w:val="NormalCenter12a"/>
        <w:ind w:left="851" w:hanging="851"/>
        <w:jc w:val="left"/>
      </w:pPr>
      <w:r w:rsidRPr="00741713">
        <w:t>(11)</w:t>
      </w:r>
      <w:r w:rsidRPr="00741713">
        <w:tab/>
        <w:t>Förordning (EU) 2017/1938 bör därför ändras i enlighet med detta.</w:t>
      </w:r>
    </w:p>
    <w:p w14:paraId="6AE3B97F" w14:textId="77777777" w:rsidR="00BD0969" w:rsidRPr="00741713" w:rsidRDefault="00BD0969" w:rsidP="00BD0969">
      <w:pPr>
        <w:pStyle w:val="NormalCenter12a"/>
        <w:jc w:val="left"/>
      </w:pPr>
      <w:r w:rsidRPr="00741713">
        <w:t>HÄRIGENOM FÖRESKRIVS FÖLJANDE.</w:t>
      </w:r>
    </w:p>
    <w:p w14:paraId="3D501E65" w14:textId="77777777" w:rsidR="00BD0969" w:rsidRPr="00741713" w:rsidRDefault="00BD0969" w:rsidP="00BD0969">
      <w:pPr>
        <w:pStyle w:val="Titrearticle"/>
        <w:rPr>
          <w:noProof/>
        </w:rPr>
      </w:pPr>
      <w:r w:rsidRPr="00741713">
        <w:t>Artikel 1</w:t>
      </w:r>
    </w:p>
    <w:p w14:paraId="45AAD9D7" w14:textId="77777777" w:rsidR="00BD0969" w:rsidRPr="00741713" w:rsidRDefault="00BD0969" w:rsidP="00BD0969">
      <w:pPr>
        <w:jc w:val="center"/>
        <w:rPr>
          <w:b/>
          <w:bCs/>
          <w:noProof/>
        </w:rPr>
      </w:pPr>
      <w:r w:rsidRPr="00741713">
        <w:rPr>
          <w:b/>
        </w:rPr>
        <w:t>Ändring av förordning (EU) 2017/1938</w:t>
      </w:r>
    </w:p>
    <w:p w14:paraId="4673DC14" w14:textId="77777777" w:rsidR="00BD0969" w:rsidRPr="00741713" w:rsidRDefault="00BD0969" w:rsidP="00BD0969">
      <w:pPr>
        <w:rPr>
          <w:noProof/>
        </w:rPr>
      </w:pPr>
    </w:p>
    <w:p w14:paraId="65CED656" w14:textId="77777777" w:rsidR="00BD0969" w:rsidRPr="00741713" w:rsidRDefault="00BD0969" w:rsidP="00BD0969">
      <w:pPr>
        <w:pStyle w:val="NormalHanging12a"/>
        <w:rPr>
          <w:szCs w:val="24"/>
        </w:rPr>
      </w:pPr>
      <w:r w:rsidRPr="00741713">
        <w:t xml:space="preserve">▌Förordning (EU) 2017/1938 </w:t>
      </w:r>
      <w:r w:rsidRPr="00741713">
        <w:rPr>
          <w:b/>
          <w:bCs/>
          <w:i/>
          <w:iCs/>
        </w:rPr>
        <w:t>ska ändras på följande sätt</w:t>
      </w:r>
      <w:r w:rsidRPr="00741713">
        <w:t>:</w:t>
      </w:r>
    </w:p>
    <w:p w14:paraId="4B0190BC" w14:textId="77777777" w:rsidR="00BD0969" w:rsidRPr="00741713" w:rsidRDefault="00BD0969" w:rsidP="00BD0969">
      <w:pPr>
        <w:pStyle w:val="NormalHanging12a"/>
        <w:ind w:left="851" w:hanging="851"/>
        <w:rPr>
          <w:b/>
          <w:i/>
          <w:szCs w:val="24"/>
        </w:rPr>
      </w:pPr>
      <w:r w:rsidRPr="00741713">
        <w:rPr>
          <w:b/>
          <w:i/>
        </w:rPr>
        <w:t>(1)</w:t>
      </w:r>
      <w:r w:rsidRPr="00741713">
        <w:rPr>
          <w:b/>
          <w:i/>
        </w:rPr>
        <w:tab/>
        <w:t>I artikel 2 ska punkt 27 utgå.</w:t>
      </w:r>
    </w:p>
    <w:p w14:paraId="161A60EE" w14:textId="77777777" w:rsidR="00BD0969" w:rsidRPr="00741713" w:rsidRDefault="00BD0969" w:rsidP="00BD0969">
      <w:pPr>
        <w:pStyle w:val="NormalHanging12a"/>
        <w:ind w:left="851" w:hanging="851"/>
        <w:rPr>
          <w:b/>
          <w:i/>
          <w:szCs w:val="24"/>
        </w:rPr>
      </w:pPr>
      <w:r w:rsidRPr="00741713">
        <w:rPr>
          <w:b/>
          <w:i/>
        </w:rPr>
        <w:t>(2)</w:t>
      </w:r>
      <w:r w:rsidRPr="00741713">
        <w:rPr>
          <w:b/>
          <w:i/>
        </w:rPr>
        <w:tab/>
        <w:t>Artikel 6a ska ändras på följande sätt:</w:t>
      </w:r>
    </w:p>
    <w:p w14:paraId="0D053BC4" w14:textId="77777777" w:rsidR="00BD0969" w:rsidRPr="00741713" w:rsidRDefault="00BD0969" w:rsidP="00BD0969">
      <w:pPr>
        <w:pStyle w:val="NormalHanging12a"/>
        <w:ind w:left="1418"/>
        <w:rPr>
          <w:b/>
          <w:i/>
        </w:rPr>
      </w:pPr>
      <w:r w:rsidRPr="00741713">
        <w:rPr>
          <w:b/>
          <w:i/>
        </w:rPr>
        <w:t>(a)</w:t>
      </w:r>
      <w:r w:rsidRPr="00741713">
        <w:rPr>
          <w:b/>
          <w:i/>
        </w:rPr>
        <w:tab/>
        <w:t>Titeln ska ersättas med följande: ”Fyllnadsmål</w:t>
      </w:r>
    </w:p>
    <w:p w14:paraId="1CD2959D" w14:textId="77777777" w:rsidR="00BD0969" w:rsidRPr="00741713" w:rsidRDefault="00BD0969" w:rsidP="00BD0969">
      <w:pPr>
        <w:pStyle w:val="NormalHanging12a"/>
        <w:ind w:left="1418"/>
        <w:rPr>
          <w:b/>
          <w:i/>
        </w:rPr>
      </w:pPr>
      <w:r w:rsidRPr="00741713">
        <w:rPr>
          <w:b/>
          <w:i/>
        </w:rPr>
        <w:t>(b)</w:t>
      </w:r>
      <w:r w:rsidRPr="00741713">
        <w:rPr>
          <w:b/>
          <w:i/>
        </w:rPr>
        <w:tab/>
        <w:t>I punkt 1 ska första stycket ersättas med följande:</w:t>
      </w:r>
    </w:p>
    <w:p w14:paraId="55C25F7B" w14:textId="77777777" w:rsidR="00BD0969" w:rsidRPr="00741713" w:rsidRDefault="00BD0969" w:rsidP="00BD0969">
      <w:pPr>
        <w:pStyle w:val="NormalHanging12a"/>
        <w:ind w:left="1985"/>
        <w:rPr>
          <w:b/>
          <w:i/>
        </w:rPr>
      </w:pPr>
      <w:r w:rsidRPr="00741713">
        <w:rPr>
          <w:b/>
          <w:i/>
        </w:rPr>
        <w:t>”1.</w:t>
      </w:r>
      <w:r w:rsidRPr="00741713">
        <w:rPr>
          <w:b/>
          <w:i/>
        </w:rPr>
        <w:tab/>
        <w:t>Om inte annat följer av punkterna 2–5 ska medlemsstaterna uppnå ett fyllnadsmål på 83 % för den sammanlagda kapaciteten hos alla underjordiska gaslagringsanläggningar som är belägna på deras territorium och som är direkt sammanlänkade med ett marknadsområde på deras territorium och för lagringsanläggningar som förtecknas i bilaga Ib när som helst mellan den 1 oktober och den 1 december varje år.”</w:t>
      </w:r>
    </w:p>
    <w:p w14:paraId="1CD5DB69" w14:textId="75BBF566" w:rsidR="003C2463" w:rsidRPr="00741713" w:rsidRDefault="003C2463" w:rsidP="00A0794E">
      <w:pPr>
        <w:pStyle w:val="NormalHanging12a"/>
        <w:ind w:left="1418"/>
        <w:rPr>
          <w:b/>
          <w:i/>
          <w:szCs w:val="24"/>
        </w:rPr>
      </w:pPr>
      <w:r w:rsidRPr="00741713">
        <w:rPr>
          <w:b/>
          <w:i/>
          <w:szCs w:val="24"/>
        </w:rPr>
        <w:t>(</w:t>
      </w:r>
      <w:r w:rsidR="00556CE7" w:rsidRPr="00741713">
        <w:rPr>
          <w:b/>
          <w:i/>
          <w:szCs w:val="24"/>
        </w:rPr>
        <w:t>c</w:t>
      </w:r>
      <w:r w:rsidRPr="00741713">
        <w:rPr>
          <w:b/>
          <w:i/>
          <w:szCs w:val="24"/>
        </w:rPr>
        <w:t>)</w:t>
      </w:r>
      <w:r w:rsidRPr="00741713">
        <w:rPr>
          <w:b/>
          <w:i/>
          <w:szCs w:val="24"/>
        </w:rPr>
        <w:tab/>
        <w:t>Punkt 2 ska ersättas med följande:</w:t>
      </w:r>
    </w:p>
    <w:p w14:paraId="534F09EF" w14:textId="77777777" w:rsidR="003C2463" w:rsidRPr="00741713" w:rsidRDefault="003C2463" w:rsidP="003C2463">
      <w:pPr>
        <w:pStyle w:val="NormalHanging12a"/>
        <w:ind w:left="1985"/>
        <w:rPr>
          <w:b/>
          <w:i/>
          <w:szCs w:val="24"/>
        </w:rPr>
      </w:pPr>
      <w:r w:rsidRPr="00741713">
        <w:rPr>
          <w:b/>
          <w:i/>
        </w:rPr>
        <w:t>”</w:t>
      </w:r>
      <w:r w:rsidRPr="00741713">
        <w:rPr>
          <w:b/>
          <w:i/>
          <w:szCs w:val="24"/>
        </w:rPr>
        <w:t>2.</w:t>
      </w:r>
      <w:r w:rsidRPr="00741713">
        <w:rPr>
          <w:b/>
          <w:i/>
          <w:szCs w:val="24"/>
        </w:rPr>
        <w:tab/>
        <w:t>Trots vad som sägs i punkt 1 och utan att det påverkar andra medlemsstaters skyldigheter att fylla de berörda underjordiska gaslagringsanläggningarna, ska fyllnadsmålet för varje medlemsstat där de underjordiska gaslagringsanläggningarna är belägna minskas till en volym som motsvarar 32,28 % av den genomsnittliga gasförbrukningen per år under de föregående fem åren för den medlemsstaten.”</w:t>
      </w:r>
    </w:p>
    <w:p w14:paraId="1A3CF7E8" w14:textId="46C24E9A" w:rsidR="00BD0969" w:rsidRPr="00741713" w:rsidRDefault="00BD0969" w:rsidP="00BD0969">
      <w:pPr>
        <w:pStyle w:val="NormalHanging12a"/>
        <w:ind w:left="1418"/>
        <w:rPr>
          <w:b/>
          <w:i/>
        </w:rPr>
      </w:pPr>
      <w:r w:rsidRPr="00741713">
        <w:rPr>
          <w:b/>
          <w:i/>
        </w:rPr>
        <w:t>(</w:t>
      </w:r>
      <w:r w:rsidR="00556CE7" w:rsidRPr="00741713">
        <w:rPr>
          <w:b/>
          <w:i/>
        </w:rPr>
        <w:t>d</w:t>
      </w:r>
      <w:r w:rsidRPr="00741713">
        <w:rPr>
          <w:b/>
          <w:i/>
        </w:rPr>
        <w:t>)</w:t>
      </w:r>
      <w:r w:rsidRPr="00741713">
        <w:rPr>
          <w:b/>
          <w:i/>
        </w:rPr>
        <w:tab/>
        <w:t>Följande punkter ska införas:</w:t>
      </w:r>
    </w:p>
    <w:p w14:paraId="2FFF5035" w14:textId="77777777" w:rsidR="00BD0969" w:rsidRPr="00741713" w:rsidRDefault="00BD0969" w:rsidP="00BD0969">
      <w:pPr>
        <w:pStyle w:val="NormalHanging12a"/>
        <w:ind w:left="1985"/>
        <w:rPr>
          <w:b/>
          <w:i/>
          <w:szCs w:val="24"/>
        </w:rPr>
      </w:pPr>
      <w:r w:rsidRPr="00741713">
        <w:rPr>
          <w:b/>
          <w:i/>
        </w:rPr>
        <w:t xml:space="preserve">”5a. </w:t>
      </w:r>
      <w:r w:rsidRPr="00741713">
        <w:rPr>
          <w:b/>
          <w:i/>
        </w:rPr>
        <w:tab/>
        <w:t>Trots vad som sägs i punkt 1 och utan att det påverkar andra medlemsstaters skyldigheter att fylla de berörda underjordiska gaslagringsanläggningarna, får medlemsstaterna besluta att avvika med upp till fyra procentenheter från fyllnadsmålet som fastställs för varje medlemsstat i punkt 1, om marknadsförhållandena är ogynnsamma för påfyllning av underjordiska gaslagringsanläggningar.</w:t>
      </w:r>
    </w:p>
    <w:p w14:paraId="70B4BB52" w14:textId="77777777" w:rsidR="00BD0969" w:rsidRPr="00741713" w:rsidRDefault="00BD0969" w:rsidP="00BD0969">
      <w:pPr>
        <w:pStyle w:val="NormalHanging12a"/>
        <w:keepNext/>
        <w:keepLines/>
        <w:widowControl/>
        <w:ind w:left="1985"/>
        <w:rPr>
          <w:b/>
          <w:i/>
          <w:szCs w:val="24"/>
        </w:rPr>
      </w:pPr>
      <w:r w:rsidRPr="00741713">
        <w:rPr>
          <w:b/>
          <w:i/>
        </w:rPr>
        <w:t>5b.</w:t>
      </w:r>
      <w:r w:rsidRPr="00741713">
        <w:rPr>
          <w:b/>
          <w:i/>
        </w:rPr>
        <w:tab/>
        <w:t>I vederbörligen motiverade fall av ihållande ogynnsamma marknadsvillkor, och förutsatt att försörjningstryggheten i unionen och medlemsstaterna inte undergrävs, ges kommissionen befogenhet att anta delegerade akter i enlighet med artikel 19 för att ändra denna förordning genom att öka den tillåtna avvikelsen för medlemsstaterna enligt punkt 5a med upp till fyra procentenheter.</w:t>
      </w:r>
    </w:p>
    <w:p w14:paraId="60833039" w14:textId="77777777" w:rsidR="00BD0969" w:rsidRPr="00741713" w:rsidRDefault="00BD0969" w:rsidP="00BD0969">
      <w:pPr>
        <w:pStyle w:val="NormalHanging12a"/>
        <w:ind w:left="1985" w:firstLine="0"/>
        <w:rPr>
          <w:b/>
          <w:i/>
          <w:szCs w:val="24"/>
        </w:rPr>
      </w:pPr>
      <w:r w:rsidRPr="00741713">
        <w:rPr>
          <w:b/>
          <w:i/>
        </w:rPr>
        <w:t>I sin bedömning ska kommissionen särskilt beakta lagerfyllnadsnivån i medlemsstaterna, den globala gasförsörjningen, Entso</w:t>
      </w:r>
      <w:r w:rsidRPr="00741713">
        <w:rPr>
          <w:b/>
          <w:i/>
        </w:rPr>
        <w:noBreakHyphen/>
        <w:t>G:s säsongsförsörjningsutsikter och tecken på otillbörlig marknadspåverkan. Den kan också ta hänsyn till medlemsstaternas åtgärder, såsom införandet av åtgärder för att minska efterfrågan på gas som leder till motsvarande gasminskningar under påföljande uttagssäsong.</w:t>
      </w:r>
    </w:p>
    <w:p w14:paraId="23DDE93A" w14:textId="77777777" w:rsidR="00BD0969" w:rsidRPr="00741713" w:rsidRDefault="00BD0969" w:rsidP="00BD0969">
      <w:pPr>
        <w:pStyle w:val="NormalHanging12a"/>
        <w:ind w:left="1985"/>
        <w:rPr>
          <w:b/>
          <w:i/>
          <w:szCs w:val="24"/>
        </w:rPr>
      </w:pPr>
      <w:r w:rsidRPr="00741713">
        <w:rPr>
          <w:b/>
          <w:i/>
        </w:rPr>
        <w:t>5c.</w:t>
      </w:r>
      <w:r w:rsidRPr="00741713">
        <w:rPr>
          <w:b/>
          <w:i/>
        </w:rPr>
        <w:tab/>
        <w:t>De medlemsstater som avses i punkt 2 får på samma villkor som de som anges i punkt 5a besluta att avvika med upp till 1,55 % under den volym som anges i punkt 2.</w:t>
      </w:r>
    </w:p>
    <w:p w14:paraId="13492CD7" w14:textId="77777777" w:rsidR="00BD0969" w:rsidRPr="00741713" w:rsidRDefault="00BD0969" w:rsidP="00BD0969">
      <w:pPr>
        <w:pStyle w:val="NormalHanging12a"/>
        <w:ind w:left="1985"/>
        <w:rPr>
          <w:b/>
          <w:i/>
          <w:szCs w:val="24"/>
        </w:rPr>
      </w:pPr>
      <w:r w:rsidRPr="00741713">
        <w:rPr>
          <w:b/>
          <w:i/>
        </w:rPr>
        <w:t>5d.</w:t>
      </w:r>
      <w:r w:rsidRPr="00741713">
        <w:rPr>
          <w:b/>
          <w:i/>
        </w:rPr>
        <w:tab/>
        <w:t>Innan någon av de avvikelser som föreskrivs i punkterna 5a och 5c används ska varje medlemsstat samråda med kommissionen och utan onödigt dröjsmål lämna en motivering till sitt beslut. Kommissionen ska omgående informera gruppen för samordning av gasförsörjningen om de sammanlagda effekterna av alla avvikelser enligt punkterna 5a och 5c och alla medlemsstater som påverkas direkt.</w:t>
      </w:r>
    </w:p>
    <w:p w14:paraId="7949F49E" w14:textId="274E5039" w:rsidR="00BD0969" w:rsidRPr="00741713" w:rsidRDefault="00BD0969" w:rsidP="00BD0969">
      <w:pPr>
        <w:pStyle w:val="NormalHanging12a"/>
        <w:ind w:left="1418"/>
        <w:rPr>
          <w:b/>
          <w:i/>
        </w:rPr>
      </w:pPr>
      <w:r w:rsidRPr="00741713">
        <w:rPr>
          <w:b/>
          <w:i/>
        </w:rPr>
        <w:t>(</w:t>
      </w:r>
      <w:r w:rsidR="00556CE7" w:rsidRPr="00741713">
        <w:rPr>
          <w:b/>
          <w:i/>
        </w:rPr>
        <w:t>e</w:t>
      </w:r>
      <w:r w:rsidRPr="00741713">
        <w:rPr>
          <w:b/>
          <w:i/>
        </w:rPr>
        <w:t>)</w:t>
      </w:r>
      <w:r w:rsidRPr="00741713">
        <w:rPr>
          <w:b/>
          <w:i/>
        </w:rPr>
        <w:tab/>
        <w:t>Punkterna 6 och 7 ska ersättas med följande:</w:t>
      </w:r>
    </w:p>
    <w:p w14:paraId="253A3A4D" w14:textId="77777777" w:rsidR="00BD0969" w:rsidRPr="00741713" w:rsidRDefault="00BD0969" w:rsidP="00BD0969">
      <w:pPr>
        <w:pStyle w:val="NormalHanging12a"/>
        <w:ind w:left="1985"/>
        <w:rPr>
          <w:szCs w:val="24"/>
        </w:rPr>
      </w:pPr>
      <w:r w:rsidRPr="00741713">
        <w:rPr>
          <w:b/>
          <w:i/>
        </w:rPr>
        <w:t>”6.</w:t>
      </w:r>
      <w:r w:rsidRPr="00741713">
        <w:tab/>
      </w:r>
      <w:r w:rsidRPr="00741713">
        <w:rPr>
          <w:b/>
          <w:i/>
        </w:rPr>
        <w:t>För att uppnå fyllnadsmålet ska medlemsstaterna vidta alla nödvändiga åtgärder och sträva efter att följa den fyllnadsplan som fastställts i enlighet med punkt 7.</w:t>
      </w:r>
    </w:p>
    <w:p w14:paraId="45DB5AD6" w14:textId="77777777" w:rsidR="00BD0969" w:rsidRPr="00741713" w:rsidRDefault="00BD0969" w:rsidP="00BD0969">
      <w:pPr>
        <w:pStyle w:val="NormalHanging12a"/>
        <w:ind w:left="1985"/>
      </w:pPr>
      <w:r w:rsidRPr="00741713">
        <w:rPr>
          <w:b/>
          <w:i/>
        </w:rPr>
        <w:t>7.</w:t>
      </w:r>
      <w:r w:rsidRPr="00741713">
        <w:tab/>
      </w:r>
      <w:r w:rsidRPr="00741713">
        <w:rPr>
          <w:b/>
          <w:i/>
        </w:rPr>
        <w:t>Medlemsstater med underjordiska gaslagringsanläggningar ska i god tid till kommissionen överlämna en vägledande fyllnadsplan för hela kalenderåret för att uppnå det årliga fyllnadsmål för gaslagring som anges i punkt 1. Planen ska innehålla teknisk information för de underjordiska gaslagringsanläggningarna på medlemsstatens territorium och ska vara direkt sammanlänkad med dess marknadsområde i aggregerad form.</w:t>
      </w:r>
    </w:p>
    <w:p w14:paraId="0B38ACCC" w14:textId="0268723A" w:rsidR="00BD0969" w:rsidRPr="00741713" w:rsidRDefault="00BD0969" w:rsidP="00BD0969">
      <w:pPr>
        <w:pStyle w:val="NormalHanging12a"/>
        <w:ind w:left="1418"/>
        <w:rPr>
          <w:b/>
          <w:i/>
        </w:rPr>
      </w:pPr>
      <w:r w:rsidRPr="00741713">
        <w:rPr>
          <w:b/>
          <w:i/>
        </w:rPr>
        <w:t>(</w:t>
      </w:r>
      <w:r w:rsidR="00556CE7" w:rsidRPr="00741713">
        <w:rPr>
          <w:b/>
          <w:i/>
        </w:rPr>
        <w:t>f</w:t>
      </w:r>
      <w:r w:rsidRPr="00741713">
        <w:rPr>
          <w:b/>
          <w:i/>
        </w:rPr>
        <w:t>)</w:t>
      </w:r>
      <w:r w:rsidRPr="00741713">
        <w:rPr>
          <w:b/>
          <w:i/>
        </w:rPr>
        <w:tab/>
        <w:t>Punkt 8 ska utgå.</w:t>
      </w:r>
    </w:p>
    <w:p w14:paraId="1849B48D" w14:textId="7BF2D489" w:rsidR="00BD0969" w:rsidRPr="00741713" w:rsidRDefault="00BD0969" w:rsidP="00BD0969">
      <w:pPr>
        <w:pStyle w:val="NormalHanging12a"/>
        <w:ind w:left="1418"/>
        <w:rPr>
          <w:b/>
          <w:i/>
        </w:rPr>
      </w:pPr>
      <w:r w:rsidRPr="00741713">
        <w:rPr>
          <w:b/>
          <w:i/>
        </w:rPr>
        <w:t>(</w:t>
      </w:r>
      <w:r w:rsidR="00556CE7" w:rsidRPr="00741713">
        <w:rPr>
          <w:b/>
          <w:i/>
        </w:rPr>
        <w:t>g</w:t>
      </w:r>
      <w:r w:rsidRPr="00741713">
        <w:rPr>
          <w:b/>
          <w:i/>
        </w:rPr>
        <w:t>)</w:t>
      </w:r>
      <w:r w:rsidRPr="00741713">
        <w:rPr>
          <w:b/>
          <w:i/>
        </w:rPr>
        <w:tab/>
        <w:t>Punkterna 10 och 11 ska ersättas med följande:</w:t>
      </w:r>
    </w:p>
    <w:p w14:paraId="5EA03FAA" w14:textId="77777777" w:rsidR="00BD0969" w:rsidRPr="00741713" w:rsidRDefault="00BD0969" w:rsidP="00BD0969">
      <w:pPr>
        <w:pStyle w:val="NormalHanging12a"/>
        <w:ind w:left="1985"/>
        <w:rPr>
          <w:b/>
          <w:i/>
        </w:rPr>
      </w:pPr>
      <w:r w:rsidRPr="00741713">
        <w:rPr>
          <w:b/>
          <w:i/>
        </w:rPr>
        <w:t>”10.</w:t>
      </w:r>
      <w:r w:rsidRPr="00741713">
        <w:rPr>
          <w:b/>
          <w:i/>
        </w:rPr>
        <w:tab/>
        <w:t>Den behöriga myndigheten i varje medlemsstat ska kontinuerligt övervaka efterlevnad av det fyllnadsmål som anges i fyllnadsplanen och ska regelbundet och minst en gång i månaden rapportera till kommissionen och gruppen för samordning av gasförsörjningen. Om det förutses att målet inte kan uppnås ska den behöriga myndigheten utan dröjsmål vidta effektiva åtgärder för att uppnå målet. Medlemsstaterna ska underrätta kommissionen och gruppen för samordning av gasförsörjningen om de åtgärder som vidtagits.</w:t>
      </w:r>
    </w:p>
    <w:p w14:paraId="44B750AC" w14:textId="77777777" w:rsidR="00BD0969" w:rsidRPr="00741713" w:rsidRDefault="00BD0969" w:rsidP="00BD0969">
      <w:pPr>
        <w:pStyle w:val="NormalHanging12a"/>
        <w:ind w:left="1985"/>
        <w:rPr>
          <w:b/>
          <w:i/>
          <w:szCs w:val="24"/>
        </w:rPr>
      </w:pPr>
      <w:r w:rsidRPr="00741713">
        <w:rPr>
          <w:b/>
          <w:i/>
        </w:rPr>
        <w:t>11.</w:t>
      </w:r>
      <w:r w:rsidRPr="00741713">
        <w:rPr>
          <w:b/>
          <w:i/>
        </w:rPr>
        <w:tab/>
        <w:t>I händelse av att en medlemsstats betydande och ihållande avvikelse från fyllnadsplanen, som äventyrar uppnåendet av fyllnadsmålet eller i händelse av en avvikelse från fyllnadsmålet, ska kommissionen, när så är lämpligt, efter samråd med gruppen för samordning av gasförsörjningen och de berörda medlemsstaterna utfärda en rekommendation till den medlemsstaten eller till de övriga berörda medlemsstaterna om åtgärder som omedelbart ska vidtas för att avhjälpa avvikelsen eller minimera effekterna på försörjningstryggheten, med beaktande av bland annat ogynnsamma marknadsförhållanden och medlemsstaternas särdrag, t.ex. de underjordiska gaslagringsanläggningarnas tekniska egenskaper och storlek i förhållande till den inhemska gasförbrukningen, den minskade betydelsen av underjordiska lagringsanläggningar för lågvärdesgas när det gäller försörjningstryggheten för gas samt befintliga lagringsanläggningar för LNG.</w:t>
      </w:r>
    </w:p>
    <w:p w14:paraId="479EB040" w14:textId="77777777" w:rsidR="00BD0969" w:rsidRPr="00741713" w:rsidRDefault="00BD0969" w:rsidP="00BD0969">
      <w:pPr>
        <w:pStyle w:val="NormalHanging12a"/>
        <w:ind w:left="1985"/>
        <w:rPr>
          <w:szCs w:val="24"/>
        </w:rPr>
      </w:pPr>
      <w:r w:rsidRPr="00741713">
        <w:rPr>
          <w:b/>
          <w:i/>
        </w:rPr>
        <w:t>11a.</w:t>
      </w:r>
      <w:r w:rsidRPr="00741713">
        <w:rPr>
          <w:b/>
          <w:i/>
        </w:rPr>
        <w:tab/>
        <w:t>Om en medlemsstats fyllnadsmål inte har uppnåtts och detta äventyrar försörjningstryggheten i unionen ska kommissionen anta en genomförandeakt om fastställande av en fyllnadsplan för den medlemsstaten för året därefter, på grundval av den tekniska information som tillhandahålls av varje medlemsstat och med beaktande av bedömningen från gruppen för samordning av gasförsörjningen. Denna genomförandeakt ska antas i enlighet med det granskningsförfarande som avses i artikel 18a.2. Den ska baseras på en bedömning av den allmänna gasförsörjningssituationen och utvecklingen av efterfrågan och tillgång på gas i unionen och i enskilda medlemsstater, i syfte att säkerställa försörjningstryggheten för gas.”</w:t>
      </w:r>
    </w:p>
    <w:p w14:paraId="2DDC51F4" w14:textId="77777777" w:rsidR="00BD0969" w:rsidRPr="00741713" w:rsidRDefault="00BD0969" w:rsidP="00BD0969">
      <w:pPr>
        <w:pStyle w:val="NormalHanging12a"/>
        <w:ind w:left="851" w:hanging="851"/>
        <w:rPr>
          <w:b/>
          <w:i/>
          <w:szCs w:val="24"/>
        </w:rPr>
      </w:pPr>
      <w:r w:rsidRPr="00741713">
        <w:rPr>
          <w:b/>
          <w:i/>
        </w:rPr>
        <w:t>(3)</w:t>
      </w:r>
      <w:r w:rsidRPr="00741713">
        <w:rPr>
          <w:b/>
          <w:i/>
        </w:rPr>
        <w:tab/>
        <w:t>Artikel 6b ska ändras på följande sätt:</w:t>
      </w:r>
    </w:p>
    <w:p w14:paraId="7840DB26" w14:textId="77777777" w:rsidR="00BD0969" w:rsidRPr="00741713" w:rsidRDefault="00BD0969" w:rsidP="00BD0969">
      <w:pPr>
        <w:pStyle w:val="NormalHanging12a"/>
        <w:ind w:left="1418"/>
        <w:rPr>
          <w:b/>
          <w:i/>
        </w:rPr>
      </w:pPr>
      <w:r w:rsidRPr="00741713">
        <w:rPr>
          <w:b/>
          <w:i/>
        </w:rPr>
        <w:t>(a)</w:t>
      </w:r>
      <w:r w:rsidRPr="00741713">
        <w:rPr>
          <w:b/>
          <w:i/>
        </w:rPr>
        <w:tab/>
        <w:t>Titeln ska ersättas med följande: Genomförande av fyllnadsmålet</w:t>
      </w:r>
    </w:p>
    <w:p w14:paraId="6B243504" w14:textId="77777777" w:rsidR="00BD0969" w:rsidRPr="00741713" w:rsidRDefault="00BD0969" w:rsidP="00BD0969">
      <w:pPr>
        <w:pStyle w:val="NormalHanging12a"/>
        <w:ind w:left="1418"/>
        <w:rPr>
          <w:b/>
          <w:i/>
        </w:rPr>
      </w:pPr>
      <w:r w:rsidRPr="00741713">
        <w:rPr>
          <w:b/>
          <w:i/>
        </w:rPr>
        <w:t>(b)</w:t>
      </w:r>
      <w:r w:rsidRPr="00741713">
        <w:rPr>
          <w:b/>
          <w:i/>
        </w:rPr>
        <w:tab/>
        <w:t>I punkt 1 ska första stycket ersättas med följande:</w:t>
      </w:r>
    </w:p>
    <w:p w14:paraId="6712D02A" w14:textId="77777777" w:rsidR="00BD0969" w:rsidRPr="00741713" w:rsidRDefault="00BD0969" w:rsidP="00BD0969">
      <w:pPr>
        <w:pStyle w:val="NormalHanging12a"/>
        <w:ind w:left="1985"/>
        <w:rPr>
          <w:szCs w:val="24"/>
        </w:rPr>
      </w:pPr>
      <w:r w:rsidRPr="00741713">
        <w:t>”1.</w:t>
      </w:r>
      <w:r w:rsidRPr="00741713">
        <w:rPr>
          <w:b/>
          <w:i/>
        </w:rPr>
        <w:tab/>
        <w:t>Medlemsstaterna ska vidta alla nödvändiga åtgärder för att uppnå det fyllnadsmål som fastställs i artikel 6a. När medlemsstaterna säkerställer att fyllnadsmålet uppnås ska de, när så är möjligt, prioritera marknadsbaserade åtgärder.”</w:t>
      </w:r>
    </w:p>
    <w:p w14:paraId="57C8C2E2" w14:textId="77777777" w:rsidR="00BD0969" w:rsidRPr="00741713" w:rsidRDefault="00BD0969" w:rsidP="00BD0969">
      <w:pPr>
        <w:pStyle w:val="NormalHanging12a"/>
        <w:ind w:left="1418"/>
        <w:rPr>
          <w:b/>
          <w:i/>
        </w:rPr>
      </w:pPr>
      <w:r w:rsidRPr="00741713">
        <w:rPr>
          <w:b/>
          <w:i/>
        </w:rPr>
        <w:t>(c)</w:t>
      </w:r>
      <w:r w:rsidRPr="00741713">
        <w:rPr>
          <w:b/>
          <w:i/>
        </w:rPr>
        <w:tab/>
        <w:t xml:space="preserve">Punkt 2 ska ersättas med följande: </w:t>
      </w:r>
    </w:p>
    <w:p w14:paraId="4BE939F5" w14:textId="77777777" w:rsidR="00BD0969" w:rsidRPr="00741713" w:rsidRDefault="00BD0969" w:rsidP="00A0794E">
      <w:pPr>
        <w:pStyle w:val="NormalHanging12a"/>
        <w:ind w:left="1985"/>
        <w:rPr>
          <w:szCs w:val="24"/>
        </w:rPr>
      </w:pPr>
      <w:r w:rsidRPr="00741713">
        <w:rPr>
          <w:b/>
          <w:i/>
        </w:rPr>
        <w:t>”2.</w:t>
      </w:r>
      <w:r w:rsidRPr="00741713">
        <w:rPr>
          <w:b/>
          <w:i/>
        </w:rPr>
        <w:tab/>
        <w:t>De åtgärder som medlemsstaterna vidtar enligt punkt 1 ska begränsas till vad som är nödvändigt för att uppnå fyllnadsmålet. De ska vara tydligt definierade, transparenta, proportionella, icke-diskriminerande och kontrollerbara. De får inte snedvrida konkurrensen på ett otillbörligt sätt eller hindra den inre marknaden för gas från att fungera korrekt, öka energikostnaderna på ett otillbörligt sätt eller äventyra försörjningstryggheten för gas i andra medlemsstater eller i unionen.</w:t>
      </w:r>
      <w:r w:rsidRPr="00741713">
        <w:t xml:space="preserve"> </w:t>
      </w:r>
      <w:r w:rsidRPr="00741713">
        <w:rPr>
          <w:b/>
          <w:i/>
        </w:rPr>
        <w:t>Medlemsstaterna ska underrätta kommissionen och gruppen för samordning av gasförsörjningen om alla sådana åtgärder.</w:t>
      </w:r>
    </w:p>
    <w:p w14:paraId="4D614E62" w14:textId="77777777" w:rsidR="00BD0969" w:rsidRPr="00741713" w:rsidRDefault="00BD0969" w:rsidP="00BD0969">
      <w:pPr>
        <w:pStyle w:val="NormalHanging12a"/>
        <w:ind w:left="851" w:hanging="851"/>
        <w:rPr>
          <w:b/>
          <w:i/>
          <w:szCs w:val="24"/>
        </w:rPr>
      </w:pPr>
      <w:r w:rsidRPr="00741713">
        <w:rPr>
          <w:b/>
          <w:i/>
        </w:rPr>
        <w:t>(4)</w:t>
      </w:r>
      <w:r w:rsidRPr="00741713">
        <w:rPr>
          <w:b/>
          <w:i/>
        </w:rPr>
        <w:tab/>
        <w:t>Artikel 6c ska ändras på följande sätt:</w:t>
      </w:r>
    </w:p>
    <w:p w14:paraId="2908F266" w14:textId="77777777" w:rsidR="00BD0969" w:rsidRPr="00741713" w:rsidRDefault="00BD0969" w:rsidP="00BD0969">
      <w:pPr>
        <w:pStyle w:val="NormalHanging12a"/>
        <w:ind w:left="1418"/>
        <w:rPr>
          <w:b/>
          <w:i/>
        </w:rPr>
      </w:pPr>
      <w:r w:rsidRPr="00741713">
        <w:rPr>
          <w:b/>
          <w:i/>
        </w:rPr>
        <w:t>(a)</w:t>
      </w:r>
      <w:r w:rsidRPr="00741713">
        <w:rPr>
          <w:b/>
          <w:i/>
        </w:rPr>
        <w:tab/>
        <w:t>I punkt 1 ska första stycket ersättas med följande:</w:t>
      </w:r>
    </w:p>
    <w:p w14:paraId="57480301" w14:textId="77777777" w:rsidR="00BD0969" w:rsidRPr="00741713" w:rsidRDefault="00BD0969" w:rsidP="00BD0969">
      <w:pPr>
        <w:pStyle w:val="NormalHanging12a"/>
        <w:ind w:left="1985"/>
        <w:rPr>
          <w:b/>
          <w:i/>
          <w:szCs w:val="24"/>
        </w:rPr>
      </w:pPr>
      <w:r w:rsidRPr="00741713">
        <w:rPr>
          <w:b/>
          <w:i/>
        </w:rPr>
        <w:t>”1.</w:t>
      </w:r>
      <w:r w:rsidRPr="00741713">
        <w:rPr>
          <w:b/>
          <w:i/>
        </w:rPr>
        <w:tab/>
        <w:t>En medlemsstat som saknar underjordiska gaslagringsanläggningar ska säkerställa att marknadsaktörer i den medlemsstaten har avtal på plats med systemansvariga för underjordiska lagringssystem eller andra marknadsaktörer i medlemsstater med underjordiska gaslagringsanläggningar. Dessa avtal ska föreskriva att lagringsvolymer ska användas senast den 1 december och att de ska motsvara minst 15 % av den genomsnittliga årliga gasförbrukningen under de föregående fem åren i den medlemsstat som saknar underjordiska lagringsanläggningar. Om den gränsöverskridande överföringskapaciteten eller andra tekniska begränsningar hindrar en medlemsstat som saknar underjordiska gaslagringsanläggningar från att fullt ut använda 15 % av dessa lagringsvolymer ska dock den medlemsstaten endast lagra de volymer som är tekniskt möjliga.</w:t>
      </w:r>
    </w:p>
    <w:p w14:paraId="00A80FF0" w14:textId="77777777" w:rsidR="00BD0969" w:rsidRPr="00741713" w:rsidRDefault="00BD0969" w:rsidP="00BD0969">
      <w:pPr>
        <w:pStyle w:val="NormalHanging12a"/>
        <w:ind w:left="1418"/>
        <w:rPr>
          <w:b/>
          <w:i/>
          <w:szCs w:val="22"/>
        </w:rPr>
      </w:pPr>
      <w:r w:rsidRPr="00741713">
        <w:rPr>
          <w:b/>
          <w:i/>
        </w:rPr>
        <w:t>(b)</w:t>
      </w:r>
      <w:r w:rsidRPr="00741713">
        <w:rPr>
          <w:b/>
          <w:i/>
        </w:rPr>
        <w:tab/>
        <w:t>I punkt 2 ska andra stycket ersättas med följande:</w:t>
      </w:r>
    </w:p>
    <w:p w14:paraId="4A78241B" w14:textId="77777777" w:rsidR="00BD0969" w:rsidRPr="00741713" w:rsidRDefault="00BD0969" w:rsidP="00BD0969">
      <w:pPr>
        <w:pStyle w:val="NormalHanging12a"/>
        <w:ind w:left="1418" w:firstLine="0"/>
        <w:rPr>
          <w:b/>
          <w:i/>
          <w:szCs w:val="24"/>
        </w:rPr>
      </w:pPr>
      <w:r w:rsidRPr="00741713">
        <w:rPr>
          <w:b/>
          <w:i/>
        </w:rPr>
        <w:t>”Medlemsstater som saknar underjordiska gaslagringsanläggningar ska visa att de efterlever punkt 1 och vederbörligen anmäla detta till kommissionen.</w:t>
      </w:r>
    </w:p>
    <w:p w14:paraId="7E0E094E" w14:textId="77777777" w:rsidR="00BD0969" w:rsidRPr="00741713" w:rsidRDefault="00BD0969" w:rsidP="00BD0969">
      <w:pPr>
        <w:pStyle w:val="NormalHanging12a"/>
        <w:tabs>
          <w:tab w:val="left" w:pos="1418"/>
        </w:tabs>
        <w:ind w:left="1418"/>
      </w:pPr>
      <w:r w:rsidRPr="00741713">
        <w:rPr>
          <w:b/>
          <w:bCs/>
          <w:i/>
          <w:iCs/>
        </w:rPr>
        <w:t>(c)</w:t>
      </w:r>
      <w:r w:rsidRPr="00741713">
        <w:rPr>
          <w:b/>
          <w:i/>
        </w:rPr>
        <w:tab/>
        <w:t>I punkt 5 första stycket ska led a ersättas med följande:</w:t>
      </w:r>
      <w:r w:rsidRPr="00741713">
        <w:t xml:space="preserve"> </w:t>
      </w:r>
    </w:p>
    <w:p w14:paraId="7B87F768" w14:textId="77777777" w:rsidR="00BD0969" w:rsidRPr="00741713" w:rsidRDefault="00BD0969" w:rsidP="00BD0969">
      <w:pPr>
        <w:pStyle w:val="NormalHanging12a"/>
        <w:ind w:left="1985"/>
        <w:rPr>
          <w:b/>
          <w:i/>
          <w:szCs w:val="24"/>
        </w:rPr>
      </w:pPr>
      <w:r w:rsidRPr="00741713">
        <w:rPr>
          <w:b/>
          <w:i/>
        </w:rPr>
        <w:t>”(a)</w:t>
      </w:r>
      <w:r w:rsidRPr="00741713">
        <w:rPr>
          <w:b/>
          <w:i/>
        </w:rPr>
        <w:tab/>
        <w:t>senast den 1 december säkerställa att lagringsvolymerna motsvarar minst det genomsnittliga nyttjandet av lagringskapaciteten under de föregående fem åren, som fastställs bland annat med beaktande av flödena under uttagssäsongen under de föregående fem åren från de medlemsstater där lagringsanläggningarna är belägna, eller ”.</w:t>
      </w:r>
    </w:p>
    <w:p w14:paraId="2A2B5D93" w14:textId="77777777" w:rsidR="00BD0969" w:rsidRPr="00741713" w:rsidRDefault="00BD0969" w:rsidP="00BD0969">
      <w:pPr>
        <w:pStyle w:val="NormalHanging12a"/>
        <w:ind w:left="1418"/>
        <w:rPr>
          <w:b/>
          <w:i/>
        </w:rPr>
      </w:pPr>
      <w:r w:rsidRPr="00741713">
        <w:rPr>
          <w:b/>
          <w:i/>
        </w:rPr>
        <w:t>(d)</w:t>
      </w:r>
      <w:r w:rsidRPr="00741713">
        <w:rPr>
          <w:b/>
          <w:i/>
        </w:rPr>
        <w:tab/>
        <w:t>Punkt 6 ska ersättas med följande:</w:t>
      </w:r>
    </w:p>
    <w:p w14:paraId="5CB18F91" w14:textId="77777777" w:rsidR="00BD0969" w:rsidRPr="00741713" w:rsidRDefault="00BD0969" w:rsidP="00BD0969">
      <w:pPr>
        <w:pStyle w:val="NormalHanging12a"/>
        <w:ind w:left="1985"/>
        <w:rPr>
          <w:b/>
          <w:i/>
          <w:szCs w:val="24"/>
        </w:rPr>
      </w:pPr>
      <w:r w:rsidRPr="00741713">
        <w:rPr>
          <w:b/>
          <w:i/>
        </w:rPr>
        <w:t>”6.</w:t>
      </w:r>
      <w:r w:rsidRPr="00741713">
        <w:rPr>
          <w:b/>
          <w:i/>
        </w:rPr>
        <w:tab/>
        <w:t>När det gäller underjordiska gaslagringsanläggningar som är belägna i en medlemsstat, som inte omfattas av punkt 5 men som är direkt sammanlänkade med en annan medlemsstats marknadsområde ska den andra medlemsstaten, om inte annat anges i bilaga Ib, säkerställa att lagringsvolymerna mellan den 1 oktober och den 1 december motsvarar minst den genomsnittliga lagringskapacitet som bokats vid relevant gränsöverskridande punkt under de föregående fem åren.”</w:t>
      </w:r>
    </w:p>
    <w:p w14:paraId="22DD8C3D" w14:textId="77777777" w:rsidR="00BD0969" w:rsidRPr="00741713" w:rsidRDefault="00BD0969" w:rsidP="00BD0969">
      <w:pPr>
        <w:pStyle w:val="NormalHanging12a"/>
        <w:ind w:left="851" w:hanging="851"/>
        <w:rPr>
          <w:b/>
          <w:i/>
        </w:rPr>
      </w:pPr>
      <w:r w:rsidRPr="00741713">
        <w:rPr>
          <w:b/>
          <w:i/>
        </w:rPr>
        <w:t>(5)</w:t>
      </w:r>
      <w:r w:rsidRPr="00741713">
        <w:rPr>
          <w:b/>
          <w:i/>
        </w:rPr>
        <w:tab/>
        <w:t>Artikel 6d ska ändras på följande sätt:</w:t>
      </w:r>
    </w:p>
    <w:p w14:paraId="2859BC7B" w14:textId="77777777" w:rsidR="00BD0969" w:rsidRPr="00741713" w:rsidRDefault="00BD0969" w:rsidP="00BD0969">
      <w:pPr>
        <w:pStyle w:val="NormalHanging12a"/>
        <w:ind w:left="1418"/>
        <w:rPr>
          <w:b/>
          <w:i/>
        </w:rPr>
      </w:pPr>
      <w:r w:rsidRPr="00741713">
        <w:rPr>
          <w:b/>
          <w:i/>
        </w:rPr>
        <w:t>(a)</w:t>
      </w:r>
      <w:r w:rsidRPr="00741713">
        <w:rPr>
          <w:b/>
          <w:i/>
        </w:rPr>
        <w:tab/>
        <w:t>Punkt</w:t>
      </w:r>
      <w:r w:rsidR="00022B85" w:rsidRPr="00741713">
        <w:rPr>
          <w:b/>
          <w:i/>
        </w:rPr>
        <w:t>erna</w:t>
      </w:r>
      <w:r w:rsidRPr="00741713">
        <w:rPr>
          <w:b/>
          <w:i/>
        </w:rPr>
        <w:t xml:space="preserve"> 1 och 2 ska ersättas med följande:</w:t>
      </w:r>
    </w:p>
    <w:p w14:paraId="15A076A1" w14:textId="77777777" w:rsidR="00BD0969" w:rsidRPr="00741713" w:rsidRDefault="00BD0969" w:rsidP="00BD0969">
      <w:pPr>
        <w:pStyle w:val="NormalHanging12a"/>
        <w:ind w:left="1985"/>
        <w:rPr>
          <w:b/>
          <w:i/>
          <w:szCs w:val="24"/>
        </w:rPr>
      </w:pPr>
      <w:r w:rsidRPr="00741713">
        <w:rPr>
          <w:b/>
          <w:i/>
        </w:rPr>
        <w:t>”1.</w:t>
      </w:r>
      <w:r w:rsidRPr="00741713">
        <w:rPr>
          <w:b/>
          <w:i/>
        </w:rPr>
        <w:tab/>
        <w:t>De systemansvariga för lagringssystemen ska rapportera fyllnadsnivån till den behöriga myndigheten i varje medlemsstat där de underjordiska gaslagringsanläggningarna är belägna och, i tillämpliga fall, till en enhet som utsetts av den medlemsstaten (utsedd enhet) i enlighet med artikel 6a.</w:t>
      </w:r>
    </w:p>
    <w:p w14:paraId="47F3BDF4" w14:textId="77777777" w:rsidR="00BD0969" w:rsidRPr="00741713" w:rsidRDefault="00BD0969" w:rsidP="00BD0969">
      <w:pPr>
        <w:pStyle w:val="NormalHanging12a"/>
        <w:ind w:left="1985"/>
        <w:rPr>
          <w:szCs w:val="24"/>
        </w:rPr>
      </w:pPr>
      <w:r w:rsidRPr="00741713">
        <w:rPr>
          <w:b/>
          <w:i/>
        </w:rPr>
        <w:t>2.</w:t>
      </w:r>
      <w:r w:rsidRPr="00741713">
        <w:rPr>
          <w:b/>
          <w:i/>
        </w:rPr>
        <w:tab/>
        <w:t>Den behöriga myndigheten och, i tillämpliga fall, den utsedda enheten i varje medlemsstat ska övervaka fyllnadsnivåerna i de underjordiska gaslagringsanläggningarna på sitt territorium i slutet av varje månad och utan dröjsmål rapportera resultaten till kommissionen varje månad. Den behöriga myndigheten ska också inkludera uppgifter om andelen gas med ursprung i Ryska federationen som lagras i den medlemsstaten, om sådan information finns tillgänglig.</w:t>
      </w:r>
    </w:p>
    <w:p w14:paraId="6CCB0DB5" w14:textId="77777777" w:rsidR="00BD0969" w:rsidRPr="00741713" w:rsidRDefault="00BD0969" w:rsidP="00BD0969">
      <w:pPr>
        <w:pStyle w:val="NormalHanging12a"/>
        <w:ind w:left="1985" w:firstLine="0"/>
        <w:rPr>
          <w:b/>
          <w:i/>
        </w:rPr>
      </w:pPr>
      <w:r w:rsidRPr="00741713">
        <w:rPr>
          <w:b/>
          <w:i/>
        </w:rPr>
        <w:t>Kommissionen får vid behov uppmana Europeiska unionens byrå för samarbete mellan energitillsynsmyndigheter (Acer) att bistå med sådan övervakning.”</w:t>
      </w:r>
    </w:p>
    <w:p w14:paraId="44D9D150" w14:textId="77777777" w:rsidR="00BD0969" w:rsidRPr="00741713" w:rsidRDefault="00BD0969" w:rsidP="00BD0969">
      <w:pPr>
        <w:pStyle w:val="NormalHanging12a"/>
        <w:ind w:left="1418"/>
        <w:rPr>
          <w:b/>
          <w:i/>
        </w:rPr>
      </w:pPr>
      <w:r w:rsidRPr="00741713">
        <w:rPr>
          <w:b/>
          <w:i/>
        </w:rPr>
        <w:t>(b)</w:t>
      </w:r>
      <w:r w:rsidRPr="00741713">
        <w:rPr>
          <w:b/>
          <w:i/>
        </w:rPr>
        <w:tab/>
        <w:t>Punkt</w:t>
      </w:r>
      <w:r w:rsidR="00022B85" w:rsidRPr="00741713">
        <w:rPr>
          <w:b/>
          <w:i/>
        </w:rPr>
        <w:t>erna</w:t>
      </w:r>
      <w:r w:rsidRPr="00741713">
        <w:rPr>
          <w:b/>
          <w:i/>
        </w:rPr>
        <w:t xml:space="preserve"> 4 och 5 ska ersättas med följande:</w:t>
      </w:r>
    </w:p>
    <w:p w14:paraId="733FCDF0" w14:textId="77777777" w:rsidR="00BD0969" w:rsidRPr="00741713" w:rsidRDefault="00BD0969" w:rsidP="00BD0969">
      <w:pPr>
        <w:pStyle w:val="NormalHanging12a"/>
        <w:ind w:left="1985"/>
        <w:rPr>
          <w:b/>
          <w:i/>
          <w:szCs w:val="24"/>
        </w:rPr>
      </w:pPr>
      <w:r w:rsidRPr="00741713">
        <w:rPr>
          <w:b/>
          <w:i/>
        </w:rPr>
        <w:t>”4.</w:t>
      </w:r>
      <w:r w:rsidRPr="00741713">
        <w:rPr>
          <w:b/>
          <w:i/>
        </w:rPr>
        <w:tab/>
        <w:t>Gruppen för samordning av gasförsörjningen ska bistå kommissionen i övervakningen av fyllnadsmålet och ska utarbeta riktlinjer till kommissionen om lämpliga åtgärder för att säkerställa bättre anpassning ifall medlemsstaternas fyllnadsnivåer äventyrar uppnåendet av fyllnadsmålet, eller för att säkerställa att fyllnadsmålet uppnås.</w:t>
      </w:r>
    </w:p>
    <w:p w14:paraId="71CC7542" w14:textId="77777777" w:rsidR="00BD0969" w:rsidRPr="00741713" w:rsidRDefault="00BD0969" w:rsidP="00BD0969">
      <w:pPr>
        <w:pStyle w:val="NormalHanging12a"/>
        <w:ind w:left="1985"/>
        <w:rPr>
          <w:b/>
          <w:i/>
          <w:szCs w:val="24"/>
        </w:rPr>
      </w:pPr>
      <w:r w:rsidRPr="00741713">
        <w:rPr>
          <w:b/>
          <w:i/>
        </w:rPr>
        <w:t>4a.</w:t>
      </w:r>
      <w:r w:rsidRPr="00741713">
        <w:rPr>
          <w:b/>
          <w:i/>
        </w:rPr>
        <w:tab/>
        <w:t>När så är lämpligt ska kommissionen genomföra åtgärder som hjälper medlemsstaterna att uppnå fyllnadsmålet, däribland åtgärder som uppmuntrar till deltagande i den mekanism för aggregering av efterfrågan och gemensamma inköp som inrättats genom förordning (EU) 2022/2576 (AggregateEU).</w:t>
      </w:r>
    </w:p>
    <w:p w14:paraId="4BBB5598" w14:textId="77777777" w:rsidR="00BD0969" w:rsidRPr="00741713" w:rsidRDefault="00BD0969" w:rsidP="00BD0969">
      <w:pPr>
        <w:pStyle w:val="NormalHanging12a"/>
        <w:ind w:left="1985"/>
        <w:rPr>
          <w:b/>
          <w:i/>
        </w:rPr>
      </w:pPr>
      <w:r w:rsidRPr="00741713">
        <w:rPr>
          <w:b/>
          <w:i/>
        </w:rPr>
        <w:t>5.</w:t>
      </w:r>
      <w:r w:rsidRPr="00741713">
        <w:rPr>
          <w:b/>
          <w:i/>
        </w:rPr>
        <w:tab/>
        <w:t>Medlemsstaterna och, när så är lämpligt, kommissionen ska vidta nödvändiga åtgärder för att uppnå fyllnadsmålet och för att se till att marknadsaktörerna uppfyller sina lagringsskyldigheter. Sådana åtgärder kan omfatta tillräckligt avskräckande sanktioner och böter, såsom lämpliga ekonomiska sanktioner.</w:t>
      </w:r>
    </w:p>
    <w:p w14:paraId="6CCF825B" w14:textId="77777777" w:rsidR="00BD0969" w:rsidRPr="00741713" w:rsidRDefault="00BD0969" w:rsidP="00BD0969">
      <w:pPr>
        <w:pStyle w:val="NormalHanging12a"/>
        <w:ind w:left="1985"/>
        <w:rPr>
          <w:b/>
          <w:i/>
        </w:rPr>
      </w:pPr>
      <w:r w:rsidRPr="00741713">
        <w:rPr>
          <w:b/>
          <w:i/>
        </w:rPr>
        <w:t>___________________</w:t>
      </w:r>
    </w:p>
    <w:p w14:paraId="6FC8CA9A" w14:textId="77777777" w:rsidR="00BD0969" w:rsidRPr="00741713" w:rsidRDefault="00BD0969" w:rsidP="00BD0969">
      <w:pPr>
        <w:pStyle w:val="NormalHanging12a"/>
        <w:ind w:left="1985"/>
        <w:rPr>
          <w:b/>
          <w:i/>
        </w:rPr>
      </w:pPr>
      <w:r w:rsidRPr="00741713">
        <w:rPr>
          <w:b/>
          <w:i/>
        </w:rPr>
        <w:t>*</w:t>
      </w:r>
      <w:r w:rsidRPr="00741713">
        <w:rPr>
          <w:b/>
          <w:i/>
        </w:rPr>
        <w:tab/>
        <w:t>Rådets förordning (EU) 2022/2576 av den 19 december 2022 om ökad solidaritet genom bättre samordning av gasinköp, tillförlitliga prisriktvärden och utbyte av gas över gränserna (EUT L 335, 29.12.2022, s. 1, ELI: http://data.europa.eu/eli/reg/2022/2576/oj”</w:t>
      </w:r>
    </w:p>
    <w:p w14:paraId="0511655E" w14:textId="77777777" w:rsidR="00BD0969" w:rsidRPr="00741713" w:rsidRDefault="00BD0969" w:rsidP="00BD0969">
      <w:pPr>
        <w:pStyle w:val="NormalHanging12a"/>
        <w:ind w:left="851" w:hanging="851"/>
        <w:rPr>
          <w:b/>
          <w:i/>
          <w:szCs w:val="24"/>
        </w:rPr>
      </w:pPr>
      <w:r w:rsidRPr="00741713">
        <w:rPr>
          <w:b/>
          <w:i/>
        </w:rPr>
        <w:t>(6)</w:t>
      </w:r>
      <w:r w:rsidRPr="00741713">
        <w:rPr>
          <w:b/>
          <w:i/>
        </w:rPr>
        <w:tab/>
        <w:t>I artikel 17a.1 ska följande led läggas till:</w:t>
      </w:r>
    </w:p>
    <w:p w14:paraId="076A7E86" w14:textId="77777777" w:rsidR="00BD0969" w:rsidRPr="00741713" w:rsidRDefault="00BD0969" w:rsidP="00BD0969">
      <w:pPr>
        <w:pStyle w:val="NormalHanging12a"/>
        <w:ind w:left="1418"/>
        <w:rPr>
          <w:b/>
          <w:i/>
          <w:szCs w:val="24"/>
        </w:rPr>
      </w:pPr>
      <w:r w:rsidRPr="00741713">
        <w:rPr>
          <w:b/>
          <w:i/>
        </w:rPr>
        <w:t>”(da)</w:t>
      </w:r>
      <w:r w:rsidRPr="00741713">
        <w:rPr>
          <w:b/>
          <w:i/>
        </w:rPr>
        <w:tab/>
        <w:t>uppgifter om andelen gas med ursprung i Ryska federationen som lagras i EU, vilka tillhandahålls av medlemsstaterna i enlighet med artikel 6d.2.”</w:t>
      </w:r>
    </w:p>
    <w:p w14:paraId="1B849713" w14:textId="77777777" w:rsidR="00BD0969" w:rsidRPr="00741713" w:rsidRDefault="00BD0969" w:rsidP="00BD0969">
      <w:pPr>
        <w:pStyle w:val="NormalHanging12a"/>
        <w:ind w:left="851" w:hanging="851"/>
        <w:rPr>
          <w:b/>
          <w:i/>
          <w:szCs w:val="24"/>
        </w:rPr>
      </w:pPr>
      <w:r w:rsidRPr="00741713">
        <w:rPr>
          <w:b/>
          <w:i/>
        </w:rPr>
        <w:t>(7)</w:t>
      </w:r>
      <w:r w:rsidRPr="00741713">
        <w:rPr>
          <w:b/>
          <w:i/>
        </w:rPr>
        <w:tab/>
        <w:t>I artikel 22 ska fjärde stycket ersättas med följande:</w:t>
      </w:r>
    </w:p>
    <w:p w14:paraId="48A476D0" w14:textId="77777777" w:rsidR="00BD0969" w:rsidRPr="00741713" w:rsidRDefault="00BD0969" w:rsidP="00BD0969">
      <w:pPr>
        <w:pStyle w:val="NormalHanging12a"/>
        <w:ind w:left="851" w:firstLine="0"/>
        <w:rPr>
          <w:b/>
          <w:i/>
          <w:szCs w:val="24"/>
        </w:rPr>
      </w:pPr>
      <w:r w:rsidRPr="00741713">
        <w:rPr>
          <w:b/>
          <w:i/>
        </w:rPr>
        <w:t>”Artikel 2.27–2.31, artiklarna 6a–6d, artikel 16.3, artikel 17a, artikel 18a, artikel 20.4 och bilaga Ib ska tillämpas till och med den 31 december 2027.”</w:t>
      </w:r>
    </w:p>
    <w:p w14:paraId="686EEB44" w14:textId="77777777" w:rsidR="00BD0969" w:rsidRPr="00741713" w:rsidRDefault="00BD0969" w:rsidP="00BD0969">
      <w:pPr>
        <w:pStyle w:val="NormalHanging12a"/>
        <w:ind w:left="851" w:hanging="851"/>
        <w:rPr>
          <w:b/>
          <w:i/>
          <w:szCs w:val="24"/>
        </w:rPr>
      </w:pPr>
      <w:r w:rsidRPr="00741713">
        <w:rPr>
          <w:b/>
          <w:i/>
        </w:rPr>
        <w:t>(8)</w:t>
      </w:r>
      <w:r w:rsidRPr="00741713">
        <w:rPr>
          <w:b/>
          <w:i/>
        </w:rPr>
        <w:tab/>
        <w:t>Bilaga Ia ska utgå.</w:t>
      </w:r>
    </w:p>
    <w:p w14:paraId="02448A84" w14:textId="77777777" w:rsidR="00BD0969" w:rsidRPr="00741713" w:rsidRDefault="00BD0969" w:rsidP="00BD0969">
      <w:pPr>
        <w:rPr>
          <w:noProof/>
        </w:rPr>
      </w:pPr>
    </w:p>
    <w:p w14:paraId="1A829244" w14:textId="77777777" w:rsidR="00BD0969" w:rsidRPr="00741713" w:rsidRDefault="00BD0969" w:rsidP="00BD0969">
      <w:pPr>
        <w:pStyle w:val="Titrearticle"/>
        <w:rPr>
          <w:noProof/>
        </w:rPr>
      </w:pPr>
      <w:r w:rsidRPr="00741713">
        <w:t>Artikel 2</w:t>
      </w:r>
    </w:p>
    <w:p w14:paraId="1E3209E8" w14:textId="77777777" w:rsidR="00BD0969" w:rsidRPr="00741713" w:rsidRDefault="00BD0969" w:rsidP="00A0794E">
      <w:pPr>
        <w:spacing w:after="240"/>
        <w:jc w:val="center"/>
        <w:rPr>
          <w:b/>
          <w:bCs/>
          <w:noProof/>
        </w:rPr>
      </w:pPr>
      <w:r w:rsidRPr="00741713">
        <w:rPr>
          <w:b/>
        </w:rPr>
        <w:t>Ikraftträdande</w:t>
      </w:r>
    </w:p>
    <w:p w14:paraId="00B2D38A" w14:textId="77777777" w:rsidR="00BD0969" w:rsidRPr="00741713" w:rsidRDefault="00BD0969" w:rsidP="00BD0969">
      <w:pPr>
        <w:pStyle w:val="NormalHanging12a"/>
        <w:ind w:left="0" w:firstLine="0"/>
        <w:rPr>
          <w:szCs w:val="24"/>
        </w:rPr>
      </w:pPr>
      <w:r w:rsidRPr="00741713">
        <w:t xml:space="preserve">Denna förordning träder i kraft </w:t>
      </w:r>
      <w:r w:rsidRPr="00741713">
        <w:rPr>
          <w:b/>
          <w:bCs/>
          <w:i/>
          <w:iCs/>
        </w:rPr>
        <w:t>och börjar tillämpas</w:t>
      </w:r>
      <w:r w:rsidRPr="00741713">
        <w:t xml:space="preserve"> dagen efter det att den har offentliggjorts i Europeiska unionens officiella tidning.</w:t>
      </w:r>
    </w:p>
    <w:p w14:paraId="676A08D5" w14:textId="77777777" w:rsidR="00BD0969" w:rsidRPr="00741713" w:rsidRDefault="00BD0969" w:rsidP="00BD0969">
      <w:pPr>
        <w:pStyle w:val="NormalCenter12a"/>
        <w:jc w:val="left"/>
      </w:pPr>
      <w:r w:rsidRPr="00741713">
        <w:t>Denna förordning är till alla delar bindande och direkt tillämplig i alla medlemsstater.</w:t>
      </w:r>
    </w:p>
    <w:p w14:paraId="69E1B9F4" w14:textId="77777777" w:rsidR="00BD0969" w:rsidRPr="00741713" w:rsidRDefault="00BD0969" w:rsidP="00BD0969">
      <w:pPr>
        <w:pStyle w:val="NormalCenter12a"/>
        <w:jc w:val="left"/>
      </w:pPr>
      <w:r w:rsidRPr="00741713">
        <w:t>Utfärdad i Bryssel den</w:t>
      </w:r>
    </w:p>
    <w:p w14:paraId="13A7C47F" w14:textId="77777777" w:rsidR="00BD0969" w:rsidRPr="00741713" w:rsidRDefault="00BD0969" w:rsidP="00BD0969">
      <w:pPr>
        <w:pStyle w:val="NormalCenter12a"/>
        <w:jc w:val="left"/>
      </w:pPr>
      <w:r w:rsidRPr="00741713">
        <w:t>På Europaparlamentets vägnar</w:t>
      </w:r>
    </w:p>
    <w:p w14:paraId="262A0378" w14:textId="77777777" w:rsidR="00BD0969" w:rsidRPr="00741713" w:rsidRDefault="00BD0969" w:rsidP="00BD0969">
      <w:pPr>
        <w:pStyle w:val="NormalCenter12a"/>
        <w:jc w:val="left"/>
      </w:pPr>
      <w:r w:rsidRPr="00741713">
        <w:t>Ordförande</w:t>
      </w:r>
    </w:p>
    <w:p w14:paraId="34D3E970" w14:textId="77777777" w:rsidR="00BD0969" w:rsidRPr="00741713" w:rsidRDefault="00BD0969" w:rsidP="00BD0969">
      <w:pPr>
        <w:pStyle w:val="NormalCenter12a"/>
        <w:jc w:val="left"/>
      </w:pPr>
      <w:r w:rsidRPr="00741713">
        <w:t>På rådets vägnar</w:t>
      </w:r>
    </w:p>
    <w:p w14:paraId="40AF352B" w14:textId="77777777" w:rsidR="00097A9C" w:rsidRPr="00097A9C" w:rsidRDefault="00BD0969" w:rsidP="00097A9C">
      <w:pPr>
        <w:pStyle w:val="NormalCenter12a"/>
        <w:jc w:val="left"/>
      </w:pPr>
      <w:r w:rsidRPr="00741713">
        <w:t>Ordförande</w:t>
      </w:r>
    </w:p>
    <w:p w14:paraId="1C979767" w14:textId="77777777" w:rsidR="00E365E1" w:rsidRPr="00097A9C" w:rsidRDefault="00E365E1" w:rsidP="007A22DD"/>
    <w:sectPr w:rsidR="00E365E1" w:rsidRPr="00097A9C" w:rsidSect="00097A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A551E" w14:textId="77777777" w:rsidR="007A22DD" w:rsidRPr="00097A9C" w:rsidRDefault="007A22DD">
      <w:r w:rsidRPr="00097A9C">
        <w:separator/>
      </w:r>
    </w:p>
  </w:endnote>
  <w:endnote w:type="continuationSeparator" w:id="0">
    <w:p w14:paraId="3E22D459" w14:textId="77777777" w:rsidR="007A22DD" w:rsidRPr="00097A9C" w:rsidRDefault="007A22DD">
      <w:r w:rsidRPr="00097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57E38" w14:textId="77777777" w:rsidR="00064002" w:rsidRPr="00097A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718A6" w14:textId="77777777" w:rsidR="00064002" w:rsidRPr="00097A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30889" w14:textId="77777777" w:rsidR="00064002" w:rsidRPr="00097A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3DFF" w14:textId="77777777" w:rsidR="007A22DD" w:rsidRPr="00097A9C" w:rsidRDefault="007A22DD">
      <w:r w:rsidRPr="00097A9C">
        <w:separator/>
      </w:r>
    </w:p>
  </w:footnote>
  <w:footnote w:type="continuationSeparator" w:id="0">
    <w:p w14:paraId="39008887" w14:textId="77777777" w:rsidR="007A22DD" w:rsidRPr="00097A9C" w:rsidRDefault="007A22DD">
      <w:r w:rsidRPr="00097A9C">
        <w:continuationSeparator/>
      </w:r>
    </w:p>
  </w:footnote>
  <w:footnote w:id="1">
    <w:p w14:paraId="76E0F663" w14:textId="77777777" w:rsidR="0045673D" w:rsidRPr="00741713" w:rsidRDefault="0045673D" w:rsidP="0045673D">
      <w:pPr>
        <w:pStyle w:val="FootnoteText"/>
        <w:keepLines w:val="0"/>
        <w:ind w:left="567" w:hanging="567"/>
        <w:rPr>
          <w:sz w:val="24"/>
          <w:szCs w:val="24"/>
          <w:lang w:val="sv-SE"/>
        </w:rPr>
      </w:pPr>
      <w:r w:rsidRPr="001976C6">
        <w:rPr>
          <w:rStyle w:val="FootnoteReference"/>
          <w:sz w:val="24"/>
          <w:szCs w:val="24"/>
        </w:rPr>
        <w:footnoteRef/>
      </w:r>
      <w:r w:rsidRPr="00741713">
        <w:rPr>
          <w:sz w:val="24"/>
          <w:szCs w:val="24"/>
          <w:lang w:val="sv-SE"/>
        </w:rPr>
        <w:t xml:space="preserve"> </w:t>
      </w:r>
      <w:r w:rsidRPr="00741713">
        <w:rPr>
          <w:sz w:val="24"/>
          <w:szCs w:val="24"/>
          <w:lang w:val="sv-SE"/>
        </w:rPr>
        <w:tab/>
        <w:t>Ärendet återförvisades för interinstitutionella förhandlingar till det ansvariga utskottet, i enlighet med artikel 60.4 fjärde stycket i arbetsordningen (A10-0079/2025).</w:t>
      </w:r>
    </w:p>
  </w:footnote>
  <w:footnote w:id="2">
    <w:p w14:paraId="219C1E7C" w14:textId="77777777" w:rsidR="00BD0969" w:rsidRPr="00097A9C" w:rsidRDefault="00BD0969" w:rsidP="00097A9C">
      <w:pPr>
        <w:pStyle w:val="FootnoteText"/>
        <w:ind w:left="567" w:hanging="567"/>
        <w:rPr>
          <w:sz w:val="24"/>
          <w:lang w:val="sv-SE"/>
        </w:rPr>
      </w:pPr>
      <w:r w:rsidRPr="00097A9C">
        <w:rPr>
          <w:rStyle w:val="FootnoteReference"/>
          <w:sz w:val="24"/>
          <w:lang w:val="sv-SE"/>
        </w:rPr>
        <w:t>*</w:t>
      </w:r>
      <w:r w:rsidR="00097A9C" w:rsidRPr="00097A9C">
        <w:rPr>
          <w:sz w:val="24"/>
          <w:lang w:val="sv-SE"/>
        </w:rPr>
        <w:t xml:space="preserve"> </w:t>
      </w:r>
      <w:r w:rsidR="00097A9C" w:rsidRPr="00097A9C">
        <w:rPr>
          <w:sz w:val="24"/>
          <w:lang w:val="sv-SE"/>
        </w:rPr>
        <w:tab/>
      </w:r>
      <w:r w:rsidRPr="00097A9C">
        <w:rPr>
          <w:sz w:val="24"/>
          <w:lang w:val="sv-SE"/>
        </w:rPr>
        <w:t>Ändringar: ny text eller text som ersätter tidigare text markeras med fetkursiv stil och strykningar med symbolen ▌.</w:t>
      </w:r>
    </w:p>
  </w:footnote>
  <w:footnote w:id="3">
    <w:p w14:paraId="7D4A4F0A" w14:textId="77777777" w:rsidR="00BD0969" w:rsidRPr="00097A9C" w:rsidRDefault="00BD0969" w:rsidP="00097A9C">
      <w:pPr>
        <w:pStyle w:val="FootnoteText"/>
        <w:ind w:left="567" w:hanging="567"/>
        <w:rPr>
          <w:sz w:val="24"/>
          <w:lang w:val="sv-SE"/>
        </w:rPr>
      </w:pPr>
      <w:r w:rsidRPr="00097A9C">
        <w:rPr>
          <w:rStyle w:val="FootnoteReference"/>
          <w:sz w:val="24"/>
          <w:lang w:val="sv-SE"/>
        </w:rPr>
        <w:footnoteRef/>
      </w:r>
      <w:r w:rsidR="00097A9C" w:rsidRPr="00097A9C">
        <w:rPr>
          <w:sz w:val="24"/>
          <w:lang w:val="sv-SE"/>
        </w:rPr>
        <w:t xml:space="preserve"> </w:t>
      </w:r>
      <w:r w:rsidR="00097A9C" w:rsidRPr="00097A9C">
        <w:rPr>
          <w:sz w:val="24"/>
          <w:lang w:val="sv-SE"/>
        </w:rPr>
        <w:tab/>
      </w:r>
      <w:r w:rsidRPr="00097A9C">
        <w:rPr>
          <w:sz w:val="24"/>
          <w:lang w:val="sv-SE"/>
        </w:rPr>
        <w:t>Europaparlamentets och rådets förordning (EU) 2022/1032 av den 29 juni 2022 om ändring av förordningarna (EU) 2017/1938 och (EG) nr 715/2009 vad gäller gaslagring (EUT L 173, 30.6.2022, s.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6BA77" w14:textId="77777777" w:rsidR="00064002" w:rsidRPr="00097A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E9C64" w14:textId="77777777" w:rsidR="00064002" w:rsidRPr="00097A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8D7C8" w14:textId="77777777" w:rsidR="00064002" w:rsidRPr="00097A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SV"/>
    <w:docVar w:name="dvnumam" w:val="0"/>
    <w:docVar w:name="dvpe" w:val="772.015"/>
    <w:docVar w:name="dvrapporteur" w:val="Föredragande: "/>
    <w:docVar w:name="dvstar" w:val="***I"/>
    <w:docVar w:name="dvtitre" w:val="Europaparlamentets lagstiftningsresolution av den xx xx 2025 om förslaget till Europaparlamentets och rådets förordning om ändring av förordning (EU) 2017/1938 vad gäller gaslagringens betydelse för en tryggad gasförsörjning inför vintersäsongen(COM(2025)0099 – C10-0041/2025 – 2025/0051(COD))"/>
  </w:docVars>
  <w:rsids>
    <w:rsidRoot w:val="007A22DD"/>
    <w:rsid w:val="00002272"/>
    <w:rsid w:val="00022B85"/>
    <w:rsid w:val="0003129D"/>
    <w:rsid w:val="00064002"/>
    <w:rsid w:val="000677B9"/>
    <w:rsid w:val="000831BA"/>
    <w:rsid w:val="00097A9C"/>
    <w:rsid w:val="000A42CC"/>
    <w:rsid w:val="000E7DD9"/>
    <w:rsid w:val="0010095E"/>
    <w:rsid w:val="00125B37"/>
    <w:rsid w:val="00187494"/>
    <w:rsid w:val="001F32AE"/>
    <w:rsid w:val="002767FF"/>
    <w:rsid w:val="002B18FE"/>
    <w:rsid w:val="002B5493"/>
    <w:rsid w:val="00343214"/>
    <w:rsid w:val="003565FB"/>
    <w:rsid w:val="00361C00"/>
    <w:rsid w:val="00395FA1"/>
    <w:rsid w:val="003C2463"/>
    <w:rsid w:val="003E15D4"/>
    <w:rsid w:val="00411CCE"/>
    <w:rsid w:val="0041666E"/>
    <w:rsid w:val="00421060"/>
    <w:rsid w:val="0045673D"/>
    <w:rsid w:val="00471C19"/>
    <w:rsid w:val="004867E3"/>
    <w:rsid w:val="00494A28"/>
    <w:rsid w:val="004C0004"/>
    <w:rsid w:val="004C5D52"/>
    <w:rsid w:val="0050519A"/>
    <w:rsid w:val="005072A1"/>
    <w:rsid w:val="00514517"/>
    <w:rsid w:val="00545827"/>
    <w:rsid w:val="00556CE7"/>
    <w:rsid w:val="00560270"/>
    <w:rsid w:val="005A4D86"/>
    <w:rsid w:val="005C2568"/>
    <w:rsid w:val="005F1B17"/>
    <w:rsid w:val="006037C0"/>
    <w:rsid w:val="006631B6"/>
    <w:rsid w:val="00680577"/>
    <w:rsid w:val="006F74FA"/>
    <w:rsid w:val="00701603"/>
    <w:rsid w:val="00731ADD"/>
    <w:rsid w:val="00734777"/>
    <w:rsid w:val="00741713"/>
    <w:rsid w:val="00747932"/>
    <w:rsid w:val="00751A4A"/>
    <w:rsid w:val="00756632"/>
    <w:rsid w:val="00762C74"/>
    <w:rsid w:val="00786EC0"/>
    <w:rsid w:val="007A22DD"/>
    <w:rsid w:val="007D1690"/>
    <w:rsid w:val="007E22AD"/>
    <w:rsid w:val="008017FD"/>
    <w:rsid w:val="00817416"/>
    <w:rsid w:val="00842779"/>
    <w:rsid w:val="00865F67"/>
    <w:rsid w:val="00881A7B"/>
    <w:rsid w:val="008840E5"/>
    <w:rsid w:val="00887B3E"/>
    <w:rsid w:val="008C2AC6"/>
    <w:rsid w:val="00930C23"/>
    <w:rsid w:val="0093193B"/>
    <w:rsid w:val="009509D8"/>
    <w:rsid w:val="00950B64"/>
    <w:rsid w:val="00981893"/>
    <w:rsid w:val="00A0794E"/>
    <w:rsid w:val="00A1687D"/>
    <w:rsid w:val="00A43E52"/>
    <w:rsid w:val="00A4678D"/>
    <w:rsid w:val="00A778C7"/>
    <w:rsid w:val="00AB441E"/>
    <w:rsid w:val="00AB6293"/>
    <w:rsid w:val="00AE0928"/>
    <w:rsid w:val="00AF3B82"/>
    <w:rsid w:val="00B12E95"/>
    <w:rsid w:val="00B22876"/>
    <w:rsid w:val="00B558F0"/>
    <w:rsid w:val="00B742E7"/>
    <w:rsid w:val="00BD0969"/>
    <w:rsid w:val="00BD48FE"/>
    <w:rsid w:val="00BD7BD8"/>
    <w:rsid w:val="00BE6ADC"/>
    <w:rsid w:val="00C05BFE"/>
    <w:rsid w:val="00C060F1"/>
    <w:rsid w:val="00C23CD4"/>
    <w:rsid w:val="00C61C0C"/>
    <w:rsid w:val="00C941CB"/>
    <w:rsid w:val="00CC2357"/>
    <w:rsid w:val="00CF071A"/>
    <w:rsid w:val="00D058B8"/>
    <w:rsid w:val="00D56C11"/>
    <w:rsid w:val="00D611B1"/>
    <w:rsid w:val="00D834A0"/>
    <w:rsid w:val="00D872DF"/>
    <w:rsid w:val="00D91E21"/>
    <w:rsid w:val="00DA7FCD"/>
    <w:rsid w:val="00E365E1"/>
    <w:rsid w:val="00E820A4"/>
    <w:rsid w:val="00EA294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9F6EF"/>
  <w15:chartTrackingRefBased/>
  <w15:docId w15:val="{68F46060-1C61-4D2D-9DA4-A8EABA15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09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0969"/>
    <w:pPr>
      <w:spacing w:before="480" w:after="240"/>
    </w:pPr>
  </w:style>
  <w:style w:type="paragraph" w:customStyle="1" w:styleId="NormalBold">
    <w:name w:val="NormalBold"/>
    <w:basedOn w:val="Normal"/>
    <w:rsid w:val="00BD0969"/>
    <w:rPr>
      <w:b/>
    </w:rPr>
  </w:style>
  <w:style w:type="paragraph" w:customStyle="1" w:styleId="NormalHanging12a">
    <w:name w:val="NormalHanging12a"/>
    <w:basedOn w:val="Normal"/>
    <w:link w:val="NormalHanging12aChar"/>
    <w:rsid w:val="00BD0969"/>
    <w:pPr>
      <w:spacing w:after="240"/>
      <w:ind w:left="567" w:hanging="567"/>
    </w:pPr>
  </w:style>
  <w:style w:type="paragraph" w:styleId="Header">
    <w:name w:val="header"/>
    <w:basedOn w:val="Normal"/>
    <w:link w:val="HeaderChar"/>
    <w:rsid w:val="00BD0969"/>
    <w:pPr>
      <w:tabs>
        <w:tab w:val="center" w:pos="4513"/>
        <w:tab w:val="right" w:pos="9026"/>
      </w:tabs>
    </w:pPr>
  </w:style>
  <w:style w:type="character" w:customStyle="1" w:styleId="HeaderChar">
    <w:name w:val="Header Char"/>
    <w:basedOn w:val="DefaultParagraphFont"/>
    <w:link w:val="Header"/>
    <w:rsid w:val="00BD0969"/>
    <w:rPr>
      <w:sz w:val="24"/>
      <w:lang w:val="sv-SE"/>
    </w:rPr>
  </w:style>
  <w:style w:type="paragraph" w:customStyle="1" w:styleId="EPFooter">
    <w:name w:val="EPFooter"/>
    <w:basedOn w:val="Normal"/>
    <w:rsid w:val="00BD0969"/>
    <w:pPr>
      <w:tabs>
        <w:tab w:val="center" w:pos="4535"/>
        <w:tab w:val="right" w:pos="9071"/>
      </w:tabs>
      <w:spacing w:before="240" w:after="240"/>
    </w:pPr>
    <w:rPr>
      <w:color w:val="010000"/>
      <w:sz w:val="22"/>
    </w:rPr>
  </w:style>
  <w:style w:type="paragraph" w:customStyle="1" w:styleId="NormalCenter12a">
    <w:name w:val="NormalCenter12a"/>
    <w:basedOn w:val="Normal"/>
    <w:rsid w:val="00BD0969"/>
    <w:pPr>
      <w:spacing w:after="240"/>
      <w:jc w:val="center"/>
    </w:pPr>
  </w:style>
  <w:style w:type="paragraph" w:customStyle="1" w:styleId="AmNumberTabs">
    <w:name w:val="AmNumberTabs"/>
    <w:basedOn w:val="Normal"/>
    <w:rsid w:val="00BD09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D0969"/>
    <w:pPr>
      <w:spacing w:before="720" w:after="240"/>
      <w:jc w:val="center"/>
    </w:pPr>
  </w:style>
  <w:style w:type="paragraph" w:customStyle="1" w:styleId="Titrearticle">
    <w:name w:val="Titre article"/>
    <w:basedOn w:val="Normal"/>
    <w:next w:val="Normal"/>
    <w:rsid w:val="00BD0969"/>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BD0969"/>
    <w:rPr>
      <w:sz w:val="24"/>
      <w:lang w:val="sv-SE"/>
    </w:rPr>
  </w:style>
  <w:style w:type="paragraph" w:styleId="BalloonText">
    <w:name w:val="Balloon Text"/>
    <w:basedOn w:val="Normal"/>
    <w:link w:val="BalloonTextChar"/>
    <w:rsid w:val="00701603"/>
    <w:rPr>
      <w:rFonts w:ascii="Segoe UI" w:hAnsi="Segoe UI" w:cs="Segoe UI"/>
      <w:sz w:val="18"/>
      <w:szCs w:val="18"/>
    </w:rPr>
  </w:style>
  <w:style w:type="character" w:customStyle="1" w:styleId="BalloonTextChar">
    <w:name w:val="Balloon Text Char"/>
    <w:basedOn w:val="DefaultParagraphFont"/>
    <w:link w:val="BalloonText"/>
    <w:rsid w:val="00701603"/>
    <w:rPr>
      <w:rFonts w:ascii="Segoe UI" w:hAnsi="Segoe UI" w:cs="Segoe UI"/>
      <w:sz w:val="18"/>
      <w:szCs w:val="18"/>
      <w:lang w:val="sv-SE"/>
    </w:rPr>
  </w:style>
  <w:style w:type="character" w:styleId="CommentReference">
    <w:name w:val="annotation reference"/>
    <w:basedOn w:val="DefaultParagraphFont"/>
    <w:rsid w:val="0003129D"/>
    <w:rPr>
      <w:sz w:val="16"/>
      <w:szCs w:val="16"/>
    </w:rPr>
  </w:style>
  <w:style w:type="paragraph" w:styleId="CommentText">
    <w:name w:val="annotation text"/>
    <w:basedOn w:val="Normal"/>
    <w:link w:val="CommentTextChar"/>
    <w:rsid w:val="0003129D"/>
    <w:rPr>
      <w:sz w:val="20"/>
    </w:rPr>
  </w:style>
  <w:style w:type="character" w:customStyle="1" w:styleId="CommentTextChar">
    <w:name w:val="Comment Text Char"/>
    <w:basedOn w:val="DefaultParagraphFont"/>
    <w:link w:val="CommentText"/>
    <w:rsid w:val="0003129D"/>
    <w:rPr>
      <w:lang w:val="sv-SE"/>
    </w:rPr>
  </w:style>
  <w:style w:type="paragraph" w:styleId="CommentSubject">
    <w:name w:val="annotation subject"/>
    <w:basedOn w:val="CommentText"/>
    <w:next w:val="CommentText"/>
    <w:link w:val="CommentSubjectChar"/>
    <w:rsid w:val="0003129D"/>
    <w:rPr>
      <w:b/>
      <w:bCs/>
    </w:rPr>
  </w:style>
  <w:style w:type="character" w:customStyle="1" w:styleId="CommentSubjectChar">
    <w:name w:val="Comment Subject Char"/>
    <w:basedOn w:val="CommentTextChar"/>
    <w:link w:val="CommentSubject"/>
    <w:rsid w:val="0003129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50AF6-2D79-44AF-A8BF-510B866CF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2909</Words>
  <Characters>18702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2025-05-08T13:31:00Z</dcterms:created>
  <dcterms:modified xsi:type="dcterms:W3CDTF">2025-05-08T13:31:00Z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P10_TA-PROV(2025)0101_A10-0079_2025_SV_r</vt:lpwstr>
  </property>
  <property fmtid="{D5CDD505-2E9C-101B-9397-08002B2CF9AE}" pid="4" name="&lt;Type&gt;">
    <vt:lpwstr>RR</vt:lpwstr>
  </property>
</Properties>
</file>