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3266" w:rsidTr="0010095E">
        <w:trPr>
          <w:trHeight w:hRule="exact" w:val="1418"/>
        </w:trPr>
        <w:tc>
          <w:tcPr>
            <w:tcW w:w="6804" w:type="dxa"/>
            <w:shd w:val="clear" w:color="auto" w:fill="auto"/>
            <w:vAlign w:val="center"/>
          </w:tcPr>
          <w:p w:rsidR="00751A4A" w:rsidRPr="00163266" w:rsidRDefault="00272D5A" w:rsidP="0010095E">
            <w:pPr>
              <w:pStyle w:val="EPName"/>
            </w:pPr>
            <w:r w:rsidRPr="00163266">
              <w:t>Euroopan parlamentti</w:t>
            </w:r>
          </w:p>
          <w:p w:rsidR="00751A4A" w:rsidRPr="00163266" w:rsidRDefault="005F1B17" w:rsidP="005F1B17">
            <w:pPr>
              <w:pStyle w:val="EPTerm"/>
              <w:rPr>
                <w:rStyle w:val="HideTWBExt"/>
                <w:noProof w:val="0"/>
                <w:vanish w:val="0"/>
                <w:color w:val="auto"/>
              </w:rPr>
            </w:pPr>
            <w:r w:rsidRPr="00163266">
              <w:t>2024</w:t>
            </w:r>
            <w:r w:rsidR="00817416" w:rsidRPr="00163266">
              <w:t>-202</w:t>
            </w:r>
            <w:r w:rsidRPr="00163266">
              <w:t>9</w:t>
            </w:r>
          </w:p>
        </w:tc>
        <w:tc>
          <w:tcPr>
            <w:tcW w:w="2268" w:type="dxa"/>
            <w:shd w:val="clear" w:color="auto" w:fill="auto"/>
          </w:tcPr>
          <w:p w:rsidR="00751A4A" w:rsidRPr="00163266" w:rsidRDefault="00187494" w:rsidP="0010095E">
            <w:pPr>
              <w:pStyle w:val="EPLogo"/>
            </w:pPr>
            <w:r w:rsidRPr="00163266">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63266" w:rsidRDefault="00D058B8" w:rsidP="004C5D52">
      <w:pPr>
        <w:pStyle w:val="LineTop"/>
      </w:pPr>
    </w:p>
    <w:p w:rsidR="00680577" w:rsidRPr="00163266" w:rsidRDefault="00272D5A" w:rsidP="00680577">
      <w:pPr>
        <w:pStyle w:val="EPBodyTA1"/>
      </w:pPr>
      <w:r w:rsidRPr="00163266">
        <w:t>HYVÄKSYTYT TEKSTIT</w:t>
      </w:r>
    </w:p>
    <w:p w:rsidR="00D058B8" w:rsidRPr="00163266" w:rsidRDefault="00D058B8" w:rsidP="00D058B8">
      <w:pPr>
        <w:pStyle w:val="LineBottom"/>
      </w:pPr>
    </w:p>
    <w:p w:rsidR="00272D5A" w:rsidRPr="00163266" w:rsidRDefault="00272D5A" w:rsidP="00272D5A">
      <w:pPr>
        <w:pStyle w:val="ATHeading1"/>
      </w:pPr>
      <w:bookmarkStart w:id="0" w:name="TANumber"/>
      <w:r w:rsidRPr="00163266">
        <w:t>P10_</w:t>
      </w:r>
      <w:proofErr w:type="gramStart"/>
      <w:r w:rsidRPr="00163266">
        <w:t>TA(</w:t>
      </w:r>
      <w:proofErr w:type="gramEnd"/>
      <w:r w:rsidRPr="00163266">
        <w:t>2025)0</w:t>
      </w:r>
      <w:r w:rsidR="0086383E">
        <w:t>1</w:t>
      </w:r>
      <w:r w:rsidRPr="00163266">
        <w:t>0</w:t>
      </w:r>
      <w:r w:rsidR="0086383E">
        <w:t>2</w:t>
      </w:r>
      <w:bookmarkEnd w:id="0"/>
    </w:p>
    <w:p w:rsidR="00272D5A" w:rsidRPr="00163266" w:rsidRDefault="00272D5A" w:rsidP="00272D5A">
      <w:pPr>
        <w:pStyle w:val="ATHeading2"/>
      </w:pPr>
      <w:bookmarkStart w:id="1" w:name="title"/>
      <w:r w:rsidRPr="00163266">
        <w:t xml:space="preserve">Ulkomaisten sijoitusten seuranta unionissa </w:t>
      </w:r>
      <w:bookmarkEnd w:id="1"/>
    </w:p>
    <w:p w:rsidR="00272D5A" w:rsidRPr="00163266" w:rsidRDefault="00272D5A" w:rsidP="00272D5A">
      <w:pPr>
        <w:rPr>
          <w:i/>
          <w:vanish/>
        </w:rPr>
      </w:pPr>
      <w:r w:rsidRPr="00163266">
        <w:rPr>
          <w:i/>
        </w:rPr>
        <w:fldChar w:fldCharType="begin"/>
      </w:r>
      <w:r w:rsidRPr="00163266">
        <w:rPr>
          <w:i/>
        </w:rPr>
        <w:instrText xml:space="preserve"> TC"(</w:instrText>
      </w:r>
      <w:bookmarkStart w:id="2" w:name="DocNumber"/>
      <w:r w:rsidRPr="00163266">
        <w:rPr>
          <w:i/>
        </w:rPr>
        <w:instrText>A10-0061/2025</w:instrText>
      </w:r>
      <w:bookmarkEnd w:id="2"/>
      <w:r w:rsidRPr="00163266">
        <w:rPr>
          <w:i/>
        </w:rPr>
        <w:instrText xml:space="preserve"> - Esittelijä: </w:instrText>
      </w:r>
      <w:proofErr w:type="spellStart"/>
      <w:r w:rsidRPr="00163266">
        <w:rPr>
          <w:i/>
        </w:rPr>
        <w:instrText>Raphaël</w:instrText>
      </w:r>
      <w:proofErr w:type="spellEnd"/>
      <w:r w:rsidRPr="00163266">
        <w:rPr>
          <w:i/>
        </w:rPr>
        <w:instrText xml:space="preserve"> </w:instrText>
      </w:r>
      <w:proofErr w:type="spellStart"/>
      <w:r w:rsidRPr="00163266">
        <w:rPr>
          <w:i/>
        </w:rPr>
        <w:instrText>Glucksmann</w:instrText>
      </w:r>
      <w:proofErr w:type="spellEnd"/>
      <w:r w:rsidRPr="00163266">
        <w:rPr>
          <w:i/>
        </w:rPr>
        <w:instrText xml:space="preserve">)"\l3 \n&gt; \* MERGEFORMAT </w:instrText>
      </w:r>
      <w:r w:rsidRPr="00163266">
        <w:rPr>
          <w:i/>
        </w:rPr>
        <w:fldChar w:fldCharType="end"/>
      </w:r>
    </w:p>
    <w:p w:rsidR="00272D5A" w:rsidRPr="00163266" w:rsidRDefault="00272D5A" w:rsidP="00272D5A">
      <w:pPr>
        <w:rPr>
          <w:vanish/>
        </w:rPr>
      </w:pPr>
      <w:bookmarkStart w:id="3" w:name="Commission"/>
      <w:r w:rsidRPr="00163266">
        <w:rPr>
          <w:vanish/>
        </w:rPr>
        <w:t>Kansainvälisen kaupan valiokunta</w:t>
      </w:r>
      <w:bookmarkStart w:id="4" w:name="_GoBack"/>
      <w:bookmarkEnd w:id="3"/>
      <w:bookmarkEnd w:id="4"/>
    </w:p>
    <w:p w:rsidR="00272D5A" w:rsidRPr="00163266" w:rsidRDefault="00272D5A" w:rsidP="00272D5A">
      <w:pPr>
        <w:rPr>
          <w:vanish/>
        </w:rPr>
      </w:pPr>
      <w:bookmarkStart w:id="5" w:name="PE"/>
      <w:r w:rsidRPr="00163266">
        <w:rPr>
          <w:vanish/>
        </w:rPr>
        <w:t>PE767.951</w:t>
      </w:r>
      <w:bookmarkEnd w:id="5"/>
    </w:p>
    <w:p w:rsidR="00272D5A" w:rsidRPr="00163266" w:rsidRDefault="00272D5A" w:rsidP="00272D5A">
      <w:pPr>
        <w:pStyle w:val="ATHeading3"/>
      </w:pPr>
      <w:bookmarkStart w:id="6" w:name="Sujet"/>
      <w:r w:rsidRPr="00163266">
        <w:t xml:space="preserve">Euroopan parlamentin </w:t>
      </w:r>
      <w:r w:rsidR="00163266">
        <w:t>tarkistukset</w:t>
      </w:r>
      <w:r w:rsidRPr="00163266">
        <w:t xml:space="preserve"> </w:t>
      </w:r>
      <w:r w:rsidR="00F60C33" w:rsidRPr="00163266">
        <w:t>8</w:t>
      </w:r>
      <w:r w:rsidRPr="00163266">
        <w:t>. toukokuuta 2025 ehdotukse</w:t>
      </w:r>
      <w:r w:rsidR="00163266">
        <w:t>en</w:t>
      </w:r>
      <w:r w:rsidRPr="00163266">
        <w:t xml:space="preserve"> Euroopan parlamentin ja neuvoston asetukseksi ulkomaisten sijoitusten seurannasta unionissa ja Euroopan parlamentin ja neuvoston </w:t>
      </w:r>
      <w:r w:rsidRPr="00B45820">
        <w:t>asetuksen (EU) 2019/452 kumoamisesta</w:t>
      </w:r>
      <w:bookmarkEnd w:id="6"/>
      <w:r w:rsidRPr="00B45820">
        <w:t xml:space="preserve"> </w:t>
      </w:r>
      <w:bookmarkStart w:id="7" w:name="References"/>
      <w:r w:rsidRPr="00B45820">
        <w:t>(COM(2024)0023 – C9-0011/2024 – 2024/0017(COD</w:t>
      </w:r>
      <w:r w:rsidR="00163266" w:rsidRPr="00B45820">
        <w:t>)</w:t>
      </w:r>
      <w:r w:rsidRPr="00B45820">
        <w:t>)</w:t>
      </w:r>
      <w:r w:rsidR="00163266" w:rsidRPr="00B45820">
        <w:rPr>
          <w:rStyle w:val="FootnoteReference"/>
          <w:szCs w:val="24"/>
        </w:rPr>
        <w:footnoteReference w:id="1"/>
      </w:r>
      <w:bookmarkEnd w:id="7"/>
    </w:p>
    <w:p w:rsidR="001E1179" w:rsidRPr="00163266" w:rsidRDefault="001E1179" w:rsidP="00B45820">
      <w:pPr>
        <w:pStyle w:val="NormalBold"/>
        <w:widowControl/>
      </w:pPr>
      <w:r w:rsidRPr="00163266">
        <w:t>(Tavallinen lainsäätämisjärjestys: ensimmäinen käsittely)</w:t>
      </w:r>
    </w:p>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(1)</w:t>
            </w:r>
            <w:r w:rsidRPr="00163266">
              <w:tab/>
            </w:r>
            <w:r w:rsidRPr="00163266">
              <w:rPr>
                <w:b/>
                <w:i/>
              </w:rPr>
              <w:t>Unioniin tehtävät sijoitukset</w:t>
            </w:r>
            <w:r w:rsidRPr="00163266">
              <w:t xml:space="preserve"> edistävät unionin kasvua parantamalla sen kilpailukykyä, luomalla työpaikkoja ja mittakaavaetuja sekä tuomalla pääomaa, teknologiaa, innovointia ja asiantuntemusta.</w:t>
            </w:r>
          </w:p>
        </w:tc>
        <w:tc>
          <w:tcPr>
            <w:tcW w:w="4876" w:type="dxa"/>
            <w:hideMark/>
          </w:tcPr>
          <w:p w:rsidR="001E1179" w:rsidRPr="00163266" w:rsidRDefault="001E1179" w:rsidP="00F60C33">
            <w:pPr>
              <w:pStyle w:val="Normal6"/>
              <w:widowControl/>
              <w:rPr>
                <w:szCs w:val="24"/>
              </w:rPr>
            </w:pPr>
            <w:r w:rsidRPr="00163266">
              <w:t>(1)</w:t>
            </w:r>
            <w:r w:rsidRPr="00163266">
              <w:tab/>
            </w:r>
            <w:r w:rsidRPr="00163266">
              <w:rPr>
                <w:b/>
                <w:i/>
              </w:rPr>
              <w:t>Unioni suhtautuu myönteisesti ulkomaisiin sijoituksiin, sillä ne</w:t>
            </w:r>
            <w:r w:rsidRPr="00163266">
              <w:t xml:space="preserve"> edistävät unionin kasvua parantamalla sen kilpailukykyä, luomalla työpaikkoja ja mittakaavaetuja sekä tuomalla pääomaa, teknologiaa, innovointia ja asiantuntemusta. </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(3)</w:t>
            </w:r>
            <w:r w:rsidRPr="00163266">
              <w:tab/>
              <w:t xml:space="preserve">Maailman kauppajärjestössä (WTO), Taloudellisen yhteistyön ja </w:t>
            </w:r>
            <w:r w:rsidRPr="00163266">
              <w:lastRenderedPageBreak/>
              <w:t xml:space="preserve">kehityksen järjestössä (OECD) sekä kolmansien maiden kanssa tehdyissä kauppa- ja investointisopimuksissa tehtyjen kansainvälisten sitoumusten nojalla </w:t>
            </w:r>
            <w:r w:rsidRPr="00163266">
              <w:rPr>
                <w:b/>
                <w:i/>
              </w:rPr>
              <w:t>unioni</w:t>
            </w:r>
            <w:r w:rsidRPr="00163266">
              <w:t xml:space="preserve"> ja </w:t>
            </w:r>
            <w:r w:rsidRPr="00163266">
              <w:rPr>
                <w:b/>
                <w:i/>
              </w:rPr>
              <w:t>jäsenvaltiot voivat kuitenkin rajoittaa ulkomaisia suoria sijoituksia</w:t>
            </w:r>
            <w:r w:rsidRPr="00163266">
              <w:t xml:space="preserve"> turvallisuuteen tai yleiseen järjestykseen liittyvistä syistä tiettyjen vaatimusten mukaisesti.</w:t>
            </w:r>
          </w:p>
        </w:tc>
        <w:tc>
          <w:tcPr>
            <w:tcW w:w="4876" w:type="dxa"/>
            <w:hideMark/>
          </w:tcPr>
          <w:p w:rsidR="001E1179" w:rsidRPr="00163266" w:rsidRDefault="001E1179">
            <w:pPr>
              <w:pStyle w:val="Normal6"/>
              <w:widowControl/>
              <w:rPr>
                <w:szCs w:val="24"/>
              </w:rPr>
            </w:pPr>
            <w:r w:rsidRPr="00163266">
              <w:lastRenderedPageBreak/>
              <w:t>(3)</w:t>
            </w:r>
            <w:r w:rsidRPr="00163266">
              <w:tab/>
            </w:r>
            <w:r w:rsidRPr="00163266">
              <w:rPr>
                <w:b/>
                <w:i/>
              </w:rPr>
              <w:t>SEU 21 artiklan 2 kohdassa</w:t>
            </w:r>
            <w:r w:rsidRPr="00163266">
              <w:t xml:space="preserve"> </w:t>
            </w:r>
            <w:r w:rsidRPr="00163266">
              <w:rPr>
                <w:b/>
                <w:i/>
              </w:rPr>
              <w:t xml:space="preserve">kuitenkin määrätään, että unionin </w:t>
            </w:r>
            <w:r w:rsidRPr="00163266">
              <w:rPr>
                <w:b/>
                <w:i/>
              </w:rPr>
              <w:lastRenderedPageBreak/>
              <w:t>politiikalla ja toimilla pyritään turvaamaan unionin arvot, perusedut, turvallisuus, riippumattomuus ja koskemattomuus. Nämä periaatteet ja tavoitteet muodostavat perustan unionin yhteiselle kauppapolitiikalle, sellaisena kuin se on vahvistettuna SEUT 207 artiklassa, myös ulkomaisten sijoitusten osalta. Kyseisessä yhteydessä</w:t>
            </w:r>
            <w:r w:rsidRPr="00163266">
              <w:t xml:space="preserve"> Maailman kauppajärjestössä (WTO), Taloudellisen yhteistyön ja kehityksen järjestössä (OECD) sekä kolmansien maiden kanssa tehdyissä kauppa- ja investointisopimuksissa tehtyjen kansainvälisten sitoumusten nojalla </w:t>
            </w:r>
            <w:r w:rsidRPr="00163266">
              <w:rPr>
                <w:b/>
                <w:i/>
              </w:rPr>
              <w:t>unionille</w:t>
            </w:r>
            <w:r w:rsidRPr="00163266">
              <w:t xml:space="preserve"> ja </w:t>
            </w:r>
            <w:r w:rsidRPr="00163266">
              <w:rPr>
                <w:b/>
                <w:i/>
              </w:rPr>
              <w:t>jäsenvaltioille sallitaan</w:t>
            </w:r>
            <w:r w:rsidRPr="00163266">
              <w:t xml:space="preserve"> </w:t>
            </w:r>
            <w:r w:rsidRPr="00163266">
              <w:rPr>
                <w:b/>
                <w:i/>
              </w:rPr>
              <w:t>ulkomaisten suorien sijoitusten rajoittaminen</w:t>
            </w:r>
            <w:r w:rsidRPr="00163266">
              <w:t xml:space="preserve"> turvallisuuteen tai yleiseen järjestykseen liittyvistä syistä tiettyjen vaatimusten mukaisesti.</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(4)</w:t>
            </w:r>
            <w:r w:rsidRPr="00163266">
              <w:tab/>
              <w:t>Euroopan parlamentin ja neuvoston asetuksen (EU) 2019/452</w:t>
            </w:r>
            <w:r w:rsidRPr="00163266">
              <w:rPr>
                <w:vertAlign w:val="superscript"/>
              </w:rPr>
              <w:t>4</w:t>
            </w:r>
            <w:r w:rsidRPr="00163266">
              <w:t xml:space="preserve"> mukaisesti on perustettu kehys, jonka avulla jäsenvaltiot voivat seurata unioniin suuntautuvia ulkomaisia suoria sijoituksia. Kyseisessä asetuksessa säädetään erityisesti yhteistyömekanismista, jonka avulla jäsenvaltiot ja komissio voivat vaihtaa tietoja ulkomaisista suorista sijoituksista ja ottaa esiin turvallisuuteen tai yleiseen järjestykseen kohdistuvia riskejä. Yhteistyömekanismissa edellytetään, että jäsenvaltio, jossa ulkomainen suora sijoitus on suunniteltu toteutettavaksi tai on toteutettu, ottaa asianmukaisesti huomioon muiden jäsenvaltioiden esittämät huomautukset ja komission antaman lausunnon seurantaa koskevassa päätöksessään.</w:t>
            </w:r>
          </w:p>
        </w:tc>
        <w:tc>
          <w:tcPr>
            <w:tcW w:w="4876" w:type="dxa"/>
            <w:hideMark/>
          </w:tcPr>
          <w:p w:rsidR="001E1179" w:rsidRPr="00163266" w:rsidRDefault="001E1179" w:rsidP="00F60C33">
            <w:pPr>
              <w:pStyle w:val="Normal6"/>
              <w:widowControl/>
              <w:rPr>
                <w:szCs w:val="24"/>
              </w:rPr>
            </w:pPr>
            <w:r w:rsidRPr="00163266">
              <w:t>(4)</w:t>
            </w:r>
            <w:r w:rsidRPr="00163266">
              <w:tab/>
              <w:t>Euroopan parlamentin ja neuvoston asetuksen (EU) 2019/452</w:t>
            </w:r>
            <w:r w:rsidRPr="00163266">
              <w:rPr>
                <w:vertAlign w:val="superscript"/>
              </w:rPr>
              <w:t>4</w:t>
            </w:r>
            <w:r w:rsidRPr="00163266">
              <w:t xml:space="preserve"> mukaisesti on perustettu kehys, jonka avulla jäsenvaltiot voivat seurata unioniin suuntautuvia ulkomaisia suoria sijoituksia. Kyseisessä asetuksessa säädetään erityisesti yhteistyömekanismista, jonka avulla jäsenvaltiot ja komissio voivat vaihtaa tietoja ulkomaisista suorista sijoituksista ja ottaa esiin turvallisuuteen tai yleiseen järjestykseen kohdistuvia riskejä. Yhteistyömekanismissa edellytetään, että jäsenvaltio, jossa ulkomainen suora sijoitus on suunniteltu toteutettavaksi tai on toteutettu </w:t>
            </w:r>
            <w:r w:rsidRPr="00163266">
              <w:rPr>
                <w:b/>
                <w:i/>
              </w:rPr>
              <w:t>(vastaanottava jäsenvaltio)</w:t>
            </w:r>
            <w:r w:rsidRPr="00163266">
              <w:t>, ottaa asianmukaisesti huomioon muiden jäsenvaltioiden esittämät huomautukset ja komission antaman lausunnon seurantaa koskevassa päätöksessään.</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__________________</w:t>
            </w:r>
          </w:p>
        </w:tc>
        <w:tc>
          <w:tcPr>
            <w:tcW w:w="4876" w:type="dxa"/>
            <w:hideMark/>
          </w:tcPr>
          <w:p w:rsidR="001E1179" w:rsidRPr="00163266" w:rsidRDefault="001E1179" w:rsidP="00F60C33">
            <w:pPr>
              <w:pStyle w:val="Normal6"/>
              <w:widowControl/>
              <w:rPr>
                <w:szCs w:val="24"/>
              </w:rPr>
            </w:pPr>
            <w:r w:rsidRPr="00163266">
              <w:t>__________________</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vertAlign w:val="superscript"/>
              </w:rPr>
              <w:lastRenderedPageBreak/>
              <w:t>4</w:t>
            </w:r>
            <w:r w:rsidRPr="00163266">
              <w:t xml:space="preserve"> Euroopan parlamentin ja neuvoston asetus (EU) 2019/452, annettu 19 päivänä maaliskuuta 2019, unioniin tulevien ulkomaisten suorien sijoitusten seurantaan tarkoitettujen puitteiden perustamisesta (EUVL L 79</w:t>
            </w:r>
            <w:r w:rsidR="00F60C33" w:rsidRPr="00163266">
              <w:t xml:space="preserve"> </w:t>
            </w:r>
            <w:r w:rsidRPr="00163266">
              <w:t>I, 21.3.2019, s. 1, ELI: http://data.europa.eu/eli/reg/2019/452/oj).</w:t>
            </w:r>
          </w:p>
        </w:tc>
        <w:tc>
          <w:tcPr>
            <w:tcW w:w="4876" w:type="dxa"/>
            <w:hideMark/>
          </w:tcPr>
          <w:p w:rsidR="001E1179" w:rsidRPr="00163266" w:rsidRDefault="001E1179" w:rsidP="00F60C33">
            <w:pPr>
              <w:pStyle w:val="Normal6"/>
              <w:widowControl/>
              <w:rPr>
                <w:szCs w:val="24"/>
              </w:rPr>
            </w:pPr>
            <w:r w:rsidRPr="00163266">
              <w:rPr>
                <w:vertAlign w:val="superscript"/>
              </w:rPr>
              <w:t>4</w:t>
            </w:r>
            <w:r w:rsidRPr="00163266">
              <w:t xml:space="preserve"> Euroopan parlamentin ja neuvoston asetus (EU) 2019/452, annettu 19 päivänä maaliskuuta 2019, unioniin tulevien ulkomaisten suorien sijoitusten seurantaan tarkoitettujen puitteiden perustamisesta (EUVL L 79</w:t>
            </w:r>
            <w:r w:rsidR="00F60C33" w:rsidRPr="00163266">
              <w:t xml:space="preserve"> </w:t>
            </w:r>
            <w:r w:rsidRPr="00163266">
              <w:t>I, 21.3.2019, s. 1, ELI: http://data.europa.eu/eli/reg/2019/452/oj).</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6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(6 a)</w:t>
            </w:r>
            <w:r w:rsidRPr="00163266">
              <w:rPr>
                <w:b/>
                <w:i/>
              </w:rPr>
              <w:tab/>
              <w:t>Uutta lainsäädäntövälinettä tarvitaan myös, koska sijoitusvirrat muuttuvat. Maailmantalouden yhdentyminen yhdessä sodan ja geopoliittisten jännitteiden kanssa on johtanut uusiin riskeihin, joihin unionin ja jäsenvaltioiden on puututtava. Komissio esitti 20. kesäkuuta 2023 Euroopan parlamentille, Eurooppa-neuvostolle ja neuvostolle Euroopan taloudellisen turvallisuuden strategiaa koskevan tiedonannon, jossa todetaan, että ulkomaisten suorien sijoitusten seuranta on keino suojata unionia taloudelliseen turvallisuuteen kohdistuvilta riskeiltä. Strategiassa korostetaan tarvetta puuttua riskeihin, jotka liittyvät toimitusketjujen häiriönsietokykyyn, kriittisen infrastruktuurin fyysiseen ja kyberturvallisuuteen, teknologiaturvallisuuteen ja -vuotoihin sekä taloudellisten riippuvuuksien hyödyntämiseen tai taloudelliseen pakottamiseen. Nämä taloudelliseen turvallisuuteen kohdistuvat riskit ovat keskeisiä myös ulkomaisten sijoitusten seurannan yhteydessä, koska ne voivat vaikuttaa kielteisesti yhteiskunnan keskeisiin intresseihin, kuten vaurauteen, suvereniteettiin, turvallisuuteen ja sosiaalisen markkinatalouden toimintaan, ja sitä kautta jäsenvaltioiden ja unionin yleiseen järjestykseen.</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7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(7 a)</w:t>
            </w:r>
            <w:r w:rsidRPr="00163266">
              <w:rPr>
                <w:b/>
                <w:i/>
              </w:rPr>
              <w:tab/>
              <w:t>Hankinnat, jotka toteutetaan (pankkeja, keskusvastapuolia taikka vakuutus- tai jälleenvakuutusyrityksiä koskevien) kriisinratkaisukehysten mukaisten kriisinratkaisuvälineiden avulla, olisi jätettävä tämän asetuksen soveltamisalan ulkopuolelle. Kriisinratkaisussa aika on ratkaiseva tekijä ja päätökset tehdään usein kirjaimellisesti yhdessä yössä. Tässä asetuksessa säädetyt perinpohjaiset seurantamenettelyt eivät sovi yhteen oikea-aikaista reagointia koskevan tarpeen kanssa. Rahoitusvakausriskien välttämiseksi kriisinratkaisuun liittyvät liiketoimet olisi sen vuoksi jätettävä soveltamisalan ulkopuolelle. Kriisinratkaisuviranomaisten olisi mahdollisuuksien mukaan otettava tämä asetus huomioon, kun ne toteuttavat kriisinratkaisutoimia, jotka liittyvät ulkomaisiin sijoittajiin ja erityisesti strategisiin resursseihin.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(8)</w:t>
            </w:r>
            <w:r w:rsidRPr="00163266">
              <w:tab/>
              <w:t xml:space="preserve">Valtaosalla jäsenvaltioista, mutta ei kaikilla, on käytössä säädös, jossa säädetään ulkomaisten suorien sijoitusten seurantamekanismista. Monissa jäsenvaltioissa kansallinen lainsäädäntö kattaa myös unionin sisäisten sijoitusten seurannan. Jäsenvaltioiden välillä on huomattavia eroja soveltamisalassa sekä kynnysarvoissa ja kriteereissä, joita käytetään sen arvioimiseen, vaikuttaako sijoitus todennäköisesti kielteisesti turvallisuuteen tai yleiseen järjestykseen. </w:t>
            </w:r>
            <w:r w:rsidRPr="00163266">
              <w:lastRenderedPageBreak/>
              <w:t xml:space="preserve">Myös seurantaprosesseissa on eroja. Joissakin jäsenvaltioissa sijoitus voidaan tehdä ennen kuin on saatu selvitys turvallisuuteen ja yleiseen järjestykseen kohdistuvista vaikutuksista. Toisissa taas edellytetään, että sijoitus tehdään lopullisesti vasta seurantamekanismin mukaisen luvan jälkeen. Tällaiset erot aiheuttavat ongelman sisämarkkinoiden moitteettomalle toiminnalle. </w:t>
            </w:r>
            <w:r w:rsidRPr="00163266">
              <w:rPr>
                <w:b/>
                <w:i/>
              </w:rPr>
              <w:t>Ne</w:t>
            </w:r>
            <w:r w:rsidRPr="00163266">
              <w:t xml:space="preserve"> esimerkiksi luovat epätasapuoliset toimintaedellytykset ja lisäävät sääntöjen noudattamisesta aiheutuvia kustannuksia sijoittajille, </w:t>
            </w:r>
            <w:r w:rsidRPr="00163266">
              <w:rPr>
                <w:b/>
                <w:i/>
              </w:rPr>
              <w:t>jotka ilmoittavat</w:t>
            </w:r>
            <w:r w:rsidRPr="00163266">
              <w:t xml:space="preserve"> liiketoimista </w:t>
            </w:r>
            <w:r w:rsidRPr="00163266">
              <w:rPr>
                <w:b/>
                <w:i/>
              </w:rPr>
              <w:t>useammassa kuin yhdessä jäsenvaltiossa</w:t>
            </w:r>
            <w:r w:rsidRPr="00163266">
              <w:t xml:space="preserve">. Tällä asetuksella autetaan </w:t>
            </w:r>
            <w:r w:rsidRPr="00163266">
              <w:rPr>
                <w:b/>
                <w:i/>
              </w:rPr>
              <w:t>vähentämään eroja, joita</w:t>
            </w:r>
            <w:r w:rsidRPr="00163266">
              <w:t xml:space="preserve"> kansallisella tasolla käyttöön otettujen mekanismien </w:t>
            </w:r>
            <w:r w:rsidRPr="00163266">
              <w:rPr>
                <w:b/>
                <w:i/>
              </w:rPr>
              <w:t>keskeisissä osissa on</w:t>
            </w:r>
            <w:r w:rsidRPr="00163266">
              <w:t xml:space="preserve">. Tämä on ratkaisevan tärkeää, jotta voidaan varmistaa sovellettavien kansallisten järjestelmien ja niiden ominaisuuksien ennustettavuus sijoittajien kannalta ja siten vähentää säännösten noudattamisesta aiheutuvia kustannuksia. Tämä on erityisen tärkeää, kun otetaan huomioon sisämarkkinoiden yhdentymisen taso, joka voi johtaa siihen, että yksi ainoa liiketoimi vaikuttaa useisiin jäsenvaltioihin eri puolilla unionia. On esimerkiksi mahdollista, että liiketoimi, jonka tarkoituksena on hankkia kohdeyritys yhdessä jäsenvaltiossa, vaikuttaa turvallisuuteen ja yleiseen järjestykseen myös </w:t>
            </w:r>
            <w:r w:rsidRPr="00163266">
              <w:rPr>
                <w:b/>
                <w:i/>
              </w:rPr>
              <w:t>toisessa jäsenvaltiossa</w:t>
            </w:r>
            <w:r w:rsidRPr="00163266">
              <w:t xml:space="preserve"> toimitusketjun rakenteen tai muiden taloudellisten tekijöiden vuoksi, jotka yhdistävät kohdeyrityksen muihin eri jäsenvaltioihin sijoittautuneisiin yrityksiin. Näiden sisämarkkinaongelmien ratkaisemiseksi ja johdonmukaisuuden ja ennustettavuuden lisäämiseksi on aiheellista, että ulkomaisten sijoitusten arvioinnissa käytettävät kriteerit ja osatekijät vahvistetaan unionin toimilla.</w:t>
            </w:r>
          </w:p>
        </w:tc>
        <w:tc>
          <w:tcPr>
            <w:tcW w:w="4876" w:type="dxa"/>
            <w:hideMark/>
          </w:tcPr>
          <w:p w:rsidR="001E1179" w:rsidRPr="00163266" w:rsidRDefault="001E1179" w:rsidP="00F60C33">
            <w:pPr>
              <w:pStyle w:val="Normal6"/>
              <w:widowControl/>
              <w:rPr>
                <w:szCs w:val="24"/>
              </w:rPr>
            </w:pPr>
            <w:r w:rsidRPr="00163266">
              <w:lastRenderedPageBreak/>
              <w:t>(8)</w:t>
            </w:r>
            <w:r w:rsidRPr="00163266">
              <w:tab/>
              <w:t xml:space="preserve">Valtaosalla jäsenvaltioista, mutta ei kaikilla, on käytössä säädös, jossa säädetään ulkomaisten suorien sijoitusten seurantamekanismista. Monissa jäsenvaltioissa kansallinen lainsäädäntö kattaa myös unionin sisäisten sijoitusten seurannan. Jäsenvaltioiden välillä on huomattavia eroja soveltamisalassa sekä kynnysarvoissa ja kriteereissä, joita käytetään sen arvioimiseen, vaikuttaako sijoitus todennäköisesti kielteisesti turvallisuuteen tai yleiseen järjestykseen. </w:t>
            </w:r>
            <w:r w:rsidRPr="00163266">
              <w:lastRenderedPageBreak/>
              <w:t xml:space="preserve">Myös seurantaprosesseissa on eroja. Joissakin jäsenvaltioissa sijoitus voidaan tehdä ennen kuin on saatu selvitys turvallisuuteen ja yleiseen järjestykseen kohdistuvista vaikutuksista. Toisissa taas edellytetään, että sijoitus tehdään lopullisesti vasta seurantamekanismin mukaisen luvan jälkeen. Tällaiset erot aiheuttavat ongelman sisämarkkinoiden moitteettomalle toiminnalle. </w:t>
            </w:r>
            <w:r w:rsidRPr="00163266">
              <w:rPr>
                <w:b/>
                <w:i/>
              </w:rPr>
              <w:t>Kyseiset epäjohdonmukaisuudet</w:t>
            </w:r>
            <w:r w:rsidRPr="00163266">
              <w:t xml:space="preserve"> esimerkiksi luovat epätasapuoliset toimintaedellytykset ja lisäävät sääntöjen noudattamisesta aiheutuvia kustannuksia sijoittajille, </w:t>
            </w:r>
            <w:r w:rsidRPr="00163266">
              <w:rPr>
                <w:b/>
                <w:i/>
              </w:rPr>
              <w:t>joiden on ilmoitettava</w:t>
            </w:r>
            <w:r w:rsidRPr="00163266">
              <w:t xml:space="preserve"> liiketoimista </w:t>
            </w:r>
            <w:r w:rsidRPr="00163266">
              <w:rPr>
                <w:b/>
                <w:i/>
              </w:rPr>
              <w:t>useissa jäsenvaltioissa</w:t>
            </w:r>
            <w:r w:rsidRPr="00163266">
              <w:t xml:space="preserve">. Tällä asetuksella autetaan </w:t>
            </w:r>
            <w:r w:rsidRPr="00163266">
              <w:rPr>
                <w:b/>
                <w:i/>
              </w:rPr>
              <w:t>yhdenmukaistamaan</w:t>
            </w:r>
            <w:r w:rsidRPr="00163266">
              <w:t xml:space="preserve"> kansallisella tasolla käyttöön otettujen mekanismien </w:t>
            </w:r>
            <w:r w:rsidRPr="00163266">
              <w:rPr>
                <w:b/>
                <w:i/>
              </w:rPr>
              <w:t>keskeisiä osia</w:t>
            </w:r>
            <w:r w:rsidRPr="00163266">
              <w:t xml:space="preserve">. Tämä on ratkaisevan tärkeää, jotta voidaan varmistaa sovellettavien kansallisten järjestelmien ja niiden ominaisuuksien ennustettavuus sijoittajien kannalta ja siten vähentää säännösten noudattamisesta aiheutuvia kustannuksia. Tämä on erityisen tärkeää, kun otetaan huomioon sisämarkkinoiden </w:t>
            </w:r>
            <w:r w:rsidRPr="00163266">
              <w:rPr>
                <w:b/>
                <w:i/>
              </w:rPr>
              <w:t>huomattava</w:t>
            </w:r>
            <w:r w:rsidRPr="00163266">
              <w:t xml:space="preserve"> yhdentymisen taso, joka voi johtaa siihen, että yksi ainoa liiketoimi vaikuttaa useisiin jäsenvaltioihin eri puolilla unionia. On esimerkiksi mahdollista, että liiketoimi, jonka tarkoituksena on hankkia kohdeyritys yhdessä jäsenvaltiossa, vaikuttaa turvallisuuteen ja yleiseen järjestykseen myös </w:t>
            </w:r>
            <w:r w:rsidRPr="00163266">
              <w:rPr>
                <w:b/>
                <w:i/>
              </w:rPr>
              <w:t xml:space="preserve">toisissa jäsenvaltioissa </w:t>
            </w:r>
            <w:r w:rsidRPr="00163266">
              <w:t>toimitusketjun rakenteen tai muiden taloudellisten tekijöiden vuoksi, jotka yhdistävät kohdeyrityksen muihin eri jäsenvaltioihin sijoittautuneisiin yrityksiin. Näiden sisämarkkinaongelmien ratkaisemiseksi ja johdonmukaisuuden ja ennustettavuuden lisäämiseksi on aiheellista, että ulkomaisten sijoitusten arvioinnissa käytettävät kriteerit ja osatekijät vahvistetaan unionin toimilla.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(9)</w:t>
            </w:r>
            <w:r w:rsidRPr="00163266">
              <w:tab/>
              <w:t xml:space="preserve">Jotta voidaan varmistaa johdonmukainen lähestymistapa ulkomaisten sijoitusten seurantaan kaikkialla unionissa, kaikki jäsenvaltiot olisi velvoitettava seuraamaan ulkomaisia sijoituksia turvallisuuteen tai yleiseen järjestykseen liittyvistä syistä. Sen vuoksi kansallisten seurantamekanismien keskeiset osatekijät olisi yhdenmukaistettava. </w:t>
            </w:r>
            <w:r w:rsidRPr="00163266">
              <w:rPr>
                <w:b/>
                <w:i/>
              </w:rPr>
              <w:t>Vähimmäistason yhdenmukaistaminen kattaa</w:t>
            </w:r>
            <w:r w:rsidRPr="00163266">
              <w:t xml:space="preserve"> seurattavien sijoitusten </w:t>
            </w:r>
            <w:r w:rsidRPr="00163266">
              <w:rPr>
                <w:b/>
                <w:i/>
              </w:rPr>
              <w:t>soveltamisalan</w:t>
            </w:r>
            <w:r w:rsidRPr="00163266">
              <w:t xml:space="preserve">, seurantamenettelyn olennaiset piirteet sekä kansallisen mekanismin ja unionin yhteistyömekanismin </w:t>
            </w:r>
            <w:r w:rsidRPr="00163266">
              <w:rPr>
                <w:b/>
                <w:i/>
              </w:rPr>
              <w:t>välisen vuorovaikutuksen</w:t>
            </w:r>
            <w:r w:rsidRPr="00163266">
              <w:t xml:space="preserve">. Lisäksi jäsenvaltioiden olisi voitava laajentaa kansallisen seurantamekanisminsa soveltamisalaa niin, että katetaan </w:t>
            </w:r>
            <w:proofErr w:type="spellStart"/>
            <w:r w:rsidRPr="00163266">
              <w:t>muuntyyppiset</w:t>
            </w:r>
            <w:proofErr w:type="spellEnd"/>
            <w:r w:rsidRPr="00163266">
              <w:t xml:space="preserve"> ulkomaiset sijoitukset ja muille aloille tai muihin unionin sijoituskohteisiin tai taloudellisiin toimintoihin tehtävät ulkomaiset sijoitukset, joita asianomainen jäsenvaltio pitää kriittisinä turvallisuutensa tai yleisen järjestyksensä kannalta. Myös tällaisessa seurannassa olisi noudatettava tämän asetuksen säännöksiä.</w:t>
            </w:r>
          </w:p>
        </w:tc>
        <w:tc>
          <w:tcPr>
            <w:tcW w:w="4876" w:type="dxa"/>
            <w:hideMark/>
          </w:tcPr>
          <w:p w:rsidR="001E1179" w:rsidRPr="00163266" w:rsidRDefault="001E1179" w:rsidP="00F60C33">
            <w:pPr>
              <w:pStyle w:val="Normal6"/>
              <w:widowControl/>
              <w:rPr>
                <w:szCs w:val="24"/>
              </w:rPr>
            </w:pPr>
            <w:r w:rsidRPr="00163266">
              <w:t>(9)</w:t>
            </w:r>
            <w:r w:rsidRPr="00163266">
              <w:tab/>
              <w:t xml:space="preserve">Jotta voidaan varmistaa johdonmukainen lähestymistapa ulkomaisten sijoitusten seurantaan kaikkialla unionissa, kaikki jäsenvaltiot olisi velvoitettava seuraamaan ulkomaisia sijoituksia turvallisuuteen tai yleiseen järjestykseen liittyvistä syistä. Sen vuoksi kansallisten seurantamekanismien keskeiset osatekijät olisi yhdenmukaistettava. </w:t>
            </w:r>
            <w:r w:rsidRPr="00163266">
              <w:rPr>
                <w:b/>
                <w:i/>
              </w:rPr>
              <w:t>Yhdenmukaistamisen olisi katettava myös</w:t>
            </w:r>
            <w:r w:rsidRPr="00163266">
              <w:t xml:space="preserve"> seurattavien sijoitusten </w:t>
            </w:r>
            <w:r w:rsidRPr="00163266">
              <w:rPr>
                <w:b/>
                <w:i/>
              </w:rPr>
              <w:t>soveltamisala</w:t>
            </w:r>
            <w:r w:rsidRPr="00163266">
              <w:t xml:space="preserve">, seurantamenettelyn olennaiset piirteet sekä kansallisen mekanismin ja unionin yhteistyömekanismin </w:t>
            </w:r>
            <w:r w:rsidRPr="00163266">
              <w:rPr>
                <w:b/>
                <w:i/>
              </w:rPr>
              <w:t>välinen vuorovaikutus, mihin kuuluu myös seurantamenettelyjen aikataulujen johdonmukaisuus</w:t>
            </w:r>
            <w:r w:rsidRPr="00163266">
              <w:t xml:space="preserve">. Lisäksi jäsenvaltioiden olisi voitava laajentaa kansallisen seurantamekanisminsa soveltamisalaa niin, että katetaan </w:t>
            </w:r>
            <w:proofErr w:type="spellStart"/>
            <w:r w:rsidRPr="00163266">
              <w:t>muuntyyppiset</w:t>
            </w:r>
            <w:proofErr w:type="spellEnd"/>
            <w:r w:rsidRPr="00163266">
              <w:t xml:space="preserve"> ulkomaiset sijoitukset ja muille aloille tai muihin unionin sijoituskohteisiin tai taloudellisiin toimintoihin tehtävät ulkomaiset sijoitukset, joita asianomainen jäsenvaltio pitää kriittisinä turvallisuutensa tai yleisen järjestyksensä kannalta. Myös tällaisessa seurannassa olisi noudatettava tämän asetuksen säännöksiä. </w:t>
            </w:r>
            <w:r w:rsidRPr="00163266">
              <w:rPr>
                <w:b/>
                <w:i/>
              </w:rPr>
              <w:t xml:space="preserve">On erittäin tärkeää ottaa kaikissa jäsenvaltioissa käyttöön yhdenmukaistettu ja virtaviivaistettu toimintamalli, jolla varmistetaan, että ulkomaisiin sijoituksiin, joilla voi olla vaikutuksia turvallisuuteen ja yleiseen järjestykseen, sovelletaan johdonmukaista valvontaa ja tuloksellista päätöksentekoa. Tätä varten seurantamekanismeilla olisi vähennettävä mahdollisimman paljon hallinnon monimutkaisuutta, vältettävä tarpeettomia viivästyksiä ja otettava huomioon pienten ja keskisuurten yritysten (pk-yritysten) rajalliset resurssit, kun niitä sovelletaan niihin. Lisäksi komission olisi toimittava koordinoijana, jotta voidaan varmistaa unionin turvallisuuden parantaminen ja samalla vähentää mahdollisimman paljon </w:t>
            </w:r>
            <w:r w:rsidRPr="00163266">
              <w:rPr>
                <w:b/>
                <w:i/>
              </w:rPr>
              <w:lastRenderedPageBreak/>
              <w:t>tehottomuutta ja toimintatapojen hajanaisuutta.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12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(12)</w:t>
            </w:r>
            <w:r w:rsidRPr="00163266">
              <w:tab/>
              <w:t xml:space="preserve">Ulkomaisten sijoitusten seuranta olisi toteutettava tämän asetuksen mukaisesti ottaen huomioon kaikki saatavilla olevat tiedot ja noudattaen suhteellisuusperiaatetta ja muita perussopimuksissa vahvistettuja periaatteita. Lisäksi unioniin sijoittautuneen ulkomaisen sijoittajan tytäryhtiöiden kautta tehtävien ulkomaisten sijoitusten seurannassa olisi kaikissa tapauksissa noudatettava unionin oikeudesta johtuvia vaatimuksia ja erityisesti perussopimuksen sijoittautumisvapautta ja pääomien vapaata liikkuvuutta koskevia määräyksiä, sellaisina kuin niitä tulkitaan Euroopan unionin tuomioistuimen oikeuskäytännössä, avointen ja osallistavien sisämarkkinoiden säilyttämistä koskevan tavoitteen mukaisesti. Sijoittautumisvapauden ja pääomien vapaan liikkuvuuden rajoitusten unionissa, mukaan lukien seuranta ja seurannasta johtuvat toimenpiteet, kuten riskejä lieventävät toimenpiteet ja kiellot, olisi perustuttava yhteiskunnan perustavanlaatuiseen etuun kohdistuvaan todelliseen ja riittävän vakavaan uhkaan, ja tällaisten rajoitusten olisi oltava asianmukaisia ja tarpeellisia unionin tuomioistuimen oikeuskäytännön mukaisesti. </w:t>
            </w:r>
            <w:r w:rsidRPr="00163266">
              <w:rPr>
                <w:b/>
                <w:i/>
              </w:rPr>
              <w:t xml:space="preserve">Kun arvioidaan rajoituksen oikeutusta ja oikeasuhteisuutta, </w:t>
            </w:r>
            <w:r w:rsidRPr="00163266">
              <w:t xml:space="preserve">sijoittautumisvapauden tai pääomien vapaan liikkuvuuden rajoitusten </w:t>
            </w:r>
            <w:r w:rsidRPr="00163266">
              <w:rPr>
                <w:b/>
                <w:i/>
              </w:rPr>
              <w:t>arvioinnissa</w:t>
            </w:r>
            <w:r w:rsidRPr="00163266">
              <w:t xml:space="preserve"> </w:t>
            </w:r>
            <w:r w:rsidRPr="00163266">
              <w:rPr>
                <w:b/>
                <w:i/>
              </w:rPr>
              <w:t>voidaan ottaa</w:t>
            </w:r>
            <w:r w:rsidRPr="00163266">
              <w:t xml:space="preserve"> huomioon ulkomaisen sijoittajan tytäryhtiön kautta unionissa tehtyjen sijoitusten erityispiirteet, tarvittaessa myös tämän asetuksen nojalla annetussa komission lausunnossa. Tässä </w:t>
            </w:r>
            <w:r w:rsidRPr="00163266">
              <w:lastRenderedPageBreak/>
              <w:t>olisi otettava huomioon jäsenvaltioiden järjestelmien sisällyttäminen unionin laajuiseen yhteistyömekanismiin.</w:t>
            </w:r>
          </w:p>
        </w:tc>
        <w:tc>
          <w:tcPr>
            <w:tcW w:w="4876" w:type="dxa"/>
            <w:hideMark/>
          </w:tcPr>
          <w:p w:rsidR="001E1179" w:rsidRPr="00163266" w:rsidRDefault="001E1179" w:rsidP="00F60C33">
            <w:pPr>
              <w:pStyle w:val="Normal6"/>
              <w:widowControl/>
              <w:rPr>
                <w:szCs w:val="24"/>
              </w:rPr>
            </w:pPr>
            <w:r w:rsidRPr="00163266">
              <w:lastRenderedPageBreak/>
              <w:t>(12)</w:t>
            </w:r>
            <w:r w:rsidRPr="00163266">
              <w:tab/>
              <w:t xml:space="preserve">Ulkomaisten sijoitusten seuranta olisi toteutettava tämän asetuksen mukaisesti ottaen huomioon kaikki saatavilla olevat tiedot ja noudattaen suhteellisuusperiaatetta ja muita perussopimuksissa vahvistettuja periaatteita. Lisäksi unioniin sijoittautuneen ulkomaisen sijoittajan tytäryhtiöiden kautta tehtävien ulkomaisten sijoitusten seurannassa olisi kaikissa tapauksissa noudatettava unionin oikeudesta johtuvia vaatimuksia ja erityisesti perussopimuksen sijoittautumisvapautta ja pääomien vapaata liikkuvuutta koskevia määräyksiä, sellaisina kuin niitä tulkitaan Euroopan unionin tuomioistuimen oikeuskäytännössä, </w:t>
            </w:r>
            <w:r w:rsidRPr="00163266">
              <w:rPr>
                <w:b/>
                <w:i/>
              </w:rPr>
              <w:t>toimivien,</w:t>
            </w:r>
            <w:r w:rsidRPr="00163266">
              <w:t xml:space="preserve"> avointen</w:t>
            </w:r>
            <w:r w:rsidRPr="00163266">
              <w:rPr>
                <w:b/>
                <w:i/>
              </w:rPr>
              <w:t>, häiriönsietokykyisten</w:t>
            </w:r>
            <w:r w:rsidRPr="00163266">
              <w:t xml:space="preserve"> ja osallistavien sisämarkkinoiden säilyttämistä koskevan tavoitteen mukaisesti. Sijoittautumisvapauden ja pääomien vapaan liikkuvuuden rajoitusten unionissa, mukaan lukien seuranta ja seurannasta johtuvat toimenpiteet, kuten riskejä lieventävät toimenpiteet ja kiellot, olisi perustuttava yhteiskunnan perustavanlaatuiseen etuun kohdistuvaan todelliseen ja riittävän vakavaan uhkaan, ja tällaisten rajoitusten olisi oltava asianmukaisia ja tarpeellisia unionin tuomioistuimen oikeuskäytännön mukaisesti. Sijoittautumisvapauden tai pääomien vapaan liikkuvuuden rajoitusten </w:t>
            </w:r>
            <w:r w:rsidRPr="00163266">
              <w:rPr>
                <w:b/>
                <w:i/>
              </w:rPr>
              <w:t>oikeutusta ja oikeasuhteisuutta</w:t>
            </w:r>
            <w:r w:rsidRPr="00163266">
              <w:t xml:space="preserve"> </w:t>
            </w:r>
            <w:r w:rsidRPr="00163266">
              <w:rPr>
                <w:b/>
                <w:i/>
              </w:rPr>
              <w:t>arvioitaessa olisi samalla otettava</w:t>
            </w:r>
            <w:r w:rsidRPr="00163266">
              <w:t xml:space="preserve"> huomioon ulkomaisen sijoittajan tytäryhtiön kautta unionissa tehtyjen sijoitusten erityispiirteet, tarvittaessa myös tämän asetuksen nojalla annetussa </w:t>
            </w:r>
            <w:r w:rsidRPr="00163266">
              <w:lastRenderedPageBreak/>
              <w:t>komission lausunnossa</w:t>
            </w:r>
            <w:r w:rsidRPr="00163266">
              <w:rPr>
                <w:b/>
                <w:i/>
              </w:rPr>
              <w:t xml:space="preserve"> tai päätöksessä</w:t>
            </w:r>
            <w:r w:rsidRPr="00163266">
              <w:t>. Tässä olisi otettava huomioon jäsenvaltioiden järjestelmien sisällyttäminen unionin laajuiseen yhteistyömekanismiin.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14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(14)</w:t>
            </w:r>
            <w:r w:rsidRPr="00163266">
              <w:tab/>
              <w:t>On myös tarpeen lisätä sen jäsenvaltion</w:t>
            </w:r>
            <w:r w:rsidRPr="00163266">
              <w:rPr>
                <w:b/>
                <w:i/>
              </w:rPr>
              <w:t>, jossa ulkomainen sijoitus on suunniteltu toteutettavaksi tai on toteutettu,</w:t>
            </w:r>
            <w:r w:rsidRPr="00163266">
              <w:t xml:space="preserve"> vastuuvelvollisuutta komissioon ja niihin jäsenvaltioihin nähden, jotka tuovat esiin omaan tai unionin yleiseen järjestykseen tai turvallisuuteen liittyviä asianmukaisesti perusteltuja huolta herättäviä seikkoja.</w:t>
            </w:r>
          </w:p>
        </w:tc>
        <w:tc>
          <w:tcPr>
            <w:tcW w:w="4876" w:type="dxa"/>
            <w:hideMark/>
          </w:tcPr>
          <w:p w:rsidR="001E1179" w:rsidRPr="00163266" w:rsidRDefault="001E1179" w:rsidP="00F60C33">
            <w:pPr>
              <w:pStyle w:val="Normal6"/>
              <w:widowControl/>
              <w:rPr>
                <w:szCs w:val="24"/>
              </w:rPr>
            </w:pPr>
            <w:r w:rsidRPr="00163266">
              <w:t>(14)</w:t>
            </w:r>
            <w:r w:rsidRPr="00163266">
              <w:tab/>
              <w:t xml:space="preserve">On myös tarpeen lisätä </w:t>
            </w:r>
            <w:r w:rsidRPr="00163266">
              <w:rPr>
                <w:b/>
                <w:i/>
              </w:rPr>
              <w:t>vastaanottavan</w:t>
            </w:r>
            <w:r w:rsidRPr="00163266">
              <w:t xml:space="preserve"> jäsenvaltion vastuuvelvollisuutta komissioon ja niihin jäsenvaltioihin nähden, jotka tuovat esiin omaan tai unionin yleiseen järjestykseen tai turvallisuuteen liittyviä asianmukaisesti perusteltuja huolta herättäviä seikkoja.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15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(15)</w:t>
            </w:r>
            <w:r w:rsidRPr="00163266">
              <w:tab/>
              <w:t xml:space="preserve">Tässä asetuksessa vahvistetulla yhteisellä kehyksellä ei pitäisi rajoittaa </w:t>
            </w:r>
            <w:r w:rsidRPr="00163266">
              <w:rPr>
                <w:b/>
                <w:i/>
              </w:rPr>
              <w:t>jäsenvaltioiden</w:t>
            </w:r>
            <w:r w:rsidRPr="00163266">
              <w:t xml:space="preserve"> yksinomaista vastuuta taata kansallinen </w:t>
            </w:r>
            <w:r w:rsidRPr="00163266">
              <w:rPr>
                <w:b/>
                <w:i/>
              </w:rPr>
              <w:t>turvallisuutensa</w:t>
            </w:r>
            <w:r w:rsidRPr="00163266">
              <w:t xml:space="preserve"> SEU</w:t>
            </w:r>
            <w:r w:rsidRPr="00163266">
              <w:rPr>
                <w:b/>
                <w:i/>
              </w:rPr>
              <w:t>-sopimuksen</w:t>
            </w:r>
            <w:r w:rsidRPr="00163266">
              <w:t xml:space="preserve"> 4 artiklan 2 kohdan mukaisesti. Sillä ei myöskään pitäisi rajoittaa jäsenvaltioiden keskeisten turvallisuusetujen turvaamista SEUT</w:t>
            </w:r>
            <w:r w:rsidRPr="00163266">
              <w:rPr>
                <w:b/>
                <w:i/>
              </w:rPr>
              <w:t>-sopimuksen</w:t>
            </w:r>
            <w:r w:rsidRPr="00163266">
              <w:t xml:space="preserve"> 346 artiklan mukaisesti.</w:t>
            </w:r>
          </w:p>
        </w:tc>
        <w:tc>
          <w:tcPr>
            <w:tcW w:w="4876" w:type="dxa"/>
            <w:hideMark/>
          </w:tcPr>
          <w:p w:rsidR="001E1179" w:rsidRPr="00163266" w:rsidRDefault="001E1179" w:rsidP="00F60C33">
            <w:pPr>
              <w:pStyle w:val="Normal6"/>
              <w:widowControl/>
              <w:rPr>
                <w:szCs w:val="24"/>
              </w:rPr>
            </w:pPr>
            <w:r w:rsidRPr="00163266">
              <w:t>(15)</w:t>
            </w:r>
            <w:r w:rsidRPr="00163266">
              <w:tab/>
              <w:t xml:space="preserve">Tässä asetuksessa vahvistetulla yhteisellä kehyksellä ei pitäisi rajoittaa </w:t>
            </w:r>
            <w:r w:rsidRPr="00163266">
              <w:rPr>
                <w:b/>
                <w:i/>
              </w:rPr>
              <w:t>kunkin</w:t>
            </w:r>
            <w:r w:rsidRPr="00163266">
              <w:t xml:space="preserve"> </w:t>
            </w:r>
            <w:r w:rsidRPr="00163266">
              <w:rPr>
                <w:b/>
                <w:i/>
              </w:rPr>
              <w:t>jäsenvaltion</w:t>
            </w:r>
            <w:r w:rsidRPr="00163266">
              <w:t xml:space="preserve"> yksinomaista vastuuta taata kansallinen </w:t>
            </w:r>
            <w:r w:rsidRPr="00163266">
              <w:rPr>
                <w:b/>
                <w:i/>
              </w:rPr>
              <w:t>turvallisuus</w:t>
            </w:r>
            <w:r w:rsidRPr="00163266">
              <w:t xml:space="preserve"> </w:t>
            </w:r>
            <w:proofErr w:type="spellStart"/>
            <w:r w:rsidRPr="00163266">
              <w:t>SEUn</w:t>
            </w:r>
            <w:proofErr w:type="spellEnd"/>
            <w:r w:rsidRPr="00163266">
              <w:t xml:space="preserve"> 4 artiklan 2 kohdan mukaisesti. Sillä ei myöskään pitäisi rajoittaa jäsenvaltioiden keskeisten turvallisuusetujen turvaamista SEUT 346 artiklan mukaisesti.</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17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(17)</w:t>
            </w:r>
            <w:r w:rsidRPr="00163266">
              <w:tab/>
              <w:t xml:space="preserve">Kyseessä on sijoitus täysin uuteen toimintaan (ns. </w:t>
            </w:r>
            <w:proofErr w:type="spellStart"/>
            <w:r w:rsidRPr="00163266">
              <w:t>greenfield</w:t>
            </w:r>
            <w:proofErr w:type="spellEnd"/>
            <w:r w:rsidRPr="00163266">
              <w:t>-sijoitus), kun ulkomainen sijoittaja tai ulkomaisen sijoittajan tytäryritys unionissa perustaa uusia laitoksia tai uuden yrityksen unioniin.</w:t>
            </w:r>
            <w:r w:rsidRPr="00163266">
              <w:rPr>
                <w:b/>
                <w:i/>
              </w:rPr>
              <w:t xml:space="preserve"> Täysin uuteen toimintaan tehtyjen ulkomaisten sijoitusten olisi kuuluttava tämän asetuksen soveltamisalaan siltä osin kuin jäsenvaltio pitää niitä merkityksellisinä ulkomaisten sijoitusten seurannan kannalta, koska ne luovat pysyviä ja suoria yhteyksiä ulkomaisen sijoittajan ja tällaisten laitosten tai yritysten välille.</w:t>
            </w:r>
            <w:r w:rsidRPr="00163266">
              <w:t xml:space="preserve"> </w:t>
            </w:r>
            <w:r w:rsidRPr="00163266">
              <w:rPr>
                <w:b/>
                <w:i/>
              </w:rPr>
              <w:t xml:space="preserve">Lisäksi </w:t>
            </w:r>
            <w:r w:rsidRPr="00163266">
              <w:t xml:space="preserve">ulkomainen sijoittaja voi uusia laitoksia perustamalla vaikuttaa turvallisuuteen ja yleiseen järjestykseen, myös silloin, kun riski koskee keskeisiä taloudellisia tuotantopanoksia. Sen vuoksi </w:t>
            </w:r>
            <w:r w:rsidRPr="00163266">
              <w:rPr>
                <w:b/>
                <w:i/>
              </w:rPr>
              <w:t>jäsenvaltioita kannustetaan sisällyttämään</w:t>
            </w:r>
            <w:r w:rsidRPr="00163266">
              <w:t xml:space="preserve"> täysin uuteen toimintaan tehdyt ulkomaiset sijoitukset seurantamekanismiensa piiriin kuuluviin liiketoimiin </w:t>
            </w:r>
            <w:r w:rsidRPr="00163266">
              <w:rPr>
                <w:b/>
                <w:i/>
              </w:rPr>
              <w:t>erityisesti silloin, kun tällaiset sijoitukset tehdään jäsenvaltioiden turvallisuuden tai yleisen järjestyksen kannalta merkityksellisillä aloilla tai jos niillä on sellaisia ominaisuuksia, kuten koko tai olennainen luonne, jotka ovat merkityksellisiä jäsenvaltioiden turvallisuuden tai yleisen järjestyksen kannalta</w:t>
            </w:r>
            <w:r w:rsidRPr="00163266">
              <w:t>.</w:t>
            </w:r>
          </w:p>
        </w:tc>
        <w:tc>
          <w:tcPr>
            <w:tcW w:w="4876" w:type="dxa"/>
            <w:hideMark/>
          </w:tcPr>
          <w:p w:rsidR="001E1179" w:rsidRPr="00163266" w:rsidRDefault="001E1179" w:rsidP="00F60C33">
            <w:pPr>
              <w:pStyle w:val="Normal6"/>
              <w:widowControl/>
              <w:rPr>
                <w:szCs w:val="24"/>
              </w:rPr>
            </w:pPr>
            <w:r w:rsidRPr="00163266">
              <w:t>(17)</w:t>
            </w:r>
            <w:r w:rsidRPr="00163266">
              <w:tab/>
              <w:t xml:space="preserve">Kyseessä on sijoitus täysin uuteen toimintaan (ns. </w:t>
            </w:r>
            <w:proofErr w:type="spellStart"/>
            <w:r w:rsidRPr="00163266">
              <w:t>greenfield</w:t>
            </w:r>
            <w:proofErr w:type="spellEnd"/>
            <w:r w:rsidRPr="00163266">
              <w:t xml:space="preserve">-sijoitus), kun ulkomainen sijoittaja tai ulkomaisen sijoittajan tytäryritys unionissa perustaa uusia laitoksia tai uuden yrityksen unioniin </w:t>
            </w:r>
            <w:r w:rsidRPr="00163266">
              <w:rPr>
                <w:b/>
                <w:i/>
              </w:rPr>
              <w:t>uuden taloudellisen toiminnan harjoittamista varten</w:t>
            </w:r>
            <w:r w:rsidRPr="00163266">
              <w:t xml:space="preserve">. Ulkomainen sijoittaja voi uusia laitoksia perustamalla vaikuttaa turvallisuuteen ja yleiseen järjestykseen, myös silloin, kun riski koskee keskeisiä taloudellisia tuotantopanoksia. Sen vuoksi </w:t>
            </w:r>
            <w:r w:rsidRPr="00163266">
              <w:rPr>
                <w:b/>
                <w:i/>
              </w:rPr>
              <w:t>jäsenvaltioiden olisi sisällytettävä</w:t>
            </w:r>
            <w:r w:rsidRPr="00163266">
              <w:t xml:space="preserve"> täysin uuteen toimintaan tehdyt ulkomaiset sijoitukset seurantamekanismiensa piiriin kuuluviin liiketoimiin.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18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(18)</w:t>
            </w:r>
            <w:r w:rsidRPr="00163266">
              <w:tab/>
              <w:t xml:space="preserve">Johdonmukaisten ja ennakoitavien seurantaprosessien varmistamiseksi on aiheellista vahvistaa seurantamekanismien olennaiset ominaisuudet, jotka jäsenvaltioiden on pantava täytäntöön. Näihin ominaisuuksiin olisi kuuluttava ainakin lupaa edellyttävien liiketoimien </w:t>
            </w:r>
            <w:r w:rsidRPr="00163266">
              <w:lastRenderedPageBreak/>
              <w:t xml:space="preserve">soveltamisala, seurannan määräajat </w:t>
            </w:r>
            <w:r w:rsidRPr="00163266">
              <w:rPr>
                <w:b/>
                <w:i/>
              </w:rPr>
              <w:t>ja</w:t>
            </w:r>
            <w:r w:rsidRPr="00163266">
              <w:t xml:space="preserve"> seurannan kohteena olevien yritysten mahdollisuus hakea muutosta päätöksiin. Seurantamekanismeihin liittyvien sääntöjen ja menettelyjen olisi oltava avoimia, eikä niissä saisi syrjiä joitakin kolmansia maita.</w:t>
            </w:r>
          </w:p>
        </w:tc>
        <w:tc>
          <w:tcPr>
            <w:tcW w:w="4876" w:type="dxa"/>
            <w:hideMark/>
          </w:tcPr>
          <w:p w:rsidR="001E1179" w:rsidRPr="00163266" w:rsidRDefault="001E1179" w:rsidP="00F60C33">
            <w:pPr>
              <w:pStyle w:val="Normal6"/>
              <w:widowControl/>
              <w:rPr>
                <w:szCs w:val="24"/>
              </w:rPr>
            </w:pPr>
            <w:r w:rsidRPr="00163266">
              <w:lastRenderedPageBreak/>
              <w:t>(18)</w:t>
            </w:r>
            <w:r w:rsidRPr="00163266">
              <w:tab/>
              <w:t xml:space="preserve">Johdonmukaisten ja ennakoitavien seurantaprosessien varmistamiseksi on aiheellista vahvistaa seurantamekanismien olennaiset ominaisuudet, jotka jäsenvaltioiden on pantava täytäntöön. Näihin ominaisuuksiin olisi kuuluttava ainakin lupaa edellyttävien liiketoimien </w:t>
            </w:r>
            <w:r w:rsidRPr="00163266">
              <w:lastRenderedPageBreak/>
              <w:t>soveltamisala, seurannan määräajat</w:t>
            </w:r>
            <w:r w:rsidRPr="00163266">
              <w:rPr>
                <w:b/>
                <w:i/>
              </w:rPr>
              <w:t xml:space="preserve">, </w:t>
            </w:r>
            <w:r w:rsidRPr="00163266">
              <w:t xml:space="preserve">seurannan kohteena olevien yritysten mahdollisuus hakea muutosta päätöksiin </w:t>
            </w:r>
            <w:r w:rsidRPr="00163266">
              <w:rPr>
                <w:b/>
                <w:i/>
              </w:rPr>
              <w:t>sekä seurantaviranomaisten valmiudet puuttua tehokkaasti tapauksiin, joissa sääntöjä ei ole noudatettu tai niitä on kierretty</w:t>
            </w:r>
            <w:r w:rsidRPr="00163266">
              <w:t xml:space="preserve">. Seurantamekanismeihin liittyvien sääntöjen ja menettelyjen olisi oltava avoimia, eikä niissä saisi syrjiä joitakin kolmansia maita. </w:t>
            </w:r>
            <w:r w:rsidRPr="00163266">
              <w:rPr>
                <w:b/>
                <w:i/>
              </w:rPr>
              <w:t>Lupahakemuksen jättämistä koskevalla menettelyllä olisi varmistettava, että vaatimustenmukaisuutta koskevat vaatimukset pidetään mahdollisimman vähäisinä.</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19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(19)</w:t>
            </w:r>
            <w:r w:rsidRPr="00163266">
              <w:tab/>
              <w:t xml:space="preserve">Asetuksessa (EU) 2019/452 säädetty yhteistyömekanismi antaa jäsenvaltioille mahdollisuuden tehdä yhteistyötä ja auttaa toisiaan, jos yhteen jäsenvaltioon tehty ulkomainen suora sijoitus voisi vaikuttaa muiden jäsenvaltioiden turvallisuuteen tai yleiseen järjestykseen </w:t>
            </w:r>
            <w:r w:rsidRPr="00163266">
              <w:rPr>
                <w:b/>
                <w:bCs/>
                <w:i/>
                <w:iCs/>
              </w:rPr>
              <w:t>tai unionin etua koskeviin hankkeisiin tai ohjelmiin</w:t>
            </w:r>
            <w:r w:rsidRPr="00163266">
              <w:t>. Tämä mekanismi on tähän mennessä osoittautunut erittäin hyödylliseksi, joten se olisi säilytettävä ja sitä olisi vahvistettava tämän asetuksen nojalla.</w:t>
            </w:r>
          </w:p>
        </w:tc>
        <w:tc>
          <w:tcPr>
            <w:tcW w:w="4876" w:type="dxa"/>
            <w:hideMark/>
          </w:tcPr>
          <w:p w:rsidR="001E1179" w:rsidRPr="00163266" w:rsidRDefault="001E1179" w:rsidP="00F60C33">
            <w:pPr>
              <w:pStyle w:val="Normal6"/>
              <w:widowControl/>
              <w:rPr>
                <w:szCs w:val="24"/>
              </w:rPr>
            </w:pPr>
            <w:r w:rsidRPr="00163266">
              <w:t>(19)</w:t>
            </w:r>
            <w:r w:rsidRPr="00163266">
              <w:tab/>
              <w:t xml:space="preserve">Asetuksessa (EU) 2019/452 säädetty yhteistyömekanismi antaa jäsenvaltioille mahdollisuuden tehdä yhteistyötä ja auttaa toisiaan, jos yhteen jäsenvaltioon tehty ulkomainen suora sijoitus voisi vaikuttaa muiden jäsenvaltioiden </w:t>
            </w:r>
            <w:r w:rsidRPr="00163266">
              <w:rPr>
                <w:b/>
                <w:i/>
              </w:rPr>
              <w:t>tai unionin taikka unionin etua koskevien hankkeiden tai ohjelmien</w:t>
            </w:r>
            <w:r w:rsidRPr="00163266">
              <w:t xml:space="preserve"> turvallisuuteen tai yleiseen järjestykseen. Tämä mekanismi on tähän mennessä osoittautunut erittäin hyödylliseksi, joten se olisi säilytettävä ja sitä olisi vahvistettava </w:t>
            </w:r>
            <w:r w:rsidRPr="00163266">
              <w:rPr>
                <w:b/>
                <w:i/>
              </w:rPr>
              <w:t>sekä laajennettava</w:t>
            </w:r>
            <w:r w:rsidRPr="00163266">
              <w:t xml:space="preserve"> tämän asetuksen nojalla</w:t>
            </w:r>
            <w:r w:rsidRPr="00163266">
              <w:rPr>
                <w:b/>
                <w:i/>
              </w:rPr>
              <w:t>, jotta voidaan varmistaa, että ulkomaisiin sijoituksiin sovelletaan yhtenäisempää lähestymistapaa kaikkialla unionissa</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20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(20)</w:t>
            </w:r>
            <w:r w:rsidRPr="00163266">
              <w:tab/>
              <w:t>Sen varmistamiseksi, että ulkomaiset sijoitukset, jotka todennäköisesti vaikuttavat kielteisesti unionin turvallisuuteen tai yleiseen järjestykseen, tunnistetaan asianmukaisesti, jäsenvaltioiden olisi seurattava ulkomaisia sijoituksia, jos unionin sijoituskohde on osa unionin etua koskevaa hanketta tai ohjelmaa tai osallistuu siihen tai jos unionin sijoituskohteen taloudellinen toiminta liittyy unionin turvallisuuden tai yleisen järjestyksen kannalta erityisen tärkeään teknologiaan, resurssiin, laitokseen, laitteeseen, verkkoon, järjestelmään tai palveluun. Näiden kriteerien lisäksi seurantamekanismeja voidaan soveltaa muihin aloihin, unionin sijoituskohteisiin tai taloudellisiin toimintoihin, joita asianomainen jäsenvaltio pitää kriittisinä turvallisuutensa tai yleisen järjestyksensä kannalta.</w:t>
            </w:r>
          </w:p>
        </w:tc>
        <w:tc>
          <w:tcPr>
            <w:tcW w:w="4876" w:type="dxa"/>
            <w:hideMark/>
          </w:tcPr>
          <w:p w:rsidR="001E1179" w:rsidRPr="00163266" w:rsidRDefault="001E1179" w:rsidP="00F60C33">
            <w:pPr>
              <w:pStyle w:val="Normal6"/>
              <w:widowControl/>
              <w:rPr>
                <w:szCs w:val="24"/>
              </w:rPr>
            </w:pPr>
            <w:r w:rsidRPr="00163266">
              <w:t>(20)</w:t>
            </w:r>
            <w:r w:rsidRPr="00163266">
              <w:tab/>
              <w:t xml:space="preserve">Sen varmistamiseksi, että ulkomaiset sijoitukset, jotka todennäköisesti vaikuttavat kielteisesti unionin turvallisuuteen tai yleiseen järjestykseen, tunnistetaan asianmukaisesti, jäsenvaltioiden olisi seurattava ulkomaisia sijoituksia, jos unionin sijoituskohde on osa unionin etua koskevaa hanketta tai ohjelmaa tai osallistuu siihen tai jos unionin sijoituskohteen taloudellinen toiminta liittyy unionin turvallisuuden tai yleisen järjestyksen kannalta erityisen tärkeään teknologiaan, resurssiin, laitokseen, laitteeseen, verkkoon, järjestelmään tai palveluun </w:t>
            </w:r>
            <w:r w:rsidRPr="00163266">
              <w:rPr>
                <w:b/>
                <w:i/>
              </w:rPr>
              <w:t>ja erityisen tärkeisiin materiaaleihin</w:t>
            </w:r>
            <w:r w:rsidRPr="00163266">
              <w:t>.</w:t>
            </w:r>
            <w:r w:rsidRPr="00163266">
              <w:rPr>
                <w:b/>
                <w:i/>
              </w:rPr>
              <w:t xml:space="preserve"> Jäsenvaltioiden olisi myös seurattava tällaisiin herkkiin ohjelmiin tai aloihin tehtäviä täysin uusia ulkomaisia sijoituksia, kun sijoittajan ominaisuudet ja liiketoimen koko aiheuttavat erityisen riskin.</w:t>
            </w:r>
            <w:r w:rsidRPr="00163266">
              <w:t xml:space="preserve"> Näiden kriteerien lisäksi seurantamekanismeja voidaan soveltaa muihin aloihin, unionin sijoituskohteisiin tai taloudellisiin toimintoihin, joita asianomainen jäsenvaltio pitää kriittisinä turvallisuutensa tai yleisen järjestyksensä kannalta.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21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(21)</w:t>
            </w:r>
            <w:r w:rsidRPr="00163266">
              <w:tab/>
              <w:t xml:space="preserve">Sen varmistamiseksi, että yhteistyömekanismissa keskitytään ainoastaan sellaisiin ulkomaisiin sijoituksiin, joissa ulkomaisen sijoittajan tai unionin sijoituskohteen ominaisuudet vaikuttavat todennäköisesti turvallisuuteen tai yleiseen järjestykseen, on aiheellista vahvistaa riskiperusteiset edellytykset, joiden perusteella tehdään ilmoitus jäsenvaltiossa seurannan kohteena olevista ulkomaisista sijoituksista muille jäsenvaltioille ja komissiolle. Jos </w:t>
            </w:r>
            <w:r w:rsidRPr="00163266">
              <w:lastRenderedPageBreak/>
              <w:t>ulkomainen sijoitus ei täytä mitään edellytyksistä, jäsenvaltio, jossa ulkomainen sijoitus on seurannan kohteena, voi ilmoittaa ulkomaisesta sijoituksesta muille jäsenvaltioille ja komissiolle, myös silloin, kun unionin sijoituskohde harjoittaa merkittävää toimintaa muissa jäsenvaltioissa tai kuuluu konserniin, jolla on useita yrityksiä eri jäsenvaltioissa.</w:t>
            </w:r>
          </w:p>
        </w:tc>
        <w:tc>
          <w:tcPr>
            <w:tcW w:w="4876" w:type="dxa"/>
            <w:hideMark/>
          </w:tcPr>
          <w:p w:rsidR="001E1179" w:rsidRPr="00163266" w:rsidRDefault="001E1179" w:rsidP="00F60C33">
            <w:pPr>
              <w:pStyle w:val="Normal6"/>
              <w:widowControl/>
              <w:rPr>
                <w:szCs w:val="24"/>
              </w:rPr>
            </w:pPr>
            <w:r w:rsidRPr="00163266">
              <w:lastRenderedPageBreak/>
              <w:t>(21)</w:t>
            </w:r>
            <w:r w:rsidRPr="00163266">
              <w:tab/>
              <w:t xml:space="preserve">Sen varmistamiseksi, että yhteistyömekanismissa keskitytään ainoastaan sellaisiin ulkomaisiin sijoituksiin, joissa ulkomaisen sijoittajan tai unionin sijoituskohteen ominaisuudet vaikuttavat todennäköisesti turvallisuuteen tai yleiseen järjestykseen, on aiheellista vahvistaa riskiperusteiset edellytykset, joiden perusteella tehdään ilmoitus jäsenvaltiossa seurannan kohteena olevista ulkomaisista sijoituksista muille jäsenvaltioille ja komissiolle. </w:t>
            </w:r>
            <w:r w:rsidRPr="00163266">
              <w:rPr>
                <w:b/>
                <w:i/>
              </w:rPr>
              <w:t xml:space="preserve">Jäsenvaltion </w:t>
            </w:r>
            <w:r w:rsidRPr="00163266">
              <w:rPr>
                <w:b/>
                <w:i/>
              </w:rPr>
              <w:lastRenderedPageBreak/>
              <w:t>olisi erityisesti arvioitava, onko ulkomainen sijoittaja kolmannen maan hallituksen määräysvallassa tai vaikuttaako se siihen. Määräysvalta tai vaikutusvalta voidaan määrittää esimerkiksi suoran tai välillisen omistuksen kynnysarvojen, kolmansien maiden julkisen rahoituksen luonteen ja laajuuden sekä erityisten hallintojärjestelyjen, kuten ylivaltaosakkeiden (</w:t>
            </w:r>
            <w:proofErr w:type="spellStart"/>
            <w:r w:rsidRPr="00163266">
              <w:rPr>
                <w:b/>
                <w:i/>
              </w:rPr>
              <w:t>golden</w:t>
            </w:r>
            <w:proofErr w:type="spellEnd"/>
            <w:r w:rsidRPr="00163266">
              <w:rPr>
                <w:b/>
                <w:i/>
              </w:rPr>
              <w:t xml:space="preserve"> </w:t>
            </w:r>
            <w:proofErr w:type="spellStart"/>
            <w:r w:rsidRPr="00163266">
              <w:rPr>
                <w:b/>
                <w:i/>
              </w:rPr>
              <w:t>shares</w:t>
            </w:r>
            <w:proofErr w:type="spellEnd"/>
            <w:r w:rsidRPr="00163266">
              <w:rPr>
                <w:b/>
                <w:i/>
              </w:rPr>
              <w:t>), perusteella. Tapaukset, joissa omistusrakenne on vaikeaselkoinen tai epäselvä tai joissa lopullinen edunsaaja on tuntematon, olisi myös sisällytettävä tällaisiin edellytyksiin.</w:t>
            </w:r>
            <w:r w:rsidRPr="00163266">
              <w:t xml:space="preserve"> Jos ulkomainen sijoitus ei täytä mitään edellytyksistä, jäsenvaltio, jossa ulkomainen sijoitus on seurannan kohteena, voi ilmoittaa ulkomaisesta sijoituksesta muille jäsenvaltioille ja komissiolle, myös silloin, kun unionin sijoituskohde harjoittaa merkittävää toimintaa muissa jäsenvaltioissa tai kuuluu konserniin, jolla on useita yrityksiä eri jäsenvaltioissa.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22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(22)</w:t>
            </w:r>
            <w:r w:rsidRPr="00163266">
              <w:tab/>
              <w:t xml:space="preserve">Sen varmistamiseksi, että ulkomaisen sijoituksen todennäköinen vaikutus yhden tai useamman jäsenvaltion turvallisuuteen tai yleiseen järjestykseen tunnistetaan asianmukaisesti, jäsenvaltioiden olisi voitava esittää huomautuksia jäsenvaltiolle, jossa ulkomainen sijoitus on suunniteltu toteutettavaksi tai on toteutettu, siinäkin tapauksessa, että kyseinen ulkomainen sijoitus ei olisi seurannan kohteena kyseisessä jäsenvaltiossa tai että ulkomainen sijoitus olisi seurannan kohteena mutta siitä ei ilmoiteta yhteistyömekanismiin. Jäsenvaltioiden esittämistä tietopyynnöistä, vastauksista ja </w:t>
            </w:r>
            <w:r w:rsidRPr="00163266">
              <w:lastRenderedPageBreak/>
              <w:t>huomautuksista olisi ilmoitettava samanaikaisesti myös komissiolle.</w:t>
            </w:r>
          </w:p>
        </w:tc>
        <w:tc>
          <w:tcPr>
            <w:tcW w:w="4876" w:type="dxa"/>
            <w:hideMark/>
          </w:tcPr>
          <w:p w:rsidR="001E1179" w:rsidRPr="00163266" w:rsidRDefault="001E1179" w:rsidP="00F60C33">
            <w:pPr>
              <w:pStyle w:val="Normal6"/>
              <w:widowControl/>
              <w:rPr>
                <w:szCs w:val="24"/>
              </w:rPr>
            </w:pPr>
            <w:r w:rsidRPr="00163266">
              <w:lastRenderedPageBreak/>
              <w:t>(22)</w:t>
            </w:r>
            <w:r w:rsidRPr="00163266">
              <w:tab/>
              <w:t xml:space="preserve">Sen varmistamiseksi, että ulkomaisen sijoituksen todennäköinen vaikutus yhden tai useamman jäsenvaltion turvallisuuteen tai yleiseen järjestykseen tunnistetaan asianmukaisesti, jäsenvaltioiden olisi voitava esittää huomautuksia jäsenvaltiolle, jossa ulkomainen sijoitus on suunniteltu toteutettavaksi tai on toteutettu, siinäkin tapauksessa, että kyseinen ulkomainen sijoitus ei olisi seurannan kohteena kyseisessä jäsenvaltiossa tai että ulkomainen sijoitus olisi seurannan kohteena mutta siitä ei ilmoiteta yhteistyömekanismiin. Jäsenvaltioiden esittämistä tietopyynnöistä, vastauksista ja huomautuksista olisi ilmoitettava </w:t>
            </w:r>
            <w:r w:rsidRPr="00163266">
              <w:lastRenderedPageBreak/>
              <w:t>samanaikaisesti myös komissiolle</w:t>
            </w:r>
            <w:r w:rsidRPr="00163266">
              <w:rPr>
                <w:b/>
                <w:i/>
              </w:rPr>
              <w:t>, jotta voidaan varmistaa avoimuus prosessin kaikissa vaiheissa</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23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(23)</w:t>
            </w:r>
            <w:r w:rsidRPr="00163266">
              <w:tab/>
              <w:t>Sen varmistamiseksi, että ulkomaisen sijoituksen todennäköinen vaikutus yhden tai useamman jäsenvaltion tai unionin turvallisuuteen tai yleiseen järjestykseen tunnistetaan asianmukaisesti, komission olisi voitava antaa SEUT</w:t>
            </w:r>
            <w:r w:rsidRPr="00163266">
              <w:rPr>
                <w:b/>
                <w:i/>
              </w:rPr>
              <w:t>-sopimuksen</w:t>
            </w:r>
            <w:r w:rsidRPr="00163266">
              <w:t xml:space="preserve"> 288 artiklan mukainen lausunto jäsenvaltiolle</w:t>
            </w:r>
            <w:r w:rsidRPr="00163266">
              <w:rPr>
                <w:b/>
                <w:i/>
              </w:rPr>
              <w:t>, jossa ulkomainen sijoitus on suunniteltu toteutettavaksi tai on toteutettu,</w:t>
            </w:r>
            <w:r w:rsidRPr="00163266">
              <w:t xml:space="preserve"> siinäkin tapauksessa, että kyseinen ulkomainen sijoitus ei olisi seurannan kohteena kyseisessä jäsenvaltiossa tai että ulkomainen sijoitus olisi seurannan kohteena mutta siitä ei ilmoiteta yhteistyömekanismiin.</w:t>
            </w:r>
          </w:p>
        </w:tc>
        <w:tc>
          <w:tcPr>
            <w:tcW w:w="4876" w:type="dxa"/>
            <w:hideMark/>
          </w:tcPr>
          <w:p w:rsidR="001E1179" w:rsidRPr="00163266" w:rsidRDefault="001E1179" w:rsidP="00F60C33">
            <w:pPr>
              <w:pStyle w:val="Normal6"/>
              <w:widowControl/>
              <w:rPr>
                <w:szCs w:val="24"/>
              </w:rPr>
            </w:pPr>
            <w:r w:rsidRPr="00163266">
              <w:t>(23)</w:t>
            </w:r>
            <w:r w:rsidRPr="00163266">
              <w:tab/>
              <w:t xml:space="preserve">Sen varmistamiseksi, että ulkomaisen sijoituksen todennäköinen vaikutus yhden tai useamman jäsenvaltion tai unionin turvallisuuteen tai yleiseen järjestykseen tunnistetaan asianmukaisesti, komission olisi voitava antaa SEUT 288 artiklan mukainen lausunto jäsenvaltiolle siinäkin tapauksessa, että kyseinen ulkomainen sijoitus ei olisi seurannan kohteena kyseisessä jäsenvaltiossa tai että ulkomainen sijoitus olisi seurannan kohteena mutta siitä ei ilmoiteta yhteistyömekanismiin. </w:t>
            </w:r>
            <w:r w:rsidRPr="00163266">
              <w:rPr>
                <w:b/>
                <w:i/>
              </w:rPr>
              <w:t>Jotta voidaan varmistaa avoimuus ja ennustettavuus, komission lausuntojen olisi perustuttava erityisiin ja dokumentoituihin riskeihin ja niissä olisi noudatettava vahvistettuja antamiskriteerejä, mukaan lukien dokumentoidut turvallisuusriskit tai rajat ylittävät huolenaiheet.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24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(24)</w:t>
            </w:r>
            <w:r w:rsidRPr="00163266">
              <w:tab/>
              <w:t xml:space="preserve">Jotta voitaisiin lisäksi </w:t>
            </w:r>
            <w:r w:rsidRPr="00163266">
              <w:rPr>
                <w:b/>
                <w:i/>
              </w:rPr>
              <w:t>suojella turvallisuutta</w:t>
            </w:r>
            <w:r w:rsidRPr="00163266">
              <w:t xml:space="preserve"> tai </w:t>
            </w:r>
            <w:r w:rsidRPr="00163266">
              <w:rPr>
                <w:b/>
                <w:i/>
              </w:rPr>
              <w:t>yleistä järjestystä</w:t>
            </w:r>
            <w:r w:rsidRPr="00163266">
              <w:t xml:space="preserve"> silloin, kun todennäköinen vaikutus johtuu ulkomaisesta sijoituksesta unionin sijoituskohteeseen, joka huolehtii koko unionin kannalta kriittisen infrastruktuurin tai teknologian taikka kriittisten tuotantopanosten kehittämisestä, ylläpidosta tai hankinnasta, komission olisi voitava antaa lausunto. Näin komissiolla </w:t>
            </w:r>
            <w:r w:rsidRPr="00163266">
              <w:lastRenderedPageBreak/>
              <w:t>olisi käytössään väline, jolla se voi suojata hankkeita ja ohjelmia, jotka palvelevat unionin etua kokonaisuudessaan ja joilla on merkittävä vaikutus unionin turvallisuuteen tai yleiseen järjestykseen. Kaikille jäsenvaltioille olisi ilmoitettava komission lausunnosta, jossa määritetään turvallisuuteen tai yleiseen järjestykseen liittyvistä syistä aiheutuvat todennäköiset vaikutukset unionin etua koskeviin hankkeisiin tai ohjelmiin.</w:t>
            </w:r>
          </w:p>
        </w:tc>
        <w:tc>
          <w:tcPr>
            <w:tcW w:w="4876" w:type="dxa"/>
            <w:hideMark/>
          </w:tcPr>
          <w:p w:rsidR="001E1179" w:rsidRPr="00163266" w:rsidRDefault="001E1179" w:rsidP="00F60C33">
            <w:pPr>
              <w:pStyle w:val="Normal6"/>
              <w:widowControl/>
              <w:rPr>
                <w:szCs w:val="24"/>
              </w:rPr>
            </w:pPr>
            <w:r w:rsidRPr="00163266">
              <w:lastRenderedPageBreak/>
              <w:t>(24)</w:t>
            </w:r>
            <w:r w:rsidRPr="00163266">
              <w:tab/>
              <w:t xml:space="preserve">Jotta voitaisiin lisäksi </w:t>
            </w:r>
            <w:r w:rsidRPr="00163266">
              <w:rPr>
                <w:b/>
                <w:i/>
              </w:rPr>
              <w:t>varmistaa turvallisuuden</w:t>
            </w:r>
            <w:r w:rsidRPr="00163266">
              <w:t xml:space="preserve"> tai </w:t>
            </w:r>
            <w:r w:rsidRPr="00163266">
              <w:rPr>
                <w:b/>
                <w:i/>
              </w:rPr>
              <w:t>yleisen järjestyksen suojelu</w:t>
            </w:r>
            <w:r w:rsidRPr="00163266">
              <w:t xml:space="preserve"> silloin, kun todennäköinen vaikutus johtuu ulkomaisesta sijoituksesta unionin sijoituskohteeseen, joka huolehtii koko unionin kannalta kriittisen infrastruktuurin tai teknologian taikka kriittisten tuotantopanosten kehittämisestä, ylläpidosta tai hankinnasta, komission olisi voitava antaa lausunto. Näin komissiolla </w:t>
            </w:r>
            <w:r w:rsidRPr="00163266">
              <w:lastRenderedPageBreak/>
              <w:t>olisi käytössään väline, jolla se voi suojata hankkeita ja ohjelmia, jotka palvelevat unionin etua kokonaisuudessaan ja joilla on merkittävä vaikutus unionin turvallisuuteen tai yleiseen järjestykseen. Kaikille jäsenvaltioille olisi ilmoitettava komission lausunnosta, jossa määritetään turvallisuuteen tai yleiseen järjestykseen liittyvistä syistä aiheutuvat todennäköiset vaikutukset unionin etua koskeviin hankkeisiin tai ohjelmiin.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25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(25)</w:t>
            </w:r>
            <w:r w:rsidRPr="00163266">
              <w:tab/>
              <w:t>Lisäksi komission olisi voitava antaa kaikille jäsenvaltioille osoitettu lausunto, jos se tunnistaa useita ulkomaisia sijoituksia, jotka yhdessä todennäköisesti vaikuttavat unionin turvallisuuteen tai yleiseen järjestykseen. Näin voi olla erityisesti silloin, kun useilla ulkomaisilla sijoituksilla on samanlaisia ominaisuuksia. Tällaisia ovat esimerkiksi tapaukset, joissa ulkomaiset sijoitukset tekee sama ulkomainen sijoittaja tai samanlaisia riskejä aiheuttavat ulkomaiset sijoittajat tai jos useat ulkomaiset sijoitukset tehdään samaan sijoituskohteeseen tai samaan infrastruktuuriin, mukaan lukien Euroopan laajuinen liikenne-, energia- ja viestintäinfrastruktuuri. Jäsenvaltioiden ja komission olisi keskusteltava riskianalyysistä ja mahdollisista tavoista puuttua lausunnossa yksilöityihin riskeihin.</w:t>
            </w:r>
          </w:p>
        </w:tc>
        <w:tc>
          <w:tcPr>
            <w:tcW w:w="4876" w:type="dxa"/>
            <w:hideMark/>
          </w:tcPr>
          <w:p w:rsidR="001E1179" w:rsidRPr="00163266" w:rsidRDefault="001E1179" w:rsidP="00F60C33">
            <w:pPr>
              <w:pStyle w:val="Normal6"/>
              <w:widowControl/>
              <w:rPr>
                <w:szCs w:val="24"/>
              </w:rPr>
            </w:pPr>
            <w:r w:rsidRPr="00163266">
              <w:t>(25)</w:t>
            </w:r>
            <w:r w:rsidRPr="00163266">
              <w:tab/>
              <w:t xml:space="preserve">Lisäksi komission olisi voitava antaa kaikille jäsenvaltioille osoitettu lausunto, jos se tunnistaa useita ulkomaisia sijoituksia, jotka yhdessä todennäköisesti vaikuttavat unionin turvallisuuteen tai yleiseen järjestykseen. Näin voi olla erityisesti silloin, kun useilla ulkomaisilla sijoituksilla on samanlaisia ominaisuuksia. Tällaisia ovat esimerkiksi tapaukset, joissa ulkomaiset sijoitukset tekee sama ulkomainen sijoittaja tai samanlaisia riskejä aiheuttavat ulkomaiset sijoittajat tai jos useat ulkomaiset sijoitukset tehdään samaan </w:t>
            </w:r>
            <w:r w:rsidRPr="00163266">
              <w:rPr>
                <w:b/>
                <w:i/>
              </w:rPr>
              <w:t>unionin</w:t>
            </w:r>
            <w:r w:rsidRPr="00163266">
              <w:t xml:space="preserve"> sijoituskohteeseen tai infrastruktuuriin, mukaan lukien Euroopan laajuinen liikenne-, energia- ja viestintäinfrastruktuuri. Jäsenvaltioiden ja komission olisi keskusteltava riskianalyysistä ja mahdollisista tavoista puuttua lausunnossa yksilöityihin riskeihin</w:t>
            </w:r>
            <w:r w:rsidRPr="00163266">
              <w:rPr>
                <w:b/>
                <w:i/>
              </w:rPr>
              <w:t>, jotta voidaan varmistaa koordinoitu lähestymistapa</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26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(26)</w:t>
            </w:r>
            <w:r w:rsidRPr="00163266">
              <w:tab/>
              <w:t>Turvallisuuden tai yleisen järjestyksen suojelemiseksi niin, että samalla tarjotaan varmempi toimintaympäristö sijoittajille, jäsenvaltioilla olisi oltava mahdollisuus esittää huomautuksia ja komissiolla olisi oltava mahdollisuus antaa lausunto ulkomaisista sijoituksista, jotka on toteutettu mutta joista ei ole ilmoitettu 15 kuukauden kuluessa toteuttamisesta.</w:t>
            </w:r>
          </w:p>
        </w:tc>
        <w:tc>
          <w:tcPr>
            <w:tcW w:w="4876" w:type="dxa"/>
            <w:hideMark/>
          </w:tcPr>
          <w:p w:rsidR="001E1179" w:rsidRPr="00163266" w:rsidRDefault="001E1179" w:rsidP="00F60C33">
            <w:pPr>
              <w:pStyle w:val="Normal6"/>
              <w:widowControl/>
              <w:rPr>
                <w:szCs w:val="24"/>
              </w:rPr>
            </w:pPr>
            <w:r w:rsidRPr="00163266">
              <w:rPr>
                <w:i/>
              </w:rPr>
              <w:t>(Tarkistus ei vaikuta suomenkieliseen versioon.)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27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(27)</w:t>
            </w:r>
            <w:r w:rsidRPr="00163266">
              <w:tab/>
              <w:t>Selkeyden parantamiseksi unionin etua koskevien hankkeiden tai ohjelmien luettelo olisi esitettävä liitteessä I. Tässä yhteydessä huomioon olisi otettava ulkomaiset sijoitukset, jotka tehdään Euroopan laajuisiin liikenne-, energia- ja viestintäverkkoihin sekä ohjelmiin, joista tarjotaan rahoitusta unionin turvallisuuden tai yleisen järjestyksen kannalta merkityksellisen toiminnan tutkimukseen ja kehittämiseen. Kun otetaan huomioon näiden hankkeiden ja ohjelmien merkitys unionin turvallisuuden ja yleisen järjestyksen kannalta, jäsenvaltioiden olisi seurattava ulkomaisia sijoituksia sellaisiin unionin yrityksiin, jotka ovat osa näitä hankkeita tai ohjelmia tai osallistuvat niihin, mukaan lukien ne, jotka saavat unionin rahoitusta.</w:t>
            </w:r>
          </w:p>
        </w:tc>
        <w:tc>
          <w:tcPr>
            <w:tcW w:w="4876" w:type="dxa"/>
            <w:hideMark/>
          </w:tcPr>
          <w:p w:rsidR="001E1179" w:rsidRPr="00163266" w:rsidRDefault="001E1179" w:rsidP="00F60C33">
            <w:pPr>
              <w:pStyle w:val="Normal6"/>
              <w:widowControl/>
              <w:rPr>
                <w:szCs w:val="24"/>
              </w:rPr>
            </w:pPr>
            <w:r w:rsidRPr="00163266">
              <w:t>(27)</w:t>
            </w:r>
            <w:r w:rsidRPr="00163266">
              <w:tab/>
              <w:t xml:space="preserve">Selkeyden parantamiseksi unionin etua koskevien hankkeiden tai ohjelmien luettelo olisi esitettävä liitteessä I. Tässä yhteydessä huomioon olisi otettava ulkomaiset sijoitukset, jotka tehdään Euroopan laajuisiin liikenne-, energia- ja viestintäverkkoihin sekä ohjelmiin, joista tarjotaan rahoitusta unionin turvallisuuden tai yleisen järjestyksen kannalta merkityksellisen toiminnan tutkimukseen ja kehittämiseen. Kun otetaan huomioon näiden hankkeiden ja ohjelmien merkitys unionin turvallisuuden ja yleisen järjestyksen kannalta </w:t>
            </w:r>
            <w:r w:rsidRPr="00163266">
              <w:rPr>
                <w:b/>
                <w:i/>
              </w:rPr>
              <w:t>sekä niille ominainen rajat ylittävä luonne ja se, että kyse on verkoista</w:t>
            </w:r>
            <w:r w:rsidRPr="00163266">
              <w:t>, jäsenvaltioiden olisi seurattava ulkomaisia sijoituksia sellaisiin unionin yrityksiin, jotka ovat osa näitä hankkeita tai ohjelmia tai osallistuvat niihin, mukaan lukien ne, jotka saavat unionin rahoitusta.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28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(28)</w:t>
            </w:r>
            <w:r w:rsidRPr="00163266">
              <w:tab/>
              <w:t xml:space="preserve">Sen varmistamiseksi, että ulkomaisen sijoituksen todennäköinen vaikutus yhden tai useamman jäsenvaltion turvallisuuteen tai yleiseen järjestykseen otetaan asianmukaisesti huomioon, jäsenvaltion, joka saa muilta jäsenvaltioilta asianmukaisesti perusteltuja huomautuksia tai komissiolta lausunnon, olisi otettava tällaiset huomautukset tai lausunnot mahdollisimman tarkasti huomioon myös silloin, kun se katsoo, että se sen oma turvallisuus tai yleinen järjestys ei ole uhattuna. Jäsenvaltion olisi tarvittaessa koordinoitava toimintaansa komission ja asianomaisten jäsenvaltioiden kanssa ja annettava niille kirjallista palautetta tehdystä päätöksestä </w:t>
            </w:r>
            <w:r w:rsidRPr="00163266">
              <w:rPr>
                <w:b/>
                <w:i/>
              </w:rPr>
              <w:t>ja</w:t>
            </w:r>
            <w:r w:rsidRPr="00163266">
              <w:t xml:space="preserve"> siitä, miten huomautukset ja lausunto on otettu mahdollisimman tarkasti huomioon. </w:t>
            </w:r>
            <w:r w:rsidRPr="00163266">
              <w:rPr>
                <w:b/>
                <w:i/>
              </w:rPr>
              <w:t>Ulkomaisia sijoituksia koskevan lopullisen päätöksen</w:t>
            </w:r>
            <w:r w:rsidRPr="00163266">
              <w:t xml:space="preserve"> olisi </w:t>
            </w:r>
            <w:r w:rsidRPr="00163266">
              <w:rPr>
                <w:b/>
                <w:i/>
              </w:rPr>
              <w:t>oltava yksinomaan sen jäsenvaltion vastuulla, jossa ulkomainen sijoitus on suunniteltu toteutettavaksi tai on toteutettu</w:t>
            </w:r>
            <w:r w:rsidRPr="00163266">
              <w:t>.</w:t>
            </w:r>
          </w:p>
        </w:tc>
        <w:tc>
          <w:tcPr>
            <w:tcW w:w="4876" w:type="dxa"/>
            <w:hideMark/>
          </w:tcPr>
          <w:p w:rsidR="001E1179" w:rsidRPr="00163266" w:rsidRDefault="001E1179" w:rsidP="00F60C33">
            <w:pPr>
              <w:pStyle w:val="Normal6"/>
              <w:widowControl/>
              <w:rPr>
                <w:szCs w:val="24"/>
              </w:rPr>
            </w:pPr>
            <w:r w:rsidRPr="00163266">
              <w:t>(28)</w:t>
            </w:r>
            <w:r w:rsidRPr="00163266">
              <w:tab/>
              <w:t>Sen varmistamiseksi, että ulkomaisen sijoituksen todennäköinen vaikutus yhden tai useamman jäsenvaltion turvallisuuteen tai yleiseen järjestykseen otetaan asianmukaisesti huomioon, jäsenvaltion, joka saa muilta jäsenvaltioilta asianmukaisesti perusteltuja huomautuksia tai komissiolta lausunnon, olisi otettava tällaiset huomautukset tai lausunnot mahdollisimman tarkasti huomioon myös silloin, kun se katsoo, että se sen oma turvallisuus tai yleinen järjestys ei ole uhattuna. Jäsenvaltion olisi tarvittaessa koordinoitava toimintaansa komission ja asianomaisten jäsenvaltioiden kanssa ja annettava niille</w:t>
            </w:r>
            <w:r w:rsidRPr="00163266">
              <w:rPr>
                <w:b/>
                <w:i/>
              </w:rPr>
              <w:t xml:space="preserve"> päätösluonnoksensa ja sen mukana</w:t>
            </w:r>
            <w:r w:rsidRPr="00163266">
              <w:t xml:space="preserve"> kirjallista palautetta siitä, miten huomautukset ja lausunto on otettu mahdollisimman tarkasti huomioon. </w:t>
            </w:r>
            <w:r w:rsidRPr="00163266">
              <w:rPr>
                <w:b/>
                <w:i/>
              </w:rPr>
              <w:t>Päätösluonnokseen</w:t>
            </w:r>
            <w:r w:rsidRPr="00163266">
              <w:t xml:space="preserve"> olisi </w:t>
            </w:r>
            <w:r w:rsidRPr="00163266">
              <w:rPr>
                <w:b/>
                <w:i/>
              </w:rPr>
              <w:t>voitava tehdä muutoksia asianomaisten jäsenvaltioiden ja komission esittämien näkemysten huomioon ottamiseksi</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28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(28 a)</w:t>
            </w:r>
            <w:r w:rsidRPr="00163266">
              <w:rPr>
                <w:b/>
                <w:i/>
              </w:rPr>
              <w:tab/>
              <w:t xml:space="preserve">Tietyissä tapauksissa vastaanottavan jäsenvaltion ja toisen jäsenvaltion tai komission välillä voi syntyä erimielisyyttä siitä, vaikuttaako sijoitus todennäköisesti kyseisen jäsenvaltion tai unionin turvallisuuteen ja yleiseen järjestykseen. Tällaisten erimielisyyksien jättäminen yksinomaan vastaanottavan jäsenvaltion ratkaistavaksi voi vaikuttaa koko unionin turvallisuuteen ja yleiseen järjestykseen ja heikentää yhteistyömekanismin toimintaa. Sen vuoksi komissiolle olisi tällaisissa tapauksissa siirrettävä toimivalta tehdä päätös ja perustaa arvionsa siitä, miten </w:t>
            </w:r>
            <w:r w:rsidRPr="00163266">
              <w:rPr>
                <w:b/>
                <w:i/>
              </w:rPr>
              <w:lastRenderedPageBreak/>
              <w:t>todennäköisesti sijoitus vaikuttaa turvallisuuteen ja yleiseen järjestykseen, vastaanottavan jäsenvaltion toimittamiin tietoihin ja omiin havaintoihinsa, jos se on tehnyt tutkimuksia. Kaikissa muissa tapauksissa lopullisen päätöksen olisi oltava vastaanottavan jäsenvaltion vastuulla.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28 b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(28 b)</w:t>
            </w:r>
            <w:r w:rsidRPr="00163266">
              <w:rPr>
                <w:b/>
                <w:i/>
              </w:rPr>
              <w:tab/>
              <w:t xml:space="preserve">Tässä asetuksessa säädetyn jäsenvaltioiden ja komission välisen vastuunjaon puitteissa seurannasta vastaavilla kansallisilla viranomaisilla on vaikeuksia tutkia ulkomaisia sijoitustoimia, jotka ulottuvat niiden maantieteellisten rajojen ulkopuolelle, mikä voi vaikuttaa niiden analyysin tuloksellisuuteen. Tällainen tilanne voisi syntyä esimerkiksi silloin, kun kohdeyrityksen asiakkaat sijaitsevat toisessa jäsenvaltiossa, mutta heidän näkemyksensä voivat olla olennaisen tärkeitä arvioitaessa, kuinka altis kohde on turvallisuuteen tai yleiseen järjestykseen liittyville riskeille, kuten onko kohdeyrityksen tavaroille tai palveluille saatavilla vaihtoehtoisia toimittajia. Koska kyse on rajat ylittävästä näkökohdasta, komissiolla on hyvät edellytykset puuttua näihin rajoituksiin ja osallistua omalla panoksellaan sen arviointiin, millainen vaikutus ulkomaisilla sijoitustoimilla on turvallisuuteen ja yleiseen järjestykseen. Tätä varten komissiolle olisi annettava asianmukaiset tutkimusvaltuudet tarvittavien tietojen keräämiseksi. Komission olisi voitava pyytää tietoja toisessa jäsenvaltiossa olevilta yhteisöiltä, jos tällaisia tietoja ei voida tehokkaasti saada yhteistyömekanismin kautta. Tietojen pyytämistä koskevien komission valtuuksien olisi perustuttava jäsenvaltion </w:t>
            </w:r>
            <w:r w:rsidRPr="00163266">
              <w:rPr>
                <w:b/>
                <w:i/>
              </w:rPr>
              <w:lastRenderedPageBreak/>
              <w:t>perusteltuun pyyntöön. Jos kansallisilla viranomaisilla on oikeudellisia tai menettelyyn liittyviä rajoitteita, kuten menettelyä koskeva lyhyt määräaika, komission olisi kuitenkin voitava toimia riippumattomasti edellyttäen, että vastaanottavalle jäsenvaltiolle on ilmoitettu asiasta. Valtuudet olisi rajattava tietoihin, jotka ovat tarpeen, jotta voidaan arvioida liiketoimen vaikutusta useampaan kuin yhteen jäsenvaltioon, mukaan lukien kielteiset vaikutukset unionin ohjelmiin ja hankkeisiin.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29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(29)</w:t>
            </w:r>
            <w:r w:rsidRPr="00163266">
              <w:tab/>
              <w:t xml:space="preserve">Yhteistyömekanismin tehokkaan toiminnan varmistamiseksi on tärkeää edellyttää, että jäsenvaltio, joka ilmoittaa ulkomaisesta sijoituksesta yhteistyömekanismiin, toimittaa vähimmäistiedot vakiomuodossa. Jos yhteistyö koskee ulkomaista sijoitusta, josta ei ole ilmoitettu yhteistyömekanismiin, </w:t>
            </w:r>
            <w:r w:rsidRPr="00163266">
              <w:rPr>
                <w:b/>
                <w:i/>
              </w:rPr>
              <w:t>sen</w:t>
            </w:r>
            <w:r w:rsidRPr="00163266">
              <w:t xml:space="preserve"> jäsenvaltion</w:t>
            </w:r>
            <w:r w:rsidRPr="00163266">
              <w:rPr>
                <w:b/>
                <w:i/>
              </w:rPr>
              <w:t>, jossa ulkomainen sijoitus on suunniteltu toteutettavaksi tai on toteutettu,</w:t>
            </w:r>
            <w:r w:rsidRPr="00163266">
              <w:t xml:space="preserve"> olisi voitava antaa ainakin samat vähimmäistiedot. Komissio ja jäsenvaltiot voivat pyytää lisätietoja jäsenvaltiolta, jossa ulkomainen sijoitus on suunniteltu toteutettavaksi tai on toteutettu. Tällainen lisätietopyyntö olisi perusteltava asianmukaisesti, sen olisi rajoituttava tietoihin, jotka ovat tarpeen, jotta jäsenvaltiot voivat esittää huomautuksia tai komissio voi antaa lausunnon, sen olisi oltava oikeassa suhteessa pyynnön tarkoitukseen, eikä siitä saisi aiheutua kohtuutonta rasitetta ilmoituksen tehneelle jäsenvaltiolle.</w:t>
            </w:r>
          </w:p>
        </w:tc>
        <w:tc>
          <w:tcPr>
            <w:tcW w:w="4876" w:type="dxa"/>
            <w:hideMark/>
          </w:tcPr>
          <w:p w:rsidR="001E1179" w:rsidRPr="00163266" w:rsidRDefault="001E1179" w:rsidP="00F60C33">
            <w:pPr>
              <w:pStyle w:val="Normal6"/>
              <w:widowControl/>
              <w:rPr>
                <w:szCs w:val="24"/>
              </w:rPr>
            </w:pPr>
            <w:r w:rsidRPr="00163266">
              <w:t>(29)</w:t>
            </w:r>
            <w:r w:rsidRPr="00163266">
              <w:tab/>
              <w:t xml:space="preserve">Yhteistyömekanismin tehokkaan toiminnan varmistamiseksi on tärkeää edellyttää, että jäsenvaltio, joka ilmoittaa ulkomaisesta sijoituksesta yhteistyömekanismiin, toimittaa vähimmäistiedot vakiomuodossa. Jos yhteistyö koskee ulkomaista sijoitusta, josta ei ole ilmoitettu yhteistyömekanismiin, </w:t>
            </w:r>
            <w:r w:rsidRPr="00163266">
              <w:rPr>
                <w:b/>
                <w:i/>
              </w:rPr>
              <w:t>vastaanottavan</w:t>
            </w:r>
            <w:r w:rsidRPr="00163266">
              <w:t xml:space="preserve"> jäsenvaltion olisi voitava antaa ainakin samat vähimmäistiedot. Komissio ja jäsenvaltiot voivat pyytää lisätietoja jäsenvaltiolta, jossa ulkomainen sijoitus on suunniteltu toteutettavaksi tai on toteutettu. Tällainen lisätietopyyntö olisi perusteltava asianmukaisesti, sen olisi rajoituttava tietoihin, jotka ovat tarpeen, jotta jäsenvaltiot voivat esittää huomautuksia tai komissio voi antaa lausunnon, sen olisi oltava oikeassa suhteessa pyynnön tarkoitukseen, eikä siitä saisi aiheutua kohtuutonta rasitetta ilmoituksen tehneelle jäsenvaltiolle </w:t>
            </w:r>
            <w:r w:rsidRPr="00163266">
              <w:rPr>
                <w:b/>
                <w:i/>
              </w:rPr>
              <w:t>eikä asianomaisille yrityksille</w:t>
            </w:r>
            <w:r w:rsidRPr="00163266">
              <w:t xml:space="preserve">. </w:t>
            </w:r>
            <w:r w:rsidRPr="00163266">
              <w:rPr>
                <w:b/>
                <w:i/>
              </w:rPr>
              <w:t xml:space="preserve">Komissio voi tarvittaessa pyytää tietoja muilta unionin elimiltä, kuten Euroopan arvopaperimarkkinaviranomaiselta, Euroopan pankkiviranomaiselta, Euroopan vakuutus- ja </w:t>
            </w:r>
            <w:r w:rsidRPr="00163266">
              <w:rPr>
                <w:b/>
                <w:i/>
              </w:rPr>
              <w:lastRenderedPageBreak/>
              <w:t>lisäeläkeviranomaiselta, yhteiseltä valvontamekanismilta tai Euroopan keskuspankilta.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30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(30)</w:t>
            </w:r>
            <w:r w:rsidRPr="00163266">
              <w:tab/>
              <w:t xml:space="preserve">Sen varmistamiseksi, että yhteistyö perustuu täydellisiin ja täsmällisiin tietoihin, ulkomaisen sijoittajan tai yrityksen olisi toimitettava kaikki tiedot, joita on pyytänyt jäsenvaltio, johon se on sijoittautunut tai </w:t>
            </w:r>
            <w:r w:rsidRPr="00163266">
              <w:rPr>
                <w:b/>
                <w:i/>
              </w:rPr>
              <w:t>jossa ulkomainen sijoitus on suunniteltu toteutettavaksi tai on toteutettu</w:t>
            </w:r>
            <w:r w:rsidRPr="00163266">
              <w:t>. Poikkeustapauksissa, joissa jäsenvaltio ei yrityksistään huolimatta pysty hankkimaan toisen jäsenvaltion tai komission pyytämiä tietoja, sen olisi ilmoitettava asiasta niille viipymättä. Tällöin kaikkien muiden jäsenvaltioiden huomautusten tai komission lausuntojen, jotka on annettu osana yhteistyömekanismia, olisi perustuttava niiden käytettävissä oleviin tietoihin.</w:t>
            </w:r>
          </w:p>
        </w:tc>
        <w:tc>
          <w:tcPr>
            <w:tcW w:w="4876" w:type="dxa"/>
            <w:hideMark/>
          </w:tcPr>
          <w:p w:rsidR="001E1179" w:rsidRPr="00163266" w:rsidRDefault="001E1179" w:rsidP="00F60C33">
            <w:pPr>
              <w:pStyle w:val="Normal6"/>
              <w:widowControl/>
              <w:rPr>
                <w:szCs w:val="24"/>
              </w:rPr>
            </w:pPr>
            <w:r w:rsidRPr="00163266">
              <w:t>(30)</w:t>
            </w:r>
            <w:r w:rsidRPr="00163266">
              <w:tab/>
              <w:t>Sen varmistamiseksi, että yhteistyö perustuu täydellisiin ja täsmällisiin tietoihin, ulkomaisen sijoittajan tai yrityksen olisi toimitettava kaikki tiedot, joita on pyytänyt jäsenvaltio, johon se on sijoittautunut</w:t>
            </w:r>
            <w:r w:rsidRPr="00163266">
              <w:rPr>
                <w:b/>
                <w:i/>
              </w:rPr>
              <w:t>,</w:t>
            </w:r>
            <w:r w:rsidRPr="00163266">
              <w:t xml:space="preserve"> tai </w:t>
            </w:r>
            <w:r w:rsidRPr="00163266">
              <w:rPr>
                <w:b/>
                <w:i/>
              </w:rPr>
              <w:t>vastaanottava jäsenvaltio</w:t>
            </w:r>
            <w:r w:rsidRPr="00163266">
              <w:t>. Poikkeustapauksissa, joissa jäsenvaltio ei yrityksistään huolimatta pysty hankkimaan toisen jäsenvaltion tai komission pyytämiä tietoja, sen olisi ilmoitettava asiasta niille viipymättä. Tällöin kaikkien muiden jäsenvaltioiden huomautusten tai komission lausuntojen, jotka on annettu osana yhteistyömekanismia, olisi perustuttava niiden käytettävissä oleviin tietoihin.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31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(31)</w:t>
            </w:r>
            <w:r w:rsidRPr="00163266">
              <w:tab/>
              <w:t xml:space="preserve">Sen varmistamiseksi, että yhteistyömekanismia käytetään </w:t>
            </w:r>
            <w:r w:rsidRPr="00163266">
              <w:rPr>
                <w:b/>
                <w:i/>
              </w:rPr>
              <w:t>ainoastaan</w:t>
            </w:r>
            <w:r w:rsidRPr="00163266">
              <w:t xml:space="preserve"> turvallisuuden tai yleisen järjestyksen suojaamiseen, jäsenvaltioiden olisi perusteltava asianmukaisesti kaikki tietopyynnöt, jotka koskevat tiettyä toiseen jäsenvaltioon tehtyä ulkomaista sijoitusta, ja mahdolliset huomautukset, joita ne esittävät kyseiselle jäsenvaltiolle. Samoja vaatimuksia sovelletaan, kun komissio esittää tietopyynnön yksittäisestä </w:t>
            </w:r>
            <w:r w:rsidRPr="00163266">
              <w:lastRenderedPageBreak/>
              <w:t>ulkomaisesta sijoituksesta tai antaa lausunnon jäsenvaltiolle.</w:t>
            </w:r>
          </w:p>
        </w:tc>
        <w:tc>
          <w:tcPr>
            <w:tcW w:w="4876" w:type="dxa"/>
            <w:hideMark/>
          </w:tcPr>
          <w:p w:rsidR="001E1179" w:rsidRPr="00163266" w:rsidRDefault="001E1179" w:rsidP="00F60C33">
            <w:pPr>
              <w:pStyle w:val="Normal6"/>
              <w:widowControl/>
              <w:rPr>
                <w:szCs w:val="24"/>
              </w:rPr>
            </w:pPr>
            <w:r w:rsidRPr="00163266">
              <w:lastRenderedPageBreak/>
              <w:t>(31)</w:t>
            </w:r>
            <w:r w:rsidRPr="00163266">
              <w:tab/>
              <w:t xml:space="preserve">Sen varmistamiseksi, että yhteistyömekanismia käytetään </w:t>
            </w:r>
            <w:r w:rsidRPr="00163266">
              <w:rPr>
                <w:b/>
                <w:i/>
              </w:rPr>
              <w:t>yksinomaan</w:t>
            </w:r>
            <w:r w:rsidRPr="00163266">
              <w:t xml:space="preserve"> turvallisuuden tai yleisen järjestyksen suojaamiseen, jäsenvaltioiden olisi perusteltava asianmukaisesti kaikki tietopyynnöt, jotka koskevat tiettyä toiseen jäsenvaltioon tehtyä ulkomaista sijoitusta, ja mahdolliset huomautukset, joita ne esittävät kyseiselle jäsenvaltiolle.</w:t>
            </w:r>
            <w:r w:rsidRPr="00163266">
              <w:rPr>
                <w:b/>
                <w:i/>
              </w:rPr>
              <w:t xml:space="preserve"> Tämä on erittäin tärkeää mekanismin väärinkäytön ehkäisemiseksi ja sen varmistamiseksi, että mekanismissa keskitytään yksinomaan turvallisuutta ja yleistä </w:t>
            </w:r>
            <w:r w:rsidRPr="00163266">
              <w:rPr>
                <w:b/>
                <w:i/>
              </w:rPr>
              <w:lastRenderedPageBreak/>
              <w:t>järjestystä koskeviin näkökohtiin.</w:t>
            </w:r>
            <w:r w:rsidRPr="00163266">
              <w:t xml:space="preserve"> Samoja vaatimuksia sovelletaan, kun komissio esittää tietopyynnön yksittäisestä ulkomaisesta sijoituksesta tai antaa lausunnon jäsenvaltiolle.</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31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(31 a)</w:t>
            </w:r>
            <w:r w:rsidRPr="00163266">
              <w:rPr>
                <w:b/>
                <w:i/>
              </w:rPr>
              <w:tab/>
              <w:t>On välttämätöntä lisätä tietämystä kolmansien maiden yritysten osallistumisesta tai osuudesta yleistä etua koskeviin hankkeisiin tai unionin kannalta strategisesti merkittävään kriittiseen infrastruktuuriin, jotta viranomaiset voivat puuttua asiaan, jos kyseinen osallistuminen tai osuus todennäköisesti vaikuttaa kielteisesti turvallisuuteen tai yleiseen järjestykseen unionissa eikä kuulu tämän asetuksen soveltamisalaan, sanotun kuitenkaan vaikuttamatta yhteistyömekanismiin. Jäsenvaltiot voivat esittää huomioita toisille jäsenvaltioille sekä komissiolle. Komissio voi tarvittaessa pyytää lisätietoja ja seurata tilannetta.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32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(32)</w:t>
            </w:r>
            <w:r w:rsidRPr="00163266">
              <w:tab/>
              <w:t>Tarvittaessa jäsenvaltiot tai komissio voivat ottaa huomioon asiaankuuluvat tiedot, jotka on saatu talouden toimijoilta, kansalaisyhteiskunnan järjestöiltä tai työmarkkinaosapuolilta (kuten ammattiliitoilta) ja jotka koskevat ulkomaisia sijoituksia, jotka todennäköisesti vaikuttavat kielteisesti turvallisuuteen tai yleiseen järjestykseen.</w:t>
            </w:r>
          </w:p>
        </w:tc>
        <w:tc>
          <w:tcPr>
            <w:tcW w:w="4876" w:type="dxa"/>
            <w:hideMark/>
          </w:tcPr>
          <w:p w:rsidR="001E1179" w:rsidRPr="00163266" w:rsidRDefault="001E1179" w:rsidP="00F60C33">
            <w:pPr>
              <w:pStyle w:val="Normal6"/>
              <w:widowControl/>
              <w:rPr>
                <w:szCs w:val="24"/>
              </w:rPr>
            </w:pPr>
            <w:r w:rsidRPr="00163266">
              <w:t>(32)</w:t>
            </w:r>
            <w:r w:rsidRPr="00163266">
              <w:tab/>
              <w:t xml:space="preserve">Tarvittaessa jäsenvaltiot tai komissio voivat ottaa huomioon asiaankuuluvat tiedot, jotka on saatu talouden toimijoilta, kansalaisyhteiskunnan järjestöiltä tai työmarkkinaosapuolilta (kuten ammattiliitoilta) ja jotka koskevat ulkomaisia sijoituksia, jotka todennäköisesti vaikuttavat kielteisesti turvallisuuteen tai yleiseen järjestykseen. </w:t>
            </w:r>
            <w:r w:rsidRPr="00163266">
              <w:rPr>
                <w:b/>
                <w:i/>
              </w:rPr>
              <w:t xml:space="preserve">Tietoja olisi arvioitava perusteellisesti, ja ne voivat johtaa siihen, että vastaanottava </w:t>
            </w:r>
            <w:r w:rsidRPr="00163266">
              <w:rPr>
                <w:b/>
                <w:i/>
              </w:rPr>
              <w:lastRenderedPageBreak/>
              <w:t>jäsenvaltio käynnistää seulontamenettelyn.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30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33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(33)</w:t>
            </w:r>
            <w:r w:rsidRPr="00163266">
              <w:tab/>
              <w:t>Jäsenvaltio</w:t>
            </w:r>
            <w:r w:rsidRPr="00163266">
              <w:rPr>
                <w:b/>
                <w:i/>
              </w:rPr>
              <w:t>, jossa ulkomainen sijoitus on suunniteltu toteutettavaksi tai on toteutettu,</w:t>
            </w:r>
            <w:r w:rsidRPr="00163266">
              <w:t xml:space="preserve"> voi ilmoittaa muille jäsenvaltioille tai komissiolle, jos se </w:t>
            </w:r>
            <w:r w:rsidRPr="00163266">
              <w:rPr>
                <w:b/>
                <w:i/>
              </w:rPr>
              <w:t>haluaa niiden analysoivan tarkemmin yhtä tai useampaa sellaisen ulkomaisen sijoituksen näkökohtaa, joka on arvioitavana yhteistyömekanismissa, tai</w:t>
            </w:r>
            <w:r w:rsidRPr="00163266">
              <w:t xml:space="preserve"> saa tietoonsa uusia olosuhteita tai tietoja, jotka saattavat vaikuttaa ulkomaisen sijoituksen arviointiin. Muille jäsenvaltioille ja komissiolle voidaan myöntää lisäaikaa, jotta ne voivat täydentää ulkomaista sijoitusta koskevaa arviointiaan.</w:t>
            </w:r>
          </w:p>
        </w:tc>
        <w:tc>
          <w:tcPr>
            <w:tcW w:w="4876" w:type="dxa"/>
            <w:hideMark/>
          </w:tcPr>
          <w:p w:rsidR="001E1179" w:rsidRPr="00163266" w:rsidRDefault="001E1179" w:rsidP="00F60C33">
            <w:pPr>
              <w:pStyle w:val="Normal6"/>
              <w:widowControl/>
              <w:rPr>
                <w:szCs w:val="24"/>
              </w:rPr>
            </w:pPr>
            <w:r w:rsidRPr="00163266">
              <w:t>(33)</w:t>
            </w:r>
            <w:r w:rsidRPr="00163266">
              <w:tab/>
            </w:r>
            <w:r w:rsidRPr="00163266">
              <w:rPr>
                <w:b/>
                <w:i/>
              </w:rPr>
              <w:t>Vastaanottava</w:t>
            </w:r>
            <w:r w:rsidRPr="00163266">
              <w:t xml:space="preserve"> jäsenvaltio voi ilmoittaa muille jäsenvaltioille tai komissiolle, jos se saa tietoonsa uusia olosuhteita tai tietoja, jotka saattavat vaikuttaa </w:t>
            </w:r>
            <w:r w:rsidRPr="00163266">
              <w:rPr>
                <w:b/>
                <w:i/>
              </w:rPr>
              <w:t>ilmoitetun</w:t>
            </w:r>
            <w:r w:rsidRPr="00163266">
              <w:t xml:space="preserve"> ulkomaisen sijoituksen arviointiin. Muille jäsenvaltioille ja komissiolle voidaan myöntää lisäaikaa, jotta ne voivat täydentää ulkomaista sijoitusta koskevaa arviointiaan. </w:t>
            </w:r>
            <w:r w:rsidRPr="00163266">
              <w:rPr>
                <w:b/>
                <w:i/>
              </w:rPr>
              <w:t>Tällaisissa tapauksissa arviointijakson pidennysten olisi oltava mahdollisimman lyhyitä, eivätkä ne saisi aiheettomasti viivästyttää kokonaismenettelyä.</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31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34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(34)</w:t>
            </w:r>
            <w:r w:rsidRPr="00163266">
              <w:tab/>
              <w:t xml:space="preserve">Yhteistyömekanismin tehokkuuden ja vaikuttavuuden varmistamiseksi on tarpeen yhdenmukaistaa määräajat ja menettelyt, kun useita samaan laajempaan liiketoimeen liittyviä ulkomaisia sijoituksia seurataan useissa jäsenvaltioissa. Tällaisissa useita maita koskevissa liiketoimissa hakijan olisi jätettävä eri lupahakemukset </w:t>
            </w:r>
            <w:r w:rsidRPr="00163266">
              <w:rPr>
                <w:b/>
                <w:i/>
              </w:rPr>
              <w:t>samanaikaisesti</w:t>
            </w:r>
            <w:r w:rsidRPr="00163266">
              <w:t xml:space="preserve"> asianomaisissa jäsenvaltioissa. Lisäksi kyseisten jäsenvaltioiden olisi </w:t>
            </w:r>
            <w:r w:rsidRPr="00163266">
              <w:rPr>
                <w:b/>
                <w:i/>
              </w:rPr>
              <w:t>ilmoitettava</w:t>
            </w:r>
            <w:r w:rsidRPr="00163266">
              <w:t xml:space="preserve"> pyynnöistä </w:t>
            </w:r>
            <w:r w:rsidRPr="00163266">
              <w:rPr>
                <w:b/>
                <w:i/>
              </w:rPr>
              <w:t>samanaikaisesti</w:t>
            </w:r>
            <w:r w:rsidRPr="00163266">
              <w:t xml:space="preserve"> yhteistyömekanismiin. Näiden useita maita koskevien liiketoimien tehokkaan käsittelyn varmistamiseksi asianomaisten jäsenvaltioiden olisi koordinoitava </w:t>
            </w:r>
            <w:r w:rsidRPr="00163266">
              <w:lastRenderedPageBreak/>
              <w:t xml:space="preserve">toimintaansa ja sovittava siitä, edellyttävätkö ulkomaiset sijoitukset ilmoitusta </w:t>
            </w:r>
            <w:r w:rsidRPr="00163266">
              <w:rPr>
                <w:b/>
                <w:i/>
              </w:rPr>
              <w:t>ja</w:t>
            </w:r>
            <w:r w:rsidRPr="00163266">
              <w:t xml:space="preserve"> </w:t>
            </w:r>
            <w:r w:rsidRPr="00163266">
              <w:rPr>
                <w:b/>
                <w:i/>
              </w:rPr>
              <w:t>milloin niistä olisi ilmoitettava</w:t>
            </w:r>
            <w:r w:rsidRPr="00163266">
              <w:t xml:space="preserve">. Lisäksi asianomaisten jäsenvaltioiden olisi koordinoitava </w:t>
            </w:r>
            <w:r w:rsidRPr="00163266">
              <w:rPr>
                <w:b/>
                <w:bCs/>
                <w:i/>
                <w:iCs/>
              </w:rPr>
              <w:t>toimintaansa</w:t>
            </w:r>
            <w:r w:rsidRPr="00163266">
              <w:t xml:space="preserve"> lopullisen </w:t>
            </w:r>
            <w:r w:rsidRPr="00163266">
              <w:rPr>
                <w:b/>
                <w:bCs/>
                <w:i/>
                <w:iCs/>
              </w:rPr>
              <w:t>päätöksen suhteen</w:t>
            </w:r>
            <w:r w:rsidRPr="00163266">
              <w:t>. Jos asianomaiset jäsenvaltiot aikovat myöntää ulkomaiselle sijoitukselle luvan tietyin ehdoin, niiden olisi varmistettava, että nämä ehdot ovat keskenään yhteensopivia ja että niillä puututaan rajat ylittäviin riskeihin asianmukaisesti. Ennen ulkomaisen sijoituksen kieltämistä asianomaisten jäsenvaltioiden olisi harkittava, onko ehdollinen lupa, johon sisältyy koordinoituja toimenpiteitä ja niiden koordinoitu täytäntöönpano, riittävä, jotta sillä voidaan puuttua turvallisuuteen tai yleiseen järjestykseen todennäköisesti kohdistuvaan vaikutukseen. Komission olisi voitava osallistua tällaiseen koordinointiin.</w:t>
            </w:r>
          </w:p>
        </w:tc>
        <w:tc>
          <w:tcPr>
            <w:tcW w:w="4876" w:type="dxa"/>
            <w:hideMark/>
          </w:tcPr>
          <w:p w:rsidR="001E1179" w:rsidRPr="00163266" w:rsidRDefault="001E1179" w:rsidP="00F60C33">
            <w:pPr>
              <w:pStyle w:val="Normal6"/>
              <w:widowControl/>
              <w:rPr>
                <w:szCs w:val="24"/>
              </w:rPr>
            </w:pPr>
            <w:r w:rsidRPr="00163266">
              <w:lastRenderedPageBreak/>
              <w:t>(34)</w:t>
            </w:r>
            <w:r w:rsidRPr="00163266">
              <w:tab/>
              <w:t xml:space="preserve">Yhteistyömekanismin tehokkuuden ja vaikuttavuuden varmistamiseksi on tarpeen yhdenmukaistaa määräajat ja menettelyt, kun useita samaan laajempaan liiketoimeen liittyviä ulkomaisia sijoituksia seurataan useissa jäsenvaltioissa. Tällaisissa useita maita koskevissa liiketoimissa hakijan olisi jätettävä eri lupahakemukset </w:t>
            </w:r>
            <w:r w:rsidRPr="00163266">
              <w:rPr>
                <w:b/>
                <w:i/>
              </w:rPr>
              <w:t>tietyn ajan kuluessa</w:t>
            </w:r>
            <w:r w:rsidRPr="00163266">
              <w:t xml:space="preserve"> asianomaisissa jäsenvaltioissa. Lisäksi kyseisten jäsenvaltioiden olisi </w:t>
            </w:r>
            <w:r w:rsidRPr="00163266">
              <w:rPr>
                <w:b/>
                <w:i/>
              </w:rPr>
              <w:t>pyrittävä ilmoittamaan</w:t>
            </w:r>
            <w:r w:rsidRPr="00163266">
              <w:t xml:space="preserve"> pyynnöistä yhteistyömekanismiin</w:t>
            </w:r>
            <w:r w:rsidRPr="00163266">
              <w:rPr>
                <w:b/>
                <w:i/>
              </w:rPr>
              <w:t xml:space="preserve"> tietyn ajan kuluessa</w:t>
            </w:r>
            <w:r w:rsidRPr="00163266">
              <w:t xml:space="preserve">. Näiden useita maita koskevien liiketoimien tehokkaan käsittelyn varmistamiseksi asianomaisten </w:t>
            </w:r>
            <w:r w:rsidRPr="00163266">
              <w:lastRenderedPageBreak/>
              <w:t xml:space="preserve">jäsenvaltioiden olisi koordinoitava toimintaansa ja sovittava siitä, edellyttävätkö ulkomaiset sijoitukset ilmoitusta, </w:t>
            </w:r>
            <w:r w:rsidRPr="00163266">
              <w:rPr>
                <w:b/>
                <w:i/>
              </w:rPr>
              <w:t>sekä menettelyä koskevien määräaikojensa yhdenmukaistamisesta</w:t>
            </w:r>
            <w:r w:rsidRPr="00163266">
              <w:t xml:space="preserve">. Lisäksi asianomaisten jäsenvaltioiden olisi koordinoitava lopullisen </w:t>
            </w:r>
            <w:r w:rsidRPr="00163266">
              <w:rPr>
                <w:b/>
                <w:i/>
              </w:rPr>
              <w:t>päätöksensä sisältöä</w:t>
            </w:r>
            <w:r w:rsidRPr="00163266">
              <w:t xml:space="preserve">. Jos asianomaiset jäsenvaltiot aikovat myöntää ulkomaiselle sijoitukselle luvan tietyin ehdoin, niiden olisi varmistettava, että nämä ehdot ovat keskenään yhteensopivia ja että niillä puututaan rajat ylittäviin riskeihin asianmukaisesti. Ennen ulkomaisen sijoituksen kieltämistä asianomaisten jäsenvaltioiden olisi harkittava, onko ehdollinen lupa, johon sisältyy koordinoituja toimenpiteitä ja niiden koordinoitu täytäntöönpano, riittävä, jotta sillä voidaan puuttua turvallisuuteen tai yleiseen järjestykseen todennäköisesti kohdistuvaan vaikutukseen. Komission olisi voitava osallistua </w:t>
            </w:r>
            <w:r w:rsidRPr="00163266">
              <w:rPr>
                <w:b/>
                <w:i/>
              </w:rPr>
              <w:t>kaikilta osin</w:t>
            </w:r>
            <w:r w:rsidRPr="00163266">
              <w:t xml:space="preserve"> tällaiseen koordinointiin.</w:t>
            </w:r>
          </w:p>
        </w:tc>
      </w:tr>
    </w:tbl>
    <w:p w:rsidR="001E1179" w:rsidRPr="00163266" w:rsidRDefault="001E1179" w:rsidP="001E1179">
      <w:pPr>
        <w:widowControl/>
      </w:pPr>
    </w:p>
    <w:p w:rsidR="001E1179" w:rsidRPr="00163266" w:rsidRDefault="001E1179" w:rsidP="00F60C33">
      <w:pPr>
        <w:pStyle w:val="AmNumberTabs"/>
        <w:widowControl/>
      </w:pPr>
      <w:r w:rsidRPr="00163266">
        <w:t>Tarkistus</w:t>
      </w:r>
      <w:r w:rsidR="00277A55" w:rsidRPr="00163266">
        <w:t xml:space="preserve"> </w:t>
      </w:r>
      <w:r w:rsidRPr="00163266">
        <w:t>32</w:t>
      </w:r>
    </w:p>
    <w:p w:rsidR="001E1179" w:rsidRPr="00163266" w:rsidRDefault="001E1179" w:rsidP="00F60C33">
      <w:pPr>
        <w:pStyle w:val="NormalBold"/>
        <w:keepNext/>
        <w:widowControl/>
        <w:spacing w:before="240"/>
      </w:pPr>
      <w:r w:rsidRPr="00163266">
        <w:t>Ehdotus asetukseksi</w:t>
      </w:r>
    </w:p>
    <w:p w:rsidR="001E1179" w:rsidRPr="00163266" w:rsidRDefault="001E1179" w:rsidP="001E1179">
      <w:pPr>
        <w:pStyle w:val="NormalBold"/>
        <w:widowControl/>
      </w:pPr>
      <w:r w:rsidRPr="00163266">
        <w:t>Johdanto-osan 34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(34 a)</w:t>
            </w:r>
            <w:r w:rsidRPr="00163266">
              <w:rPr>
                <w:b/>
                <w:i/>
              </w:rPr>
              <w:tab/>
              <w:t>Jotta voidaan varmistaa tämän asetuksen mukainen tehokas ja turvallinen tietojenvaihto jäsenvaltioiden kesken sekä jäsenvaltioiden ja komission välillä, komission olisi perustettava suojattu ja salattu digitaalinen järjestelmä, jossa noudatetaan tiukimpia tietosuojan ja tietoturvan vaatimuksia, ja pidettävä sitä yllä. Viestinnän luottamuksellisuuden ja eheyden turvaamiseksi kaiken tämän asetuksen mukaisen tietojenvaihdon olisi tapahduttava yksinomaan kyseisen järjestelmän kautta, ja järjestelmään olisi kuuluttava valvonta- ja tarkastusvalmiudet, joilla varmistetaan turvallisuusvaatimusten noudattaminen.</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33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34 b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(34 b)</w:t>
            </w:r>
            <w:r w:rsidRPr="00163266">
              <w:rPr>
                <w:b/>
                <w:i/>
              </w:rPr>
              <w:tab/>
              <w:t xml:space="preserve">Jotta voidaan varmistaa, että ulkomaisten sijoitusten seurantaan liittyvien hakemusten jättäminen ja käsittely </w:t>
            </w:r>
            <w:proofErr w:type="gramStart"/>
            <w:r w:rsidRPr="00163266">
              <w:rPr>
                <w:b/>
                <w:i/>
              </w:rPr>
              <w:t>toteutuu</w:t>
            </w:r>
            <w:proofErr w:type="gramEnd"/>
            <w:r w:rsidRPr="00163266">
              <w:rPr>
                <w:b/>
                <w:i/>
              </w:rPr>
              <w:t xml:space="preserve"> turvallisesti ja tehokkaasti, ja voidaan keventää sekä hakijoiden että viranomaisten hallinnollista taakkaa, olisi perustettava yksi yhteinen unionin tason sähköinen portaali. Portaalissa olisi oltava yhtenäinen toiminto, jonka kautta hakijat ja heidän edustajansa voisivat ilmoittaa liiketoimista sähköisesti seurannasta vastaaville kansallisille viranomaisille. Komission olisi kiinnitettävä järjestelmän suunnittelussa huomiota käyttäjäystävällisyyteen ja varmistettava, että se on sovellettavien tietosuoja-asetusten ja turvallisuusvaatimusten mukainen.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34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35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(35)</w:t>
            </w:r>
            <w:r w:rsidRPr="00163266">
              <w:tab/>
              <w:t>Jotta voidaan varmistaa johdonmukainen lähestymistapa sijoitusten seurantaan kaikkialla unionissa, on olennaisen tärkeää, että turvallisuuteen ja yleiseen järjestykseen kohdistuvien todennäköisten riskien arvioinnissa käytettävät vaatimukset ja kriteerit vahvistetaan unionin tasolla tässä asetuksessa. Huomioon olisi otettava vaikutus kriittisen infrastruktuurin turvallisuuteen, eheyteen ja toimintaan, kriittisen teknologian (mukaan lukien kehitystä vauhdittava keskeinen teknologia) saatavuuteen</w:t>
            </w:r>
            <w:r w:rsidRPr="00163266">
              <w:rPr>
                <w:b/>
                <w:i/>
              </w:rPr>
              <w:t xml:space="preserve"> sekä</w:t>
            </w:r>
            <w:r w:rsidRPr="00163266">
              <w:t xml:space="preserve"> sellaisten turvallisuuden tai yleisen järjestyksen kannalta kriittisten tuotantopanosten </w:t>
            </w:r>
            <w:r w:rsidRPr="00163266">
              <w:lastRenderedPageBreak/>
              <w:t xml:space="preserve">jatkuvaan toimitukseen, joiden osalta toimitusten häiriintyminen taikka vikaantuminen, häviäminen tai tuhoutuminen vaikuttaisi merkittävästi turvallisuuteen ja yleiseen järjestykseen yhdessä tai useammassa jäsenvaltiossa tai koko unionissa. Tältä osin jäsenvaltioiden ja komission olisi otettava huomioon myös ulkomaisen sijoituksen tausta. Huomioon olisi otettava erityisesti se, onko sijoittaja </w:t>
            </w:r>
            <w:r w:rsidRPr="00163266">
              <w:rPr>
                <w:b/>
                <w:i/>
              </w:rPr>
              <w:t>suoraan tai välillisesti, esimerkiksi merkittävän rahoituksen kautta, kolmannen maan hallituksen määräysvallassa</w:t>
            </w:r>
            <w:r w:rsidRPr="00163266">
              <w:t xml:space="preserve"> tai osallistuuko se kolmansien maiden poliittisten tavoitteiden</w:t>
            </w:r>
            <w:r w:rsidRPr="00163266">
              <w:rPr>
                <w:b/>
                <w:i/>
              </w:rPr>
              <w:t xml:space="preserve"> ja sotilaallisten valmiuksien edistämiseen</w:t>
            </w:r>
            <w:r w:rsidRPr="00163266">
              <w:t>. Tässä yhteydessä jäsenvaltioiden ja komission olisi tarvittaessa myös tarkasteltava, miksi ulkomainen sijoittaja, sen tosiasiallinen omistaja ja edunsaaja tai sen tytäryhtiö tai tällaisen ulkomaisen sijoittajan puolesta tai johdolla toimiva henkilö on jonkin SEUT</w:t>
            </w:r>
            <w:r w:rsidRPr="00163266">
              <w:rPr>
                <w:b/>
                <w:i/>
              </w:rPr>
              <w:t>-sopimuksen</w:t>
            </w:r>
            <w:r w:rsidRPr="00163266">
              <w:t xml:space="preserve"> 215 artiklan mukaisen unionin rajoittavan toimenpiteen kohteena.</w:t>
            </w:r>
          </w:p>
        </w:tc>
        <w:tc>
          <w:tcPr>
            <w:tcW w:w="4876" w:type="dxa"/>
            <w:hideMark/>
          </w:tcPr>
          <w:p w:rsidR="001E1179" w:rsidRPr="00163266" w:rsidRDefault="001E1179" w:rsidP="00F60C33">
            <w:pPr>
              <w:pStyle w:val="Normal6"/>
              <w:widowControl/>
              <w:rPr>
                <w:szCs w:val="24"/>
              </w:rPr>
            </w:pPr>
            <w:r w:rsidRPr="00163266">
              <w:lastRenderedPageBreak/>
              <w:t>(35)</w:t>
            </w:r>
            <w:r w:rsidRPr="00163266">
              <w:tab/>
              <w:t xml:space="preserve">Jotta voidaan varmistaa johdonmukainen lähestymistapa sijoitusten seurantaan kaikkialla unionissa, on olennaisen tärkeää, että turvallisuuteen ja yleiseen järjestykseen kohdistuvien todennäköisten riskien arvioinnissa käytettävät vaatimukset ja kriteerit vahvistetaan unionin tasolla tässä asetuksessa. Huomioon olisi otettava vaikutus kriittisen infrastruktuurin </w:t>
            </w:r>
            <w:r w:rsidRPr="00163266">
              <w:rPr>
                <w:b/>
                <w:i/>
              </w:rPr>
              <w:t>ja sisämarkkinoiden</w:t>
            </w:r>
            <w:r w:rsidRPr="00163266">
              <w:t xml:space="preserve"> turvallisuuteen, eheyteen</w:t>
            </w:r>
            <w:r w:rsidRPr="00163266">
              <w:rPr>
                <w:b/>
                <w:i/>
              </w:rPr>
              <w:t>,</w:t>
            </w:r>
            <w:r w:rsidRPr="00163266">
              <w:t xml:space="preserve"> toimintaan </w:t>
            </w:r>
            <w:r w:rsidRPr="00163266">
              <w:rPr>
                <w:b/>
                <w:i/>
              </w:rPr>
              <w:t>ja häiriönsietokykyyn</w:t>
            </w:r>
            <w:r w:rsidRPr="00163266">
              <w:t xml:space="preserve">, kriittisen teknologian </w:t>
            </w:r>
            <w:r w:rsidRPr="00163266">
              <w:rPr>
                <w:b/>
                <w:i/>
              </w:rPr>
              <w:t>ja tiedon</w:t>
            </w:r>
            <w:r w:rsidRPr="00163266">
              <w:t xml:space="preserve"> (mukaan lukien kehitystä vauhdittava keskeinen teknologia) saatavuuteen </w:t>
            </w:r>
            <w:r w:rsidRPr="00163266">
              <w:rPr>
                <w:b/>
                <w:i/>
              </w:rPr>
              <w:t xml:space="preserve">ja hyödyntämiseen </w:t>
            </w:r>
            <w:r w:rsidRPr="00163266">
              <w:rPr>
                <w:b/>
                <w:i/>
              </w:rPr>
              <w:lastRenderedPageBreak/>
              <w:t>käytännössä</w:t>
            </w:r>
            <w:r w:rsidRPr="00163266">
              <w:t>, sellaisten turvallisuuden tai yleisen järjestyksen kannalta kriittisten tuotantopanosten jatkuvaan toimitukseen, joiden osalta toimitusten häiriintyminen taikka vikaantuminen, häviäminen tai tuhoutuminen vaikuttaisi merkittävästi turvallisuuteen ja yleiseen järjestykseen yhdessä tai useammassa jäsenvaltiossa tai koko unionissa</w:t>
            </w:r>
            <w:r w:rsidRPr="00163266">
              <w:rPr>
                <w:b/>
                <w:i/>
              </w:rPr>
              <w:t>, sotilaskohteiden ja muiden riskialttiiden julkisten kohteiden turvallisuuteen sekä kykyyn käsitellä strategisia riippuvuuksia</w:t>
            </w:r>
            <w:r w:rsidRPr="00163266">
              <w:t xml:space="preserve">. Tältä osin jäsenvaltioiden ja komission olisi otettava huomioon myös ulkomaisen sijoituksen tausta. Huomioon olisi otettava erityisesti se, onko sijoittaja </w:t>
            </w:r>
            <w:r w:rsidRPr="00163266">
              <w:rPr>
                <w:b/>
                <w:i/>
              </w:rPr>
              <w:t>harjoittanut laitonta toimintaa ja esimerkiksi jättänyt toistuvasti noudattamatta unionin oikeudellisia normeja,</w:t>
            </w:r>
            <w:r w:rsidRPr="00163266">
              <w:t xml:space="preserve"> tai osallistuuko se kolmansien maiden poliittisten tavoitteiden </w:t>
            </w:r>
            <w:r w:rsidRPr="00163266">
              <w:rPr>
                <w:b/>
                <w:i/>
              </w:rPr>
              <w:t>edistämiseen tai onko sen tavoitteena edistää niiden sotilaallisia valmiuksia tai kansainvälisen oikeuden rikkomisia</w:t>
            </w:r>
            <w:r w:rsidRPr="00163266">
              <w:t>.</w:t>
            </w:r>
            <w:r w:rsidRPr="00163266">
              <w:rPr>
                <w:b/>
                <w:i/>
              </w:rPr>
              <w:t xml:space="preserve"> Kolmannen maan poliittisten tavoitteiden edistämiseksi voidaan lukea se, että sen hallitus käyttää vaikutusvaltaa yrityksiin, mikä johtaa merkittäviin markkinavääristymiin.</w:t>
            </w:r>
            <w:r w:rsidRPr="00163266">
              <w:t xml:space="preserve"> Tässä yhteydessä jäsenvaltioiden ja komission olisi tarvittaessa myös tarkasteltava, miksi ulkomainen sijoittaja, sen tosiasiallinen omistaja ja edunsaaja tai sen tytäryhtiö tai tällaisen ulkomaisen sijoittajan puolesta tai johdolla toimiva henkilö on jonkin SEUT 215 artiklan mukaisen unionin rajoittavan toimenpiteen kohteena.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35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36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(36)</w:t>
            </w:r>
            <w:r w:rsidRPr="00163266">
              <w:tab/>
              <w:t>Jos jäsenvaltio</w:t>
            </w:r>
            <w:r w:rsidRPr="00163266">
              <w:rPr>
                <w:b/>
                <w:i/>
              </w:rPr>
              <w:t>, jossa ulkomainen sijoitus on suunniteltu toteutettavaksi tai on toteutettu,</w:t>
            </w:r>
            <w:r w:rsidRPr="00163266">
              <w:t xml:space="preserve"> katsoo, että ulkomainen sijoitus todennäköisesti vaikuttaa kielteisesti turvallisuuteen tai yleiseen järjestykseen unionissa, on aiheellista </w:t>
            </w:r>
            <w:r w:rsidRPr="00163266">
              <w:lastRenderedPageBreak/>
              <w:t>edellyttää, että kyseinen jäsenvaltio toteuttaa asianmukaiset toimenpiteet riskien lieventämiseksi, jos tällaisia toimenpiteitä on käytettävissä ja se pitää niitä asianmukaisina, ottaen mahdollisimman tarkasti huomioon muiden jäsenvaltioiden esittämät huomautukset ja tarvittaessa komission lausunnon. Ulkomaiset sijoitukset olisi kiellettävä vain poikkeuksellisesti ja jos riskejä lieventävät toimenpiteet tai muun unionin tai kansallisen lainsäädännön kuin seurantamekanismin nojalla käytettävissä olevat toimenpiteet eivät riitä lieventämään vaikutusta turvallisuuteen tai yleiseen järjestykseen.</w:t>
            </w:r>
          </w:p>
        </w:tc>
        <w:tc>
          <w:tcPr>
            <w:tcW w:w="4876" w:type="dxa"/>
            <w:hideMark/>
          </w:tcPr>
          <w:p w:rsidR="001E1179" w:rsidRPr="00163266" w:rsidRDefault="001E1179" w:rsidP="00F60C33">
            <w:pPr>
              <w:pStyle w:val="Normal6"/>
              <w:widowControl/>
              <w:rPr>
                <w:szCs w:val="24"/>
              </w:rPr>
            </w:pPr>
            <w:r w:rsidRPr="00163266">
              <w:lastRenderedPageBreak/>
              <w:t>(36)</w:t>
            </w:r>
            <w:r w:rsidRPr="00163266">
              <w:tab/>
              <w:t xml:space="preserve">Jos </w:t>
            </w:r>
            <w:r w:rsidRPr="00163266">
              <w:rPr>
                <w:b/>
                <w:i/>
              </w:rPr>
              <w:t>vastaanottava</w:t>
            </w:r>
            <w:r w:rsidRPr="00163266">
              <w:t xml:space="preserve"> jäsenvaltio katsoo, että ulkomainen sijoitus todennäköisesti vaikuttaa kielteisesti turvallisuuteen tai yleiseen järjestykseen unionissa, on aiheellista edellyttää, että kyseinen jäsenvaltio toteuttaa </w:t>
            </w:r>
            <w:r w:rsidRPr="00163266">
              <w:lastRenderedPageBreak/>
              <w:t>asianmukaiset toimenpiteet riskien lieventämiseksi, jos tällaisia toimenpiteitä on käytettävissä ja se pitää niitä asianmukaisina, ottaen mahdollisimman tarkasti huomioon muiden jäsenvaltioiden esittämät huomautukset ja tarvittaessa komission lausunnon. Ulkomaiset sijoitukset olisi kiellettävä vain poikkeuksellisesti ja jos riskejä lieventävät toimenpiteet tai muun unionin tai kansallisen lainsäädännön kuin seurantamekanismin nojalla käytettävissä olevat toimenpiteet eivät riitä lieventämään vaikutusta turvallisuuteen tai yleiseen järjestykseen.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36</w:t>
      </w: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37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(37)</w:t>
            </w:r>
            <w:r w:rsidRPr="00163266">
              <w:tab/>
              <w:t>Jotta voidaan tukea yhteistyömekanismin täytäntöönpanoa ja edistää hyvien käytäntöjen vaihtoa jäsenvaltioiden välillä, asetuksen (EU) 2019/452 nojalla perustettu ulkomaisten sijoitusten seurantaa käsittelevä asiantuntijaryhmä olisi säilytettävä.</w:t>
            </w:r>
          </w:p>
        </w:tc>
        <w:tc>
          <w:tcPr>
            <w:tcW w:w="4876" w:type="dxa"/>
            <w:hideMark/>
          </w:tcPr>
          <w:p w:rsidR="001E1179" w:rsidRPr="00163266" w:rsidRDefault="001E1179" w:rsidP="00F60C33">
            <w:pPr>
              <w:pStyle w:val="Normal6"/>
              <w:widowControl/>
              <w:rPr>
                <w:szCs w:val="24"/>
              </w:rPr>
            </w:pPr>
            <w:r w:rsidRPr="00163266">
              <w:t>(37)</w:t>
            </w:r>
            <w:r w:rsidRPr="00163266">
              <w:tab/>
              <w:t xml:space="preserve">Jotta voidaan tukea yhteistyömekanismin täytäntöönpanoa ja edistää hyvien käytäntöjen vaihtoa jäsenvaltioiden välillä, asetuksen (EU) 2019/452 nojalla perustettu ulkomaisten sijoitusten seurantaa käsittelevä asiantuntijaryhmä olisi säilytettävä </w:t>
            </w:r>
            <w:r w:rsidRPr="00163266">
              <w:rPr>
                <w:b/>
                <w:i/>
              </w:rPr>
              <w:t>ja sen tehtävät päivitettävä tämän asetuksen mukaisesti</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37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37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(37 a)</w:t>
            </w:r>
            <w:r w:rsidRPr="00163266">
              <w:rPr>
                <w:b/>
                <w:i/>
              </w:rPr>
              <w:tab/>
              <w:t xml:space="preserve">Avoimuuden lisäämiseksi ja prosessin helpottamiseksi sijoittajien kannalta jäsenvaltioiden olisi julkaistava ja saatettava säännöllisesti ajan tasalle ohjeet seulontamenettelyistä, aikatauluista ja riskinarviointikriteereistä. Jotta voidaan varmistaa avoimuus ja tämän asetuksen yhdenmukainen soveltaminen kaikissa jäsenvaltioissa, </w:t>
            </w:r>
            <w:r w:rsidRPr="00163266">
              <w:rPr>
                <w:b/>
                <w:i/>
              </w:rPr>
              <w:lastRenderedPageBreak/>
              <w:t>komission olisi julkaistava ja päivitettävä säännöllisesti ohjeita unionin tason vaatimuksista sekä tässä asetuksessa vahvistetuista keskeisistä käsitteistä ja arviointikriteereistä. Komission olisi myös ylläpidettävä julkisesti saatavilla olevaa luetteloa kaikista jäsenvaltioiden käyttöön ottamista seurantamekanismeista.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38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39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(39)</w:t>
            </w:r>
            <w:r w:rsidRPr="00163266">
              <w:tab/>
              <w:t xml:space="preserve">Koordinointimekanismin tehokkuuden varmistamiseksi jäsenvaltioiden ja komission käyttöön ottamat yhteyspisteet olisi sijoitettava </w:t>
            </w:r>
            <w:r w:rsidRPr="00163266">
              <w:rPr>
                <w:b/>
                <w:i/>
              </w:rPr>
              <w:t>asianmukaisesti</w:t>
            </w:r>
            <w:r w:rsidRPr="00163266">
              <w:t xml:space="preserve"> asianomaisten hallintojen yhteyteen. Yhteyspisteillä olisi oltava tarvittava pätevä henkilöstö ja valtuudet, jotta ne voivat hoitaa tehtävänsä koordinointimekanismin puitteissa ja varmistaa luottamuksellisten tietojen asianmukaisen käsittelyn.</w:t>
            </w:r>
          </w:p>
        </w:tc>
        <w:tc>
          <w:tcPr>
            <w:tcW w:w="4876" w:type="dxa"/>
            <w:hideMark/>
          </w:tcPr>
          <w:p w:rsidR="001E1179" w:rsidRPr="00163266" w:rsidRDefault="001E1179" w:rsidP="00F60C33">
            <w:pPr>
              <w:pStyle w:val="Normal6"/>
              <w:widowControl/>
              <w:rPr>
                <w:szCs w:val="24"/>
              </w:rPr>
            </w:pPr>
            <w:r w:rsidRPr="00163266">
              <w:t>(39)</w:t>
            </w:r>
            <w:r w:rsidRPr="00163266">
              <w:tab/>
              <w:t xml:space="preserve">Koordinointimekanismin tehokkuuden varmistamiseksi jäsenvaltioiden ja komission käyttöön ottamat yhteyspisteet olisi sijoitettava </w:t>
            </w:r>
            <w:r w:rsidRPr="00163266">
              <w:rPr>
                <w:b/>
                <w:i/>
              </w:rPr>
              <w:t>asianmukaisen strategisesti</w:t>
            </w:r>
            <w:r w:rsidRPr="00163266">
              <w:t xml:space="preserve"> asianomaisten hallintojen yhteyteen. Yhteyspisteillä olisi oltava tarvittava pätevä henkilöstö ja valtuudet, jotta ne voivat hoitaa tehtävänsä koordinointimekanismin puitteissa ja varmistaa luottamuksellisten tietojen asianmukaisen käsittelyn </w:t>
            </w:r>
            <w:r w:rsidRPr="00163266">
              <w:rPr>
                <w:b/>
                <w:i/>
              </w:rPr>
              <w:t>sovellettavan oikeudellisen kehyksen mukaisesti</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39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40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(40)</w:t>
            </w:r>
            <w:r w:rsidRPr="00163266">
              <w:tab/>
              <w:t xml:space="preserve">Jäsenvaltioita ja komissiota olisi rohkaistava yhteistyöhön </w:t>
            </w:r>
            <w:proofErr w:type="spellStart"/>
            <w:r w:rsidRPr="00163266">
              <w:t>samanmielisten</w:t>
            </w:r>
            <w:proofErr w:type="spellEnd"/>
            <w:r w:rsidRPr="00163266">
              <w:t xml:space="preserve"> kolmansien maiden asiasta vastaavien viranomaisten kanssa kysymyksissä, jotka liittyvät sellaisten ulkomaisten sijoitusten seurantaan, jotka voivat vaikuttaa turvallisuuteen tai yleiseen järjestykseen. Tällaisella hallinnollisella yhteistyöllä olisi pyrittävä tehostamaan jäsenvaltioiden toteuttaman ulkomaisten sijoitusten seurannan puitteita ja tämän asetuksen mukaista jäsenvaltioiden ja komission välistä yhteistyötä. Komissiolle olisi </w:t>
            </w:r>
            <w:r w:rsidRPr="00163266">
              <w:lastRenderedPageBreak/>
              <w:t>tiedotettava tällaisista kahdenvälisistä yhteyksistä siltä osin kuin ne liittyvät sijoitusten seurantaan liittyviin systeemisiin kysymyksiin. Komissiolla olisi oltava myös mahdollisuus seurata seurantamekanismeihin liittyvää kehitystä kolmansissa maissa.</w:t>
            </w:r>
          </w:p>
        </w:tc>
        <w:tc>
          <w:tcPr>
            <w:tcW w:w="4876" w:type="dxa"/>
            <w:hideMark/>
          </w:tcPr>
          <w:p w:rsidR="001E1179" w:rsidRPr="00163266" w:rsidRDefault="001E1179" w:rsidP="00F60C33">
            <w:pPr>
              <w:pStyle w:val="Normal6"/>
              <w:widowControl/>
              <w:rPr>
                <w:szCs w:val="24"/>
              </w:rPr>
            </w:pPr>
            <w:r w:rsidRPr="00163266">
              <w:lastRenderedPageBreak/>
              <w:t>(40)</w:t>
            </w:r>
            <w:r w:rsidRPr="00163266">
              <w:tab/>
              <w:t xml:space="preserve">Jäsenvaltioita ja komissiota olisi rohkaistava </w:t>
            </w:r>
            <w:r w:rsidRPr="00163266">
              <w:rPr>
                <w:b/>
                <w:i/>
              </w:rPr>
              <w:t>aktiiviseen</w:t>
            </w:r>
            <w:r w:rsidRPr="00163266">
              <w:t xml:space="preserve"> yhteistyöhön </w:t>
            </w:r>
            <w:proofErr w:type="spellStart"/>
            <w:r w:rsidRPr="00163266">
              <w:t>samanmielisten</w:t>
            </w:r>
            <w:proofErr w:type="spellEnd"/>
            <w:r w:rsidRPr="00163266">
              <w:t xml:space="preserve"> kolmansien maiden asiasta vastaavien viranomaisten kanssa kysymyksissä, jotka liittyvät sellaisten ulkomaisten sijoitusten seurantaan, jotka voivat vaikuttaa turvallisuuteen tai yleiseen järjestykseen. Tällaisella hallinnollisella yhteistyöllä olisi pyrittävä tehostamaan jäsenvaltioiden toteuttaman ulkomaisten sijoitusten seurannan puitteita ja tämän asetuksen mukaista jäsenvaltioiden ja komission välistä yhteistyötä. Komissiolle </w:t>
            </w:r>
            <w:r w:rsidRPr="00163266">
              <w:lastRenderedPageBreak/>
              <w:t>on tiedotettava tällaisista kahdenvälisistä yhteyksistä siltä osin kuin ne liittyvät sijoitusten seurantaan liittyviin systeemisiin kysymyksiin</w:t>
            </w:r>
            <w:r w:rsidRPr="00163266">
              <w:rPr>
                <w:b/>
                <w:i/>
              </w:rPr>
              <w:t>, suuntauksiin tai parhaisiin käytäntöihin</w:t>
            </w:r>
            <w:r w:rsidRPr="00163266">
              <w:t>. Komissiolla olisi oltava myös mahdollisuus seurata seurantamekanismeihin liittyvää kehitystä kolmansissa maissa.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40</w:t>
      </w:r>
    </w:p>
    <w:p w:rsidR="001E1179" w:rsidRPr="00163266" w:rsidRDefault="001E1179" w:rsidP="001E1179">
      <w:pPr>
        <w:pStyle w:val="NormalBold12b"/>
        <w:widowControl/>
      </w:pPr>
      <w:r w:rsidRPr="00163266">
        <w:t>Ehdotus asetukseksi</w:t>
      </w:r>
    </w:p>
    <w:p w:rsidR="001E1179" w:rsidRPr="00163266" w:rsidRDefault="001E1179" w:rsidP="001E1179">
      <w:pPr>
        <w:pStyle w:val="NormalBold"/>
        <w:widowControl/>
      </w:pPr>
      <w:r w:rsidRPr="00163266">
        <w:t>Johdanto-osan 40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(40 a)</w:t>
            </w:r>
            <w:r w:rsidRPr="00163266">
              <w:rPr>
                <w:b/>
                <w:i/>
              </w:rPr>
              <w:tab/>
              <w:t>Tätä asetusta olisi pidettävä osana laajempaa unionin suojakeinojen pakettia, johon kuuluvat myös ulkomaisia tukia koskeva asetus ja kansainvälisten julkisten hankintojen väline ja jolla pyritään torjumaan turvallisuusriskejä, ja olisi myös varmistettava, että tämän asetuksen soveltamisala vahvistetaan yhdessä kyseisten toimenpiteiden kanssa, jotta voidaan välttää päällekkäisyydet ja varmistaa kohdennettu ja oikeasuhteinen lähestymistapa.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41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41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(41)</w:t>
            </w:r>
            <w:r w:rsidRPr="00163266">
              <w:tab/>
              <w:t xml:space="preserve">Jäsenvaltioiden ja komission </w:t>
            </w:r>
            <w:r w:rsidRPr="00163266">
              <w:rPr>
                <w:b/>
                <w:i/>
              </w:rPr>
              <w:t>on</w:t>
            </w:r>
            <w:r w:rsidRPr="00163266">
              <w:t xml:space="preserve"> varmistettava tämän asetuksen mukaisesti toimittamiensa tai saamiensa tietojen luottamuksellisuus kansallisen lainsäädännön ja unionin oikeuden mukaisesti. Jos tietojen luvaton paljastaminen vahingoittaisi vaihtelevassa määrin Euroopan unionin tai yhden tai useamman jäsenvaltion etuja, tiedon luovuttajan olisi turvallisuusluokiteltava tiedot kansallisen lainsäädännön ja unionin oikeuden mukaisesti. Vastatessaan tämän asetuksen mukaisesti käsiteltyjä asiakirjoja </w:t>
            </w:r>
            <w:r w:rsidRPr="00163266">
              <w:lastRenderedPageBreak/>
              <w:t xml:space="preserve">koskeviin tutustumispyyntöihin </w:t>
            </w:r>
            <w:r w:rsidRPr="00163266">
              <w:rPr>
                <w:b/>
                <w:i/>
              </w:rPr>
              <w:t>jäsenvaltiot</w:t>
            </w:r>
            <w:r w:rsidRPr="00163266">
              <w:t xml:space="preserve"> ja </w:t>
            </w:r>
            <w:r w:rsidRPr="00163266">
              <w:rPr>
                <w:b/>
                <w:i/>
              </w:rPr>
              <w:t>komissio</w:t>
            </w:r>
            <w:r w:rsidRPr="00163266">
              <w:t xml:space="preserve"> </w:t>
            </w:r>
            <w:r w:rsidRPr="00163266">
              <w:rPr>
                <w:b/>
                <w:i/>
              </w:rPr>
              <w:t>koordinoivat</w:t>
            </w:r>
            <w:r w:rsidRPr="00163266">
              <w:t xml:space="preserve"> toimintaansa ja </w:t>
            </w:r>
            <w:r w:rsidRPr="00163266">
              <w:rPr>
                <w:b/>
                <w:i/>
              </w:rPr>
              <w:t>tarjoavat</w:t>
            </w:r>
            <w:r w:rsidRPr="00163266">
              <w:t xml:space="preserve"> suojatuille eduille vähintään asetuksen (EY) </w:t>
            </w:r>
            <w:proofErr w:type="gramStart"/>
            <w:r w:rsidRPr="00163266">
              <w:t>N:o</w:t>
            </w:r>
            <w:proofErr w:type="gramEnd"/>
            <w:r w:rsidRPr="00163266">
              <w:t xml:space="preserve"> 1049/2001</w:t>
            </w:r>
            <w:r w:rsidRPr="00163266">
              <w:rPr>
                <w:vertAlign w:val="superscript"/>
              </w:rPr>
              <w:t>5</w:t>
            </w:r>
            <w:r w:rsidRPr="00163266">
              <w:t xml:space="preserve"> 4 artiklan nojalla käytettävissä olevan suojan </w:t>
            </w:r>
            <w:r w:rsidRPr="00163266">
              <w:rPr>
                <w:b/>
                <w:i/>
              </w:rPr>
              <w:t>tason</w:t>
            </w:r>
            <w:r w:rsidRPr="00163266">
              <w:t xml:space="preserve">, jotta </w:t>
            </w:r>
            <w:r w:rsidRPr="00163266">
              <w:rPr>
                <w:b/>
                <w:i/>
              </w:rPr>
              <w:t>suojataan</w:t>
            </w:r>
            <w:r w:rsidRPr="00163266">
              <w:t xml:space="preserve"> tutkimusten </w:t>
            </w:r>
            <w:r w:rsidRPr="00163266">
              <w:rPr>
                <w:b/>
                <w:i/>
              </w:rPr>
              <w:t>tarkoitus</w:t>
            </w:r>
            <w:r w:rsidRPr="00163266">
              <w:t>. Komission olisi toteutettava kaikki tarvittavat toimenpiteet luottamuksellisten tietojen suojaamiseksi erityisesti komission päätöksen (EU, Euratom) 2015/443</w:t>
            </w:r>
            <w:r w:rsidRPr="00163266">
              <w:rPr>
                <w:vertAlign w:val="superscript"/>
              </w:rPr>
              <w:t>6</w:t>
            </w:r>
            <w:r w:rsidRPr="00163266">
              <w:t xml:space="preserve"> ja komission päätöksen (EU, Euratom) 2015/444</w:t>
            </w:r>
            <w:r w:rsidRPr="00163266">
              <w:rPr>
                <w:vertAlign w:val="superscript"/>
              </w:rPr>
              <w:t>7</w:t>
            </w:r>
            <w:r w:rsidRPr="00163266">
              <w:t xml:space="preserve"> mukaisesti. Vastaavasti jäsenvaltioiden ja komission olisi toteutettava kaikki tarvittavat toimenpiteet sen varmistamiseksi, että noudatetaan neuvostossa kokoontuneiden Euroopan unionin jäsenvaltioiden välistä sopimusta</w:t>
            </w:r>
            <w:r w:rsidRPr="00163266">
              <w:rPr>
                <w:vertAlign w:val="superscript"/>
              </w:rPr>
              <w:t>8</w:t>
            </w:r>
            <w:r w:rsidRPr="00163266">
              <w:t xml:space="preserve"> unionin edun vuoksi vaihdettujen turvallisuusluokiteltujen tietojen suojaamisesta. Tähän sisältyy erityisesti velvollisuus olla alentamatta tai poistamatta </w:t>
            </w:r>
            <w:r w:rsidRPr="00163266">
              <w:rPr>
                <w:b/>
                <w:i/>
              </w:rPr>
              <w:t>turvallisuusluokiteltujen</w:t>
            </w:r>
            <w:r w:rsidRPr="00163266">
              <w:t xml:space="preserve"> tietojen turvallisuusluokkaa ilman niiden luovuttajan kirjallista ennakkosuostumusta. Viranomaisten olisi käsiteltävä luottamuksellisina kaikkia arkaluonteisia turvallisuusluokittelemattomia tietoja tai tietoja, jotka toimitetaan luottamuksellisesti.</w:t>
            </w:r>
          </w:p>
        </w:tc>
        <w:tc>
          <w:tcPr>
            <w:tcW w:w="4876" w:type="dxa"/>
            <w:hideMark/>
          </w:tcPr>
          <w:p w:rsidR="001E1179" w:rsidRPr="00163266" w:rsidRDefault="001E1179" w:rsidP="00F60C33">
            <w:pPr>
              <w:pStyle w:val="Normal6"/>
              <w:widowControl/>
              <w:rPr>
                <w:szCs w:val="24"/>
              </w:rPr>
            </w:pPr>
            <w:r w:rsidRPr="00163266">
              <w:lastRenderedPageBreak/>
              <w:t>(41)</w:t>
            </w:r>
            <w:r w:rsidRPr="00163266">
              <w:tab/>
              <w:t xml:space="preserve">Jäsenvaltioiden ja komission </w:t>
            </w:r>
            <w:r w:rsidRPr="00163266">
              <w:rPr>
                <w:b/>
                <w:i/>
              </w:rPr>
              <w:t>olisi</w:t>
            </w:r>
            <w:r w:rsidRPr="00163266">
              <w:t xml:space="preserve"> varmistettava tämän asetuksen mukaisesti toimittamiensa tai saamiensa tietojen </w:t>
            </w:r>
            <w:r w:rsidRPr="00163266">
              <w:rPr>
                <w:b/>
                <w:i/>
              </w:rPr>
              <w:t>mahdollisimman suuri</w:t>
            </w:r>
            <w:r w:rsidRPr="00163266">
              <w:t xml:space="preserve"> luottamuksellisuus kansallisen lainsäädännön ja unionin oikeuden mukaisesti. Jos tietojen luvaton paljastaminen vahingoittaisi vaihtelevassa määrin Euroopan unionin tai yhden tai useamman jäsenvaltion etuja, tiedon luovuttajan olisi turvallisuusluokiteltava tiedot kansallisen lainsäädännön ja unionin oikeuden mukaisesti. Vastatessaan tämän asetuksen mukaisesti käsiteltyjä asiakirjoja </w:t>
            </w:r>
            <w:r w:rsidRPr="00163266">
              <w:lastRenderedPageBreak/>
              <w:t xml:space="preserve">koskeviin tutustumispyyntöihin </w:t>
            </w:r>
            <w:r w:rsidRPr="00163266">
              <w:rPr>
                <w:b/>
                <w:i/>
              </w:rPr>
              <w:t>jäsenvaltioiden</w:t>
            </w:r>
            <w:r w:rsidRPr="00163266">
              <w:t xml:space="preserve"> ja </w:t>
            </w:r>
            <w:r w:rsidRPr="00163266">
              <w:rPr>
                <w:b/>
                <w:i/>
              </w:rPr>
              <w:t>komission olisi koordinoitava</w:t>
            </w:r>
            <w:r w:rsidRPr="00163266">
              <w:t xml:space="preserve"> toimintaansa ja</w:t>
            </w:r>
            <w:r w:rsidRPr="00163266">
              <w:rPr>
                <w:b/>
                <w:i/>
              </w:rPr>
              <w:t xml:space="preserve"> tarjottava</w:t>
            </w:r>
            <w:r w:rsidRPr="00163266">
              <w:t xml:space="preserve"> suojatuille eduille vähintään asetuksen (EY) </w:t>
            </w:r>
            <w:proofErr w:type="gramStart"/>
            <w:r w:rsidRPr="00163266">
              <w:t>N:o</w:t>
            </w:r>
            <w:proofErr w:type="gramEnd"/>
            <w:r w:rsidRPr="00163266">
              <w:t xml:space="preserve"> 1049/2001</w:t>
            </w:r>
            <w:r w:rsidRPr="00163266">
              <w:rPr>
                <w:vertAlign w:val="superscript"/>
              </w:rPr>
              <w:t>5</w:t>
            </w:r>
            <w:r w:rsidRPr="00163266">
              <w:t xml:space="preserve"> 4 artiklan nojalla käytettävissä olevan suojan </w:t>
            </w:r>
            <w:r w:rsidRPr="00163266">
              <w:rPr>
                <w:b/>
                <w:i/>
              </w:rPr>
              <w:t>taso</w:t>
            </w:r>
            <w:r w:rsidRPr="00163266">
              <w:t xml:space="preserve">, jotta </w:t>
            </w:r>
            <w:r w:rsidRPr="00163266">
              <w:rPr>
                <w:b/>
                <w:i/>
              </w:rPr>
              <w:t>voidaan suojata</w:t>
            </w:r>
            <w:r w:rsidRPr="00163266">
              <w:t xml:space="preserve"> tutkimusten </w:t>
            </w:r>
            <w:r w:rsidRPr="00163266">
              <w:rPr>
                <w:b/>
                <w:i/>
              </w:rPr>
              <w:t>eheys</w:t>
            </w:r>
            <w:r w:rsidRPr="00163266">
              <w:t>. Komission olisi toteutettava kaikki tarvittavat toimenpiteet luottamuksellisten tietojen suojaamiseksi erityisesti komission päätöksen (EU, Euratom) 2015/443</w:t>
            </w:r>
            <w:r w:rsidRPr="00163266">
              <w:rPr>
                <w:vertAlign w:val="superscript"/>
              </w:rPr>
              <w:t>6</w:t>
            </w:r>
            <w:r w:rsidRPr="00163266">
              <w:t xml:space="preserve"> ja komission päätöksen (EU, Euratom) 2015/444</w:t>
            </w:r>
            <w:r w:rsidRPr="00163266">
              <w:rPr>
                <w:vertAlign w:val="superscript"/>
              </w:rPr>
              <w:t>7</w:t>
            </w:r>
            <w:r w:rsidRPr="00163266">
              <w:t xml:space="preserve"> mukaisesti. Vastaavasti jäsenvaltioiden ja komission olisi toteutettava kaikki tarvittavat toimenpiteet sen varmistamiseksi, että noudatetaan neuvostossa kokoontuneiden Euroopan unionin jäsenvaltioiden välistä sopimusta</w:t>
            </w:r>
            <w:r w:rsidRPr="00163266">
              <w:rPr>
                <w:vertAlign w:val="superscript"/>
              </w:rPr>
              <w:t>8</w:t>
            </w:r>
            <w:r w:rsidRPr="00163266">
              <w:t xml:space="preserve"> unionin edun vuoksi vaihdettujen turvallisuusluokiteltujen tietojen suojaamisesta. Tähän sisältyy erityisesti velvollisuus </w:t>
            </w:r>
            <w:r w:rsidRPr="00163266">
              <w:rPr>
                <w:b/>
                <w:i/>
              </w:rPr>
              <w:t>säilyttää</w:t>
            </w:r>
            <w:r w:rsidRPr="00163266">
              <w:t xml:space="preserve"> </w:t>
            </w:r>
            <w:r w:rsidRPr="00163266">
              <w:rPr>
                <w:b/>
                <w:i/>
              </w:rPr>
              <w:t>turvallisuusluokiteltujen tietojen luottamuksellisuus ja</w:t>
            </w:r>
            <w:r w:rsidRPr="00163266">
              <w:t xml:space="preserve"> olla alentamatta tai poistamatta </w:t>
            </w:r>
            <w:r w:rsidRPr="00163266">
              <w:rPr>
                <w:b/>
                <w:i/>
              </w:rPr>
              <w:t>tällaisten</w:t>
            </w:r>
            <w:r w:rsidRPr="00163266">
              <w:t xml:space="preserve"> tietojen turvallisuusluokkaa ilman niiden luovuttajan kirjallista ennakkosuostumusta. Viranomaisten olisi käsiteltävä luottamuksellisina kaikkia arkaluonteisia turvallisuusluokittelemattomia tietoja tai tietoja, jotka toimitetaan luottamuksellisesti.</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lastRenderedPageBreak/>
              <w:t>__________________</w:t>
            </w:r>
          </w:p>
        </w:tc>
        <w:tc>
          <w:tcPr>
            <w:tcW w:w="4876" w:type="dxa"/>
            <w:hideMark/>
          </w:tcPr>
          <w:p w:rsidR="001E1179" w:rsidRPr="00163266" w:rsidRDefault="001E1179" w:rsidP="00F60C33">
            <w:pPr>
              <w:pStyle w:val="Normal6"/>
              <w:widowControl/>
              <w:rPr>
                <w:szCs w:val="24"/>
              </w:rPr>
            </w:pPr>
            <w:r w:rsidRPr="00163266">
              <w:t>__________________</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vertAlign w:val="superscript"/>
              </w:rPr>
              <w:t>5</w:t>
            </w:r>
            <w:r w:rsidRPr="00163266">
              <w:t xml:space="preserve"> Euroopan parlamentin ja neuvoston asetus (EY) N:o 1049/2001, annettu 30 päivänä toukokuuta 2001, Euroopan parlamentin, neuvoston ja komission asiakirjojen saamisesta yleisön tutustuttavaksi (EYVL L 145, 31.5.2001, s. 43, ELI: http://data.europa.eu/eli/reg/2001/1049/oj).</w:t>
            </w:r>
          </w:p>
        </w:tc>
        <w:tc>
          <w:tcPr>
            <w:tcW w:w="4876" w:type="dxa"/>
            <w:hideMark/>
          </w:tcPr>
          <w:p w:rsidR="001E1179" w:rsidRPr="00163266" w:rsidRDefault="001E1179" w:rsidP="00F60C33">
            <w:pPr>
              <w:pStyle w:val="Normal6"/>
              <w:widowControl/>
              <w:rPr>
                <w:szCs w:val="24"/>
              </w:rPr>
            </w:pPr>
            <w:r w:rsidRPr="00163266">
              <w:rPr>
                <w:vertAlign w:val="superscript"/>
              </w:rPr>
              <w:t>5</w:t>
            </w:r>
            <w:r w:rsidRPr="00163266">
              <w:t xml:space="preserve"> Euroopan parlamentin ja neuvoston asetus (EY) N:o 1049/2001, annettu 30 päivänä toukokuuta 2001, Euroopan parlamentin, neuvoston ja komission asiakirjojen saamisesta yleisön tutustuttavaksi (EYVL L 145, 31.5.2001, s. 43, ELI: http://data.europa.eu/eli/reg/2001/1049/oj).</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vertAlign w:val="superscript"/>
              </w:rPr>
              <w:t>6</w:t>
            </w:r>
            <w:r w:rsidRPr="00163266">
              <w:t xml:space="preserve"> Komission päätös (EU, Euratom) 2015/443, annettu 13 päivänä maaliskuuta 2015, turvallisuudesta komissiossa (EUVL L 72, 17.3.2015, s. 41, ELI: http://data.europa.eu/eli/dec/2015/443/oj).</w:t>
            </w:r>
          </w:p>
        </w:tc>
        <w:tc>
          <w:tcPr>
            <w:tcW w:w="4876" w:type="dxa"/>
            <w:hideMark/>
          </w:tcPr>
          <w:p w:rsidR="001E1179" w:rsidRPr="00163266" w:rsidRDefault="001E1179" w:rsidP="00F60C33">
            <w:pPr>
              <w:pStyle w:val="Normal6"/>
              <w:widowControl/>
              <w:rPr>
                <w:szCs w:val="24"/>
              </w:rPr>
            </w:pPr>
            <w:r w:rsidRPr="00163266">
              <w:rPr>
                <w:vertAlign w:val="superscript"/>
              </w:rPr>
              <w:t>6</w:t>
            </w:r>
            <w:r w:rsidRPr="00163266">
              <w:t xml:space="preserve"> Komission päätös (EU, Euratom) 2015/443, annettu 13 päivänä maaliskuuta 2015, turvallisuudesta komissiossa (EUVL L 72, 17.3.2015, s. 41, ELI: http://data.europa.eu/eli/dec/2015/443/oj).</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vertAlign w:val="superscript"/>
              </w:rPr>
              <w:t>7</w:t>
            </w:r>
            <w:r w:rsidRPr="00163266">
              <w:t xml:space="preserve"> Komission päätös (EU, Euratom) 2015/444, annettu 13 päivänä maaliskuuta 2015, EU:n turvallisuusluokiteltujen tietojen suojaamista koskevista säännöistä </w:t>
            </w:r>
            <w:r w:rsidRPr="00163266">
              <w:lastRenderedPageBreak/>
              <w:t>(EUVL L 72, 17.3.2015, s. 53, ELI: http://data.europa.eu/eli/dec/2015/444/oj).</w:t>
            </w:r>
          </w:p>
        </w:tc>
        <w:tc>
          <w:tcPr>
            <w:tcW w:w="4876" w:type="dxa"/>
            <w:hideMark/>
          </w:tcPr>
          <w:p w:rsidR="001E1179" w:rsidRPr="00163266" w:rsidRDefault="001E1179" w:rsidP="00F60C33">
            <w:pPr>
              <w:pStyle w:val="Normal6"/>
              <w:widowControl/>
              <w:rPr>
                <w:szCs w:val="24"/>
              </w:rPr>
            </w:pPr>
            <w:r w:rsidRPr="00163266">
              <w:rPr>
                <w:vertAlign w:val="superscript"/>
              </w:rPr>
              <w:lastRenderedPageBreak/>
              <w:t>7</w:t>
            </w:r>
            <w:r w:rsidRPr="00163266">
              <w:t xml:space="preserve"> Komission päätös (EU, Euratom) 2015/444, annettu 13 päivänä maaliskuuta 2015, EU:n turvallisuusluokiteltujen tietojen suojaamista koskevista säännöistä </w:t>
            </w:r>
            <w:r w:rsidRPr="00163266">
              <w:lastRenderedPageBreak/>
              <w:t>(EUVL L 72, 17.3.2015, s. 53, ELI: http://data.europa.eu/eli/dec/2015/444/oj).</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vertAlign w:val="superscript"/>
              </w:rPr>
              <w:lastRenderedPageBreak/>
              <w:t>8</w:t>
            </w:r>
            <w:r w:rsidRPr="00163266">
              <w:t xml:space="preserve"> Neuvostossa kokoontuneiden Euroopan unionin jäsenvaltioiden välinen sopimus Euroopan unionin edun vuoksi vaihdettujen turvallisuusluokiteltujen tietojen suojaamisesta (EUVL C 202, 8.7.2011, s. 13).</w:t>
            </w:r>
          </w:p>
        </w:tc>
        <w:tc>
          <w:tcPr>
            <w:tcW w:w="4876" w:type="dxa"/>
            <w:hideMark/>
          </w:tcPr>
          <w:p w:rsidR="001E1179" w:rsidRPr="00163266" w:rsidRDefault="001E1179" w:rsidP="00F60C33">
            <w:pPr>
              <w:pStyle w:val="Normal6"/>
              <w:widowControl/>
              <w:rPr>
                <w:szCs w:val="24"/>
              </w:rPr>
            </w:pPr>
            <w:r w:rsidRPr="00163266">
              <w:rPr>
                <w:vertAlign w:val="superscript"/>
              </w:rPr>
              <w:t>8</w:t>
            </w:r>
            <w:r w:rsidRPr="00163266">
              <w:t xml:space="preserve"> Neuvostossa kokoontuneiden Euroopan unionin jäsenvaltioiden välinen sopimus Euroopan unionin edun vuoksi vaihdettujen turvallisuusluokiteltujen tietojen suojaamisesta (EUVL C 202, 8.7.2011, s. 13).</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42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43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(43)</w:t>
            </w:r>
            <w:r w:rsidRPr="00163266">
              <w:tab/>
              <w:t>Komission olisi laadittava vuosittain kertomus tämän asetuksen täytäntöönpanosta ja toimitettava se Euroopan parlamentille ja neuvostolle. Kertomus olisi julkistettava avoimuuden lisäämiseksi. Kertomuksen olisi perustuttava muun muassa kaikkien jäsenvaltioiden komissiolle luottamuksellisesti toimittamiin raportteihin ottaen asianmukaisesti huomioon tarve varmistaa tiettyjen tietojen luottamuksellisuuden suoja erityisesti silloin, kun tietojen julkaiseminen voisi vaikuttaa unionin turvallisuuteen tai yleiseen järjestykseen tai vaarantaa kaupallisen luottamuksellisuuden.</w:t>
            </w:r>
          </w:p>
        </w:tc>
        <w:tc>
          <w:tcPr>
            <w:tcW w:w="4876" w:type="dxa"/>
            <w:hideMark/>
          </w:tcPr>
          <w:p w:rsidR="001E1179" w:rsidRPr="00163266" w:rsidRDefault="001E1179" w:rsidP="00F60C33">
            <w:pPr>
              <w:pStyle w:val="Normal6"/>
              <w:widowControl/>
              <w:rPr>
                <w:szCs w:val="24"/>
              </w:rPr>
            </w:pPr>
            <w:r w:rsidRPr="00163266">
              <w:t>(43)</w:t>
            </w:r>
            <w:r w:rsidRPr="00163266">
              <w:tab/>
              <w:t xml:space="preserve">Komission olisi laadittava vuosittain kertomus tämän asetuksen täytäntöönpanosta ja toimitettava se Euroopan parlamentille ja neuvostolle. Kertomus olisi julkistettava avoimuuden lisäämiseksi. Kertomuksen olisi perustuttava muun muassa kaikkien jäsenvaltioiden komissiolle luottamuksellisesti toimittamiin raportteihin ottaen asianmukaisesti huomioon tarve varmistaa tiettyjen tietojen luottamuksellisuuden suoja erityisesti silloin, kun tietojen julkaiseminen voisi vaikuttaa unionin turvallisuuteen tai yleiseen järjestykseen tai vaarantaa kaupallisen luottamuksellisuuden. </w:t>
            </w:r>
            <w:r w:rsidRPr="00163266">
              <w:rPr>
                <w:b/>
                <w:i/>
              </w:rPr>
              <w:t>Kertomuksen olisi sisällettävä tietoja uusista suuntauksista ja riskitekijöistä sekä päivityksiä asiaankuuluvan lainsäädännön kehityksestä jäsenvaltiossa.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43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44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(44)</w:t>
            </w:r>
            <w:r w:rsidRPr="00163266">
              <w:tab/>
              <w:t xml:space="preserve">Komission olisi arvioitava tämän asetuksen toimivuutta ja vaikuttavuutta </w:t>
            </w:r>
            <w:r w:rsidRPr="00163266">
              <w:rPr>
                <w:b/>
                <w:i/>
              </w:rPr>
              <w:t>viiden</w:t>
            </w:r>
            <w:r w:rsidRPr="00163266">
              <w:t xml:space="preserve"> vuoden kuluttua sen </w:t>
            </w:r>
            <w:r w:rsidRPr="00163266">
              <w:lastRenderedPageBreak/>
              <w:t xml:space="preserve">soveltamispäivästä ja sen jälkeen viiden vuoden välein ja esitettävä kertomus Euroopan parlamentille ja neuvostolle. </w:t>
            </w:r>
            <w:r w:rsidRPr="00163266">
              <w:rPr>
                <w:b/>
                <w:bCs/>
                <w:i/>
                <w:iCs/>
              </w:rPr>
              <w:t>Kertomukseen</w:t>
            </w:r>
            <w:r w:rsidRPr="00163266">
              <w:t xml:space="preserve"> olisi sisällyttävä arvio siitä, olisiko tätä asetusta muutettava. Jos kertomuksessa ehdotetaan tämän asetuksen muuttamista, siihen voidaan liittää lainsäädäntöehdotus.</w:t>
            </w:r>
          </w:p>
        </w:tc>
        <w:tc>
          <w:tcPr>
            <w:tcW w:w="4876" w:type="dxa"/>
            <w:hideMark/>
          </w:tcPr>
          <w:p w:rsidR="001E1179" w:rsidRPr="00163266" w:rsidRDefault="001E1179" w:rsidP="00F60C33">
            <w:pPr>
              <w:pStyle w:val="Normal6"/>
              <w:widowControl/>
              <w:rPr>
                <w:szCs w:val="24"/>
              </w:rPr>
            </w:pPr>
            <w:r w:rsidRPr="00163266">
              <w:lastRenderedPageBreak/>
              <w:t>(44)</w:t>
            </w:r>
            <w:r w:rsidRPr="00163266">
              <w:tab/>
              <w:t xml:space="preserve">Komission olisi arvioitava tämän asetuksen toimivuutta ja vaikuttavuutta </w:t>
            </w:r>
            <w:r w:rsidRPr="00163266">
              <w:rPr>
                <w:b/>
                <w:i/>
              </w:rPr>
              <w:t>kolmen</w:t>
            </w:r>
            <w:r w:rsidRPr="00163266">
              <w:t xml:space="preserve"> vuoden kuluttua sen </w:t>
            </w:r>
            <w:r w:rsidRPr="00163266">
              <w:lastRenderedPageBreak/>
              <w:t xml:space="preserve">soveltamispäivästä ja sen jälkeen viiden vuoden välein ja esitettävä kertomus Euroopan parlamentille ja neuvostolle. </w:t>
            </w:r>
            <w:r w:rsidRPr="00163266">
              <w:rPr>
                <w:b/>
                <w:i/>
              </w:rPr>
              <w:t>Kertomukseen olisi sisällyttävä erityisesti arvio tämän asetuksen vaikutuksesta unionin taloudelliseen turvallisuuteen. Siihen</w:t>
            </w:r>
            <w:r w:rsidRPr="00163266">
              <w:t xml:space="preserve"> olisi sisällyttävä arvio siitä, olisiko tätä asetusta muutettava. Jos kertomuksessa ehdotetaan tämän asetuksen muuttamista, siihen voidaan liittää lainsäädäntöehdotus.</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44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46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(46)</w:t>
            </w:r>
            <w:r w:rsidRPr="00163266">
              <w:tab/>
              <w:t xml:space="preserve">Jos ulkomainen sijoitus muodostaa keskittymän, joka kuuluu neuvoston asetuksen (EY) </w:t>
            </w:r>
            <w:proofErr w:type="gramStart"/>
            <w:r w:rsidRPr="00163266">
              <w:t>N:o</w:t>
            </w:r>
            <w:proofErr w:type="gramEnd"/>
            <w:r w:rsidRPr="00163266">
              <w:t xml:space="preserve"> 139/2004</w:t>
            </w:r>
            <w:r w:rsidRPr="00163266">
              <w:rPr>
                <w:vertAlign w:val="superscript"/>
              </w:rPr>
              <w:t>12</w:t>
            </w:r>
            <w:r w:rsidRPr="00163266">
              <w:t xml:space="preserve"> soveltamisalaan, tämän asetuksen soveltaminen ei saisi rajoittaa asetuksen (EY) N:o 139/2004 21 artiklan 4 kohdan soveltamista. Tätä asetusta ja asetuksen (EY) </w:t>
            </w:r>
            <w:proofErr w:type="gramStart"/>
            <w:r w:rsidRPr="00163266">
              <w:t>N:o</w:t>
            </w:r>
            <w:proofErr w:type="gramEnd"/>
            <w:r w:rsidRPr="00163266">
              <w:t xml:space="preserve"> 139/2004 21 artiklan 4 kohtaa olisi sovellettava johdonmukaisesti. Jos näiden kahden asetuksen soveltamisalat ovat päällekkäiset, tämän asetuksen </w:t>
            </w:r>
            <w:r w:rsidRPr="00163266">
              <w:rPr>
                <w:b/>
                <w:i/>
              </w:rPr>
              <w:t>12</w:t>
            </w:r>
            <w:r w:rsidRPr="00163266">
              <w:t xml:space="preserve"> artiklassa säädetyt seurantaa koskevat perusteet ja asetuksen (EY) N:o 139/2004 21 artiklan 4 kohdan kolmannessa alakohdassa tarkoitettu oikeutettujen etujen käsite olisi tulkittava johdonmukaisesti, sanotun kuitenkaan rajoittamatta sen arvioimista, ovatko näiden etujen suojaamiseen tarkoitetut kansalliset toimenpiteet yhdenmukaisia unionin oikeuden yleisten periaatteiden ja muiden sääntöjen kanssa.</w:t>
            </w:r>
          </w:p>
        </w:tc>
        <w:tc>
          <w:tcPr>
            <w:tcW w:w="4876" w:type="dxa"/>
            <w:hideMark/>
          </w:tcPr>
          <w:p w:rsidR="001E1179" w:rsidRPr="00163266" w:rsidRDefault="001E1179" w:rsidP="00F60C33">
            <w:pPr>
              <w:pStyle w:val="Normal6"/>
              <w:widowControl/>
              <w:rPr>
                <w:szCs w:val="24"/>
              </w:rPr>
            </w:pPr>
            <w:r w:rsidRPr="00163266">
              <w:t>(46)</w:t>
            </w:r>
            <w:r w:rsidRPr="00163266">
              <w:tab/>
              <w:t xml:space="preserve">Jos ulkomainen sijoitus muodostaa keskittymän, joka kuuluu neuvoston asetuksen (EY) </w:t>
            </w:r>
            <w:proofErr w:type="gramStart"/>
            <w:r w:rsidRPr="00163266">
              <w:t>N:o</w:t>
            </w:r>
            <w:proofErr w:type="gramEnd"/>
            <w:r w:rsidRPr="00163266">
              <w:t xml:space="preserve"> 139/2004</w:t>
            </w:r>
            <w:r w:rsidRPr="00163266">
              <w:rPr>
                <w:vertAlign w:val="superscript"/>
              </w:rPr>
              <w:t>12</w:t>
            </w:r>
            <w:r w:rsidRPr="00163266">
              <w:t xml:space="preserve"> soveltamisalaan, tämän asetuksen soveltaminen ei saisi rajoittaa asetuksen (EY) N:o 139/2004 21 artiklan 4 kohdan soveltamista. Tätä asetusta ja asetuksen (EY) </w:t>
            </w:r>
            <w:proofErr w:type="gramStart"/>
            <w:r w:rsidRPr="00163266">
              <w:t>N:o</w:t>
            </w:r>
            <w:proofErr w:type="gramEnd"/>
            <w:r w:rsidRPr="00163266">
              <w:t xml:space="preserve"> 139/2004 21 artiklan 4 kohtaa olisi sovellettava johdonmukaisesti. Jos näiden kahden asetuksen soveltamisalat ovat päällekkäiset, tämän asetuksen</w:t>
            </w:r>
            <w:r w:rsidRPr="00163266">
              <w:rPr>
                <w:b/>
                <w:i/>
              </w:rPr>
              <w:t xml:space="preserve"> 1</w:t>
            </w:r>
            <w:r w:rsidRPr="00163266">
              <w:t xml:space="preserve"> artiklassa säädetyt seurantaa koskevat perusteet ja asetuksen (EY) N:o 139/2004 21 artiklan 4 kohdan kolmannessa alakohdassa tarkoitettu oikeutettujen etujen käsite olisi tulkittava johdonmukaisesti, sanotun kuitenkaan rajoittamatta sen arvioimista, ovatko näiden etujen suojaamiseen tarkoitetut kansalliset toimenpiteet yhdenmukaisia unionin oikeuden yleisten periaatteiden ja muiden sääntöjen kanssa.</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__________________</w:t>
            </w:r>
          </w:p>
        </w:tc>
        <w:tc>
          <w:tcPr>
            <w:tcW w:w="4876" w:type="dxa"/>
            <w:hideMark/>
          </w:tcPr>
          <w:p w:rsidR="001E1179" w:rsidRPr="00163266" w:rsidRDefault="001E1179" w:rsidP="00F60C33">
            <w:pPr>
              <w:pStyle w:val="Normal6"/>
              <w:widowControl/>
              <w:rPr>
                <w:szCs w:val="24"/>
              </w:rPr>
            </w:pPr>
            <w:r w:rsidRPr="00163266">
              <w:t>__________________</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vertAlign w:val="superscript"/>
              </w:rPr>
              <w:t>12</w:t>
            </w:r>
            <w:r w:rsidRPr="00163266">
              <w:t xml:space="preserve"> Neuvoston asetus (EY) N:o 139/2004, annettu 20 päivänä tammikuuta 2004, yrityskeskittymien valvonnasta (EUVL L 24, 29.1.2004, s. 1, ELI: http://data.europa.eu/eli/reg/2004/139/oj).</w:t>
            </w:r>
          </w:p>
        </w:tc>
        <w:tc>
          <w:tcPr>
            <w:tcW w:w="4876" w:type="dxa"/>
            <w:hideMark/>
          </w:tcPr>
          <w:p w:rsidR="001E1179" w:rsidRPr="00163266" w:rsidRDefault="001E1179" w:rsidP="00F60C33">
            <w:pPr>
              <w:pStyle w:val="Normal6"/>
              <w:widowControl/>
              <w:rPr>
                <w:szCs w:val="24"/>
              </w:rPr>
            </w:pPr>
            <w:r w:rsidRPr="00163266">
              <w:rPr>
                <w:vertAlign w:val="superscript"/>
              </w:rPr>
              <w:t>12</w:t>
            </w:r>
            <w:r w:rsidRPr="00163266">
              <w:t xml:space="preserve"> Neuvoston asetus (EY) N:o 139/2004, annettu 20 päivänä tammikuuta 2004, yrityskeskittymien valvonnasta (EUVL L 24, 29.1.2004, s. 1, ELI: http://data.europa.eu/eli/reg/2004/139/oj).</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45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49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(49)</w:t>
            </w:r>
            <w:r w:rsidRPr="00163266">
              <w:tab/>
              <w:t>Jotta voidaan ottaa huomioon unionin etua koskeviin hankkeisiin tai ohjelmiin liittyvä kehitys ja mukauttaa luetteloa teknologia-aloista, resursseista, laitoksista, laitteista, verkoista, järjestelmistä, palveluista ja taloudellisista toiminnoista, jotka ovat erityisen tärkeitä unionin turvallisuuden tai yleisen järjestyksen kannalta, komissiolle olisi siirrettävä valta hyväksyä Euroopan unionin toiminnasta tehdyn sopimuksen 290 artiklan mukaisesti säädösvallan siirron nojalla annettavia delegoituja säädöksiä, jotka koskevat tämän asetuksen liitteiden muuttamista. Liitteessä I esitetyn luettelon unionin etua koskevista hankkeista ja ohjelmista olisi katettava EU:n lainsäädännön soveltamisalaan kuuluvat hankkeet tai ohjelmat, joihin liittyy turvallisuuden tai yleisen järjestyksen kannalta kriittisen infrastruktuurin, kriittisen teknologian tai kriittisten tuotantopanosten kehittäminen, ylläpito tai hankinta. Liitteessä II esitetyn luettelon teknologia-aloista, resursseista, laitoksista, laitteista, verkoista, järjestelmistä, palveluista ja taloudellisesta toiminnasta, jotka ovat erityisen tärkeitä unionin turvallisuuden tai yleisen järjestyksen kannalta, olisi sisällettävä alat, joilla ulkomainen sijoitus voi vaikuttaa turvallisuuteen tai yleiseen järjestykseen useammassa kuin yhdessä jäsenvaltiossa tai koko unionissa sellaisen unionin sijoituskohteen kautta, joka ei osallistu unionin etua koskevaan hankkeeseen tai ohjelmaan tai saa rahoitusta siitä. 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sidRPr="00163266">
              <w:rPr>
                <w:vertAlign w:val="superscript"/>
              </w:rPr>
              <w:t>16</w:t>
            </w:r>
            <w:r w:rsidRPr="00163266">
              <w:t xml:space="preserve"> vahvistettujen periaatteiden </w:t>
            </w:r>
            <w:r w:rsidRPr="00163266">
              <w:lastRenderedPageBreak/>
              <w:t>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hideMark/>
          </w:tcPr>
          <w:p w:rsidR="001E1179" w:rsidRPr="00163266" w:rsidRDefault="001E1179" w:rsidP="00F60C33">
            <w:pPr>
              <w:pStyle w:val="Normal6"/>
              <w:widowControl/>
              <w:rPr>
                <w:szCs w:val="24"/>
              </w:rPr>
            </w:pPr>
            <w:r w:rsidRPr="00163266">
              <w:lastRenderedPageBreak/>
              <w:t>(49)</w:t>
            </w:r>
            <w:r w:rsidRPr="00163266">
              <w:tab/>
              <w:t>Jotta voidaan ottaa huomioon unionin etua koskeviin hankkeisiin tai ohjelmiin liittyvä kehitys ja mukauttaa luetteloa teknologia-aloista</w:t>
            </w:r>
            <w:r w:rsidRPr="00163266">
              <w:rPr>
                <w:b/>
                <w:i/>
              </w:rPr>
              <w:t>, materiaaleista</w:t>
            </w:r>
            <w:r w:rsidRPr="00163266">
              <w:t>, resursseista, laitoksista, laitteista, verkoista, järjestelmistä, palveluista ja taloudellisista toiminnoista, jotka ovat erityisen tärkeitä unionin turvallisuuden tai yleisen järjestyksen kannalta</w:t>
            </w:r>
            <w:r w:rsidRPr="00163266">
              <w:rPr>
                <w:b/>
                <w:i/>
              </w:rPr>
              <w:t>, etenkin unionin taloudellisen turvallisuuden strategian mukaiset riskinarvioinnit huomioon ottaen</w:t>
            </w:r>
            <w:r w:rsidRPr="00163266">
              <w:t>, komissiolle olisi siirrettävä valta hyväksyä Euroopan unionin toiminnasta tehdyn sopimuksen 290 artiklan mukaisesti säädösvallan siirron nojalla annettavia delegoituja säädöksiä, jotka koskevat tämän asetuksen liitteiden muuttamista. Liitteessä I esitetyn luettelon unionin etua koskevista hankkeista ja ohjelmista olisi katettava EU:n lainsäädännön soveltamisalaan kuuluvat hankkeet tai ohjelmat, joihin liittyy turvallisuuden tai yleisen järjestyksen kannalta kriittisen infrastruktuurin, kriittisen teknologian tai kriittisten tuotantopanosten kehittäminen, ylläpito tai hankinta. Liitteessä II esitetyn luettelon teknologia-aloista</w:t>
            </w:r>
            <w:r w:rsidRPr="00163266">
              <w:rPr>
                <w:b/>
                <w:i/>
              </w:rPr>
              <w:t>, materiaaleista</w:t>
            </w:r>
            <w:r w:rsidRPr="00163266">
              <w:t>, resursseista, laitoksista, laitteista, verkoista, järjestelmistä, palveluista ja taloudellisesta toiminnasta, jotka ovat erityisen tärkeitä unionin turvallisuuden tai yleisen järjestyksen kannalta, olisi sisällettävä alat, joilla ulkomainen sijoitus voi vaikuttaa turvallisuuteen tai yleiseen järjestykseen useammassa kuin yhdessä jäsenvaltiossa tai koko unionissa sellaisen unionin sijoituskohteen kautta, joka ei osallistu unionin etua koskevaan hankkeeseen tai ohjelmaan tai saa rahoitusta siitä.</w:t>
            </w:r>
            <w:r w:rsidRPr="00163266">
              <w:rPr>
                <w:b/>
                <w:i/>
              </w:rPr>
              <w:t xml:space="preserve"> Komission olisi erityisesti saatettava liite I ajan tasalle, jos tulevien monivuotisten rahoituskehysten yhteydessä laaditaan uusia unionin etua koskevia hankkeita tai </w:t>
            </w:r>
            <w:r w:rsidRPr="00163266">
              <w:rPr>
                <w:b/>
                <w:i/>
              </w:rPr>
              <w:lastRenderedPageBreak/>
              <w:t>ohjelmia.</w:t>
            </w:r>
            <w:r w:rsidRPr="00163266">
              <w:t xml:space="preserve"> 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sidRPr="00163266">
              <w:rPr>
                <w:vertAlign w:val="superscript"/>
              </w:rPr>
              <w:t>16</w:t>
            </w:r>
            <w:r w:rsidRPr="00163266">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lastRenderedPageBreak/>
              <w:t>__________________</w:t>
            </w:r>
          </w:p>
        </w:tc>
        <w:tc>
          <w:tcPr>
            <w:tcW w:w="4876" w:type="dxa"/>
            <w:hideMark/>
          </w:tcPr>
          <w:p w:rsidR="001E1179" w:rsidRPr="00163266" w:rsidRDefault="001E1179" w:rsidP="00F60C33">
            <w:pPr>
              <w:pStyle w:val="Normal6"/>
              <w:widowControl/>
              <w:rPr>
                <w:szCs w:val="24"/>
              </w:rPr>
            </w:pPr>
            <w:r w:rsidRPr="00163266">
              <w:t>__________________</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vertAlign w:val="superscript"/>
              </w:rPr>
              <w:t>16</w:t>
            </w:r>
            <w:r w:rsidRPr="00163266">
              <w:t xml:space="preserve"> EUVL L 123, 12.5.2016, s. 1.</w:t>
            </w:r>
          </w:p>
        </w:tc>
        <w:tc>
          <w:tcPr>
            <w:tcW w:w="4876" w:type="dxa"/>
            <w:hideMark/>
          </w:tcPr>
          <w:p w:rsidR="001E1179" w:rsidRPr="00163266" w:rsidRDefault="001E1179" w:rsidP="00F60C33">
            <w:pPr>
              <w:pStyle w:val="Normal6"/>
              <w:widowControl/>
              <w:rPr>
                <w:szCs w:val="24"/>
              </w:rPr>
            </w:pPr>
            <w:r w:rsidRPr="00163266">
              <w:rPr>
                <w:vertAlign w:val="superscript"/>
              </w:rPr>
              <w:t>16</w:t>
            </w:r>
            <w:r w:rsidRPr="00163266">
              <w:t xml:space="preserve"> EUVL L 123, 12.5.2016, s. 1.</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46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50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(50)</w:t>
            </w:r>
            <w:r w:rsidRPr="00163266">
              <w:tab/>
              <w:t xml:space="preserve">Jotta varmistettaisiin tämän asetuksen täytäntöönpanon yhdenmukaiset edellytykset erityisesti siltä osin kuin on kyse </w:t>
            </w:r>
            <w:r w:rsidRPr="00163266">
              <w:rPr>
                <w:b/>
                <w:i/>
              </w:rPr>
              <w:t>lomakkeesta</w:t>
            </w:r>
            <w:r w:rsidRPr="00163266">
              <w:t xml:space="preserve">, </w:t>
            </w:r>
            <w:r w:rsidRPr="00163266">
              <w:rPr>
                <w:b/>
                <w:i/>
              </w:rPr>
              <w:t>jota</w:t>
            </w:r>
            <w:r w:rsidRPr="00163266">
              <w:t xml:space="preserve"> on käytettävä vähimmäistietojen toimittamiseen ulkomaisesta sijoituksesta, komissiolle olisi siirrettävä toimeenpanovalta. Tätä valtaa olisi käytettävä Euroopan parlamentin ja neuvoston asetuksen (EU) N:o 182/2011</w:t>
            </w:r>
            <w:r w:rsidRPr="00163266">
              <w:rPr>
                <w:vertAlign w:val="superscript"/>
              </w:rPr>
              <w:t>17</w:t>
            </w:r>
            <w:r w:rsidRPr="00163266">
              <w:t xml:space="preserve"> mukaisesti.</w:t>
            </w:r>
          </w:p>
        </w:tc>
        <w:tc>
          <w:tcPr>
            <w:tcW w:w="4876" w:type="dxa"/>
            <w:hideMark/>
          </w:tcPr>
          <w:p w:rsidR="001E1179" w:rsidRPr="00163266" w:rsidRDefault="001E1179" w:rsidP="00F60C33">
            <w:pPr>
              <w:pStyle w:val="Normal6"/>
              <w:widowControl/>
              <w:rPr>
                <w:szCs w:val="24"/>
              </w:rPr>
            </w:pPr>
            <w:r w:rsidRPr="00163266">
              <w:t>(50)</w:t>
            </w:r>
            <w:r w:rsidRPr="00163266">
              <w:tab/>
              <w:t xml:space="preserve">Jotta varmistettaisiin tämän asetuksen täytäntöönpanon yhdenmukaiset edellytykset erityisesti siltä osin kuin on kyse </w:t>
            </w:r>
            <w:r w:rsidRPr="00163266">
              <w:rPr>
                <w:b/>
                <w:i/>
              </w:rPr>
              <w:t>lomakkeista</w:t>
            </w:r>
            <w:r w:rsidRPr="00163266">
              <w:t xml:space="preserve">, </w:t>
            </w:r>
            <w:r w:rsidRPr="00163266">
              <w:rPr>
                <w:b/>
                <w:i/>
              </w:rPr>
              <w:t>joita</w:t>
            </w:r>
            <w:r w:rsidRPr="00163266">
              <w:t xml:space="preserve"> on käytettävä vähimmäistietojen toimittamiseen ulkomaisesta sijoituksesta </w:t>
            </w:r>
            <w:r w:rsidRPr="00163266">
              <w:rPr>
                <w:b/>
                <w:i/>
              </w:rPr>
              <w:t>ja lupahakemusten jättämiseen</w:t>
            </w:r>
            <w:r w:rsidRPr="00163266">
              <w:t>, komissiolle olisi siirrettävä toimeenpanovalta. Tätä valtaa olisi käytettävä Euroopan parlamentin ja neuvoston asetuksen (EU) N:o 182/2011</w:t>
            </w:r>
            <w:r w:rsidRPr="00163266">
              <w:rPr>
                <w:vertAlign w:val="superscript"/>
              </w:rPr>
              <w:t>17</w:t>
            </w:r>
            <w:r w:rsidRPr="00163266">
              <w:t xml:space="preserve"> mukaisesti.</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__________________</w:t>
            </w:r>
          </w:p>
        </w:tc>
        <w:tc>
          <w:tcPr>
            <w:tcW w:w="4876" w:type="dxa"/>
            <w:hideMark/>
          </w:tcPr>
          <w:p w:rsidR="001E1179" w:rsidRPr="00163266" w:rsidRDefault="001E1179" w:rsidP="00F60C33">
            <w:pPr>
              <w:pStyle w:val="Normal6"/>
              <w:widowControl/>
              <w:rPr>
                <w:szCs w:val="24"/>
              </w:rPr>
            </w:pPr>
            <w:r w:rsidRPr="00163266">
              <w:t>__________________</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vertAlign w:val="superscript"/>
              </w:rPr>
              <w:t>17</w:t>
            </w:r>
            <w:r w:rsidRPr="00163266">
              <w:t xml:space="preserve"> Euroopan parlamentin ja neuvoston asetus (EU) N:o 182/2011, annettu 16 päivänä helmikuuta 2011, yleisistä säännöistä ja periaatteista, joiden mukaisesti jäsenvaltiot valvovat komission täytäntöönpanovallan käyttöä (EUVL L 55, </w:t>
            </w:r>
            <w:r w:rsidRPr="00163266">
              <w:lastRenderedPageBreak/>
              <w:t>28.2.2011, s. 13, ELI: http://data.europa.eu/eli/reg/2011/182/oj).</w:t>
            </w:r>
          </w:p>
        </w:tc>
        <w:tc>
          <w:tcPr>
            <w:tcW w:w="4876" w:type="dxa"/>
            <w:hideMark/>
          </w:tcPr>
          <w:p w:rsidR="001E1179" w:rsidRPr="00163266" w:rsidRDefault="001E1179" w:rsidP="00F60C33">
            <w:pPr>
              <w:pStyle w:val="Normal6"/>
              <w:widowControl/>
              <w:rPr>
                <w:szCs w:val="24"/>
              </w:rPr>
            </w:pPr>
            <w:r w:rsidRPr="00163266">
              <w:rPr>
                <w:vertAlign w:val="superscript"/>
              </w:rPr>
              <w:lastRenderedPageBreak/>
              <w:t>17</w:t>
            </w:r>
            <w:r w:rsidRPr="00163266">
              <w:t xml:space="preserve"> Euroopan parlamentin ja neuvoston asetus (EU) N:o 182/2011, annettu 16 päivänä helmikuuta 2011, yleisistä säännöistä ja periaatteista, joiden mukaisesti jäsenvaltiot valvovat komission täytäntöönpanovallan käyttöä (EUVL L 55, </w:t>
            </w:r>
            <w:r w:rsidRPr="00163266">
              <w:lastRenderedPageBreak/>
              <w:t>28.2.2011, s. 13, ELI: http://data.europa.eu/eli/reg/2011/182/oj).</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47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Johdanto-osan 51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(51)</w:t>
            </w:r>
            <w:r w:rsidRPr="00163266">
              <w:tab/>
              <w:t xml:space="preserve">Asetus (EU) </w:t>
            </w:r>
            <w:proofErr w:type="gramStart"/>
            <w:r w:rsidRPr="00163266">
              <w:rPr>
                <w:b/>
                <w:i/>
              </w:rPr>
              <w:t>N:o</w:t>
            </w:r>
            <w:proofErr w:type="gramEnd"/>
            <w:r w:rsidRPr="00163266">
              <w:t xml:space="preserve"> 2019/452 olisi kumottava. Jotta jäsenvaltioilla ja toimijoilla olisi riittävästi aikaa valmistautua täytäntöönpanoon, tätä asetusta olisi sovellettava [...] päivästä [...]kuuta [...] [julkaisutoimisto: lisätään päivämäärä, joka on 15kuukautta voimaantulosta]. Asetuksen (EU) 2019/452 soveltamista olisi jatkettava tämän asetuksen voimaantulon ja soveltamisen välisen siirtymäkauden ajan,</w:t>
            </w:r>
          </w:p>
        </w:tc>
        <w:tc>
          <w:tcPr>
            <w:tcW w:w="4876" w:type="dxa"/>
            <w:hideMark/>
          </w:tcPr>
          <w:p w:rsidR="001E1179" w:rsidRPr="00163266" w:rsidRDefault="001E1179" w:rsidP="00F60C33">
            <w:pPr>
              <w:pStyle w:val="Normal6"/>
              <w:widowControl/>
              <w:rPr>
                <w:szCs w:val="24"/>
              </w:rPr>
            </w:pPr>
            <w:r w:rsidRPr="00163266">
              <w:t>(51)</w:t>
            </w:r>
            <w:r w:rsidRPr="00163266">
              <w:tab/>
              <w:t xml:space="preserve">Asetus (EU) 2019/452 olisi kumottava. Jotta jäsenvaltioilla ja toimijoilla olisi riittävästi aikaa valmistautua täytäntöönpanoon, tätä asetusta olisi sovellettava [...] päivästä [...]kuuta [...] [julkaisutoimisto: lisätään päivämäärä, joka on </w:t>
            </w:r>
            <w:r w:rsidRPr="00163266">
              <w:rPr>
                <w:b/>
                <w:i/>
              </w:rPr>
              <w:t xml:space="preserve">12 </w:t>
            </w:r>
            <w:r w:rsidRPr="00163266">
              <w:t>kuukautta voimaantulosta].</w:t>
            </w:r>
            <w:r w:rsidRPr="00163266">
              <w:rPr>
                <w:b/>
                <w:i/>
              </w:rPr>
              <w:t xml:space="preserve"> Sitä olisi sovellettava riippumatta siitä, perustetaanko keskitetty portaali lupahakemusten jättämistä varten.</w:t>
            </w:r>
            <w:r w:rsidRPr="00163266">
              <w:t xml:space="preserve"> Asetuksen (EU) 2019/452 soveltamista olisi jatkettava tämän asetuksen voimaantulon ja soveltamisen välisen siirtymäkauden ajan,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48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1.</w:t>
            </w:r>
            <w:r w:rsidRPr="00163266">
              <w:tab/>
              <w:t>Tällä asetuksella luodaan unionin kehys ulkomaisten sijoitusten seurantaan, jota jäsenvaltiot harjoittavat alueellaan turvallisuuteen tai yleiseen järjestykseen liittyvistä syistä.</w:t>
            </w:r>
          </w:p>
        </w:tc>
        <w:tc>
          <w:tcPr>
            <w:tcW w:w="4876" w:type="dxa"/>
            <w:hideMark/>
          </w:tcPr>
          <w:p w:rsidR="001E1179" w:rsidRPr="00163266" w:rsidRDefault="001E1179" w:rsidP="00F60C33">
            <w:pPr>
              <w:pStyle w:val="Normal6"/>
              <w:widowControl/>
              <w:rPr>
                <w:szCs w:val="24"/>
              </w:rPr>
            </w:pPr>
            <w:r w:rsidRPr="00163266">
              <w:t>1.</w:t>
            </w:r>
            <w:r w:rsidRPr="00163266">
              <w:tab/>
              <w:t>Tällä asetuksella luodaan unionin kehys ulkomaisten sijoitusten seurantaan, jota jäsenvaltiot harjoittavat alueellaan turvallisuuteen tai yleiseen järjestykseen</w:t>
            </w:r>
            <w:r w:rsidRPr="00163266">
              <w:rPr>
                <w:b/>
                <w:i/>
              </w:rPr>
              <w:t>, kuten taloudelliseen turvallisuuteen,</w:t>
            </w:r>
            <w:r w:rsidRPr="00163266">
              <w:t xml:space="preserve"> liittyvistä syistä.</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49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w:t>
            </w:r>
            <w:r w:rsidRPr="00163266">
              <w:tab/>
              <w:t xml:space="preserve">Asetuksella perustetaan yhteistyömekanismi, jonka avulla </w:t>
            </w:r>
            <w:r w:rsidRPr="00163266">
              <w:lastRenderedPageBreak/>
              <w:t>jäsenvaltiot ja komissio voivat vaihtaa tietoja ulkomaisista sijoituksista, arvioida niiden mahdollisia vaikutuksia turvallisuuteen ja yleiseen järjestykseen ja tunnistaa mahdolliset huolta herättävät seikat</w:t>
            </w:r>
            <w:r w:rsidRPr="00163266">
              <w:rPr>
                <w:b/>
                <w:i/>
              </w:rPr>
              <w:t>, joihin ulkomaista sijoitusta seuraavan jäsenvaltion on puututtava</w:t>
            </w:r>
            <w:r w:rsidRPr="00163266">
              <w:t>.</w:t>
            </w:r>
          </w:p>
        </w:tc>
        <w:tc>
          <w:tcPr>
            <w:tcW w:w="4876" w:type="dxa"/>
            <w:hideMark/>
          </w:tcPr>
          <w:p w:rsidR="001E1179" w:rsidRPr="00163266" w:rsidRDefault="001E1179" w:rsidP="00F60C33">
            <w:pPr>
              <w:pStyle w:val="Normal6"/>
              <w:widowControl/>
              <w:rPr>
                <w:szCs w:val="24"/>
              </w:rPr>
            </w:pPr>
            <w:r w:rsidRPr="00163266">
              <w:lastRenderedPageBreak/>
              <w:t>2.</w:t>
            </w:r>
            <w:r w:rsidRPr="00163266">
              <w:tab/>
              <w:t xml:space="preserve">Asetuksella perustetaan yhteistyömekanismi, jonka avulla </w:t>
            </w:r>
            <w:r w:rsidRPr="00163266">
              <w:lastRenderedPageBreak/>
              <w:t xml:space="preserve">jäsenvaltiot ja komissio voivat vaihtaa </w:t>
            </w:r>
            <w:r w:rsidRPr="00163266">
              <w:rPr>
                <w:b/>
                <w:i/>
              </w:rPr>
              <w:t>asiaankuuluvia</w:t>
            </w:r>
            <w:r w:rsidRPr="00163266">
              <w:t xml:space="preserve"> tietoja ulkomaisista sijoituksista, arvioida niiden mahdollisia vaikutuksia turvallisuuteen ja yleiseen järjestykseen ja tunnistaa mahdolliset huolta herättävät seikat </w:t>
            </w:r>
            <w:r w:rsidRPr="00163266">
              <w:rPr>
                <w:b/>
                <w:i/>
              </w:rPr>
              <w:t>ja puuttua niihin</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50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3.</w:t>
            </w:r>
            <w:r w:rsidRPr="00163266">
              <w:tab/>
              <w:t xml:space="preserve">Jäsenvaltiot voivat antaa tai pitää voimassa kansallisia säännöksiä aloilla, </w:t>
            </w:r>
            <w:r w:rsidRPr="00163266">
              <w:rPr>
                <w:b/>
                <w:i/>
              </w:rPr>
              <w:t>joita ei koordinoida tällä asetuksella</w:t>
            </w:r>
            <w:r w:rsidRPr="00163266">
              <w:t>.</w:t>
            </w:r>
          </w:p>
        </w:tc>
        <w:tc>
          <w:tcPr>
            <w:tcW w:w="4876" w:type="dxa"/>
            <w:hideMark/>
          </w:tcPr>
          <w:p w:rsidR="001E1179" w:rsidRPr="00163266" w:rsidRDefault="001E1179" w:rsidP="00F60C33">
            <w:pPr>
              <w:pStyle w:val="Normal6"/>
              <w:widowControl/>
              <w:rPr>
                <w:szCs w:val="24"/>
              </w:rPr>
            </w:pPr>
            <w:r w:rsidRPr="00163266">
              <w:t>3.</w:t>
            </w:r>
            <w:r w:rsidRPr="00163266">
              <w:tab/>
              <w:t xml:space="preserve">Jäsenvaltiot voivat antaa tai pitää voimassa kansallisia säännöksiä aloilla, </w:t>
            </w:r>
            <w:r w:rsidRPr="00163266">
              <w:rPr>
                <w:b/>
                <w:i/>
              </w:rPr>
              <w:t>jotka eivät kuulu tämän asetuksen soveltamisalaan, edellyttäen, että tällaiset säännökset eivät heikennä tämän asetuksen tavoitteita ja ovat niiden mukaisia</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51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5.</w:t>
            </w:r>
            <w:r w:rsidRPr="00163266">
              <w:tab/>
              <w:t>Tämä asetus ei vaikuta perussopimusten ja erityisesti SEUT</w:t>
            </w:r>
            <w:r w:rsidRPr="00163266">
              <w:rPr>
                <w:b/>
                <w:i/>
              </w:rPr>
              <w:t xml:space="preserve">-sopimuksen </w:t>
            </w:r>
            <w:r w:rsidRPr="00163266">
              <w:t>49 ja 63 artiklan mukaisiin jäsenvaltioiden velvoitteisiin. Jäsenvaltioiden on varmistettava, että kaikki tämän asetuksen puitteissa toteutettavat toimenpiteet ovat näiden velvoitteiden mukaisia. Tämä asetus ei vaikuta SEUT-sopimuksen 258 artiklan mukaiseen komission toimivaltaan varmistaa unionin oikeuden noudattaminen.</w:t>
            </w:r>
          </w:p>
        </w:tc>
        <w:tc>
          <w:tcPr>
            <w:tcW w:w="4876" w:type="dxa"/>
            <w:hideMark/>
          </w:tcPr>
          <w:p w:rsidR="001E1179" w:rsidRPr="00163266" w:rsidRDefault="001E1179" w:rsidP="00F60C33">
            <w:pPr>
              <w:pStyle w:val="Normal6"/>
              <w:widowControl/>
              <w:rPr>
                <w:szCs w:val="24"/>
              </w:rPr>
            </w:pPr>
            <w:r w:rsidRPr="00163266">
              <w:t>5.</w:t>
            </w:r>
            <w:r w:rsidRPr="00163266">
              <w:tab/>
              <w:t xml:space="preserve">Tämä asetus ei vaikuta perussopimusten ja erityisesti SEUT 49 ja 63 artiklan mukaisiin jäsenvaltioiden velvoitteisiin </w:t>
            </w:r>
            <w:r w:rsidRPr="00163266">
              <w:rPr>
                <w:b/>
                <w:i/>
              </w:rPr>
              <w:t xml:space="preserve">eikä niiden oikeuteen toteuttaa toimenpiteitä, jotka ovat perusteltuja </w:t>
            </w:r>
            <w:proofErr w:type="spellStart"/>
            <w:r w:rsidRPr="00163266">
              <w:rPr>
                <w:b/>
                <w:i/>
              </w:rPr>
              <w:t>SEUTn</w:t>
            </w:r>
            <w:proofErr w:type="spellEnd"/>
            <w:r w:rsidRPr="00163266">
              <w:rPr>
                <w:b/>
                <w:i/>
              </w:rPr>
              <w:t xml:space="preserve"> 65 artiklan nojalla yleisen järjestyksen ja turvallisuuden kannalta</w:t>
            </w:r>
            <w:r w:rsidRPr="00163266">
              <w:t>. Jäsenvaltioiden on varmistettava, että kaikki tämän asetuksen puitteissa toteutettavat toimenpiteet ovat näiden velvoitteiden mukaisia. Tämä asetus ei vaikuta SEUT 258 artiklan mukaiseen komission toimivaltaan varmistaa unionin oikeuden noudattaminen.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52</w:t>
      </w:r>
    </w:p>
    <w:p w:rsidR="001E1179" w:rsidRPr="00163266" w:rsidRDefault="001E1179" w:rsidP="001E1179">
      <w:pPr>
        <w:widowControl/>
      </w:pPr>
    </w:p>
    <w:p w:rsidR="001E1179" w:rsidRPr="00163266" w:rsidRDefault="001E1179" w:rsidP="001E1179">
      <w:pPr>
        <w:pStyle w:val="NormalBold"/>
        <w:keepNext/>
        <w:widowControl/>
      </w:pPr>
      <w:r w:rsidRPr="00163266">
        <w:lastRenderedPageBreak/>
        <w:t>Ehdotus asetukseksi</w:t>
      </w:r>
    </w:p>
    <w:p w:rsidR="001E1179" w:rsidRPr="00163266" w:rsidRDefault="001E1179" w:rsidP="001E1179">
      <w:pPr>
        <w:pStyle w:val="NormalBold"/>
        <w:widowControl/>
      </w:pPr>
      <w:r w:rsidRPr="00163266">
        <w:t>1 artikla – 5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5 a.</w:t>
            </w:r>
            <w:r w:rsidRPr="00163266">
              <w:rPr>
                <w:b/>
                <w:i/>
              </w:rPr>
              <w:tab/>
              <w:t>Kriisinratkaisuvälineen kautta tehdyt investoinnit ja sisäiset uudelleenjärjestelyt eivät kuulu tämän asetuksen soveltamisalaan.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53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2 artikla – 1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(1)</w:t>
            </w:r>
            <w:r w:rsidRPr="00163266">
              <w:tab/>
              <w:t xml:space="preserve">’ulkomaisella sijoituksella’ </w:t>
            </w:r>
            <w:r w:rsidRPr="00163266">
              <w:rPr>
                <w:b/>
                <w:i/>
              </w:rPr>
              <w:t>ulkomaista suoraa sijoitusta tai unionin sisällä ulkomaisessa määräysvallassa tehtyä sijoitusta</w:t>
            </w:r>
            <w:r w:rsidRPr="00163266">
              <w:t xml:space="preserve">, </w:t>
            </w:r>
            <w:r w:rsidRPr="00163266">
              <w:rPr>
                <w:b/>
                <w:i/>
              </w:rPr>
              <w:t>joka mahdollistaa tosiasiallisen osallistumisen</w:t>
            </w:r>
            <w:r w:rsidRPr="00163266">
              <w:t xml:space="preserve"> unionin sijoituskohteen johtamiseen tai määräysvallan unionin sijoituskohteessa;</w:t>
            </w:r>
          </w:p>
        </w:tc>
        <w:tc>
          <w:tcPr>
            <w:tcW w:w="4876" w:type="dxa"/>
            <w:hideMark/>
          </w:tcPr>
          <w:p w:rsidR="001E1179" w:rsidRPr="00163266" w:rsidRDefault="001E1179" w:rsidP="00F60C33">
            <w:pPr>
              <w:pStyle w:val="Normal6"/>
              <w:widowControl/>
              <w:rPr>
                <w:szCs w:val="24"/>
              </w:rPr>
            </w:pPr>
            <w:r w:rsidRPr="00163266">
              <w:t>(1)</w:t>
            </w:r>
            <w:r w:rsidRPr="00163266">
              <w:tab/>
              <w:t xml:space="preserve">’ulkomaisella sijoituksella’ </w:t>
            </w:r>
            <w:r w:rsidRPr="00163266">
              <w:rPr>
                <w:b/>
                <w:i/>
              </w:rPr>
              <w:t>kaikkia ulkomaisen sijoittajan itsensä tekemiä tai ulkomaisen sijoittajan unionissa sijaitsevan tytäryhtiön kautta tehtyjä sijoituksia</w:t>
            </w:r>
            <w:r w:rsidRPr="00163266">
              <w:t xml:space="preserve">, </w:t>
            </w:r>
            <w:r w:rsidRPr="00163266">
              <w:rPr>
                <w:b/>
                <w:i/>
              </w:rPr>
              <w:t>joiden tarkoituksena on luoda pysyviä ja suoria yhteyksiä ulkomaisen sijoittajan ja unionin sijoituskohteen</w:t>
            </w:r>
            <w:r w:rsidRPr="00163266">
              <w:t xml:space="preserve"> </w:t>
            </w:r>
            <w:r w:rsidRPr="00163266">
              <w:rPr>
                <w:b/>
                <w:i/>
              </w:rPr>
              <w:t>välille tai</w:t>
            </w:r>
            <w:r w:rsidRPr="00163266">
              <w:t xml:space="preserve"> </w:t>
            </w:r>
            <w:r w:rsidRPr="00163266">
              <w:rPr>
                <w:b/>
                <w:i/>
              </w:rPr>
              <w:t>pitää niitä yllä siten, että ulkomainen sijoittaja asettaa unionin sijoituskohteeseen saataville pääomaa harjoittaakseen taloudellista toimintaa jäsenvaltiossa ja mahdollistaakseen siten tosiasiallisen osallistumisen tämän</w:t>
            </w:r>
            <w:r w:rsidRPr="00163266">
              <w:t xml:space="preserve"> unionin sijoituskohteen johtamiseen tai määräysvallan tässä unionin sijoituskohteessa;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54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2 artikla – 1 kohta – 1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(1 a)</w:t>
            </w:r>
            <w:r w:rsidRPr="00163266">
              <w:rPr>
                <w:b/>
                <w:i/>
              </w:rPr>
              <w:tab/>
              <w:t xml:space="preserve">’täysin uuteen toimintaan tehtävällä sijoituksella (ns. </w:t>
            </w:r>
            <w:proofErr w:type="spellStart"/>
            <w:r w:rsidRPr="00163266">
              <w:rPr>
                <w:b/>
                <w:i/>
              </w:rPr>
              <w:t>greenfield</w:t>
            </w:r>
            <w:proofErr w:type="spellEnd"/>
            <w:r w:rsidRPr="00163266">
              <w:rPr>
                <w:b/>
                <w:i/>
              </w:rPr>
              <w:t>-sijoituksella)’ ulkomaisia sijoituksia, jotka tehdään perustamalla uusia laitoksia tai uusia yrityksiä uuden taloudellisen toiminnan harjoittamiseksi unionissa;</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55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2 artikla – 1 kohta – 1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(1 b)</w:t>
            </w:r>
            <w:r w:rsidRPr="00163266">
              <w:rPr>
                <w:b/>
                <w:i/>
              </w:rPr>
              <w:tab/>
              <w:t>’kriisinratkaisuvälineellä’ mitä tahansa direktiivin 2014/59/EU, asetuksen (EU) N:o 806/2014, asetuksen (EU) 2021/23, asetuksen (EU) N:o 1093/2010 tai asetuksen (EU) N:o 648/2012 mukaista kriisinratkaisuvälinettä;</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56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2 artikla – 1 kohta – 1 c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(1 c)</w:t>
            </w:r>
            <w:r w:rsidRPr="00163266">
              <w:rPr>
                <w:b/>
                <w:i/>
              </w:rPr>
              <w:tab/>
              <w:t>’sisäisellä uudelleenjärjestelyllä’ omistusketjussa tapahtuvia muutoksia tosiasiallisessa osallistumisessa unionin kohteen johtamiseen tai määräysvaltaan siten, että kohteen omistus tai määräysvalta ei lopulta muutu;</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57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2 artikla – 1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(2)</w:t>
            </w:r>
            <w:r w:rsidRPr="00163266">
              <w:rPr>
                <w:b/>
                <w:i/>
              </w:rPr>
              <w:tab/>
              <w:t>’ulkomaisella suoralla sijoituksella’ kaikkia ulkomaisen sijoittajan tekemiä sijoituksia, joiden tarkoituksena on luoda pysyviä ja suoria yhteyksiä ulkomaisen sijoittajan ja olemassa olevan tai perustettavan unionin sijoituskohteen välille tai pitää niitä yllä siten, että ulkomainen sijoittaja asettaa sijoituskohteeseen saataville pääomaa harjoittaakseen taloudellista toimintaa jäsenvaltiossa;</w:t>
            </w:r>
          </w:p>
        </w:tc>
        <w:tc>
          <w:tcPr>
            <w:tcW w:w="4876" w:type="dxa"/>
            <w:hideMark/>
          </w:tcPr>
          <w:p w:rsidR="001E1179" w:rsidRPr="00163266" w:rsidRDefault="001E1179" w:rsidP="00F60C33">
            <w:pPr>
              <w:pStyle w:val="Normal6"/>
              <w:widowControl/>
              <w:rPr>
                <w:szCs w:val="24"/>
              </w:rPr>
            </w:pPr>
            <w:r w:rsidRPr="00163266">
              <w:rPr>
                <w:b/>
                <w:i/>
              </w:rPr>
              <w:t>Poistetaan.</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58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2 artikla – 1 kohta – 3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(3)</w:t>
            </w:r>
            <w:r w:rsidRPr="00163266">
              <w:rPr>
                <w:b/>
                <w:i/>
              </w:rPr>
              <w:tab/>
              <w:t>’unionin sisällä ulkomaisessa määräysvallassa tehdyllä sijoituksella’ kaikkia ulkomaisen sijoittajan tekemiä sijoituksia, jotka tehdään ulkomaisen sijoittajan unionissa sijaitsevan tytäryhtiön kautta ja joiden tarkoituksena on luoda pysyviä ja suoria yhteyksiä ulkomaisen sijoittajan ja olemassa olevan tai perustettavan unionin sijoituskohteen välille tai pitää niitä yllä siten, että ulkomainen sijoittaja asettaa sijoituskohteeseen saataville pääomaa harjoittaakseen taloudellista toimintaa jäsenvaltiossa;</w:t>
            </w:r>
          </w:p>
        </w:tc>
        <w:tc>
          <w:tcPr>
            <w:tcW w:w="4876" w:type="dxa"/>
            <w:hideMark/>
          </w:tcPr>
          <w:p w:rsidR="001E1179" w:rsidRPr="00163266" w:rsidRDefault="001E1179" w:rsidP="00F60C33">
            <w:pPr>
              <w:pStyle w:val="Normal6"/>
              <w:widowControl/>
              <w:rPr>
                <w:szCs w:val="24"/>
              </w:rPr>
            </w:pPr>
            <w:r w:rsidRPr="00163266">
              <w:rPr>
                <w:b/>
                <w:i/>
              </w:rPr>
              <w:t>Poistetaan.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59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2 artikla – 1 kohta – 7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(7)</w:t>
            </w:r>
            <w:r w:rsidRPr="00163266">
              <w:tab/>
              <w:t xml:space="preserve">’ulkomaisen sijoittajan tytäryrityksellä unionissa’ jonkin jäsenvaltion lainsäädännön mukaisesti perustettua yritystä, joka </w:t>
            </w:r>
            <w:r w:rsidRPr="00163266">
              <w:rPr>
                <w:b/>
                <w:i/>
              </w:rPr>
              <w:t>harjoittaa taloudellista toimintaa ja</w:t>
            </w:r>
            <w:r w:rsidRPr="00163266">
              <w:t xml:space="preserve"> täyttää 26 päivänä kesäkuuta 2013 annetun Euroopan parlamentin ja neuvoston direktiivin 2013/34/EU</w:t>
            </w:r>
            <w:r w:rsidRPr="00163266">
              <w:rPr>
                <w:vertAlign w:val="superscript"/>
              </w:rPr>
              <w:t>18</w:t>
            </w:r>
            <w:r w:rsidRPr="00163266">
              <w:t xml:space="preserve"> 22 artiklan 1 kohdassa säädetyt edellytykset ja joka on ulkomaisen sijoittajan suorassa tai välillisessä määräysvallassa;</w:t>
            </w:r>
          </w:p>
        </w:tc>
        <w:tc>
          <w:tcPr>
            <w:tcW w:w="4876" w:type="dxa"/>
            <w:hideMark/>
          </w:tcPr>
          <w:p w:rsidR="001E1179" w:rsidRPr="00163266" w:rsidRDefault="001E1179" w:rsidP="00F60C33">
            <w:pPr>
              <w:pStyle w:val="Normal6"/>
              <w:widowControl/>
              <w:rPr>
                <w:szCs w:val="24"/>
              </w:rPr>
            </w:pPr>
            <w:r w:rsidRPr="00163266">
              <w:t>(7)</w:t>
            </w:r>
            <w:r w:rsidRPr="00163266">
              <w:tab/>
              <w:t>’ulkomaisen sijoittajan tytäryrityksellä unionissa’ jonkin jäsenvaltion lainsäädännön mukaisesti perustettua yritystä, joka täyttää 26 päivänä kesäkuuta 2013 annetun Euroopan parlamentin ja neuvoston direktiivin 2013/34/EU 22 artiklan 1 kohdassa säädetyt edellytykset ja joka on ulkomaisen sijoittajan suorassa tai välillisessä määräysvallassa;</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__________________</w:t>
            </w:r>
          </w:p>
        </w:tc>
        <w:tc>
          <w:tcPr>
            <w:tcW w:w="4876" w:type="dxa"/>
            <w:hideMark/>
          </w:tcPr>
          <w:p w:rsidR="001E1179" w:rsidRPr="00163266" w:rsidRDefault="001E1179" w:rsidP="00F60C33">
            <w:pPr>
              <w:pStyle w:val="Normal6"/>
              <w:widowControl/>
              <w:rPr>
                <w:szCs w:val="24"/>
              </w:rPr>
            </w:pPr>
            <w:r w:rsidRPr="00163266">
              <w:t>__________________</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vertAlign w:val="superscript"/>
              </w:rPr>
              <w:t>18</w:t>
            </w:r>
            <w:r w:rsidRPr="00163266">
              <w:t xml:space="preserve"> Euroopan parlamentin ja neuvoston direktiivi 2013/34/EU, annettu 26 päivänä kesäkuuta 2013, tietyntyyppisten yritysten vuositilinpäätöksistä, konsernitilinpäätöksistä ja niihin liittyvistä kertomuksista, Euroopan parlamentin ja neuvoston direktiivin 2006/43/EY muuttamisesta ja neuvoston direktiivien </w:t>
            </w:r>
            <w:r w:rsidRPr="00163266">
              <w:lastRenderedPageBreak/>
              <w:t>78/660/ETY ja 83/349/ETY kumoamisesta (EUVL L 182, 29.6.2013, s. 19, ELI: http://data.europa.eu/eli/dir/2013/34/oj).</w:t>
            </w:r>
          </w:p>
        </w:tc>
        <w:tc>
          <w:tcPr>
            <w:tcW w:w="4876" w:type="dxa"/>
            <w:hideMark/>
          </w:tcPr>
          <w:p w:rsidR="001E1179" w:rsidRPr="00163266" w:rsidRDefault="001E1179" w:rsidP="00F60C33">
            <w:pPr>
              <w:pStyle w:val="Normal6"/>
              <w:widowControl/>
              <w:rPr>
                <w:szCs w:val="24"/>
              </w:rPr>
            </w:pPr>
            <w:r w:rsidRPr="00163266">
              <w:rPr>
                <w:vertAlign w:val="superscript"/>
              </w:rPr>
              <w:lastRenderedPageBreak/>
              <w:t>18</w:t>
            </w:r>
            <w:r w:rsidRPr="00163266">
              <w:t xml:space="preserve"> Euroopan parlamentin ja neuvoston direktiivi 2013/34/EU, annettu 26 päivänä kesäkuuta 2013, tietyntyyppisten yritysten vuositilinpäätöksistä, konsernitilinpäätöksistä ja niihin liittyvistä kertomuksista, Euroopan parlamentin ja neuvoston direktiivin 2006/43/EY muuttamisesta ja neuvoston direktiivien </w:t>
            </w:r>
            <w:r w:rsidRPr="00163266">
              <w:lastRenderedPageBreak/>
              <w:t>78/660/ETY ja 83/349/ETY kumoamisesta (EUVL L 182, 29.6.2013, s. 19, ELI: http://data.europa.eu/eli/dir/2013/34/oj).</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60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2 artikla – 1 kohta – 7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(7 a)</w:t>
            </w:r>
            <w:r w:rsidRPr="00163266">
              <w:rPr>
                <w:b/>
                <w:i/>
              </w:rPr>
              <w:tab/>
              <w:t>’tosiasiallisella omistajalla ja edunsaajalla’ luonnollista henkilöä, joka viime kädessä omistaa oikeushenkilön tai muun samankaltaisen oikeudellisen järjestelyn tai käyttää siinä määräysvaltaa;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61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2 artikla – 1 kohta – 7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(7 b)</w:t>
            </w:r>
            <w:r w:rsidRPr="00163266">
              <w:rPr>
                <w:b/>
                <w:i/>
              </w:rPr>
              <w:tab/>
              <w:t>’läpinäkymättömällä omistusrakenteella’ järjestelyä, jossa yhteisön omistus tai määräysvalta on epäselvä, salattu tai vaikea varmistaa muun muassa monimutkaisten oikeudellisten rakenteiden, useiden omistustasojen, nimellisten osakkeenomistajien, trustien tai muiden sellaisten mekanismien vuoksi, jotka peittävät tosiasiallisen omistajan ja edunsaajan henkilöllisyyden;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62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2 artikla – 1 kohta – 8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(8)</w:t>
            </w:r>
            <w:r w:rsidRPr="00163266">
              <w:tab/>
              <w:t>’unionin sijoituskohteella’ jonkin jäsenvaltion lainsäädännön mukaisesti perustettua yritystä;</w:t>
            </w:r>
          </w:p>
        </w:tc>
        <w:tc>
          <w:tcPr>
            <w:tcW w:w="4876" w:type="dxa"/>
            <w:hideMark/>
          </w:tcPr>
          <w:p w:rsidR="001E1179" w:rsidRPr="00163266" w:rsidRDefault="001E1179" w:rsidP="00F60C33">
            <w:pPr>
              <w:pStyle w:val="Normal6"/>
              <w:widowControl/>
              <w:rPr>
                <w:szCs w:val="24"/>
              </w:rPr>
            </w:pPr>
            <w:r w:rsidRPr="00163266">
              <w:t>(8)</w:t>
            </w:r>
            <w:r w:rsidRPr="00163266">
              <w:tab/>
              <w:t xml:space="preserve">’unionin sijoituskohteella’ jonkin jäsenvaltion lainsäädännön mukaisesti perustettua </w:t>
            </w:r>
            <w:r w:rsidRPr="00163266">
              <w:rPr>
                <w:b/>
                <w:i/>
              </w:rPr>
              <w:t xml:space="preserve">tai perustettavaa </w:t>
            </w:r>
            <w:r w:rsidRPr="00163266">
              <w:t>yritystä;</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63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2 artikla – 1 kohta – 9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(9)</w:t>
            </w:r>
            <w:r w:rsidRPr="00163266">
              <w:tab/>
              <w:t xml:space="preserve">’unionin sijoituskohteella, joka harjoittaa taloudellista toimintaa jollakin liitteessä II luetellulla alalla’ unionin sijoituskohdetta, joka harjoittaa tai aikoo harjoittaa toimintaa, joka liittyy liitteessä II lueteltuihin </w:t>
            </w:r>
            <w:r w:rsidRPr="00163266">
              <w:rPr>
                <w:b/>
                <w:i/>
              </w:rPr>
              <w:t>unionin turvallisuuden tai yleisen järjestyksen kannalta erityisen merkittäviin</w:t>
            </w:r>
            <w:r w:rsidRPr="00163266">
              <w:t xml:space="preserve"> </w:t>
            </w:r>
            <w:r w:rsidRPr="00163266">
              <w:rPr>
                <w:b/>
                <w:i/>
              </w:rPr>
              <w:t>teknologia-aloihin</w:t>
            </w:r>
            <w:r w:rsidRPr="00163266">
              <w:t xml:space="preserve">, </w:t>
            </w:r>
            <w:r w:rsidRPr="00163266">
              <w:rPr>
                <w:b/>
                <w:i/>
              </w:rPr>
              <w:t>resursseihin</w:t>
            </w:r>
            <w:r w:rsidRPr="00163266">
              <w:t xml:space="preserve">, </w:t>
            </w:r>
            <w:r w:rsidRPr="00163266">
              <w:rPr>
                <w:b/>
                <w:i/>
              </w:rPr>
              <w:t>laitoksiin</w:t>
            </w:r>
            <w:r w:rsidRPr="00163266">
              <w:t xml:space="preserve">, </w:t>
            </w:r>
            <w:r w:rsidRPr="00163266">
              <w:rPr>
                <w:b/>
                <w:i/>
              </w:rPr>
              <w:t>laitteisiin</w:t>
            </w:r>
            <w:r w:rsidRPr="00163266">
              <w:t xml:space="preserve">, </w:t>
            </w:r>
            <w:r w:rsidRPr="00163266">
              <w:rPr>
                <w:b/>
                <w:i/>
              </w:rPr>
              <w:t>verkkoihin</w:t>
            </w:r>
            <w:r w:rsidRPr="00163266">
              <w:t xml:space="preserve">, </w:t>
            </w:r>
            <w:r w:rsidRPr="00163266">
              <w:rPr>
                <w:b/>
                <w:i/>
              </w:rPr>
              <w:t>järjestelmiin</w:t>
            </w:r>
            <w:r w:rsidRPr="00163266">
              <w:t xml:space="preserve">, </w:t>
            </w:r>
            <w:r w:rsidRPr="00163266">
              <w:rPr>
                <w:b/>
                <w:i/>
              </w:rPr>
              <w:t>palveluihin</w:t>
            </w:r>
            <w:r w:rsidRPr="00163266">
              <w:t xml:space="preserve"> ja </w:t>
            </w:r>
            <w:r w:rsidRPr="00163266">
              <w:rPr>
                <w:b/>
                <w:i/>
              </w:rPr>
              <w:t>taloudellisiin toimintoihin</w:t>
            </w:r>
            <w:r w:rsidRPr="00163266">
              <w:t xml:space="preserve">, </w:t>
            </w:r>
            <w:r w:rsidRPr="00163266">
              <w:rPr>
                <w:b/>
                <w:i/>
              </w:rPr>
              <w:t>mukaan lukien niiden omistuksen, käytön, tuotannon tai toimittamisen kautta</w:t>
            </w:r>
            <w:r w:rsidRPr="00163266">
              <w:t>;</w:t>
            </w:r>
          </w:p>
        </w:tc>
        <w:tc>
          <w:tcPr>
            <w:tcW w:w="4876" w:type="dxa"/>
            <w:hideMark/>
          </w:tcPr>
          <w:p w:rsidR="001E1179" w:rsidRPr="00163266" w:rsidRDefault="001E1179" w:rsidP="00F60C33">
            <w:pPr>
              <w:pStyle w:val="Normal6"/>
              <w:widowControl/>
              <w:rPr>
                <w:szCs w:val="24"/>
              </w:rPr>
            </w:pPr>
            <w:r w:rsidRPr="00163266">
              <w:t>(9)</w:t>
            </w:r>
            <w:r w:rsidRPr="00163266">
              <w:tab/>
              <w:t xml:space="preserve">’unionin sijoituskohteella, joka harjoittaa taloudellista toimintaa jollakin liitteessä II luetellulla alalla’ unionin sijoituskohdetta, joka harjoittaa tai aikoo harjoittaa toimintaa, joka liittyy liitteessä II lueteltuihin </w:t>
            </w:r>
            <w:r w:rsidRPr="00163266">
              <w:rPr>
                <w:b/>
                <w:i/>
              </w:rPr>
              <w:t>teknologia-alojen</w:t>
            </w:r>
            <w:r w:rsidRPr="00163266">
              <w:t xml:space="preserve">, </w:t>
            </w:r>
            <w:r w:rsidRPr="00163266">
              <w:rPr>
                <w:b/>
                <w:i/>
              </w:rPr>
              <w:t>materiaalien,</w:t>
            </w:r>
            <w:r w:rsidRPr="00163266">
              <w:t xml:space="preserve"> </w:t>
            </w:r>
            <w:r w:rsidRPr="00163266">
              <w:rPr>
                <w:b/>
                <w:i/>
              </w:rPr>
              <w:t>resurssien</w:t>
            </w:r>
            <w:r w:rsidRPr="00163266">
              <w:t xml:space="preserve">, </w:t>
            </w:r>
            <w:r w:rsidRPr="00163266">
              <w:rPr>
                <w:b/>
                <w:i/>
              </w:rPr>
              <w:t>laitosten</w:t>
            </w:r>
            <w:r w:rsidRPr="00163266">
              <w:t xml:space="preserve">, </w:t>
            </w:r>
            <w:r w:rsidRPr="00163266">
              <w:rPr>
                <w:b/>
                <w:i/>
              </w:rPr>
              <w:t>laitteiden</w:t>
            </w:r>
            <w:r w:rsidRPr="00163266">
              <w:t xml:space="preserve">, </w:t>
            </w:r>
            <w:r w:rsidRPr="00163266">
              <w:rPr>
                <w:b/>
                <w:i/>
              </w:rPr>
              <w:t>verkkojen</w:t>
            </w:r>
            <w:r w:rsidRPr="00163266">
              <w:t xml:space="preserve">, </w:t>
            </w:r>
            <w:r w:rsidRPr="00163266">
              <w:rPr>
                <w:b/>
                <w:i/>
              </w:rPr>
              <w:t>järjestelmien</w:t>
            </w:r>
            <w:r w:rsidRPr="00163266">
              <w:t xml:space="preserve">, </w:t>
            </w:r>
            <w:r w:rsidRPr="00163266">
              <w:rPr>
                <w:b/>
                <w:i/>
              </w:rPr>
              <w:t>palvelujen</w:t>
            </w:r>
            <w:r w:rsidRPr="00163266">
              <w:t xml:space="preserve"> ja </w:t>
            </w:r>
            <w:r w:rsidRPr="00163266">
              <w:rPr>
                <w:b/>
                <w:i/>
              </w:rPr>
              <w:t>taloudellisten toimintojen</w:t>
            </w:r>
            <w:r w:rsidRPr="00163266">
              <w:t xml:space="preserve"> </w:t>
            </w:r>
            <w:r w:rsidRPr="00163266">
              <w:rPr>
                <w:b/>
                <w:i/>
              </w:rPr>
              <w:t>suunnitteluun, kehittämiseen, louhintaan, jalostamiseen, tuotantoon, kierrättämiseen tai toimittamiseen</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64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2 artikla – 1 kohta – 18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(18)</w:t>
            </w:r>
            <w:r w:rsidRPr="00163266">
              <w:tab/>
              <w:t>’unionin etua koskevilla hankkeilla tai ohjelmilla’ unionin oikeuden soveltamisalaan kuuluvia hankkeita tai ohjelmia, joihin liittyy turvallisuuden tai yleisen järjestyksen kannalta kriittisen infrastruktuurin, kriittisen teknologian tai kriittisten tuotantopanosten kehittäminen, ylläpito tai hankinta ja jotka luetellaan liitteessä I;</w:t>
            </w:r>
          </w:p>
        </w:tc>
        <w:tc>
          <w:tcPr>
            <w:tcW w:w="4876" w:type="dxa"/>
            <w:hideMark/>
          </w:tcPr>
          <w:p w:rsidR="001E1179" w:rsidRPr="00163266" w:rsidRDefault="001E1179" w:rsidP="00F60C33">
            <w:pPr>
              <w:pStyle w:val="Normal6"/>
              <w:widowControl/>
              <w:rPr>
                <w:szCs w:val="24"/>
              </w:rPr>
            </w:pPr>
            <w:r w:rsidRPr="00163266">
              <w:t>(18)</w:t>
            </w:r>
            <w:r w:rsidRPr="00163266">
              <w:tab/>
              <w:t>’unionin etua koskevilla hankkeilla tai ohjelmilla’ unionin oikeuden soveltamisalaan kuuluvia hankkeita tai ohjelmia, joihin liittyy turvallisuuden tai yleisen järjestyksen kannalta kriittisen infrastruktuurin, kriittisen teknologian</w:t>
            </w:r>
            <w:r w:rsidRPr="00163266">
              <w:rPr>
                <w:b/>
                <w:i/>
              </w:rPr>
              <w:t>, kriittisten ja keskeisten palvelujen</w:t>
            </w:r>
            <w:r w:rsidRPr="00163266">
              <w:t xml:space="preserve"> tai kriittisten tuotantopanosten kehittäminen, ylläpito tai hankinta ja jotka luetellaan liitteessä I;</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65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2 artikla – 1 kohta – 18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(18 a)</w:t>
            </w:r>
            <w:r w:rsidRPr="00163266">
              <w:rPr>
                <w:b/>
                <w:i/>
              </w:rPr>
              <w:tab/>
              <w:t>’vastaanottavalla jäsenvaltiolla’ jäsenvaltiota, johon ulkomainen sijoitus on suunniteltu toteutettavaksi tai jossa se on toteutettu;</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66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2 artikla – 1 kohta – 23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(23 a)</w:t>
            </w:r>
            <w:r w:rsidRPr="00163266">
              <w:rPr>
                <w:b/>
                <w:i/>
              </w:rPr>
              <w:tab/>
              <w:t>’kriittisellä infrastruktuurilla’ resurssia, laitosta, laitetta, verkkoa tai järjestelmää tai osaa resurssista, laitoksesta, laitteesta, verkosta tai järjestelmästä, joka on välttämätön keskeisen palvelun tarjoamiseksi;</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67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3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w:t>
            </w:r>
            <w:r w:rsidRPr="00163266">
              <w:tab/>
              <w:t>Jäsenvaltioiden on varmistettava, että 1 kohdassa tarkoitettua seurantamekanismia sovelletaan ainakin 4 artiklan 4 kohdan mukaisiin lupaa edellyttäviin sijoituksiin.</w:t>
            </w:r>
          </w:p>
        </w:tc>
        <w:tc>
          <w:tcPr>
            <w:tcW w:w="4876" w:type="dxa"/>
            <w:hideMark/>
          </w:tcPr>
          <w:p w:rsidR="001E1179" w:rsidRPr="00163266" w:rsidRDefault="001E1179" w:rsidP="00F60C33">
            <w:pPr>
              <w:pStyle w:val="Normal6"/>
              <w:widowControl/>
              <w:rPr>
                <w:szCs w:val="24"/>
              </w:rPr>
            </w:pPr>
            <w:r w:rsidRPr="00163266">
              <w:t>2.</w:t>
            </w:r>
            <w:r w:rsidRPr="00163266">
              <w:tab/>
              <w:t>Jäsenvaltioiden on varmistettava, että 1 kohdassa tarkoitettua seurantamekanismia sovelletaan ainakin 4 artiklan 4 kohdan</w:t>
            </w:r>
            <w:r w:rsidRPr="00163266">
              <w:rPr>
                <w:b/>
                <w:i/>
              </w:rPr>
              <w:t xml:space="preserve"> ja 4 artiklan 4 a kohdan</w:t>
            </w:r>
            <w:r w:rsidRPr="00163266">
              <w:t xml:space="preserve"> mukaisiin lupaa edellyttäviin sijoituksiin.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68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3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3.</w:t>
            </w:r>
            <w:r w:rsidRPr="00163266">
              <w:tab/>
              <w:t>Kunkin jäsenvaltion on ilmoitettava komissiolle 1 kohdan nojalla toteutetuista toimenpiteistä viimeistään [...] päivänä [...]kuuta [...] [</w:t>
            </w:r>
            <w:r w:rsidRPr="00163266">
              <w:rPr>
                <w:b/>
                <w:i/>
              </w:rPr>
              <w:t>julkaisutoimisto: lisätään päivämäärä, joka on</w:t>
            </w:r>
            <w:r w:rsidRPr="00163266">
              <w:t xml:space="preserve"> </w:t>
            </w:r>
            <w:r w:rsidRPr="00163266">
              <w:rPr>
                <w:b/>
                <w:i/>
              </w:rPr>
              <w:t>15</w:t>
            </w:r>
            <w:r w:rsidRPr="00163266">
              <w:t xml:space="preserve"> kuukautta </w:t>
            </w:r>
            <w:r w:rsidRPr="00163266">
              <w:rPr>
                <w:b/>
                <w:i/>
              </w:rPr>
              <w:t>voimaantulosta</w:t>
            </w:r>
            <w:r w:rsidRPr="00163266">
              <w:t xml:space="preserve">]. Jäsenvaltioiden on sen </w:t>
            </w:r>
            <w:r w:rsidRPr="00163266">
              <w:lastRenderedPageBreak/>
              <w:t>jälkeen ilmoitettava komissiolle kaikista seurantamekanismiinsa tehdyistä muutoksista 30 päivän kuluessa muutoksen hyväksymisestä.</w:t>
            </w:r>
          </w:p>
        </w:tc>
        <w:tc>
          <w:tcPr>
            <w:tcW w:w="4876" w:type="dxa"/>
            <w:hideMark/>
          </w:tcPr>
          <w:p w:rsidR="001E1179" w:rsidRPr="00163266" w:rsidRDefault="001E1179" w:rsidP="00F60C33">
            <w:pPr>
              <w:pStyle w:val="Normal6"/>
              <w:widowControl/>
              <w:rPr>
                <w:szCs w:val="24"/>
              </w:rPr>
            </w:pPr>
            <w:r w:rsidRPr="00163266">
              <w:lastRenderedPageBreak/>
              <w:t>3.</w:t>
            </w:r>
            <w:r w:rsidRPr="00163266">
              <w:tab/>
              <w:t>Kunkin jäsenvaltion on ilmoitettava komissiolle 1 kohdan nojalla toteutetuista toimenpiteistä viimeistään [...] päivänä [...]kuuta [...] [</w:t>
            </w:r>
            <w:r w:rsidRPr="00163266">
              <w:rPr>
                <w:b/>
                <w:i/>
              </w:rPr>
              <w:t>12</w:t>
            </w:r>
            <w:r w:rsidRPr="00163266">
              <w:t xml:space="preserve"> kuukautta </w:t>
            </w:r>
            <w:r w:rsidRPr="00163266">
              <w:rPr>
                <w:b/>
                <w:i/>
              </w:rPr>
              <w:t>tämän asetuksen voimaantulopäivästä</w:t>
            </w:r>
            <w:r w:rsidRPr="00163266">
              <w:t xml:space="preserve">]. Jäsenvaltioiden on sen jälkeen ilmoitettava </w:t>
            </w:r>
            <w:r w:rsidRPr="00163266">
              <w:lastRenderedPageBreak/>
              <w:t>komissiolle kaikista seurantamekanismiinsa tehdyistä muutoksista 30 päivän kuluessa muutoksen hyväksymisestä.</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69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3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4.</w:t>
            </w:r>
            <w:r w:rsidRPr="00163266">
              <w:tab/>
              <w:t>Komissio asettaa julkisesti saataville luettelon jäsenvaltioiden seurantamekanismeista viimeistään kolmen kuukauden kuluttua kaikkien 3 kohdassa tarkoitettujen ilmoitusten vastaanottamisesta tai viimeistään [...] päivänä [...]kuuta [...] [</w:t>
            </w:r>
            <w:r w:rsidRPr="00163266">
              <w:rPr>
                <w:b/>
                <w:i/>
              </w:rPr>
              <w:t>julkaisutoimisto: lisätään päivämäärä, joka on 21</w:t>
            </w:r>
            <w:r w:rsidRPr="00163266">
              <w:t xml:space="preserve"> kuukautta </w:t>
            </w:r>
            <w:r w:rsidRPr="00163266">
              <w:rPr>
                <w:b/>
                <w:i/>
              </w:rPr>
              <w:t>voimaantulosta</w:t>
            </w:r>
            <w:r w:rsidRPr="00163266">
              <w:t>] sen mukaan, kumpi on ensin. Komissio pitää tämän luettelon ajan tasalla.</w:t>
            </w:r>
          </w:p>
        </w:tc>
        <w:tc>
          <w:tcPr>
            <w:tcW w:w="4876" w:type="dxa"/>
            <w:hideMark/>
          </w:tcPr>
          <w:p w:rsidR="001E1179" w:rsidRPr="00163266" w:rsidRDefault="001E1179" w:rsidP="00F60C33">
            <w:pPr>
              <w:pStyle w:val="Normal6"/>
              <w:widowControl/>
              <w:rPr>
                <w:szCs w:val="24"/>
              </w:rPr>
            </w:pPr>
            <w:r w:rsidRPr="00163266">
              <w:t>4.</w:t>
            </w:r>
            <w:r w:rsidRPr="00163266">
              <w:tab/>
              <w:t>Komissio asettaa julkisesti saataville luettelon jäsenvaltioiden seurantamekanismeista viimeistään kolmen kuukauden kuluttua kaikkien 3 kohdassa tarkoitettujen ilmoitusten vastaanottamisesta tai viimeistään [...] päivänä [...]kuuta [...] [</w:t>
            </w:r>
            <w:r w:rsidRPr="00163266">
              <w:rPr>
                <w:b/>
                <w:i/>
              </w:rPr>
              <w:t>15</w:t>
            </w:r>
            <w:r w:rsidRPr="00163266">
              <w:t xml:space="preserve"> kuukautta </w:t>
            </w:r>
            <w:r w:rsidRPr="00163266">
              <w:rPr>
                <w:b/>
                <w:i/>
              </w:rPr>
              <w:t>tämän asetuksen voimaantulopäivästä</w:t>
            </w:r>
            <w:r w:rsidRPr="00163266">
              <w:t>] sen mukaan, kumpi on ensin. Komissio pitää tämän luettelon ajan tasalla.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70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4 artikla – 2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(a)</w:t>
            </w:r>
            <w:r w:rsidRPr="00163266">
              <w:tab/>
              <w:t>on säädettävä riittävistä menettelyistä, joiden avulla seurannasta vastaava viranomainen voi määrittää, onko sillä toimivalta suhteessa ulkomaiseen sijoitukseen, jolle on haettu lupaa</w:t>
            </w:r>
            <w:r w:rsidRPr="00163266">
              <w:rPr>
                <w:b/>
                <w:i/>
              </w:rPr>
              <w:t>, ja suorittaa</w:t>
            </w:r>
            <w:r w:rsidRPr="00163266">
              <w:t xml:space="preserve"> </w:t>
            </w:r>
            <w:r w:rsidRPr="00163266">
              <w:rPr>
                <w:b/>
                <w:i/>
              </w:rPr>
              <w:t>alustavan tarkastelun</w:t>
            </w:r>
            <w:r w:rsidRPr="00163266">
              <w:t>, jota seuraa tarvittaessa perusteellinen tutkimus sen määrittämiseksi, vaikuttaako kyseinen ulkomainen sijoitus todennäköisesti kielteisesti turvallisuuteen tai yleiseen järjestykseen. Perusteellisen tutkimuksen tarkoituksena on erityisesti määrittää, onko 14 artiklan 1 kohdassa tarkoitettu seurantaa koskeva päätös asianmukainen, ja määrittää sen sisältö;</w:t>
            </w:r>
          </w:p>
        </w:tc>
        <w:tc>
          <w:tcPr>
            <w:tcW w:w="4876" w:type="dxa"/>
            <w:hideMark/>
          </w:tcPr>
          <w:p w:rsidR="001E1179" w:rsidRPr="00163266" w:rsidRDefault="001E1179" w:rsidP="00F60C33">
            <w:pPr>
              <w:pStyle w:val="Normal6"/>
              <w:widowControl/>
              <w:rPr>
                <w:szCs w:val="24"/>
              </w:rPr>
            </w:pPr>
            <w:r w:rsidRPr="00163266">
              <w:t>(a)</w:t>
            </w:r>
            <w:r w:rsidRPr="00163266">
              <w:tab/>
              <w:t xml:space="preserve">on säädettävä riittävistä menettelyistä </w:t>
            </w:r>
            <w:r w:rsidRPr="00163266">
              <w:rPr>
                <w:b/>
                <w:i/>
              </w:rPr>
              <w:t>ja resursseista</w:t>
            </w:r>
            <w:r w:rsidRPr="00163266">
              <w:t>, joiden avulla seurannasta vastaava viranomainen voi määrittää, onko sillä toimivalta suhteessa ulkomaiseen sijoitukseen, jolle on haettu lupaa</w:t>
            </w:r>
            <w:r w:rsidRPr="00163266">
              <w:rPr>
                <w:b/>
                <w:i/>
              </w:rPr>
              <w:t>. Seurantaan on sisällyttävä alustava tarkastelu, joka suoritetaan enintään 35 kalenteripäivän kuluessa kaikki tarvittavat tiedot sisältävän lupahakemuksen vastaanottamisesta</w:t>
            </w:r>
            <w:r w:rsidRPr="00163266">
              <w:t xml:space="preserve">, jota seuraa tarvittaessa perusteellinen tutkimus sen määrittämiseksi, vaikuttaako kyseinen ulkomainen sijoitus todennäköisesti kielteisesti turvallisuuteen tai yleiseen järjestykseen </w:t>
            </w:r>
            <w:r w:rsidRPr="00163266">
              <w:rPr>
                <w:b/>
                <w:i/>
              </w:rPr>
              <w:t>ottaen huomioon vähintään 13 artiklassa säädetyt kriteerit</w:t>
            </w:r>
            <w:r w:rsidRPr="00163266">
              <w:t xml:space="preserve">. Perusteellisen tutkimuksen tarkoituksena on erityisesti määrittää, onko 14 artiklan 1 </w:t>
            </w:r>
            <w:r w:rsidRPr="00163266">
              <w:lastRenderedPageBreak/>
              <w:t>kohdassa tarkoitettu seurantaa koskeva päätös asianmukainen, ja määrittää sen sisältö;</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71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 xml:space="preserve">4 artikla – 2 kohta – a </w:t>
      </w:r>
      <w:proofErr w:type="spellStart"/>
      <w:r w:rsidRPr="00163266">
        <w:t>a</w:t>
      </w:r>
      <w:proofErr w:type="spellEnd"/>
      <w:r w:rsidRPr="00163266">
        <w:t xml:space="preserve">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(a a)</w:t>
            </w:r>
            <w:r w:rsidRPr="00163266">
              <w:rPr>
                <w:b/>
                <w:i/>
              </w:rPr>
              <w:tab/>
              <w:t>seurantaviranomaisella on oltava valtuudet seurata täysin uuteen toimintaan tehtäviä sijoituksia;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72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4 artikla – 2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(b)</w:t>
            </w:r>
            <w:r w:rsidRPr="00163266">
              <w:tab/>
              <w:t>seurannasta vastaavan viranomaisen on valvottava seurantamekanismin ja seurantaa koskevien päätösten noudattamista ja varmistettava niiden noudattaminen. Sen on erityisesti otettava käyttöön asianmukaiset menettelyt, joilla tunnistetaan ja estetään seurantamekanismin ja seurantaa koskevien päätösten kiertäminen;</w:t>
            </w:r>
          </w:p>
        </w:tc>
        <w:tc>
          <w:tcPr>
            <w:tcW w:w="4876" w:type="dxa"/>
            <w:hideMark/>
          </w:tcPr>
          <w:p w:rsidR="001E1179" w:rsidRPr="00163266" w:rsidRDefault="001E1179" w:rsidP="00F60C33">
            <w:pPr>
              <w:pStyle w:val="Normal6"/>
              <w:widowControl/>
              <w:rPr>
                <w:szCs w:val="24"/>
              </w:rPr>
            </w:pPr>
            <w:r w:rsidRPr="00163266">
              <w:t>(b)</w:t>
            </w:r>
            <w:r w:rsidRPr="00163266">
              <w:tab/>
              <w:t xml:space="preserve">seurannasta vastaavan viranomaisen on valvottava seurantamekanismin ja seurantaa koskevien päätösten noudattamista ja varmistettava niiden noudattaminen. Sen on erityisesti otettava käyttöön asianmukaiset menettelyt </w:t>
            </w:r>
            <w:r w:rsidRPr="00163266">
              <w:rPr>
                <w:b/>
                <w:i/>
              </w:rPr>
              <w:t>ja resurssit</w:t>
            </w:r>
            <w:r w:rsidRPr="00163266">
              <w:t xml:space="preserve">, joilla tunnistetaan ja estetään seurantamekanismin ja seurantaa koskevien päätösten kiertäminen </w:t>
            </w:r>
            <w:r w:rsidRPr="00163266">
              <w:rPr>
                <w:b/>
                <w:i/>
              </w:rPr>
              <w:t>ja puututaan siihen</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73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4 artikla – 2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(c)</w:t>
            </w:r>
            <w:r w:rsidRPr="00163266">
              <w:tab/>
              <w:t xml:space="preserve">seurannasta vastaavalla viranomaisella on oltava valtuudet aloittaa ulkomaisten sijoitusten seuranta omasta aloitteestaan </w:t>
            </w:r>
            <w:r w:rsidRPr="00163266">
              <w:rPr>
                <w:b/>
                <w:i/>
              </w:rPr>
              <w:t>vähintään</w:t>
            </w:r>
            <w:r w:rsidRPr="00163266">
              <w:t xml:space="preserve"> 15 kuukauden ajan sellaisen ulkomaisen sijoituksen toteuttamisesta, joka ei edellytä lupaa, jos seurannasta vastaavalla viranomaisella on </w:t>
            </w:r>
            <w:r w:rsidRPr="00163266">
              <w:lastRenderedPageBreak/>
              <w:t>syytä katsoa, että ulkomainen sijoitus voi vaikuttaa turvallisuuteen tai yleiseen järjestykseen;</w:t>
            </w:r>
          </w:p>
        </w:tc>
        <w:tc>
          <w:tcPr>
            <w:tcW w:w="4876" w:type="dxa"/>
            <w:hideMark/>
          </w:tcPr>
          <w:p w:rsidR="001E1179" w:rsidRPr="00163266" w:rsidRDefault="001E1179" w:rsidP="00F60C33">
            <w:pPr>
              <w:pStyle w:val="Normal6"/>
              <w:widowControl/>
              <w:rPr>
                <w:szCs w:val="24"/>
              </w:rPr>
            </w:pPr>
            <w:r w:rsidRPr="00163266">
              <w:lastRenderedPageBreak/>
              <w:t>(c)</w:t>
            </w:r>
            <w:r w:rsidRPr="00163266">
              <w:tab/>
              <w:t xml:space="preserve">seurannasta vastaavalla viranomaisella on oltava valtuudet aloittaa ulkomaisten sijoitusten seuranta omasta aloitteestaan 15 kuukauden kuluessa sellaisen ulkomaisen sijoituksen toteuttamisesta, joka ei edellytä lupaa, jos seurannasta vastaavalla viranomaisella on </w:t>
            </w:r>
            <w:r w:rsidRPr="00163266">
              <w:lastRenderedPageBreak/>
              <w:t>syytä katsoa, että ulkomainen sijoitus voi vaikuttaa turvallisuuteen tai yleiseen järjestykseen;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74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4 artikla – 2 kohta – d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(d)</w:t>
            </w:r>
            <w:r w:rsidRPr="00163266">
              <w:tab/>
              <w:t>seurantaa toteuttavalle jäsenvaltiolle annettuja luottamuksellisia tietoja, mukaan luettuna kaupallisesti arkaluonteiset tiedot, on suojattava;</w:t>
            </w:r>
          </w:p>
        </w:tc>
        <w:tc>
          <w:tcPr>
            <w:tcW w:w="4876" w:type="dxa"/>
            <w:hideMark/>
          </w:tcPr>
          <w:p w:rsidR="001E1179" w:rsidRPr="00163266" w:rsidRDefault="001E1179" w:rsidP="00F60C33">
            <w:pPr>
              <w:pStyle w:val="Normal6"/>
              <w:widowControl/>
              <w:rPr>
                <w:szCs w:val="24"/>
              </w:rPr>
            </w:pPr>
            <w:r w:rsidRPr="00163266">
              <w:t>(d)</w:t>
            </w:r>
            <w:r w:rsidRPr="00163266">
              <w:tab/>
              <w:t xml:space="preserve">seurantaa toteuttavalle jäsenvaltiolle annettuja luottamuksellisia tietoja, mukaan lukien kaupallisesti arkaluonteiset tiedot </w:t>
            </w:r>
            <w:r w:rsidRPr="00163266">
              <w:rPr>
                <w:b/>
                <w:i/>
              </w:rPr>
              <w:t>ja tiedot, jotka asianomaiset yritykset ovat määritelleet luottamuksellisiksi</w:t>
            </w:r>
            <w:r w:rsidRPr="00163266">
              <w:t>, on suojattava;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75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4 artikla – 2 kohta – e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(e)</w:t>
            </w:r>
            <w:r w:rsidRPr="00163266">
              <w:tab/>
              <w:t>ulkomaisilla sijoittajilla, unionissa sijaitsevilla ulkomaisten sijoittajien tytäryrityksillä, joiden kautta ulkomainen sijoitus tehdään, ja yrityksillä, joita seurantaa koskeva päätös koskee, on oltava mahdollisuus hakea muutosta kyseiseen seurantaa koskevaan päätökseen tuomioistuimessa;</w:t>
            </w:r>
          </w:p>
        </w:tc>
        <w:tc>
          <w:tcPr>
            <w:tcW w:w="4876" w:type="dxa"/>
            <w:hideMark/>
          </w:tcPr>
          <w:p w:rsidR="001E1179" w:rsidRPr="00163266" w:rsidRDefault="001E1179" w:rsidP="00F60C33">
            <w:pPr>
              <w:pStyle w:val="Normal6"/>
              <w:widowControl/>
              <w:rPr>
                <w:szCs w:val="24"/>
              </w:rPr>
            </w:pPr>
            <w:r w:rsidRPr="00163266">
              <w:t>(e)</w:t>
            </w:r>
            <w:r w:rsidRPr="00163266">
              <w:tab/>
              <w:t xml:space="preserve">ulkomaisilla sijoittajilla, unionissa sijaitsevilla ulkomaisten sijoittajien tytäryrityksillä, joiden kautta ulkomainen sijoitus tehdään, ja yrityksillä, joita seurantaa koskeva päätös koskee, on oltava mahdollisuus hakea muutosta kyseiseen seurantaa koskevaan päätökseen tuomioistuimessa </w:t>
            </w:r>
            <w:r w:rsidRPr="00163266">
              <w:rPr>
                <w:b/>
                <w:i/>
              </w:rPr>
              <w:t>ripeästi ja tehokkaasti</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76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4 artikla – 2 kohta – f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(f)</w:t>
            </w:r>
            <w:r w:rsidRPr="00163266">
              <w:tab/>
              <w:t xml:space="preserve">on julkaistava vuosikertomus, jonka on sisällettävä tiedot asiaankuuluvan lainsäädännön kehityksestä jäsenvaltiossa sekä koostetut ja </w:t>
            </w:r>
            <w:proofErr w:type="spellStart"/>
            <w:r w:rsidRPr="00163266">
              <w:t>anonymisoidut</w:t>
            </w:r>
            <w:proofErr w:type="spellEnd"/>
            <w:r w:rsidRPr="00163266">
              <w:t xml:space="preserve"> tiedot seurannan kohteena olleista sijoituksista, mukaan lukien seurantaa koskevien päätösten tulokset, seurannasta vastaavalle </w:t>
            </w:r>
            <w:r w:rsidRPr="00163266">
              <w:lastRenderedPageBreak/>
              <w:t>viranomaisille ilmoitettujen sijoitusten osapuolten kansallisuudet tai tapauksen mukaan sijoittautumismaat sekä talouden alat, joilla kyseiset liiketoimet toteutettiin;</w:t>
            </w:r>
          </w:p>
        </w:tc>
        <w:tc>
          <w:tcPr>
            <w:tcW w:w="4876" w:type="dxa"/>
            <w:hideMark/>
          </w:tcPr>
          <w:p w:rsidR="001E1179" w:rsidRPr="00163266" w:rsidRDefault="001E1179" w:rsidP="00F60C33">
            <w:pPr>
              <w:pStyle w:val="Normal6"/>
              <w:widowControl/>
              <w:rPr>
                <w:szCs w:val="24"/>
              </w:rPr>
            </w:pPr>
            <w:r w:rsidRPr="00163266">
              <w:lastRenderedPageBreak/>
              <w:t>(f)</w:t>
            </w:r>
            <w:r w:rsidRPr="00163266">
              <w:tab/>
              <w:t xml:space="preserve">on julkaistava vuosikertomus, jonka on sisällettävä tiedot asiaankuuluvan lainsäädännön kehityksestä jäsenvaltiossa sekä koostetut ja </w:t>
            </w:r>
            <w:proofErr w:type="spellStart"/>
            <w:r w:rsidRPr="00163266">
              <w:t>anonymisoidut</w:t>
            </w:r>
            <w:proofErr w:type="spellEnd"/>
            <w:r w:rsidRPr="00163266">
              <w:t xml:space="preserve"> tiedot seurannan kohteena olleista sijoituksista, mukaan lukien seurantaa koskevien päätösten tulokset, seurannasta vastaavalle </w:t>
            </w:r>
            <w:r w:rsidRPr="00163266">
              <w:lastRenderedPageBreak/>
              <w:t>viranomaisille ilmoitettujen sijoitusten osapuolten kansallisuudet tai tapauksen mukaan sijoittautumismaat sekä talouden alat, joilla kyseiset liiketoimet toteutettiin</w:t>
            </w:r>
            <w:r w:rsidRPr="00163266">
              <w:rPr>
                <w:b/>
                <w:i/>
              </w:rPr>
              <w:t>, sekä tarvittaessa unionin etua koskevat hankkeet tai ohjelmat</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77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4 artikla – 2 kohta – g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(g)</w:t>
            </w:r>
            <w:r w:rsidRPr="00163266">
              <w:tab/>
              <w:t>luvanhakijan on toimitettava 4 kohdassa tarkoitettuja lupaa edellyttäviä ulkomaisia sijoituksia koskeva lupahakemus seurannasta vastaavalle viranomaiselle, ja tällaisiin ulkomaisiin sijoituksiin on kohdistettava seurantaa ennen niiden toteuttamista;</w:t>
            </w:r>
          </w:p>
        </w:tc>
        <w:tc>
          <w:tcPr>
            <w:tcW w:w="4876" w:type="dxa"/>
            <w:hideMark/>
          </w:tcPr>
          <w:p w:rsidR="001E1179" w:rsidRPr="00163266" w:rsidRDefault="001E1179" w:rsidP="00F60C33">
            <w:pPr>
              <w:pStyle w:val="Normal6"/>
              <w:widowControl/>
              <w:rPr>
                <w:szCs w:val="24"/>
              </w:rPr>
            </w:pPr>
            <w:r w:rsidRPr="00163266">
              <w:t>(g)</w:t>
            </w:r>
            <w:r w:rsidRPr="00163266">
              <w:tab/>
              <w:t xml:space="preserve">luvanhakijan on toimitettava 4 kohdassa </w:t>
            </w:r>
            <w:r w:rsidRPr="00163266">
              <w:rPr>
                <w:b/>
                <w:i/>
              </w:rPr>
              <w:t>ja 4 a kohdassa</w:t>
            </w:r>
            <w:r w:rsidRPr="00163266">
              <w:t xml:space="preserve"> tarkoitettuja lupaa edellyttäviä ulkomaisia sijoituksia koskeva lupahakemus seurannasta vastaavalle viranomaiselle, ja tällaisiin ulkomaisiin sijoituksiin on kohdistettava seurantaa ennen niiden toteuttamista;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78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4 artikla – 2 kohta – g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(g a)</w:t>
            </w:r>
            <w:r w:rsidRPr="00163266">
              <w:rPr>
                <w:b/>
                <w:i/>
              </w:rPr>
              <w:tab/>
              <w:t>Jäsenvaltioiden on otettava käyttöön standardoidut menettelyn välitavoitteet ja jäsennellyt yhteyspisteet viestintään hakijoiden kanssa koko prosessissa, mukaan lukien virallinen vahvistus viiden työpäivän kuluessa siitä, että hakemus on toimitettu kokonaisuudessaan, ja ilmoitettava asianomaisille yrityksille, jos seulontaviranomainen päättää aloittaa perusteellisen tutkimuksen;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79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4 artikla – 2 kohta – h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(h)</w:t>
            </w:r>
            <w:r w:rsidRPr="00163266">
              <w:tab/>
              <w:t>seurannasta vastaavalla viranomaisella on oltava valtuudet määrätä riskejä lieventäviä toimenpiteitä tai kieltää tai kumota 4 kohdassa tarkoitetut lupaa edellyttävät ulkomaiset sijoitukset, joille ei ole haettu lupaa tai joille on haettu lupaa vasta toteuttamisen jälkeen, ja tarvittaessa puuttua tehokkaasti noudattamatta jättämisen seurauksiin riskejä lieventävillä toimenpiteillä;</w:t>
            </w:r>
          </w:p>
        </w:tc>
        <w:tc>
          <w:tcPr>
            <w:tcW w:w="4876" w:type="dxa"/>
            <w:hideMark/>
          </w:tcPr>
          <w:p w:rsidR="001E1179" w:rsidRPr="00163266" w:rsidRDefault="001E1179" w:rsidP="00F60C33">
            <w:pPr>
              <w:pStyle w:val="Normal6"/>
              <w:widowControl/>
              <w:rPr>
                <w:szCs w:val="24"/>
              </w:rPr>
            </w:pPr>
            <w:r w:rsidRPr="00163266">
              <w:t>(h)</w:t>
            </w:r>
            <w:r w:rsidRPr="00163266">
              <w:tab/>
              <w:t xml:space="preserve">seurannasta vastaavalla viranomaisella on oltava valtuudet määrätä riskejä lieventäviä toimenpiteitä tai kieltää tai kumota 4 </w:t>
            </w:r>
            <w:r w:rsidRPr="00163266">
              <w:rPr>
                <w:b/>
                <w:i/>
              </w:rPr>
              <w:t>ja 4 a</w:t>
            </w:r>
            <w:r w:rsidRPr="00163266">
              <w:t xml:space="preserve"> kohdassa tarkoitetut lupaa edellyttävät ulkomaiset sijoitukset, joille ei ole haettu lupaa tai joille on haettu lupaa vasta toteuttamisen jälkeen, ja tarvittaessa puuttua tehokkaasti noudattamatta jättämisen seurauksiin riskejä lieventävillä toimenpiteillä;</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80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4 artikla – 2 kohta – h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(h a)</w:t>
            </w:r>
            <w:r w:rsidRPr="00163266">
              <w:rPr>
                <w:b/>
                <w:i/>
              </w:rPr>
              <w:tab/>
              <w:t>seurannasta vastaavilla viranomaisilla on oltava valtuudet määrätä tehokkaita, oikeasuhteisia ja varoittavia seuraamuksia ulkomaisille sijoittajille, jotka eivät hae vaadittua lupaa, eivät noudata riskejä lieventäviä toimenpiteitä tai yrittävät muulla tavoin kiertää seurantamekanismia tai seurantaa koskevia päätöksiä; Seuraamuksissa on otettava huomioon rikkomisen laajuus ja luonne;</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81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4 artikla – 2 kohta – h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(h b)</w:t>
            </w:r>
            <w:r w:rsidRPr="00163266">
              <w:rPr>
                <w:b/>
                <w:i/>
              </w:rPr>
              <w:tab/>
              <w:t>seurantaviranomaisen on otettava käyttöön asianmukaiset menettelyt ja turvalliset kanavat ulkomaisia sijoituksia koskevien tietojen saamiseksi kansalaisjärjestöiltä, talouden toimijoilta ja työmarkkinaosapuolilta;</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82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4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3.</w:t>
            </w:r>
            <w:r w:rsidRPr="00163266">
              <w:tab/>
              <w:t xml:space="preserve">Ennen kuin jäsenvaltiot tekevät päätöksen riskejä lieventäviä toimenpiteitä edellyttävän luvan myöntämisestä ulkomaiselle sijoitukselle tai ulkomaisen sijoituksen kieltämisestä, niiden on ilmoitettava päätöksestä luvanhakijalle ja perusteltava se, ottaen huomioon sellaisten tietojen suojaaminen, joiden paljastaminen olisi vastoin EU:n tai yhden tai useamman jäsenvaltion turvallisuuteen tai yleiseen järjestykseen liittyviä etuja, sanotun kuitenkaan rajoittamatta luottamuksellisten tietojen suojaa koskevan unionin oikeuden ja kansallisen lainsäädännön soveltamista. Jäsenvaltioiden on annettava ulkomaiselle sijoittajalle mahdollisuus esittää näkemyksensä </w:t>
            </w:r>
            <w:r w:rsidRPr="00163266">
              <w:rPr>
                <w:b/>
                <w:i/>
              </w:rPr>
              <w:t>ennen tällaisen päätöksen tekemistä</w:t>
            </w:r>
            <w:r w:rsidRPr="00163266">
              <w:t>.</w:t>
            </w:r>
          </w:p>
        </w:tc>
        <w:tc>
          <w:tcPr>
            <w:tcW w:w="4876" w:type="dxa"/>
            <w:hideMark/>
          </w:tcPr>
          <w:p w:rsidR="001E1179" w:rsidRPr="00163266" w:rsidRDefault="001E1179" w:rsidP="00F60C33">
            <w:pPr>
              <w:pStyle w:val="Normal6"/>
              <w:widowControl/>
              <w:rPr>
                <w:szCs w:val="24"/>
              </w:rPr>
            </w:pPr>
            <w:r w:rsidRPr="00163266">
              <w:t>3.</w:t>
            </w:r>
            <w:r w:rsidRPr="00163266">
              <w:tab/>
              <w:t xml:space="preserve">Ennen kuin jäsenvaltiot tekevät päätöksen riskejä lieventäviä toimenpiteitä edellyttävän luvan myöntämisestä ulkomaiselle sijoitukselle tai ulkomaisen sijoituksen kieltämisestä, niiden on ilmoitettava päätöksestä luvanhakijalle ja perusteltava se, ottaen huomioon sellaisten tietojen suojaaminen, joiden paljastaminen olisi vastoin EU:n tai yhden tai useamman jäsenvaltion turvallisuuteen tai yleiseen järjestykseen liittyviä etuja, sanotun kuitenkaan rajoittamatta luottamuksellisten tietojen suojaa koskevan unionin oikeuden ja kansallisen lainsäädännön soveltamista. Jäsenvaltioiden on annettava ulkomaiselle sijoittajalle mahdollisuus esittää näkemyksensä </w:t>
            </w:r>
            <w:r w:rsidRPr="00163266">
              <w:rPr>
                <w:b/>
                <w:i/>
              </w:rPr>
              <w:t>ja otettava näkemys huomioon ennen päätösluonnoksensa toimittamista 7 artiklan 8 kohdan mukaisesti</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83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4 artikla – 4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(a)</w:t>
            </w:r>
            <w:r w:rsidRPr="00163266">
              <w:tab/>
              <w:t xml:space="preserve">on osa liitteessä I lueteltua unionin etua koskevaa hanketta tai ohjelmaa tai osallistuu siihen, mukaan lukien Euroopan parlamentin ja neuvoston asetuksen </w:t>
            </w:r>
            <w:r w:rsidRPr="00163266">
              <w:rPr>
                <w:b/>
                <w:i/>
              </w:rPr>
              <w:t>2018/1046</w:t>
            </w:r>
            <w:r w:rsidRPr="00163266">
              <w:rPr>
                <w:b/>
                <w:i/>
                <w:vertAlign w:val="superscript"/>
              </w:rPr>
              <w:t>19</w:t>
            </w:r>
            <w:r w:rsidRPr="00163266">
              <w:t xml:space="preserve"> 2 artiklan </w:t>
            </w:r>
            <w:r w:rsidRPr="00163266">
              <w:rPr>
                <w:b/>
                <w:i/>
              </w:rPr>
              <w:t>53 kohdassa</w:t>
            </w:r>
            <w:r w:rsidRPr="00163266">
              <w:t xml:space="preserve"> määriteltynä varojen saajana, tai</w:t>
            </w:r>
          </w:p>
        </w:tc>
        <w:tc>
          <w:tcPr>
            <w:tcW w:w="4876" w:type="dxa"/>
            <w:hideMark/>
          </w:tcPr>
          <w:p w:rsidR="001E1179" w:rsidRPr="00163266" w:rsidRDefault="001E1179" w:rsidP="00F60C33">
            <w:pPr>
              <w:pStyle w:val="Normal6"/>
              <w:widowControl/>
              <w:rPr>
                <w:szCs w:val="24"/>
              </w:rPr>
            </w:pPr>
            <w:r w:rsidRPr="00163266">
              <w:t>(a)</w:t>
            </w:r>
            <w:r w:rsidRPr="00163266">
              <w:tab/>
              <w:t xml:space="preserve">on osa liitteessä I lueteltua unionin etua koskevaa hanketta tai ohjelmaa tai osallistuu siihen, mukaan lukien Euroopan parlamentin ja neuvoston asetuksen </w:t>
            </w:r>
            <w:r w:rsidRPr="00163266">
              <w:rPr>
                <w:b/>
                <w:i/>
              </w:rPr>
              <w:t>(EU) 2024/2509</w:t>
            </w:r>
            <w:r w:rsidRPr="00163266">
              <w:rPr>
                <w:b/>
                <w:i/>
                <w:vertAlign w:val="superscript"/>
              </w:rPr>
              <w:t>19a</w:t>
            </w:r>
            <w:r w:rsidRPr="00163266">
              <w:t xml:space="preserve"> 2 artiklan </w:t>
            </w:r>
            <w:r w:rsidRPr="00163266">
              <w:rPr>
                <w:b/>
                <w:i/>
              </w:rPr>
              <w:t>59 kohdassa</w:t>
            </w:r>
            <w:r w:rsidRPr="00163266">
              <w:t xml:space="preserve"> määriteltynä varojen saajana, tai</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__________________</w:t>
            </w:r>
          </w:p>
        </w:tc>
        <w:tc>
          <w:tcPr>
            <w:tcW w:w="4876" w:type="dxa"/>
            <w:hideMark/>
          </w:tcPr>
          <w:p w:rsidR="001E1179" w:rsidRPr="00163266" w:rsidRDefault="001E1179" w:rsidP="00F60C33">
            <w:pPr>
              <w:pStyle w:val="Normal6"/>
              <w:widowControl/>
              <w:rPr>
                <w:szCs w:val="24"/>
              </w:rPr>
            </w:pPr>
            <w:r w:rsidRPr="00163266">
              <w:t>__________________</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vertAlign w:val="superscript"/>
              </w:rPr>
              <w:t>19</w:t>
            </w:r>
            <w:r w:rsidRPr="00163266">
              <w:t xml:space="preserve"> </w:t>
            </w:r>
            <w:r w:rsidRPr="00163266">
              <w:rPr>
                <w:b/>
                <w:i/>
              </w:rPr>
              <w:t xml:space="preserve">Euroopan parlamentin ja neuvoston asetus (EU, Euratom) 2018/1046, annettu 18 päivänä heinäkuuta 2018, unionin yleiseen talousarvioon sovellettavista varainhoitosäännöistä, asetusten (EU) N:o 1296/2013, (EU) N:o 1301/2013, (EU) N:o 1303/2013, (EU) N:o </w:t>
            </w:r>
            <w:r w:rsidRPr="00163266">
              <w:rPr>
                <w:b/>
                <w:i/>
              </w:rPr>
              <w:lastRenderedPageBreak/>
              <w:t>1304/2013, (EU) N:o 1309/2013, (EU) N:o 1316/2013, (EU) N:o 223/2014, (EU) N:o 283/2014 ja päätöksen N:o 541/2014/EU muuttamisesta sekä asetuksen (EU, Euratom) N:o 966/2012 kumoamisesta (EUVL L 193, 30.7.2018, s. 1–, ELI: http://data.europa.eu/eli/reg/2018/1046/oj).</w:t>
            </w:r>
          </w:p>
        </w:tc>
        <w:tc>
          <w:tcPr>
            <w:tcW w:w="4876" w:type="dxa"/>
          </w:tcPr>
          <w:p w:rsidR="001E1179" w:rsidRPr="00163266" w:rsidRDefault="001E1179" w:rsidP="00F60C33">
            <w:pPr>
              <w:pStyle w:val="Normal6"/>
              <w:widowControl/>
              <w:rPr>
                <w:szCs w:val="24"/>
              </w:rPr>
            </w:pP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pPr>
              <w:pStyle w:val="Normal6"/>
              <w:widowControl/>
              <w:rPr>
                <w:szCs w:val="24"/>
              </w:rPr>
            </w:pPr>
            <w:r w:rsidRPr="00163266">
              <w:rPr>
                <w:b/>
                <w:i/>
                <w:vertAlign w:val="superscript"/>
              </w:rPr>
              <w:t>19 a</w:t>
            </w:r>
            <w:r w:rsidRPr="00163266">
              <w:t xml:space="preserve"> </w:t>
            </w:r>
            <w:r w:rsidRPr="00163266">
              <w:rPr>
                <w:b/>
                <w:i/>
              </w:rPr>
              <w:t>Euroopan parlamentin ja neuvoston asetus (EU, Euratom) 2024/2509, annettu 23</w:t>
            </w:r>
            <w:r w:rsidR="00DB5590" w:rsidRPr="00163266">
              <w:rPr>
                <w:b/>
                <w:i/>
              </w:rPr>
              <w:t xml:space="preserve"> päivänä</w:t>
            </w:r>
            <w:r w:rsidRPr="00163266">
              <w:rPr>
                <w:b/>
                <w:i/>
              </w:rPr>
              <w:t xml:space="preserve"> syyskuu</w:t>
            </w:r>
            <w:r w:rsidR="00DB5590" w:rsidRPr="00163266">
              <w:rPr>
                <w:b/>
                <w:i/>
              </w:rPr>
              <w:t>ta</w:t>
            </w:r>
            <w:r w:rsidRPr="00163266">
              <w:rPr>
                <w:b/>
                <w:i/>
              </w:rPr>
              <w:t xml:space="preserve"> 2024, unionin yleiseen talousarvioon sovellettavista varainhoitosäännöistä</w:t>
            </w:r>
            <w:r w:rsidR="003736E0" w:rsidRPr="00163266">
              <w:rPr>
                <w:b/>
                <w:i/>
              </w:rPr>
              <w:t xml:space="preserve"> (EUVL L 2024/2509, 26.9.2024, ELI: </w:t>
            </w:r>
            <w:hyperlink r:id="rId9" w:tgtFrame="_blank" w:tooltip="Gives access to this document through its ELI URI." w:history="1">
              <w:r w:rsidR="003736E0" w:rsidRPr="00163266">
                <w:rPr>
                  <w:rStyle w:val="Hyperlink"/>
                  <w:b/>
                  <w:i/>
                </w:rPr>
                <w:t>http://data.europa.eu/eli/reg/2024/2509/oj</w:t>
              </w:r>
            </w:hyperlink>
            <w:r w:rsidR="003736E0" w:rsidRPr="00163266">
              <w:rPr>
                <w:b/>
                <w:i/>
              </w:rPr>
              <w:t>)</w:t>
            </w:r>
            <w:r w:rsidRPr="00163266">
              <w:rPr>
                <w:b/>
                <w:i/>
              </w:rPr>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84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4 artikla – 4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4 a.</w:t>
            </w:r>
            <w:r w:rsidRPr="00163266">
              <w:rPr>
                <w:b/>
                <w:i/>
              </w:rPr>
              <w:tab/>
              <w:t>Jäsenvaltioiden on myös varmistettava, että niiden seurantamekanismeissa edellytetään lupaa täysin uuteen toimintaan tehtäviltä ulkomaisilta sijoituksilta, jos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(a)</w:t>
            </w:r>
            <w:r w:rsidRPr="00163266">
              <w:tab/>
            </w:r>
            <w:r w:rsidRPr="00163266">
              <w:rPr>
                <w:b/>
                <w:i/>
              </w:rPr>
              <w:t>tämän artiklan 4 kohdan a tai b alakohdassa säädetyt edellytykset täyttyvät;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(b)</w:t>
            </w:r>
            <w:r w:rsidRPr="00163266">
              <w:tab/>
            </w:r>
            <w:r w:rsidRPr="00163266">
              <w:rPr>
                <w:b/>
                <w:i/>
              </w:rPr>
              <w:t>sijoittaja täyttää yhden tai useamman 5 artiklan 1 kohdan b alakohdan i–iii alakohdassa säädetyistä edellytyksistä; ja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(c)</w:t>
            </w:r>
            <w:r w:rsidRPr="00163266">
              <w:tab/>
            </w:r>
            <w:r w:rsidRPr="00163266">
              <w:rPr>
                <w:b/>
                <w:i/>
              </w:rPr>
              <w:t>liiketoimen arvo on vähintään 250 miljoonaa euroa.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85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5 artikla – 1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1.</w:t>
            </w:r>
            <w:r w:rsidRPr="00163266">
              <w:tab/>
              <w:t xml:space="preserve">Jäsenvaltioiden on ilmoitettava yhteistyömekanismin kautta komissiolle ja muille jäsenvaltioille kaikista niiden alueelle </w:t>
            </w:r>
            <w:r w:rsidRPr="00163266">
              <w:rPr>
                <w:b/>
                <w:i/>
              </w:rPr>
              <w:t>sijoittautuneisiin</w:t>
            </w:r>
            <w:r w:rsidRPr="00163266">
              <w:t xml:space="preserve"> unionin sijoituskohteisiin tehdyistä ulkomaisista sijoituksista, jotka</w:t>
            </w:r>
          </w:p>
        </w:tc>
        <w:tc>
          <w:tcPr>
            <w:tcW w:w="4876" w:type="dxa"/>
            <w:hideMark/>
          </w:tcPr>
          <w:p w:rsidR="001E1179" w:rsidRPr="00163266" w:rsidRDefault="001E1179" w:rsidP="00F60C33">
            <w:pPr>
              <w:pStyle w:val="Normal6"/>
              <w:widowControl/>
              <w:rPr>
                <w:szCs w:val="24"/>
              </w:rPr>
            </w:pPr>
            <w:r w:rsidRPr="00163266">
              <w:t>1.</w:t>
            </w:r>
            <w:r w:rsidRPr="00163266">
              <w:tab/>
              <w:t>Jäsenvaltioiden on ilmoitettava yhteistyömekanismin kautta komissiolle ja muille jäsenvaltioille kaikista niiden alueelle unionin sijoituskohteisiin tehdyistä ulkomaisista sijoituksista, jotka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86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5 artikla – 1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(a)</w:t>
            </w:r>
            <w:r w:rsidRPr="00163266">
              <w:tab/>
              <w:t>täyttävät 4 artiklan 4 kohdan a alakohdassa säädetyt edellytykset; tai</w:t>
            </w:r>
          </w:p>
        </w:tc>
        <w:tc>
          <w:tcPr>
            <w:tcW w:w="4876" w:type="dxa"/>
            <w:hideMark/>
          </w:tcPr>
          <w:p w:rsidR="001E1179" w:rsidRPr="00163266" w:rsidRDefault="001E1179" w:rsidP="00F60C33">
            <w:pPr>
              <w:pStyle w:val="Normal6"/>
              <w:widowControl/>
              <w:rPr>
                <w:szCs w:val="24"/>
              </w:rPr>
            </w:pPr>
            <w:r w:rsidRPr="00163266">
              <w:t>(a)</w:t>
            </w:r>
            <w:r w:rsidRPr="00163266">
              <w:tab/>
              <w:t xml:space="preserve">täyttävät 4 artiklan 4 kohdan a alakohdassa </w:t>
            </w:r>
            <w:r w:rsidRPr="00163266">
              <w:rPr>
                <w:b/>
                <w:i/>
              </w:rPr>
              <w:t>tai 4 artiklan 4 a kohdassa</w:t>
            </w:r>
            <w:r w:rsidRPr="00163266">
              <w:t xml:space="preserve"> säädetyt edellytykset; tai</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87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5 artikla – 1 kohta – b alakohta – i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i)</w:t>
            </w:r>
            <w:r w:rsidRPr="00163266">
              <w:tab/>
              <w:t>ulkomainen sijoittaja tai ulkomaisen sijoittajan tytäryhtiö unionissa on suoraan tai välillisesti kolmannen maan hallituksen, mukaan lukien valtion elimet, alue- tai paikallisviranomaiset tai asevoimat, määräysvallassa, myös omistusrakenteen, merkittävän rahoituksen, erityisoikeuksien tai valtion nimittämien johtajien kautta;</w:t>
            </w:r>
          </w:p>
        </w:tc>
        <w:tc>
          <w:tcPr>
            <w:tcW w:w="4876" w:type="dxa"/>
            <w:hideMark/>
          </w:tcPr>
          <w:p w:rsidR="001E1179" w:rsidRPr="00163266" w:rsidRDefault="001E1179" w:rsidP="00F60C33">
            <w:pPr>
              <w:pStyle w:val="Normal6"/>
              <w:widowControl/>
              <w:rPr>
                <w:szCs w:val="24"/>
              </w:rPr>
            </w:pPr>
            <w:r w:rsidRPr="00163266">
              <w:t>i)</w:t>
            </w:r>
            <w:r w:rsidRPr="00163266">
              <w:tab/>
              <w:t xml:space="preserve">ulkomainen sijoittaja tai ulkomaisen sijoittajan tytäryhtiö unionissa on suoraan tai välillisesti kolmannen maan hallituksen, mukaan lukien valtion elimet, alue- tai paikallisviranomaiset tai asevoimat, määräysvallassa, myös omistusrakenteen, merkittävän rahoituksen, erityisoikeuksien tai valtion nimittämien johtajien </w:t>
            </w:r>
            <w:r w:rsidRPr="00163266">
              <w:rPr>
                <w:b/>
                <w:i/>
              </w:rPr>
              <w:t>tai muiden näkökohtien</w:t>
            </w:r>
            <w:r w:rsidRPr="00163266">
              <w:t xml:space="preserve"> kautta</w:t>
            </w:r>
            <w:r w:rsidRPr="00163266">
              <w:rPr>
                <w:b/>
                <w:i/>
              </w:rPr>
              <w:t>, joiden tarkoituksena on vaikuttaa johdon päätöksiin</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88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 artikla – 1 kohta – b alakohta – ii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ii)</w:t>
            </w:r>
            <w:r w:rsidRPr="00163266">
              <w:tab/>
              <w:t>ulkomainen sijoittaja, luonnollinen henkilö tai yhteisö, joka harjoittaa määräysvaltaa suhteessa ulkomaiseen sijoittajaan, ulkomaisen sijoittajan tosiasiallinen omistaja ja edunsaaja, ulkomaisen sijoittajan tytäryhtiö tai muu tällaisen ulkomaisen sijoittajan omistuksessa tai määräysvallassa oleva taikka sen puolesta tai johdolla toimiva osapuoli on SEUT</w:t>
            </w:r>
            <w:r w:rsidRPr="00163266">
              <w:rPr>
                <w:b/>
                <w:i/>
              </w:rPr>
              <w:t>-sopimuksen</w:t>
            </w:r>
            <w:r w:rsidRPr="00163266">
              <w:t xml:space="preserve"> 215 artiklan mukaisten unionin rajoittavien toimenpiteiden kohteena; </w:t>
            </w:r>
            <w:r w:rsidRPr="00163266">
              <w:rPr>
                <w:b/>
                <w:i/>
              </w:rPr>
              <w:t>tai</w:t>
            </w:r>
          </w:p>
        </w:tc>
        <w:tc>
          <w:tcPr>
            <w:tcW w:w="4876" w:type="dxa"/>
            <w:hideMark/>
          </w:tcPr>
          <w:p w:rsidR="001E1179" w:rsidRPr="00163266" w:rsidRDefault="001E1179" w:rsidP="00F60C33">
            <w:pPr>
              <w:pStyle w:val="Normal6"/>
              <w:widowControl/>
              <w:rPr>
                <w:szCs w:val="24"/>
              </w:rPr>
            </w:pPr>
            <w:r w:rsidRPr="00163266">
              <w:t>ii)</w:t>
            </w:r>
            <w:r w:rsidRPr="00163266">
              <w:tab/>
              <w:t>ulkomainen sijoittaja, luonnollinen henkilö tai yhteisö, joka harjoittaa määräysvaltaa suhteessa ulkomaiseen sijoittajaan, ulkomaisen sijoittajan tosiasiallinen omistaja ja edunsaaja, ulkomaisen sijoittajan tytäryhtiö tai muu tällaisen ulkomaisen sijoittajan omistuksessa tai määräysvallassa oleva taikka sen puolesta tai johdolla toimiva osapuoli on SEUT 215 artiklan mukaisten unionin rajoittavien toimenpiteiden kohteena;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89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5 artikla – 1 kohta – b alakohta – iii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iii)</w:t>
            </w:r>
            <w:r w:rsidRPr="00163266">
              <w:tab/>
              <w:t xml:space="preserve">ulkomainen sijoittaja tai jokin sen tytäryhtiöistä on ollut osallisena </w:t>
            </w:r>
            <w:r w:rsidRPr="00163266">
              <w:rPr>
                <w:b/>
                <w:i/>
              </w:rPr>
              <w:t>ulkomaisessa sijoituksessa, joka on</w:t>
            </w:r>
            <w:r w:rsidRPr="00163266">
              <w:t xml:space="preserve"> aiemmin </w:t>
            </w:r>
            <w:r w:rsidRPr="00163266">
              <w:rPr>
                <w:b/>
                <w:i/>
              </w:rPr>
              <w:t>ollut jäsenvaltion seurannan kohteena ja</w:t>
            </w:r>
            <w:r w:rsidRPr="00163266">
              <w:t xml:space="preserve"> jolle ei myönnetty lupaa tai jolle myönnettiin ehdollinen lupa; tämän määrittämiseksi ilmoituksen tehneen jäsenvaltion on hyödynnettävä käytettävissään olevia tietoja, mukaan lukien 7 artiklan 10 kohdan nojalla perustettavaan suojattuun tietokantaan sisältyvät tiedot ja ulkomaisen sijoittajan asiasta toimittamat tiedot</w:t>
            </w:r>
            <w:r w:rsidRPr="00163266">
              <w:rPr>
                <w:b/>
                <w:bCs/>
                <w:i/>
                <w:iCs/>
              </w:rPr>
              <w:t>.</w:t>
            </w:r>
          </w:p>
        </w:tc>
        <w:tc>
          <w:tcPr>
            <w:tcW w:w="4876" w:type="dxa"/>
            <w:hideMark/>
          </w:tcPr>
          <w:p w:rsidR="001E1179" w:rsidRPr="00163266" w:rsidRDefault="001E1179" w:rsidP="00F60C33">
            <w:pPr>
              <w:pStyle w:val="Normal6"/>
              <w:widowControl/>
              <w:rPr>
                <w:szCs w:val="24"/>
              </w:rPr>
            </w:pPr>
            <w:r w:rsidRPr="00163266">
              <w:t>iii)</w:t>
            </w:r>
            <w:r w:rsidRPr="00163266">
              <w:tab/>
              <w:t xml:space="preserve">ulkomainen sijoittaja tai jokin sen tytäryhtiöistä on ollut osallisena </w:t>
            </w:r>
            <w:r w:rsidRPr="00163266">
              <w:rPr>
                <w:b/>
                <w:i/>
              </w:rPr>
              <w:t>jäsenvaltion seurannan kohteena</w:t>
            </w:r>
            <w:r w:rsidRPr="00163266">
              <w:t xml:space="preserve"> aiemmin </w:t>
            </w:r>
            <w:r w:rsidRPr="00163266">
              <w:rPr>
                <w:b/>
                <w:i/>
              </w:rPr>
              <w:t>olleessa ulkomaisessa sijoituksessa,</w:t>
            </w:r>
            <w:r w:rsidRPr="00163266">
              <w:t xml:space="preserve"> jolle ei myönnetty lupaa tai jolle myönnettiin ehdollinen lupa; tämän määrittämiseksi ilmoituksen tehneen jäsenvaltion on hyödynnettävä käytettävissään olevia tietoja, mukaan lukien 7 artiklan 10 kohdan nojalla perustettavaan suojattuun tietokantaan sisältyvät tiedot ja ulkomaisen sijoittajan asiasta toimittamat tiedot</w:t>
            </w:r>
            <w:r w:rsidRPr="00163266">
              <w:rPr>
                <w:b/>
                <w:bCs/>
                <w:i/>
                <w:iCs/>
              </w:rPr>
              <w:t>;</w:t>
            </w:r>
            <w:r w:rsidRPr="00163266">
              <w:rPr>
                <w:b/>
                <w:i/>
              </w:rPr>
              <w:t xml:space="preserve"> tai</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90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5 artikla – 1 kohta – b alakohta – iii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iii a)</w:t>
            </w:r>
            <w:r w:rsidRPr="00163266">
              <w:rPr>
                <w:b/>
                <w:i/>
              </w:rPr>
              <w:tab/>
              <w:t>sijoittajan omistusrakenne on läpinäkymätön.</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91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5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w:t>
            </w:r>
            <w:r w:rsidRPr="00163266">
              <w:tab/>
              <w:t xml:space="preserve">Jäsenvaltioiden on ilmoitettava komissiolle ja muille jäsenvaltioille kaikista alueelleen </w:t>
            </w:r>
            <w:r w:rsidRPr="00163266">
              <w:rPr>
                <w:b/>
                <w:i/>
              </w:rPr>
              <w:t>sijoittautuneeseen unionin sijoituskohteeseen</w:t>
            </w:r>
            <w:r w:rsidRPr="00163266">
              <w:t xml:space="preserve"> tehdyistä ulkomaisista sijoituksista, jos ne käynnistävät perusteellisen tutkimuksen seurantamenettelyjensä mukaisesti. </w:t>
            </w:r>
            <w:r w:rsidRPr="00163266">
              <w:rPr>
                <w:b/>
                <w:i/>
              </w:rPr>
              <w:t>Lisäksi jäsenvaltioiden on poikkeustapauksissa ilmoitettava komissiolle ja muille jäsenvaltioille kaikista alueelleen sijoittautuneeseen unionin sijoituskohteeseen tehdyistä ulkomaisista sijoituksista, jos ne aikovat määrätä riskejä lieventävän toimenpiteen tai kieltää liiketoimen ilman perusteellista tutkimusta.</w:t>
            </w:r>
          </w:p>
        </w:tc>
        <w:tc>
          <w:tcPr>
            <w:tcW w:w="4876" w:type="dxa"/>
            <w:hideMark/>
          </w:tcPr>
          <w:p w:rsidR="001E1179" w:rsidRPr="00163266" w:rsidRDefault="001E1179" w:rsidP="00F60C33">
            <w:pPr>
              <w:pStyle w:val="Normal6"/>
              <w:widowControl/>
              <w:rPr>
                <w:szCs w:val="24"/>
              </w:rPr>
            </w:pPr>
            <w:r w:rsidRPr="00163266">
              <w:t>2.</w:t>
            </w:r>
            <w:r w:rsidRPr="00163266">
              <w:tab/>
              <w:t xml:space="preserve">Jäsenvaltioiden on ilmoitettava komissiolle ja muille jäsenvaltioille kaikista alueelleen tehdyistä ulkomaisista sijoituksista, </w:t>
            </w:r>
            <w:r w:rsidRPr="00163266">
              <w:rPr>
                <w:b/>
                <w:i/>
              </w:rPr>
              <w:t>joista ei ole ilmoitettu 1 kohdan mukaisesti,</w:t>
            </w:r>
            <w:r w:rsidRPr="00163266">
              <w:t xml:space="preserve"> jos ne käynnistävät perusteellisen tutkimuksen seurantamenettelyjensä mukaisesti.</w:t>
            </w:r>
          </w:p>
        </w:tc>
      </w:tr>
    </w:tbl>
    <w:p w:rsidR="001E1179" w:rsidRPr="00163266" w:rsidRDefault="001E1179" w:rsidP="001E1179">
      <w:pPr>
        <w:widowControl/>
      </w:pPr>
    </w:p>
    <w:p w:rsidR="001E1179" w:rsidRPr="00163266" w:rsidRDefault="001E1179" w:rsidP="00DB5590">
      <w:pPr>
        <w:pStyle w:val="AmNumberTabs"/>
        <w:widowControl/>
      </w:pPr>
      <w:r w:rsidRPr="00163266">
        <w:t>Tarkistus</w:t>
      </w:r>
      <w:r w:rsidR="00277A55" w:rsidRPr="00163266">
        <w:t xml:space="preserve"> </w:t>
      </w:r>
      <w:r w:rsidRPr="00163266">
        <w:t>92</w:t>
      </w:r>
    </w:p>
    <w:p w:rsidR="001E1179" w:rsidRPr="00163266" w:rsidRDefault="001E1179" w:rsidP="00DB5590">
      <w:pPr>
        <w:pStyle w:val="NormalBold"/>
        <w:keepNext/>
        <w:widowControl/>
        <w:spacing w:before="240"/>
      </w:pPr>
      <w:r w:rsidRPr="00163266">
        <w:t>Ehdotus asetukseksi</w:t>
      </w:r>
    </w:p>
    <w:p w:rsidR="001E1179" w:rsidRPr="00163266" w:rsidRDefault="001E1179" w:rsidP="001E1179">
      <w:pPr>
        <w:pStyle w:val="NormalBold"/>
        <w:widowControl/>
      </w:pPr>
      <w:r w:rsidRPr="00163266">
        <w:t>5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2 a.</w:t>
            </w:r>
            <w:r w:rsidRPr="00163266">
              <w:rPr>
                <w:b/>
                <w:i/>
              </w:rPr>
              <w:tab/>
              <w:t>Jäsenvaltioiden on poikkeustapauksissa ilmoitettava mahdollisimman pian komissiolle ja muille jäsenvaltioille kaikista alueelleen tehdyistä ulkomaisista sijoituksista, jos ne aikovat määrätä riskejä lieventävän toimenpiteen tai kieltää liiketoimen ilman perusteellista tutkimusta.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93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5 artikla – 3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Jäsenvaltiot voivat ilmoittaa</w:t>
            </w:r>
            <w:r w:rsidRPr="00163266">
              <w:t xml:space="preserve"> kaikista ulkomaisista sijoituksista, jotka eivät täytä </w:t>
            </w:r>
            <w:r w:rsidRPr="00163266">
              <w:lastRenderedPageBreak/>
              <w:t xml:space="preserve">1 ja 2 kohdassa säädettyjä edellytyksiä, jos jäsenvaltio, </w:t>
            </w:r>
            <w:r w:rsidRPr="00163266">
              <w:rPr>
                <w:b/>
                <w:i/>
              </w:rPr>
              <w:t>johon unionin sijoituskohde on sijoittautunut,</w:t>
            </w:r>
            <w:r w:rsidRPr="00163266">
              <w:t xml:space="preserve"> katsoo, että muut jäsenvaltiot ja komissio voisivat pitää ulkomaista sijoitusta merkityksellisenä turvallisuuden tai yleisen järjestyksen kannalta, myös silloin, kun unionin sijoituskohteella on merkittävää toimintaa muissa jäsenvaltioissa tai se kuuluu konserniin, jolla on eri jäsenvaltioissa useita yrityksiä, jotka harjoittavat taloudellista toimintaa jollakin liitteessä II luetellulla alalla.</w:t>
            </w:r>
          </w:p>
        </w:tc>
        <w:tc>
          <w:tcPr>
            <w:tcW w:w="4876" w:type="dxa"/>
            <w:hideMark/>
          </w:tcPr>
          <w:p w:rsidR="001E1179" w:rsidRPr="00163266" w:rsidRDefault="001E1179" w:rsidP="00F60C33">
            <w:pPr>
              <w:pStyle w:val="Normal6"/>
              <w:widowControl/>
              <w:rPr>
                <w:szCs w:val="24"/>
              </w:rPr>
            </w:pPr>
            <w:r w:rsidRPr="00163266">
              <w:rPr>
                <w:b/>
                <w:i/>
              </w:rPr>
              <w:lastRenderedPageBreak/>
              <w:t>Jäsenvaltioiden on ilmoitettava</w:t>
            </w:r>
            <w:r w:rsidRPr="00163266">
              <w:t xml:space="preserve"> kaikista ulkomaisista sijoituksista, jotka eivät täytä </w:t>
            </w:r>
            <w:r w:rsidRPr="00163266">
              <w:lastRenderedPageBreak/>
              <w:t xml:space="preserve">1 ja 2 kohdassa säädettyjä edellytyksiä, jos </w:t>
            </w:r>
            <w:r w:rsidRPr="00163266">
              <w:rPr>
                <w:b/>
                <w:i/>
              </w:rPr>
              <w:t>vastaanottava</w:t>
            </w:r>
            <w:r w:rsidRPr="00163266">
              <w:t xml:space="preserve"> jäsenvaltio katsoo, että muut jäsenvaltiot ja komissio voisivat pitää ulkomaista sijoitusta merkityksellisenä turvallisuuden tai yleisen järjestyksen kannalta, myös silloin, kun unionin sijoituskohteella on merkittävää toimintaa muissa jäsenvaltioissa tai se kuuluu konserniin, jolla on eri jäsenvaltioissa useita yrityksiä, jotka harjoittavat taloudellista toimintaa jollakin liitteessä II luetellulla alalla.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94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5 artikla – 3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Jos jäsenvaltio aikoo ilmoittaa alueelleen tehdystä ulkomaisesta sijoituksesta, joka on osa useita maita koskevaa liiketoimea 6 artiklan 2 kohdan mukaisesti, sen on koordinoitava toimintaansa muiden lupahakemuksen saaneiden jäsenvaltioiden kanssa. Asianomaisten jäsenvaltioiden on ilmoitettava useita maita koskevasta liiketoimesta ja pyrittävä lähettämään ilmoituksensa yhteistyömekanismiin samana päivänä.</w:t>
            </w:r>
          </w:p>
        </w:tc>
        <w:tc>
          <w:tcPr>
            <w:tcW w:w="4876" w:type="dxa"/>
            <w:hideMark/>
          </w:tcPr>
          <w:p w:rsidR="001E1179" w:rsidRPr="00163266" w:rsidRDefault="001E1179" w:rsidP="00F60C33">
            <w:pPr>
              <w:pStyle w:val="Normal6"/>
              <w:widowControl/>
              <w:rPr>
                <w:szCs w:val="24"/>
              </w:rPr>
            </w:pPr>
            <w:r w:rsidRPr="00163266">
              <w:rPr>
                <w:b/>
                <w:i/>
              </w:rPr>
              <w:t>Poistetaan.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95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6 artikla – 1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1.</w:t>
            </w:r>
            <w:r w:rsidRPr="00163266">
              <w:tab/>
              <w:t xml:space="preserve">Jäsenvaltioiden on varmistettava, että 5 artiklan mukainen ilmoitus sisältää 10 artiklan 1 kohdassa tarkoitetut tiedot ja että se lähetetään komissiolle ja muille jäsenvaltioille </w:t>
            </w:r>
            <w:r w:rsidRPr="00163266">
              <w:rPr>
                <w:b/>
                <w:i/>
              </w:rPr>
              <w:t>12 artiklan 4 kohdassa tarkoitetun suojatun ja salatun järjestelmän kautta</w:t>
            </w:r>
            <w:r w:rsidRPr="00163266">
              <w:t>:</w:t>
            </w:r>
          </w:p>
        </w:tc>
        <w:tc>
          <w:tcPr>
            <w:tcW w:w="4876" w:type="dxa"/>
            <w:hideMark/>
          </w:tcPr>
          <w:p w:rsidR="001E1179" w:rsidRPr="00163266" w:rsidRDefault="001E1179" w:rsidP="00F60C33">
            <w:pPr>
              <w:pStyle w:val="Normal6"/>
              <w:widowControl/>
              <w:rPr>
                <w:szCs w:val="24"/>
              </w:rPr>
            </w:pPr>
            <w:r w:rsidRPr="00163266">
              <w:t>1.</w:t>
            </w:r>
            <w:r w:rsidRPr="00163266">
              <w:tab/>
              <w:t>Jäsenvaltioiden on varmistettava, että 5 artiklan mukainen ilmoitus sisältää 10 artiklan 1 kohdassa tarkoitetut tiedot ja että se lähetetään komissiolle ja muille jäsenvaltioille:</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96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6 artikla – 1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(a)</w:t>
            </w:r>
            <w:r w:rsidRPr="00163266">
              <w:tab/>
              <w:t>15 kalenteripäivän kuluessa siitä, kun jäsenvaltio on vastaanottanut lupahakemuksen, joka koskee ulkomaista sijoitusta, joka täyttää jonkin 5 artiklan 1 tai 3 kohdassa säädetyistä edellytyksistä;</w:t>
            </w:r>
          </w:p>
        </w:tc>
        <w:tc>
          <w:tcPr>
            <w:tcW w:w="4876" w:type="dxa"/>
            <w:hideMark/>
          </w:tcPr>
          <w:p w:rsidR="001E1179" w:rsidRPr="00163266" w:rsidRDefault="001E1179" w:rsidP="00DB5590">
            <w:pPr>
              <w:pStyle w:val="Normal6"/>
              <w:widowControl/>
              <w:rPr>
                <w:szCs w:val="24"/>
              </w:rPr>
            </w:pPr>
            <w:r w:rsidRPr="00163266">
              <w:t>(a)</w:t>
            </w:r>
            <w:r w:rsidRPr="00163266">
              <w:tab/>
              <w:t xml:space="preserve">15 kalenteripäivän kuluessa siitä, kun jäsenvaltio on vastaanottanut </w:t>
            </w:r>
            <w:r w:rsidRPr="00163266">
              <w:rPr>
                <w:b/>
                <w:i/>
              </w:rPr>
              <w:t>kaikki tarvittavat tiedot sisältävän</w:t>
            </w:r>
            <w:r w:rsidRPr="00163266">
              <w:t xml:space="preserve"> lupahakemuksen, joka koskee ulkomaista sijoitusta, joka täyttää jonkin 5 artiklan 1, </w:t>
            </w:r>
            <w:r w:rsidRPr="00163266">
              <w:rPr>
                <w:b/>
                <w:i/>
              </w:rPr>
              <w:t>2</w:t>
            </w:r>
            <w:r w:rsidR="00DB5590" w:rsidRPr="00163266">
              <w:rPr>
                <w:b/>
                <w:i/>
              </w:rPr>
              <w:t> </w:t>
            </w:r>
            <w:r w:rsidRPr="00163266">
              <w:rPr>
                <w:b/>
                <w:i/>
              </w:rPr>
              <w:t>a</w:t>
            </w:r>
            <w:r w:rsidRPr="00163266">
              <w:t xml:space="preserve"> tai 3 kohdassa säädetyistä edellytyksistä;</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97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6 artikla – 1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(b)</w:t>
            </w:r>
            <w:r w:rsidRPr="00163266">
              <w:tab/>
            </w:r>
            <w:r w:rsidRPr="00163266">
              <w:rPr>
                <w:b/>
                <w:i/>
              </w:rPr>
              <w:t>60</w:t>
            </w:r>
            <w:r w:rsidRPr="00163266">
              <w:t xml:space="preserve"> kalenteripäivän kuluessa siitä, kun jäsenvaltio on</w:t>
            </w:r>
            <w:r w:rsidRPr="00163266">
              <w:rPr>
                <w:b/>
                <w:i/>
              </w:rPr>
              <w:t xml:space="preserve"> vastaanottanut lupahakemuksen</w:t>
            </w:r>
            <w:r w:rsidRPr="00163266">
              <w:t>, joka koskee ulkomaista sijoitusta, joka täyttää 5 artiklan 2 kohdassa säädetyt edellytykset.</w:t>
            </w:r>
          </w:p>
        </w:tc>
        <w:tc>
          <w:tcPr>
            <w:tcW w:w="4876" w:type="dxa"/>
            <w:hideMark/>
          </w:tcPr>
          <w:p w:rsidR="001E1179" w:rsidRPr="00163266" w:rsidRDefault="001E1179" w:rsidP="00F60C33">
            <w:pPr>
              <w:pStyle w:val="Normal6"/>
              <w:widowControl/>
              <w:rPr>
                <w:szCs w:val="24"/>
              </w:rPr>
            </w:pPr>
            <w:r w:rsidRPr="00163266">
              <w:t>(b)</w:t>
            </w:r>
            <w:r w:rsidRPr="00163266">
              <w:tab/>
            </w:r>
            <w:r w:rsidRPr="00163266">
              <w:rPr>
                <w:b/>
                <w:i/>
              </w:rPr>
              <w:t>viiden</w:t>
            </w:r>
            <w:r w:rsidRPr="00163266">
              <w:t xml:space="preserve"> kalenteripäivän kuluessa siitä, kun jäsenvaltio on </w:t>
            </w:r>
            <w:r w:rsidRPr="00163266">
              <w:rPr>
                <w:b/>
                <w:i/>
              </w:rPr>
              <w:t>aloittanut perusteellisen tutkimuksen</w:t>
            </w:r>
            <w:r w:rsidRPr="00163266">
              <w:t>, joka koskee ulkomaista sijoitusta, joka täyttää 5 artiklan 2 kohdassa säädetyt edellytykset.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98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6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2.</w:t>
            </w:r>
            <w:r w:rsidRPr="00163266">
              <w:rPr>
                <w:b/>
                <w:i/>
              </w:rPr>
              <w:tab/>
              <w:t>Useita maita koskeviin liiketoimiin sovelletaan seuraavia menettelyjä:</w:t>
            </w:r>
          </w:p>
        </w:tc>
        <w:tc>
          <w:tcPr>
            <w:tcW w:w="4876" w:type="dxa"/>
            <w:hideMark/>
          </w:tcPr>
          <w:p w:rsidR="001E1179" w:rsidRPr="00163266" w:rsidRDefault="001E1179" w:rsidP="00F60C33">
            <w:pPr>
              <w:pStyle w:val="Normal6"/>
              <w:widowControl/>
              <w:rPr>
                <w:szCs w:val="24"/>
              </w:rPr>
            </w:pPr>
            <w:r w:rsidRPr="00163266">
              <w:rPr>
                <w:b/>
                <w:i/>
              </w:rPr>
              <w:t>Poistetaan.</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(a)</w:t>
            </w:r>
            <w:r w:rsidRPr="00163266">
              <w:rPr>
                <w:b/>
                <w:i/>
              </w:rPr>
              <w:tab/>
              <w:t>luvanhakijoiden on jätettävä lupahakemuksensa kaikissa asianomaisissa jäsenvaltioissa samana päivänä, ja kussakin lupahakemuksessa on viitattava muihin hakemuksiin;</w:t>
            </w:r>
          </w:p>
        </w:tc>
        <w:tc>
          <w:tcPr>
            <w:tcW w:w="4876" w:type="dxa"/>
          </w:tcPr>
          <w:p w:rsidR="001E1179" w:rsidRPr="00163266" w:rsidRDefault="001E1179" w:rsidP="00F60C33">
            <w:pPr>
              <w:pStyle w:val="Normal6"/>
              <w:widowControl/>
              <w:rPr>
                <w:szCs w:val="24"/>
              </w:rPr>
            </w:pP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(b)</w:t>
            </w:r>
            <w:r w:rsidRPr="00163266">
              <w:rPr>
                <w:b/>
                <w:i/>
              </w:rPr>
              <w:tab/>
              <w:t xml:space="preserve">jos jäsenvaltio vastaanottaa a alakohdassa säädetyt edellytykset täyttävän lupahakemuksen, sen on koordinoitava toimintaansa muiden asianomaisten jäsenvaltioiden kanssa muun muassa sen määrittämiseksi, </w:t>
            </w:r>
            <w:r w:rsidRPr="00163266">
              <w:rPr>
                <w:b/>
                <w:i/>
              </w:rPr>
              <w:lastRenderedPageBreak/>
              <w:t>sovelletaanko tämän kohdan c vai d alakohtaa; komissio voi osallistua tällaiseen koordinointiin yhden tai useamman jäsenvaltion pyynnöstä;</w:t>
            </w:r>
          </w:p>
        </w:tc>
        <w:tc>
          <w:tcPr>
            <w:tcW w:w="4876" w:type="dxa"/>
          </w:tcPr>
          <w:p w:rsidR="001E1179" w:rsidRPr="00163266" w:rsidRDefault="001E1179" w:rsidP="00F60C33">
            <w:pPr>
              <w:pStyle w:val="Normal6"/>
              <w:widowControl/>
              <w:rPr>
                <w:szCs w:val="24"/>
              </w:rPr>
            </w:pP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(c)</w:t>
            </w:r>
            <w:r w:rsidRPr="00163266">
              <w:rPr>
                <w:b/>
                <w:i/>
              </w:rPr>
              <w:tab/>
              <w:t>jos lupahakemukset koskevat ulkomaista sijoitusta, joka täyttää jonkin 5 artiklan 1 kohdassa säädetyistä edellytyksistä, asianomaisten jäsenvaltioiden on lähetettävä ilmoituksensa yhteistyömekanismiin samana päivänä ja tämän artiklan 1 kohdan a alakohdassa säädetyssä määräajassa;</w:t>
            </w:r>
          </w:p>
        </w:tc>
        <w:tc>
          <w:tcPr>
            <w:tcW w:w="4876" w:type="dxa"/>
          </w:tcPr>
          <w:p w:rsidR="001E1179" w:rsidRPr="00163266" w:rsidRDefault="001E1179" w:rsidP="00F60C33">
            <w:pPr>
              <w:pStyle w:val="Normal6"/>
              <w:widowControl/>
              <w:rPr>
                <w:szCs w:val="24"/>
              </w:rPr>
            </w:pP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(d)</w:t>
            </w:r>
            <w:r w:rsidRPr="00163266">
              <w:rPr>
                <w:b/>
                <w:i/>
              </w:rPr>
              <w:tab/>
              <w:t>jos lupahakemukset koskevat ulkomaista sijoitusta, joka täyttää 5 artiklan 2 kohdassa säädetyt edellytykset, asianomaisten jäsenvaltioiden on pyrittävä lähettämään ilmoituksensa yhteistyömekanismiin samana päivänä.</w:t>
            </w:r>
          </w:p>
        </w:tc>
        <w:tc>
          <w:tcPr>
            <w:tcW w:w="4876" w:type="dxa"/>
          </w:tcPr>
          <w:p w:rsidR="001E1179" w:rsidRPr="00163266" w:rsidRDefault="001E1179" w:rsidP="00F60C33">
            <w:pPr>
              <w:pStyle w:val="Normal6"/>
              <w:widowControl/>
              <w:rPr>
                <w:szCs w:val="24"/>
              </w:rPr>
            </w:pPr>
          </w:p>
        </w:tc>
      </w:tr>
    </w:tbl>
    <w:p w:rsidR="001E1179" w:rsidRPr="00163266" w:rsidRDefault="001E1179" w:rsidP="001E1179">
      <w:pPr>
        <w:widowControl/>
      </w:pPr>
    </w:p>
    <w:p w:rsidR="001E1179" w:rsidRPr="00163266" w:rsidRDefault="001E1179" w:rsidP="00DB5590">
      <w:pPr>
        <w:pStyle w:val="AmNumberTabs"/>
        <w:widowControl/>
      </w:pPr>
      <w:r w:rsidRPr="00163266">
        <w:t>Tarkistus</w:t>
      </w:r>
      <w:r w:rsidR="00277A55" w:rsidRPr="00163266">
        <w:t xml:space="preserve"> </w:t>
      </w:r>
      <w:r w:rsidRPr="00163266">
        <w:t>99</w:t>
      </w:r>
    </w:p>
    <w:p w:rsidR="001E1179" w:rsidRPr="00163266" w:rsidRDefault="001E1179" w:rsidP="00DB5590">
      <w:pPr>
        <w:pStyle w:val="NormalBold"/>
        <w:keepNext/>
        <w:widowControl/>
        <w:spacing w:before="240"/>
      </w:pPr>
      <w:r w:rsidRPr="00163266">
        <w:t>Ehdotus asetukseksi</w:t>
      </w:r>
    </w:p>
    <w:p w:rsidR="001E1179" w:rsidRPr="00163266" w:rsidRDefault="001E1179" w:rsidP="001E1179">
      <w:pPr>
        <w:pStyle w:val="NormalBold"/>
        <w:widowControl/>
      </w:pPr>
      <w:r w:rsidRPr="00163266">
        <w:t>6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jc w:val="center"/>
              <w:rPr>
                <w:szCs w:val="24"/>
              </w:rPr>
            </w:pPr>
            <w:r w:rsidRPr="00163266">
              <w:rPr>
                <w:b/>
                <w:i/>
              </w:rPr>
              <w:t>6 a artikla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jc w:val="center"/>
              <w:rPr>
                <w:szCs w:val="24"/>
              </w:rPr>
            </w:pPr>
            <w:r w:rsidRPr="00163266">
              <w:rPr>
                <w:b/>
                <w:i/>
              </w:rPr>
              <w:t>Useita maita koskeviin liiketoimiin sovellettavat erityissäännöt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1.</w:t>
            </w:r>
            <w:r w:rsidRPr="00163266">
              <w:tab/>
            </w:r>
            <w:r w:rsidRPr="00163266">
              <w:rPr>
                <w:b/>
                <w:i/>
              </w:rPr>
              <w:t>Luvanhakijoiden on jätettävä useisiin jäsenvaltioihin tehtävää sijoitusta koskevat lupahakemuksensa kolmen kalenteripäivän kuluessa ensimmäisen lupahakemuksen jättämisestä, ja kussakin lupahakemuksessa on viitattava kyseisiin muihin hakemuksiin.</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2.</w:t>
            </w:r>
            <w:r w:rsidRPr="00163266">
              <w:tab/>
            </w:r>
            <w:r w:rsidRPr="00163266">
              <w:rPr>
                <w:b/>
                <w:i/>
              </w:rPr>
              <w:t>Jos jäsenvaltio vastaanottaa 1 kohdassa tarkoitetun lupahakemuksen, sen on koordinoitava toimintaansa muiden asianomaisten jäsenvaltioiden ja komission kanssa muun muassa sen määrittämiseksi, onko kyseessä ilmoitusta edellyttävä sijoitus;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3.</w:t>
            </w:r>
            <w:r w:rsidRPr="00163266">
              <w:tab/>
            </w:r>
            <w:r w:rsidRPr="00163266">
              <w:rPr>
                <w:b/>
                <w:i/>
              </w:rPr>
              <w:t xml:space="preserve">Jos lupahakemukset koskevat ulkomaista sijoitusta, joka täyttää jonkin 5 artiklan 1 kohdassa säädetyistä edellytyksistä, asianomaisten </w:t>
            </w:r>
            <w:r w:rsidRPr="00163266">
              <w:rPr>
                <w:b/>
                <w:i/>
              </w:rPr>
              <w:lastRenderedPageBreak/>
              <w:t>jäsenvaltioiden on lähetettävä ilmoituksensa yhteistyömekanismiin kolmen kalenteripäivän kuluessa ensimmäisen lupahakemuksen jättämisestä ja 6 artiklan a alakohdassa säädetyssä määräajassa.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4.</w:t>
            </w:r>
            <w:r w:rsidRPr="00163266">
              <w:tab/>
            </w:r>
            <w:r w:rsidRPr="00163266">
              <w:rPr>
                <w:b/>
                <w:i/>
              </w:rPr>
              <w:t>Jos lupahakemukset koskevat ulkomaista sijoitusta, joka täyttää 5 artiklan 2 kohdassa säädetyt edellytykset, asianomaisten jäsenvaltioiden on lähetettävä ilmoituksensa yhteistyömekanismiin tietyn ajan kuluessa ja 6 artiklan 1 kohdan b alakohdassa säädetyssä määräajassa.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5.</w:t>
            </w:r>
            <w:r w:rsidRPr="00163266">
              <w:tab/>
            </w:r>
            <w:r w:rsidRPr="00163266">
              <w:rPr>
                <w:b/>
                <w:i/>
              </w:rPr>
              <w:t>Asianomaisten jäsenvaltioiden on koordinoitava toimintaansa tiiviisti koko menettelyn ajan. Niiden on erityisesti pyrittävä yhdenmukaistamaan seurantamenettelyjensä aikataulut ja varmistamaan, että niiden seurantaa koskevat päätökset ovat keskenään yhteensopivia. Niiden on tarvittaessa pyrittävä tekemään seurantaa koskeva lopullinen päätöksensä samana päivänä.</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100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Jäsenvaltioiden huomautukset ja komission lausunnot ilmoitetuista ulkomaisista sijoituksista</w:t>
            </w:r>
          </w:p>
        </w:tc>
        <w:tc>
          <w:tcPr>
            <w:tcW w:w="4876" w:type="dxa"/>
            <w:hideMark/>
          </w:tcPr>
          <w:p w:rsidR="001E1179" w:rsidRPr="00163266" w:rsidRDefault="001E1179" w:rsidP="00F60C33">
            <w:pPr>
              <w:pStyle w:val="Normal6"/>
              <w:widowControl/>
              <w:rPr>
                <w:szCs w:val="24"/>
              </w:rPr>
            </w:pPr>
            <w:r w:rsidRPr="00163266">
              <w:t>Jäsenvaltioiden huomautukset ja komission lausunnot</w:t>
            </w:r>
            <w:r w:rsidRPr="00163266">
              <w:rPr>
                <w:b/>
                <w:i/>
              </w:rPr>
              <w:t xml:space="preserve"> ja päätökset</w:t>
            </w:r>
            <w:r w:rsidRPr="00163266">
              <w:t xml:space="preserve"> ilmoitetuista ulkomaisista sijoituksista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101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1 kohta – 1 alakohta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 xml:space="preserve">Kaikki jäsenvaltiot voivat antaa ilmoituksen tehneelle jäsenvaltiolle asianmukaisesti perusteltuja huomautuksia </w:t>
            </w:r>
            <w:r w:rsidRPr="00163266">
              <w:rPr>
                <w:b/>
                <w:i/>
              </w:rPr>
              <w:t>12 artiklan 4 kohdassa tarkoitetun suojatun ja salatun järjestelmän kautta</w:t>
            </w:r>
            <w:r w:rsidRPr="00163266">
              <w:t xml:space="preserve">. </w:t>
            </w:r>
            <w:r w:rsidRPr="00163266">
              <w:lastRenderedPageBreak/>
              <w:t>Jäsenvaltio voi esittää tällaisia huomautuksia, jos</w:t>
            </w:r>
          </w:p>
        </w:tc>
        <w:tc>
          <w:tcPr>
            <w:tcW w:w="4876" w:type="dxa"/>
            <w:hideMark/>
          </w:tcPr>
          <w:p w:rsidR="001E1179" w:rsidRPr="00163266" w:rsidRDefault="001E1179" w:rsidP="00F60C33">
            <w:pPr>
              <w:pStyle w:val="Normal6"/>
              <w:widowControl/>
              <w:rPr>
                <w:szCs w:val="24"/>
              </w:rPr>
            </w:pPr>
            <w:r w:rsidRPr="00163266">
              <w:lastRenderedPageBreak/>
              <w:t>Kaikki jäsenvaltiot voivat antaa ilmoituksen tehneelle jäsenvaltiolle asianmukaisesti perusteltuja huomautuksia. Jäsenvaltio voi esittää tällaisia huomautuksia, jos</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102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2 kohta – 1 alakohta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 xml:space="preserve">Komissio voi osoittaa ilmoituksen tehneelle jäsenvaltiolle asianmukaisesti perustellun lausunnon </w:t>
            </w:r>
            <w:r w:rsidRPr="00163266">
              <w:rPr>
                <w:b/>
                <w:i/>
              </w:rPr>
              <w:t>12 artiklan 4 kohdassa tarkoitetun suojatun ja salatun järjestelmän kautta</w:t>
            </w:r>
            <w:r w:rsidRPr="00163266">
              <w:t xml:space="preserve">. Komissio </w:t>
            </w:r>
            <w:r w:rsidRPr="00163266">
              <w:rPr>
                <w:b/>
                <w:i/>
              </w:rPr>
              <w:t>voi</w:t>
            </w:r>
            <w:r w:rsidRPr="00163266">
              <w:t xml:space="preserve"> antaa tällaisen lausunnon, jos</w:t>
            </w:r>
          </w:p>
        </w:tc>
        <w:tc>
          <w:tcPr>
            <w:tcW w:w="4876" w:type="dxa"/>
            <w:hideMark/>
          </w:tcPr>
          <w:p w:rsidR="001E1179" w:rsidRPr="00163266" w:rsidRDefault="001E1179" w:rsidP="00F60C33">
            <w:pPr>
              <w:pStyle w:val="Normal6"/>
              <w:widowControl/>
              <w:rPr>
                <w:szCs w:val="24"/>
              </w:rPr>
            </w:pPr>
            <w:r w:rsidRPr="00163266">
              <w:t>Komissio voi osoittaa ilmoituksen tehneelle jäsenvaltiolle asianmukaisesti perustellun lausunnon. Komissio antaa tällaisen lausunnon, jos</w:t>
            </w:r>
          </w:p>
        </w:tc>
      </w:tr>
    </w:tbl>
    <w:p w:rsidR="001E1179" w:rsidRPr="00163266" w:rsidRDefault="001E1179" w:rsidP="001E1179">
      <w:pPr>
        <w:widowControl/>
      </w:pPr>
    </w:p>
    <w:p w:rsidR="001E1179" w:rsidRPr="00163266" w:rsidRDefault="001E1179" w:rsidP="00DB5590">
      <w:pPr>
        <w:pStyle w:val="AmNumberTabs"/>
        <w:widowControl/>
      </w:pPr>
      <w:r w:rsidRPr="00163266">
        <w:t>Tarkistus</w:t>
      </w:r>
      <w:r w:rsidR="00277A55" w:rsidRPr="00163266">
        <w:t xml:space="preserve"> </w:t>
      </w:r>
      <w:r w:rsidRPr="00163266">
        <w:t>103</w:t>
      </w:r>
    </w:p>
    <w:p w:rsidR="001E1179" w:rsidRPr="00163266" w:rsidRDefault="001E1179" w:rsidP="00DB5590">
      <w:pPr>
        <w:pStyle w:val="NormalBold"/>
        <w:keepNext/>
        <w:widowControl/>
        <w:spacing w:before="240"/>
      </w:pPr>
      <w:r w:rsidRPr="00163266">
        <w:t>Ehdotus asetukseksi</w:t>
      </w:r>
    </w:p>
    <w:p w:rsidR="001E1179" w:rsidRPr="00163266" w:rsidRDefault="001E1179" w:rsidP="001E1179">
      <w:pPr>
        <w:pStyle w:val="NormalBold"/>
        <w:widowControl/>
      </w:pPr>
      <w:r w:rsidRPr="00163266">
        <w:t>2 artikla – 2 kohta – 2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Komission lausunnossa voidaan tarvittaessa ehdottaa toimenpiteitä, joilla pyritään lieventämään investoinnin todennäköisiä kielteisiä vaikutuksia turvallisuuteen ja yleiseen järjestykseen.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104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3.</w:t>
            </w:r>
            <w:r w:rsidRPr="00163266">
              <w:tab/>
              <w:t xml:space="preserve">Komissio </w:t>
            </w:r>
            <w:r w:rsidRPr="00163266">
              <w:rPr>
                <w:b/>
                <w:i/>
              </w:rPr>
              <w:t>voi</w:t>
            </w:r>
            <w:r w:rsidRPr="00163266">
              <w:t xml:space="preserve"> antaa kaikille jäsenvaltioille osoitetun asianmukaisesti perustellun lausunnon, jos se katsoo, että useat mahdollisesti toteutettavat ulkomaiset sijoitukset tai muut vastaavat sijoitukset voivat yhdessä tarkasteltuina – ja niiden ominaisuudet huomioon ottaen – vaikuttaa unionin turvallisuuteen tai yleiseen järjestykseen. Kun komissio on antanut lausuntonsa, se </w:t>
            </w:r>
            <w:r w:rsidRPr="00163266">
              <w:rPr>
                <w:b/>
                <w:i/>
              </w:rPr>
              <w:t>voi tarvittaessa keskustella</w:t>
            </w:r>
            <w:r w:rsidRPr="00163266">
              <w:t xml:space="preserve"> </w:t>
            </w:r>
            <w:r w:rsidRPr="00163266">
              <w:lastRenderedPageBreak/>
              <w:t xml:space="preserve">jäsenvaltioiden kanssa </w:t>
            </w:r>
            <w:r w:rsidRPr="00163266">
              <w:rPr>
                <w:b/>
                <w:i/>
              </w:rPr>
              <w:t>siitä</w:t>
            </w:r>
            <w:r w:rsidRPr="00163266">
              <w:t xml:space="preserve">, </w:t>
            </w:r>
            <w:r w:rsidRPr="00163266">
              <w:rPr>
                <w:b/>
                <w:i/>
              </w:rPr>
              <w:t>miten</w:t>
            </w:r>
            <w:r w:rsidRPr="00163266">
              <w:t xml:space="preserve"> todettuihin riskeihin voidaan puuttua.</w:t>
            </w:r>
          </w:p>
        </w:tc>
        <w:tc>
          <w:tcPr>
            <w:tcW w:w="4876" w:type="dxa"/>
            <w:hideMark/>
          </w:tcPr>
          <w:p w:rsidR="001E1179" w:rsidRPr="00163266" w:rsidRDefault="001E1179" w:rsidP="00F60C33">
            <w:pPr>
              <w:pStyle w:val="Normal6"/>
              <w:widowControl/>
              <w:rPr>
                <w:szCs w:val="24"/>
              </w:rPr>
            </w:pPr>
            <w:r w:rsidRPr="00163266">
              <w:lastRenderedPageBreak/>
              <w:t>3.</w:t>
            </w:r>
            <w:r w:rsidRPr="00163266">
              <w:tab/>
              <w:t xml:space="preserve">Komissio antaa kaikille jäsenvaltioille osoitetun asianmukaisesti perustellun lausunnon, jos se katsoo, että useat mahdollisesti toteutettavat ulkomaiset sijoitukset tai muut vastaavat sijoitukset voivat yhdessä tarkasteltuina – ja niiden ominaisuudet huomioon ottaen – vaikuttaa unionin turvallisuuteen tai yleiseen järjestykseen. Kun komissio on antanut lausuntonsa, se </w:t>
            </w:r>
            <w:r w:rsidRPr="00163266">
              <w:rPr>
                <w:b/>
                <w:i/>
              </w:rPr>
              <w:t>keskustelee</w:t>
            </w:r>
            <w:r w:rsidRPr="00163266">
              <w:t xml:space="preserve"> </w:t>
            </w:r>
            <w:r w:rsidRPr="00163266">
              <w:rPr>
                <w:b/>
                <w:i/>
              </w:rPr>
              <w:t>tarvittaessa</w:t>
            </w:r>
            <w:r w:rsidRPr="00163266">
              <w:t xml:space="preserve"> </w:t>
            </w:r>
            <w:r w:rsidRPr="00163266">
              <w:lastRenderedPageBreak/>
              <w:t xml:space="preserve">jäsenvaltioiden kanssa </w:t>
            </w:r>
            <w:r w:rsidRPr="00163266">
              <w:rPr>
                <w:b/>
                <w:i/>
              </w:rPr>
              <w:t>toimenpiteistä</w:t>
            </w:r>
            <w:r w:rsidRPr="00163266">
              <w:t xml:space="preserve">, </w:t>
            </w:r>
            <w:r w:rsidRPr="00163266">
              <w:rPr>
                <w:b/>
                <w:i/>
              </w:rPr>
              <w:t>joilla</w:t>
            </w:r>
            <w:r w:rsidRPr="00163266">
              <w:t xml:space="preserve"> todettuihin riskeihin voidaan puuttua.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105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4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(a)</w:t>
            </w:r>
            <w:r w:rsidRPr="00163266">
              <w:tab/>
              <w:t>lähettää 2 kohdan a ja c alakohdassa säädetyt edellytykset täyttävän lausunnon kaikille huomautuksia toimittaneille jäsenvaltioille ja ilmoittaa muille jäsenvaltioille lausunnon antamisesta</w:t>
            </w:r>
            <w:r w:rsidRPr="00163266">
              <w:rPr>
                <w:b/>
                <w:i/>
              </w:rPr>
              <w:t xml:space="preserve"> 12 artiklan 4 kohdassa tarkoitetun suojatun ja salatun järjestelmän kautta</w:t>
            </w:r>
            <w:r w:rsidRPr="00163266">
              <w:t>;</w:t>
            </w:r>
          </w:p>
        </w:tc>
        <w:tc>
          <w:tcPr>
            <w:tcW w:w="4876" w:type="dxa"/>
            <w:hideMark/>
          </w:tcPr>
          <w:p w:rsidR="001E1179" w:rsidRPr="00163266" w:rsidRDefault="001E1179" w:rsidP="00F60C33">
            <w:pPr>
              <w:pStyle w:val="Normal6"/>
              <w:widowControl/>
              <w:rPr>
                <w:szCs w:val="24"/>
              </w:rPr>
            </w:pPr>
            <w:r w:rsidRPr="00163266">
              <w:t>(a)</w:t>
            </w:r>
            <w:r w:rsidRPr="00163266">
              <w:tab/>
              <w:t>lähettää 2 kohdan a ja c alakohdassa säädetyt edellytykset täyttävän lausunnon kaikille huomautuksia toimittaneille jäsenvaltioille ja ilmoittaa muille jäsenvaltioille lausunnon antamisesta;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106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4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(b)</w:t>
            </w:r>
            <w:r w:rsidRPr="00163266">
              <w:tab/>
              <w:t xml:space="preserve">lähettää 2 kohdan b alakohdassa säädetyt edellytykset täyttävän lausunnon ja 3 kohdassa säädetyt edellytykset täyttävän lausunnon kaikille jäsenvaltioille </w:t>
            </w:r>
            <w:r w:rsidRPr="00163266">
              <w:rPr>
                <w:b/>
                <w:i/>
              </w:rPr>
              <w:t>12 artiklan 4 kohdassa tarkoitetun suojatun ja salatun järjestelmän kautta</w:t>
            </w:r>
            <w:r w:rsidRPr="00163266">
              <w:t>.</w:t>
            </w:r>
          </w:p>
        </w:tc>
        <w:tc>
          <w:tcPr>
            <w:tcW w:w="4876" w:type="dxa"/>
            <w:hideMark/>
          </w:tcPr>
          <w:p w:rsidR="001E1179" w:rsidRPr="00163266" w:rsidRDefault="001E1179" w:rsidP="00F60C33">
            <w:pPr>
              <w:pStyle w:val="Normal6"/>
              <w:widowControl/>
              <w:rPr>
                <w:szCs w:val="24"/>
              </w:rPr>
            </w:pPr>
            <w:r w:rsidRPr="00163266">
              <w:t>(b)</w:t>
            </w:r>
            <w:r w:rsidRPr="00163266">
              <w:tab/>
              <w:t>lähettää 2 kohdan b alakohdassa säädetyt edellytykset täyttävän lausunnon ja 3 kohdassa säädetyt edellytykset täyttävän lausunnon kaikille jäsenvaltioille.</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107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4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4 a.</w:t>
            </w:r>
            <w:r w:rsidRPr="00163266">
              <w:rPr>
                <w:b/>
                <w:i/>
              </w:rPr>
              <w:tab/>
              <w:t>Ilmoituksen tehnyt jäsenvaltio voi pyytää komissiota antamaan lausunnon tai muita jäsenvaltioita esittämään huomautuksia.</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108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5.</w:t>
            </w:r>
            <w:r w:rsidRPr="00163266">
              <w:tab/>
              <w:t>Jos jäsenvaltio</w:t>
            </w:r>
            <w:r w:rsidRPr="00163266">
              <w:rPr>
                <w:b/>
                <w:i/>
              </w:rPr>
              <w:t>, jossa ulkomainen sijoitus on suunniteltu toteutettavaksi tai on toteutettu,</w:t>
            </w:r>
            <w:r w:rsidRPr="00163266">
              <w:t xml:space="preserve"> saa toiselta jäsenvaltiolta 1 kohdan mukaisen huomautuksen tai komissiolta 2 tai 3 kohdan mukaisen lausunnon, sen on otettava tällainen huomautus tai lausunto mahdollisimman tarkasti huomioon.</w:t>
            </w:r>
          </w:p>
        </w:tc>
        <w:tc>
          <w:tcPr>
            <w:tcW w:w="4876" w:type="dxa"/>
            <w:hideMark/>
          </w:tcPr>
          <w:p w:rsidR="001E1179" w:rsidRPr="00163266" w:rsidRDefault="001E1179" w:rsidP="00F60C33">
            <w:pPr>
              <w:pStyle w:val="Normal6"/>
              <w:widowControl/>
              <w:rPr>
                <w:szCs w:val="24"/>
              </w:rPr>
            </w:pPr>
            <w:r w:rsidRPr="00163266">
              <w:t>5.</w:t>
            </w:r>
            <w:r w:rsidRPr="00163266">
              <w:tab/>
              <w:t xml:space="preserve">Jos </w:t>
            </w:r>
            <w:r w:rsidRPr="00163266">
              <w:rPr>
                <w:b/>
                <w:i/>
              </w:rPr>
              <w:t>vastaanottava</w:t>
            </w:r>
            <w:r w:rsidRPr="00163266">
              <w:t xml:space="preserve"> jäsenvaltio saa toiselta jäsenvaltiolta 1 kohdan mukaisen huomautuksen tai komissiolta 2 tai 3 kohdan mukaisen lausunnon, sen on otettava tällainen huomautus tai lausunto mahdollisimman tarkasti huomioon.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109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6.</w:t>
            </w:r>
            <w:r w:rsidRPr="00163266">
              <w:tab/>
              <w:t xml:space="preserve">Saatuaan 1 kohdan mukaisen huomautuksen jäsenvaltion on järjestettävä </w:t>
            </w:r>
            <w:r w:rsidRPr="00163266">
              <w:rPr>
                <w:b/>
                <w:i/>
              </w:rPr>
              <w:t>huomautuksia esittäneiden</w:t>
            </w:r>
            <w:r w:rsidRPr="00163266">
              <w:t xml:space="preserve"> jäsenvaltioiden kanssa kokous, jossa keskustellaan siitä, miten todettuihin riskeihin voidaan parhaiten puuttua. Jos jäsenvaltio</w:t>
            </w:r>
            <w:r w:rsidRPr="00163266">
              <w:rPr>
                <w:b/>
                <w:i/>
              </w:rPr>
              <w:t>, jossa ulkomainen sijoitus on suunniteltu toteutettavaksi tai on toteutettu,</w:t>
            </w:r>
            <w:r w:rsidRPr="00163266">
              <w:t xml:space="preserve"> on eri mieltä huomautuksessa todetuista riskeistä tai tapauksen mukaan ehdotetusta toimenpiteestä, jäsenvaltioiden on pyrittävä löytämään vaihtoehtoisia ratkaisuja. Jos huomautus liittyy useita maita koskevaan liiketoimeen, myös</w:t>
            </w:r>
            <w:r w:rsidRPr="00163266">
              <w:rPr>
                <w:b/>
                <w:i/>
              </w:rPr>
              <w:t xml:space="preserve"> muita</w:t>
            </w:r>
            <w:r w:rsidRPr="00163266">
              <w:t xml:space="preserve"> ulkomaisesta sijoituksesta ilmoituksen </w:t>
            </w:r>
            <w:r w:rsidRPr="00163266">
              <w:rPr>
                <w:b/>
                <w:i/>
              </w:rPr>
              <w:t>tehneitä jäsenvaltioita pyydetään</w:t>
            </w:r>
            <w:r w:rsidRPr="00163266">
              <w:t xml:space="preserve"> keskustelemaan siitä, ovatko halutut tulokset yhteensopivia keskenään ja pystytäänkö suunnitelluilla ehdoilla puuttumaan tunnistettuihin rajat ylittäviin riskeihin asianmukaisesti. </w:t>
            </w:r>
            <w:r w:rsidRPr="00163266">
              <w:rPr>
                <w:b/>
                <w:i/>
              </w:rPr>
              <w:t>Komissio on kutsuttava tällaisiin kokouksiin.</w:t>
            </w:r>
          </w:p>
        </w:tc>
        <w:tc>
          <w:tcPr>
            <w:tcW w:w="4876" w:type="dxa"/>
            <w:hideMark/>
          </w:tcPr>
          <w:p w:rsidR="001E1179" w:rsidRPr="00163266" w:rsidRDefault="001E1179" w:rsidP="00F60C33">
            <w:pPr>
              <w:pStyle w:val="Normal6"/>
              <w:widowControl/>
              <w:rPr>
                <w:szCs w:val="24"/>
              </w:rPr>
            </w:pPr>
            <w:r w:rsidRPr="00163266">
              <w:t>6.</w:t>
            </w:r>
            <w:r w:rsidRPr="00163266">
              <w:tab/>
              <w:t xml:space="preserve">Saatuaan 1 kohdan mukaisen huomautuksen </w:t>
            </w:r>
            <w:r w:rsidRPr="00163266">
              <w:rPr>
                <w:b/>
                <w:i/>
              </w:rPr>
              <w:t>tai 2 kohdan mukaisen lausunnon</w:t>
            </w:r>
            <w:r w:rsidRPr="00163266">
              <w:t xml:space="preserve"> </w:t>
            </w:r>
            <w:r w:rsidRPr="00163266">
              <w:rPr>
                <w:b/>
                <w:i/>
              </w:rPr>
              <w:t>vastaanottavan jäsenvaltion on kuultava, tapauksen mukaan, huomautuksia esittäneitä jäsenvaltioita ja komissiota. Kuulemisen yhteydessä vastaanottavan</w:t>
            </w:r>
            <w:r w:rsidRPr="00163266">
              <w:t xml:space="preserve"> jäsenvaltion on järjestettävä </w:t>
            </w:r>
            <w:r w:rsidRPr="00163266">
              <w:rPr>
                <w:b/>
                <w:i/>
              </w:rPr>
              <w:t>kyseisten</w:t>
            </w:r>
            <w:r w:rsidRPr="00163266">
              <w:t xml:space="preserve"> jäsenvaltioiden </w:t>
            </w:r>
            <w:r w:rsidRPr="00163266">
              <w:rPr>
                <w:b/>
                <w:i/>
              </w:rPr>
              <w:t>ja tapauksen mukaan komission</w:t>
            </w:r>
            <w:r w:rsidRPr="00163266">
              <w:t xml:space="preserve"> kanssa kokous, jossa keskustellaan siitä, miten todettuihin riskeihin voidaan parhaiten puuttua. Jos </w:t>
            </w:r>
            <w:r w:rsidRPr="00163266">
              <w:rPr>
                <w:b/>
                <w:i/>
              </w:rPr>
              <w:t>vastaanottava</w:t>
            </w:r>
            <w:r w:rsidRPr="00163266">
              <w:t xml:space="preserve"> jäsenvaltio on eri mieltä huomautuksessa</w:t>
            </w:r>
            <w:r w:rsidRPr="00163266">
              <w:rPr>
                <w:b/>
                <w:i/>
              </w:rPr>
              <w:t xml:space="preserve"> tai lausunnossa</w:t>
            </w:r>
            <w:r w:rsidRPr="00163266">
              <w:t xml:space="preserve"> todetuista riskeistä tai tapauksen mukaan ehdotetusta toimenpiteestä, jäsenvaltioiden </w:t>
            </w:r>
            <w:r w:rsidRPr="00163266">
              <w:rPr>
                <w:b/>
                <w:i/>
              </w:rPr>
              <w:t>ja komission</w:t>
            </w:r>
            <w:r w:rsidRPr="00163266">
              <w:t xml:space="preserve"> on pyrittävä löytämään vaihtoehtoisia ratkaisuja. Jos huomautus </w:t>
            </w:r>
            <w:r w:rsidRPr="00163266">
              <w:rPr>
                <w:b/>
                <w:i/>
              </w:rPr>
              <w:t>tai lausunto</w:t>
            </w:r>
            <w:r w:rsidRPr="00163266">
              <w:t xml:space="preserve"> liittyy useita maita koskevaan liiketoimeen, myös </w:t>
            </w:r>
            <w:r w:rsidRPr="00163266">
              <w:rPr>
                <w:b/>
                <w:i/>
              </w:rPr>
              <w:t>muut</w:t>
            </w:r>
            <w:r w:rsidRPr="00163266">
              <w:t xml:space="preserve"> ulkomaisesta sijoituksesta ilmoituksen </w:t>
            </w:r>
            <w:r w:rsidRPr="00163266">
              <w:rPr>
                <w:b/>
                <w:i/>
              </w:rPr>
              <w:t>tehneet jäsenvaltiot</w:t>
            </w:r>
            <w:r w:rsidRPr="00163266">
              <w:t xml:space="preserve"> </w:t>
            </w:r>
            <w:r w:rsidRPr="00163266">
              <w:rPr>
                <w:b/>
                <w:i/>
              </w:rPr>
              <w:t>kutsutaan kokoukseen</w:t>
            </w:r>
            <w:r w:rsidRPr="00163266">
              <w:t xml:space="preserve"> keskustelemaan siitä, ovatko halutut tulokset yhteensopivia keskenään</w:t>
            </w:r>
            <w:r w:rsidRPr="00163266">
              <w:rPr>
                <w:b/>
                <w:i/>
              </w:rPr>
              <w:t>,</w:t>
            </w:r>
            <w:r w:rsidRPr="00163266">
              <w:t xml:space="preserve"> ja </w:t>
            </w:r>
            <w:r w:rsidRPr="00163266">
              <w:rPr>
                <w:b/>
                <w:i/>
              </w:rPr>
              <w:t>tarpeen mukaan</w:t>
            </w:r>
            <w:r w:rsidRPr="00163266">
              <w:t xml:space="preserve"> </w:t>
            </w:r>
            <w:r w:rsidRPr="00163266">
              <w:rPr>
                <w:b/>
                <w:i/>
              </w:rPr>
              <w:t>siitä,</w:t>
            </w:r>
            <w:r w:rsidRPr="00163266">
              <w:t xml:space="preserve"> pystytäänkö suunnitelluilla ehdoilla puuttumaan tunnistettuihin rajat ylittäviin riskeihin asianmukaisesti.</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110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7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7.</w:t>
            </w:r>
            <w:r w:rsidRPr="00163266">
              <w:rPr>
                <w:b/>
                <w:i/>
              </w:rPr>
              <w:tab/>
              <w:t>Edellä 2 tai 3 kohdassa tarkoitetun lausunnon vastaanottamisen jälkeen sovelletaan 6 kohdassa säädettyä menettelyä soveltuvin osin.</w:t>
            </w:r>
          </w:p>
        </w:tc>
        <w:tc>
          <w:tcPr>
            <w:tcW w:w="4876" w:type="dxa"/>
            <w:hideMark/>
          </w:tcPr>
          <w:p w:rsidR="001E1179" w:rsidRPr="00163266" w:rsidRDefault="001E1179" w:rsidP="00F60C33">
            <w:pPr>
              <w:pStyle w:val="Normal6"/>
              <w:widowControl/>
              <w:rPr>
                <w:szCs w:val="24"/>
              </w:rPr>
            </w:pPr>
            <w:r w:rsidRPr="00163266">
              <w:rPr>
                <w:b/>
                <w:i/>
              </w:rPr>
              <w:t>Poistetaan.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111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8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8.</w:t>
            </w:r>
            <w:r w:rsidRPr="00163266">
              <w:tab/>
            </w:r>
            <w:r w:rsidRPr="00163266">
              <w:rPr>
                <w:b/>
                <w:i/>
              </w:rPr>
              <w:t>Saatuaan 2 tai 3 kohdan mukaisen lausunnon</w:t>
            </w:r>
            <w:r w:rsidRPr="00163266">
              <w:t xml:space="preserve"> jäsenvaltion</w:t>
            </w:r>
            <w:r w:rsidRPr="00163266">
              <w:rPr>
                <w:b/>
                <w:i/>
              </w:rPr>
              <w:t>, jossa ulkomainen sijoitus</w:t>
            </w:r>
            <w:r w:rsidRPr="00163266">
              <w:t xml:space="preserve"> on </w:t>
            </w:r>
            <w:r w:rsidRPr="00163266">
              <w:rPr>
                <w:b/>
                <w:i/>
              </w:rPr>
              <w:t>suunniteltu toteutettavaksi tai on toteutettu,</w:t>
            </w:r>
            <w:r w:rsidRPr="00163266">
              <w:t xml:space="preserve"> on</w:t>
            </w:r>
          </w:p>
        </w:tc>
        <w:tc>
          <w:tcPr>
            <w:tcW w:w="4876" w:type="dxa"/>
            <w:hideMark/>
          </w:tcPr>
          <w:p w:rsidR="001E1179" w:rsidRPr="00163266" w:rsidRDefault="001E1179" w:rsidP="00F60C33">
            <w:pPr>
              <w:pStyle w:val="Normal6"/>
              <w:widowControl/>
              <w:rPr>
                <w:szCs w:val="24"/>
              </w:rPr>
            </w:pPr>
            <w:r w:rsidRPr="00163266">
              <w:t>8.</w:t>
            </w:r>
            <w:r w:rsidRPr="00163266">
              <w:tab/>
            </w:r>
            <w:r w:rsidRPr="00163266">
              <w:rPr>
                <w:b/>
                <w:i/>
              </w:rPr>
              <w:t>Edellä</w:t>
            </w:r>
            <w:r w:rsidRPr="00163266">
              <w:t xml:space="preserve"> </w:t>
            </w:r>
            <w:r w:rsidRPr="00163266">
              <w:rPr>
                <w:b/>
                <w:i/>
              </w:rPr>
              <w:t>6 kohdassa tarkoitetun kokouksen jälkeen vastaanottavan</w:t>
            </w:r>
            <w:r w:rsidRPr="00163266">
              <w:t xml:space="preserve"> jäsenvaltion on </w:t>
            </w:r>
            <w:r w:rsidRPr="00163266">
              <w:rPr>
                <w:b/>
                <w:i/>
              </w:rPr>
              <w:t xml:space="preserve">toimitettava asianomaisille jäsenvaltioille ja komissiolle seurantaa koskeva päätösluonnoksensa ja annettava kirjallinen selvitys, jossa sen </w:t>
            </w:r>
            <w:r w:rsidRPr="00163266">
              <w:t>on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112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8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(a)</w:t>
            </w:r>
            <w:r w:rsidRPr="00163266">
              <w:rPr>
                <w:b/>
                <w:i/>
              </w:rPr>
              <w:tab/>
              <w:t>ilmoitettava seurantaa koskevasta päätöksestään asianomaisille jäsenvaltioille ja komissiolle 12 artiklan 4 kohdassa tarkoitetun suojatun ja salatun järjestelmän kautta viimeistään kolmen kalenteripäivän kuluttua siitä, kun päätös lähetettiin ulkomaisen sijoituksen osapuolille;</w:t>
            </w:r>
          </w:p>
        </w:tc>
        <w:tc>
          <w:tcPr>
            <w:tcW w:w="4876" w:type="dxa"/>
            <w:hideMark/>
          </w:tcPr>
          <w:p w:rsidR="001E1179" w:rsidRPr="00163266" w:rsidRDefault="001E1179" w:rsidP="00F60C33">
            <w:pPr>
              <w:pStyle w:val="Normal6"/>
              <w:widowControl/>
              <w:rPr>
                <w:szCs w:val="24"/>
              </w:rPr>
            </w:pPr>
            <w:r w:rsidRPr="00163266">
              <w:rPr>
                <w:b/>
                <w:i/>
              </w:rPr>
              <w:t>Poistetaan.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113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 xml:space="preserve">7 artikla – 8 kohta – a </w:t>
      </w:r>
      <w:proofErr w:type="spellStart"/>
      <w:r w:rsidRPr="00163266">
        <w:t>a</w:t>
      </w:r>
      <w:proofErr w:type="spellEnd"/>
      <w:r w:rsidRPr="00163266">
        <w:t xml:space="preserve">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(a a)</w:t>
            </w:r>
            <w:r w:rsidRPr="00163266">
              <w:rPr>
                <w:b/>
                <w:i/>
              </w:rPr>
              <w:tab/>
              <w:t>siitä, missä määrin se on ottanut jäsenvaltioiden huomautukset tai komission lausunnon mahdollisimman tarkasti huomioon; ja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114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8 kohta – a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(a b)</w:t>
            </w:r>
            <w:r w:rsidRPr="00163266">
              <w:rPr>
                <w:b/>
                <w:i/>
              </w:rPr>
              <w:tab/>
              <w:t>tarpeen mukaan syistä, joiden vuoksi se on eri mieltä jäsenvaltioiden huomautuksista tai komission lausunnosta.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115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8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(b)</w:t>
            </w:r>
            <w:r w:rsidRPr="00163266">
              <w:rPr>
                <w:b/>
                <w:i/>
              </w:rPr>
              <w:tab/>
              <w:t>toimitettava asianomaisille jäsenvaltioille ja komissiolle 12 artiklan 4 kohdassa tarkoitetun suojatun ja salatun järjestelmän kautta viimeistään seitsemän kalenteripäivän kuluttua siitä, kun seurantaa koskevasta päätöksestä ilmoitettiin a alakohdan mukaisesti, kirjallinen selitys</w:t>
            </w:r>
          </w:p>
        </w:tc>
        <w:tc>
          <w:tcPr>
            <w:tcW w:w="4876" w:type="dxa"/>
            <w:hideMark/>
          </w:tcPr>
          <w:p w:rsidR="001E1179" w:rsidRPr="00163266" w:rsidRDefault="001E1179" w:rsidP="00F60C33">
            <w:pPr>
              <w:pStyle w:val="Normal6"/>
              <w:widowControl/>
              <w:rPr>
                <w:szCs w:val="24"/>
              </w:rPr>
            </w:pPr>
            <w:r w:rsidRPr="00163266">
              <w:rPr>
                <w:b/>
                <w:i/>
              </w:rPr>
              <w:t>Poistetaan.</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i)</w:t>
            </w:r>
            <w:r w:rsidRPr="00163266">
              <w:rPr>
                <w:b/>
                <w:i/>
              </w:rPr>
              <w:tab/>
              <w:t>siitä, missä määrin se on ottanut jäsenvaltioiden huomautukset tai komission lausunnon mahdollisimman tarkasti huomioon; tai</w:t>
            </w:r>
          </w:p>
        </w:tc>
        <w:tc>
          <w:tcPr>
            <w:tcW w:w="4876" w:type="dxa"/>
          </w:tcPr>
          <w:p w:rsidR="001E1179" w:rsidRPr="00163266" w:rsidRDefault="001E1179" w:rsidP="00F60C33">
            <w:pPr>
              <w:pStyle w:val="Normal6"/>
              <w:widowControl/>
              <w:rPr>
                <w:szCs w:val="24"/>
              </w:rPr>
            </w:pP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ii)</w:t>
            </w:r>
            <w:r w:rsidRPr="00163266">
              <w:rPr>
                <w:b/>
                <w:i/>
              </w:rPr>
              <w:tab/>
              <w:t>syistä, joiden vuoksi se on eri mieltä jäsenvaltioiden huomautuksista tai komission lausunnosta.</w:t>
            </w:r>
          </w:p>
        </w:tc>
        <w:tc>
          <w:tcPr>
            <w:tcW w:w="4876" w:type="dxa"/>
          </w:tcPr>
          <w:p w:rsidR="001E1179" w:rsidRPr="00163266" w:rsidRDefault="001E1179" w:rsidP="00F60C33">
            <w:pPr>
              <w:pStyle w:val="Normal6"/>
              <w:widowControl/>
              <w:rPr>
                <w:szCs w:val="24"/>
              </w:rPr>
            </w:pP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116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9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9.</w:t>
            </w:r>
            <w:r w:rsidRPr="00163266">
              <w:tab/>
              <w:t xml:space="preserve">Jos jäsenvaltiot tai komissio </w:t>
            </w:r>
            <w:r w:rsidRPr="00163266">
              <w:rPr>
                <w:b/>
                <w:i/>
              </w:rPr>
              <w:t>toteavat</w:t>
            </w:r>
            <w:r w:rsidRPr="00163266">
              <w:t xml:space="preserve">, että tämän artiklan 8 </w:t>
            </w:r>
            <w:r w:rsidRPr="00163266">
              <w:rPr>
                <w:b/>
                <w:i/>
              </w:rPr>
              <w:t>kohdan a alakohdassa</w:t>
            </w:r>
            <w:r w:rsidRPr="00163266">
              <w:t xml:space="preserve"> tarkoitetussa seurantaa koskevassa </w:t>
            </w:r>
            <w:r w:rsidRPr="00163266">
              <w:rPr>
                <w:b/>
                <w:i/>
              </w:rPr>
              <w:t>päätöksessä</w:t>
            </w:r>
            <w:r w:rsidRPr="00163266">
              <w:t xml:space="preserve"> ei </w:t>
            </w:r>
            <w:r w:rsidRPr="00163266">
              <w:rPr>
                <w:b/>
                <w:i/>
              </w:rPr>
              <w:t>oteta mahdollisimman tarkasti huomioon niiden 1 kohdan mukaisesti esittämiä huomautuksia</w:t>
            </w:r>
            <w:r w:rsidRPr="00163266">
              <w:t xml:space="preserve"> tai </w:t>
            </w:r>
            <w:r w:rsidRPr="00163266">
              <w:rPr>
                <w:b/>
                <w:i/>
              </w:rPr>
              <w:t>2 tai 3 kohdan mukaisesti annettua lausuntoa, sen jäsenvaltion, jossa sijoitus on suunniteltu toteutettavaksi tai on toteutettu, on järjestettävä kokous, jossa selitetään havaitut esteet tai erimielisyyden syyt, ja pyrittävä löytämään ratkaisuja</w:t>
            </w:r>
            <w:r w:rsidRPr="00163266">
              <w:t xml:space="preserve">, </w:t>
            </w:r>
            <w:r w:rsidRPr="00163266">
              <w:rPr>
                <w:b/>
                <w:i/>
              </w:rPr>
              <w:t>jos vastaava tilanne ilmenee tulevaisuudessa</w:t>
            </w:r>
            <w:r w:rsidRPr="00163266">
              <w:t xml:space="preserve">. </w:t>
            </w:r>
            <w:r w:rsidRPr="00163266">
              <w:rPr>
                <w:b/>
                <w:i/>
              </w:rPr>
              <w:t>Jos seurantaa koskeva päätös liittyy useita maita koskevaan ilmoitukseen, kokoukseen</w:t>
            </w:r>
            <w:r w:rsidRPr="00163266">
              <w:t xml:space="preserve"> on </w:t>
            </w:r>
            <w:r w:rsidRPr="00163266">
              <w:rPr>
                <w:b/>
                <w:i/>
              </w:rPr>
              <w:t>kutsuttava myös muut jäsenvaltiot, jotka ovat tehneet ulkomaisesta sijoituksesta ilmoituksen yhteistyömekanismiin</w:t>
            </w:r>
            <w:r w:rsidRPr="00163266">
              <w:t xml:space="preserve">. Komissio on </w:t>
            </w:r>
            <w:r w:rsidRPr="00163266">
              <w:rPr>
                <w:b/>
                <w:i/>
              </w:rPr>
              <w:t>kutsuttava kaikkiin tämän</w:t>
            </w:r>
            <w:r w:rsidRPr="00163266">
              <w:t xml:space="preserve"> kohdan </w:t>
            </w:r>
            <w:r w:rsidRPr="00163266">
              <w:rPr>
                <w:b/>
                <w:i/>
              </w:rPr>
              <w:t>mukaisesti järjestettäviin kokouksiin</w:t>
            </w:r>
            <w:r w:rsidRPr="00163266">
              <w:t>.</w:t>
            </w:r>
          </w:p>
        </w:tc>
        <w:tc>
          <w:tcPr>
            <w:tcW w:w="4876" w:type="dxa"/>
            <w:hideMark/>
          </w:tcPr>
          <w:p w:rsidR="001E1179" w:rsidRPr="00163266" w:rsidRDefault="001E1179" w:rsidP="00F60C33">
            <w:pPr>
              <w:pStyle w:val="Normal6"/>
              <w:widowControl/>
              <w:rPr>
                <w:szCs w:val="24"/>
              </w:rPr>
            </w:pPr>
            <w:r w:rsidRPr="00163266">
              <w:t>9.</w:t>
            </w:r>
            <w:r w:rsidRPr="00163266">
              <w:tab/>
              <w:t xml:space="preserve">Jos jäsenvaltio tai komissio </w:t>
            </w:r>
            <w:r w:rsidRPr="00163266">
              <w:rPr>
                <w:b/>
                <w:i/>
              </w:rPr>
              <w:t>katsoo</w:t>
            </w:r>
            <w:r w:rsidRPr="00163266">
              <w:t xml:space="preserve">, että tämän artiklan 8 </w:t>
            </w:r>
            <w:r w:rsidRPr="00163266">
              <w:rPr>
                <w:b/>
                <w:i/>
              </w:rPr>
              <w:t>kohdassa</w:t>
            </w:r>
            <w:r w:rsidRPr="00163266">
              <w:t xml:space="preserve"> tarkoitetussa seurantaa koskevassa </w:t>
            </w:r>
            <w:r w:rsidRPr="00163266">
              <w:rPr>
                <w:b/>
                <w:i/>
              </w:rPr>
              <w:t>päätösluonnoksessa</w:t>
            </w:r>
            <w:r w:rsidRPr="00163266">
              <w:t xml:space="preserve"> </w:t>
            </w:r>
            <w:r w:rsidRPr="00163266">
              <w:rPr>
                <w:b/>
                <w:i/>
              </w:rPr>
              <w:t>ulkomaisen sijoituksen hyväksymisestä 14 artiklan 1 kohdan a alakohdan tai 14 artiklan 2 kohdan nojalla</w:t>
            </w:r>
            <w:r w:rsidRPr="00163266">
              <w:t xml:space="preserve"> ei </w:t>
            </w:r>
            <w:r w:rsidRPr="00163266">
              <w:rPr>
                <w:b/>
                <w:i/>
              </w:rPr>
              <w:t>puututa</w:t>
            </w:r>
            <w:r w:rsidRPr="00163266">
              <w:t xml:space="preserve"> tai</w:t>
            </w:r>
            <w:r w:rsidRPr="00163266">
              <w:rPr>
                <w:b/>
                <w:i/>
              </w:rPr>
              <w:t xml:space="preserve"> lievennetä riittävästi turvallisuuteen ja yleiseen järjestykseen kohdistuvia riskejä</w:t>
            </w:r>
            <w:r w:rsidRPr="00163266">
              <w:t xml:space="preserve">, </w:t>
            </w:r>
            <w:r w:rsidRPr="00163266">
              <w:rPr>
                <w:b/>
                <w:i/>
              </w:rPr>
              <w:t>se voi esittää asianmukaisesti perustellun vastalauseen</w:t>
            </w:r>
            <w:r w:rsidRPr="00163266">
              <w:t>.</w:t>
            </w:r>
            <w:r w:rsidRPr="00163266">
              <w:rPr>
                <w:b/>
                <w:i/>
              </w:rPr>
              <w:t xml:space="preserve"> Vastalauseesta</w:t>
            </w:r>
            <w:r w:rsidRPr="00163266">
              <w:t xml:space="preserve"> on </w:t>
            </w:r>
            <w:r w:rsidRPr="00163266">
              <w:rPr>
                <w:b/>
                <w:i/>
              </w:rPr>
              <w:t>ilmoitettava vastaanottavalle jäsenvaltiolle ja tarvittaessa muille huomautuksia antaneille jäsenvaltioille sekä komissiolle</w:t>
            </w:r>
            <w:r w:rsidRPr="00163266">
              <w:t>.</w:t>
            </w:r>
            <w:r w:rsidRPr="00163266">
              <w:rPr>
                <w:b/>
                <w:i/>
              </w:rPr>
              <w:t xml:space="preserve"> Vastaanottavan jäsenvaltion on keskeytettävä seurantamenettelynsä, kunnes</w:t>
            </w:r>
            <w:r w:rsidRPr="00163266">
              <w:t xml:space="preserve"> komissio on </w:t>
            </w:r>
            <w:r w:rsidRPr="00163266">
              <w:rPr>
                <w:b/>
                <w:i/>
              </w:rPr>
              <w:t xml:space="preserve">tehnyt tämän artiklan 9 b ja 9 c </w:t>
            </w:r>
            <w:r w:rsidRPr="00163266">
              <w:t xml:space="preserve">kohdan </w:t>
            </w:r>
            <w:r w:rsidRPr="00163266">
              <w:rPr>
                <w:b/>
                <w:i/>
              </w:rPr>
              <w:t>mukaisen päätöksen</w:t>
            </w:r>
            <w:r w:rsidRPr="00163266">
              <w:t xml:space="preserve">. </w:t>
            </w:r>
            <w:r w:rsidRPr="00163266">
              <w:rPr>
                <w:b/>
                <w:i/>
              </w:rPr>
              <w:t>Vastaanottavan jäsenvaltion on ilmoitettava keskeyttämisestä ulkomaiselle sijoittajalle.</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117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9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9 a.</w:t>
            </w:r>
            <w:r w:rsidRPr="00163266">
              <w:rPr>
                <w:b/>
                <w:i/>
              </w:rPr>
              <w:tab/>
              <w:t xml:space="preserve">Jos jäsenvaltio tai komissio on esittänyt vastalauseen tämän artiklan 9 kohdan nojalla, vastaanottavan jäsenvaltion on toimitettava komissiolle kaikki asiakirjat ja tiedot, joihin sen päätösluonnos perustuu, sanotun kuitenkaan rajoittamatta SEUT 346 artiklan 1 kohdan a alakohdan soveltamista. Jäsenvaltion, joka on esittänyt vastalauseen tämän artiklan 9 kohdan nojalla, on toimitettava kaikki asiakirjat ja tiedot, joihin se perustaa vastalauseensa. </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118</w:t>
      </w:r>
    </w:p>
    <w:p w:rsidR="001E1179" w:rsidRPr="00163266" w:rsidRDefault="001E1179" w:rsidP="001E1179">
      <w:pPr>
        <w:widowControl/>
      </w:pPr>
    </w:p>
    <w:p w:rsidR="001E1179" w:rsidRPr="00163266" w:rsidRDefault="001E1179" w:rsidP="001E1179">
      <w:pPr>
        <w:pStyle w:val="NormalBold"/>
        <w:keepNext/>
        <w:widowControl/>
      </w:pPr>
      <w:r w:rsidRPr="00163266">
        <w:lastRenderedPageBreak/>
        <w:t>Ehdotus asetukseksi</w:t>
      </w:r>
    </w:p>
    <w:p w:rsidR="001E1179" w:rsidRPr="00163266" w:rsidRDefault="001E1179" w:rsidP="001E1179">
      <w:pPr>
        <w:pStyle w:val="NormalBold"/>
        <w:widowControl/>
      </w:pPr>
      <w:r w:rsidRPr="00163266">
        <w:t>7 artikla – 9 b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9 b.</w:t>
            </w:r>
            <w:r w:rsidRPr="00163266">
              <w:rPr>
                <w:b/>
                <w:i/>
              </w:rPr>
              <w:tab/>
              <w:t>Jos komissio, ottaen huomioon 13 artiklassa säädetyt kriteerit, tämän artiklan 9 a kohdan nojalla saadut asiakirjat ja tiedot sekä tarvittaessa jäsenvaltioiden 7 artiklan 1 kohdan tai 9 artiklan 7 kohdan mukaisesti toimittamat huomautukset, katsoo, että seurantaa koskevalla päätösluonnoksella, siinä muodossa kuin vastaanottava jäsenvaltio on sitä tarvittaessa muuttanut, puututaan tehokkaasti vaikutuksiin, joita ulkomaisella sijoituksella voi olla turvallisuuteen ja yleiseen järjestykseen, se päättää olla vastustamatta sitä, että jäsenvaltio hyväksyy seurantaa koskevan päätösluonnoksen.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119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9 c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9 c.</w:t>
            </w:r>
            <w:r w:rsidRPr="00163266">
              <w:rPr>
                <w:b/>
                <w:i/>
              </w:rPr>
              <w:tab/>
              <w:t xml:space="preserve">Jos komissio toteaa, että vastaanottavan jäsenvaltion 8 kohdassa tarkoitettu seulontaa koskeva päätösluonnos ei vähennä riittävästi turvallisuuteen ja yleiseen järjestykseen kohdistuvia riskejä, se tekee päätöksen, jolla </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(a)</w:t>
            </w:r>
            <w:r w:rsidRPr="00163266">
              <w:tab/>
            </w:r>
            <w:r w:rsidRPr="00163266">
              <w:rPr>
                <w:b/>
                <w:i/>
              </w:rPr>
              <w:t>myönnetään ulkomaiselle sijoitukselle riskejä lieventäviä toimenpiteitä edellyttävä lupa; tai</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(b)</w:t>
            </w:r>
            <w:r w:rsidRPr="00163266">
              <w:tab/>
            </w:r>
            <w:r w:rsidRPr="00163266">
              <w:rPr>
                <w:b/>
                <w:i/>
              </w:rPr>
              <w:t xml:space="preserve">kielletään ulkomainen sijoitus, jos se toteaa, että unionin turvallisuuteen ja yleiseen järjestykseen kohdistuvia riskejä ei voida riittävällä tavalla torjua lieventävillä toimenpiteillä. </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 xml:space="preserve">Edellä 1 kohdassa tarkoitetun päätöksessä on noudatettava suhteellisuusperiaatetta, sen on perustuttava dokumentoituihin </w:t>
            </w:r>
            <w:r w:rsidRPr="00163266">
              <w:rPr>
                <w:b/>
                <w:i/>
              </w:rPr>
              <w:lastRenderedPageBreak/>
              <w:t>riskeihin ja siinä on otettava huomioon kaikki ulkomaisen sijoituksen olosuhteet.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120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9 d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9 d.</w:t>
            </w:r>
            <w:r w:rsidRPr="00163266">
              <w:rPr>
                <w:b/>
                <w:i/>
              </w:rPr>
              <w:tab/>
              <w:t>Edellä olevan 9 b kohdan nojalla tehdyt päätökset osoitetaan vastaanottavalle jäsenvaltiolle. Komissio ilmoittaa päätöksestään vastaanottavalle jäsenvaltiolle ja tiedottaa asiasta 1 kohdan mukaisesti huomautuksia esittäneille jäsenvaltioille.</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Edellä olevan 9 c kohdan nojalla tehdyt päätökset osoitetaan ulkomaiselle sijoittajalle. Komissio ilmoittaa päätöksestään vastaanottavalle jäsenvaltiolle ja 1 kohdan mukaisesti huomautuksia esittäneille jäsenvaltioille ja tiedottaa asiasta unionin sijoituskohteelle.</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121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9 e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9 e.</w:t>
            </w:r>
            <w:r w:rsidRPr="00163266">
              <w:rPr>
                <w:b/>
                <w:i/>
              </w:rPr>
              <w:tab/>
              <w:t>Jos komissio tekee 9 c kohdan mukaisen päätöksen, vastaanottavan jäsenvaltion on saatettava päätökseen seurantamenettelynsä ja ilmoitettava siitä ulkomaiselle sijoittajalle.</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122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9 f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9 f.</w:t>
            </w:r>
            <w:r w:rsidRPr="00163266">
              <w:rPr>
                <w:b/>
                <w:i/>
              </w:rPr>
              <w:tab/>
              <w:t>Ennen kuin komissio tekee 9 c kohdan mukaisen päätöksen, se antaa ulkomaiselle sijoittajalle tilaisuuden esittää asianmukaisesti näkemyksensä.</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123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9 g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9 g.</w:t>
            </w:r>
            <w:r w:rsidRPr="00163266">
              <w:rPr>
                <w:b/>
                <w:i/>
              </w:rPr>
              <w:tab/>
              <w:t>Jos 1 kohdan mukainen huomautus tai 2 tai 3 kohdan mukainen lausunto on annettu eikä komissio ole tehnyt 9 c kohdan mukaista päätöstä, vastaanottavan jäsenvaltion on ilmoitettava seurantaa koskevasta päätöksestään tarvittaessa huomautuksia toimittaneille jäsenvaltioille ja komissiolle sekä lähetettävä se ulkomaisen sijoituksen asianomaisille osapuolille.</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124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7 artikla – 10 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10.</w:t>
            </w:r>
            <w:r w:rsidRPr="00163266">
              <w:rPr>
                <w:b/>
                <w:i/>
              </w:rPr>
              <w:tab/>
              <w:t xml:space="preserve">Komissio perustaa kaikkien jäsenvaltioiden saataville asetettavan suojatun tietokannan, joka sisältää tiedot yhteistyömekanismin avulla arvioiduista ulkomaisista sijoituksista ja kansallisten seurantamekanismien mukaisten arviointien tuloksista, mukaan lukien tiedot seurantaa koskevista päätöksistä. Komissio lataa kyseiseen tietokantaan tiedot, jotka sillä on ollut käytettävissään 12 päivästä lokakuuta 2020 alkaen. Jäsenvaltioiden on ladattava viimeistään [...] päivänä [...]kuuta [...] [julkaisutoimisto: lisätään tämän asetuksen soveltamispäivä] kyseiseen tietokantaan käytettävissään olevat tiedot, </w:t>
            </w:r>
            <w:r w:rsidRPr="00163266">
              <w:rPr>
                <w:b/>
                <w:i/>
              </w:rPr>
              <w:lastRenderedPageBreak/>
              <w:t>jotka koskevat niiden omien seurantamekanismien mukaisesti toteutettujen menettelyjen tuloksia. Ne voivat myös antaa lisäselvityksiä.</w:t>
            </w:r>
          </w:p>
        </w:tc>
        <w:tc>
          <w:tcPr>
            <w:tcW w:w="4876" w:type="dxa"/>
            <w:hideMark/>
          </w:tcPr>
          <w:p w:rsidR="001E1179" w:rsidRPr="00163266" w:rsidRDefault="001E1179" w:rsidP="00F60C33">
            <w:pPr>
              <w:pStyle w:val="Normal6"/>
              <w:widowControl/>
              <w:rPr>
                <w:szCs w:val="24"/>
              </w:rPr>
            </w:pPr>
            <w:r w:rsidRPr="00163266">
              <w:rPr>
                <w:b/>
                <w:i/>
              </w:rPr>
              <w:lastRenderedPageBreak/>
              <w:t>Poistetaan.</w:t>
            </w:r>
          </w:p>
        </w:tc>
      </w:tr>
    </w:tbl>
    <w:p w:rsidR="001E1179" w:rsidRPr="00163266" w:rsidRDefault="001E1179" w:rsidP="001E1179">
      <w:pPr>
        <w:pStyle w:val="AmNumberTabs"/>
        <w:widowControl/>
      </w:pPr>
      <w:r w:rsidRPr="00163266">
        <w:t>Tarkistus</w:t>
      </w:r>
      <w:r w:rsidR="00277A55" w:rsidRPr="00163266">
        <w:t xml:space="preserve"> </w:t>
      </w:r>
      <w:r w:rsidRPr="00163266">
        <w:t>125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8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 xml:space="preserve">Määräajat ja menettelyt </w:t>
            </w:r>
            <w:r w:rsidRPr="00163266">
              <w:rPr>
                <w:b/>
                <w:bCs/>
                <w:i/>
                <w:iCs/>
              </w:rPr>
              <w:t>ilmoitettuja ulkomaisia sijoituksia koskevien huomautusten ja lausuntojen toimittamiselle</w:t>
            </w:r>
          </w:p>
        </w:tc>
        <w:tc>
          <w:tcPr>
            <w:tcW w:w="4876" w:type="dxa"/>
            <w:hideMark/>
          </w:tcPr>
          <w:p w:rsidR="001E1179" w:rsidRPr="00163266" w:rsidRDefault="001E1179" w:rsidP="00F60C33">
            <w:pPr>
              <w:pStyle w:val="Normal6"/>
              <w:widowControl/>
              <w:rPr>
                <w:szCs w:val="24"/>
              </w:rPr>
            </w:pPr>
            <w:r w:rsidRPr="00163266">
              <w:rPr>
                <w:b/>
                <w:i/>
              </w:rPr>
              <w:t>Unionin yhteistyömekanismiin ja päätöksiin sovellettavat</w:t>
            </w:r>
            <w:r w:rsidRPr="00163266">
              <w:t xml:space="preserve"> määräajat ja menettelyt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126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8 artikla – 1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(a)</w:t>
            </w:r>
            <w:r w:rsidRPr="00163266">
              <w:tab/>
              <w:t>jäsenvaltioiden on ilmoitettava ilmoituksen tehneelle jäsenvaltiolle</w:t>
            </w:r>
            <w:r w:rsidRPr="00163266">
              <w:rPr>
                <w:b/>
                <w:i/>
              </w:rPr>
              <w:t xml:space="preserve"> 12 artiklan 4 kohdassa tarkoitetun suojatun ja salatun järjestelmän kautta</w:t>
            </w:r>
            <w:r w:rsidRPr="00163266">
              <w:t>, että ne varaavat itselleen oikeuden huomautusten esittämiseen 15 kalenteripäivän kuluessa 5 artiklan mukaisen ilmoituksen vastaanottamisesta;</w:t>
            </w:r>
          </w:p>
        </w:tc>
        <w:tc>
          <w:tcPr>
            <w:tcW w:w="4876" w:type="dxa"/>
            <w:hideMark/>
          </w:tcPr>
          <w:p w:rsidR="001E1179" w:rsidRPr="00163266" w:rsidRDefault="001E1179" w:rsidP="00DB5590">
            <w:pPr>
              <w:pStyle w:val="Normal6"/>
              <w:widowControl/>
              <w:rPr>
                <w:szCs w:val="24"/>
              </w:rPr>
            </w:pPr>
            <w:r w:rsidRPr="00163266">
              <w:t>(a)</w:t>
            </w:r>
            <w:r w:rsidRPr="00163266">
              <w:tab/>
              <w:t>jäsenvaltioiden on ilmoitettava ilmoituksen tehneelle jäsenvaltiolle, että ne varaavat itselleen oikeuden huomautusten esittämiseen 15 kalenteripäivän kuluessa 5</w:t>
            </w:r>
            <w:r w:rsidR="00DB5590" w:rsidRPr="00163266">
              <w:t> </w:t>
            </w:r>
            <w:r w:rsidRPr="00163266">
              <w:t>artiklan mukaisen ilmoituksen vastaanottamisesta;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127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8 artikla – 1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(b)</w:t>
            </w:r>
            <w:r w:rsidRPr="00163266">
              <w:tab/>
              <w:t>komissio ilmoittaa ilmoituksen tehneelle jäsenvaltiolle</w:t>
            </w:r>
            <w:r w:rsidRPr="00163266">
              <w:rPr>
                <w:b/>
                <w:i/>
              </w:rPr>
              <w:t xml:space="preserve"> 12 artiklan 4 kohdassa tarkoitetun suojatun ja salatun järjestelmän kautta</w:t>
            </w:r>
            <w:r w:rsidRPr="00163266">
              <w:t>, että se varaa itselleen oikeuden lausunnon antamiseen 20 kalenteripäivän kuluessa 5 artiklan mukaisen ilmoituksen vastaanottamisesta.</w:t>
            </w:r>
          </w:p>
        </w:tc>
        <w:tc>
          <w:tcPr>
            <w:tcW w:w="4876" w:type="dxa"/>
            <w:hideMark/>
          </w:tcPr>
          <w:p w:rsidR="001E1179" w:rsidRPr="00163266" w:rsidRDefault="001E1179" w:rsidP="00F60C33">
            <w:pPr>
              <w:pStyle w:val="Normal6"/>
              <w:widowControl/>
              <w:rPr>
                <w:szCs w:val="24"/>
              </w:rPr>
            </w:pPr>
            <w:r w:rsidRPr="00163266">
              <w:t>(b)</w:t>
            </w:r>
            <w:r w:rsidRPr="00163266">
              <w:tab/>
              <w:t>komissio ilmoittaa ilmoituksen tehneelle jäsenvaltiolle, että se varaa itselleen oikeuden lausunnon antamiseen 20 kalenteripäivän kuluessa 5 artiklan mukaisen ilmoituksen vastaanottamisesta.</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128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8 artikla – 3 kohta – 1 alakohta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(a)</w:t>
            </w:r>
            <w:r w:rsidRPr="00163266">
              <w:tab/>
              <w:t xml:space="preserve">jos jäsenvaltio varaa itselleen oikeuden huomautusten esittämiseen ilmoitetusta ulkomaisesta sijoituksesta pyytämättä lisätietoja ilmoituksen tehneeltä jäsenvaltiolta, huomautukset on osoitettava ilmoituksen tehneelle jäsenvaltiolle </w:t>
            </w:r>
            <w:r w:rsidRPr="00163266">
              <w:rPr>
                <w:b/>
                <w:i/>
              </w:rPr>
              <w:t xml:space="preserve">12 artiklan 4 kohdassa tarkoitetun suojatun ja salatun järjestelmän kautta </w:t>
            </w:r>
            <w:r w:rsidRPr="00163266">
              <w:t>viimeistään 35 kalenteripäivän kuluttua ulkomaista sijoitusta koskevan täydellisen ilmoituksen vastaanottamisesta;</w:t>
            </w:r>
          </w:p>
        </w:tc>
        <w:tc>
          <w:tcPr>
            <w:tcW w:w="4876" w:type="dxa"/>
            <w:hideMark/>
          </w:tcPr>
          <w:p w:rsidR="001E1179" w:rsidRPr="00163266" w:rsidRDefault="001E1179" w:rsidP="00F60C33">
            <w:pPr>
              <w:pStyle w:val="Normal6"/>
              <w:widowControl/>
              <w:rPr>
                <w:szCs w:val="24"/>
              </w:rPr>
            </w:pPr>
            <w:r w:rsidRPr="00163266">
              <w:t>(a)</w:t>
            </w:r>
            <w:r w:rsidRPr="00163266">
              <w:tab/>
              <w:t>jos jäsenvaltio varaa itselleen oikeuden huomautusten esittämiseen ilmoitetusta ulkomaisesta sijoituksesta pyytämättä lisätietoja ilmoituksen tehneeltä jäsenvaltiolta, huomautukset on osoitettava ilmoituksen tehneelle jäsenvaltiolle viimeistään 35 kalenteripäivän kuluttua ulkomaista sijoitusta koskevan täydellisen ilmoituksen vastaanottamisesta;</w:t>
            </w:r>
          </w:p>
        </w:tc>
      </w:tr>
    </w:tbl>
    <w:p w:rsidR="001E1179" w:rsidRPr="00163266" w:rsidRDefault="001E1179" w:rsidP="001E1179">
      <w:pPr>
        <w:widowControl/>
      </w:pPr>
    </w:p>
    <w:p w:rsidR="001E1179" w:rsidRPr="00163266" w:rsidRDefault="001E1179" w:rsidP="00DB5590">
      <w:pPr>
        <w:pStyle w:val="AmNumberTabs"/>
        <w:widowControl/>
      </w:pPr>
      <w:r w:rsidRPr="00163266">
        <w:t>Tarkistus</w:t>
      </w:r>
      <w:r w:rsidR="00277A55" w:rsidRPr="00163266">
        <w:t xml:space="preserve"> </w:t>
      </w:r>
      <w:r w:rsidRPr="00163266">
        <w:t>129</w:t>
      </w:r>
    </w:p>
    <w:p w:rsidR="001E1179" w:rsidRPr="00163266" w:rsidRDefault="001E1179" w:rsidP="00DB5590">
      <w:pPr>
        <w:pStyle w:val="NormalBold"/>
        <w:keepNext/>
        <w:widowControl/>
        <w:spacing w:before="240"/>
      </w:pPr>
      <w:r w:rsidRPr="00163266">
        <w:t>Ehdotus asetukseksi</w:t>
      </w:r>
    </w:p>
    <w:p w:rsidR="001E1179" w:rsidRPr="00163266" w:rsidRDefault="001E1179" w:rsidP="001E1179">
      <w:pPr>
        <w:pStyle w:val="NormalBold"/>
        <w:widowControl/>
      </w:pPr>
      <w:r w:rsidRPr="00163266">
        <w:t>8 artikla – 3 kohta – 1 alakohta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(b)</w:t>
            </w:r>
            <w:r w:rsidRPr="00163266">
              <w:tab/>
              <w:t xml:space="preserve">jos komissio varaa itselleen oikeuden lausunnon antamiseen ilmoitetusta ulkomaisesta sijoituksesta pyytämättä lisätietoja ilmoituksen tehneeltä jäsenvaltiolta, lausunto on osoitettava ilmoituksen tehneelle jäsenvaltiolle </w:t>
            </w:r>
            <w:r w:rsidRPr="00163266">
              <w:rPr>
                <w:b/>
                <w:i/>
              </w:rPr>
              <w:t xml:space="preserve">12 artiklan 4 kohdassa tarkoitetun suojatun ja salatun järjestelmän kautta </w:t>
            </w:r>
            <w:r w:rsidRPr="00163266">
              <w:t>viimeistään 45 kalenteripäivän kuluttua ulkomaista sijoitusta koskevan täydellisen ilmoituksen vastaanottamisesta;</w:t>
            </w:r>
          </w:p>
        </w:tc>
        <w:tc>
          <w:tcPr>
            <w:tcW w:w="4876" w:type="dxa"/>
            <w:hideMark/>
          </w:tcPr>
          <w:p w:rsidR="001E1179" w:rsidRPr="00163266" w:rsidRDefault="001E1179" w:rsidP="00F60C33">
            <w:pPr>
              <w:pStyle w:val="Normal6"/>
              <w:widowControl/>
              <w:rPr>
                <w:szCs w:val="24"/>
              </w:rPr>
            </w:pPr>
            <w:r w:rsidRPr="00163266">
              <w:t>(b)</w:t>
            </w:r>
            <w:r w:rsidRPr="00163266">
              <w:tab/>
              <w:t>jos komissio varaa itselleen oikeuden lausunnon antamiseen ilmoitetusta ulkomaisesta sijoituksesta pyytämättä lisätietoja ilmoituksen tehneeltä jäsenvaltiolta, lausunto on osoitettava ilmoituksen tehneelle jäsenvaltiolle viimeistään 45 kalenteripäivän kuluttua ulkomaista sijoitusta koskevan täydellisen ilmoituksen vastaanottamisesta;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130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8 artikla – 3 kohta – 1 alakohta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(c)</w:t>
            </w:r>
            <w:r w:rsidRPr="00163266">
              <w:tab/>
              <w:t xml:space="preserve">jos jäsenvaltio varaa itselleen oikeuden huomautusten esittämiseen ilmoitetusta ulkomaisesta sijoituksesta ja pyytää lisätietoja ilmoituksen tehneeltä </w:t>
            </w:r>
            <w:r w:rsidRPr="00163266">
              <w:lastRenderedPageBreak/>
              <w:t xml:space="preserve">jäsenvaltiolta, huomautukset on osoitettava ilmoituksen tehneelle jäsenvaltiolle </w:t>
            </w:r>
            <w:r w:rsidRPr="00163266">
              <w:rPr>
                <w:b/>
                <w:i/>
              </w:rPr>
              <w:t xml:space="preserve">12 artiklan 4 kohdassa tarkoitetun suojatun ja salatun järjestelmän kautta </w:t>
            </w:r>
            <w:r w:rsidRPr="00163266">
              <w:t>viimeistään 20 kalenteripäivän kuluttua täydellisten lisätietojen vastaanottamisesta;</w:t>
            </w:r>
          </w:p>
        </w:tc>
        <w:tc>
          <w:tcPr>
            <w:tcW w:w="4876" w:type="dxa"/>
            <w:hideMark/>
          </w:tcPr>
          <w:p w:rsidR="001E1179" w:rsidRPr="00163266" w:rsidRDefault="001E1179" w:rsidP="00F60C33">
            <w:pPr>
              <w:pStyle w:val="Normal6"/>
              <w:widowControl/>
              <w:rPr>
                <w:szCs w:val="24"/>
              </w:rPr>
            </w:pPr>
            <w:r w:rsidRPr="00163266">
              <w:lastRenderedPageBreak/>
              <w:t>(c)</w:t>
            </w:r>
            <w:r w:rsidRPr="00163266">
              <w:tab/>
              <w:t xml:space="preserve">jos jäsenvaltio varaa itselleen oikeuden huomautusten esittämiseen ilmoitetusta ulkomaisesta sijoituksesta ja pyytää lisätietoja ilmoituksen tehneeltä </w:t>
            </w:r>
            <w:r w:rsidRPr="00163266">
              <w:lastRenderedPageBreak/>
              <w:t>jäsenvaltiolta, huomautukset on osoitettava ilmoituksen tehneelle jäsenvaltiolle viimeistään 20 kalenteripäivän kuluttua täydellisten lisätietojen vastaanottamisesta;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131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8 artikla – 3 kohta – 1 alakohta – d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(d)</w:t>
            </w:r>
            <w:r w:rsidRPr="00163266">
              <w:tab/>
              <w:t xml:space="preserve">jos komissio varaa itselleen oikeuden lausunnon antamiseen ja pyytää lisätietoja ilmoituksen tehneeltä jäsenvaltiolta, lausunto on osoitettava ilmoituksen tehneelle jäsenvaltiolle </w:t>
            </w:r>
            <w:r w:rsidRPr="00163266">
              <w:rPr>
                <w:b/>
                <w:i/>
              </w:rPr>
              <w:t xml:space="preserve">12 artiklan 4 kohdassa tarkoitetun suojatun ja salatun järjestelmän kautta </w:t>
            </w:r>
            <w:r w:rsidRPr="00163266">
              <w:t>viimeistään 30 kalenteripäivän kuluttua täydellisten lisätietojen vastaanottamisesta.</w:t>
            </w:r>
          </w:p>
        </w:tc>
        <w:tc>
          <w:tcPr>
            <w:tcW w:w="4876" w:type="dxa"/>
            <w:hideMark/>
          </w:tcPr>
          <w:p w:rsidR="001E1179" w:rsidRPr="00163266" w:rsidRDefault="001E1179" w:rsidP="00F60C33">
            <w:pPr>
              <w:pStyle w:val="Normal6"/>
              <w:widowControl/>
              <w:rPr>
                <w:szCs w:val="24"/>
              </w:rPr>
            </w:pPr>
            <w:r w:rsidRPr="00163266">
              <w:t>(d)</w:t>
            </w:r>
            <w:r w:rsidRPr="00163266">
              <w:tab/>
              <w:t>jos komissio varaa itselleen oikeuden lausunnon antamiseen ja pyytää lisätietoja ilmoituksen tehneeltä jäsenvaltiolta, lausunto on osoitettava ilmoituksen tehneelle jäsenvaltiolle viimeistään 30 kalenteripäivän kuluttua täydellisten lisätietojen vastaanottamisesta.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132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8 artikla – 3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Ilmoituksen tehnyt jäsenvaltio voi tehdä seurantaa koskevan päätöksensä vasta a–d alakohdassa tarkoitettujen määräaikojen päättymisen jälkeen.</w:t>
            </w:r>
          </w:p>
        </w:tc>
        <w:tc>
          <w:tcPr>
            <w:tcW w:w="4876" w:type="dxa"/>
            <w:hideMark/>
          </w:tcPr>
          <w:p w:rsidR="001E1179" w:rsidRPr="00163266" w:rsidRDefault="001E1179" w:rsidP="00F60C33">
            <w:pPr>
              <w:pStyle w:val="Normal6"/>
              <w:widowControl/>
              <w:rPr>
                <w:szCs w:val="24"/>
              </w:rPr>
            </w:pPr>
            <w:r w:rsidRPr="00163266">
              <w:rPr>
                <w:b/>
                <w:i/>
              </w:rPr>
              <w:t>Poistetaan.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133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8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4.</w:t>
            </w:r>
            <w:r w:rsidRPr="00163266">
              <w:tab/>
              <w:t xml:space="preserve">Ilmoituksen tehneen jäsenvaltion on ilmoitettava komissiolle ja muille jäsenvaltioille </w:t>
            </w:r>
            <w:r w:rsidRPr="00163266">
              <w:rPr>
                <w:b/>
                <w:i/>
              </w:rPr>
              <w:t xml:space="preserve">12 artiklan 4 kohdassa tarkoitetun suojatun ja salatun järjestelmän kautta </w:t>
            </w:r>
            <w:r w:rsidRPr="00163266">
              <w:t xml:space="preserve">kaikki uudet </w:t>
            </w:r>
            <w:r w:rsidRPr="00163266">
              <w:lastRenderedPageBreak/>
              <w:t xml:space="preserve">olennaiset tiedot tai olosuhteet, jotka ovat merkityksellisiä 5 artiklan mukaisesti jo ilmoitetun ulkomaisen sijoituksen arvioinnin kannalta. Jos nämä tiedot asetetaan saataville ennen 3 kohdassa säädettyjen määräaikojen päättymistä, ilmoituksen tehneen jäsenvaltion, komission ja muiden jäsenvaltioiden on </w:t>
            </w:r>
            <w:r w:rsidRPr="00163266">
              <w:rPr>
                <w:b/>
                <w:i/>
              </w:rPr>
              <w:t>pyrittävä sopimaan</w:t>
            </w:r>
            <w:r w:rsidRPr="00163266">
              <w:t xml:space="preserve"> määräajan pidentämisestä, jonka kaikki osapuolet voivat hyväksyä. Jos 3 kohdassa säädetyt alkuperäisen ilmoituksen arviointiin sovellettavat määräajat ovat päättyneet, niitä jatketaan 3 kohdan c ja d alakohdassa vahvistettujen määräaikojen mukaisesti.</w:t>
            </w:r>
          </w:p>
        </w:tc>
        <w:tc>
          <w:tcPr>
            <w:tcW w:w="4876" w:type="dxa"/>
            <w:hideMark/>
          </w:tcPr>
          <w:p w:rsidR="001E1179" w:rsidRPr="00163266" w:rsidRDefault="001E1179" w:rsidP="00F60C33">
            <w:pPr>
              <w:pStyle w:val="Normal6"/>
              <w:widowControl/>
              <w:rPr>
                <w:szCs w:val="24"/>
              </w:rPr>
            </w:pPr>
            <w:r w:rsidRPr="00163266">
              <w:lastRenderedPageBreak/>
              <w:t>4.</w:t>
            </w:r>
            <w:r w:rsidRPr="00163266">
              <w:tab/>
              <w:t xml:space="preserve">Ilmoituksen tehneen jäsenvaltion on ilmoitettava komissiolle ja muille jäsenvaltioille kaikki uudet olennaiset tiedot tai olosuhteet, jotka ovat merkityksellisiä 5 artiklan mukaisesti jo </w:t>
            </w:r>
            <w:r w:rsidRPr="00163266">
              <w:lastRenderedPageBreak/>
              <w:t xml:space="preserve">ilmoitetun ulkomaisen sijoituksen arvioinnin kannalta. Jos nämä tiedot asetetaan saataville ennen 3 kohdassa säädettyjen määräaikojen päättymistä, ilmoituksen tehneen jäsenvaltion, komission ja muiden jäsenvaltioiden on </w:t>
            </w:r>
            <w:r w:rsidRPr="00163266">
              <w:rPr>
                <w:b/>
                <w:i/>
              </w:rPr>
              <w:t>sovittava</w:t>
            </w:r>
            <w:r w:rsidRPr="00163266">
              <w:t xml:space="preserve"> määräajan pidentämisestä, jonka kaikki osapuolet voivat hyväksyä. Jos 3 kohdassa säädetyt alkuperäisen ilmoituksen arviointiin sovellettavat määräajat ovat päättyneet, niitä jatketaan 3 kohdan c ja d alakohdassa vahvistettujen määräaikojen mukaisesti.</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134</w:t>
      </w:r>
    </w:p>
    <w:p w:rsidR="001E1179" w:rsidRPr="00163266" w:rsidRDefault="001E1179" w:rsidP="00DB5590">
      <w:pPr>
        <w:pStyle w:val="NormalBold"/>
        <w:keepNext/>
        <w:widowControl/>
        <w:spacing w:before="240"/>
      </w:pPr>
      <w:r w:rsidRPr="00163266">
        <w:t>Ehdotus asetukseksi</w:t>
      </w:r>
    </w:p>
    <w:p w:rsidR="001E1179" w:rsidRPr="00163266" w:rsidRDefault="001E1179" w:rsidP="001E1179">
      <w:pPr>
        <w:pStyle w:val="NormalBold"/>
        <w:widowControl/>
      </w:pPr>
      <w:r w:rsidRPr="00163266">
        <w:t>8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5.</w:t>
            </w:r>
            <w:r w:rsidRPr="00163266">
              <w:tab/>
              <w:t>Ilmoituksen tehneen jäsenvaltion on toimitettava komission tai muiden jäsenvaltioiden 2 kohdan nojalla pyytämät täydelliset lisätiedot ilman aiheetonta viivytystä</w:t>
            </w:r>
            <w:r w:rsidRPr="00163266">
              <w:rPr>
                <w:b/>
                <w:i/>
              </w:rPr>
              <w:t xml:space="preserve"> 12 artiklan 4 kohdassa tarkoitetun suojatun ja salatun järjestelmän kautta</w:t>
            </w:r>
            <w:r w:rsidRPr="00163266">
              <w:t>. Jos ilmoituksen tehnyt jäsenvaltio toimittaa lisätietoja jäsenvaltiolle, tällaiset lisätiedot on lähetettävä samanaikaisesti komissiolle.</w:t>
            </w:r>
          </w:p>
        </w:tc>
        <w:tc>
          <w:tcPr>
            <w:tcW w:w="4876" w:type="dxa"/>
            <w:hideMark/>
          </w:tcPr>
          <w:p w:rsidR="001E1179" w:rsidRPr="00163266" w:rsidRDefault="001E1179" w:rsidP="00F60C33">
            <w:pPr>
              <w:pStyle w:val="Normal6"/>
              <w:widowControl/>
              <w:rPr>
                <w:szCs w:val="24"/>
              </w:rPr>
            </w:pPr>
            <w:r w:rsidRPr="00163266">
              <w:t>5.</w:t>
            </w:r>
            <w:r w:rsidRPr="00163266">
              <w:tab/>
              <w:t>Ilmoituksen tehneen jäsenvaltion on toimitettava komission tai muiden jäsenvaltioiden 2 kohdan nojalla pyytämät täydelliset lisätiedot ilman aiheetonta viivytystä. Jos ilmoituksen tehnyt jäsenvaltio toimittaa lisätietoja jäsenvaltiolle, tällaiset lisätiedot on lähetettävä samanaikaisesti komissiolle.</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135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8 artikla – 7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7 a.</w:t>
            </w:r>
            <w:r w:rsidRPr="00163266">
              <w:rPr>
                <w:b/>
                <w:i/>
              </w:rPr>
              <w:tab/>
              <w:t>Jäsenvaltioiden ja komission välisiin 7 artiklan 6–9 kohdan mukaisiin kuulemisiin sovelletaan seuraavia määräaikoja: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(a)</w:t>
            </w:r>
            <w:r w:rsidRPr="00163266">
              <w:tab/>
            </w:r>
            <w:r w:rsidRPr="00163266">
              <w:rPr>
                <w:b/>
                <w:i/>
              </w:rPr>
              <w:t xml:space="preserve">Edellä 7 artiklan 6 kohdassa tarkoitettu kokous on järjestettävä 20 kalenteripäivän kuluessa siitä, kun vastaanottava jäsenvaltio on </w:t>
            </w:r>
            <w:r w:rsidRPr="00163266">
              <w:rPr>
                <w:b/>
                <w:i/>
              </w:rPr>
              <w:lastRenderedPageBreak/>
              <w:t>vastaanottanut viimeisen 7 artiklan mukaisesti annettavan huomautuksen tai lausunnon sen mukaan, kumpi näistä ajankohdista on myöhäisempi;</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(b)</w:t>
            </w:r>
            <w:r w:rsidRPr="00163266">
              <w:tab/>
            </w:r>
            <w:r w:rsidRPr="00163266">
              <w:rPr>
                <w:b/>
                <w:i/>
              </w:rPr>
              <w:t>vastaanottavan jäsenvaltion on toimitettava 7 artiklan 8 kohdan mukaisesti päätösluonnoksensa kymmenen kalenteripäivän kuluessa 7 artiklan 6 kohdassa tarkoitetusta kokouksesta;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(c)</w:t>
            </w:r>
            <w:r w:rsidRPr="00163266">
              <w:tab/>
            </w:r>
            <w:r w:rsidRPr="00163266">
              <w:rPr>
                <w:b/>
                <w:i/>
              </w:rPr>
              <w:t>jäsenvaltion tai komission 7 artiklan 9 kohdan mukainen vastalause on esitettävä kymmenen kalenteripäivän kuluessa siitä, kun 7 artiklan 8 kohdan mukainen seurantaa koskeva päätösluonnos on vastaanotettu;</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136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8 artikla – 7 b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7 b.</w:t>
            </w:r>
            <w:r w:rsidRPr="00163266">
              <w:rPr>
                <w:b/>
                <w:i/>
              </w:rPr>
              <w:tab/>
              <w:t>Ilmoitettujen ulkomaisten sijoitusten seurantaa koskevien päätösten tekemiseen ja niistä ilmoittamiseen sovelletaan seuraavia määräaikoja: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(a)</w:t>
            </w:r>
            <w:r w:rsidRPr="00163266">
              <w:tab/>
            </w:r>
            <w:r w:rsidRPr="00163266">
              <w:rPr>
                <w:b/>
                <w:i/>
              </w:rPr>
              <w:t>ilmoituksen tehnyt jäsenvaltio voi tehdä seurantaa koskevan päätöksensä vasta tämän artiklan 3 kohdan a–d alakohdassa tarkoitettujen määräaikojen päättymisen jälkeen;</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(b)</w:t>
            </w:r>
            <w:r w:rsidRPr="00163266">
              <w:tab/>
            </w:r>
            <w:r w:rsidRPr="00163266">
              <w:rPr>
                <w:b/>
                <w:i/>
              </w:rPr>
              <w:t>jos jäsenvaltiot eivät ole varanneet itselleen oikeutta esittää huomautuksia tai antaa lausuntoa tämän artiklan 1 kohdan mukaisten määräaikojen kuluessa eikä komissiokaan ole sitä tehnyt, ilmoituksen tehneen jäsenvaltion on tehtävä seurantaa koskeva päätöksensä 60 kalenteripäivän kuluessa ilmoituspäivästä;</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 xml:space="preserve">(c </w:t>
            </w:r>
            <w:r w:rsidRPr="00163266">
              <w:tab/>
            </w:r>
            <w:r w:rsidRPr="00163266">
              <w:rPr>
                <w:b/>
                <w:i/>
              </w:rPr>
              <w:t>vastaanottavan jäsenvaltion ja 7 artiklan 9 kohdan mukaisen vastalauseen esittävän jäsenvaltion on toimitettava vastalauseen esittämisen jälkeen 7 artiklan 9 a kohdassa tarkoitetut tiedot viiden kalenteripäivän kuluessa;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(d)</w:t>
            </w:r>
            <w:r w:rsidRPr="00163266">
              <w:tab/>
            </w:r>
            <w:r w:rsidRPr="00163266">
              <w:rPr>
                <w:b/>
                <w:i/>
              </w:rPr>
              <w:t>kun komissio on tehnyt 7 artiklan 9 b kohdan mukaisen päätöksen, vastaanottavan jäsenvaltion on tehtävä seurantaa koskeva päätöksensä 15 kalenteripäivän kuluessa 7 artiklan 9 d kohdassa tarkoitetusta ilmoituksesta;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(e)</w:t>
            </w:r>
            <w:r w:rsidRPr="00163266">
              <w:tab/>
            </w:r>
            <w:r w:rsidRPr="00163266">
              <w:rPr>
                <w:b/>
                <w:i/>
              </w:rPr>
              <w:t>seurantaa koskevasta päätöksestä on ilmoitettava 7 artiklan 9 f kohdan mukaisesti kolmen kalenteripäivän kuluessa.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137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8 artikla – 7 c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7 c.</w:t>
            </w:r>
            <w:r w:rsidRPr="00163266">
              <w:rPr>
                <w:b/>
                <w:i/>
              </w:rPr>
              <w:tab/>
              <w:t>Komission 7 artiklan 9 b ja 9 c kohdan mukaisen päätöksen tekemiseen ja siitä ilmoittamiseen sovelletaan seuraavia määräaikoja: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(a)</w:t>
            </w:r>
            <w:r w:rsidRPr="00163266">
              <w:tab/>
            </w:r>
            <w:r w:rsidRPr="00163266">
              <w:rPr>
                <w:b/>
                <w:i/>
              </w:rPr>
              <w:t>komission on tehtävä päätöksensä 20 kalenteripäivän kuluessa siitä, kun se on vastaanottanut 7 artiklan 9 a kohdassa tarkoitetut täydelliset tiedot;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(b)</w:t>
            </w:r>
            <w:r w:rsidRPr="00163266">
              <w:tab/>
            </w:r>
            <w:r w:rsidRPr="00163266">
              <w:rPr>
                <w:b/>
                <w:i/>
              </w:rPr>
              <w:t>Edellä 7 artiklan 9 d kohdan mukainen ilmoitus on tehtävä kolmen kalenteripäivän kuluessa.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Tämän artiklan 7 a kohdan a ja b alakohdassa, 7 b kohdan b alakohdassa ja 7 c kohdan a alakohdassa tarkoitettuja määräaikoja jatketaan tarpeen mukaan enintään yhteensä 30 kalenteripäivää, jotta vastaanottava jäsenvaltio tai tarvittaessa komissio ja ulkomainen sijoittaja voivat sopia riskejä lieventävistä toimenpiteistä. Komission ja ulkomaisen sijoittajan väliset neuvottelut riskejä lieventävistä toimenpiteistä käydään yhteistyössä vastaanottavan jäsenvaltion kanssa.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138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8 artikla – 8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8.</w:t>
            </w:r>
            <w:r w:rsidRPr="00163266">
              <w:tab/>
              <w:t>Jos ilmoituksen tehnyt jäsenvaltio katsoo poikkeuksellisten olosuhteiden vuoksi, että sen turvallisuus tai yleinen järjestys edellyttää seurantaa koskevan päätöksen tekemistä ennen 3 kohdassa tarkoitettujen määräaikojen päättymistä, sen on ilmoitettava aikomuksestaan muille jäsenvaltioille ja komissiolle ja perusteltava asianmukaisesti tarve välittömiin toimiin. Muut jäsenvaltiot esittävät huomautuksia ja komissio antaa lausunnon viipymättä. Tätä menettelyä ei saa käyttää pelkästään luvanhakijan taloudellisten etujen palvelemiseksi.</w:t>
            </w:r>
          </w:p>
        </w:tc>
        <w:tc>
          <w:tcPr>
            <w:tcW w:w="4876" w:type="dxa"/>
            <w:hideMark/>
          </w:tcPr>
          <w:p w:rsidR="001E1179" w:rsidRPr="00163266" w:rsidRDefault="001E1179" w:rsidP="00F60C33">
            <w:pPr>
              <w:pStyle w:val="Normal6"/>
              <w:widowControl/>
              <w:rPr>
                <w:szCs w:val="24"/>
              </w:rPr>
            </w:pPr>
            <w:r w:rsidRPr="00163266">
              <w:t>8.</w:t>
            </w:r>
            <w:r w:rsidRPr="00163266">
              <w:tab/>
              <w:t xml:space="preserve">Jos ilmoituksen tehnyt jäsenvaltio katsoo poikkeuksellisten olosuhteiden vuoksi, että sen turvallisuus tai yleinen järjestys edellyttää seurantaa koskevan päätöksen tekemistä </w:t>
            </w:r>
            <w:r w:rsidRPr="00163266">
              <w:rPr>
                <w:b/>
                <w:i/>
              </w:rPr>
              <w:t xml:space="preserve">14 artiklan 1 kohdan mukaisesti </w:t>
            </w:r>
            <w:r w:rsidRPr="00163266">
              <w:t>ennen 3 kohdassa tarkoitettujen määräaikojen päättymistä, sen on ilmoitettava aikomuksestaan muille jäsenvaltioille ja komissiolle ja perusteltava asianmukaisesti tarve välittömiin toimiin. Muut jäsenvaltiot esittävät huomautuksia ja komissio antaa lausunnon viipymättä. Tätä menettelyä ei saa käyttää pelkästään luvanhakijan taloudellisten etujen palvelemiseksi.</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139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9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1.</w:t>
            </w:r>
            <w:r w:rsidRPr="00163266">
              <w:tab/>
              <w:t xml:space="preserve">Jos jäsenvaltio katsoo, että toisen jäsenvaltion alueelle tehty ulkomainen sijoitus, josta ei ole ilmoitettu yhteistyömekanismiin, todennäköisesti vaikuttaa kielteisesti sen turvallisuuteen tai yleiseen järjestykseen, </w:t>
            </w:r>
            <w:r w:rsidRPr="00163266">
              <w:rPr>
                <w:b/>
                <w:i/>
              </w:rPr>
              <w:t>se</w:t>
            </w:r>
            <w:r w:rsidRPr="00163266">
              <w:t xml:space="preserve"> voi aloittaa kyseistä ulkomaista sijoitusta koskevan oma-aloitteisen menettelyn. Ennen menettelyn aloittamista jäsenvaltion on tarkistettava, että </w:t>
            </w:r>
            <w:r w:rsidRPr="00163266">
              <w:rPr>
                <w:b/>
                <w:i/>
              </w:rPr>
              <w:t>jäsenvaltio, jossa sijoitus on suunniteltu toteutettavaksi tai toteutettu,</w:t>
            </w:r>
            <w:r w:rsidRPr="00163266">
              <w:t xml:space="preserve"> ei aio ilmoittaa ulkomaista sijoitusta yhteistyömekanismiin.</w:t>
            </w:r>
          </w:p>
        </w:tc>
        <w:tc>
          <w:tcPr>
            <w:tcW w:w="4876" w:type="dxa"/>
            <w:hideMark/>
          </w:tcPr>
          <w:p w:rsidR="001E1179" w:rsidRPr="00163266" w:rsidRDefault="001E1179" w:rsidP="00F60C33">
            <w:pPr>
              <w:pStyle w:val="Normal6"/>
              <w:widowControl/>
              <w:rPr>
                <w:szCs w:val="24"/>
              </w:rPr>
            </w:pPr>
            <w:r w:rsidRPr="00163266">
              <w:t>1.</w:t>
            </w:r>
            <w:r w:rsidRPr="00163266">
              <w:tab/>
              <w:t>Jos jäsenvaltio katsoo, että toisen jäsenvaltion alueelle tehty ulkomainen sijoitus, josta ei ole ilmoitettu yhteistyömekanismiin, todennäköisesti vaikuttaa kielteisesti sen turvallisuuteen tai yleiseen järjestykseen</w:t>
            </w:r>
            <w:r w:rsidRPr="00163266">
              <w:rPr>
                <w:b/>
                <w:i/>
              </w:rPr>
              <w:t xml:space="preserve"> tai jos komissio katsoo</w:t>
            </w:r>
            <w:r w:rsidRPr="00163266">
              <w:t xml:space="preserve">, </w:t>
            </w:r>
            <w:r w:rsidRPr="00163266">
              <w:rPr>
                <w:b/>
                <w:i/>
              </w:rPr>
              <w:t>että tällainen ulkomainen sijoitus todennäköisesti vaikuttaa kielteisesti useamman kuin yhden jäsenvaltion turvallisuuteen tai yleiseen järjestykseen taikka unionin etua koskeviin hankkeisiin tai ohjelmiin turvallisuuteen tai yleiseen järjestykseen liittyvistä syistä, kyseinen jäsenvaltio tai komissio</w:t>
            </w:r>
            <w:r w:rsidRPr="00163266">
              <w:t xml:space="preserve"> voi aloittaa kyseistä ulkomaista sijoitusta koskevan oma-aloitteisen menettelyn. Ennen menettelyn aloittamista jäsenvaltion </w:t>
            </w:r>
            <w:r w:rsidRPr="00163266">
              <w:rPr>
                <w:b/>
                <w:i/>
              </w:rPr>
              <w:t xml:space="preserve">tai komission </w:t>
            </w:r>
            <w:r w:rsidRPr="00163266">
              <w:t xml:space="preserve">on tarkistettava, että </w:t>
            </w:r>
            <w:r w:rsidRPr="00163266">
              <w:rPr>
                <w:b/>
                <w:i/>
              </w:rPr>
              <w:t>vastaanottava jäsenvaltio</w:t>
            </w:r>
            <w:r w:rsidRPr="00163266">
              <w:t xml:space="preserve"> ei aio ilmoittaa ulkomaista sijoitusta yhteistyömekanismiin.</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140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9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w:t>
            </w:r>
            <w:r w:rsidRPr="00163266">
              <w:tab/>
              <w:t xml:space="preserve">Jäsenvaltioilla on oltava </w:t>
            </w:r>
            <w:r w:rsidRPr="00163266">
              <w:rPr>
                <w:b/>
                <w:i/>
              </w:rPr>
              <w:t>vähintään</w:t>
            </w:r>
            <w:r w:rsidRPr="00163266">
              <w:t xml:space="preserve"> 15 kuukautta siitä, kun ulkomainen sijoitus on toteutettu, aikaa aloittaa 1 kohdassa säädetty menettely edellyttäen, että asianomaista ulkomaista sijoitusta ei tällä välin ole ilmoitettu yhteistyömekanismiin.</w:t>
            </w:r>
          </w:p>
        </w:tc>
        <w:tc>
          <w:tcPr>
            <w:tcW w:w="4876" w:type="dxa"/>
            <w:hideMark/>
          </w:tcPr>
          <w:p w:rsidR="001E1179" w:rsidRPr="00163266" w:rsidRDefault="001E1179" w:rsidP="00F60C33">
            <w:pPr>
              <w:pStyle w:val="Normal6"/>
              <w:widowControl/>
              <w:rPr>
                <w:szCs w:val="24"/>
              </w:rPr>
            </w:pPr>
            <w:r w:rsidRPr="00163266">
              <w:t>2.</w:t>
            </w:r>
            <w:r w:rsidRPr="00163266">
              <w:tab/>
              <w:t xml:space="preserve">Jäsenvaltioilla </w:t>
            </w:r>
            <w:r w:rsidRPr="00163266">
              <w:rPr>
                <w:b/>
                <w:i/>
              </w:rPr>
              <w:t xml:space="preserve">ja komissiolla </w:t>
            </w:r>
            <w:r w:rsidRPr="00163266">
              <w:t xml:space="preserve">on oltava </w:t>
            </w:r>
            <w:r w:rsidRPr="00163266">
              <w:rPr>
                <w:b/>
                <w:i/>
              </w:rPr>
              <w:t>enintään</w:t>
            </w:r>
            <w:r w:rsidRPr="00163266">
              <w:t xml:space="preserve"> 15 kuukautta siitä, kun ulkomainen sijoitus on toteutettu, aikaa aloittaa 1 kohdassa säädetty menettely edellyttäen, että asianomaista ulkomaista sijoitusta ei tällä välin ole ilmoitettu yhteistyömekanismiin.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141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9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3.</w:t>
            </w:r>
            <w:r w:rsidRPr="00163266">
              <w:rPr>
                <w:b/>
                <w:i/>
              </w:rPr>
              <w:tab/>
              <w:t>Komissio voi aloittaa oma-aloitteisen menettelyn, jos se katsoo, että jäsenvaltion alueelle tehty ulkomainen sijoitus, josta ei ole ilmoitettu yhteistyömekanismiin, kuuluu 7 artiklan 2 kohdan soveltamisalaan. Ennen menettelyn aloittamista komissio tarkistaa, että jäsenvaltio, jossa sijoitus on suunniteltu toteutettavaksi tai toteutettu, ei aio ilmoittaa ulkomaista sijoitusta yhteistyömekanismiin.</w:t>
            </w:r>
          </w:p>
        </w:tc>
        <w:tc>
          <w:tcPr>
            <w:tcW w:w="4876" w:type="dxa"/>
            <w:hideMark/>
          </w:tcPr>
          <w:p w:rsidR="001E1179" w:rsidRPr="00163266" w:rsidRDefault="001E1179" w:rsidP="00F60C33">
            <w:pPr>
              <w:pStyle w:val="Normal6"/>
              <w:widowControl/>
              <w:rPr>
                <w:szCs w:val="24"/>
              </w:rPr>
            </w:pPr>
            <w:r w:rsidRPr="00163266">
              <w:rPr>
                <w:b/>
                <w:i/>
              </w:rPr>
              <w:t>Poistetaan.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142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9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4.</w:t>
            </w:r>
            <w:r w:rsidRPr="00163266">
              <w:rPr>
                <w:b/>
                <w:i/>
              </w:rPr>
              <w:tab/>
              <w:t>Komissiolla on vähintään 15 kuukautta siitä, kun ulkomainen sijoitus on toteutettu, aikaa aloittaa 3 kohdassa säädetty menettely edellyttäen, että asianomaista ulkomaista sijoitusta ei tällä välin ole ilmoitettu yhteistyömekanismiin.</w:t>
            </w:r>
          </w:p>
        </w:tc>
        <w:tc>
          <w:tcPr>
            <w:tcW w:w="4876" w:type="dxa"/>
            <w:hideMark/>
          </w:tcPr>
          <w:p w:rsidR="001E1179" w:rsidRPr="00163266" w:rsidRDefault="001E1179" w:rsidP="00F60C33">
            <w:pPr>
              <w:pStyle w:val="Normal6"/>
              <w:widowControl/>
              <w:rPr>
                <w:szCs w:val="24"/>
              </w:rPr>
            </w:pPr>
            <w:r w:rsidRPr="00163266">
              <w:rPr>
                <w:b/>
                <w:i/>
              </w:rPr>
              <w:t>Poistetaan.</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143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9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5.</w:t>
            </w:r>
            <w:r w:rsidRPr="00163266">
              <w:tab/>
              <w:t xml:space="preserve">Jäsenvaltiot tai komissio aloittavat </w:t>
            </w:r>
            <w:r w:rsidRPr="00163266">
              <w:rPr>
                <w:b/>
                <w:i/>
              </w:rPr>
              <w:t xml:space="preserve">1 ja 3 kohdassa säädetyn </w:t>
            </w:r>
            <w:r w:rsidRPr="00163266">
              <w:t xml:space="preserve">oma-aloitteisen menettelyn lähettämällä </w:t>
            </w:r>
            <w:r w:rsidRPr="00163266">
              <w:rPr>
                <w:b/>
                <w:i/>
              </w:rPr>
              <w:t>sille</w:t>
            </w:r>
            <w:r w:rsidRPr="00163266">
              <w:t xml:space="preserve"> jäsenvaltiolle</w:t>
            </w:r>
            <w:r w:rsidRPr="00163266">
              <w:rPr>
                <w:b/>
                <w:i/>
              </w:rPr>
              <w:t>, jossa ulkomainen sijoitus on suunniteltu toteutettavaksi tai on toteutettu,</w:t>
            </w:r>
            <w:r w:rsidRPr="00163266">
              <w:t xml:space="preserve"> asianmukaisesti perustellun tietopyynnön</w:t>
            </w:r>
            <w:r w:rsidRPr="00163266">
              <w:rPr>
                <w:b/>
                <w:i/>
              </w:rPr>
              <w:t xml:space="preserve"> 12 artiklan 4 kohdassa tarkoitetun suojatun ja salatun järjestelmän kautta</w:t>
            </w:r>
            <w:r w:rsidRPr="00163266">
              <w:t xml:space="preserve">. Tämän kohdan mukainen tietopyyntö on perusteltava asianmukaisesti, sen on rajoituttava tietoihin, jotka ovat tarpeen, jotta jäsenvaltiot voivat esittää huomautuksia tai komissio voi antaa lausunnon, sen on oltava oikeassa suhteessa pyynnön tarkoitukseen, eikä siitä saa aiheutua kohtuutonta rasitetta </w:t>
            </w:r>
            <w:r w:rsidRPr="00163266">
              <w:rPr>
                <w:b/>
                <w:i/>
              </w:rPr>
              <w:t>ilmoituksen tehneelle</w:t>
            </w:r>
            <w:r w:rsidRPr="00163266">
              <w:t xml:space="preserve"> jäsenvaltiolle. Jos tietopyynnön esittää jäsenvaltio, kyseisen jäsenvaltion on lähetettävä pyyntö samanaikaisesti komissiolle.</w:t>
            </w:r>
          </w:p>
        </w:tc>
        <w:tc>
          <w:tcPr>
            <w:tcW w:w="4876" w:type="dxa"/>
            <w:hideMark/>
          </w:tcPr>
          <w:p w:rsidR="001E1179" w:rsidRPr="00163266" w:rsidRDefault="001E1179" w:rsidP="00F60C33">
            <w:pPr>
              <w:pStyle w:val="Normal6"/>
              <w:widowControl/>
              <w:rPr>
                <w:szCs w:val="24"/>
              </w:rPr>
            </w:pPr>
            <w:r w:rsidRPr="00163266">
              <w:t>5.</w:t>
            </w:r>
            <w:r w:rsidRPr="00163266">
              <w:tab/>
              <w:t xml:space="preserve">Jäsenvaltiot tai komissio aloittavat oma-aloitteisen menettelyn lähettämällä </w:t>
            </w:r>
            <w:r w:rsidRPr="00163266">
              <w:rPr>
                <w:b/>
                <w:i/>
              </w:rPr>
              <w:t>vastaanottavalle</w:t>
            </w:r>
            <w:r w:rsidRPr="00163266">
              <w:t xml:space="preserve"> jäsenvaltiolle asianmukaisesti perustellun tietopyynnön. Tämän kohdan mukainen tietopyyntö on perusteltava asianmukaisesti, sen on rajoituttava tietoihin, jotka ovat tarpeen, jotta jäsenvaltiot voivat esittää huomautuksia tai komissio voi antaa lausunnon, sen on oltava oikeassa suhteessa pyynnön tarkoitukseen, eikä siitä saa aiheutua kohtuutonta rasitetta </w:t>
            </w:r>
            <w:r w:rsidRPr="00163266">
              <w:rPr>
                <w:b/>
                <w:i/>
              </w:rPr>
              <w:t>vastaanottavalle</w:t>
            </w:r>
            <w:r w:rsidRPr="00163266">
              <w:t xml:space="preserve"> jäsenvaltiolle. Jos tietopyynnön esittää jäsenvaltio, kyseisen jäsenvaltion on lähetettävä pyyntö samanaikaisesti komissiolle.</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144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9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6.</w:t>
            </w:r>
            <w:r w:rsidRPr="00163266">
              <w:tab/>
              <w:t>Jäsenvaltion</w:t>
            </w:r>
            <w:r w:rsidRPr="00163266">
              <w:rPr>
                <w:b/>
                <w:i/>
              </w:rPr>
              <w:t>, jossa sijoitus on suunniteltu toteutettavaksi tai on toteutettu,</w:t>
            </w:r>
            <w:r w:rsidRPr="00163266">
              <w:t xml:space="preserve"> on toimitettava muiden jäsenvaltioiden tai komission 5 kohdan nojalla pyytämät täydelliset tiedot ilman aiheetonta viivytystä</w:t>
            </w:r>
            <w:r w:rsidRPr="00163266">
              <w:rPr>
                <w:b/>
                <w:i/>
              </w:rPr>
              <w:t xml:space="preserve"> 12 artiklan 4 kohdassa tarkoitetun suojatun ja salatun järjestelmän kautta</w:t>
            </w:r>
            <w:r w:rsidRPr="00163266">
              <w:t xml:space="preserve">. Jos </w:t>
            </w:r>
            <w:r w:rsidRPr="00163266">
              <w:rPr>
                <w:b/>
                <w:i/>
              </w:rPr>
              <w:t>ilmoituksen tehnyt</w:t>
            </w:r>
            <w:r w:rsidRPr="00163266">
              <w:t xml:space="preserve"> jäsenvaltio toimittaa </w:t>
            </w:r>
            <w:r w:rsidRPr="00163266">
              <w:rPr>
                <w:b/>
                <w:i/>
              </w:rPr>
              <w:t>lisätietoja</w:t>
            </w:r>
            <w:r w:rsidRPr="00163266">
              <w:t xml:space="preserve"> jäsenvaltiolle, </w:t>
            </w:r>
            <w:r w:rsidRPr="00163266">
              <w:rPr>
                <w:b/>
                <w:i/>
              </w:rPr>
              <w:t>tällaiset lisätiedot</w:t>
            </w:r>
            <w:r w:rsidRPr="00163266">
              <w:t xml:space="preserve"> on lähetettävä samanaikaisesti komissiolle.</w:t>
            </w:r>
          </w:p>
        </w:tc>
        <w:tc>
          <w:tcPr>
            <w:tcW w:w="4876" w:type="dxa"/>
            <w:hideMark/>
          </w:tcPr>
          <w:p w:rsidR="001E1179" w:rsidRPr="00163266" w:rsidRDefault="001E1179" w:rsidP="00F60C33">
            <w:pPr>
              <w:pStyle w:val="Normal6"/>
              <w:widowControl/>
              <w:rPr>
                <w:szCs w:val="24"/>
              </w:rPr>
            </w:pPr>
            <w:r w:rsidRPr="00163266">
              <w:t>6.</w:t>
            </w:r>
            <w:r w:rsidRPr="00163266">
              <w:tab/>
            </w:r>
            <w:r w:rsidRPr="00163266">
              <w:rPr>
                <w:b/>
                <w:i/>
              </w:rPr>
              <w:t xml:space="preserve">Vastaanottavan </w:t>
            </w:r>
            <w:r w:rsidRPr="00163266">
              <w:t xml:space="preserve">jäsenvaltion on toimitettava muiden jäsenvaltioiden tai komission 5 kohdan nojalla pyytämät täydelliset tiedot ilman aiheetonta viivytystä. Jos </w:t>
            </w:r>
            <w:r w:rsidRPr="00163266">
              <w:rPr>
                <w:b/>
                <w:i/>
              </w:rPr>
              <w:t>vastaanottava</w:t>
            </w:r>
            <w:r w:rsidRPr="00163266">
              <w:t xml:space="preserve"> jäsenvaltio toimittaa </w:t>
            </w:r>
            <w:r w:rsidRPr="00163266">
              <w:rPr>
                <w:b/>
                <w:i/>
              </w:rPr>
              <w:t>tällaiset tiedot</w:t>
            </w:r>
            <w:r w:rsidRPr="00163266">
              <w:t xml:space="preserve"> jäsenvaltiolle, </w:t>
            </w:r>
            <w:r w:rsidRPr="00163266">
              <w:rPr>
                <w:b/>
                <w:i/>
              </w:rPr>
              <w:t>ne</w:t>
            </w:r>
            <w:r w:rsidRPr="00163266">
              <w:t xml:space="preserve"> on lähetettävä samanaikaisesti komissiolle.</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145</w:t>
      </w:r>
    </w:p>
    <w:p w:rsidR="001E1179" w:rsidRPr="00163266" w:rsidRDefault="001E1179" w:rsidP="001E1179">
      <w:pPr>
        <w:widowControl/>
      </w:pPr>
    </w:p>
    <w:p w:rsidR="001E1179" w:rsidRPr="00163266" w:rsidRDefault="001E1179" w:rsidP="001E1179">
      <w:pPr>
        <w:pStyle w:val="NormalBold"/>
        <w:keepNext/>
        <w:widowControl/>
      </w:pPr>
      <w:r w:rsidRPr="00163266">
        <w:lastRenderedPageBreak/>
        <w:t>Ehdotus asetukseksi</w:t>
      </w:r>
    </w:p>
    <w:p w:rsidR="001E1179" w:rsidRPr="00163266" w:rsidRDefault="001E1179" w:rsidP="001E1179">
      <w:pPr>
        <w:pStyle w:val="NormalBold"/>
        <w:widowControl/>
      </w:pPr>
      <w:r w:rsidRPr="00163266">
        <w:t>9 artikla – 7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7.</w:t>
            </w:r>
            <w:r w:rsidRPr="00163266">
              <w:tab/>
              <w:t xml:space="preserve">Vastaanotettuaan 6 kohdassa tarkoitetut tiedot jäsenvaltiot voivat esittää huomautuksia ja komissio voi antaa lausunnon jäsenvaltiolle, </w:t>
            </w:r>
            <w:r w:rsidRPr="00163266">
              <w:rPr>
                <w:b/>
                <w:i/>
              </w:rPr>
              <w:t>jossa sijoitus</w:t>
            </w:r>
            <w:r w:rsidRPr="00163266">
              <w:t xml:space="preserve"> on </w:t>
            </w:r>
            <w:r w:rsidRPr="00163266">
              <w:rPr>
                <w:b/>
                <w:i/>
              </w:rPr>
              <w:t>suunniteltu toteutettavaksi tai on toteutettu. Sovelletaan soveltuvin osin 7 ja 8 artiklan mukaisia sääntöjä ja menettelyjä seuraavin muutoksin:</w:t>
            </w:r>
          </w:p>
        </w:tc>
        <w:tc>
          <w:tcPr>
            <w:tcW w:w="4876" w:type="dxa"/>
            <w:hideMark/>
          </w:tcPr>
          <w:p w:rsidR="001E1179" w:rsidRPr="00163266" w:rsidRDefault="001E1179" w:rsidP="00F60C33">
            <w:pPr>
              <w:pStyle w:val="Normal6"/>
              <w:widowControl/>
              <w:rPr>
                <w:szCs w:val="24"/>
              </w:rPr>
            </w:pPr>
            <w:r w:rsidRPr="00163266">
              <w:t>7.</w:t>
            </w:r>
            <w:r w:rsidRPr="00163266">
              <w:tab/>
              <w:t xml:space="preserve">Vastaanotettuaan 6 kohdassa tarkoitetut tiedot jäsenvaltiot voivat esittää huomautuksia ja komissio voi antaa lausunnon </w:t>
            </w:r>
            <w:r w:rsidRPr="00163266">
              <w:rPr>
                <w:b/>
                <w:i/>
              </w:rPr>
              <w:t xml:space="preserve">vastaanottavalle </w:t>
            </w:r>
            <w:r w:rsidRPr="00163266">
              <w:t>jäsenvaltiolle</w:t>
            </w:r>
            <w:r w:rsidRPr="00163266">
              <w:rPr>
                <w:b/>
                <w:i/>
              </w:rPr>
              <w:t xml:space="preserve"> viimeistään 30 kalenteripäivän kuluttua 5 kohdan nojalla pyydettyjen täydellisten tietojen vastaanottamisesta. Tapauksissa, joissa jäsenvaltio on aloittanut menettelyn, komissiolle annetaan 15 kalenteripäivää lisäaikaa lausunnon antamiseen. Vastaanottavan jäsenvaltion on otettava tällaiset huomautukset tai lausunnot mahdollisimman tarkasti huomioon.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146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9 artikla – 7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(a)</w:t>
            </w:r>
            <w:r w:rsidRPr="00163266">
              <w:rPr>
                <w:b/>
                <w:i/>
              </w:rPr>
              <w:tab/>
              <w:t>jäsenvaltioiden huomautukset tai komission lausunto on lähetettävä 35 kalenteripäivän kuluessa 5 kohdan mukaisesti pyydettyjen täydellisten tietojen vastaanottamisesta.</w:t>
            </w:r>
          </w:p>
        </w:tc>
        <w:tc>
          <w:tcPr>
            <w:tcW w:w="4876" w:type="dxa"/>
            <w:hideMark/>
          </w:tcPr>
          <w:p w:rsidR="001E1179" w:rsidRPr="00163266" w:rsidRDefault="001E1179" w:rsidP="00F60C33">
            <w:pPr>
              <w:pStyle w:val="Normal6"/>
              <w:widowControl/>
              <w:rPr>
                <w:szCs w:val="24"/>
              </w:rPr>
            </w:pPr>
            <w:r w:rsidRPr="00163266">
              <w:rPr>
                <w:b/>
                <w:i/>
              </w:rPr>
              <w:t>Poistetaan.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147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9 artikla – 7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(b)</w:t>
            </w:r>
            <w:r w:rsidRPr="00163266">
              <w:rPr>
                <w:b/>
                <w:i/>
              </w:rPr>
              <w:tab/>
              <w:t>edellä olevan 1 kohdan nojalla aloitettujen menettelyjen osalta komissiolla on 15 vuorokautta lisäaikaa antaa lausunto sen jälkeen, kun tämän kohdan a alakohdassa jäsenvaltiolle asetettu määräaika on päättynyt.</w:t>
            </w:r>
          </w:p>
        </w:tc>
        <w:tc>
          <w:tcPr>
            <w:tcW w:w="4876" w:type="dxa"/>
            <w:hideMark/>
          </w:tcPr>
          <w:p w:rsidR="001E1179" w:rsidRPr="00163266" w:rsidRDefault="001E1179" w:rsidP="00F60C33">
            <w:pPr>
              <w:pStyle w:val="Normal6"/>
              <w:widowControl/>
              <w:rPr>
                <w:szCs w:val="24"/>
              </w:rPr>
            </w:pPr>
            <w:r w:rsidRPr="00163266">
              <w:rPr>
                <w:b/>
                <w:i/>
              </w:rPr>
              <w:t>Poistetaan.</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148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9 artikla – 7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7 a.</w:t>
            </w:r>
            <w:r w:rsidRPr="00163266">
              <w:rPr>
                <w:b/>
                <w:i/>
              </w:rPr>
              <w:tab/>
              <w:t>Saatuaan 7 kohdan mukaisen huomautuksen tai lausunnon vastaanottavan jäsenvaltion on järjestettävä, tapauksen mukaan, huomautuksia esittäneiden jäsenvaltioiden ja komission kanssa kokous, jossa keskustellaan siitä, miten todettuihin riskeihin voidaan parhaiten puuttua. Jos vastaanottava jäsenvaltio on eri mieltä huomautuksessa tai lausunnossa todetuista riskeistä tai tapauksen mukaan ehdotetuista toimenpiteistä, jäsenvaltioiden ja komission on pyrittävä löytämään vaihtoehtoisia ratkaisuja ja sopimaan sopivasta toimintatavasta kyseisten riskien hallitsemiseksi.</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149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9 artikla – 7 b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7 b.</w:t>
            </w:r>
            <w:r w:rsidRPr="00163266">
              <w:rPr>
                <w:b/>
                <w:i/>
              </w:rPr>
              <w:tab/>
              <w:t>Edellä 7 a kohdassa tarkoitetun kokouksen jälkeen vastaanottavan jäsenvaltion on ilmoitettava komissiolle ja tapauksen mukaan huomautukset esittäneille jäsenvaltioille, aikooko se seurata sijoitusta.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150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9 artikla – 7 c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7 c.</w:t>
            </w:r>
            <w:r w:rsidRPr="00163266">
              <w:rPr>
                <w:b/>
                <w:i/>
              </w:rPr>
              <w:tab/>
              <w:t xml:space="preserve">Jos vastaanottava jäsenvaltio päättää olla seuraamatta ulkomaista sijoitusta, sen on annettava asianomaisille </w:t>
            </w:r>
            <w:r w:rsidRPr="00163266">
              <w:rPr>
                <w:b/>
                <w:i/>
              </w:rPr>
              <w:lastRenderedPageBreak/>
              <w:t>jäsenvaltioille ja komissiolle kirjallinen selvitys syistä, joiden vuoksi se on eri mieltä kyseisten jäsenvaltioiden huomautuksista tai komission lausunnosta.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151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9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jc w:val="center"/>
              <w:rPr>
                <w:szCs w:val="24"/>
              </w:rPr>
            </w:pPr>
            <w:r w:rsidRPr="00163266">
              <w:rPr>
                <w:b/>
                <w:i/>
              </w:rPr>
              <w:t>9 a artikla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jc w:val="center"/>
              <w:rPr>
                <w:szCs w:val="24"/>
              </w:rPr>
            </w:pPr>
            <w:r w:rsidRPr="00163266">
              <w:rPr>
                <w:b/>
                <w:i/>
              </w:rPr>
              <w:t>Komission tutkintavaltuudet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1.</w:t>
            </w:r>
            <w:r w:rsidRPr="00163266">
              <w:tab/>
            </w:r>
            <w:r w:rsidRPr="00163266">
              <w:rPr>
                <w:b/>
                <w:i/>
              </w:rPr>
              <w:t>Komissio voi jäsenvaltion asianmukaisesti perustellusta pyynnöstä tai omasta aloitteestaan pyytää tämän artiklan mukaisesti tietoja, jos on perusteltua syytä epäillä, että ulkomainen sijoitus voi vaikuttaa useamman kuin yhden jäsenvaltion turvallisuuteen tai yleiseen järjestykseen, ja edellyttäen, että vastaanottavalle jäsenvaltiolle on ilmoitettu asiasta.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2.</w:t>
            </w:r>
            <w:r w:rsidRPr="00163266">
              <w:tab/>
            </w:r>
            <w:r w:rsidRPr="00163266">
              <w:rPr>
                <w:b/>
                <w:i/>
              </w:rPr>
              <w:t>Komissio voi vaatia ulkomaisen sijoituksen osapuolia toimittamaan kaikki tarpeellisiksi katsomansa tiedot sen arvioimiseksi, vaikuttaako ulkomainen sijoitus todennäköisesti kielteisesti turvallisuuteen tai yleiseen järjestykseen. Se voi pyytää tietoja miltä tahansa muulta yhteisöltä tai henkilöltä, kuten toimittajilta, toimeksisaajilta, asiakkailta ja asiantuntijoilta, joilla on todennäköisesti merkityksellisiä tietoja sen arvioimiseksi, vaikuttaako ulkomainen sijoitus todennäköisesti kielteisesti turvallisuuteen tai yleiseen järjestykseen.</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3.</w:t>
            </w:r>
            <w:r w:rsidRPr="00163266">
              <w:tab/>
            </w:r>
            <w:r w:rsidRPr="00163266">
              <w:rPr>
                <w:b/>
                <w:i/>
              </w:rPr>
              <w:t>Komissio ilmoittaa asiasta jäsenvaltiolle ennen tällaisten tiedustelujen tekemistä sen alueella.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4.</w:t>
            </w:r>
            <w:r w:rsidRPr="00163266">
              <w:tab/>
            </w:r>
            <w:r w:rsidRPr="00163266">
              <w:rPr>
                <w:b/>
                <w:i/>
              </w:rPr>
              <w:t>Edellä olevan 2 kohdan mukaisen tietopyynnön on täytettävä seuraavat vaatimukset: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(a)</w:t>
            </w:r>
            <w:r w:rsidRPr="00163266">
              <w:tab/>
            </w:r>
            <w:r w:rsidRPr="00163266">
              <w:rPr>
                <w:b/>
                <w:i/>
              </w:rPr>
              <w:t>siinä on ilmoitettava sen oikeusperusta ja tarkoitus, täsmennettävä, mitä tietoja pyydetään, ja asetettava asianmukainen määräaika niiden toimittamiselle;</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(b)</w:t>
            </w:r>
            <w:r w:rsidRPr="00163266">
              <w:tab/>
            </w:r>
            <w:r w:rsidRPr="00163266">
              <w:rPr>
                <w:b/>
                <w:i/>
              </w:rPr>
              <w:t>sen on oltava asianmukaisesti perusteltu ja rajoituttava tietoihin, jotka ovat ehdottoman välttämättömiä liiketoimen mahdollisten turvallisuuteen tai yleiseen järjestykseen kohdistuvien vaikutusten arvioimiseksi;</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(c)</w:t>
            </w:r>
            <w:r w:rsidRPr="00163266">
              <w:tab/>
            </w:r>
            <w:r w:rsidRPr="00163266">
              <w:rPr>
                <w:b/>
                <w:i/>
              </w:rPr>
              <w:t>siihen on sisällyttävä maininta siitä, että jos annetut tiedot ovat virheellisiä, puutteellisia tai harhaanjohtavia, on mahdollista määrätä 6 artiklassa säädettyjä uhkasakkoja;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(d)</w:t>
            </w:r>
            <w:r w:rsidRPr="00163266">
              <w:tab/>
            </w:r>
            <w:r w:rsidRPr="00163266">
              <w:rPr>
                <w:b/>
                <w:i/>
              </w:rPr>
              <w:t xml:space="preserve"> siihen on sisällyttävä maininta siitä, että tilanteessa, jossa yhteistyötä ei tehdä, komissio voi tehdä päätöksen käytettävissään olevien tietojen perusteella.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5.</w:t>
            </w:r>
            <w:r w:rsidRPr="00163266">
              <w:tab/>
            </w:r>
            <w:r w:rsidRPr="00163266">
              <w:rPr>
                <w:b/>
                <w:i/>
              </w:rPr>
              <w:t>Edellä 8 artiklan 7 a kohdan a–c alakohdassa, 8 artiklan 7 b kohdan b alakohdassa ja 8 artiklan 7 c kohdan a alakohdassa tarkoitettujen määräaikojen kuluminen voidaan keskeyttää komission pyydettyjen tietojen hankkimiseen tarvitsemaksi ajaksi. Keskeytys tulee voimaan päivänä, jona komissio esittää tietopyynnön, ja se pysyy voimassa, kunnes pyydetyt tiedot on saatu kokonaisuudessaan. Keskeytys saa kestää enintään 30 kalenteripäivää. Komissio ilmoittaa viipymättä asianomaisille jäsenvaltioille sekä keskeyttämisestä että keskeytyksen kumoamisesta.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6.</w:t>
            </w:r>
            <w:r w:rsidRPr="00163266">
              <w:tab/>
            </w:r>
            <w:r w:rsidRPr="00163266">
              <w:rPr>
                <w:b/>
                <w:i/>
              </w:rPr>
              <w:t>Jos komission tietopyyntöjä ei noudateta, eikä perusteluja noudattamatta jättämiselle esitetä, komissio voi päätöksellään määrätä</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(a)</w:t>
            </w:r>
            <w:r w:rsidRPr="00163266">
              <w:tab/>
            </w:r>
            <w:r w:rsidRPr="00163266">
              <w:rPr>
                <w:b/>
                <w:i/>
              </w:rPr>
              <w:t xml:space="preserve">sakon, joka on enintään yksi prosentti asianomaisen osapuolen tai yhteisön edellisen tilikauden kokonaisliikevaihdosta; tai </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(b)</w:t>
            </w:r>
            <w:r w:rsidRPr="00163266">
              <w:tab/>
            </w:r>
            <w:r w:rsidRPr="00163266">
              <w:rPr>
                <w:b/>
                <w:i/>
              </w:rPr>
              <w:t xml:space="preserve">uhkasakon puutteellisten, virheellisten tai harhaanjohtavien tietojen antamisesta tai jos pyydettyjä tietoja ei toimiteta määräajassa. Uhkasakot saavat </w:t>
            </w:r>
            <w:r w:rsidRPr="00163266">
              <w:rPr>
                <w:b/>
                <w:i/>
              </w:rPr>
              <w:lastRenderedPageBreak/>
              <w:t>olla enintään viisi prosenttia kyseisen osapuolen tai yhteisön edellisen tilikauden keskimääräisestä päivittäisestä kokonaisliikevaihdosta kultakin työpäivinä lasketulta viivästyspäivältä alkaen päätöksessä vahvistetusta päivästä siihen asti, että vaatimuksia noudatetaan.</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7.</w:t>
            </w:r>
            <w:r w:rsidRPr="00163266">
              <w:tab/>
            </w:r>
            <w:r w:rsidRPr="00163266">
              <w:rPr>
                <w:b/>
                <w:i/>
              </w:rPr>
              <w:t>Ennen uhkasakkojen määräämistä asianomaiselle osapuolelle tai yhteisölle on annettava tilaisuus tulla kuulluksi. Sakon tai uhkasakon suuruutta määritettäessä komissio ottaa huomioon noudattamatta jättämisen luonteen, vakavuuden ja keston suhteellisuus- ja tarkoituksenmukaisuusperiaatteita noudattaen.</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b/>
                <w:i/>
              </w:rPr>
            </w:pPr>
            <w:r w:rsidRPr="00163266">
              <w:rPr>
                <w:b/>
                <w:i/>
              </w:rPr>
              <w:t>8.</w:t>
            </w:r>
            <w:r w:rsidRPr="00163266">
              <w:tab/>
            </w:r>
            <w:r w:rsidRPr="00163266">
              <w:rPr>
                <w:b/>
                <w:i/>
              </w:rPr>
              <w:t>Sakon tai uhkasakon suuruutta määritettäessä komissio ottaa huomioon noudattamatta jättämisen luonteen, vakavuuden ja keston suhteellisuus- ja tarkoituksenmukaisuusperiaatteita noudattaen.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152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10 artikla – 1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1.</w:t>
            </w:r>
            <w:r w:rsidRPr="00163266">
              <w:tab/>
              <w:t xml:space="preserve">Jäsenvaltioiden on </w:t>
            </w:r>
            <w:r w:rsidRPr="00163266">
              <w:rPr>
                <w:b/>
                <w:i/>
              </w:rPr>
              <w:t>varmistettava, että</w:t>
            </w:r>
            <w:r w:rsidRPr="00163266">
              <w:t xml:space="preserve"> 5</w:t>
            </w:r>
            <w:r w:rsidRPr="00163266">
              <w:rPr>
                <w:b/>
                <w:i/>
              </w:rPr>
              <w:t xml:space="preserve"> </w:t>
            </w:r>
            <w:r w:rsidRPr="00163266">
              <w:t>artiklassa tarkoitetussa ilmoituksessa ja 9</w:t>
            </w:r>
            <w:r w:rsidRPr="00163266">
              <w:rPr>
                <w:b/>
                <w:i/>
              </w:rPr>
              <w:t xml:space="preserve"> </w:t>
            </w:r>
            <w:r w:rsidRPr="00163266">
              <w:t xml:space="preserve">artiklan 5 kohdassa </w:t>
            </w:r>
            <w:r w:rsidRPr="00163266">
              <w:rPr>
                <w:b/>
                <w:i/>
              </w:rPr>
              <w:t>tarkoitetussa tietopyynnössä annetut</w:t>
            </w:r>
            <w:r w:rsidRPr="00163266">
              <w:t xml:space="preserve"> tiedot</w:t>
            </w:r>
            <w:r w:rsidRPr="00163266">
              <w:rPr>
                <w:b/>
                <w:i/>
              </w:rPr>
              <w:t xml:space="preserve"> sisältävät seuraavat</w:t>
            </w:r>
            <w:r w:rsidRPr="00163266">
              <w:t>:</w:t>
            </w:r>
          </w:p>
        </w:tc>
        <w:tc>
          <w:tcPr>
            <w:tcW w:w="4876" w:type="dxa"/>
            <w:hideMark/>
          </w:tcPr>
          <w:p w:rsidR="001E1179" w:rsidRPr="00163266" w:rsidRDefault="001E1179" w:rsidP="00F60C33">
            <w:pPr>
              <w:pStyle w:val="Normal6"/>
              <w:widowControl/>
              <w:rPr>
                <w:szCs w:val="24"/>
              </w:rPr>
            </w:pPr>
            <w:r w:rsidRPr="00163266">
              <w:t>1.</w:t>
            </w:r>
            <w:r w:rsidRPr="00163266">
              <w:tab/>
              <w:t xml:space="preserve">Jäsenvaltioiden on </w:t>
            </w:r>
            <w:r w:rsidRPr="00163266">
              <w:rPr>
                <w:b/>
                <w:i/>
              </w:rPr>
              <w:t>annettava</w:t>
            </w:r>
            <w:r w:rsidRPr="00163266">
              <w:t xml:space="preserve"> 5</w:t>
            </w:r>
            <w:r w:rsidRPr="00163266">
              <w:rPr>
                <w:b/>
                <w:i/>
              </w:rPr>
              <w:t> </w:t>
            </w:r>
            <w:r w:rsidRPr="00163266">
              <w:t xml:space="preserve">artiklassa tarkoitetussa ilmoituksessa ja </w:t>
            </w:r>
            <w:r w:rsidRPr="00163266">
              <w:rPr>
                <w:b/>
                <w:i/>
              </w:rPr>
              <w:t xml:space="preserve">vastauksena </w:t>
            </w:r>
            <w:r w:rsidRPr="00163266">
              <w:t>9</w:t>
            </w:r>
            <w:r w:rsidRPr="00163266">
              <w:rPr>
                <w:b/>
                <w:i/>
              </w:rPr>
              <w:t> </w:t>
            </w:r>
            <w:r w:rsidRPr="00163266">
              <w:t xml:space="preserve">artiklan 5 kohdassa </w:t>
            </w:r>
            <w:r w:rsidRPr="00163266">
              <w:rPr>
                <w:b/>
                <w:i/>
              </w:rPr>
              <w:t>tarkoitettuun tietopyyntöön vähintään seuraavat</w:t>
            </w:r>
            <w:r w:rsidRPr="00163266">
              <w:t xml:space="preserve"> tiedot: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153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10 artikla – 1 kohta – e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(e)</w:t>
            </w:r>
            <w:r w:rsidRPr="00163266">
              <w:tab/>
              <w:t xml:space="preserve">ulkomaisen sijoittajan toiminta-ala, nimi ja osoite; </w:t>
            </w:r>
            <w:r w:rsidRPr="00163266">
              <w:rPr>
                <w:b/>
                <w:i/>
              </w:rPr>
              <w:t>ja</w:t>
            </w:r>
          </w:p>
        </w:tc>
        <w:tc>
          <w:tcPr>
            <w:tcW w:w="4876" w:type="dxa"/>
            <w:hideMark/>
          </w:tcPr>
          <w:p w:rsidR="001E1179" w:rsidRPr="00163266" w:rsidRDefault="001E1179" w:rsidP="00F60C33">
            <w:pPr>
              <w:pStyle w:val="Normal6"/>
              <w:widowControl/>
              <w:rPr>
                <w:szCs w:val="24"/>
              </w:rPr>
            </w:pPr>
            <w:r w:rsidRPr="00163266">
              <w:t>(e)</w:t>
            </w:r>
            <w:r w:rsidRPr="00163266">
              <w:tab/>
              <w:t>ulkomaisen sijoittajan toiminta-ala, nimi ja osoite;</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154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10 artikla – 1 kohta – e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(e a)</w:t>
            </w:r>
            <w:r w:rsidRPr="00163266">
              <w:rPr>
                <w:b/>
                <w:i/>
              </w:rPr>
              <w:tab/>
              <w:t xml:space="preserve">tarvittaessa ilmoituksen perustelut, mukaan lukien tieto siitä, täyttyykö jokin 5 artiklan 1 kohdan b alakohdan i–iii alakohdassa tarkoitetuista edellytyksistä, joiden perusteella tehdään ilmoitus ulkomaisesta sijoituksesta; </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155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10 artikla – 1 kohta – e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(e b)</w:t>
            </w:r>
            <w:r w:rsidRPr="00163266">
              <w:rPr>
                <w:b/>
                <w:i/>
              </w:rPr>
              <w:tab/>
              <w:t>tieto siitä, onko unionin sijoituskohde asetuksen (EU) 2024/2509 2 artiklan 59 kohdassa määritelty varojen saaja tai mistä tahansa muusta unionin perustamasta tai hallinnoimasta rahastosta tai rahoitusvälineestä maksettavien varojen saaja; ja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156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10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3.</w:t>
            </w:r>
            <w:r w:rsidRPr="00163266">
              <w:rPr>
                <w:b/>
                <w:i/>
              </w:rPr>
              <w:tab/>
              <w:t>Jos komissio tai jäsenvaltiot pyytävät 8 artiklan 1 kohdan tai 9 artiklan 5 kohdan nojalla lisätietoja jäsenvaltiolta, jossa ulkomainen sijoitus on suunniteltu toteutettavaksi tai on toteutettu, kyseisen jäsenvaltion on pyrittävä toimittamaan tällaiset tiedot, jos ne ovat saatavilla, pyynnön esittäneille jäsenvaltioille ja komissiolle.</w:t>
            </w:r>
          </w:p>
        </w:tc>
        <w:tc>
          <w:tcPr>
            <w:tcW w:w="4876" w:type="dxa"/>
            <w:hideMark/>
          </w:tcPr>
          <w:p w:rsidR="001E1179" w:rsidRPr="00163266" w:rsidRDefault="001E1179" w:rsidP="00F60C33">
            <w:pPr>
              <w:pStyle w:val="Normal6"/>
              <w:widowControl/>
              <w:rPr>
                <w:szCs w:val="24"/>
              </w:rPr>
            </w:pPr>
            <w:r w:rsidRPr="00163266">
              <w:rPr>
                <w:b/>
                <w:i/>
              </w:rPr>
              <w:t>Poistetaan.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157</w:t>
      </w:r>
    </w:p>
    <w:p w:rsidR="001E1179" w:rsidRPr="00163266" w:rsidRDefault="001E1179" w:rsidP="001E1179">
      <w:pPr>
        <w:widowControl/>
      </w:pPr>
    </w:p>
    <w:p w:rsidR="001E1179" w:rsidRPr="00163266" w:rsidRDefault="001E1179" w:rsidP="001E1179">
      <w:pPr>
        <w:pStyle w:val="NormalBold"/>
        <w:keepNext/>
        <w:widowControl/>
      </w:pPr>
      <w:r w:rsidRPr="00163266">
        <w:lastRenderedPageBreak/>
        <w:t>Ehdotus asetukseksi</w:t>
      </w:r>
    </w:p>
    <w:p w:rsidR="001E1179" w:rsidRPr="00163266" w:rsidRDefault="001E1179" w:rsidP="001E1179">
      <w:pPr>
        <w:pStyle w:val="NormalBold"/>
        <w:widowControl/>
      </w:pPr>
      <w:r w:rsidRPr="00163266">
        <w:t>10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4.</w:t>
            </w:r>
            <w:r w:rsidRPr="00163266">
              <w:tab/>
            </w:r>
            <w:r w:rsidRPr="00163266">
              <w:rPr>
                <w:b/>
                <w:i/>
              </w:rPr>
              <w:t>Jäsenvaltio, jossa ulkomainen sijoitus on suunniteltu toteutettavaksi tai on toteutettu,</w:t>
            </w:r>
            <w:r w:rsidRPr="00163266">
              <w:t xml:space="preserve"> voi tarvittaessa pyytää luvanhakijaa tai muuta asiaankuuluvaa yritystä toimittamaan 1 ja </w:t>
            </w:r>
            <w:r w:rsidRPr="00163266">
              <w:rPr>
                <w:b/>
                <w:i/>
              </w:rPr>
              <w:t xml:space="preserve">3 </w:t>
            </w:r>
            <w:r w:rsidRPr="00163266">
              <w:t>kohdassa tarkoitetut tiedot. Tietopyyntö voi koskea tietoja, jotka jäsenvaltio tarvitsee määrittääkseen, täyttyykö jokin 5 artiklan 1 kohdassa säädetyistä edellytyksistä. Asianomaisen yrityksen on toimitettava pyydetyt tiedot jäsenvaltiolle, jossa ulkomainen sijoitus on suunniteltu toteutettavaksi tai on toteutettu, 15 kalenteripäivän kuluessa pyynnön esittämisestä.</w:t>
            </w:r>
          </w:p>
        </w:tc>
        <w:tc>
          <w:tcPr>
            <w:tcW w:w="4876" w:type="dxa"/>
            <w:hideMark/>
          </w:tcPr>
          <w:p w:rsidR="001E1179" w:rsidRPr="00163266" w:rsidRDefault="001E1179" w:rsidP="00F60C33">
            <w:pPr>
              <w:pStyle w:val="Normal6"/>
              <w:widowControl/>
              <w:rPr>
                <w:szCs w:val="24"/>
              </w:rPr>
            </w:pPr>
            <w:r w:rsidRPr="00163266">
              <w:t>4.</w:t>
            </w:r>
            <w:r w:rsidRPr="00163266">
              <w:tab/>
            </w:r>
            <w:r w:rsidRPr="00163266">
              <w:rPr>
                <w:b/>
                <w:i/>
              </w:rPr>
              <w:t>Vastaanottava jäsenvaltio</w:t>
            </w:r>
            <w:r w:rsidRPr="00163266">
              <w:t xml:space="preserve"> voi tarvittaessa pyytää luvanhakijaa tai muuta asiaankuuluvaa yritystä toimittamaan </w:t>
            </w:r>
            <w:r w:rsidRPr="00163266">
              <w:rPr>
                <w:b/>
                <w:i/>
              </w:rPr>
              <w:t xml:space="preserve">muun muassa tämän artiklan </w:t>
            </w:r>
            <w:r w:rsidRPr="00163266">
              <w:t>1</w:t>
            </w:r>
            <w:r w:rsidRPr="00163266">
              <w:rPr>
                <w:b/>
                <w:i/>
              </w:rPr>
              <w:t> kohdassa</w:t>
            </w:r>
            <w:r w:rsidRPr="00163266">
              <w:t xml:space="preserve"> ja </w:t>
            </w:r>
            <w:r w:rsidRPr="00163266">
              <w:rPr>
                <w:b/>
                <w:i/>
              </w:rPr>
              <w:t>8 artiklan 2 </w:t>
            </w:r>
            <w:r w:rsidRPr="00163266">
              <w:t>kohdassa tarkoitetut tiedot. Tietopyyntö voi koskea tietoja, jotka jäsenvaltio tarvitsee määrittääkseen, täyttyykö jokin 5 artiklan 1 kohdassa säädetyistä edellytyksistä. Asianomaisen yrityksen on toimitettava pyydetyt tiedot jäsenvaltiolle, jossa ulkomainen sijoitus on suunniteltu toteutettavaksi tai on toteutettu, 15 kalenteripäivän kuluessa pyynnön esittämisestä.</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158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10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5.</w:t>
            </w:r>
            <w:r w:rsidRPr="00163266">
              <w:tab/>
            </w:r>
            <w:r w:rsidRPr="00163266">
              <w:rPr>
                <w:b/>
                <w:i/>
              </w:rPr>
              <w:t>Jäsenvaltio, jossa ulkomainen sijoitus on suunniteltu toteutettavaksi tai on toteutettu,</w:t>
            </w:r>
            <w:r w:rsidRPr="00163266">
              <w:t xml:space="preserve"> ja komissio voivat pyytää muita jäsenvaltioita pyytämään tietoja alueellaan toimivilta yrityksiltä, edellyttäen että nämä tiedot ovat merkityksellisiä ja ehdottoman välttämättömiä ulkomaisen sijoituksen arvioimiseksi 13</w:t>
            </w:r>
            <w:r w:rsidRPr="00163266">
              <w:rPr>
                <w:b/>
                <w:i/>
              </w:rPr>
              <w:t xml:space="preserve"> </w:t>
            </w:r>
            <w:r w:rsidRPr="00163266">
              <w:t xml:space="preserve">artiklan mukaisesti. Pyynnön vastaanottaneen jäsenvaltion on viipymättä pyydettävä asianomaista yritystä toimittamaan nämä tiedot ja ilmoitettava ne </w:t>
            </w:r>
            <w:r w:rsidRPr="00163266">
              <w:rPr>
                <w:b/>
                <w:i/>
              </w:rPr>
              <w:t>jäsenvaltiolle, jossa ulkomainen sijoitus on suunniteltu toteutettavaksi tai on toteutettu,</w:t>
            </w:r>
            <w:r w:rsidRPr="00163266">
              <w:t xml:space="preserve"> ja komissiolle tapauksen mukaan 8</w:t>
            </w:r>
            <w:r w:rsidRPr="00163266">
              <w:rPr>
                <w:b/>
                <w:i/>
              </w:rPr>
              <w:t xml:space="preserve"> </w:t>
            </w:r>
            <w:r w:rsidRPr="00163266">
              <w:t xml:space="preserve">artiklan </w:t>
            </w:r>
            <w:r w:rsidRPr="00163266">
              <w:rPr>
                <w:b/>
                <w:i/>
              </w:rPr>
              <w:t xml:space="preserve">2 </w:t>
            </w:r>
            <w:r w:rsidRPr="00163266">
              <w:t>kohdassa ja 9</w:t>
            </w:r>
            <w:r w:rsidRPr="00163266">
              <w:rPr>
                <w:b/>
                <w:i/>
              </w:rPr>
              <w:t xml:space="preserve"> </w:t>
            </w:r>
            <w:r w:rsidRPr="00163266">
              <w:t>artiklan 6</w:t>
            </w:r>
            <w:r w:rsidRPr="00163266">
              <w:rPr>
                <w:b/>
                <w:i/>
              </w:rPr>
              <w:t xml:space="preserve"> </w:t>
            </w:r>
            <w:r w:rsidRPr="00163266">
              <w:t>kohdassa säädetyn menettelyn mukaisesti.</w:t>
            </w:r>
          </w:p>
        </w:tc>
        <w:tc>
          <w:tcPr>
            <w:tcW w:w="4876" w:type="dxa"/>
            <w:hideMark/>
          </w:tcPr>
          <w:p w:rsidR="001E1179" w:rsidRPr="00163266" w:rsidRDefault="001E1179" w:rsidP="00F60C33">
            <w:pPr>
              <w:pStyle w:val="Normal6"/>
              <w:widowControl/>
              <w:rPr>
                <w:szCs w:val="24"/>
              </w:rPr>
            </w:pPr>
            <w:r w:rsidRPr="00163266">
              <w:t>5.</w:t>
            </w:r>
            <w:r w:rsidRPr="00163266">
              <w:tab/>
            </w:r>
            <w:r w:rsidRPr="00163266">
              <w:rPr>
                <w:b/>
                <w:i/>
              </w:rPr>
              <w:t>Vastaanottava jäsenvaltio</w:t>
            </w:r>
            <w:r w:rsidRPr="00163266">
              <w:t xml:space="preserve"> ja komissio voivat pyytää muita jäsenvaltioita pyytämään tietoja alueellaan toimivilta yrityksiltä, edellyttäen että nämä tiedot ovat merkityksellisiä ja ehdottoman välttämättömiä ulkomaisen sijoituksen arvioimiseksi 13</w:t>
            </w:r>
            <w:r w:rsidRPr="00163266">
              <w:rPr>
                <w:b/>
                <w:i/>
              </w:rPr>
              <w:t> </w:t>
            </w:r>
            <w:r w:rsidRPr="00163266">
              <w:t xml:space="preserve">artiklan mukaisesti. Pyynnön vastaanottaneen jäsenvaltion on viipymättä pyydettävä asianomaista yritystä toimittamaan nämä tiedot ja ilmoitettava ne </w:t>
            </w:r>
            <w:r w:rsidRPr="00163266">
              <w:rPr>
                <w:b/>
                <w:i/>
              </w:rPr>
              <w:t>vastaanottavalle jäsenvaltiolle</w:t>
            </w:r>
            <w:r w:rsidRPr="00163266">
              <w:t xml:space="preserve"> ja komissiolle tapauksen mukaan 8</w:t>
            </w:r>
            <w:r w:rsidRPr="00163266">
              <w:rPr>
                <w:b/>
                <w:i/>
              </w:rPr>
              <w:t> </w:t>
            </w:r>
            <w:r w:rsidRPr="00163266">
              <w:t xml:space="preserve">artiklan </w:t>
            </w:r>
            <w:r w:rsidRPr="00163266">
              <w:rPr>
                <w:b/>
                <w:i/>
              </w:rPr>
              <w:t>5 </w:t>
            </w:r>
            <w:r w:rsidRPr="00163266">
              <w:t>kohdassa ja 9</w:t>
            </w:r>
            <w:r w:rsidRPr="00163266">
              <w:rPr>
                <w:b/>
                <w:i/>
              </w:rPr>
              <w:t> </w:t>
            </w:r>
            <w:r w:rsidRPr="00163266">
              <w:t>artiklan 6</w:t>
            </w:r>
            <w:r w:rsidRPr="00163266">
              <w:rPr>
                <w:b/>
                <w:i/>
              </w:rPr>
              <w:t> </w:t>
            </w:r>
            <w:r w:rsidRPr="00163266">
              <w:t>kohdassa säädetyn menettelyn mukaisesti.</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159</w:t>
      </w:r>
    </w:p>
    <w:p w:rsidR="001E1179" w:rsidRPr="00163266" w:rsidRDefault="001E1179" w:rsidP="001E1179">
      <w:pPr>
        <w:widowControl/>
      </w:pPr>
    </w:p>
    <w:p w:rsidR="001E1179" w:rsidRPr="00163266" w:rsidRDefault="001E1179" w:rsidP="001E1179">
      <w:pPr>
        <w:pStyle w:val="NormalBold"/>
        <w:keepNext/>
        <w:widowControl/>
      </w:pPr>
      <w:r w:rsidRPr="00163266">
        <w:lastRenderedPageBreak/>
        <w:t>Ehdotus asetukseksi</w:t>
      </w:r>
    </w:p>
    <w:p w:rsidR="001E1179" w:rsidRPr="00163266" w:rsidRDefault="001E1179" w:rsidP="001E1179">
      <w:pPr>
        <w:pStyle w:val="NormalBold"/>
        <w:widowControl/>
      </w:pPr>
      <w:r w:rsidRPr="00163266">
        <w:t>10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6.</w:t>
            </w:r>
            <w:r w:rsidRPr="00163266">
              <w:tab/>
              <w:t xml:space="preserve">Jäsenvaltion on ilmoitettava komissiolle ja muille asianomaisille jäsenvaltioille, jos se ei poikkeustapauksessa yrityksistään huolimatta pysty toimittamaan </w:t>
            </w:r>
            <w:r w:rsidRPr="00163266">
              <w:rPr>
                <w:b/>
                <w:i/>
              </w:rPr>
              <w:t>3,</w:t>
            </w:r>
            <w:r w:rsidRPr="00163266">
              <w:t xml:space="preserve"> 4 tai 5 kohdassa tarkoitettuja tietoja. Kyseisen jäsenvaltion on perusteltava asianmukaisesti, miksi se ei pysty toimittamaan tietoja.</w:t>
            </w:r>
          </w:p>
        </w:tc>
        <w:tc>
          <w:tcPr>
            <w:tcW w:w="4876" w:type="dxa"/>
            <w:hideMark/>
          </w:tcPr>
          <w:p w:rsidR="001E1179" w:rsidRPr="00163266" w:rsidRDefault="001E1179" w:rsidP="00F60C33">
            <w:pPr>
              <w:pStyle w:val="Normal6"/>
              <w:widowControl/>
              <w:rPr>
                <w:szCs w:val="24"/>
              </w:rPr>
            </w:pPr>
            <w:r w:rsidRPr="00163266">
              <w:t>6.</w:t>
            </w:r>
            <w:r w:rsidRPr="00163266">
              <w:tab/>
              <w:t xml:space="preserve">Jäsenvaltion on ilmoitettava komissiolle ja muille asianomaisille jäsenvaltioille, jos se ei poikkeustapauksessa yrityksistään huolimatta pysty toimittamaan </w:t>
            </w:r>
            <w:r w:rsidRPr="00163266">
              <w:rPr>
                <w:b/>
                <w:i/>
              </w:rPr>
              <w:t>tämän artiklan</w:t>
            </w:r>
            <w:r w:rsidRPr="00163266">
              <w:t xml:space="preserve"> 4 tai 5</w:t>
            </w:r>
            <w:r w:rsidRPr="00163266">
              <w:rPr>
                <w:b/>
                <w:i/>
              </w:rPr>
              <w:t> kohdassa, 8 artiklan</w:t>
            </w:r>
            <w:r w:rsidRPr="00163266">
              <w:t xml:space="preserve"> </w:t>
            </w:r>
            <w:r w:rsidRPr="00163266">
              <w:rPr>
                <w:b/>
                <w:i/>
              </w:rPr>
              <w:t>2 kohdassa tai 9 artiklan 5 </w:t>
            </w:r>
            <w:r w:rsidRPr="00163266">
              <w:t>kohdassa tarkoitettuja tietoja. Kyseisen jäsenvaltion on perusteltava asianmukaisesti, miksi se ei pysty toimittamaan tietoja.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160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11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1.</w:t>
            </w:r>
            <w:r w:rsidRPr="00163266">
              <w:tab/>
              <w:t>Jäsenvaltioiden on otettava käyttöön tarvittavat resurssit sekä oikeudelliset ja hallinnolliset keinot, jotta ne voivat osallistua tehokkaasti ja tuloksellisesti yhteistyömekanismiin.</w:t>
            </w:r>
          </w:p>
        </w:tc>
        <w:tc>
          <w:tcPr>
            <w:tcW w:w="4876" w:type="dxa"/>
            <w:hideMark/>
          </w:tcPr>
          <w:p w:rsidR="001E1179" w:rsidRPr="00163266" w:rsidRDefault="001E1179" w:rsidP="00F60C33">
            <w:pPr>
              <w:pStyle w:val="Normal6"/>
              <w:widowControl/>
              <w:rPr>
                <w:szCs w:val="24"/>
              </w:rPr>
            </w:pPr>
            <w:r w:rsidRPr="00163266">
              <w:t>1.</w:t>
            </w:r>
            <w:r w:rsidRPr="00163266">
              <w:tab/>
              <w:t xml:space="preserve">Jäsenvaltioiden on otettava käyttöön tarvittavat resurssit sekä oikeudelliset ja hallinnolliset keinot, jotta ne voivat </w:t>
            </w:r>
            <w:r w:rsidRPr="00163266">
              <w:rPr>
                <w:b/>
                <w:i/>
              </w:rPr>
              <w:t xml:space="preserve">suorittaa tehokkaasti ja tuloksellisesti niille tämän asetuksen tavoitteiden saavuttamiseksi annetut tehtävät, kuten </w:t>
            </w:r>
            <w:r w:rsidRPr="00163266">
              <w:t>osallistua tehokkaasti ja tuloksellisesti yhteistyömekanismiin.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161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11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4.</w:t>
            </w:r>
            <w:r w:rsidRPr="00163266">
              <w:tab/>
              <w:t xml:space="preserve">Jäsenvaltioiden </w:t>
            </w:r>
            <w:r w:rsidRPr="00163266">
              <w:rPr>
                <w:b/>
                <w:i/>
              </w:rPr>
              <w:t xml:space="preserve">on varmistettava, että niiden </w:t>
            </w:r>
            <w:r w:rsidRPr="00163266">
              <w:t xml:space="preserve">seurantamekanismien puitteissa </w:t>
            </w:r>
            <w:r w:rsidRPr="00163266">
              <w:rPr>
                <w:b/>
                <w:i/>
              </w:rPr>
              <w:t xml:space="preserve">annetaan </w:t>
            </w:r>
            <w:r w:rsidRPr="00163266">
              <w:t xml:space="preserve">riittävästi </w:t>
            </w:r>
            <w:r w:rsidRPr="00163266">
              <w:rPr>
                <w:b/>
                <w:i/>
              </w:rPr>
              <w:t>aikaa ja</w:t>
            </w:r>
            <w:r w:rsidRPr="00163266">
              <w:t xml:space="preserve"> keinoja arvioida muiden jäsenvaltioiden huomautuksia ja komission lausuntoja ja ottaa ne mahdollisimman tarkasti huomioon ennen seurantaa koskevan päätöksen tekemistä. Tähän sisältyvät kaikki tarvittavat oikeudelliset keinot ja valtuudet ottaa huomioon toisen </w:t>
            </w:r>
            <w:r w:rsidRPr="00163266">
              <w:lastRenderedPageBreak/>
              <w:t xml:space="preserve">jäsenvaltion tai komission esiin tuomat huolta herättävät seikat tai todennäköiset vaikutukset seurantaa koskevassa päätöksessä tai muussa käytettävissä olevassa asiaankuuluvassa välineessä. </w:t>
            </w:r>
            <w:r w:rsidRPr="00163266">
              <w:rPr>
                <w:b/>
                <w:i/>
              </w:rPr>
              <w:t>Jos ulkomaisesta sijoituksesta ilmoitetaan komissiolle ja muille jäsenvaltioille 5 artiklan mukaisesti, seurantamekanismien puitteissa ei saa olla mahdollista, että jäsenvaltiot voisivat tehdä seurantaa koskevan päätöksen ennen jäsenvaltioiden huomautusten esittämiselle ja komission lausuntojen antamiselle 8 artiklan 3 kohdassa vahvistettujen määräaikojen päättymistä.</w:t>
            </w:r>
          </w:p>
        </w:tc>
        <w:tc>
          <w:tcPr>
            <w:tcW w:w="4876" w:type="dxa"/>
            <w:hideMark/>
          </w:tcPr>
          <w:p w:rsidR="001E1179" w:rsidRPr="00163266" w:rsidRDefault="001E1179" w:rsidP="00F60C33">
            <w:pPr>
              <w:pStyle w:val="Normal6"/>
              <w:widowControl/>
              <w:rPr>
                <w:szCs w:val="24"/>
              </w:rPr>
            </w:pPr>
            <w:r w:rsidRPr="00163266">
              <w:lastRenderedPageBreak/>
              <w:t>4.</w:t>
            </w:r>
            <w:r w:rsidRPr="00163266">
              <w:tab/>
              <w:t xml:space="preserve">Jäsenvaltioiden seurantamekanismien puitteissa </w:t>
            </w:r>
            <w:r w:rsidRPr="00163266">
              <w:rPr>
                <w:b/>
                <w:i/>
              </w:rPr>
              <w:t xml:space="preserve">on annettava </w:t>
            </w:r>
            <w:r w:rsidRPr="00163266">
              <w:t xml:space="preserve">riittävästi keinoja arvioida muiden jäsenvaltioiden huomautuksia ja komission lausuntoja ja ottaa ne mahdollisimman tarkasti huomioon ennen seurantaa koskevan päätöksen tekemistä. Tähän sisältyvät kaikki tarvittavat oikeudelliset keinot ja valtuudet ottaa huomioon toisen jäsenvaltion tai komission </w:t>
            </w:r>
            <w:r w:rsidRPr="00163266">
              <w:lastRenderedPageBreak/>
              <w:t>esiin tuomat huolta herättävät seikat tai todennäköiset vaikutukset seurantaa koskevassa päätöksessä tai muussa käytettävissä olevassa asiaankuuluvassa välineessä.</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162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11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5.</w:t>
            </w:r>
            <w:r w:rsidRPr="00163266">
              <w:tab/>
              <w:t xml:space="preserve">Jäsenvaltioiden on varmistettava, että niiden kansallisessa lainsäädännössä sallitaan 7 </w:t>
            </w:r>
            <w:r w:rsidRPr="00163266">
              <w:rPr>
                <w:b/>
                <w:i/>
              </w:rPr>
              <w:t>artiklan 5–9 kohdassa</w:t>
            </w:r>
            <w:r w:rsidRPr="00163266">
              <w:t xml:space="preserve"> säädettyjen velvoitteiden noudattaminen.</w:t>
            </w:r>
          </w:p>
        </w:tc>
        <w:tc>
          <w:tcPr>
            <w:tcW w:w="4876" w:type="dxa"/>
            <w:hideMark/>
          </w:tcPr>
          <w:p w:rsidR="001E1179" w:rsidRPr="00163266" w:rsidRDefault="001E1179" w:rsidP="00F60C33">
            <w:pPr>
              <w:pStyle w:val="Normal6"/>
              <w:widowControl/>
              <w:rPr>
                <w:szCs w:val="24"/>
              </w:rPr>
            </w:pPr>
            <w:r w:rsidRPr="00163266">
              <w:t>5.</w:t>
            </w:r>
            <w:r w:rsidRPr="00163266">
              <w:tab/>
              <w:t xml:space="preserve">Jäsenvaltioiden on varmistettava, että niiden kansallisessa lainsäädännössä sallitaan 7 </w:t>
            </w:r>
            <w:r w:rsidRPr="00163266">
              <w:rPr>
                <w:b/>
                <w:i/>
              </w:rPr>
              <w:t>artiklassa</w:t>
            </w:r>
            <w:r w:rsidRPr="00163266">
              <w:t xml:space="preserve"> säädettyjen velvoitteiden noudattaminen.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163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11 artikla – 7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7.</w:t>
            </w:r>
            <w:r w:rsidRPr="00163266">
              <w:tab/>
              <w:t xml:space="preserve">Jos seurantaa koskevaan päätökseen sisältyvät riskejä lieventävät toimenpiteet edellyttävät, että </w:t>
            </w:r>
            <w:r w:rsidRPr="00163266">
              <w:rPr>
                <w:b/>
                <w:i/>
              </w:rPr>
              <w:t>muihin jäsenvaltioihin</w:t>
            </w:r>
            <w:r w:rsidRPr="00163266">
              <w:t xml:space="preserve"> sijoittautuneet yritykset noudattavat vaatimuksia, </w:t>
            </w:r>
            <w:r w:rsidRPr="00163266">
              <w:rPr>
                <w:b/>
                <w:i/>
              </w:rPr>
              <w:t>seurantaa koskevan päätöksen tehneiden</w:t>
            </w:r>
            <w:r w:rsidRPr="00163266">
              <w:t xml:space="preserve"> jäsenvaltioiden on tehtävä yhteistyötä</w:t>
            </w:r>
            <w:r w:rsidRPr="00163266">
              <w:rPr>
                <w:b/>
                <w:i/>
              </w:rPr>
              <w:t xml:space="preserve"> kyseisten muiden jäsenvaltioiden kanssa</w:t>
            </w:r>
            <w:r w:rsidRPr="00163266">
              <w:t xml:space="preserve"> seurantaa koskevan päätöksen valvonnassa ja täytäntöönpanossa. Jäsenvaltioiden on varmistettava, että niillä on kaikki tarvittavat oikeudelliset keinot ja valtuudet puuttua tehokkaasti noudattamatta jättämisen seurauksiin seurantaa </w:t>
            </w:r>
            <w:r w:rsidRPr="00163266">
              <w:lastRenderedPageBreak/>
              <w:t>koskevassa päätöksessä esitetyillä riskejä lieventävillä toimenpiteillä.</w:t>
            </w:r>
          </w:p>
        </w:tc>
        <w:tc>
          <w:tcPr>
            <w:tcW w:w="4876" w:type="dxa"/>
            <w:hideMark/>
          </w:tcPr>
          <w:p w:rsidR="001E1179" w:rsidRPr="00163266" w:rsidRDefault="001E1179" w:rsidP="00F60C33">
            <w:pPr>
              <w:pStyle w:val="Normal6"/>
              <w:widowControl/>
              <w:rPr>
                <w:b/>
                <w:i/>
                <w:szCs w:val="24"/>
              </w:rPr>
            </w:pPr>
            <w:r w:rsidRPr="00163266">
              <w:lastRenderedPageBreak/>
              <w:t>7.</w:t>
            </w:r>
            <w:r w:rsidRPr="00163266">
              <w:tab/>
              <w:t xml:space="preserve">Jos seurantaa koskevaan päätökseen sisältyvät riskejä lieventävät toimenpiteet edellyttävät, että </w:t>
            </w:r>
            <w:r w:rsidRPr="00163266">
              <w:rPr>
                <w:b/>
                <w:i/>
              </w:rPr>
              <w:t>useampaan kuin yhteen jäsenvaltioon</w:t>
            </w:r>
            <w:r w:rsidRPr="00163266">
              <w:t xml:space="preserve"> sijoittautuneet yritykset noudattavat vaatimuksia, </w:t>
            </w:r>
            <w:r w:rsidRPr="00163266">
              <w:rPr>
                <w:b/>
                <w:i/>
              </w:rPr>
              <w:t>asianomaisten</w:t>
            </w:r>
            <w:r w:rsidRPr="00163266">
              <w:t xml:space="preserve"> jäsenvaltioiden on tehtävä </w:t>
            </w:r>
            <w:r w:rsidRPr="00163266">
              <w:rPr>
                <w:b/>
                <w:i/>
              </w:rPr>
              <w:t xml:space="preserve">keskenään </w:t>
            </w:r>
            <w:r w:rsidRPr="00163266">
              <w:t>yhteistyötä seurantaa koskevan päätöksen valvonnassa ja täytäntöönpanossa. Jäsenvaltioiden on varmistettava, että niillä on kaikki tarvittavat oikeudelliset keinot ja valtuudet puuttua tehokkaasti noudattamatta jättämisen seurauksiin</w:t>
            </w:r>
            <w:r w:rsidRPr="00163266">
              <w:rPr>
                <w:b/>
                <w:i/>
              </w:rPr>
              <w:t xml:space="preserve"> jonkin toisen jäsenvaltion tai komission tekemässä</w:t>
            </w:r>
            <w:r w:rsidRPr="00163266">
              <w:t xml:space="preserve"> seurantaa koskevassa </w:t>
            </w:r>
            <w:r w:rsidRPr="00163266">
              <w:lastRenderedPageBreak/>
              <w:t>päätöksessä esitetyillä riskejä lieventävillä toimenpiteillä.</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164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11 artikla – 7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b/>
                <w:i/>
                <w:szCs w:val="24"/>
              </w:rPr>
            </w:pPr>
            <w:r w:rsidRPr="00163266">
              <w:rPr>
                <w:b/>
                <w:i/>
              </w:rPr>
              <w:t>7 a.</w:t>
            </w:r>
            <w:r w:rsidRPr="00163266">
              <w:rPr>
                <w:b/>
                <w:i/>
              </w:rPr>
              <w:tab/>
              <w:t>Jos vastaanottava jäsenvaltio määrää seurantaa koskevan päätöksen tekemisen jälkeen 4 artiklan 2 kohdan h a alakohdan mukaisesti seuraamuksia, sen on ilmoitettava asiasta komissiolle ja liiketoimesta huomautuksia esittäneille jäsenvaltioille kohtuullisen ajan kuluessa.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165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12 artikla – 1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1.</w:t>
            </w:r>
            <w:r w:rsidRPr="00163266">
              <w:tab/>
              <w:t>Edellä 5, 7 ja 9 artiklassa säädettyjen menettelyjen mukaisesti saatuja tietoja saa käyttää ainoastaan siihen tarkoitukseen, johon niitä pyydettiin, paitsi jos</w:t>
            </w:r>
          </w:p>
        </w:tc>
        <w:tc>
          <w:tcPr>
            <w:tcW w:w="4876" w:type="dxa"/>
            <w:hideMark/>
          </w:tcPr>
          <w:p w:rsidR="001E1179" w:rsidRPr="00163266" w:rsidRDefault="001E1179" w:rsidP="00F60C33">
            <w:pPr>
              <w:pStyle w:val="Normal6"/>
              <w:widowControl/>
              <w:rPr>
                <w:szCs w:val="24"/>
              </w:rPr>
            </w:pPr>
            <w:r w:rsidRPr="00163266">
              <w:t>1.</w:t>
            </w:r>
            <w:r w:rsidRPr="00163266">
              <w:tab/>
              <w:t>Edellä 5, 7</w:t>
            </w:r>
            <w:r w:rsidRPr="00163266">
              <w:rPr>
                <w:b/>
                <w:i/>
              </w:rPr>
              <w:t>, 9</w:t>
            </w:r>
            <w:r w:rsidRPr="00163266">
              <w:t xml:space="preserve"> ja 9</w:t>
            </w:r>
            <w:r w:rsidRPr="00163266">
              <w:rPr>
                <w:b/>
                <w:i/>
              </w:rPr>
              <w:t> a</w:t>
            </w:r>
            <w:r w:rsidRPr="00163266">
              <w:t xml:space="preserve"> artiklassa säädettyjen menettelyjen mukaisesti saatuja tietoja saa käyttää ainoastaan siihen tarkoitukseen, johon niitä pyydettiin, paitsi jos</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166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12 artikla – 1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(b)</w:t>
            </w:r>
            <w:r w:rsidRPr="00163266">
              <w:tab/>
              <w:t xml:space="preserve">Euroopan unionin tuomioistuin tai </w:t>
            </w:r>
            <w:r w:rsidRPr="00163266">
              <w:rPr>
                <w:b/>
                <w:i/>
              </w:rPr>
              <w:t>sen</w:t>
            </w:r>
            <w:r w:rsidRPr="00163266">
              <w:t xml:space="preserve"> jäsenvaltion tuomioistuin</w:t>
            </w:r>
            <w:r w:rsidRPr="00163266">
              <w:rPr>
                <w:b/>
                <w:i/>
              </w:rPr>
              <w:t>, jossa ulkomainen sijoitus on suunniteltu toteutettavaksi tai on toteutettu,</w:t>
            </w:r>
            <w:r w:rsidRPr="00163266">
              <w:t xml:space="preserve"> pyytää tällaisia tietoja oikeudenkäyntiä varten.</w:t>
            </w:r>
          </w:p>
        </w:tc>
        <w:tc>
          <w:tcPr>
            <w:tcW w:w="4876" w:type="dxa"/>
            <w:hideMark/>
          </w:tcPr>
          <w:p w:rsidR="001E1179" w:rsidRPr="00163266" w:rsidRDefault="001E1179" w:rsidP="00F60C33">
            <w:pPr>
              <w:pStyle w:val="Normal6"/>
              <w:widowControl/>
              <w:rPr>
                <w:szCs w:val="24"/>
              </w:rPr>
            </w:pPr>
            <w:r w:rsidRPr="00163266">
              <w:t>(b)</w:t>
            </w:r>
            <w:r w:rsidRPr="00163266">
              <w:tab/>
              <w:t xml:space="preserve">Euroopan unionin tuomioistuin tai </w:t>
            </w:r>
            <w:r w:rsidRPr="00163266">
              <w:rPr>
                <w:b/>
                <w:i/>
              </w:rPr>
              <w:t>vastaanottavan</w:t>
            </w:r>
            <w:r w:rsidRPr="00163266">
              <w:t xml:space="preserve"> jäsenvaltion tuomioistuin pyytää tällaisia tietoja oikeudenkäyntiä varten.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167</w:t>
      </w:r>
    </w:p>
    <w:p w:rsidR="001E1179" w:rsidRPr="00163266" w:rsidRDefault="001E1179" w:rsidP="001E1179">
      <w:pPr>
        <w:widowControl/>
      </w:pPr>
    </w:p>
    <w:p w:rsidR="001E1179" w:rsidRPr="00163266" w:rsidRDefault="001E1179" w:rsidP="001E1179">
      <w:pPr>
        <w:pStyle w:val="NormalBold"/>
        <w:keepNext/>
        <w:widowControl/>
      </w:pPr>
      <w:r w:rsidRPr="00163266">
        <w:lastRenderedPageBreak/>
        <w:t>Ehdotus asetukseksi</w:t>
      </w:r>
    </w:p>
    <w:p w:rsidR="001E1179" w:rsidRPr="00163266" w:rsidRDefault="001E1179" w:rsidP="001E1179">
      <w:pPr>
        <w:pStyle w:val="NormalBold"/>
        <w:widowControl/>
      </w:pPr>
      <w:r w:rsidRPr="00163266">
        <w:t>12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4.</w:t>
            </w:r>
            <w:r w:rsidRPr="00163266">
              <w:rPr>
                <w:b/>
                <w:i/>
              </w:rPr>
              <w:tab/>
              <w:t>Komissio tarjoaa suojatun ja salatun järjestelmän, jolla tuetaan tiedonvaihtoa yhteyspisteiden välillä.</w:t>
            </w:r>
          </w:p>
        </w:tc>
        <w:tc>
          <w:tcPr>
            <w:tcW w:w="4876" w:type="dxa"/>
            <w:hideMark/>
          </w:tcPr>
          <w:p w:rsidR="001E1179" w:rsidRPr="00163266" w:rsidRDefault="001E1179" w:rsidP="00F60C33">
            <w:pPr>
              <w:pStyle w:val="Normal6"/>
              <w:widowControl/>
              <w:rPr>
                <w:szCs w:val="24"/>
              </w:rPr>
            </w:pPr>
            <w:r w:rsidRPr="00163266">
              <w:rPr>
                <w:b/>
                <w:i/>
              </w:rPr>
              <w:t>Poistetaan.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168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12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jc w:val="center"/>
              <w:rPr>
                <w:szCs w:val="24"/>
              </w:rPr>
            </w:pPr>
            <w:r w:rsidRPr="00163266">
              <w:rPr>
                <w:b/>
                <w:i/>
              </w:rPr>
              <w:t>12 a artikla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jc w:val="center"/>
              <w:rPr>
                <w:szCs w:val="24"/>
              </w:rPr>
            </w:pPr>
            <w:r w:rsidRPr="00163266">
              <w:rPr>
                <w:b/>
                <w:i/>
              </w:rPr>
              <w:t>Suojattu ja salattu järjestelmä ja keskitetty portaali</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1.</w:t>
            </w:r>
            <w:r w:rsidRPr="00163266">
              <w:tab/>
            </w:r>
            <w:r w:rsidRPr="00163266">
              <w:rPr>
                <w:b/>
                <w:i/>
              </w:rPr>
              <w:t>Komissio perustaa yhteyspisteiden välistä tietojenvaihtoa helpottavan suojatun ja salatun järjestelmän ja ylläpitää sitä. Kaiken tämän asetuksen mukaisen jäsenvaltioiden keskinäisen sekä jäsenvaltioiden ja komission välisen viestinnän, mukaan lukien 5 artiklan mukaisten ilmoitusten ja 7 artiklan mukaisten huomautusten ja lausuntojen toimittaminen, on tapahduttava yksinomaan kyseisen suojatun ja salatun järjestelmän kautta.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2.</w:t>
            </w:r>
            <w:r w:rsidRPr="00163266">
              <w:tab/>
            </w:r>
            <w:r w:rsidRPr="00163266">
              <w:rPr>
                <w:b/>
                <w:i/>
              </w:rPr>
              <w:t>Osana suojattua ja salattua järjestelmää komissio ottaa käyttöön keskitetyn verkkoportaalin, jonka kautta ulkomaisista sijoituksista ilmoitetaan sähköisesti seurantaviranomaisille. Keskitetyn portaalin on oltava toiminnassa viimeistään [...] päivänä [...]kuuta [...] [kuusi kuukautta ennen tämän asetuksen soveltamispäivää]. Sen on määrä toimia ulkomaisten sijoitusten seurannan alkupisteenä. Jäsenvaltioiden on käytettävä keskitettyä portaalia hakemusten vastaanottamiseen ja muuhun hakijoiden kanssa käytävään viestintään.</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3.</w:t>
            </w:r>
            <w:r w:rsidRPr="00163266">
              <w:tab/>
            </w:r>
            <w:r w:rsidRPr="00163266">
              <w:rPr>
                <w:b/>
                <w:i/>
              </w:rPr>
              <w:t xml:space="preserve">Hakijoiden ja heidän laillisten edustajiensa on toimitettava hakemukset </w:t>
            </w:r>
            <w:r w:rsidRPr="00163266">
              <w:rPr>
                <w:b/>
                <w:i/>
              </w:rPr>
              <w:lastRenderedPageBreak/>
              <w:t>tämän artiklan 2 kohdan nojalla perustetun keskitetyn portaalin kautta saatavilla olevalla verkkolomakkeella. Lomakkeessa on oltava 10 artiklan 1 kohdassa vaaditut tiedot.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4.</w:t>
            </w:r>
            <w:r w:rsidRPr="00163266">
              <w:tab/>
            </w:r>
            <w:r w:rsidRPr="00163266">
              <w:rPr>
                <w:b/>
                <w:i/>
              </w:rPr>
              <w:t>Hakijan on hakemuslomakkeen jättämisen yhteydessä valittava jäsenvaltiot, joihin hakemus toimitetaan. Vastaanottavan jäsenvaltion ja hakijoiden välinen myöhempi viestintä käydään keskitetyn portaalin kautta, kunnes lupahakemuksen käsittely on saatu päätökseen.</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5.</w:t>
            </w:r>
            <w:r w:rsidRPr="00163266">
              <w:tab/>
            </w:r>
            <w:r w:rsidRPr="00163266">
              <w:rPr>
                <w:b/>
                <w:i/>
              </w:rPr>
              <w:t>Kaikki keskitetyn portaalin kautta välitetyt tiedot asetetaan ainoastaan nimetyn vastaanottajan saataville.</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6.</w:t>
            </w:r>
            <w:r w:rsidRPr="00163266">
              <w:tab/>
            </w:r>
            <w:r w:rsidRPr="00163266">
              <w:rPr>
                <w:b/>
                <w:i/>
              </w:rPr>
              <w:t>Komissio hyväksyy viimeistään [...] päivänä [...]kuuta [...] [kuusi kuukautta ennen tämän asetuksen soveltamispäivää] 21 artiklan mukaisilla täytäntöönpanosäädöksillä toimenpiteitä, joissa vahvistetaan tässä artiklassa säädetyn keskitetyn portaalin sekä suojatun ja salatun järjestelmän toimintaa koskevat yksityiskohtaiset säännöt.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7.</w:t>
            </w:r>
            <w:r w:rsidRPr="00163266">
              <w:tab/>
            </w:r>
            <w:r w:rsidRPr="00163266">
              <w:rPr>
                <w:b/>
                <w:i/>
              </w:rPr>
              <w:t xml:space="preserve">Osana suojattua ja salattua järjestelmää komissio perustaa kaikkien jäsenvaltioiden saataville asetettavan suojatun tietokannan, joka sisältää tiedot, joita on vaihdettu yhteistyömekanismin avulla arvioiduista ulkomaisista sijoituksista, kuten tiedot osapuolista, esitetyistä huomautuksista ja annetuista lausunnoista sekä kansallisten seurantamekanismien mukaisten arviointien tuloksista, mukaan lukien tiedot asiaankuuluvista seurantaa koskevista päätöksistä. Komissio perustaa kyseisen suojatun tietokannan viimeistään [...] päivänä [...]kuuta [...] [kuusi kuukautta tämän asetuksen voimaantulopäivästä] ja lataa kyseiseen tietokantaan tiedot, jotka sillä on ollut käytettävissään 12 päivästä lokakuuta 2020 alkaen. Jäsenvaltioiden on ladattava viimeistään [...] päivänä [...]kuuta [...] [tämän asetuksen soveltamispäivä] kyseiseen tietokantaan käytettävissään olevat tiedot, jotka koskevat niiden omien </w:t>
            </w:r>
            <w:r w:rsidRPr="00163266">
              <w:rPr>
                <w:b/>
                <w:i/>
              </w:rPr>
              <w:lastRenderedPageBreak/>
              <w:t>seurantamekanismien mukaisesti toteutettujen menettelyjen tuloksia. Jäsenvaltiot ja komissio voivat myös antaa lisätietoja tai -selvityksiä, mukaan lukien asiaankuuluvat liiketoimintatiedot, jotka ne ovat hankkineet kaupallisilta myyjiltä ja jotka on todennettu.</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169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12 b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jc w:val="center"/>
              <w:rPr>
                <w:szCs w:val="24"/>
              </w:rPr>
            </w:pPr>
            <w:r w:rsidRPr="00163266">
              <w:rPr>
                <w:b/>
                <w:i/>
              </w:rPr>
              <w:t>12 b artikla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jc w:val="center"/>
              <w:rPr>
                <w:szCs w:val="24"/>
              </w:rPr>
            </w:pPr>
            <w:r w:rsidRPr="00163266">
              <w:rPr>
                <w:b/>
                <w:i/>
              </w:rPr>
              <w:t>Liiketoimintatiedon hallinta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Komissio kehittää liiketoimintatiedon hallintaa, jolla tuetaan seurannasta vastaavia jäsenvaltioiden viranomaisia ulkomaisiin sijoituksiin liittyvien mahdollisten turvallisuuteen ja yleiseen järjestykseen kohdistuvien riskien tunnistamisessa, laatii koordinoituja riskinarviointeja ja ulkomaisten sijoitusten seurantaa käsittelevää komission asiantuntijaryhmää kuullen tukee ulkomaisia suoria sijoituksia koskevien unionin valmiuksien kehittämisohjelmaa, jonka tarkoituksena on yksilöidä ja jakaa parhaita käytäntöjä ja saatua kokemusta, ja tarjoaa yhteisiä koulutusohjelmia jäsenvaltioiden viranomaisille.</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170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w:t>
            </w:r>
            <w:r w:rsidRPr="00163266">
              <w:tab/>
              <w:t xml:space="preserve">Komissio määrittää 7 artiklan 2 tai 3 kohdan tai 9 artiklan 7 kohdan mukaisen asianmukaisesti perustellun lausunnon antamista varten, pitääkö se todennäköisenä, että ulkomainen sijoitus </w:t>
            </w:r>
            <w:r w:rsidRPr="00163266">
              <w:lastRenderedPageBreak/>
              <w:t>vaikuttaa kielteisesti turvallisuuteen tai yleiseen järjestykseen.</w:t>
            </w:r>
          </w:p>
        </w:tc>
        <w:tc>
          <w:tcPr>
            <w:tcW w:w="4876" w:type="dxa"/>
            <w:hideMark/>
          </w:tcPr>
          <w:p w:rsidR="001E1179" w:rsidRPr="00163266" w:rsidRDefault="001E1179" w:rsidP="00F60C33">
            <w:pPr>
              <w:pStyle w:val="Normal6"/>
              <w:widowControl/>
              <w:rPr>
                <w:szCs w:val="24"/>
              </w:rPr>
            </w:pPr>
            <w:r w:rsidRPr="00163266">
              <w:lastRenderedPageBreak/>
              <w:t>2.</w:t>
            </w:r>
            <w:r w:rsidRPr="00163266">
              <w:tab/>
              <w:t>Komissio määrittää 7 artiklan 2 tai 3 kohdan tai 9 artiklan 7 kohdan mukaisen asianmukaisesti perustellun lausunnon antamista varten</w:t>
            </w:r>
            <w:r w:rsidRPr="00163266">
              <w:rPr>
                <w:b/>
                <w:i/>
              </w:rPr>
              <w:t xml:space="preserve"> taikka 7 artiklan 9 b tai 9 c kohdan mukaisen päätöksen tekemiseksi</w:t>
            </w:r>
            <w:r w:rsidRPr="00163266">
              <w:t xml:space="preserve">, pitääkö se todennäköisenä, </w:t>
            </w:r>
            <w:r w:rsidRPr="00163266">
              <w:lastRenderedPageBreak/>
              <w:t>että ulkomainen sijoitus vaikuttaa kielteisesti turvallisuuteen tai yleiseen järjestykseen.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171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3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3.</w:t>
            </w:r>
            <w:r w:rsidRPr="00163266">
              <w:tab/>
              <w:t>Määrittäessään, vaikuttaako sijoitus todennäköisesti kielteisesti turvallisuuteen tai yleiseen järjestykseen, jäsenvaltioiden tai komission on erityisesti harkittava, vaikuttaako kyseinen sijoitus todennäköisesti kielteisesti seuraaviin:</w:t>
            </w:r>
          </w:p>
        </w:tc>
        <w:tc>
          <w:tcPr>
            <w:tcW w:w="4876" w:type="dxa"/>
            <w:hideMark/>
          </w:tcPr>
          <w:p w:rsidR="001E1179" w:rsidRPr="00163266" w:rsidRDefault="001E1179" w:rsidP="00F60C33">
            <w:pPr>
              <w:pStyle w:val="Normal6"/>
              <w:widowControl/>
              <w:rPr>
                <w:szCs w:val="24"/>
              </w:rPr>
            </w:pPr>
            <w:r w:rsidRPr="00163266">
              <w:t>3.</w:t>
            </w:r>
            <w:r w:rsidRPr="00163266">
              <w:tab/>
              <w:t xml:space="preserve">Määrittäessään, vaikuttaako </w:t>
            </w:r>
            <w:r w:rsidRPr="00163266">
              <w:rPr>
                <w:b/>
                <w:i/>
              </w:rPr>
              <w:t xml:space="preserve">ulkomainen </w:t>
            </w:r>
            <w:r w:rsidRPr="00163266">
              <w:t>sijoitus todennäköisesti kielteisesti turvallisuuteen tai yleiseen järjestykseen, jäsenvaltioiden tai komission on erityisesti harkittava, vaikuttaako kyseinen sijoitus todennäköisesti kielteisesti seuraaviin: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172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3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277A55">
            <w:pPr>
              <w:pStyle w:val="Normal6"/>
              <w:widowControl/>
            </w:pPr>
            <w:r w:rsidRPr="00163266">
              <w:t>(a)</w:t>
            </w:r>
            <w:r w:rsidRPr="00163266">
              <w:tab/>
              <w:t xml:space="preserve">kriittisen – sekä fyysisen että virtuaalisen – infrastruktuurin </w:t>
            </w:r>
            <w:r w:rsidRPr="00163266">
              <w:rPr>
                <w:b/>
                <w:i/>
              </w:rPr>
              <w:t>turvallisuus, eheys</w:t>
            </w:r>
            <w:r w:rsidRPr="00163266">
              <w:t xml:space="preserve"> ja </w:t>
            </w:r>
            <w:r w:rsidRPr="00163266">
              <w:rPr>
                <w:b/>
                <w:i/>
              </w:rPr>
              <w:t>toiminta</w:t>
            </w:r>
            <w:r w:rsidRPr="00163266">
              <w:t>; tässä yhteydessä on käytettävissä olevien tietojen perusteella arvioitava myös, vaikuttaako ulkomainen sijoitus todennäköisesti kielteisesti Euroopan parlamentin ja neuvoston direktiivin (EU) 2022/2557</w:t>
            </w:r>
            <w:r w:rsidRPr="00163266">
              <w:rPr>
                <w:vertAlign w:val="superscript"/>
              </w:rPr>
              <w:t>20</w:t>
            </w:r>
            <w:r w:rsidRPr="00163266">
              <w:t xml:space="preserve"> nojalla tunnistettujen kriittisten toimijoiden ja Euroopan parlamentin ja neuvoston direktiivin (EU) 2022/2555</w:t>
            </w:r>
            <w:r w:rsidRPr="00163266">
              <w:rPr>
                <w:vertAlign w:val="superscript"/>
              </w:rPr>
              <w:t>21</w:t>
            </w:r>
            <w:r w:rsidRPr="00163266">
              <w:t xml:space="preserve"> soveltamisalaan kuuluvien toimijoiden häiriönsietokykyyn. Huomioon on otettava myös direktiivin (EU) 2022/2555 22</w:t>
            </w:r>
            <w:r w:rsidR="00277A55" w:rsidRPr="00163266">
              <w:t> </w:t>
            </w:r>
            <w:r w:rsidRPr="00163266">
              <w:t xml:space="preserve">artiklan 1 kohdan mukaisesti toteutettujen kriittisiä toimitusketjuja koskevien </w:t>
            </w:r>
            <w:r w:rsidRPr="00163266">
              <w:rPr>
                <w:b/>
                <w:i/>
              </w:rPr>
              <w:t>EU:n tason koordinoitujen turvallisuusriskien arviointien tulokset;</w:t>
            </w:r>
          </w:p>
        </w:tc>
        <w:tc>
          <w:tcPr>
            <w:tcW w:w="4876" w:type="dxa"/>
            <w:hideMark/>
          </w:tcPr>
          <w:p w:rsidR="001E1179" w:rsidRPr="00163266" w:rsidRDefault="001E1179" w:rsidP="00277A55">
            <w:pPr>
              <w:pStyle w:val="Normal6"/>
              <w:widowControl/>
              <w:rPr>
                <w:szCs w:val="24"/>
              </w:rPr>
            </w:pPr>
            <w:r w:rsidRPr="00163266">
              <w:t>(a)</w:t>
            </w:r>
            <w:r w:rsidRPr="00163266">
              <w:tab/>
            </w:r>
            <w:r w:rsidRPr="00163266">
              <w:rPr>
                <w:b/>
                <w:i/>
              </w:rPr>
              <w:t>kriittisen infrastruktuurin turvallisuus, eheys, toiminta ja häiriönsietokyky, mukaan lukien tällaisen</w:t>
            </w:r>
            <w:r w:rsidRPr="00163266">
              <w:t xml:space="preserve"> kriittisen – sekä fyysisen että virtuaalisen – infrastruktuurin </w:t>
            </w:r>
            <w:r w:rsidRPr="00163266">
              <w:rPr>
                <w:b/>
                <w:i/>
              </w:rPr>
              <w:t>käytön kannalta tärkeät maa-alueet</w:t>
            </w:r>
            <w:r w:rsidRPr="00163266">
              <w:t xml:space="preserve"> ja </w:t>
            </w:r>
            <w:r w:rsidRPr="00163266">
              <w:rPr>
                <w:b/>
                <w:i/>
              </w:rPr>
              <w:t>kiinteistöt</w:t>
            </w:r>
            <w:r w:rsidRPr="00163266">
              <w:t>; tässä yhteydessä on käytettävissä olevien tietojen perusteella arvioitava myös, vaikuttaako ulkomainen sijoitus todennäköisesti kielteisesti Euroopan parlamentin ja neuvoston direktiivin (EU) 2022/2557</w:t>
            </w:r>
            <w:r w:rsidRPr="00163266">
              <w:rPr>
                <w:vertAlign w:val="superscript"/>
              </w:rPr>
              <w:t>20</w:t>
            </w:r>
            <w:r w:rsidRPr="00163266">
              <w:t xml:space="preserve"> nojalla tunnistettujen kriittisten toimijoiden ja Euroopan parlamentin ja neuvoston direktiivin (EU) 2022/2555</w:t>
            </w:r>
            <w:r w:rsidRPr="00163266">
              <w:rPr>
                <w:vertAlign w:val="superscript"/>
              </w:rPr>
              <w:t>21</w:t>
            </w:r>
            <w:r w:rsidRPr="00163266">
              <w:t xml:space="preserve"> soveltamisalaan kuuluvien toimijoiden häiriönsietokykyyn. Huomioon on otettava </w:t>
            </w:r>
            <w:r w:rsidRPr="00163266">
              <w:rPr>
                <w:b/>
                <w:i/>
              </w:rPr>
              <w:t xml:space="preserve">EU:n tason koordinoitujen turvallisuusriskien arviointien tulokset, </w:t>
            </w:r>
            <w:r w:rsidRPr="00163266">
              <w:t>myös direktiivin (EU) 2022/2555 22</w:t>
            </w:r>
            <w:r w:rsidR="00277A55" w:rsidRPr="00163266">
              <w:t> </w:t>
            </w:r>
            <w:r w:rsidRPr="00163266">
              <w:t xml:space="preserve">artiklan 1 kohdan mukaisesti toteutettujen kriittisiä toimitusketjuja koskevien </w:t>
            </w:r>
            <w:r w:rsidRPr="00163266">
              <w:rPr>
                <w:b/>
                <w:i/>
              </w:rPr>
              <w:t xml:space="preserve">arviointien tulokset, joissa </w:t>
            </w:r>
            <w:r w:rsidRPr="00163266">
              <w:rPr>
                <w:b/>
                <w:i/>
              </w:rPr>
              <w:lastRenderedPageBreak/>
              <w:t>otetaan huomioon sekä tekniset että muut kuin tekniset</w:t>
            </w:r>
            <w:r w:rsidRPr="00163266">
              <w:t xml:space="preserve"> </w:t>
            </w:r>
            <w:r w:rsidRPr="00163266">
              <w:rPr>
                <w:b/>
                <w:i/>
              </w:rPr>
              <w:t>riskitekijät;</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lastRenderedPageBreak/>
              <w:t>__________________</w:t>
            </w:r>
          </w:p>
        </w:tc>
        <w:tc>
          <w:tcPr>
            <w:tcW w:w="4876" w:type="dxa"/>
            <w:hideMark/>
          </w:tcPr>
          <w:p w:rsidR="001E1179" w:rsidRPr="00163266" w:rsidRDefault="001E1179" w:rsidP="00F60C33">
            <w:pPr>
              <w:pStyle w:val="Normal6"/>
              <w:widowControl/>
              <w:rPr>
                <w:szCs w:val="24"/>
              </w:rPr>
            </w:pPr>
            <w:r w:rsidRPr="00163266">
              <w:t>__________________</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vertAlign w:val="superscript"/>
              </w:rPr>
              <w:t>20</w:t>
            </w:r>
            <w:r w:rsidRPr="00163266">
              <w:t xml:space="preserve"> Euroopan parlamentin ja neuvoston direktiivi (EU) 2022/2557, annettu 14 päivänä joulukuuta 2022, kriittisten toimijoiden häiriönsietokyvystä ja direktiivin 2008/114/EY kumoamisesta (EUVL L 333, 27.12.2022, s. 164–198, ELI: http://data.europa.eu/eli/dir/2022/2557/oj).</w:t>
            </w:r>
          </w:p>
        </w:tc>
        <w:tc>
          <w:tcPr>
            <w:tcW w:w="4876" w:type="dxa"/>
            <w:hideMark/>
          </w:tcPr>
          <w:p w:rsidR="001E1179" w:rsidRPr="00163266" w:rsidRDefault="001E1179" w:rsidP="00F60C33">
            <w:pPr>
              <w:pStyle w:val="Normal6"/>
              <w:widowControl/>
              <w:rPr>
                <w:szCs w:val="24"/>
              </w:rPr>
            </w:pPr>
            <w:r w:rsidRPr="00163266">
              <w:rPr>
                <w:vertAlign w:val="superscript"/>
              </w:rPr>
              <w:t>20</w:t>
            </w:r>
            <w:r w:rsidRPr="00163266">
              <w:t xml:space="preserve"> Euroopan parlamentin ja neuvoston direktiivi (EU) 2022/2557, annettu 14 päivänä joulukuuta 2022, kriittisten toimijoiden häiriönsietokyvystä ja direktiivin 2008/114/EY kumoamisesta (EUVL L 333, 27.12.2022, s. 164–198, ELI: http://data.europa.eu/eli/dir/2022/2557/oj).</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vertAlign w:val="superscript"/>
              </w:rPr>
              <w:t>21</w:t>
            </w:r>
            <w:r w:rsidRPr="00163266">
              <w:t xml:space="preserve"> Euroopan parlamentin ja neuvoston direktiivi (EU) 2022/2555, annettu 14 päivänä joulukuuta 2022, toimenpiteistä kyberturvallisuuden yhteisen korkean tason varmistamiseksi kaikkialla unionissa, asetuksen (EU) N:o 910/2014 ja direktiivin (EU) 2018/1972 muuttamisesta sekä direktiivin (EU) 2016/1148 kumoamisesta (EUVL L 333, 27.12.2022, s. 80–152, ELI: http://data.europa.eu/eli/dir/2022/2555/oj).</w:t>
            </w:r>
          </w:p>
        </w:tc>
        <w:tc>
          <w:tcPr>
            <w:tcW w:w="4876" w:type="dxa"/>
            <w:hideMark/>
          </w:tcPr>
          <w:p w:rsidR="001E1179" w:rsidRPr="00163266" w:rsidRDefault="001E1179" w:rsidP="00F60C33">
            <w:pPr>
              <w:pStyle w:val="Normal6"/>
              <w:widowControl/>
              <w:rPr>
                <w:szCs w:val="24"/>
              </w:rPr>
            </w:pPr>
            <w:r w:rsidRPr="00163266">
              <w:rPr>
                <w:vertAlign w:val="superscript"/>
              </w:rPr>
              <w:t>21</w:t>
            </w:r>
            <w:r w:rsidRPr="00163266">
              <w:t xml:space="preserve"> Euroopan parlamentin ja neuvoston direktiivi (EU) 2022/2555, annettu 14 päivänä joulukuuta 2022, toimenpiteistä kyberturvallisuuden yhteisen korkean tason varmistamiseksi kaikkialla unionissa, asetuksen (EU) N:o 910/2014 ja direktiivin (EU) 2018/1972 muuttamisesta sekä direktiivin (EU) 2016/1148 kumoamisesta (EUVL L 333, 27.12.2022, s. 80–152, ELI: http://data.europa.eu/eli/dir/2022/2555/oj).</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173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 xml:space="preserve">13 artikla – 3 kohta – a </w:t>
      </w:r>
      <w:proofErr w:type="spellStart"/>
      <w:r w:rsidRPr="00163266">
        <w:t>a</w:t>
      </w:r>
      <w:proofErr w:type="spellEnd"/>
      <w:r w:rsidRPr="00163266">
        <w:t xml:space="preserve">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(a a)</w:t>
            </w:r>
            <w:r w:rsidRPr="00163266">
              <w:rPr>
                <w:b/>
                <w:i/>
              </w:rPr>
              <w:tab/>
              <w:t>unionin sijoituskohteen välittömässä läheisyydessä sijaitsevien sotilaskohteiden ja muiden riskialttiiden julkisten kohteiden turvallisuus;</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174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3 kohta – a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(a b)</w:t>
            </w:r>
            <w:r w:rsidRPr="00163266">
              <w:rPr>
                <w:b/>
                <w:i/>
              </w:rPr>
              <w:tab/>
              <w:t>sisämarkkinoiden turvallisuus, eheys, toiminta, toiminnan vakaus ja häiriönsietokyky;</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175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3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(b)</w:t>
            </w:r>
            <w:r w:rsidRPr="00163266">
              <w:tab/>
              <w:t>kriittisen teknologian saatavuus;</w:t>
            </w:r>
          </w:p>
        </w:tc>
        <w:tc>
          <w:tcPr>
            <w:tcW w:w="4876" w:type="dxa"/>
            <w:hideMark/>
          </w:tcPr>
          <w:p w:rsidR="001E1179" w:rsidRPr="00163266" w:rsidRDefault="001E1179" w:rsidP="00F60C33">
            <w:pPr>
              <w:pStyle w:val="Normal6"/>
              <w:widowControl/>
              <w:rPr>
                <w:szCs w:val="24"/>
              </w:rPr>
            </w:pPr>
            <w:r w:rsidRPr="00163266">
              <w:t>(b)</w:t>
            </w:r>
            <w:r w:rsidRPr="00163266">
              <w:tab/>
              <w:t>kriittisen teknologian saatavuus</w:t>
            </w:r>
            <w:r w:rsidRPr="00163266">
              <w:rPr>
                <w:b/>
                <w:i/>
              </w:rPr>
              <w:t xml:space="preserve"> ja käyttöönotto, teknologiaturvallisuus ja teknologiavuoto</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176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3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(c)</w:t>
            </w:r>
            <w:r w:rsidRPr="00163266">
              <w:tab/>
              <w:t xml:space="preserve">kriittisten tuotantopanosten </w:t>
            </w:r>
            <w:r w:rsidRPr="00163266">
              <w:rPr>
                <w:b/>
                <w:i/>
              </w:rPr>
              <w:t>toimitusten jatkuvuus</w:t>
            </w:r>
            <w:r w:rsidRPr="00163266">
              <w:t>;</w:t>
            </w:r>
          </w:p>
        </w:tc>
        <w:tc>
          <w:tcPr>
            <w:tcW w:w="4876" w:type="dxa"/>
            <w:hideMark/>
          </w:tcPr>
          <w:p w:rsidR="001E1179" w:rsidRPr="00163266" w:rsidRDefault="001E1179" w:rsidP="00F60C33">
            <w:pPr>
              <w:pStyle w:val="Normal6"/>
              <w:widowControl/>
              <w:rPr>
                <w:szCs w:val="24"/>
              </w:rPr>
            </w:pPr>
            <w:r w:rsidRPr="00163266">
              <w:t>(c)</w:t>
            </w:r>
            <w:r w:rsidRPr="00163266">
              <w:tab/>
              <w:t xml:space="preserve">kriittisten tuotantopanosten </w:t>
            </w:r>
            <w:r w:rsidRPr="00163266">
              <w:rPr>
                <w:b/>
                <w:i/>
              </w:rPr>
              <w:t>toimitusketjujen turvallisuus ja häiriönsietokyky</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177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3 kohta – c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(c a)</w:t>
            </w:r>
            <w:r w:rsidRPr="00163266">
              <w:rPr>
                <w:b/>
                <w:i/>
              </w:rPr>
              <w:tab/>
              <w:t>ruokaturva;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178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3 kohta – c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(c b)</w:t>
            </w:r>
            <w:r w:rsidRPr="00163266">
              <w:rPr>
                <w:b/>
                <w:i/>
              </w:rPr>
              <w:tab/>
              <w:t>valmiudet välttää ja käsitellä strategisia riippuvuuksia;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179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 xml:space="preserve">13 artikla – 3 kohta – c </w:t>
      </w:r>
      <w:proofErr w:type="spellStart"/>
      <w:r w:rsidRPr="00163266">
        <w:t>c</w:t>
      </w:r>
      <w:proofErr w:type="spellEnd"/>
      <w:r w:rsidRPr="00163266">
        <w:t xml:space="preserve">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(c c)</w:t>
            </w:r>
            <w:r w:rsidRPr="00163266">
              <w:rPr>
                <w:b/>
                <w:i/>
              </w:rPr>
              <w:tab/>
              <w:t>unionin rahoitusvakauden ja taloudellisen vakauden suojeleminen;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180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3 kohta – c d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(c d)</w:t>
            </w:r>
            <w:r w:rsidRPr="00163266">
              <w:rPr>
                <w:b/>
                <w:i/>
              </w:rPr>
              <w:tab/>
              <w:t>keskeisten palvelujen ja yleishyödyllisten palvelujen tarjoaminen;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181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3 kohta – d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(d)</w:t>
            </w:r>
            <w:r w:rsidRPr="00163266">
              <w:tab/>
              <w:t xml:space="preserve">arkaluonteisten tietojen, mukaan lukien </w:t>
            </w:r>
            <w:r w:rsidRPr="00163266">
              <w:rPr>
                <w:b/>
                <w:i/>
              </w:rPr>
              <w:t>henkilötiedot</w:t>
            </w:r>
            <w:r w:rsidRPr="00163266">
              <w:t xml:space="preserve">, suoja erityisesti siltä osin kuin on kyse ulkomaisen sijoittajan kyvystä tutustua tällaisiin </w:t>
            </w:r>
            <w:r w:rsidRPr="00163266">
              <w:rPr>
                <w:b/>
                <w:i/>
              </w:rPr>
              <w:t>henkilötietoihin</w:t>
            </w:r>
            <w:r w:rsidRPr="00163266">
              <w:t xml:space="preserve"> ja valvoa ja muuten käsitellä niitä</w:t>
            </w:r>
            <w:r w:rsidRPr="00163266">
              <w:rPr>
                <w:b/>
                <w:i/>
              </w:rPr>
              <w:t>: tai</w:t>
            </w:r>
          </w:p>
        </w:tc>
        <w:tc>
          <w:tcPr>
            <w:tcW w:w="4876" w:type="dxa"/>
            <w:hideMark/>
          </w:tcPr>
          <w:p w:rsidR="001E1179" w:rsidRPr="00163266" w:rsidRDefault="001E1179" w:rsidP="00F60C33">
            <w:pPr>
              <w:pStyle w:val="Normal6"/>
              <w:widowControl/>
              <w:rPr>
                <w:szCs w:val="24"/>
              </w:rPr>
            </w:pPr>
            <w:r w:rsidRPr="00163266">
              <w:t>(d)</w:t>
            </w:r>
            <w:r w:rsidRPr="00163266">
              <w:tab/>
              <w:t xml:space="preserve">arkaluonteisten tietojen, mukaan lukien </w:t>
            </w:r>
            <w:r w:rsidRPr="00163266">
              <w:rPr>
                <w:b/>
                <w:i/>
              </w:rPr>
              <w:t>asetuksen (EU) 2016/679</w:t>
            </w:r>
            <w:r w:rsidRPr="00163266">
              <w:rPr>
                <w:b/>
                <w:i/>
                <w:vertAlign w:val="superscript"/>
              </w:rPr>
              <w:t>1 a</w:t>
            </w:r>
            <w:r w:rsidRPr="00163266">
              <w:rPr>
                <w:b/>
                <w:i/>
              </w:rPr>
              <w:t xml:space="preserve"> 4 artiklan 1 kohdassa määriteltyjen henkilötietojen</w:t>
            </w:r>
            <w:r w:rsidRPr="00163266">
              <w:t xml:space="preserve">, suoja erityisesti siltä osin kuin on kyse ulkomaisen sijoittajan kyvystä tutustua tällaisiin </w:t>
            </w:r>
            <w:r w:rsidRPr="00163266">
              <w:rPr>
                <w:b/>
                <w:i/>
              </w:rPr>
              <w:t>tietoihin</w:t>
            </w:r>
            <w:r w:rsidRPr="00163266">
              <w:t xml:space="preserve"> ja valvoa ja muuten käsitellä niitä</w:t>
            </w:r>
            <w:r w:rsidRPr="00163266">
              <w:rPr>
                <w:b/>
                <w:i/>
              </w:rPr>
              <w: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t>__________________</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vertAlign w:val="superscript"/>
              </w:rPr>
              <w:t>1 a</w:t>
            </w:r>
            <w:r w:rsidRPr="00163266">
              <w:rPr>
                <w:b/>
                <w:i/>
              </w:rPr>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1–88, ELI: http://data.europa.eu/eli/reg/2016/679/oj).</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182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3 kohta – d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(d a)</w:t>
            </w:r>
            <w:r w:rsidRPr="00163266">
              <w:rPr>
                <w:b/>
                <w:i/>
              </w:rPr>
              <w:tab/>
            </w:r>
            <w:proofErr w:type="spellStart"/>
            <w:r w:rsidRPr="00163266">
              <w:rPr>
                <w:b/>
                <w:i/>
              </w:rPr>
              <w:t>teollis</w:t>
            </w:r>
            <w:proofErr w:type="spellEnd"/>
            <w:r w:rsidRPr="00163266">
              <w:rPr>
                <w:b/>
                <w:i/>
              </w:rPr>
              <w:t>- ja tekijänoikeuksien, tietämyksen ja muun aineettoman omaisuuden suojelu;</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183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3 kohta – e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(e)</w:t>
            </w:r>
            <w:r w:rsidRPr="00163266">
              <w:tab/>
              <w:t xml:space="preserve">tiedotusvälineiden vapaus ja moniarvoisuus, mukaan lukien verkkoalustat, joita voidaan käyttää </w:t>
            </w:r>
            <w:proofErr w:type="spellStart"/>
            <w:r w:rsidRPr="00163266">
              <w:t>disinformaation</w:t>
            </w:r>
            <w:proofErr w:type="spellEnd"/>
            <w:r w:rsidRPr="00163266">
              <w:t xml:space="preserve"> laajamittaiseen levittämiseen tai rikolliseen toimintaan</w:t>
            </w:r>
            <w:r w:rsidRPr="00163266">
              <w:rPr>
                <w:b/>
                <w:i/>
              </w:rPr>
              <w:t>.</w:t>
            </w:r>
          </w:p>
        </w:tc>
        <w:tc>
          <w:tcPr>
            <w:tcW w:w="4876" w:type="dxa"/>
            <w:hideMark/>
          </w:tcPr>
          <w:p w:rsidR="001E1179" w:rsidRPr="00163266" w:rsidRDefault="001E1179" w:rsidP="00F60C33">
            <w:pPr>
              <w:pStyle w:val="Normal6"/>
              <w:widowControl/>
              <w:rPr>
                <w:szCs w:val="24"/>
              </w:rPr>
            </w:pPr>
            <w:r w:rsidRPr="00163266">
              <w:t>(e)</w:t>
            </w:r>
            <w:r w:rsidRPr="00163266">
              <w:tab/>
              <w:t>tiedotusvälineiden vapaus ja moniarvoisuus, mukaan lukien verkkoalustat</w:t>
            </w:r>
            <w:r w:rsidRPr="00163266">
              <w:rPr>
                <w:b/>
                <w:i/>
              </w:rPr>
              <w:t xml:space="preserve"> ja sosiaalisen median alustat</w:t>
            </w:r>
            <w:r w:rsidRPr="00163266">
              <w:t xml:space="preserve">, joita voidaan käyttää </w:t>
            </w:r>
            <w:proofErr w:type="spellStart"/>
            <w:r w:rsidRPr="00163266">
              <w:t>disinformaation</w:t>
            </w:r>
            <w:proofErr w:type="spellEnd"/>
            <w:r w:rsidRPr="00163266">
              <w:t xml:space="preserve"> laajamittaiseen levittämiseen tai rikolliseen toimintaan</w:t>
            </w:r>
            <w:r w:rsidRPr="00163266">
              <w:rPr>
                <w:b/>
                <w:i/>
              </w:rPr>
              <w:t>, perusoikeudet, kansalaiskeskustelu ja vaaliprosessit sekä koulutuksen puolueettomuus, objektiivisuus ja moniarvoisuus; tai</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184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3 kohta – e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(e a)</w:t>
            </w:r>
            <w:r w:rsidRPr="00163266">
              <w:rPr>
                <w:b/>
                <w:i/>
              </w:rPr>
              <w:tab/>
              <w:t>asetuksen (EU) 2023/2675</w:t>
            </w:r>
            <w:r w:rsidRPr="00163266">
              <w:rPr>
                <w:b/>
                <w:i/>
                <w:vertAlign w:val="superscript"/>
              </w:rPr>
              <w:t>1 a</w:t>
            </w:r>
            <w:r w:rsidRPr="00163266">
              <w:rPr>
                <w:b/>
                <w:i/>
              </w:rPr>
              <w:t xml:space="preserve"> 2 artiklan soveltamisalaan kuuluvan kolmansien maiden harjoittaman taloudellisen pakottamisen todennäköisyys. </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__________________</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vertAlign w:val="superscript"/>
              </w:rPr>
              <w:t>1 a</w:t>
            </w:r>
            <w:r w:rsidRPr="00163266">
              <w:rPr>
                <w:b/>
                <w:i/>
              </w:rPr>
              <w:t xml:space="preserve"> Euroopan parlamentin ja neuvoston asetus (EU) 2023/2675, annettu 22 päivänä marraskuuta 2023, unionin ja sen jäsenvaltioiden suojelemisesta kolmansien maiden harjoittamalta taloudelliselta pakottamiselta (EUVL L, 2023/2675, 7.12.2023, ELI: http://data.europa.eu/eli/reg/2023/2675/oj).</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185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4 kohta –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(-a)</w:t>
            </w:r>
            <w:r w:rsidRPr="00163266">
              <w:rPr>
                <w:b/>
                <w:i/>
              </w:rPr>
              <w:tab/>
              <w:t>onko ulkomainen sijoittaja tai ulkomaisen sijoittajan tytäryhtiö unionissa suoraan tai välillisesti kolmannen maan hallituksen, mukaan lukien valtion elimet, alue- tai paikallisviranomaiset tai asevoimat, määräysvallassa, myös omistusrakenteen, merkittävän rahoituksen, erityisoikeuksien tai valtion nimittämien johtajien taikka muiden sellaisten tekijöiden kautta, joiden tarkoituksena on vaikuttaa johdon päätöksiin, kuten ylivaltaosakkeet (”</w:t>
            </w:r>
            <w:proofErr w:type="spellStart"/>
            <w:r w:rsidRPr="00163266">
              <w:rPr>
                <w:b/>
                <w:i/>
              </w:rPr>
              <w:t>golden</w:t>
            </w:r>
            <w:proofErr w:type="spellEnd"/>
            <w:r w:rsidRPr="00163266">
              <w:rPr>
                <w:b/>
                <w:i/>
              </w:rPr>
              <w:t xml:space="preserve"> </w:t>
            </w:r>
            <w:proofErr w:type="spellStart"/>
            <w:r w:rsidRPr="00163266">
              <w:rPr>
                <w:b/>
                <w:i/>
              </w:rPr>
              <w:t>shares</w:t>
            </w:r>
            <w:proofErr w:type="spellEnd"/>
            <w:r w:rsidRPr="00163266">
              <w:rPr>
                <w:b/>
                <w:i/>
              </w:rPr>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186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4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(a)</w:t>
            </w:r>
            <w:r w:rsidRPr="00163266">
              <w:tab/>
              <w:t xml:space="preserve">onko ulkomainen sijoittaja, luonnollinen henkilö tai yhteisö, joka harjoittaa määräysvaltaa suhteessa ulkomaiseen sijoittajaan, ulkomaisen sijoittajan tosiasiallinen omistaja ja edunsaaja, ulkomaisen sijoittajan tytäryhtiö tai muu tällaisen ulkomaisen sijoittajan omistuksessa tai määräysvallassa oleva taikka sen puolesta tai johdolla toimiva osapuoli ollut osallisena ulkomaisessa sijoituksessa, joka on aiemmin ollut jäsenvaltion seurannan kohteena ja jolle ei myönnetty lupaa tai jolle myönnettiin vain ehdollinen lupa; tämän määrittämiseksi jäsenvaltioiden ja komission on hyödynnettävä käytettävissään olevia tietoja, mukaan lukien </w:t>
            </w:r>
            <w:r w:rsidRPr="00163266">
              <w:rPr>
                <w:b/>
                <w:i/>
              </w:rPr>
              <w:t>7</w:t>
            </w:r>
            <w:r w:rsidRPr="00163266">
              <w:t xml:space="preserve"> artiklan </w:t>
            </w:r>
            <w:r w:rsidRPr="00163266">
              <w:rPr>
                <w:b/>
                <w:i/>
              </w:rPr>
              <w:t>10</w:t>
            </w:r>
            <w:r w:rsidRPr="00163266">
              <w:t xml:space="preserve"> kohdan nojalla perustettavaan suojattuun tietokantaan sisältyvät tiedot;</w:t>
            </w:r>
          </w:p>
        </w:tc>
        <w:tc>
          <w:tcPr>
            <w:tcW w:w="4876" w:type="dxa"/>
            <w:hideMark/>
          </w:tcPr>
          <w:p w:rsidR="001E1179" w:rsidRPr="00163266" w:rsidRDefault="001E1179" w:rsidP="00F60C33">
            <w:pPr>
              <w:pStyle w:val="Normal6"/>
              <w:widowControl/>
              <w:rPr>
                <w:szCs w:val="24"/>
              </w:rPr>
            </w:pPr>
            <w:r w:rsidRPr="00163266">
              <w:t>(a)</w:t>
            </w:r>
            <w:r w:rsidRPr="00163266">
              <w:tab/>
              <w:t xml:space="preserve">onko ulkomainen sijoittaja, luonnollinen henkilö tai yhteisö, joka harjoittaa määräysvaltaa suhteessa ulkomaiseen sijoittajaan, ulkomaisen sijoittajan tosiasiallinen omistaja ja edunsaaja, ulkomaisen sijoittajan tytäryhtiö tai muu tällaisen ulkomaisen sijoittajan omistuksessa tai määräysvallassa oleva taikka sen puolesta tai johdolla toimiva osapuoli ollut osallisena ulkomaisessa sijoituksessa, joka on aiemmin ollut jäsenvaltion seurannan kohteena </w:t>
            </w:r>
            <w:r w:rsidRPr="00163266">
              <w:rPr>
                <w:b/>
                <w:i/>
              </w:rPr>
              <w:t xml:space="preserve">tai soveltuvissa tapauksissa kolmannen maan seurannan kohteena, kun maassa on vakiintunut ulkomaisten suorien sijoitusten seurantamekanismi ja unioni tekee sen kanssa yhteistyötä sijoitusten seurannassa, </w:t>
            </w:r>
            <w:r w:rsidRPr="00163266">
              <w:t xml:space="preserve">ja jolle ei myönnetty lupaa tai jolle myönnettiin vain ehdollinen lupa; tämän määrittämiseksi jäsenvaltioiden ja komission on hyödynnettävä käytettävissään olevia tietoja, mukaan </w:t>
            </w:r>
            <w:r w:rsidRPr="00163266">
              <w:lastRenderedPageBreak/>
              <w:t xml:space="preserve">lukien </w:t>
            </w:r>
            <w:r w:rsidRPr="00163266">
              <w:rPr>
                <w:b/>
                <w:i/>
              </w:rPr>
              <w:t>12 a</w:t>
            </w:r>
            <w:r w:rsidRPr="00163266">
              <w:t xml:space="preserve"> artiklan </w:t>
            </w:r>
            <w:r w:rsidRPr="00163266">
              <w:rPr>
                <w:b/>
                <w:i/>
              </w:rPr>
              <w:t>6 a</w:t>
            </w:r>
            <w:r w:rsidRPr="00163266">
              <w:t xml:space="preserve"> kohdan nojalla perustettavaan suojattuun tietokantaan sisältyvät tiedot;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187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4 kohta – d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(d)</w:t>
            </w:r>
            <w:r w:rsidRPr="00163266">
              <w:tab/>
              <w:t>onko ulkomainen sijoittaja tai jokin sen tytäryhtiöistä harjoittanut laitonta tai rikollista toimintaa, mukaan lukien SEUT</w:t>
            </w:r>
            <w:r w:rsidRPr="00163266">
              <w:rPr>
                <w:b/>
                <w:i/>
              </w:rPr>
              <w:t xml:space="preserve">-sopimuksen </w:t>
            </w:r>
            <w:r w:rsidRPr="00163266">
              <w:t>215 artiklan mukaisten unionin rajoittavien toimenpiteiden kiertäminen;</w:t>
            </w:r>
          </w:p>
        </w:tc>
        <w:tc>
          <w:tcPr>
            <w:tcW w:w="4876" w:type="dxa"/>
            <w:hideMark/>
          </w:tcPr>
          <w:p w:rsidR="001E1179" w:rsidRPr="00163266" w:rsidRDefault="001E1179" w:rsidP="00F60C33">
            <w:pPr>
              <w:pStyle w:val="Normal6"/>
              <w:widowControl/>
              <w:rPr>
                <w:szCs w:val="24"/>
              </w:rPr>
            </w:pPr>
            <w:r w:rsidRPr="00163266">
              <w:t>(d)</w:t>
            </w:r>
            <w:r w:rsidRPr="00163266">
              <w:tab/>
              <w:t xml:space="preserve">onko ulkomainen sijoittaja tai jokin sen tytäryhtiöistä harjoittanut laitonta tai rikollista toimintaa, mukaan lukien </w:t>
            </w:r>
            <w:r w:rsidRPr="00163266">
              <w:rPr>
                <w:b/>
                <w:i/>
              </w:rPr>
              <w:t xml:space="preserve">rahanpesu ja </w:t>
            </w:r>
            <w:r w:rsidRPr="00163266">
              <w:t>SEUT 215 artiklan mukaisten unionin rajoittavien toimenpiteiden kiertäminen;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188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4 kohta – e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(e)</w:t>
            </w:r>
            <w:r w:rsidRPr="00163266">
              <w:tab/>
              <w:t xml:space="preserve">edistääkö ulkomainen sijoittaja, luonnollinen henkilö tai yhteisö, joka harjoittaa määräysvaltaa suhteessa ulkomaiseen sijoittajaan, ulkomaisen sijoittajan tosiasiallinen omistaja ja edunsaaja, ulkomaisen sijoittajan tytäryhtiö tai muu tällaisen ulkomaisen sijoittajan omistuksessa tai määräysvallassa oleva taikka sen puolesta tai johdolla toimiva osapuoli todennäköisesti kolmansien maiden poliittisia tavoitteita tai </w:t>
            </w:r>
            <w:r w:rsidRPr="00163266">
              <w:rPr>
                <w:b/>
                <w:i/>
              </w:rPr>
              <w:t>niiden</w:t>
            </w:r>
            <w:r w:rsidRPr="00163266">
              <w:t xml:space="preserve"> sotilaallisia valmiuksia.</w:t>
            </w:r>
          </w:p>
        </w:tc>
        <w:tc>
          <w:tcPr>
            <w:tcW w:w="4876" w:type="dxa"/>
            <w:hideMark/>
          </w:tcPr>
          <w:p w:rsidR="001E1179" w:rsidRPr="00163266" w:rsidRDefault="001E1179" w:rsidP="00F60C33">
            <w:pPr>
              <w:pStyle w:val="Normal6"/>
              <w:widowControl/>
              <w:rPr>
                <w:szCs w:val="24"/>
              </w:rPr>
            </w:pPr>
            <w:r w:rsidRPr="00163266">
              <w:t>(e)</w:t>
            </w:r>
            <w:r w:rsidRPr="00163266">
              <w:tab/>
              <w:t>edistääkö ulkomainen sijoittaja, luonnollinen henkilö tai yhteisö, joka harjoittaa määräysvaltaa suhteessa ulkomaiseen sijoittajaan, ulkomaisen sijoittajan tosiasiallinen omistaja ja edunsaaja, ulkomaisen sijoittajan tytäryhtiö tai muu tällaisen ulkomaisen sijoittajan omistuksessa tai määräysvallassa oleva taikka sen puolesta tai johdolla toimiva osapuoli todennäköisesti kolmansien maiden poliittisia tavoitteita</w:t>
            </w:r>
            <w:r w:rsidRPr="00163266">
              <w:rPr>
                <w:b/>
                <w:i/>
              </w:rPr>
              <w:t>, lisääkö se riskiä, että kolmas maa rikkoo kansainvälistä oikeutta,</w:t>
            </w:r>
            <w:r w:rsidRPr="00163266">
              <w:t xml:space="preserve"> tai </w:t>
            </w:r>
            <w:r w:rsidRPr="00163266">
              <w:rPr>
                <w:b/>
                <w:i/>
              </w:rPr>
              <w:t>edistääkö se kolmansien maiden</w:t>
            </w:r>
            <w:r w:rsidRPr="00163266">
              <w:t xml:space="preserve"> sotilaallisia valmiuksia.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189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4 kohta – e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(e a)</w:t>
            </w:r>
            <w:r w:rsidRPr="00163266">
              <w:rPr>
                <w:b/>
                <w:i/>
              </w:rPr>
              <w:tab/>
              <w:t>onko ulkomainen sijoittaja sijoittautunut sellaiseen kolmanteen maahan, johon sovelletaan SEUT 215 artiklan mukaisia unionin rajoittavia toimenpiteitä, sellaiselle lainkäyttöalueelle, joka määritellään Euroopan parlamentin ja neuvoston asetuksen (EU) 2024/1624 29 artiklan mukaisesti sellaiseksi kolmanneksi maaksi, jonka kansallisessa rahanpesun ja terrorismin rahoituksen torjuntajärjestelmässä on merkittäviä strategisia puutteita, tai sellaiseen maahan, joka noudattaa aggressiivista siviili- ja sotilasasioiden yhdistämisstrategiaa;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190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4 kohta – e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(e b)</w:t>
            </w:r>
            <w:r w:rsidRPr="00163266">
              <w:rPr>
                <w:b/>
                <w:i/>
              </w:rPr>
              <w:tab/>
              <w:t>onko ulkomainen sijoittaja tai jokin sen tytäryhtiöistä sijoittautunut sellaiseen kolmanteen maahan, jonka lainsäädännössä sallitaan mielivaltainen pääsy yhtiön toimintoihin tai tietoihin, mukaan lukien kaupallisesti arkaluonteiset tiedot, ja asetetaan yrityksille velvoitteita jakaa tietoja tiedustelutarkoituksissa ilman demokraattista valvontaa, valvontamekanismeja, oikeudenmukaista menettelyä tai oikeutta hakea muutosta riippumattomalta tuomioistuimelta;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191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4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4 a.</w:t>
            </w:r>
            <w:r w:rsidRPr="00163266">
              <w:rPr>
                <w:b/>
                <w:i/>
              </w:rPr>
              <w:tab/>
              <w:t>Komissio asettaa saataville riskinarviointilomakkeen, jota jäsenvaltiot voivat käyttää edellä 3 ja 4 kohdassa tarkoitettujen seikkojen arvioimiseksi.</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192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13 artikla – 4 b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4 b.</w:t>
            </w:r>
            <w:r w:rsidRPr="00163266">
              <w:rPr>
                <w:b/>
                <w:i/>
              </w:rPr>
              <w:tab/>
              <w:t>Komissio voi tehdä riskinarvioinnin, joka koskee tiettyä toimialaa, kriittistä teknologiaa, tiettyjä ulkomaisia sijoittajia tai unionin yrityksiä, tuomaan lisätietoa jäsenvaltioiden seurantaa koskevien päätösten tekemiseen. Kyseinen riskinarviointi asetetaan saataville 12 a artiklan 6 a kohdan mukaisesti perustetussa suojatussa tietokannassa, ja jäsenvaltioiden on otettava se huomioon määritettäessä, vaikuttaako sijoitus todennäköisesti kielteisesti turvallisuuteen tai yleiseen järjestykseen.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193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14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 xml:space="preserve">Sellaisten </w:t>
            </w:r>
            <w:r w:rsidRPr="00163266">
              <w:t>ulkomaisten sijoitusten seurantaa koskevat päätökset</w:t>
            </w:r>
            <w:r w:rsidRPr="00163266">
              <w:rPr>
                <w:b/>
                <w:i/>
              </w:rPr>
              <w:t>, jotka todennäköisesti vaikuttavat kielteisesti turvallisuuteen tai yleiseen järjestykseen</w:t>
            </w:r>
          </w:p>
        </w:tc>
        <w:tc>
          <w:tcPr>
            <w:tcW w:w="4876" w:type="dxa"/>
            <w:hideMark/>
          </w:tcPr>
          <w:p w:rsidR="001E1179" w:rsidRPr="00163266" w:rsidRDefault="001E1179" w:rsidP="00F60C33">
            <w:pPr>
              <w:pStyle w:val="Normal6"/>
              <w:widowControl/>
              <w:rPr>
                <w:szCs w:val="24"/>
              </w:rPr>
            </w:pPr>
            <w:r w:rsidRPr="00163266">
              <w:t>Ulkomaisten sijoitusten seurantaa koskevat päätökset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194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14 artikla – 1 kohta – 1 alakohta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Jos jäsenvaltio,</w:t>
            </w:r>
            <w:r w:rsidRPr="00163266">
              <w:rPr>
                <w:b/>
                <w:i/>
              </w:rPr>
              <w:t xml:space="preserve"> jossa ulkomainen sijoitus on suunniteltu toteutettavaksi tai on toteutettu</w:t>
            </w:r>
            <w:r w:rsidRPr="00163266">
              <w:t>, ottaen huomioon 13 artiklassa säädetyt perusteet ja tapauksen mukaan muiden jäsenvaltioiden 7 artiklan 1 kohdan tai 9 artiklan 7 kohdan mukaisesti toimittamat huomautukset tai komission 7 artiklan 2 tai 3 kohdan tai 9 artiklan 7 kohdan mukaisesti antama lausunto</w:t>
            </w:r>
            <w:r w:rsidRPr="00163266">
              <w:rPr>
                <w:b/>
                <w:i/>
              </w:rPr>
              <w:t>, toteaa</w:t>
            </w:r>
            <w:r w:rsidRPr="00163266">
              <w:t>, että ulkomainen sijoitus todennäköisesti vaikuttaa kielteisesti yhden tai useamman jäsenvaltion turvallisuuteen tai yleiseen järjestykseen, myös silloin, kun on kyse unionin etua koskevasta hankkeesta tai ohjelmasta, sen on tehtävä seurantaa koskeva päätös, jolla</w:t>
            </w:r>
          </w:p>
        </w:tc>
        <w:tc>
          <w:tcPr>
            <w:tcW w:w="4876" w:type="dxa"/>
            <w:hideMark/>
          </w:tcPr>
          <w:p w:rsidR="001E1179" w:rsidRPr="00163266" w:rsidRDefault="001E1179" w:rsidP="00F60C33">
            <w:pPr>
              <w:pStyle w:val="Normal6"/>
              <w:widowControl/>
              <w:rPr>
                <w:szCs w:val="24"/>
              </w:rPr>
            </w:pPr>
            <w:r w:rsidRPr="00163266">
              <w:t xml:space="preserve">Jos </w:t>
            </w:r>
            <w:r w:rsidRPr="00163266">
              <w:rPr>
                <w:b/>
                <w:i/>
              </w:rPr>
              <w:t>vastaanottava</w:t>
            </w:r>
            <w:r w:rsidRPr="00163266">
              <w:t xml:space="preserve"> jäsenvaltio, ottaen huomioon 13 artiklassa säädetyt perusteet ja tapauksen mukaan muiden jäsenvaltioiden 7 artiklan 1 kohdan tai 9 artiklan 7 kohdan mukaisesti toimittamat huomautukset tai komission 7 artiklan 2 tai 3 kohdan tai 9 artiklan 7 kohdan mukaisesti antama lausunto</w:t>
            </w:r>
            <w:r w:rsidRPr="00163266">
              <w:rPr>
                <w:b/>
                <w:i/>
              </w:rPr>
              <w:t xml:space="preserve"> ja rajoittamatta komission toimivaltaa tehdä 7 artiklan 9 c kohdan mukainen päätös</w:t>
            </w:r>
            <w:r w:rsidRPr="00163266">
              <w:t>, toteaa, että ulkomainen sijoitus todennäköisesti vaikuttaa kielteisesti yhden tai useamman jäsenvaltion turvallisuuteen tai yleiseen järjestykseen, myös silloin, kun on kyse unionin etua koskevasta hankkeesta tai ohjelmasta, sen on tehtävä seurantaa koskeva päätös, jolla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195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14 artikla – 1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Seurantaa koskevassa päätöksessä on noudatettava suhteellisuusperiaatetta ja otettava huomioon kaikki ulkomaisen sijoituksen olosuhteet.</w:t>
            </w:r>
          </w:p>
        </w:tc>
        <w:tc>
          <w:tcPr>
            <w:tcW w:w="4876" w:type="dxa"/>
            <w:hideMark/>
          </w:tcPr>
          <w:p w:rsidR="001E1179" w:rsidRPr="00163266" w:rsidRDefault="001E1179" w:rsidP="00F60C33">
            <w:pPr>
              <w:pStyle w:val="Normal6"/>
              <w:widowControl/>
              <w:rPr>
                <w:szCs w:val="24"/>
              </w:rPr>
            </w:pPr>
            <w:r w:rsidRPr="00163266">
              <w:t>Seurantaa koskevassa päätöksessä on noudatettava suhteellisuusperiaatetta</w:t>
            </w:r>
            <w:r w:rsidRPr="00163266">
              <w:rPr>
                <w:b/>
                <w:i/>
              </w:rPr>
              <w:t>, sen on perustuttava dokumentoituihin riskeihin</w:t>
            </w:r>
            <w:r w:rsidRPr="00163266">
              <w:t xml:space="preserve"> ja</w:t>
            </w:r>
            <w:r w:rsidRPr="00163266">
              <w:rPr>
                <w:b/>
                <w:i/>
              </w:rPr>
              <w:t xml:space="preserve"> siinä on</w:t>
            </w:r>
            <w:r w:rsidRPr="00163266">
              <w:t xml:space="preserve"> otettava huomioon kaikki ulkomaisen sijoituksen olosuhteet.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196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14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w:t>
            </w:r>
            <w:r w:rsidRPr="00163266">
              <w:tab/>
              <w:t xml:space="preserve">Jos jäsenvaltio, </w:t>
            </w:r>
            <w:r w:rsidRPr="00163266">
              <w:rPr>
                <w:b/>
                <w:i/>
              </w:rPr>
              <w:t>jossa</w:t>
            </w:r>
            <w:r w:rsidRPr="00163266">
              <w:t xml:space="preserve"> ulkomainen sijoitus </w:t>
            </w:r>
            <w:r w:rsidRPr="00163266">
              <w:rPr>
                <w:b/>
                <w:i/>
              </w:rPr>
              <w:t>on suunniteltu toteutettavaksi</w:t>
            </w:r>
            <w:r w:rsidRPr="00163266">
              <w:t xml:space="preserve"> tai </w:t>
            </w:r>
            <w:r w:rsidRPr="00163266">
              <w:rPr>
                <w:b/>
                <w:i/>
              </w:rPr>
              <w:t>on toteutettu</w:t>
            </w:r>
            <w:r w:rsidRPr="00163266">
              <w:t xml:space="preserve">, katsoo, että käytettävissä on muita unionin oikeuden tai kansallisen lainsäädännön mukaisia toimenpiteitä, joilla voidaan asianmukaisesti puuttua ulkomaisen sijoituksen turvallisuuteen ja yleiseen järjestykseen kohdistuviin </w:t>
            </w:r>
            <w:r w:rsidRPr="00163266">
              <w:lastRenderedPageBreak/>
              <w:t>vaikutuksiin, ulkomaiselle sijoitukselle on myönnettävä lupa ilman ehtoja.</w:t>
            </w:r>
          </w:p>
        </w:tc>
        <w:tc>
          <w:tcPr>
            <w:tcW w:w="4876" w:type="dxa"/>
            <w:hideMark/>
          </w:tcPr>
          <w:p w:rsidR="001E1179" w:rsidRPr="00163266" w:rsidRDefault="001E1179" w:rsidP="00F60C33">
            <w:pPr>
              <w:pStyle w:val="Normal6"/>
              <w:widowControl/>
              <w:rPr>
                <w:szCs w:val="24"/>
              </w:rPr>
            </w:pPr>
            <w:r w:rsidRPr="00163266">
              <w:lastRenderedPageBreak/>
              <w:t>2.</w:t>
            </w:r>
            <w:r w:rsidRPr="00163266">
              <w:tab/>
              <w:t xml:space="preserve">Jos </w:t>
            </w:r>
            <w:r w:rsidRPr="00163266">
              <w:rPr>
                <w:b/>
                <w:i/>
              </w:rPr>
              <w:t xml:space="preserve">vastaanottava </w:t>
            </w:r>
            <w:r w:rsidRPr="00163266">
              <w:t>jäsenvaltio</w:t>
            </w:r>
            <w:r w:rsidRPr="00163266">
              <w:rPr>
                <w:b/>
                <w:i/>
              </w:rPr>
              <w:t xml:space="preserve"> toteaa</w:t>
            </w:r>
            <w:r w:rsidRPr="00163266">
              <w:t xml:space="preserve"> </w:t>
            </w:r>
            <w:r w:rsidRPr="00163266">
              <w:rPr>
                <w:b/>
                <w:i/>
              </w:rPr>
              <w:t>olevan epätodennäköistä, että</w:t>
            </w:r>
            <w:r w:rsidRPr="00163266">
              <w:t xml:space="preserve"> ulkomainen sijoitus </w:t>
            </w:r>
            <w:r w:rsidRPr="00163266">
              <w:rPr>
                <w:b/>
                <w:i/>
              </w:rPr>
              <w:t>vaikuttaisi kielteisesti turvallisuuteen</w:t>
            </w:r>
            <w:r w:rsidRPr="00163266">
              <w:t xml:space="preserve"> tai </w:t>
            </w:r>
            <w:r w:rsidRPr="00163266">
              <w:rPr>
                <w:b/>
                <w:i/>
              </w:rPr>
              <w:t>yleiseen järjestykseen</w:t>
            </w:r>
            <w:r w:rsidRPr="00163266">
              <w:t xml:space="preserve">, </w:t>
            </w:r>
            <w:r w:rsidRPr="00163266">
              <w:rPr>
                <w:b/>
                <w:i/>
              </w:rPr>
              <w:t xml:space="preserve">tai </w:t>
            </w:r>
            <w:r w:rsidRPr="00163266">
              <w:t xml:space="preserve">katsoo, että käytettävissä on muita unionin oikeuden tai kansallisen lainsäädännön mukaisia toimenpiteitä, joilla voidaan asianmukaisesti </w:t>
            </w:r>
            <w:r w:rsidRPr="00163266">
              <w:rPr>
                <w:b/>
                <w:i/>
              </w:rPr>
              <w:t xml:space="preserve">ja </w:t>
            </w:r>
            <w:r w:rsidRPr="00163266">
              <w:rPr>
                <w:b/>
                <w:i/>
              </w:rPr>
              <w:lastRenderedPageBreak/>
              <w:t xml:space="preserve">tehokkaasti </w:t>
            </w:r>
            <w:r w:rsidRPr="00163266">
              <w:t>puuttua ulkomaisen sijoituksen turvallisuuteen ja yleiseen järjestykseen kohdistuviin vaikutuksiin, ulkomaiselle sijoitukselle on myönnettävä lupa ilman ehtoja</w:t>
            </w:r>
            <w:r w:rsidRPr="00163266">
              <w:rPr>
                <w:b/>
                <w:i/>
              </w:rPr>
              <w:t>, paitsi jos on kyse tapauksista, joissa komissio on tehnyt 7 artiklan 9 c kohdan mukaisesti päätöksen</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197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14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2 a.</w:t>
            </w:r>
            <w:r w:rsidRPr="00163266">
              <w:rPr>
                <w:b/>
                <w:i/>
              </w:rPr>
              <w:tab/>
              <w:t>Edellä 1 kohdan a alakohdassa tarkoitettujen riskejä lieventävien toimenpiteiden on oltava riittävät, jotta niillä voidaan puuttua ulkomaisen sijoituksen turvallisuuteen ja yleiseen järjestykseen kohdistuviin vaikutuksiin, ja niiden on oltava suhteellisuusperiaatteen mukaisia. Näihin toimenpiteisiin voivat kuulua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(a)</w:t>
            </w:r>
            <w:r w:rsidRPr="00163266">
              <w:tab/>
            </w:r>
            <w:r w:rsidRPr="00163266">
              <w:rPr>
                <w:b/>
                <w:i/>
              </w:rPr>
              <w:t>muutokset sijoituskohteen ehdotettuun hallintorakenteeseen;</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(b)</w:t>
            </w:r>
            <w:r w:rsidRPr="00163266">
              <w:tab/>
            </w:r>
            <w:r w:rsidRPr="00163266">
              <w:rPr>
                <w:b/>
                <w:i/>
              </w:rPr>
              <w:t>muutokset sijoittajalle annettuihin äänioikeuksiin;</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(c)</w:t>
            </w:r>
            <w:r w:rsidRPr="00163266">
              <w:tab/>
            </w:r>
            <w:r w:rsidRPr="00163266">
              <w:rPr>
                <w:b/>
                <w:i/>
              </w:rPr>
              <w:t>arkaluonteisten tekniikoiden tai tietojen luvattoman käytön estäminen;</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(d)</w:t>
            </w:r>
            <w:r w:rsidRPr="00163266">
              <w:tab/>
            </w:r>
            <w:r w:rsidRPr="00163266">
              <w:rPr>
                <w:b/>
                <w:i/>
              </w:rPr>
              <w:t>sijoittajan sitoumukset varmistaa tietty tarjonta ja/tai toimitus tietylle asiakkaalle;</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(e)</w:t>
            </w:r>
            <w:r w:rsidRPr="00163266">
              <w:tab/>
            </w:r>
            <w:r w:rsidRPr="00163266">
              <w:rPr>
                <w:b/>
                <w:i/>
              </w:rPr>
              <w:t>sijoittajan sitoumukset säilyttää paikallinen lisäarvo tai luoda sitä;</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(f)</w:t>
            </w:r>
            <w:r w:rsidRPr="00163266">
              <w:tab/>
            </w:r>
            <w:r w:rsidRPr="00163266">
              <w:rPr>
                <w:b/>
                <w:i/>
              </w:rPr>
              <w:t>sijoittajan sitoumukset, joilla puututaan riippuvuusriskiin, mukaan lukien teknologian ja taitotiedon siirto;</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(g)</w:t>
            </w:r>
            <w:r w:rsidRPr="00163266">
              <w:tab/>
            </w:r>
            <w:r w:rsidRPr="00163266">
              <w:rPr>
                <w:b/>
                <w:i/>
              </w:rPr>
              <w:t>yritystoiminnan jatkuvuuden varmistamiseen tähtäävät toimenpiteet;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(h)</w:t>
            </w:r>
            <w:r w:rsidRPr="00163266">
              <w:tab/>
            </w:r>
            <w:r w:rsidRPr="00163266">
              <w:rPr>
                <w:b/>
                <w:i/>
              </w:rPr>
              <w:t>vaatimukset hankkia kriittiset komponentit turvallisilta ja luotettavilta toimittajilta;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(i)</w:t>
            </w:r>
            <w:r w:rsidRPr="00163266">
              <w:tab/>
            </w:r>
            <w:r w:rsidRPr="00163266">
              <w:rPr>
                <w:b/>
                <w:i/>
              </w:rPr>
              <w:t>kyberturvallisuusprotokollien täytäntöönpano mahdollisten uhkien varalta;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(j)</w:t>
            </w:r>
            <w:r w:rsidRPr="00163266">
              <w:tab/>
            </w:r>
            <w:r w:rsidRPr="00163266">
              <w:rPr>
                <w:b/>
                <w:i/>
              </w:rPr>
              <w:t>vaatimus, jonka mukaan ulkomaisen sijoittajan on perustettava yhteisyritys unionin yrityksen kanssa;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(k)</w:t>
            </w:r>
            <w:r w:rsidRPr="00163266">
              <w:tab/>
            </w:r>
            <w:r w:rsidRPr="00163266">
              <w:rPr>
                <w:b/>
                <w:i/>
              </w:rPr>
              <w:t>velvoite tallentaa ja käsitellä tiettyjä tietoja unionissa.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198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14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jc w:val="center"/>
              <w:rPr>
                <w:szCs w:val="24"/>
              </w:rPr>
            </w:pPr>
            <w:r w:rsidRPr="00163266">
              <w:rPr>
                <w:b/>
                <w:i/>
              </w:rPr>
              <w:t>14 a artikla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jc w:val="center"/>
              <w:rPr>
                <w:szCs w:val="24"/>
              </w:rPr>
            </w:pPr>
            <w:r w:rsidRPr="00163266">
              <w:rPr>
                <w:b/>
                <w:i/>
              </w:rPr>
              <w:t>Unioniin tulevien ulkomaisten suorien sijoitusten seurantaa käsittelevä asiantuntijaryhmä</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1.</w:t>
            </w:r>
            <w:r w:rsidRPr="00163266">
              <w:tab/>
            </w:r>
            <w:r w:rsidRPr="00163266">
              <w:rPr>
                <w:b/>
                <w:i/>
              </w:rPr>
              <w:t>Unioniin tulevien ulkomaisten suorien sijoitusten seurantaa käsittelevä asiantuntijaryhmä antaa neuvoja ja tarjoaa asiantuntemusta komissiolle sekä jatkaa ulkomaisten suorien sijoitusten seurantaa koskevia keskusteluja. Se jakaa parhaita käytäntöjä, saatuja kokemuksia ja vaihtaa näkemyksiä ulkomaisiin suoriin sijoituksiin liittyvistä uusista kehityssuuntauksista ja yhteistä etua koskevista kysymyksistä. Komissio myös pyytää neuvoja kyseiseltä ryhmältä tämän asetuksen täytäntöönpanoa koskevissa systeemisissä kysymyksissä. Ryhmä kokoontuu säännöllisesti jatkuvan vuoropuhelun ja vastavuoroisen oppimisen varmistamiseksi.</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2.</w:t>
            </w:r>
            <w:r w:rsidRPr="00163266">
              <w:tab/>
            </w:r>
            <w:r w:rsidRPr="00163266">
              <w:rPr>
                <w:b/>
                <w:i/>
              </w:rPr>
              <w:t>Asiantuntijaryhmässä käytävät keskustelut ovat luottamuksellisia.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199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14 b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jc w:val="center"/>
              <w:rPr>
                <w:szCs w:val="24"/>
              </w:rPr>
            </w:pPr>
            <w:r w:rsidRPr="00163266">
              <w:rPr>
                <w:b/>
                <w:i/>
              </w:rPr>
              <w:t>14 b artikla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jc w:val="center"/>
              <w:rPr>
                <w:szCs w:val="24"/>
              </w:rPr>
            </w:pPr>
            <w:r w:rsidRPr="00163266">
              <w:rPr>
                <w:b/>
                <w:i/>
              </w:rPr>
              <w:t>Julkista avoimuutta koskevat vaatimukset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1.</w:t>
            </w:r>
            <w:r w:rsidRPr="00163266">
              <w:tab/>
            </w:r>
            <w:r w:rsidRPr="00163266">
              <w:rPr>
                <w:b/>
                <w:i/>
              </w:rPr>
              <w:t>Komissio julkaisee viimeistään [...] päivänä [...]kuuta [...] [tämän asetuksen voimaantulopäivä] ohjeita seuraavien perusteiden soveltamisesta: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(a)</w:t>
            </w:r>
            <w:r w:rsidRPr="00163266">
              <w:tab/>
            </w:r>
            <w:r w:rsidRPr="00163266">
              <w:rPr>
                <w:b/>
                <w:i/>
              </w:rPr>
              <w:t>perusteet, joilla määritetään, mahdollistaako sijoitus 2 artiklan 1 kohdan mukaisesti tosiasiallisen osallistumisen unionin sijoituskohteen johtamiseen tai määräysvallan unionin sijoituskohteessa;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(b)</w:t>
            </w:r>
            <w:r w:rsidRPr="00163266">
              <w:tab/>
            </w:r>
            <w:r w:rsidRPr="00163266">
              <w:rPr>
                <w:b/>
                <w:i/>
              </w:rPr>
              <w:t>perusteet, joilla määritetään, onko yritys 4 artiklan 4 kohdan a alakohdan mukaisesti osa unionin etua koskevaa hanketta tai ohjelmaa tai osallistuuko se siihen;</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(c)</w:t>
            </w:r>
            <w:r w:rsidRPr="00163266">
              <w:tab/>
            </w:r>
            <w:r w:rsidRPr="00163266">
              <w:rPr>
                <w:b/>
                <w:i/>
              </w:rPr>
              <w:t>perusteet, joilla määritetään, harjoittaako yritys 2 artiklan 9 kohdan mukaisesti taloudellista toimintaa jollakin liitteessä II luetellulla alalla;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(d)</w:t>
            </w:r>
            <w:r w:rsidRPr="00163266">
              <w:tab/>
            </w:r>
            <w:r w:rsidRPr="00163266">
              <w:rPr>
                <w:b/>
                <w:i/>
              </w:rPr>
              <w:t>perusteet, joilla arvioidaan turvallisuuteen ja yleiseen järjestykseen kohdistuvia mahdollisia riskejä, mukaan lukien rajat ylittävät riskit ja täysin uuteen toimintaan tehtävien sijoitusten aiheuttamat riskit.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Ennen kuin komissio antaa ensimmäisessä alakohdassa tarkoitetut ohjeet, se kuulee asianmukaisesti sidosryhmiä. Komissio päivittää ohjeita säännöllisesti tämän asetuksen täytäntöönpanosta saatujen kokemusten perusteella.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2.</w:t>
            </w:r>
            <w:r w:rsidRPr="00163266">
              <w:tab/>
            </w:r>
            <w:r w:rsidRPr="00163266">
              <w:rPr>
                <w:b/>
                <w:i/>
              </w:rPr>
              <w:t>Komissio julkaisee luettelon kaikista jäsenvaltioiden käyttöön ottamista seurantamekanismeista. Luetteloon sisällytetään yhteenveto kunkin seurantamekanismin soveltamisalasta ja keskeisistä menettelysäännöistä. Siihen liitetään myös linkki 3 kohdassa tarkoitettuihin seurannasta vastaavien viranomaisten ohjeisiin ja asianomaisen yhteyspisteen yhteystiedot. Komissio pitää luettelon ajan tasalla.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3.</w:t>
            </w:r>
            <w:r w:rsidRPr="00163266">
              <w:tab/>
            </w:r>
            <w:r w:rsidRPr="00163266">
              <w:rPr>
                <w:b/>
                <w:i/>
              </w:rPr>
              <w:t xml:space="preserve">Avoimuuden ja ennakoitavuuden lisäämiseksi jäsenvaltioiden on julkaistava säännöllisesti yksityiskohtaiset ohjeet seurantamekanisminsa </w:t>
            </w:r>
            <w:r w:rsidRPr="00163266">
              <w:rPr>
                <w:b/>
                <w:i/>
              </w:rPr>
              <w:lastRenderedPageBreak/>
              <w:t>soveltamisalasta, ilmoitusvelvoitteiden kynnysarvoista ja käynnistävistä seikoista, kriteereistä, joilla arvioidaan, vaikuttaako sijoitus todennäköisesti kielteisesti turvallisuuteen tai yleiseen järjestykseen, perusteellisen tutkimuksen käynnistämisen kriteereistä sekä sovellettavista määräajoista ja menettelysäännöistä, ja pidettävä ne ajan tasalla.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200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15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Jäsenvaltiot ja komissio voivat tehdä yhteistyötä kolmansien maiden asiasta vastaavien viranomaisten kanssa kysymyksissä, jotka liittyvät turvallisuuden ja yleisen järjestyksen perusteella toteutettavaan sijoitusten seurantaan.</w:t>
            </w:r>
          </w:p>
        </w:tc>
        <w:tc>
          <w:tcPr>
            <w:tcW w:w="4876" w:type="dxa"/>
            <w:hideMark/>
          </w:tcPr>
          <w:p w:rsidR="001E1179" w:rsidRPr="00163266" w:rsidRDefault="001E1179" w:rsidP="00F60C33">
            <w:pPr>
              <w:pStyle w:val="Normal6"/>
              <w:widowControl/>
              <w:rPr>
                <w:szCs w:val="24"/>
              </w:rPr>
            </w:pPr>
            <w:r w:rsidRPr="00163266">
              <w:t xml:space="preserve">Jäsenvaltiot ja komissio voivat tehdä yhteistyötä kolmansien maiden asiasta vastaavien viranomaisten kanssa </w:t>
            </w:r>
            <w:r w:rsidRPr="00163266">
              <w:rPr>
                <w:b/>
                <w:i/>
              </w:rPr>
              <w:t xml:space="preserve">ja olla vuorovaikutuksessa kahden- ja monenvälisten foorumeiden kautta </w:t>
            </w:r>
            <w:r w:rsidRPr="00163266">
              <w:t xml:space="preserve">kysymyksissä, jotka liittyvät turvallisuuden ja yleisen järjestyksen perusteella toteutettavaan sijoitusten seurantaan. </w:t>
            </w:r>
            <w:r w:rsidRPr="00163266">
              <w:rPr>
                <w:b/>
                <w:i/>
              </w:rPr>
              <w:t>Yhteistyöhön voi kuulua tietojen ja parhaiden käytäntöjen vaihto sekä tekninen tuki ja valmiuksien kehittämisen tukeminen. Komissio kannustaa yhteistyön puitteissa kolmansia maita, etenkin unionin jäsenehdokasmaita ja unionin naapurimaita, perustamaan sijoitusten seurantamekanismeja.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201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16 artikla – 1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1.</w:t>
            </w:r>
            <w:r w:rsidRPr="00163266">
              <w:tab/>
              <w:t xml:space="preserve">Jäsenvaltioiden on raportoitava komissiolle luottamuksellisesti viimeistään kunkin vuoden 31 päivänä maaliskuuta vuodesta </w:t>
            </w:r>
            <w:proofErr w:type="gramStart"/>
            <w:r w:rsidRPr="00163266">
              <w:t>[...][</w:t>
            </w:r>
            <w:proofErr w:type="gramEnd"/>
            <w:r w:rsidRPr="00163266">
              <w:t xml:space="preserve">julkaisutoimisto: lisätään ensimmäinen soveltamisvuosi] alkaen seurantamekanismiin ja yhteistyömekanismiin liittyvästä </w:t>
            </w:r>
            <w:r w:rsidRPr="00163266">
              <w:lastRenderedPageBreak/>
              <w:t xml:space="preserve">toiminnastaan edeltävän kalenterivuoden aikana. </w:t>
            </w:r>
            <w:r w:rsidRPr="00163266">
              <w:rPr>
                <w:b/>
                <w:i/>
              </w:rPr>
              <w:t>Vuosikertomuksessa</w:t>
            </w:r>
            <w:r w:rsidRPr="00163266">
              <w:t xml:space="preserve"> on </w:t>
            </w:r>
            <w:r w:rsidRPr="00163266">
              <w:rPr>
                <w:b/>
                <w:i/>
              </w:rPr>
              <w:t>oltava tietoja seuraavista</w:t>
            </w:r>
            <w:r w:rsidRPr="00163266">
              <w:t>:</w:t>
            </w:r>
          </w:p>
        </w:tc>
        <w:tc>
          <w:tcPr>
            <w:tcW w:w="4876" w:type="dxa"/>
            <w:hideMark/>
          </w:tcPr>
          <w:p w:rsidR="001E1179" w:rsidRPr="00163266" w:rsidRDefault="001E1179" w:rsidP="00F60C33">
            <w:pPr>
              <w:pStyle w:val="Normal6"/>
              <w:widowControl/>
              <w:rPr>
                <w:szCs w:val="24"/>
              </w:rPr>
            </w:pPr>
            <w:r w:rsidRPr="00163266">
              <w:lastRenderedPageBreak/>
              <w:t>1.</w:t>
            </w:r>
            <w:r w:rsidRPr="00163266">
              <w:tab/>
              <w:t xml:space="preserve">Jäsenvaltioiden on raportoitava komissiolle luottamuksellisesti viimeistään kunkin vuoden 31 päivänä maaliskuuta vuodesta </w:t>
            </w:r>
            <w:proofErr w:type="gramStart"/>
            <w:r w:rsidRPr="00163266">
              <w:t>[...][</w:t>
            </w:r>
            <w:proofErr w:type="gramEnd"/>
            <w:r w:rsidRPr="00163266">
              <w:t xml:space="preserve">julkaisutoimisto: lisätään ensimmäinen soveltamisvuosi] alkaen seurantamekanismiin ja yhteistyömekanismiin liittyvästä </w:t>
            </w:r>
            <w:r w:rsidRPr="00163266">
              <w:lastRenderedPageBreak/>
              <w:t xml:space="preserve">toiminnastaan edeltävän kalenterivuoden aikana. </w:t>
            </w:r>
            <w:r w:rsidRPr="00163266">
              <w:rPr>
                <w:b/>
                <w:i/>
              </w:rPr>
              <w:t>Vuosikertomukseen</w:t>
            </w:r>
            <w:r w:rsidRPr="00163266">
              <w:t xml:space="preserve"> on </w:t>
            </w:r>
            <w:r w:rsidRPr="00163266">
              <w:rPr>
                <w:b/>
                <w:i/>
              </w:rPr>
              <w:t>sisällytettävä seuraavat seikat</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202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16 artikla – 1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(c)</w:t>
            </w:r>
            <w:r w:rsidRPr="00163266">
              <w:tab/>
              <w:t>kiellettyjen ulkomaisten sijoitusten lukumäärä, peruutettujen ulkomaisten sijoitusten lukumäärä;</w:t>
            </w:r>
          </w:p>
        </w:tc>
        <w:tc>
          <w:tcPr>
            <w:tcW w:w="4876" w:type="dxa"/>
            <w:hideMark/>
          </w:tcPr>
          <w:p w:rsidR="001E1179" w:rsidRPr="00163266" w:rsidRDefault="001E1179" w:rsidP="00F60C33">
            <w:pPr>
              <w:pStyle w:val="Normal6"/>
              <w:widowControl/>
              <w:rPr>
                <w:szCs w:val="24"/>
              </w:rPr>
            </w:pPr>
            <w:r w:rsidRPr="00163266">
              <w:t>(c)</w:t>
            </w:r>
            <w:r w:rsidRPr="00163266">
              <w:tab/>
              <w:t xml:space="preserve">kiellettyjen ulkomaisten sijoitusten lukumäärä, peruutettujen </w:t>
            </w:r>
            <w:r w:rsidRPr="00163266">
              <w:rPr>
                <w:b/>
                <w:i/>
              </w:rPr>
              <w:t xml:space="preserve">tai purettujen </w:t>
            </w:r>
            <w:r w:rsidRPr="00163266">
              <w:t>ulkomaisten sijoitusten lukumäärä;</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203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16 artikla – 1 kohta – e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(e)</w:t>
            </w:r>
            <w:r w:rsidRPr="00163266">
              <w:tab/>
              <w:t xml:space="preserve">tiedot ulkomaisten sijoittajien alkuperästä ja seurannan kohteena olleiden, luvan saaneiden </w:t>
            </w:r>
            <w:r w:rsidRPr="00163266">
              <w:rPr>
                <w:b/>
                <w:i/>
              </w:rPr>
              <w:t>tai</w:t>
            </w:r>
            <w:r w:rsidRPr="00163266">
              <w:t xml:space="preserve"> kiellettyjen ulkomaisten sijoitusten sijoituskohteiden toimialasta;</w:t>
            </w:r>
          </w:p>
        </w:tc>
        <w:tc>
          <w:tcPr>
            <w:tcW w:w="4876" w:type="dxa"/>
            <w:hideMark/>
          </w:tcPr>
          <w:p w:rsidR="001E1179" w:rsidRPr="00163266" w:rsidRDefault="001E1179" w:rsidP="00F60C33">
            <w:pPr>
              <w:pStyle w:val="Normal6"/>
              <w:widowControl/>
              <w:rPr>
                <w:szCs w:val="24"/>
              </w:rPr>
            </w:pPr>
            <w:r w:rsidRPr="00163266">
              <w:t>(e)</w:t>
            </w:r>
            <w:r w:rsidRPr="00163266">
              <w:tab/>
              <w:t xml:space="preserve">tiedot ulkomaisten sijoittajien alkuperästä ja seurannan kohteena olleiden, luvan </w:t>
            </w:r>
            <w:r w:rsidRPr="00163266">
              <w:rPr>
                <w:b/>
                <w:i/>
              </w:rPr>
              <w:t xml:space="preserve">ilman ehtoja </w:t>
            </w:r>
            <w:r w:rsidRPr="00163266">
              <w:t xml:space="preserve">saaneiden </w:t>
            </w:r>
            <w:r w:rsidRPr="00163266">
              <w:rPr>
                <w:b/>
                <w:i/>
              </w:rPr>
              <w:t>ja luvan tietyin ehdoin saaneiden ulkomaisten sijoitusten sekä</w:t>
            </w:r>
            <w:r w:rsidRPr="00163266">
              <w:t xml:space="preserve"> kiellettyjen ulkomaisten sijoitusten sijoituskohteiden toimialasta;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204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16 artikla – 1 kohta – e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(e a)</w:t>
            </w:r>
            <w:r w:rsidRPr="00163266">
              <w:rPr>
                <w:b/>
                <w:i/>
              </w:rPr>
              <w:tab/>
              <w:t>tiedot sijoitusten seurantamenettelyjen keskimääräisestä kestosta;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205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16 artikla – 1 kohta – f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(f)</w:t>
            </w:r>
            <w:r w:rsidRPr="00163266">
              <w:tab/>
            </w:r>
            <w:r w:rsidRPr="00163266">
              <w:rPr>
                <w:b/>
                <w:i/>
              </w:rPr>
              <w:t>koostetut tiedot</w:t>
            </w:r>
            <w:r w:rsidRPr="00163266">
              <w:t xml:space="preserve"> seurantaa koskevaan päätökseen johtaneista ulkomaisissa sijoituksissa todetuista riskeistä ja haavoittuvuuksista.</w:t>
            </w:r>
          </w:p>
        </w:tc>
        <w:tc>
          <w:tcPr>
            <w:tcW w:w="4876" w:type="dxa"/>
            <w:hideMark/>
          </w:tcPr>
          <w:p w:rsidR="001E1179" w:rsidRPr="00163266" w:rsidRDefault="001E1179" w:rsidP="00F60C33">
            <w:pPr>
              <w:pStyle w:val="Normal6"/>
              <w:widowControl/>
              <w:rPr>
                <w:szCs w:val="24"/>
              </w:rPr>
            </w:pPr>
            <w:r w:rsidRPr="00163266">
              <w:t>(f)</w:t>
            </w:r>
            <w:r w:rsidRPr="00163266">
              <w:tab/>
            </w:r>
            <w:r w:rsidRPr="00163266">
              <w:rPr>
                <w:b/>
                <w:i/>
              </w:rPr>
              <w:t>kuvaus</w:t>
            </w:r>
            <w:r w:rsidRPr="00163266">
              <w:t xml:space="preserve"> seurantaa koskevaan päätökseen johtaneista ulkomaisissa sijoituksissa todetuista riskeistä ja haavoittuvuuksista.</w:t>
            </w:r>
          </w:p>
        </w:tc>
      </w:tr>
    </w:tbl>
    <w:p w:rsidR="001E1179" w:rsidRPr="00163266" w:rsidRDefault="001E1179" w:rsidP="001E1179">
      <w:pPr>
        <w:widowControl/>
      </w:pPr>
    </w:p>
    <w:p w:rsidR="001E1179" w:rsidRPr="00163266" w:rsidRDefault="001E1179" w:rsidP="00DB5590">
      <w:pPr>
        <w:pStyle w:val="AmNumberTabs"/>
        <w:widowControl/>
      </w:pPr>
      <w:r w:rsidRPr="00163266">
        <w:t>Tarkistus</w:t>
      </w:r>
      <w:r w:rsidR="00277A55" w:rsidRPr="00163266">
        <w:t xml:space="preserve"> </w:t>
      </w:r>
      <w:r w:rsidRPr="00163266">
        <w:t>206</w:t>
      </w:r>
    </w:p>
    <w:p w:rsidR="001E1179" w:rsidRPr="00163266" w:rsidRDefault="001E1179" w:rsidP="00DB5590">
      <w:pPr>
        <w:pStyle w:val="NormalBold"/>
        <w:keepNext/>
        <w:widowControl/>
        <w:spacing w:before="240"/>
      </w:pPr>
      <w:r w:rsidRPr="00163266">
        <w:t>Ehdotus asetukseksi</w:t>
      </w:r>
    </w:p>
    <w:p w:rsidR="001E1179" w:rsidRPr="00163266" w:rsidRDefault="001E1179" w:rsidP="001E1179">
      <w:pPr>
        <w:pStyle w:val="NormalBold"/>
        <w:widowControl/>
      </w:pPr>
      <w:r w:rsidRPr="00163266">
        <w:t>16 artikla – 1 kohta – f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(f a)</w:t>
            </w:r>
            <w:r w:rsidRPr="00163266">
              <w:rPr>
                <w:b/>
                <w:i/>
              </w:rPr>
              <w:tab/>
              <w:t>edellä olevan 9 artiklan 1 kohdan mukaisesti aloitettujen oma-aloitteisten menettelyjen määrä ja sellaisten tapausten määrä, joissa vastaanottava jäsenvaltio on aloittanut niiden johdosta seurantamenettelyn.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207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16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1 a.</w:t>
            </w:r>
            <w:r w:rsidRPr="00163266">
              <w:rPr>
                <w:b/>
                <w:i/>
              </w:rPr>
              <w:tab/>
              <w:t>Komissio hyväksyy viimeistään [...] päivänä [...]kuuta [...] [ensimmäisen soveltamisvuoden 1 päivänä tammikuuta] 21 artiklan mukaisesti täytäntöönpanosäädöksen, jossa vahvistetaan lomake, jota on käytettävä tämän artiklan 1 kohdassa tarkoitettujen tietojen ilmoittamiseen.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208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16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w:t>
            </w:r>
            <w:r w:rsidRPr="00163266">
              <w:tab/>
              <w:t xml:space="preserve">Komissio esittää 1 kohdan mukaisesti saatujen tietojen sekä suuntauksia ja kehitystä koskevan arvionsa </w:t>
            </w:r>
            <w:r w:rsidRPr="00163266">
              <w:lastRenderedPageBreak/>
              <w:t>perusteella Euroopan parlamentille ja neuvostolle vuosittain kertomuksen tämän asetuksen täytäntöönpanosta. Kyseinen kertomus julkistetaan.</w:t>
            </w:r>
          </w:p>
        </w:tc>
        <w:tc>
          <w:tcPr>
            <w:tcW w:w="4876" w:type="dxa"/>
            <w:hideMark/>
          </w:tcPr>
          <w:p w:rsidR="001E1179" w:rsidRPr="00163266" w:rsidRDefault="001E1179" w:rsidP="00F60C33">
            <w:pPr>
              <w:pStyle w:val="Normal6"/>
              <w:widowControl/>
              <w:rPr>
                <w:szCs w:val="24"/>
              </w:rPr>
            </w:pPr>
            <w:r w:rsidRPr="00163266">
              <w:lastRenderedPageBreak/>
              <w:t>2.</w:t>
            </w:r>
            <w:r w:rsidRPr="00163266">
              <w:tab/>
              <w:t>Komissio esittää 1 kohdan mukaisesti saatujen tietojen</w:t>
            </w:r>
            <w:r w:rsidRPr="00163266">
              <w:rPr>
                <w:b/>
                <w:i/>
              </w:rPr>
              <w:t>, täytäntöönpanoa koskevan käytäntönsä</w:t>
            </w:r>
            <w:r w:rsidRPr="00163266">
              <w:t xml:space="preserve"> </w:t>
            </w:r>
            <w:r w:rsidRPr="00163266">
              <w:lastRenderedPageBreak/>
              <w:t>sekä suuntauksia ja kehitystä koskevan arvionsa perusteella Euroopan parlamentille ja neuvostolle vuosittain kertomuksen tämän asetuksen täytäntöönpanosta</w:t>
            </w:r>
            <w:r w:rsidRPr="00163266">
              <w:rPr>
                <w:b/>
                <w:i/>
              </w:rPr>
              <w:t xml:space="preserve"> viimeistään kunkin vuoden syyskuun 30 päivänä vuodesta </w:t>
            </w:r>
            <w:proofErr w:type="gramStart"/>
            <w:r w:rsidRPr="00163266">
              <w:rPr>
                <w:b/>
                <w:i/>
              </w:rPr>
              <w:t>[</w:t>
            </w:r>
            <w:r w:rsidRPr="00163266">
              <w:t>.</w:t>
            </w:r>
            <w:r w:rsidRPr="00163266">
              <w:rPr>
                <w:b/>
                <w:i/>
              </w:rPr>
              <w:t>..][</w:t>
            </w:r>
            <w:proofErr w:type="gramEnd"/>
            <w:r w:rsidRPr="00163266">
              <w:rPr>
                <w:b/>
                <w:i/>
              </w:rPr>
              <w:t>tämän asetuksen ensimmäinen soveltamisvuosi] alkaen.</w:t>
            </w:r>
            <w:r w:rsidRPr="00163266">
              <w:t xml:space="preserve"> Kyseinen kertomus julkistetaan.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209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16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2 a.</w:t>
            </w:r>
            <w:r w:rsidRPr="00163266">
              <w:rPr>
                <w:b/>
                <w:i/>
              </w:rPr>
              <w:tab/>
              <w:t>Komission vuosikertomukseen sisällytetään jäsenvaltioittain yhteenveto 1 kohdassa tarkoitetuista tiedoista, arvio unioniin tulevien ulkomaisten sijoitusten kehityssuuntauksista ja määristä, tietoa asiaan liittyvästä jäsenvaltioiden lainsäädännön kehityksestä, tietoa kansainvälisestä yhteistyöstä, saatuja kokemuksia ja tämän asetuksen täytäntöönpanoa tukevia parhaita käytäntöjä.</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210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18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1.</w:t>
            </w:r>
            <w:r w:rsidRPr="00163266">
              <w:tab/>
              <w:t>Komissio arvioi tämän asetuksen toimivuutta ja vaikuttavuutta viiden vuoden kuluttua sen soveltamispäivästä ja sen jälkeen viiden vuoden välein ja esittää kertomuksen Euroopan parlamentille ja neuvostolle. Jäsenvaltioiden on osallistuttava tähän ja tarvittaessa toimitettava komissiolle kertomuksen laatimista varten tarvittavat lisätiedot.</w:t>
            </w:r>
          </w:p>
        </w:tc>
        <w:tc>
          <w:tcPr>
            <w:tcW w:w="4876" w:type="dxa"/>
            <w:hideMark/>
          </w:tcPr>
          <w:p w:rsidR="001E1179" w:rsidRPr="00163266" w:rsidRDefault="001E1179" w:rsidP="00F60C33">
            <w:pPr>
              <w:pStyle w:val="Normal6"/>
              <w:widowControl/>
              <w:rPr>
                <w:szCs w:val="24"/>
              </w:rPr>
            </w:pPr>
            <w:r w:rsidRPr="00163266">
              <w:t>1.</w:t>
            </w:r>
            <w:r w:rsidRPr="00163266">
              <w:tab/>
              <w:t xml:space="preserve">Komissio arvioi tämän asetuksen toimivuutta ja vaikuttavuutta kolmen vuoden kuluttua sen soveltamispäivästä ja sen jälkeen viiden vuoden välein ja esittää kertomuksen Euroopan parlamentille ja neuvostolle. Jäsenvaltioiden on osallistuttava tähän arviointiprosessiin ja tarvittaessa toimitettava komissiolle kertomuksen laatimista varten tarvittavat lisätiedot. </w:t>
            </w:r>
            <w:r w:rsidRPr="00163266">
              <w:rPr>
                <w:b/>
                <w:i/>
              </w:rPr>
              <w:t xml:space="preserve">Kertomukseen on sisällyttävä analyysi unioniin tulevien ulkomaisten sijoitusten kehityksestä sekä arvio tämän asetuksen vaikutuksesta unionin </w:t>
            </w:r>
            <w:r w:rsidRPr="00163266">
              <w:rPr>
                <w:b/>
                <w:i/>
              </w:rPr>
              <w:lastRenderedPageBreak/>
              <w:t>taloudelliseen turvallisuuteen. Siihen on sisällyttävä arvio siitä, olisiko 4 artiklan 4 ja 4 a kohdassa vahvistettuja ehtoja muutettava, jotta voidaan varmistaa johdonmukainen lähestymistapa ulkomaisten sijoitusten seurantaan, ottaen huomioon 13 artiklan 3 ja 4 kohdassa vahvistetut kriteerit, joihin lukeutuu sotilaskohteiden ja muiden riskialttiiden julkisten kohteiden turvallisuus. Kertomuksessa on myös arvioitava yrityksille sääntöjen noudattamisesta aiheutuvia kustannuksia.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211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19 artikla – 2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w:t>
            </w:r>
            <w:r w:rsidRPr="00163266">
              <w:tab/>
              <w:t>Siirretään komissiolle valta antaa 20 artiklan mukaisesti delegoituja säädöksiä, joilla muutetaan tarvittaessa liitteessä II olevaa luetteloa unionin turvallisuuden tai yleisen järjestyksen kannalta erityisen merkittävistä teknologia-aloista, resursseista, laitoksista, laitteista, verkoista, järjestelmistä, palveluista ja taloudellisista toiminnoista, jotta voidaan ottaa huomioon unionin turvallisuuteen tai yleiseen järjestykseen liittyvien etujen kannalta merkityksellisten olosuhteiden muutokset. Huomioon otettavia näkökohtia ovat erityisesti seuraavat:</w:t>
            </w:r>
          </w:p>
        </w:tc>
        <w:tc>
          <w:tcPr>
            <w:tcW w:w="4876" w:type="dxa"/>
            <w:hideMark/>
          </w:tcPr>
          <w:p w:rsidR="001E1179" w:rsidRPr="00163266" w:rsidRDefault="001E1179" w:rsidP="00F60C33">
            <w:pPr>
              <w:pStyle w:val="Normal6"/>
              <w:widowControl/>
              <w:rPr>
                <w:szCs w:val="24"/>
              </w:rPr>
            </w:pPr>
            <w:r w:rsidRPr="00163266">
              <w:t>2.</w:t>
            </w:r>
            <w:r w:rsidRPr="00163266">
              <w:tab/>
              <w:t xml:space="preserve">Siirretään komissiolle valta antaa 20 artiklan mukaisesti delegoituja säädöksiä, joilla muutetaan tarvittaessa liitteessä II olevaa luetteloa unionin turvallisuuden tai yleisen järjestyksen kannalta erityisen merkittävistä teknologia-aloista, </w:t>
            </w:r>
            <w:r w:rsidRPr="00163266">
              <w:rPr>
                <w:b/>
                <w:i/>
              </w:rPr>
              <w:t xml:space="preserve">materiaaleista, </w:t>
            </w:r>
            <w:r w:rsidRPr="00163266">
              <w:t>resursseista, laitoksista, laitteista, verkoista, järjestelmistä, palveluista ja taloudellisista toiminnoista, jotta voidaan ottaa huomioon unionin turvallisuuteen tai yleiseen järjestykseen liittyvien etujen kannalta merkityksellisten olosuhteiden muutokset. Huomioon otettavia näkökohtia ovat erityisesti seuraavat: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212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19 artikla – 2 kohta – b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(b a)</w:t>
            </w:r>
            <w:r w:rsidRPr="00163266">
              <w:rPr>
                <w:b/>
                <w:i/>
              </w:rPr>
              <w:tab/>
              <w:t xml:space="preserve">komission ja jäsenvaltioiden Euroopan taloudellisen turvallisuuden strategian mukaisesti tekemien </w:t>
            </w:r>
            <w:r w:rsidRPr="00163266">
              <w:rPr>
                <w:b/>
                <w:i/>
              </w:rPr>
              <w:lastRenderedPageBreak/>
              <w:t>asiaankuuluvien riskinarviointien tulokset;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213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19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2 a.</w:t>
            </w:r>
            <w:r w:rsidRPr="00163266">
              <w:rPr>
                <w:b/>
                <w:i/>
              </w:rPr>
              <w:tab/>
              <w:t>Ensimmäinen tämän artiklan 2 kohdassa tarkoitetuista delegoiduista säädöksistä hyväksytään viimeistään […] päivänä […]kuuta […] [9 kuukauden kuluttua tämän asetuksen voimaantulopäivästä] liitteen II muuttamista varten, jotta voidaan täsmentää luetteloa unionin turvallisuuden tai yleisen järjestyksen kannalta erityisen merkittävistä teknologia-aloista, materiaaleista, resursseista, laitoksista, laitteista, verkoista, järjestelmistä, palveluista ja taloudellisista toiminnoista.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214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20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w:t>
            </w:r>
            <w:r w:rsidRPr="00163266">
              <w:tab/>
              <w:t xml:space="preserve">Siirretään komissiolle […] päivästä […]kuuta […] [lisätään </w:t>
            </w:r>
            <w:r w:rsidRPr="00163266">
              <w:rPr>
                <w:b/>
                <w:i/>
              </w:rPr>
              <w:t>perussäädöksen</w:t>
            </w:r>
            <w:r w:rsidRPr="00163266">
              <w:t xml:space="preserve"> voimaantulopäivä] </w:t>
            </w:r>
            <w:r w:rsidRPr="00163266">
              <w:rPr>
                <w:b/>
                <w:i/>
              </w:rPr>
              <w:t>määräämättömäksi</w:t>
            </w:r>
            <w:r w:rsidRPr="00163266">
              <w:t xml:space="preserve"> ajaksi valta antaa delegoituja säädöksiä.</w:t>
            </w:r>
          </w:p>
        </w:tc>
        <w:tc>
          <w:tcPr>
            <w:tcW w:w="4876" w:type="dxa"/>
            <w:hideMark/>
          </w:tcPr>
          <w:p w:rsidR="001E1179" w:rsidRPr="00163266" w:rsidRDefault="001E1179" w:rsidP="00F60C33">
            <w:pPr>
              <w:pStyle w:val="Normal6"/>
              <w:widowControl/>
              <w:rPr>
                <w:szCs w:val="24"/>
              </w:rPr>
            </w:pPr>
            <w:r w:rsidRPr="00163266">
              <w:t>2.</w:t>
            </w:r>
            <w:r w:rsidRPr="00163266">
              <w:tab/>
              <w:t>Siirretään komissiolle […] päivästä [</w:t>
            </w:r>
            <w:proofErr w:type="gramStart"/>
            <w:r w:rsidRPr="00163266">
              <w:t>…]kuuta</w:t>
            </w:r>
            <w:proofErr w:type="gramEnd"/>
            <w:r w:rsidRPr="00163266">
              <w:t xml:space="preserve"> […] [lisätään </w:t>
            </w:r>
            <w:r w:rsidRPr="00163266">
              <w:rPr>
                <w:b/>
                <w:i/>
              </w:rPr>
              <w:t>tämän asetuksen</w:t>
            </w:r>
            <w:r w:rsidRPr="00163266">
              <w:t xml:space="preserve"> voimaantulopäivä] </w:t>
            </w:r>
            <w:r w:rsidRPr="00163266">
              <w:rPr>
                <w:b/>
                <w:i/>
              </w:rPr>
              <w:t>viiden vuoden</w:t>
            </w:r>
            <w:r w:rsidRPr="00163266">
              <w:t xml:space="preserve"> ajaksi </w:t>
            </w:r>
            <w:r w:rsidRPr="00163266">
              <w:rPr>
                <w:b/>
                <w:i/>
              </w:rPr>
              <w:t xml:space="preserve">19 artiklassa tarkoitettu </w:t>
            </w:r>
            <w:r w:rsidRPr="00163266">
              <w:t>valta antaa delegoituja säädöksiä.</w:t>
            </w:r>
            <w:r w:rsidRPr="00163266">
              <w:rPr>
                <w:b/>
                <w:i/>
              </w:rPr>
              <w:t xml:space="preserve"> Komissio laatii siirrettyä säädösvaltaa koskevan kertomuksen viimeistään yhdeksän kuukautta ennen tämän viiden vuoden kauden päättymistä.</w:t>
            </w:r>
            <w:r w:rsidRPr="00163266">
              <w:t xml:space="preserve"> </w:t>
            </w:r>
            <w:r w:rsidRPr="00163266">
              <w:rPr>
                <w:b/>
                <w:i/>
              </w:rPr>
              <w:t>Säädösvallan siirtoa jatketaan ilman eri toimenpiteitä samanpituisiksi kausiksi, jollei Euroopan parlamentti tai neuvosto vastusta tällaista jatkamista viimeistään kolme kuukautta ennen kunkin kauden päättymistä.</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215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21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1.</w:t>
            </w:r>
            <w:r w:rsidRPr="00163266">
              <w:rPr>
                <w:b/>
                <w:i/>
              </w:rPr>
              <w:tab/>
            </w:r>
            <w:r w:rsidRPr="00163266">
              <w:rPr>
                <w:b/>
                <w:i/>
                <w:noProof/>
              </w:rPr>
              <w:t>Siirretään komissiolle valta antaa täytäntöönpanosäädöksiä, joissa vahvistetaan lomakkeet, joita on käytettävä 10 artiklan 1 kohdassa tarkoitettujen tietojen toimittamiseen.</w:t>
            </w:r>
          </w:p>
        </w:tc>
        <w:tc>
          <w:tcPr>
            <w:tcW w:w="4876" w:type="dxa"/>
            <w:hideMark/>
          </w:tcPr>
          <w:p w:rsidR="001E1179" w:rsidRPr="00163266" w:rsidRDefault="001E1179" w:rsidP="00F60C33">
            <w:pPr>
              <w:pStyle w:val="Normal6"/>
              <w:widowControl/>
              <w:rPr>
                <w:szCs w:val="24"/>
              </w:rPr>
            </w:pPr>
            <w:r w:rsidRPr="00163266">
              <w:rPr>
                <w:b/>
                <w:i/>
              </w:rPr>
              <w:t>Poistetaan.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216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21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2.</w:t>
            </w:r>
            <w:r w:rsidRPr="00163266">
              <w:tab/>
              <w:t>Edellä 1 kohdassa tarkoitetut täytäntöönpanosäädökset hyväksytään 22 artiklan 2 kohdassa tarkoitettua neuvoa-antavaa menettelyä noudattaen.</w:t>
            </w:r>
          </w:p>
        </w:tc>
        <w:tc>
          <w:tcPr>
            <w:tcW w:w="4876" w:type="dxa"/>
            <w:hideMark/>
          </w:tcPr>
          <w:p w:rsidR="001E1179" w:rsidRPr="00163266" w:rsidRDefault="001E1179" w:rsidP="00F60C33">
            <w:pPr>
              <w:pStyle w:val="Normal6"/>
              <w:widowControl/>
              <w:rPr>
                <w:szCs w:val="24"/>
              </w:rPr>
            </w:pPr>
            <w:r w:rsidRPr="00163266">
              <w:t>2.</w:t>
            </w:r>
            <w:r w:rsidRPr="00163266">
              <w:tab/>
              <w:t xml:space="preserve">Edellä </w:t>
            </w:r>
            <w:r w:rsidRPr="00163266">
              <w:rPr>
                <w:b/>
                <w:i/>
              </w:rPr>
              <w:t xml:space="preserve">10 artiklan 2 kohdassa, 12 a artiklan 3 ja 6 kohdassa ja 16 artiklan </w:t>
            </w:r>
            <w:r w:rsidRPr="00163266">
              <w:t>1</w:t>
            </w:r>
            <w:r w:rsidRPr="00163266">
              <w:rPr>
                <w:b/>
                <w:i/>
              </w:rPr>
              <w:t> a</w:t>
            </w:r>
            <w:r w:rsidRPr="00163266">
              <w:t xml:space="preserve"> kohdassa tarkoitetut täytäntöönpanosäädökset hyväksytään 22 artiklan 2 kohdassa tarkoitettua neuvoa-antavaa menettelyä noudattaen.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217</w:t>
      </w:r>
    </w:p>
    <w:p w:rsidR="001E1179" w:rsidRPr="00163266" w:rsidRDefault="001E1179" w:rsidP="001E1179">
      <w:pPr>
        <w:pStyle w:val="NormalBold12b"/>
        <w:widowControl/>
      </w:pPr>
      <w:r w:rsidRPr="00163266">
        <w:t>Ehdotus asetukseksi</w:t>
      </w:r>
    </w:p>
    <w:p w:rsidR="001E1179" w:rsidRPr="00163266" w:rsidRDefault="001E1179" w:rsidP="001E1179">
      <w:pPr>
        <w:pStyle w:val="NormalBold"/>
        <w:widowControl/>
      </w:pPr>
      <w:r w:rsidRPr="00163266">
        <w:t>23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 xml:space="preserve">Kumotaan asetus (EU) 2019/452 [...] päivästä [...]kuuta [...] </w:t>
            </w:r>
            <w:r w:rsidRPr="00163266">
              <w:rPr>
                <w:b/>
                <w:i/>
              </w:rPr>
              <w:t>[julkaisutoimisto: lisätään päivämäärä, joka on 15 kuukautta voimaantulosta]</w:t>
            </w:r>
            <w:r w:rsidRPr="00163266">
              <w:t>.</w:t>
            </w:r>
          </w:p>
        </w:tc>
        <w:tc>
          <w:tcPr>
            <w:tcW w:w="4876" w:type="dxa"/>
            <w:hideMark/>
          </w:tcPr>
          <w:p w:rsidR="001E1179" w:rsidRPr="00163266" w:rsidRDefault="001E1179" w:rsidP="00F60C33">
            <w:pPr>
              <w:pStyle w:val="Normal6"/>
              <w:widowControl/>
              <w:rPr>
                <w:szCs w:val="24"/>
              </w:rPr>
            </w:pPr>
            <w:r w:rsidRPr="00163266">
              <w:t xml:space="preserve">Kumotaan asetus (EU) 2019/452 [...] päivästä [...]kuuta [...] </w:t>
            </w:r>
            <w:r w:rsidRPr="00163266">
              <w:rPr>
                <w:b/>
                <w:i/>
              </w:rPr>
              <w:t>[12 kuukautta tämän asetuksen voimaantulopäivästä]</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218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24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 xml:space="preserve">Sitä sovelletaan [...] päivästä [...]kuuta [...] </w:t>
            </w:r>
            <w:r w:rsidRPr="00163266">
              <w:rPr>
                <w:b/>
                <w:i/>
              </w:rPr>
              <w:t>[julkaisutoimisto: lisätään päivämäärä, joka on 15 kuukautta voimaantulosta].</w:t>
            </w:r>
          </w:p>
        </w:tc>
        <w:tc>
          <w:tcPr>
            <w:tcW w:w="4876" w:type="dxa"/>
            <w:hideMark/>
          </w:tcPr>
          <w:p w:rsidR="001E1179" w:rsidRPr="00163266" w:rsidRDefault="001E1179" w:rsidP="00F60C33">
            <w:pPr>
              <w:pStyle w:val="Normal6"/>
              <w:widowControl/>
              <w:rPr>
                <w:szCs w:val="24"/>
              </w:rPr>
            </w:pPr>
            <w:r w:rsidRPr="00163266">
              <w:t xml:space="preserve">Sitä sovelletaan [...] päivästä [...]kuuta [...] </w:t>
            </w:r>
            <w:r w:rsidRPr="00163266">
              <w:rPr>
                <w:b/>
                <w:i/>
              </w:rPr>
              <w:t>[12 kuukautta tämän asetuksen voimaantulopäivästä].</w:t>
            </w:r>
            <w:r w:rsidRPr="00163266">
              <w:t xml:space="preserve"> </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219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24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Edellä olevaa 19 artiklan 2 ja 2 a kohtaa sovelletaan kuitenkin [...] päivästä [...]kuuta [...][tämän asetuksen voimaantulopäivä].</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Tätä asetusta sovelletaan riippumatta siitä, onko 12 a artiklan 2 kohdassa tarkoitettu keskitetty portaali toiminnassa.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220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 – 7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 xml:space="preserve">Euroopan parlamentin ja neuvoston asetus (EU) </w:t>
            </w:r>
            <w:r w:rsidRPr="00163266">
              <w:rPr>
                <w:b/>
                <w:i/>
              </w:rPr>
              <w:t>N:o 1315</w:t>
            </w:r>
            <w:r w:rsidRPr="00163266">
              <w:t>/</w:t>
            </w:r>
            <w:r w:rsidRPr="00163266">
              <w:rPr>
                <w:b/>
                <w:i/>
              </w:rPr>
              <w:t>2013</w:t>
            </w:r>
            <w:r w:rsidRPr="00163266">
              <w:t xml:space="preserve">, annettu </w:t>
            </w:r>
            <w:r w:rsidRPr="00163266">
              <w:rPr>
                <w:b/>
                <w:i/>
              </w:rPr>
              <w:t>11 </w:t>
            </w:r>
            <w:r w:rsidRPr="00163266">
              <w:t xml:space="preserve">päivänä </w:t>
            </w:r>
            <w:r w:rsidRPr="00163266">
              <w:rPr>
                <w:b/>
                <w:i/>
              </w:rPr>
              <w:t>joulukuuta 2013</w:t>
            </w:r>
            <w:r w:rsidRPr="00163266">
              <w:t xml:space="preserve">, unionin suuntaviivoista Euroopan laajuisen liikenneverkon kehittämiseksi ja </w:t>
            </w:r>
            <w:r w:rsidRPr="00163266">
              <w:rPr>
                <w:b/>
                <w:i/>
              </w:rPr>
              <w:t>päätöksen </w:t>
            </w:r>
            <w:r w:rsidRPr="00163266">
              <w:t>N:o</w:t>
            </w:r>
            <w:r w:rsidRPr="00163266">
              <w:rPr>
                <w:b/>
                <w:i/>
              </w:rPr>
              <w:t> 661</w:t>
            </w:r>
            <w:r w:rsidRPr="00163266">
              <w:t>/2010</w:t>
            </w:r>
            <w:r w:rsidRPr="00163266">
              <w:rPr>
                <w:b/>
                <w:i/>
              </w:rPr>
              <w:t>/</w:t>
            </w:r>
            <w:r w:rsidRPr="00163266">
              <w:t>EU kumoamisesta (EUVL</w:t>
            </w:r>
            <w:r w:rsidRPr="00163266">
              <w:rPr>
                <w:b/>
                <w:i/>
              </w:rPr>
              <w:t> </w:t>
            </w:r>
            <w:r w:rsidRPr="00163266">
              <w:t>L</w:t>
            </w:r>
            <w:r w:rsidRPr="00163266">
              <w:rPr>
                <w:b/>
                <w:i/>
              </w:rPr>
              <w:t> 348</w:t>
            </w:r>
            <w:r w:rsidRPr="00163266">
              <w:t xml:space="preserve">, </w:t>
            </w:r>
            <w:r w:rsidRPr="00163266">
              <w:rPr>
                <w:b/>
                <w:i/>
              </w:rPr>
              <w:t>20.12.2013</w:t>
            </w:r>
            <w:r w:rsidRPr="00163266">
              <w:t xml:space="preserve">, </w:t>
            </w:r>
            <w:r w:rsidRPr="00163266">
              <w:rPr>
                <w:b/>
                <w:i/>
              </w:rPr>
              <w:t>s</w:t>
            </w:r>
            <w:r w:rsidRPr="00163266">
              <w:t>.</w:t>
            </w:r>
            <w:r w:rsidRPr="00163266">
              <w:rPr>
                <w:b/>
                <w:i/>
              </w:rPr>
              <w:t> 1</w:t>
            </w:r>
            <w:r w:rsidRPr="00163266">
              <w:t>, ELI: http://data.europa.</w:t>
            </w:r>
            <w:r w:rsidRPr="00163266">
              <w:rPr>
                <w:b/>
                <w:i/>
              </w:rPr>
              <w:t>eu/eli/reg/2013/1315/oj)</w:t>
            </w:r>
            <w:r w:rsidRPr="00163266">
              <w:t>.</w:t>
            </w:r>
          </w:p>
        </w:tc>
        <w:tc>
          <w:tcPr>
            <w:tcW w:w="4876" w:type="dxa"/>
            <w:hideMark/>
          </w:tcPr>
          <w:p w:rsidR="001E1179" w:rsidRPr="00163266" w:rsidRDefault="001E1179">
            <w:pPr>
              <w:pStyle w:val="Normal6"/>
              <w:widowControl/>
              <w:rPr>
                <w:szCs w:val="24"/>
              </w:rPr>
            </w:pPr>
            <w:r w:rsidRPr="00163266">
              <w:t xml:space="preserve">Euroopan parlamentin ja neuvoston asetus (EU) </w:t>
            </w:r>
            <w:r w:rsidRPr="00163266">
              <w:rPr>
                <w:b/>
                <w:i/>
              </w:rPr>
              <w:t>2024</w:t>
            </w:r>
            <w:r w:rsidRPr="00163266">
              <w:t>/</w:t>
            </w:r>
            <w:r w:rsidRPr="00163266">
              <w:rPr>
                <w:b/>
                <w:i/>
              </w:rPr>
              <w:t>1679</w:t>
            </w:r>
            <w:r w:rsidRPr="00163266">
              <w:t xml:space="preserve">, annettu </w:t>
            </w:r>
            <w:r w:rsidRPr="00163266">
              <w:rPr>
                <w:b/>
                <w:i/>
              </w:rPr>
              <w:t xml:space="preserve">13 </w:t>
            </w:r>
            <w:r w:rsidRPr="00163266">
              <w:t xml:space="preserve">päivänä </w:t>
            </w:r>
            <w:r w:rsidRPr="00163266">
              <w:rPr>
                <w:b/>
                <w:i/>
              </w:rPr>
              <w:t>kesäkuuta 2024</w:t>
            </w:r>
            <w:r w:rsidRPr="00163266">
              <w:t>, unionin suuntaviivoista Euroopan laajuisen liikenneverkon kehittämiseksi</w:t>
            </w:r>
            <w:r w:rsidRPr="00163266">
              <w:rPr>
                <w:b/>
                <w:i/>
              </w:rPr>
              <w:t>, asetusten (EU) 2021/1153</w:t>
            </w:r>
            <w:r w:rsidRPr="00163266">
              <w:t xml:space="preserve"> ja </w:t>
            </w:r>
            <w:r w:rsidRPr="00163266">
              <w:rPr>
                <w:b/>
                <w:i/>
              </w:rPr>
              <w:t xml:space="preserve">(EU) </w:t>
            </w:r>
            <w:r w:rsidRPr="00163266">
              <w:t>N:o</w:t>
            </w:r>
            <w:r w:rsidRPr="00163266">
              <w:rPr>
                <w:b/>
                <w:i/>
              </w:rPr>
              <w:t xml:space="preserve"> 913</w:t>
            </w:r>
            <w:r w:rsidRPr="00163266">
              <w:t>/2010</w:t>
            </w:r>
            <w:r w:rsidRPr="00163266">
              <w:rPr>
                <w:b/>
                <w:i/>
              </w:rPr>
              <w:t xml:space="preserve"> muuttamisesta sekä asetuksen (EU) N:o 1315</w:t>
            </w:r>
            <w:r w:rsidRPr="00163266">
              <w:t>/</w:t>
            </w:r>
            <w:r w:rsidRPr="00163266">
              <w:rPr>
                <w:b/>
                <w:i/>
              </w:rPr>
              <w:t>2013</w:t>
            </w:r>
            <w:r w:rsidRPr="00163266">
              <w:t xml:space="preserve"> kumoamisesta (EUVL</w:t>
            </w:r>
            <w:r w:rsidRPr="00163266">
              <w:rPr>
                <w:b/>
                <w:i/>
              </w:rPr>
              <w:t xml:space="preserve"> </w:t>
            </w:r>
            <w:r w:rsidRPr="00163266">
              <w:t xml:space="preserve">L, </w:t>
            </w:r>
            <w:r w:rsidRPr="00163266">
              <w:rPr>
                <w:b/>
                <w:i/>
              </w:rPr>
              <w:t>2024/1679</w:t>
            </w:r>
            <w:r w:rsidRPr="00163266">
              <w:t xml:space="preserve">, </w:t>
            </w:r>
            <w:r w:rsidRPr="00163266">
              <w:rPr>
                <w:b/>
                <w:i/>
              </w:rPr>
              <w:t>28</w:t>
            </w:r>
            <w:r w:rsidRPr="00163266">
              <w:t>.</w:t>
            </w:r>
            <w:r w:rsidRPr="00163266">
              <w:rPr>
                <w:b/>
                <w:i/>
              </w:rPr>
              <w:t>6.2024</w:t>
            </w:r>
            <w:r w:rsidRPr="00163266">
              <w:t>, ELI: http://data.europa.</w:t>
            </w:r>
            <w:r w:rsidRPr="00163266">
              <w:rPr>
                <w:b/>
                <w:i/>
              </w:rPr>
              <w:t>eu/eli/reg/2024/1679/oj)</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221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 – 17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17 a.</w:t>
            </w:r>
            <w:r w:rsidRPr="00163266">
              <w:rPr>
                <w:b/>
                <w:i/>
              </w:rPr>
              <w:tab/>
              <w:t>Euroopan puolustusteollisuusohjelma (EDIP)</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[Viittaus lisätään, kun asetus on hyväksytty.]</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222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 – 20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20 a.</w:t>
            </w:r>
            <w:r w:rsidRPr="00163266">
              <w:rPr>
                <w:b/>
                <w:i/>
              </w:rPr>
              <w:tab/>
              <w:t>Yhteistä etua koskevat hankkeet ja keskinäistä etua koskevat hankkeet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Komission delegoitu asetus (EU) 2024/1041, annettu 28 päivänä marraskuuta 2023, Euroopan parlamentin ja neuvoston asetuksen (EU) 2022/869 muuttamisesta vahvistamalla unionin luettelo yhteistä etua koskevista hankkeista ja keskinäistä etua koskevista hankkeista (EUVL L, 2024/1041, 8.4.2024, s. 1, ELI: http://data.europa.eu/eli/reg_del/2024/1041/oj).</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223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alaotsikko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Luettelo unionin turvallisuuden tai yleisen järjestyksen kannalta erityisen tärkeistä teknologia-aloista, resursseista, laitoksista, laitteista, verkoista, järjestelmistä, palveluista ja taloudellisista toiminnoista</w:t>
            </w:r>
          </w:p>
        </w:tc>
        <w:tc>
          <w:tcPr>
            <w:tcW w:w="4876" w:type="dxa"/>
            <w:hideMark/>
          </w:tcPr>
          <w:p w:rsidR="001E1179" w:rsidRPr="00163266" w:rsidRDefault="001E1179" w:rsidP="00F60C33">
            <w:pPr>
              <w:pStyle w:val="Normal6"/>
              <w:widowControl/>
              <w:rPr>
                <w:szCs w:val="24"/>
              </w:rPr>
            </w:pPr>
            <w:r w:rsidRPr="00163266">
              <w:t xml:space="preserve">Luettelo unionin turvallisuuden tai yleisen järjestyksen kannalta erityisen tärkeistä teknologia-aloista, </w:t>
            </w:r>
            <w:r w:rsidRPr="00163266">
              <w:rPr>
                <w:b/>
                <w:i/>
              </w:rPr>
              <w:t xml:space="preserve">materiaaleista, </w:t>
            </w:r>
            <w:r w:rsidRPr="00163266">
              <w:t>resursseista, laitoksista, laitteista, verkoista, järjestelmistä, palveluista ja taloudellisista toiminnoista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224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a alakohta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a.</w:t>
            </w:r>
            <w:r w:rsidRPr="00163266">
              <w:tab/>
            </w:r>
            <w:r w:rsidRPr="00163266">
              <w:rPr>
                <w:b/>
                <w:i/>
              </w:rPr>
              <w:t>Kehittynyt</w:t>
            </w:r>
            <w:r w:rsidRPr="00163266">
              <w:t xml:space="preserve"> puolijohdeteknologia:</w:t>
            </w:r>
          </w:p>
        </w:tc>
        <w:tc>
          <w:tcPr>
            <w:tcW w:w="4876" w:type="dxa"/>
            <w:hideMark/>
          </w:tcPr>
          <w:p w:rsidR="001E1179" w:rsidRPr="00163266" w:rsidRDefault="001E1179" w:rsidP="00F60C33">
            <w:pPr>
              <w:pStyle w:val="Normal6"/>
              <w:widowControl/>
              <w:rPr>
                <w:szCs w:val="24"/>
              </w:rPr>
            </w:pPr>
            <w:r w:rsidRPr="00163266">
              <w:t>a.</w:t>
            </w:r>
            <w:r w:rsidRPr="00163266">
              <w:tab/>
              <w:t>Puolijohdeteknologia: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225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a alakohta – 1 luetelmakohta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w:t>
            </w:r>
            <w:r w:rsidRPr="00163266">
              <w:rPr>
                <w:b/>
                <w:i/>
              </w:rPr>
              <w:tab/>
              <w:t>mikroelektroniikka, mukaan lukien prosessorit</w:t>
            </w:r>
          </w:p>
        </w:tc>
        <w:tc>
          <w:tcPr>
            <w:tcW w:w="4876" w:type="dxa"/>
            <w:hideMark/>
          </w:tcPr>
          <w:p w:rsidR="001E1179" w:rsidRPr="00163266" w:rsidRDefault="001E1179" w:rsidP="00F60C33">
            <w:pPr>
              <w:pStyle w:val="Normal6"/>
              <w:widowControl/>
              <w:rPr>
                <w:szCs w:val="24"/>
              </w:rPr>
            </w:pPr>
            <w:r w:rsidRPr="00163266">
              <w:rPr>
                <w:b/>
                <w:i/>
              </w:rPr>
              <w:t>–</w:t>
            </w:r>
            <w:r w:rsidRPr="00163266">
              <w:rPr>
                <w:b/>
                <w:i/>
              </w:rPr>
              <w:tab/>
              <w:t xml:space="preserve">integroitujen piirien ja muiden puolijohteiden suunnittelu, mukaan lukien mikroprosessorit, graafiset prosessorit, mikro-ohjaimet, loogiset sirut, muistisirut, radiotaajuussirut, fotoniset sirut, analogiset sirut, kvanttisirut, optiset puolijohteet, tehopuolijohteet, erillispiirit ja anturit/mikrojärjestelmät, sekä puolijohteisiin liittyvät keskeiset </w:t>
            </w:r>
            <w:proofErr w:type="spellStart"/>
            <w:r w:rsidRPr="00163266">
              <w:rPr>
                <w:b/>
                <w:i/>
              </w:rPr>
              <w:t>teollis</w:t>
            </w:r>
            <w:proofErr w:type="spellEnd"/>
            <w:r w:rsidRPr="00163266">
              <w:rPr>
                <w:b/>
                <w:i/>
              </w:rPr>
              <w:t>- ja tekijänoikeudet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226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a alakohta – 2 luetelmakohta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w:t>
            </w:r>
            <w:r w:rsidRPr="00163266">
              <w:rPr>
                <w:b/>
                <w:i/>
              </w:rPr>
              <w:tab/>
              <w:t>fotoniikkateknologia (myös suurenergialaserit)</w:t>
            </w:r>
          </w:p>
        </w:tc>
        <w:tc>
          <w:tcPr>
            <w:tcW w:w="4876" w:type="dxa"/>
            <w:hideMark/>
          </w:tcPr>
          <w:p w:rsidR="001E1179" w:rsidRPr="00163266" w:rsidRDefault="001E1179" w:rsidP="00F60C33">
            <w:pPr>
              <w:pStyle w:val="Normal6"/>
              <w:widowControl/>
              <w:rPr>
                <w:szCs w:val="24"/>
              </w:rPr>
            </w:pPr>
            <w:r w:rsidRPr="00163266">
              <w:rPr>
                <w:b/>
                <w:i/>
              </w:rPr>
              <w:t>–</w:t>
            </w:r>
            <w:r w:rsidRPr="00163266">
              <w:rPr>
                <w:b/>
                <w:i/>
              </w:rPr>
              <w:tab/>
              <w:t>elektronisen suunnittelun automaatio-ohjelmistot integroitujen piirien ja muiden puolijohteiden suunnittelua tai kehittyneen pakkaamisen suunnittelua varten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227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a alakohta – 3 luetelmakohta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w:t>
            </w:r>
            <w:r w:rsidRPr="00163266">
              <w:rPr>
                <w:b/>
                <w:i/>
              </w:rPr>
              <w:tab/>
              <w:t>suurtaajuussirut</w:t>
            </w:r>
          </w:p>
        </w:tc>
        <w:tc>
          <w:tcPr>
            <w:tcW w:w="4876" w:type="dxa"/>
            <w:hideMark/>
          </w:tcPr>
          <w:p w:rsidR="001E1179" w:rsidRPr="00163266" w:rsidRDefault="001E1179" w:rsidP="00F60C33">
            <w:pPr>
              <w:pStyle w:val="Normal6"/>
              <w:widowControl/>
              <w:rPr>
                <w:szCs w:val="24"/>
              </w:rPr>
            </w:pPr>
            <w:r w:rsidRPr="00163266">
              <w:rPr>
                <w:b/>
                <w:i/>
              </w:rPr>
              <w:t>–</w:t>
            </w:r>
            <w:r w:rsidRPr="00163266">
              <w:rPr>
                <w:b/>
                <w:i/>
              </w:rPr>
              <w:tab/>
              <w:t>integroitujen piirien ja muiden puolijohteiden alkuvaiheen valmistus</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228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a alakohta – 4 luetelmakohta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w:t>
            </w:r>
            <w:r w:rsidRPr="00163266">
              <w:rPr>
                <w:b/>
                <w:i/>
              </w:rPr>
              <w:tab/>
              <w:t>puolijohteiden valmistuslaitteet, joilla pystytään tuottamaan erittäin pitkälle kehittyneitä solmukokoja (noodikokoja)</w:t>
            </w:r>
          </w:p>
        </w:tc>
        <w:tc>
          <w:tcPr>
            <w:tcW w:w="4876" w:type="dxa"/>
            <w:hideMark/>
          </w:tcPr>
          <w:p w:rsidR="001E1179" w:rsidRPr="00163266" w:rsidRDefault="001E1179" w:rsidP="00F60C33">
            <w:pPr>
              <w:pStyle w:val="Normal6"/>
              <w:widowControl/>
              <w:rPr>
                <w:szCs w:val="24"/>
              </w:rPr>
            </w:pPr>
            <w:r w:rsidRPr="00163266">
              <w:rPr>
                <w:b/>
                <w:i/>
              </w:rPr>
              <w:t>–</w:t>
            </w:r>
            <w:r w:rsidRPr="00163266">
              <w:rPr>
                <w:b/>
                <w:i/>
              </w:rPr>
              <w:tab/>
              <w:t>integroitujen piirien ja muiden puolijohteiden, mukaan lukien kehittyneet painetut piirilevyt ja kehittynyt pakkaaminen, kokoonpano, testaus ja pakkaaminen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229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a alakohta – 4 a luetelmakohta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w:t>
            </w:r>
            <w:r w:rsidRPr="00163266">
              <w:rPr>
                <w:b/>
                <w:i/>
              </w:rPr>
              <w:tab/>
              <w:t xml:space="preserve">puolijohteiden valmistuslaitteet integroitujen piirien ja muiden puolijohteiden alku- ja loppuvaiheen valmistusta varten, mukaan lukien syövytys, pinnoitus, </w:t>
            </w:r>
            <w:proofErr w:type="spellStart"/>
            <w:r w:rsidRPr="00163266">
              <w:rPr>
                <w:b/>
                <w:i/>
              </w:rPr>
              <w:t>epitaksi</w:t>
            </w:r>
            <w:proofErr w:type="spellEnd"/>
            <w:r w:rsidRPr="00163266">
              <w:rPr>
                <w:b/>
                <w:i/>
              </w:rPr>
              <w:t>, litografia, kehittyneet pakkaus-, testaus- tai metrologiatyökalut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230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a alakohta – 4 b luetelmakohta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w:t>
            </w:r>
            <w:r w:rsidRPr="00163266">
              <w:rPr>
                <w:b/>
                <w:i/>
              </w:rPr>
              <w:tab/>
              <w:t>puolijohteiden valmistuslaitteiden keskeiset komponentit tai ohjelmistot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231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a alakohta – 4 c luetelmakohta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w:t>
            </w:r>
            <w:r w:rsidRPr="00163266">
              <w:rPr>
                <w:b/>
                <w:i/>
              </w:rPr>
              <w:tab/>
              <w:t xml:space="preserve">integroitujen piirien ja muiden puolijohteiden valmistuksessa käytetyt materiaalit, erityisesti erikoiskemikaalit, </w:t>
            </w:r>
            <w:r w:rsidRPr="00163266">
              <w:rPr>
                <w:b/>
                <w:i/>
              </w:rPr>
              <w:lastRenderedPageBreak/>
              <w:t>jalokaasut, puolijohdemateriaalit, substraatit tai kiekot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232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a alakohta – 4 d luetelmakohta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w:t>
            </w:r>
            <w:r w:rsidRPr="00163266">
              <w:rPr>
                <w:b/>
                <w:i/>
              </w:rPr>
              <w:tab/>
              <w:t>tietojen tallennus- ja käsittelylaitteet ja -tilat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233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b alakohta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b.</w:t>
            </w:r>
            <w:r w:rsidRPr="00163266">
              <w:tab/>
              <w:t>Tekoälyteknologia:</w:t>
            </w:r>
          </w:p>
        </w:tc>
        <w:tc>
          <w:tcPr>
            <w:tcW w:w="4876" w:type="dxa"/>
            <w:hideMark/>
          </w:tcPr>
          <w:p w:rsidR="001E1179" w:rsidRPr="00163266" w:rsidRDefault="001E1179" w:rsidP="00F60C33">
            <w:pPr>
              <w:pStyle w:val="Normal6"/>
              <w:widowControl/>
              <w:rPr>
                <w:szCs w:val="24"/>
              </w:rPr>
            </w:pPr>
            <w:r w:rsidRPr="00163266">
              <w:t>b.</w:t>
            </w:r>
            <w:r w:rsidRPr="00163266">
              <w:tab/>
              <w:t>Tekoälyteknologia</w:t>
            </w:r>
            <w:r w:rsidRPr="00163266">
              <w:rPr>
                <w:b/>
                <w:i/>
              </w:rPr>
              <w:t>, jolla tarkoitetaan mitä tahansa teknologiaa tai taitotietoa, joka liittyy konepohjaiseen järjestelmään, joka on suunniteltu toimimaan autonomisesti eriasteisesti ja joka voi osoittaa mukautumiskykyä käyttöönoton jälkeen ja joka eksplisiittisten tai implisiittisten tavoitteiden saavuttamiseksi päättelee saamiensa tietojen perusteella, miten tuottaa tuloksia, kuten ennusteita, sisältöjä, suosituksia tai päätöksiä, jotka voivat vaikuttaa fyysisiin tai virtuaalisiin ympäristöihin, jäljempänä ’tekoälyjärjestelmä’, ja jota käytetään seuraavissa sovelluksissa</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234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b alakohta – 1 luetelmakohta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w:t>
            </w:r>
            <w:r w:rsidRPr="00163266">
              <w:rPr>
                <w:b/>
                <w:i/>
              </w:rPr>
              <w:tab/>
              <w:t>suurteholaskenta</w:t>
            </w:r>
          </w:p>
        </w:tc>
        <w:tc>
          <w:tcPr>
            <w:tcW w:w="4876" w:type="dxa"/>
            <w:hideMark/>
          </w:tcPr>
          <w:p w:rsidR="001E1179" w:rsidRPr="00163266" w:rsidRDefault="001E1179" w:rsidP="00F60C33">
            <w:pPr>
              <w:pStyle w:val="Normal6"/>
              <w:widowControl/>
              <w:rPr>
                <w:szCs w:val="24"/>
              </w:rPr>
            </w:pPr>
            <w:r w:rsidRPr="00163266">
              <w:rPr>
                <w:b/>
                <w:i/>
              </w:rPr>
              <w:t>–</w:t>
            </w:r>
            <w:r w:rsidRPr="00163266">
              <w:rPr>
                <w:b/>
                <w:i/>
              </w:rPr>
              <w:tab/>
              <w:t>generatiiviset tekoälyjärjestelmät, jotka on koulutettu käyttämään yli 10^25 liukulukutoimitusta (FLOPS)</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235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b alakohta – 2 luetelmakohta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w:t>
            </w:r>
            <w:r w:rsidRPr="00163266">
              <w:rPr>
                <w:b/>
                <w:i/>
              </w:rPr>
              <w:tab/>
              <w:t>pilvipalvelut ja reunalaskenta</w:t>
            </w:r>
          </w:p>
        </w:tc>
        <w:tc>
          <w:tcPr>
            <w:tcW w:w="4876" w:type="dxa"/>
            <w:hideMark/>
          </w:tcPr>
          <w:p w:rsidR="001E1179" w:rsidRPr="00163266" w:rsidRDefault="001E1179" w:rsidP="00F60C33">
            <w:pPr>
              <w:pStyle w:val="Normal6"/>
              <w:widowControl/>
              <w:rPr>
                <w:szCs w:val="24"/>
              </w:rPr>
            </w:pPr>
            <w:r w:rsidRPr="00163266">
              <w:rPr>
                <w:b/>
                <w:i/>
              </w:rPr>
              <w:t>–</w:t>
            </w:r>
            <w:r w:rsidRPr="00163266">
              <w:rPr>
                <w:b/>
                <w:i/>
              </w:rPr>
              <w:tab/>
              <w:t>generatiiviset tekoälyjärjestelmät, joista merkittävä osa on koulutettu biologisella/genomisella datalla tai jotka on suunniteltu käytettäviksi bioteknologisessa tai avaruus- tai puolustusympäristössä</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236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b alakohta – 3 luetelmakohta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w:t>
            </w:r>
            <w:r w:rsidRPr="00163266">
              <w:rPr>
                <w:b/>
                <w:i/>
              </w:rPr>
              <w:tab/>
              <w:t>data-analytiikkateknologia</w:t>
            </w:r>
          </w:p>
        </w:tc>
        <w:tc>
          <w:tcPr>
            <w:tcW w:w="4876" w:type="dxa"/>
            <w:hideMark/>
          </w:tcPr>
          <w:p w:rsidR="001E1179" w:rsidRPr="00163266" w:rsidRDefault="001E1179" w:rsidP="00F60C33">
            <w:pPr>
              <w:pStyle w:val="Normal6"/>
              <w:widowControl/>
              <w:rPr>
                <w:szCs w:val="24"/>
              </w:rPr>
            </w:pPr>
            <w:r w:rsidRPr="00163266">
              <w:rPr>
                <w:b/>
                <w:i/>
              </w:rPr>
              <w:t>Poistetaan.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237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b alakohta – 4 luetelmakohta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b/>
                <w:i/>
              </w:rPr>
              <w:t>–</w:t>
            </w:r>
            <w:r w:rsidRPr="00163266">
              <w:rPr>
                <w:b/>
                <w:i/>
              </w:rPr>
              <w:tab/>
              <w:t>konenäkö, kielen prosessointi, esineiden tunnistaminen</w:t>
            </w:r>
          </w:p>
        </w:tc>
        <w:tc>
          <w:tcPr>
            <w:tcW w:w="4876" w:type="dxa"/>
            <w:hideMark/>
          </w:tcPr>
          <w:p w:rsidR="001E1179" w:rsidRPr="00163266" w:rsidRDefault="001E1179" w:rsidP="00F60C33">
            <w:pPr>
              <w:pStyle w:val="Normal6"/>
              <w:widowControl/>
              <w:rPr>
                <w:szCs w:val="24"/>
              </w:rPr>
            </w:pPr>
            <w:r w:rsidRPr="00163266">
              <w:rPr>
                <w:b/>
                <w:i/>
              </w:rPr>
              <w:t>Poistetaan.</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238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e alakohta – 1 luetelmakohta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w:t>
            </w:r>
            <w:r w:rsidRPr="00163266">
              <w:tab/>
              <w:t>turvallinen digitaalinen viestintä ja yhteydet, kuten RAN ja Open RAN (Radio Access Network) ja 6G</w:t>
            </w:r>
          </w:p>
        </w:tc>
        <w:tc>
          <w:tcPr>
            <w:tcW w:w="4876" w:type="dxa"/>
            <w:hideMark/>
          </w:tcPr>
          <w:p w:rsidR="001E1179" w:rsidRPr="00163266" w:rsidRDefault="001E1179" w:rsidP="00F60C33">
            <w:pPr>
              <w:pStyle w:val="Normal6"/>
              <w:widowControl/>
              <w:rPr>
                <w:szCs w:val="24"/>
              </w:rPr>
            </w:pPr>
            <w:r w:rsidRPr="00163266">
              <w:t>–</w:t>
            </w:r>
            <w:r w:rsidRPr="00163266">
              <w:tab/>
              <w:t>turvallinen digitaalinen viestintä ja yhteydet, kuten RAN ja Open RAN (Radio Access Network)</w:t>
            </w:r>
            <w:r w:rsidRPr="00163266">
              <w:rPr>
                <w:b/>
                <w:i/>
              </w:rPr>
              <w:t>, 5G</w:t>
            </w:r>
            <w:r w:rsidRPr="00163266">
              <w:t xml:space="preserve"> ja 6G</w:t>
            </w:r>
            <w:r w:rsidRPr="00163266">
              <w:rPr>
                <w:b/>
                <w:i/>
              </w:rPr>
              <w:t>, laser- ja valoviestintä</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239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e alakohta – 2 luetelmakohta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w:t>
            </w:r>
            <w:r w:rsidRPr="00163266">
              <w:tab/>
              <w:t>kyberturvallisuusteknologia, mukaan lukien kybervalvonta, turvallisuus- ja tunkeutumisenestojärjestelmät, digitaalinen rikostutkinta</w:t>
            </w:r>
          </w:p>
        </w:tc>
        <w:tc>
          <w:tcPr>
            <w:tcW w:w="4876" w:type="dxa"/>
            <w:hideMark/>
          </w:tcPr>
          <w:p w:rsidR="001E1179" w:rsidRPr="00163266" w:rsidRDefault="001E1179" w:rsidP="00F60C33">
            <w:pPr>
              <w:pStyle w:val="Normal6"/>
              <w:widowControl/>
              <w:rPr>
                <w:szCs w:val="24"/>
              </w:rPr>
            </w:pPr>
            <w:r w:rsidRPr="00163266">
              <w:t>–</w:t>
            </w:r>
            <w:r w:rsidRPr="00163266">
              <w:tab/>
              <w:t xml:space="preserve">kyberturvallisuusteknologia, mukaan lukien kybervalvonta, </w:t>
            </w:r>
            <w:r w:rsidRPr="00163266">
              <w:rPr>
                <w:b/>
                <w:i/>
              </w:rPr>
              <w:t xml:space="preserve">salaus, </w:t>
            </w:r>
            <w:r w:rsidRPr="00163266">
              <w:t>turvallisuus- ja tunkeutumisenestojärjestelmät</w:t>
            </w:r>
            <w:r w:rsidRPr="00163266">
              <w:rPr>
                <w:b/>
                <w:i/>
              </w:rPr>
              <w:t xml:space="preserve"> ja -havainnointijärjestelmät</w:t>
            </w:r>
            <w:r w:rsidRPr="00163266">
              <w:t>, digitaalinen rikostutkinta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240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e alakohta – 5 a luetelmakohta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w:t>
            </w:r>
            <w:r w:rsidRPr="00163266">
              <w:rPr>
                <w:b/>
                <w:i/>
              </w:rPr>
              <w:tab/>
              <w:t>vedenalaiset valokuitukaapelit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241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g alakohta – 5 a luetelmakohta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w:t>
            </w:r>
            <w:r w:rsidRPr="00163266">
              <w:rPr>
                <w:b/>
                <w:i/>
              </w:rPr>
              <w:tab/>
              <w:t>kaikissa liikennemuodoissa tarvittava operatiivinen teknologia, kuten merkinantojärjestelmät, liikenteenhallintajärjestelmät sekä turvallisuuteen liittyvä teknologia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242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h alakohta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h.</w:t>
            </w:r>
            <w:r w:rsidRPr="00163266">
              <w:tab/>
              <w:t>Energiateknologia:</w:t>
            </w:r>
          </w:p>
        </w:tc>
        <w:tc>
          <w:tcPr>
            <w:tcW w:w="4876" w:type="dxa"/>
            <w:hideMark/>
          </w:tcPr>
          <w:p w:rsidR="001E1179" w:rsidRPr="00163266" w:rsidRDefault="001E1179" w:rsidP="00F60C33">
            <w:pPr>
              <w:pStyle w:val="Normal6"/>
              <w:widowControl/>
              <w:rPr>
                <w:szCs w:val="24"/>
              </w:rPr>
            </w:pPr>
            <w:r w:rsidRPr="00163266">
              <w:t>h.</w:t>
            </w:r>
            <w:r w:rsidRPr="00163266">
              <w:tab/>
              <w:t>Energiateknologia</w:t>
            </w:r>
            <w:r w:rsidRPr="00163266">
              <w:rPr>
                <w:b/>
                <w:i/>
              </w:rPr>
              <w:t>, -palvelut ja -infrastruktuuri</w:t>
            </w:r>
            <w:r w:rsidRPr="00163266">
              <w:t>:</w:t>
            </w:r>
          </w:p>
        </w:tc>
      </w:tr>
    </w:tbl>
    <w:p w:rsidR="001E1179" w:rsidRPr="00163266" w:rsidRDefault="001E1179" w:rsidP="001E1179">
      <w:pPr>
        <w:widowControl/>
      </w:pPr>
    </w:p>
    <w:p w:rsidR="001E1179" w:rsidRPr="00163266" w:rsidRDefault="001E1179" w:rsidP="001E1179">
      <w:pPr>
        <w:pStyle w:val="AmNumberTabs"/>
        <w:widowControl/>
      </w:pPr>
      <w:r w:rsidRPr="00163266">
        <w:lastRenderedPageBreak/>
        <w:t>Tarkistus</w:t>
      </w:r>
      <w:r w:rsidR="00277A55" w:rsidRPr="00163266">
        <w:t xml:space="preserve"> </w:t>
      </w:r>
      <w:r w:rsidRPr="00163266">
        <w:t>243</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 xml:space="preserve"> Liite II – kohta 3 – h alakohta – 1 luetelmakohta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w:t>
            </w:r>
            <w:r w:rsidRPr="00163266">
              <w:tab/>
            </w:r>
            <w:r w:rsidRPr="00163266">
              <w:rPr>
                <w:b/>
                <w:i/>
              </w:rPr>
              <w:t>ydinfuusioteknologia</w:t>
            </w:r>
            <w:r w:rsidRPr="00163266">
              <w:t xml:space="preserve">, reaktorit ja sähköntuotanto, radiologinen </w:t>
            </w:r>
            <w:proofErr w:type="spellStart"/>
            <w:r w:rsidRPr="00163266">
              <w:t>muuntamis</w:t>
            </w:r>
            <w:proofErr w:type="spellEnd"/>
            <w:r w:rsidRPr="00163266">
              <w:t>-/</w:t>
            </w:r>
            <w:proofErr w:type="spellStart"/>
            <w:r w:rsidRPr="00163266">
              <w:t>rikastamis</w:t>
            </w:r>
            <w:proofErr w:type="spellEnd"/>
            <w:r w:rsidRPr="00163266">
              <w:t>-/kierrätysteknologia</w:t>
            </w:r>
          </w:p>
        </w:tc>
        <w:tc>
          <w:tcPr>
            <w:tcW w:w="4876" w:type="dxa"/>
            <w:hideMark/>
          </w:tcPr>
          <w:p w:rsidR="001E1179" w:rsidRPr="00163266" w:rsidRDefault="001E1179" w:rsidP="00F60C33">
            <w:pPr>
              <w:pStyle w:val="Normal6"/>
              <w:widowControl/>
              <w:rPr>
                <w:szCs w:val="24"/>
              </w:rPr>
            </w:pPr>
            <w:r w:rsidRPr="00163266">
              <w:t>–</w:t>
            </w:r>
            <w:r w:rsidRPr="00163266">
              <w:tab/>
            </w:r>
            <w:r w:rsidRPr="00163266">
              <w:rPr>
                <w:b/>
                <w:i/>
              </w:rPr>
              <w:t>ydinteknologia</w:t>
            </w:r>
            <w:r w:rsidRPr="00163266">
              <w:t xml:space="preserve">, reaktorit ja sähköntuotanto, radiologinen </w:t>
            </w:r>
            <w:proofErr w:type="spellStart"/>
            <w:r w:rsidRPr="00163266">
              <w:t>muuntamis</w:t>
            </w:r>
            <w:proofErr w:type="spellEnd"/>
            <w:r w:rsidRPr="00163266">
              <w:t>-/</w:t>
            </w:r>
            <w:proofErr w:type="spellStart"/>
            <w:r w:rsidRPr="00163266">
              <w:t>rikastamis</w:t>
            </w:r>
            <w:proofErr w:type="spellEnd"/>
            <w:r w:rsidRPr="00163266">
              <w:t>-/kierrätysteknologia</w:t>
            </w:r>
            <w:r w:rsidRPr="00163266">
              <w:rPr>
                <w:b/>
                <w:i/>
              </w:rPr>
              <w:t>, ydinaineiden varastointi ja radioaktiivisen jätteen loppusijoitus</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244</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h alakohta – 3 luetelmakohta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w:t>
            </w:r>
            <w:r w:rsidRPr="00163266">
              <w:tab/>
              <w:t xml:space="preserve">nettonollateknologia, mukaan lukien </w:t>
            </w:r>
            <w:r w:rsidRPr="00163266">
              <w:rPr>
                <w:b/>
                <w:i/>
              </w:rPr>
              <w:t>aurinkosähkö</w:t>
            </w:r>
          </w:p>
        </w:tc>
        <w:tc>
          <w:tcPr>
            <w:tcW w:w="4876" w:type="dxa"/>
            <w:hideMark/>
          </w:tcPr>
          <w:p w:rsidR="001E1179" w:rsidRPr="00163266" w:rsidRDefault="001E1179" w:rsidP="00F60C33">
            <w:pPr>
              <w:pStyle w:val="Normal6"/>
              <w:widowControl/>
              <w:rPr>
                <w:szCs w:val="24"/>
              </w:rPr>
            </w:pPr>
            <w:r w:rsidRPr="00163266">
              <w:t>–</w:t>
            </w:r>
            <w:r w:rsidRPr="00163266">
              <w:tab/>
              <w:t xml:space="preserve">nettonollateknologia, mukaan lukien </w:t>
            </w:r>
            <w:r w:rsidRPr="00163266">
              <w:rPr>
                <w:b/>
                <w:i/>
              </w:rPr>
              <w:t>aurinkosähkö- ja aurinkolämpöinfrastruktuuri sekä maalla ja merellä tuotettavan uusiutuvan energian teknologiat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245</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h alakohta – 3 a luetelmakohta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w:t>
            </w:r>
            <w:r w:rsidRPr="00163266">
              <w:rPr>
                <w:b/>
                <w:i/>
              </w:rPr>
              <w:tab/>
              <w:t>verkko-operaattorit (siirtoverkonhaltijat ja jakeluverkonhaltijat)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246</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3 kohta – h alakohta – 4 luetelmakohta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w:t>
            </w:r>
            <w:r w:rsidRPr="00163266">
              <w:tab/>
              <w:t xml:space="preserve">älykkäät verkot ja energian </w:t>
            </w:r>
            <w:r w:rsidRPr="00163266">
              <w:rPr>
                <w:b/>
                <w:i/>
              </w:rPr>
              <w:t>varastointi</w:t>
            </w:r>
            <w:r w:rsidRPr="00163266">
              <w:t>, akut</w:t>
            </w:r>
          </w:p>
        </w:tc>
        <w:tc>
          <w:tcPr>
            <w:tcW w:w="4876" w:type="dxa"/>
            <w:hideMark/>
          </w:tcPr>
          <w:p w:rsidR="001E1179" w:rsidRPr="00163266" w:rsidRDefault="001E1179" w:rsidP="00F60C33">
            <w:pPr>
              <w:pStyle w:val="Normal6"/>
              <w:widowControl/>
              <w:rPr>
                <w:szCs w:val="24"/>
              </w:rPr>
            </w:pPr>
            <w:r w:rsidRPr="00163266">
              <w:t>–</w:t>
            </w:r>
            <w:r w:rsidRPr="00163266">
              <w:tab/>
            </w:r>
            <w:r w:rsidRPr="00163266">
              <w:rPr>
                <w:b/>
                <w:i/>
              </w:rPr>
              <w:t>eurooppalaiset ja rajat ylittävät verkot, mukaan lukien</w:t>
            </w:r>
            <w:r w:rsidRPr="00163266">
              <w:t xml:space="preserve"> älykkäät verkot ja energian </w:t>
            </w:r>
            <w:r w:rsidRPr="00163266">
              <w:rPr>
                <w:b/>
                <w:i/>
              </w:rPr>
              <w:t>varastointiratkaisut</w:t>
            </w:r>
            <w:r w:rsidRPr="00163266">
              <w:t>, akut</w:t>
            </w:r>
            <w:r w:rsidRPr="00163266">
              <w:rPr>
                <w:b/>
                <w:i/>
              </w:rPr>
              <w:t xml:space="preserve">, sähköverkkosovelluksiin ja uusiutuvan </w:t>
            </w:r>
            <w:r w:rsidRPr="00163266">
              <w:rPr>
                <w:b/>
                <w:i/>
              </w:rPr>
              <w:lastRenderedPageBreak/>
              <w:t>energian integrointiin tarkoitetut akkuteknologiat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247</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5.</w:t>
            </w:r>
            <w:r w:rsidRPr="00163266">
              <w:tab/>
              <w:t>Seuraavat unionin rahoitusjärjestelmän kriittiset toimijat ja toiminnot: keskusvastapuolet</w:t>
            </w:r>
            <w:r w:rsidRPr="00163266">
              <w:rPr>
                <w:b/>
                <w:i/>
                <w:vertAlign w:val="superscript"/>
              </w:rPr>
              <w:t>2</w:t>
            </w:r>
            <w:r w:rsidRPr="00163266">
              <w:t>, maksujärjestelmät ja maksulaitokset</w:t>
            </w:r>
            <w:r w:rsidRPr="00163266">
              <w:rPr>
                <w:b/>
                <w:i/>
                <w:vertAlign w:val="superscript"/>
              </w:rPr>
              <w:t>3</w:t>
            </w:r>
            <w:r w:rsidRPr="00163266">
              <w:t>, sähköisen rahan liikkeeseenlaskijalaitokset</w:t>
            </w:r>
            <w:r w:rsidRPr="00163266">
              <w:rPr>
                <w:b/>
                <w:i/>
                <w:vertAlign w:val="superscript"/>
              </w:rPr>
              <w:t>4</w:t>
            </w:r>
            <w:r w:rsidRPr="00163266">
              <w:t>, markkinatoimijat ja sijoituspalveluyritykset, jotka toimivat monenkeskisessä kaupankäyntijärjestelmässä tai organisoidussa kaupankäyntijärjestelmässä</w:t>
            </w:r>
            <w:r w:rsidRPr="00163266">
              <w:rPr>
                <w:b/>
                <w:i/>
                <w:vertAlign w:val="superscript"/>
              </w:rPr>
              <w:t>5</w:t>
            </w:r>
            <w:r w:rsidRPr="00163266">
              <w:t>, arvopaperikeskukset</w:t>
            </w:r>
            <w:r w:rsidRPr="00163266">
              <w:rPr>
                <w:b/>
                <w:i/>
                <w:vertAlign w:val="superscript"/>
              </w:rPr>
              <w:t>6</w:t>
            </w:r>
            <w:r w:rsidRPr="00163266">
              <w:t xml:space="preserve">, merkittävät </w:t>
            </w:r>
            <w:proofErr w:type="spellStart"/>
            <w:r w:rsidRPr="00163266">
              <w:t>omaisuusrefenssitokenien</w:t>
            </w:r>
            <w:proofErr w:type="spellEnd"/>
            <w:r w:rsidRPr="00163266">
              <w:t xml:space="preserve"> tai </w:t>
            </w:r>
            <w:proofErr w:type="spellStart"/>
            <w:r w:rsidRPr="00163266">
              <w:t>sähkörahatokenien</w:t>
            </w:r>
            <w:proofErr w:type="spellEnd"/>
            <w:r w:rsidRPr="00163266">
              <w:t xml:space="preserve"> liikkeeseenlaskijat ja </w:t>
            </w:r>
            <w:proofErr w:type="spellStart"/>
            <w:r w:rsidRPr="00163266">
              <w:t>kryptovarapalvelun</w:t>
            </w:r>
            <w:proofErr w:type="spellEnd"/>
            <w:r w:rsidRPr="00163266">
              <w:t xml:space="preserve"> tarjoajat, jotka toimivat </w:t>
            </w:r>
            <w:proofErr w:type="spellStart"/>
            <w:r w:rsidRPr="00163266">
              <w:t>kryptovarojen</w:t>
            </w:r>
            <w:proofErr w:type="spellEnd"/>
            <w:r w:rsidRPr="00163266">
              <w:t xml:space="preserve"> kaupankäyntialustoilla</w:t>
            </w:r>
            <w:r w:rsidRPr="00163266">
              <w:rPr>
                <w:b/>
                <w:i/>
                <w:vertAlign w:val="superscript"/>
              </w:rPr>
              <w:t>7</w:t>
            </w:r>
            <w:r w:rsidRPr="00163266">
              <w:t>, suuret laitokset</w:t>
            </w:r>
            <w:r w:rsidRPr="00163266">
              <w:rPr>
                <w:b/>
                <w:i/>
                <w:vertAlign w:val="superscript"/>
              </w:rPr>
              <w:t>8</w:t>
            </w:r>
            <w:r w:rsidRPr="00163266">
              <w:t>, globaalit erikoistuneiden rahaliikenteen sanomanvälityspalvelujen tarjoajat ja nimetyt kriittiset TVT-palveluntarjoajana olevat kolmannet osapuolet</w:t>
            </w:r>
            <w:r w:rsidRPr="00163266">
              <w:rPr>
                <w:b/>
                <w:i/>
                <w:vertAlign w:val="superscript"/>
              </w:rPr>
              <w:t>9</w:t>
            </w:r>
            <w:r w:rsidRPr="00163266">
              <w:rPr>
                <w:b/>
                <w:i/>
              </w:rPr>
              <w:t>.</w:t>
            </w:r>
          </w:p>
        </w:tc>
        <w:tc>
          <w:tcPr>
            <w:tcW w:w="4876" w:type="dxa"/>
            <w:hideMark/>
          </w:tcPr>
          <w:p w:rsidR="001E1179" w:rsidRPr="00163266" w:rsidRDefault="001E1179" w:rsidP="00F60C33">
            <w:pPr>
              <w:pStyle w:val="Normal6"/>
              <w:widowControl/>
              <w:rPr>
                <w:szCs w:val="24"/>
              </w:rPr>
            </w:pPr>
            <w:r w:rsidRPr="00163266">
              <w:t>5.</w:t>
            </w:r>
            <w:r w:rsidRPr="00163266">
              <w:tab/>
              <w:t>Seuraavat unionin rahoitusjärjestelmän kriittiset toimijat ja toiminnot: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(a)</w:t>
            </w:r>
            <w:r w:rsidRPr="00163266">
              <w:rPr>
                <w:b/>
                <w:i/>
              </w:rPr>
              <w:tab/>
            </w:r>
            <w:r w:rsidRPr="00163266">
              <w:rPr>
                <w:b/>
                <w:bCs/>
                <w:i/>
                <w:iCs/>
              </w:rPr>
              <w:t>asetuksen (EU) N:o 648/2012</w:t>
            </w:r>
            <w:r w:rsidRPr="00163266">
              <w:rPr>
                <w:b/>
                <w:bCs/>
                <w:i/>
                <w:iCs/>
                <w:vertAlign w:val="superscript"/>
              </w:rPr>
              <w:t>2</w:t>
            </w:r>
            <w:r w:rsidRPr="00163266">
              <w:rPr>
                <w:b/>
                <w:bCs/>
                <w:i/>
                <w:iCs/>
              </w:rPr>
              <w:t xml:space="preserve"> 2 artiklan 1 alakohdassa määritellyt</w:t>
            </w:r>
            <w:r w:rsidRPr="00163266">
              <w:t xml:space="preserve"> keskusvastapuolet</w:t>
            </w:r>
            <w:r w:rsidRPr="00163266">
              <w:rPr>
                <w:b/>
                <w:bCs/>
                <w:i/>
                <w:iCs/>
              </w:rPr>
              <w: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(b)</w:t>
            </w:r>
            <w:r w:rsidRPr="00163266">
              <w:rPr>
                <w:b/>
                <w:i/>
              </w:rPr>
              <w:tab/>
            </w:r>
            <w:r w:rsidRPr="00163266">
              <w:rPr>
                <w:b/>
                <w:bCs/>
                <w:i/>
                <w:iCs/>
              </w:rPr>
              <w:t>Euroopan parlamentin ja neuvoston direktiivin (EU) 2015/2366</w:t>
            </w:r>
            <w:r w:rsidRPr="00163266">
              <w:rPr>
                <w:b/>
                <w:bCs/>
                <w:i/>
                <w:iCs/>
                <w:vertAlign w:val="superscript"/>
              </w:rPr>
              <w:t>3</w:t>
            </w:r>
            <w:r w:rsidRPr="00163266">
              <w:rPr>
                <w:b/>
                <w:bCs/>
                <w:i/>
                <w:iCs/>
              </w:rPr>
              <w:t xml:space="preserve"> 4 artiklan 7 alakohdassa määritellyt</w:t>
            </w:r>
            <w:r w:rsidRPr="00163266">
              <w:t xml:space="preserve"> maksujärjestelmät ja </w:t>
            </w:r>
            <w:r w:rsidRPr="00163266">
              <w:rPr>
                <w:b/>
                <w:bCs/>
                <w:i/>
                <w:iCs/>
              </w:rPr>
              <w:t>4 alakohdassa määritellyt</w:t>
            </w:r>
            <w:r w:rsidRPr="00163266">
              <w:t xml:space="preserve"> maksulaitokset</w:t>
            </w:r>
            <w:r w:rsidRPr="00163266">
              <w:rPr>
                <w:b/>
                <w:bCs/>
                <w:i/>
                <w:iCs/>
              </w:rPr>
              <w: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DB5590">
            <w:pPr>
              <w:pStyle w:val="Normal6"/>
              <w:widowControl/>
              <w:rPr>
                <w:szCs w:val="24"/>
              </w:rPr>
            </w:pPr>
            <w:r w:rsidRPr="00163266">
              <w:rPr>
                <w:b/>
                <w:i/>
              </w:rPr>
              <w:t>(c)</w:t>
            </w:r>
            <w:r w:rsidRPr="00163266">
              <w:rPr>
                <w:b/>
                <w:i/>
              </w:rPr>
              <w:tab/>
            </w:r>
            <w:r w:rsidRPr="00163266">
              <w:rPr>
                <w:b/>
                <w:bCs/>
                <w:i/>
                <w:iCs/>
              </w:rPr>
              <w:t>Euroopan parlamentin ja neuvoston direktiivin 2009/110/EY</w:t>
            </w:r>
            <w:r w:rsidRPr="00163266">
              <w:rPr>
                <w:b/>
                <w:bCs/>
                <w:i/>
                <w:iCs/>
                <w:vertAlign w:val="superscript"/>
              </w:rPr>
              <w:t>4</w:t>
            </w:r>
            <w:r w:rsidRPr="00163266">
              <w:rPr>
                <w:b/>
                <w:bCs/>
                <w:i/>
                <w:iCs/>
              </w:rPr>
              <w:t xml:space="preserve"> 2 artiklan 1 alakohdassa määritellyt</w:t>
            </w:r>
            <w:r w:rsidRPr="00163266">
              <w:t xml:space="preserve"> sähköisen rahan liikkeeseenlaskijalaitokset</w:t>
            </w:r>
            <w:r w:rsidRPr="00163266">
              <w:rPr>
                <w:b/>
                <w:bCs/>
                <w:i/>
                <w:iCs/>
              </w:rPr>
              <w: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0D7005">
            <w:pPr>
              <w:pStyle w:val="Normal6"/>
              <w:widowControl/>
              <w:rPr>
                <w:szCs w:val="24"/>
              </w:rPr>
            </w:pPr>
            <w:r w:rsidRPr="00163266">
              <w:rPr>
                <w:b/>
                <w:i/>
              </w:rPr>
              <w:t>(d)</w:t>
            </w:r>
            <w:r w:rsidRPr="00163266">
              <w:rPr>
                <w:b/>
                <w:i/>
              </w:rPr>
              <w:tab/>
            </w:r>
            <w:r w:rsidRPr="00163266">
              <w:rPr>
                <w:b/>
                <w:bCs/>
                <w:i/>
                <w:iCs/>
              </w:rPr>
              <w:t>Euroopan parlamentin ja neuvoston direktiivin 2014/65/EU</w:t>
            </w:r>
            <w:r w:rsidRPr="00163266">
              <w:rPr>
                <w:b/>
                <w:bCs/>
                <w:i/>
                <w:iCs/>
                <w:vertAlign w:val="superscript"/>
              </w:rPr>
              <w:t>5</w:t>
            </w:r>
            <w:r w:rsidRPr="00163266">
              <w:rPr>
                <w:b/>
                <w:bCs/>
                <w:i/>
                <w:iCs/>
              </w:rPr>
              <w:t xml:space="preserve"> 4 artiklan 1 kohdan 18 alakohdassa </w:t>
            </w:r>
            <w:r w:rsidRPr="00163266">
              <w:rPr>
                <w:b/>
                <w:bCs/>
                <w:i/>
                <w:iCs/>
              </w:rPr>
              <w:lastRenderedPageBreak/>
              <w:t>määritellyt markkinoiden ylläpitäjät</w:t>
            </w:r>
            <w:r w:rsidRPr="00163266">
              <w:t xml:space="preserve"> ja sijoituspalveluyritykset, jotka </w:t>
            </w:r>
            <w:r w:rsidRPr="00163266">
              <w:rPr>
                <w:b/>
                <w:bCs/>
                <w:i/>
                <w:iCs/>
              </w:rPr>
              <w:t>ylläpitävät monenkeskistä kaupankäyntijärjestelmää</w:t>
            </w:r>
            <w:r w:rsidRPr="00163266">
              <w:t xml:space="preserve"> tai </w:t>
            </w:r>
            <w:r w:rsidRPr="00163266">
              <w:rPr>
                <w:b/>
                <w:bCs/>
                <w:i/>
                <w:iCs/>
              </w:rPr>
              <w:t>organisoitua kaupankäyntijärjestelmää;</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0D7005">
            <w:pPr>
              <w:pStyle w:val="Normal6"/>
              <w:widowControl/>
              <w:rPr>
                <w:szCs w:val="24"/>
              </w:rPr>
            </w:pPr>
            <w:r w:rsidRPr="00163266">
              <w:rPr>
                <w:b/>
                <w:i/>
              </w:rPr>
              <w:t>(e)</w:t>
            </w:r>
            <w:r w:rsidRPr="00163266">
              <w:rPr>
                <w:b/>
                <w:i/>
              </w:rPr>
              <w:tab/>
            </w:r>
            <w:r w:rsidRPr="00163266">
              <w:rPr>
                <w:b/>
                <w:bCs/>
                <w:i/>
                <w:iCs/>
              </w:rPr>
              <w:t>Euroopan parlamentin ja neuvoston asetuksen (EU) N:o 909/2014</w:t>
            </w:r>
            <w:r w:rsidRPr="00163266">
              <w:rPr>
                <w:b/>
                <w:bCs/>
                <w:i/>
                <w:iCs/>
                <w:vertAlign w:val="superscript"/>
              </w:rPr>
              <w:t>6</w:t>
            </w:r>
            <w:r w:rsidRPr="00163266">
              <w:rPr>
                <w:b/>
                <w:bCs/>
                <w:i/>
                <w:iCs/>
              </w:rPr>
              <w:t xml:space="preserve"> 2 artiklan 1 kohdan 1 alakohdassa määritellyt</w:t>
            </w:r>
            <w:r w:rsidRPr="00163266">
              <w:t xml:space="preserve"> arvopaperikeskukset</w:t>
            </w:r>
            <w:r w:rsidRPr="00163266">
              <w:rPr>
                <w:b/>
                <w:bCs/>
                <w:i/>
                <w:iCs/>
              </w:rPr>
              <w: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0D7005">
            <w:pPr>
              <w:pStyle w:val="Normal6"/>
              <w:widowControl/>
              <w:rPr>
                <w:szCs w:val="24"/>
              </w:rPr>
            </w:pPr>
            <w:r w:rsidRPr="00163266">
              <w:rPr>
                <w:b/>
                <w:i/>
              </w:rPr>
              <w:t>(f)</w:t>
            </w:r>
            <w:r w:rsidRPr="00163266">
              <w:rPr>
                <w:b/>
                <w:i/>
              </w:rPr>
              <w:tab/>
            </w:r>
            <w:r w:rsidRPr="00163266">
              <w:t xml:space="preserve">merkittävät </w:t>
            </w:r>
            <w:proofErr w:type="spellStart"/>
            <w:r w:rsidRPr="00163266">
              <w:t>omaisuusrefenssitokenien</w:t>
            </w:r>
            <w:proofErr w:type="spellEnd"/>
            <w:r w:rsidRPr="00163266">
              <w:t xml:space="preserve"> tai </w:t>
            </w:r>
            <w:r w:rsidRPr="00163266">
              <w:rPr>
                <w:b/>
                <w:bCs/>
                <w:i/>
                <w:iCs/>
              </w:rPr>
              <w:t xml:space="preserve">sähköisen rahan </w:t>
            </w:r>
            <w:proofErr w:type="spellStart"/>
            <w:r w:rsidRPr="00163266">
              <w:rPr>
                <w:b/>
                <w:bCs/>
                <w:i/>
                <w:iCs/>
              </w:rPr>
              <w:t>tokenien</w:t>
            </w:r>
            <w:proofErr w:type="spellEnd"/>
            <w:r w:rsidRPr="00163266">
              <w:t xml:space="preserve"> liikkeeseenlaskijat ja </w:t>
            </w:r>
            <w:proofErr w:type="spellStart"/>
            <w:r w:rsidRPr="00163266">
              <w:t>kryptovarapalvelun</w:t>
            </w:r>
            <w:proofErr w:type="spellEnd"/>
            <w:r w:rsidRPr="00163266">
              <w:t xml:space="preserve"> tarjoajat, jotka </w:t>
            </w:r>
            <w:r w:rsidRPr="00163266">
              <w:rPr>
                <w:b/>
                <w:bCs/>
                <w:i/>
                <w:iCs/>
              </w:rPr>
              <w:t>ylläpitävät</w:t>
            </w:r>
            <w:r w:rsidRPr="00163266">
              <w:t xml:space="preserve"> </w:t>
            </w:r>
            <w:proofErr w:type="spellStart"/>
            <w:r w:rsidRPr="00163266">
              <w:t>kryptovarojen</w:t>
            </w:r>
            <w:proofErr w:type="spellEnd"/>
            <w:r w:rsidRPr="00163266">
              <w:t xml:space="preserve"> </w:t>
            </w:r>
            <w:r w:rsidRPr="00163266">
              <w:rPr>
                <w:b/>
                <w:bCs/>
                <w:i/>
                <w:iCs/>
              </w:rPr>
              <w:t>kaupankäyntialustoja, sellaisina kuin nämä käsitteet on määritelty Euroopan parlamentin ja neuvoston asetuksen (EU) 2023/1114</w:t>
            </w:r>
            <w:r w:rsidRPr="00163266">
              <w:rPr>
                <w:b/>
                <w:bCs/>
                <w:i/>
                <w:iCs/>
                <w:vertAlign w:val="superscript"/>
              </w:rPr>
              <w:t>7</w:t>
            </w:r>
            <w:r w:rsidRPr="00163266">
              <w:rPr>
                <w:b/>
                <w:bCs/>
                <w:i/>
                <w:iCs/>
              </w:rPr>
              <w:t xml:space="preserve"> 3 artiklan 1 kohdan 6, 7, 10, 15 ja 18 alakohdassa;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0D7005">
            <w:pPr>
              <w:pStyle w:val="Normal6"/>
              <w:widowControl/>
              <w:rPr>
                <w:szCs w:val="24"/>
              </w:rPr>
            </w:pPr>
            <w:r w:rsidRPr="00163266">
              <w:rPr>
                <w:b/>
                <w:i/>
              </w:rPr>
              <w:t>(g)</w:t>
            </w:r>
            <w:r w:rsidRPr="00163266">
              <w:rPr>
                <w:b/>
                <w:i/>
              </w:rPr>
              <w:tab/>
            </w:r>
            <w:r w:rsidRPr="00163266">
              <w:rPr>
                <w:b/>
                <w:bCs/>
                <w:i/>
                <w:iCs/>
              </w:rPr>
              <w:t>Euroopan parlamentin ja neuvoston asetuksen (EU) N:o 575/2013</w:t>
            </w:r>
            <w:r w:rsidRPr="00163266">
              <w:rPr>
                <w:b/>
                <w:bCs/>
                <w:i/>
                <w:iCs/>
                <w:vertAlign w:val="superscript"/>
              </w:rPr>
              <w:t>8</w:t>
            </w:r>
            <w:r w:rsidRPr="00163266">
              <w:rPr>
                <w:b/>
                <w:bCs/>
                <w:i/>
                <w:iCs/>
              </w:rPr>
              <w:t xml:space="preserve"> 4 artiklan 1 kohdan 146 alakohdassa määritellyt</w:t>
            </w:r>
            <w:r w:rsidRPr="00163266">
              <w:t xml:space="preserve"> suuret laitokset</w:t>
            </w:r>
            <w:r w:rsidRPr="00163266">
              <w:rPr>
                <w:b/>
                <w:bCs/>
                <w:i/>
                <w:iCs/>
              </w:rPr>
              <w: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0D7005">
            <w:pPr>
              <w:pStyle w:val="Normal6"/>
              <w:widowControl/>
              <w:rPr>
                <w:szCs w:val="24"/>
              </w:rPr>
            </w:pPr>
            <w:r w:rsidRPr="00163266">
              <w:rPr>
                <w:b/>
                <w:i/>
              </w:rPr>
              <w:t>(h)</w:t>
            </w:r>
            <w:r w:rsidRPr="00163266">
              <w:rPr>
                <w:b/>
                <w:i/>
              </w:rPr>
              <w:tab/>
            </w:r>
            <w:r w:rsidRPr="00163266">
              <w:t>globaalit erikoistuneiden rahaliikenteen sanomanvälityspalvelujen tarjoajat</w:t>
            </w:r>
            <w:r w:rsidRPr="00163266">
              <w:rPr>
                <w:b/>
                <w:bCs/>
                <w:i/>
                <w:iCs/>
              </w:rPr>
              <w:t>, Euroopan parlamentin ja neuvoston asetuksen (EU) 2022/2554</w:t>
            </w:r>
            <w:r w:rsidRPr="00163266">
              <w:rPr>
                <w:b/>
                <w:bCs/>
                <w:i/>
                <w:iCs/>
                <w:vertAlign w:val="superscript"/>
              </w:rPr>
              <w:t>9</w:t>
            </w:r>
            <w:r w:rsidRPr="00163266">
              <w:rPr>
                <w:b/>
                <w:bCs/>
                <w:i/>
                <w:iCs/>
              </w:rPr>
              <w:t xml:space="preserve"> 3 artiklan 23 alakohdassa määritellyt</w:t>
            </w:r>
            <w:r w:rsidRPr="00163266">
              <w:t xml:space="preserve"> nimetyt kriittiset TVT-palveluntarjoajana olevat kolmannet osapuolet</w:t>
            </w:r>
            <w:r w:rsidRPr="00163266">
              <w:rPr>
                <w:b/>
                <w:bCs/>
                <w:i/>
                <w:iCs/>
              </w:rPr>
              <w: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0D7005">
            <w:pPr>
              <w:pStyle w:val="Normal6"/>
              <w:widowControl/>
              <w:rPr>
                <w:szCs w:val="24"/>
              </w:rPr>
            </w:pPr>
            <w:r w:rsidRPr="00163266">
              <w:rPr>
                <w:b/>
                <w:i/>
              </w:rPr>
              <w:t>(i)</w:t>
            </w:r>
            <w:r w:rsidRPr="00163266">
              <w:rPr>
                <w:b/>
                <w:i/>
              </w:rPr>
              <w:tab/>
              <w:t>Euroopan keskuspankin asetuksen (EU) N:o 795/2014</w:t>
            </w:r>
            <w:r w:rsidRPr="00163266">
              <w:rPr>
                <w:b/>
                <w:i/>
                <w:vertAlign w:val="superscript"/>
              </w:rPr>
              <w:t>9 a</w:t>
            </w:r>
            <w:r w:rsidRPr="00163266">
              <w:rPr>
                <w:b/>
                <w:i/>
              </w:rPr>
              <w:t xml:space="preserve"> 1 artiklan 2 kohtaan perustuvan EKP:n päätöksen mukaiset systeemisesti merkittävät maksujärjestelmät;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0D7005">
            <w:pPr>
              <w:pStyle w:val="Normal6"/>
              <w:widowControl/>
              <w:rPr>
                <w:szCs w:val="24"/>
              </w:rPr>
            </w:pPr>
            <w:r w:rsidRPr="00163266">
              <w:rPr>
                <w:b/>
                <w:i/>
              </w:rPr>
              <w:t>(j)</w:t>
            </w:r>
            <w:r w:rsidRPr="00163266">
              <w:rPr>
                <w:b/>
                <w:i/>
              </w:rPr>
              <w:tab/>
            </w:r>
            <w:r w:rsidRPr="00163266">
              <w:rPr>
                <w:b/>
                <w:bCs/>
                <w:i/>
                <w:iCs/>
              </w:rPr>
              <w:t>Euroopan parlamentin ja neuvoston direktiivin 2009/138/EY</w:t>
            </w:r>
            <w:r w:rsidRPr="00163266">
              <w:rPr>
                <w:b/>
                <w:bCs/>
                <w:i/>
                <w:iCs/>
                <w:vertAlign w:val="superscript"/>
              </w:rPr>
              <w:t>9 b</w:t>
            </w:r>
            <w:r w:rsidRPr="00163266">
              <w:rPr>
                <w:b/>
                <w:bCs/>
                <w:i/>
                <w:iCs/>
              </w:rPr>
              <w:t xml:space="preserve"> 13 artiklan 1 ja 4 alakohdassa määritellyt vakuutus- ja jälleenvakuutusyritykset, joiden bruttomääräinen vakuutusmaksutulo ylittää keskimäärin 25 000 000 000 euroa sitä vuotta, jona ulkomaisesta sijoituksesta on ilmoitettu, edeltäneiden kolmen kalenterivuoden aikana.</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t>__________________</w:t>
            </w:r>
          </w:p>
        </w:tc>
        <w:tc>
          <w:tcPr>
            <w:tcW w:w="4876" w:type="dxa"/>
            <w:hideMark/>
          </w:tcPr>
          <w:p w:rsidR="001E1179" w:rsidRPr="00163266" w:rsidRDefault="001E1179" w:rsidP="00F60C33">
            <w:pPr>
              <w:pStyle w:val="Normal6"/>
              <w:widowControl/>
              <w:rPr>
                <w:szCs w:val="24"/>
              </w:rPr>
            </w:pPr>
            <w:r w:rsidRPr="00163266">
              <w:t>__________________</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vertAlign w:val="superscript"/>
              </w:rPr>
              <w:t>2</w:t>
            </w:r>
            <w:r w:rsidRPr="00163266">
              <w:t xml:space="preserve"> Euroopan parlamentin ja neuvoston asetus (EU) N:o 648/2012, annettu 4 </w:t>
            </w:r>
            <w:r w:rsidRPr="00163266">
              <w:lastRenderedPageBreak/>
              <w:t>päivänä heinäkuuta 2012, OTC-johdannaisista, keskusvastapuolista ja kauppatietorekistereistä</w:t>
            </w:r>
            <w:r w:rsidRPr="00163266">
              <w:rPr>
                <w:b/>
                <w:bCs/>
                <w:i/>
                <w:iCs/>
              </w:rPr>
              <w:t>; 2 artiklan 1 kohta</w:t>
            </w:r>
            <w:r w:rsidRPr="00163266">
              <w:t xml:space="preserve"> (EUVL L 201, 27.7.2012, s. 1, ELI: http://data.europa.eu/eli/reg/2012/648/oj).</w:t>
            </w:r>
          </w:p>
        </w:tc>
        <w:tc>
          <w:tcPr>
            <w:tcW w:w="4876" w:type="dxa"/>
            <w:hideMark/>
          </w:tcPr>
          <w:p w:rsidR="001E1179" w:rsidRPr="00163266" w:rsidRDefault="001E1179" w:rsidP="00F60C33">
            <w:pPr>
              <w:pStyle w:val="Normal6"/>
              <w:widowControl/>
              <w:rPr>
                <w:szCs w:val="24"/>
              </w:rPr>
            </w:pPr>
            <w:r w:rsidRPr="00163266">
              <w:rPr>
                <w:vertAlign w:val="superscript"/>
              </w:rPr>
              <w:lastRenderedPageBreak/>
              <w:t>2</w:t>
            </w:r>
            <w:r w:rsidRPr="00163266">
              <w:t xml:space="preserve"> Euroopan parlamentin ja neuvoston asetus (EU) N:o 648/2012, annettu 4 </w:t>
            </w:r>
            <w:r w:rsidRPr="00163266">
              <w:lastRenderedPageBreak/>
              <w:t>päivänä heinäkuuta 2012, OTC-johdannaisista, keskusvastapuolista ja kauppatietorekistereistä (EUVL L 201, 27.7.2012, s. 1, ELI: http://data.europa.eu/eli/reg/2012/648/oj).</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vertAlign w:val="superscript"/>
              </w:rPr>
              <w:lastRenderedPageBreak/>
              <w:t>3</w:t>
            </w:r>
            <w:r w:rsidRPr="00163266">
              <w:t xml:space="preserve"> Euroopan parlamentin ja neuvoston direktiivi (EU) 2015/2366, annettu 25 päivänä marraskuuta 2015, maksupalveluista sisämarkkinoilla, direktiivien 2002/65/EY, 2009/110/EY ja 2013/36/EU ja asetuksen (EU) N:o 1093/2010 muuttamisesta sekä direktiivin 2007/64/EY kumoamisesta</w:t>
            </w:r>
            <w:r w:rsidRPr="00163266">
              <w:rPr>
                <w:b/>
                <w:bCs/>
                <w:i/>
                <w:iCs/>
              </w:rPr>
              <w:t>; 4 artiklan 7 kohta ja 4 kohta</w:t>
            </w:r>
            <w:r w:rsidRPr="00163266">
              <w:t xml:space="preserve"> (EUVL L 337, 23.12.2015, s. 35, ELI: http://data.europa.eu/eli/dir/2015/2366/oj).</w:t>
            </w:r>
          </w:p>
        </w:tc>
        <w:tc>
          <w:tcPr>
            <w:tcW w:w="4876" w:type="dxa"/>
            <w:hideMark/>
          </w:tcPr>
          <w:p w:rsidR="001E1179" w:rsidRPr="00163266" w:rsidRDefault="001E1179" w:rsidP="00F60C33">
            <w:pPr>
              <w:pStyle w:val="Normal6"/>
              <w:widowControl/>
              <w:rPr>
                <w:szCs w:val="24"/>
              </w:rPr>
            </w:pPr>
            <w:r w:rsidRPr="00163266">
              <w:rPr>
                <w:vertAlign w:val="superscript"/>
              </w:rPr>
              <w:t>3</w:t>
            </w:r>
            <w:r w:rsidRPr="00163266">
              <w:t xml:space="preserve"> Euroopan parlamentin ja neuvoston direktiivi (EU) 2015/2366, annettu 25 päivänä marraskuuta 2015, maksupalveluista sisämarkkinoilla, direktiivien 2002/65/EY, 2009/110/EY ja 2013/36/EU ja asetuksen (EU) N:o 1093/2010 muuttamisesta sekä direktiivin 2007/64/EY kumoamisesta (EUVL L 337, 23.12.2015, s. 35, ELI: http://data.europa.eu/eli/dir/2015/2366/oj).</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vertAlign w:val="superscript"/>
              </w:rPr>
              <w:t>4</w:t>
            </w:r>
            <w:r w:rsidRPr="00163266">
              <w:t xml:space="preserve"> Euroopan parlamentin ja neuvoston direktiivi 2009/110/EY, annettu 16 päivänä syyskuuta 2009, sähköisen rahan liikkeeseenlaskijalaitosten liiketoiminnan aloittamisesta, harjoittamisesta ja toiminnan vakauden valvonnasta, direktiivien 2005/60/EY ja 2006/48/EY muuttamisesta sekä direktiivin 2000/46/EY kumoamisesta</w:t>
            </w:r>
            <w:r w:rsidRPr="00163266">
              <w:rPr>
                <w:b/>
                <w:bCs/>
                <w:i/>
                <w:iCs/>
              </w:rPr>
              <w:t>; 2 artiklan 1 kohta</w:t>
            </w:r>
            <w:r w:rsidRPr="00163266">
              <w:t xml:space="preserve"> (EUVL L 267, 10.10.2009, s. 7, ELI: http://data.europa.eu/eli/dir/2009/110/oj.</w:t>
            </w:r>
          </w:p>
        </w:tc>
        <w:tc>
          <w:tcPr>
            <w:tcW w:w="4876" w:type="dxa"/>
            <w:hideMark/>
          </w:tcPr>
          <w:p w:rsidR="001E1179" w:rsidRPr="00163266" w:rsidRDefault="001E1179" w:rsidP="00F60C33">
            <w:pPr>
              <w:pStyle w:val="Normal6"/>
              <w:widowControl/>
              <w:rPr>
                <w:szCs w:val="24"/>
              </w:rPr>
            </w:pPr>
            <w:r w:rsidRPr="00163266">
              <w:rPr>
                <w:vertAlign w:val="superscript"/>
              </w:rPr>
              <w:t>4</w:t>
            </w:r>
            <w:r w:rsidRPr="00163266">
              <w:t xml:space="preserve"> Euroopan parlamentin ja neuvoston direktiivi 2009/110/EY, annettu 16 päivänä syyskuuta 2009, sähköisen rahan liikkeeseenlaskijalaitosten liiketoiminnan aloittamisesta, harjoittamisesta ja toiminnan vakauden valvonnasta, direktiivien 2005/60/EY ja 2006/48/EY muuttamisesta sekä direktiivin 2000/46/EY kumoamisesta (EUVL L 267, 10.10.2009, s. 7, ELI: http://data.europa.eu/eli/dir/2009/110/oj.</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vertAlign w:val="superscript"/>
              </w:rPr>
              <w:t>5</w:t>
            </w:r>
            <w:r w:rsidRPr="00163266">
              <w:t xml:space="preserve"> Euroopan parlamentin ja neuvoston direktiivi 2014/65/EU, annettu 15 päivänä toukokuuta 2014, rahoitusvälineiden markkinoista sekä direktiivin 2002/92/EY ja direktiivin 2011/61/EU muuttamisesta</w:t>
            </w:r>
            <w:r w:rsidRPr="00163266">
              <w:rPr>
                <w:b/>
                <w:bCs/>
                <w:i/>
                <w:iCs/>
              </w:rPr>
              <w:t>; 4 artiklan 1 kohdan 18 alakohta</w:t>
            </w:r>
            <w:r w:rsidRPr="00163266">
              <w:t xml:space="preserve"> (EUVL L 173, 12.6.2014, s. 349, ELI: http://data.europa.eu/eli/dir/2014/65/oj.</w:t>
            </w:r>
          </w:p>
        </w:tc>
        <w:tc>
          <w:tcPr>
            <w:tcW w:w="4876" w:type="dxa"/>
            <w:hideMark/>
          </w:tcPr>
          <w:p w:rsidR="001E1179" w:rsidRPr="00163266" w:rsidRDefault="001E1179" w:rsidP="00F60C33">
            <w:pPr>
              <w:pStyle w:val="Normal6"/>
              <w:widowControl/>
              <w:rPr>
                <w:szCs w:val="24"/>
              </w:rPr>
            </w:pPr>
            <w:r w:rsidRPr="00163266">
              <w:rPr>
                <w:vertAlign w:val="superscript"/>
              </w:rPr>
              <w:t>5</w:t>
            </w:r>
            <w:r w:rsidRPr="00163266">
              <w:t xml:space="preserve"> Euroopan parlamentin ja neuvoston direktiivi 2014/65/EU, annettu 15 päivänä toukokuuta 2014, rahoitusvälineiden markkinoista sekä direktiivin 2002/92/EY ja direktiivin 2011/61/EU muuttamisesta (EUVL L 173, 12.6.2014, s. 349, ELI: http://data.europa.eu/eli/dir/2014/65/oj.</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vertAlign w:val="superscript"/>
              </w:rPr>
              <w:t>6</w:t>
            </w:r>
            <w:r w:rsidRPr="00163266">
              <w:t xml:space="preserve"> Euroopan parlamentin ja neuvoston </w:t>
            </w:r>
            <w:r w:rsidRPr="00163266">
              <w:rPr>
                <w:b/>
                <w:bCs/>
                <w:i/>
                <w:iCs/>
              </w:rPr>
              <w:t>asetuksen</w:t>
            </w:r>
            <w:r w:rsidRPr="00163266">
              <w:t xml:space="preserve"> (EU) N:o 909/2014, annettu 23 päivänä heinäkuuta 2014, arvopaperitoimituksen parantamisesta Euroopan unionissa sekä arvopaperikeskuksista ja direktiivien 98/26/EY ja 2014/65/EU sekä asetuksen (EU) N:o 236/2012 muuttamisesta</w:t>
            </w:r>
            <w:r w:rsidRPr="00163266">
              <w:rPr>
                <w:b/>
                <w:bCs/>
                <w:i/>
                <w:iCs/>
              </w:rPr>
              <w:t>; 2 artiklan 1 kohdan 1 alakohta</w:t>
            </w:r>
            <w:r w:rsidRPr="00163266">
              <w:t xml:space="preserve"> (EUVL L 257, 28.8.2014, s. 1, ELI: http://data.europa.eu/eli/reg/2014/909/oj.</w:t>
            </w:r>
          </w:p>
        </w:tc>
        <w:tc>
          <w:tcPr>
            <w:tcW w:w="4876" w:type="dxa"/>
            <w:hideMark/>
          </w:tcPr>
          <w:p w:rsidR="001E1179" w:rsidRPr="00163266" w:rsidRDefault="001E1179" w:rsidP="00F60C33">
            <w:pPr>
              <w:pStyle w:val="Normal6"/>
              <w:widowControl/>
              <w:rPr>
                <w:szCs w:val="24"/>
              </w:rPr>
            </w:pPr>
            <w:r w:rsidRPr="00163266">
              <w:rPr>
                <w:vertAlign w:val="superscript"/>
              </w:rPr>
              <w:t>6</w:t>
            </w:r>
            <w:r w:rsidRPr="00163266">
              <w:t xml:space="preserve"> Euroopan parlamentin ja neuvoston </w:t>
            </w:r>
            <w:r w:rsidRPr="00163266">
              <w:rPr>
                <w:b/>
                <w:bCs/>
                <w:i/>
                <w:iCs/>
              </w:rPr>
              <w:t>asetus</w:t>
            </w:r>
            <w:r w:rsidRPr="00163266">
              <w:t xml:space="preserve"> (EU) N:o 909/2014, annettu 23 päivänä heinäkuuta 2014, arvopaperitoimituksen parantamisesta Euroopan unionissa sekä arvopaperikeskuksista ja direktiivien 98/26/EY ja 2014/65/EU sekä asetuksen (EU) N:o 236/2012 muuttamisesta (EUVL L 257, 28.8.2014, s. 1, ELI: http://data.europa.eu/eli/reg/2014/909/oj.</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vertAlign w:val="superscript"/>
              </w:rPr>
              <w:t>7</w:t>
            </w:r>
            <w:r w:rsidRPr="00163266">
              <w:t xml:space="preserve"> Euroopan parlamentin ja neuvoston asetus (EU) 2023/1114, annettu 31 päivänä toukokuuta 2023, </w:t>
            </w:r>
            <w:proofErr w:type="spellStart"/>
            <w:r w:rsidRPr="00163266">
              <w:t>kryptovarojen</w:t>
            </w:r>
            <w:proofErr w:type="spellEnd"/>
            <w:r w:rsidRPr="00163266">
              <w:t xml:space="preserve"> </w:t>
            </w:r>
            <w:r w:rsidRPr="00163266">
              <w:lastRenderedPageBreak/>
              <w:t>markkinoista sekä asetusten (EU) N:o 1093/2010 ja (EU) N:o 1095/2010 ja direktiivien 2013/36/EU ja (EU) 2019/1937 muuttamisesta</w:t>
            </w:r>
            <w:r w:rsidRPr="00163266">
              <w:rPr>
                <w:b/>
                <w:bCs/>
                <w:i/>
                <w:iCs/>
              </w:rPr>
              <w:t>; 3 artiklan 1 kohdan 6, 7, 10, 15 ja 18 alakohta</w:t>
            </w:r>
            <w:r w:rsidRPr="00163266">
              <w:t xml:space="preserve"> (EUVL L 150, 9.6.2023, s. 40, ELI: http://data.europa.eu/eli/reg/2023/1114/oj.</w:t>
            </w:r>
          </w:p>
        </w:tc>
        <w:tc>
          <w:tcPr>
            <w:tcW w:w="4876" w:type="dxa"/>
            <w:hideMark/>
          </w:tcPr>
          <w:p w:rsidR="001E1179" w:rsidRPr="00163266" w:rsidRDefault="001E1179" w:rsidP="00F60C33">
            <w:pPr>
              <w:pStyle w:val="Normal6"/>
              <w:widowControl/>
              <w:rPr>
                <w:szCs w:val="24"/>
              </w:rPr>
            </w:pPr>
            <w:r w:rsidRPr="00163266">
              <w:rPr>
                <w:vertAlign w:val="superscript"/>
              </w:rPr>
              <w:lastRenderedPageBreak/>
              <w:t>7</w:t>
            </w:r>
            <w:r w:rsidRPr="00163266">
              <w:t xml:space="preserve"> Euroopan parlamentin ja neuvoston asetus (EU) 2023/1114, annettu 31 päivänä toukokuuta 2023, </w:t>
            </w:r>
            <w:proofErr w:type="spellStart"/>
            <w:r w:rsidRPr="00163266">
              <w:t>kryptovarojen</w:t>
            </w:r>
            <w:proofErr w:type="spellEnd"/>
            <w:r w:rsidRPr="00163266">
              <w:t xml:space="preserve"> </w:t>
            </w:r>
            <w:r w:rsidRPr="00163266">
              <w:lastRenderedPageBreak/>
              <w:t>markkinoista sekä asetusten (EU) N:o 1093/2010 ja (EU) N:o 1095/2010 ja direktiivien 2013/36/EU ja (EU) 2019/1937 muuttamisesta (EUVL L 150, 9.6.2023, s. 40, ELI: http://data.europa.eu/eli/reg/2023/1114/oj.</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vertAlign w:val="superscript"/>
              </w:rPr>
              <w:lastRenderedPageBreak/>
              <w:t>8</w:t>
            </w:r>
            <w:r w:rsidRPr="00163266">
              <w:t xml:space="preserve"> Euroopan parlamentin ja neuvoston asetus (EU) N:o 575/2013, annettu 26 päivänä kesäkuuta 2013, luottolaitosten ja sijoituspalveluyritysten vakavaraisuusvaatimuksista ja asetuksen (EU) N:o 648/2012 muuttamisesta</w:t>
            </w:r>
            <w:r w:rsidRPr="00163266">
              <w:rPr>
                <w:b/>
                <w:bCs/>
                <w:i/>
                <w:iCs/>
              </w:rPr>
              <w:t>; 4 artiklan 1 kohdan 146 alakohta</w:t>
            </w:r>
            <w:r w:rsidRPr="00163266">
              <w:t xml:space="preserve"> (EUVL L 176, 27.6.2013, s. 1, ELI: http://data.europa.eu/eli/reg/2013/575/oj.</w:t>
            </w:r>
          </w:p>
        </w:tc>
        <w:tc>
          <w:tcPr>
            <w:tcW w:w="4876" w:type="dxa"/>
            <w:hideMark/>
          </w:tcPr>
          <w:p w:rsidR="001E1179" w:rsidRPr="00163266" w:rsidRDefault="001E1179" w:rsidP="00F60C33">
            <w:pPr>
              <w:pStyle w:val="Normal6"/>
              <w:widowControl/>
              <w:rPr>
                <w:szCs w:val="24"/>
              </w:rPr>
            </w:pPr>
            <w:r w:rsidRPr="00163266">
              <w:rPr>
                <w:vertAlign w:val="superscript"/>
              </w:rPr>
              <w:t>8</w:t>
            </w:r>
            <w:r w:rsidRPr="00163266">
              <w:t xml:space="preserve"> Euroopan parlamentin ja neuvoston asetus (EU) N:o 575/2013, annettu 26 päivänä kesäkuuta 2013, luottolaitosten ja sijoituspalveluyritysten vakavaraisuusvaatimuksista ja asetuksen (EU) N:o 648/2012 muuttamisesta (EUVL L 176, 27.6.2013, s. 1, ELI: http://data.europa.eu/eli/reg/2013/575/oj.</w:t>
            </w:r>
          </w:p>
        </w:tc>
      </w:tr>
      <w:tr w:rsidR="001E1179" w:rsidRPr="00163266" w:rsidTr="00F60C33">
        <w:trPr>
          <w:jc w:val="center"/>
        </w:trPr>
        <w:tc>
          <w:tcPr>
            <w:tcW w:w="4876" w:type="dxa"/>
            <w:hideMark/>
          </w:tcPr>
          <w:p w:rsidR="001E1179" w:rsidRPr="00163266" w:rsidRDefault="001E1179" w:rsidP="00F60C33">
            <w:pPr>
              <w:pStyle w:val="Normal6"/>
              <w:widowControl/>
            </w:pPr>
            <w:r w:rsidRPr="00163266">
              <w:rPr>
                <w:vertAlign w:val="superscript"/>
              </w:rPr>
              <w:t>9</w:t>
            </w:r>
            <w:r w:rsidRPr="00163266">
              <w:t xml:space="preserve"> Euroopan parlamentin ja neuvoston asetus (EU) 2022/2554, annettu 14 päivänä joulukuuta 2022, finanssialan digitaalisesta häiriönsietokyvystä ja asetusten (EY) N:o 1060/2009, (EU) N:o 648/2012, (EU) N:o 600/2014, (EU) N:o 909/2014 ja (EU) 2016/1011 muuttamisesta</w:t>
            </w:r>
            <w:r w:rsidRPr="00163266">
              <w:rPr>
                <w:b/>
                <w:bCs/>
                <w:i/>
                <w:iCs/>
              </w:rPr>
              <w:t>; 3 artiklan 23 kohta</w:t>
            </w:r>
            <w:r w:rsidRPr="00163266">
              <w:t xml:space="preserve"> (EUVL L 333, 27.12.2022, s. 1, ELI: http://data.europa.eu/eli/reg/2022/2554/oj.</w:t>
            </w:r>
          </w:p>
        </w:tc>
        <w:tc>
          <w:tcPr>
            <w:tcW w:w="4876" w:type="dxa"/>
            <w:hideMark/>
          </w:tcPr>
          <w:p w:rsidR="001E1179" w:rsidRPr="00163266" w:rsidRDefault="001E1179" w:rsidP="00F60C33">
            <w:pPr>
              <w:pStyle w:val="Normal6"/>
              <w:widowControl/>
              <w:rPr>
                <w:szCs w:val="24"/>
              </w:rPr>
            </w:pPr>
            <w:r w:rsidRPr="00163266">
              <w:rPr>
                <w:vertAlign w:val="superscript"/>
              </w:rPr>
              <w:t>9</w:t>
            </w:r>
            <w:r w:rsidRPr="00163266">
              <w:t xml:space="preserve"> Euroopan parlamentin ja neuvoston asetus (EU) 2022/2554, annettu 14 päivänä joulukuuta 2022, finanssialan digitaalisesta häiriönsietokyvystä ja asetusten (EY) N:o 1060/2009, (EU) N:o 648/2012, (EU) N:o 600/2014, (EU) N:o 909/2014 ja (EU) 2016/1011 muuttamisesta (EUVL L 333, 27.12.2022, s. 1, ELI: http://data.europa.eu/eli/reg/2022/2554/oj.</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vertAlign w:val="superscript"/>
              </w:rPr>
              <w:t>9 a</w:t>
            </w:r>
            <w:r w:rsidRPr="00163266">
              <w:rPr>
                <w:b/>
                <w:bCs/>
                <w:i/>
                <w:iCs/>
              </w:rPr>
              <w:t xml:space="preserve"> Euroopan keskuspankin asetus (EU) N:o 795/2014, annettu 3 päivänä heinäkuuta 2014, systeemisesti merkittäviä maksujärjestelmiä koskevista yleisvalvontavaatimuksista (EUVL L 217, 23.7.2014, s. 16, ELI:</w:t>
            </w:r>
            <w:r w:rsidRPr="00163266">
              <w:rPr>
                <w:b/>
                <w:i/>
              </w:rPr>
              <w:t xml:space="preserve"> http://data.europa.eu/eli/reg/2014/795/oj).</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vertAlign w:val="superscript"/>
              </w:rPr>
              <w:t>9 b</w:t>
            </w:r>
            <w:r w:rsidRPr="00163266">
              <w:t xml:space="preserve"> </w:t>
            </w:r>
            <w:r w:rsidRPr="00163266">
              <w:rPr>
                <w:b/>
                <w:bCs/>
                <w:i/>
                <w:iCs/>
              </w:rPr>
              <w:t>Euroopan parlamentin ja neuvoston direktiivi 2009/138/EY, annettu 25 päivänä marraskuuta 2009, vakuutus- ja jälleenvakuutustoiminnan aloittamisesta ja harjoittamisesta (</w:t>
            </w:r>
            <w:proofErr w:type="spellStart"/>
            <w:r w:rsidRPr="00163266">
              <w:rPr>
                <w:b/>
                <w:bCs/>
                <w:i/>
                <w:iCs/>
              </w:rPr>
              <w:t>Solvenssi</w:t>
            </w:r>
            <w:proofErr w:type="spellEnd"/>
            <w:r w:rsidRPr="00163266">
              <w:rPr>
                <w:b/>
                <w:bCs/>
                <w:i/>
                <w:iCs/>
              </w:rPr>
              <w:t xml:space="preserve"> II) (EUVL L 335, 17.12.2009, s. 1, ELI:</w:t>
            </w:r>
            <w:r w:rsidRPr="00163266">
              <w:rPr>
                <w:b/>
                <w:i/>
              </w:rPr>
              <w:t xml:space="preserve"> http://data.europa.eu/eli/dir/2009/138/oj).</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248</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5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5 a.</w:t>
            </w:r>
            <w:r w:rsidRPr="00163266">
              <w:rPr>
                <w:b/>
                <w:i/>
              </w:rPr>
              <w:tab/>
              <w:t>Kriittiset liikennealat, teknologia-alat ja infrastruktuurin osat: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0D7005">
            <w:pPr>
              <w:pStyle w:val="Normal6"/>
              <w:widowControl/>
              <w:rPr>
                <w:szCs w:val="24"/>
              </w:rPr>
            </w:pPr>
            <w:r w:rsidRPr="00163266">
              <w:rPr>
                <w:b/>
                <w:i/>
              </w:rPr>
              <w:t>(a)</w:t>
            </w:r>
            <w:r w:rsidRPr="00163266">
              <w:rPr>
                <w:b/>
                <w:i/>
              </w:rPr>
              <w:tab/>
              <w:t>ilmailuteollisuus, mukaan lukien ilma-alusten sekä niiden moottorien, potkurien, osien, irrallisten varusteiden ja laitteiden valmistus, huolto ja käyttö</w:t>
            </w:r>
            <w:r w:rsidRPr="00163266">
              <w:rPr>
                <w:b/>
                <w:i/>
                <w:vertAlign w:val="superscript"/>
              </w:rPr>
              <w:t>1 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0D7005">
            <w:pPr>
              <w:pStyle w:val="Normal6"/>
              <w:widowControl/>
              <w:rPr>
                <w:szCs w:val="24"/>
              </w:rPr>
            </w:pPr>
            <w:r w:rsidRPr="00163266">
              <w:rPr>
                <w:b/>
                <w:i/>
              </w:rPr>
              <w:t>(b)</w:t>
            </w:r>
            <w:r w:rsidRPr="00163266">
              <w:rPr>
                <w:b/>
                <w:i/>
              </w:rPr>
              <w:tab/>
              <w:t xml:space="preserve">meriteknologiateollisuus, mukaan lukien </w:t>
            </w:r>
            <w:proofErr w:type="spellStart"/>
            <w:r w:rsidRPr="00163266">
              <w:rPr>
                <w:b/>
                <w:i/>
              </w:rPr>
              <w:t>kaikentyyppisten</w:t>
            </w:r>
            <w:proofErr w:type="spellEnd"/>
            <w:r w:rsidRPr="00163266">
              <w:rPr>
                <w:b/>
                <w:i/>
              </w:rPr>
              <w:t xml:space="preserve"> alusten tuotanto, huolto ja rakenteen muuttaminen</w:t>
            </w:r>
            <w:r w:rsidRPr="00163266">
              <w:rPr>
                <w:b/>
                <w:i/>
                <w:vertAlign w:val="superscript"/>
              </w:rPr>
              <w:t>1 b</w:t>
            </w:r>
            <w:r w:rsidRPr="00163266">
              <w:rPr>
                <w:b/>
                <w:i/>
              </w:rPr>
              <w:t xml:space="preserve"> sekä varusteet</w:t>
            </w:r>
            <w:r w:rsidRPr="00163266">
              <w:rPr>
                <w:b/>
                <w:i/>
                <w:vertAlign w:val="superscript"/>
              </w:rPr>
              <w:t>1 c</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0D7005">
            <w:pPr>
              <w:pStyle w:val="Normal6"/>
              <w:widowControl/>
              <w:rPr>
                <w:szCs w:val="24"/>
              </w:rPr>
            </w:pPr>
            <w:r w:rsidRPr="00163266">
              <w:rPr>
                <w:b/>
                <w:i/>
              </w:rPr>
              <w:t>(c)</w:t>
            </w:r>
            <w:r w:rsidRPr="00163266">
              <w:rPr>
                <w:b/>
                <w:i/>
              </w:rPr>
              <w:tab/>
              <w:t>rautatieteollisuus, mukaan lukien kaikki rautatieliikennejärjestelmien, osajärjestelmien ja niihin liittyvien laitteiden suunnitteluun, valmistukseen, kunnossapitoon ja kunnostamiseen liittyvät näkökohdat</w:t>
            </w:r>
            <w:r w:rsidRPr="00163266">
              <w:rPr>
                <w:b/>
                <w:i/>
                <w:vertAlign w:val="superscript"/>
              </w:rPr>
              <w:t>1 d</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0D7005">
            <w:pPr>
              <w:pStyle w:val="Normal6"/>
              <w:widowControl/>
              <w:rPr>
                <w:szCs w:val="24"/>
              </w:rPr>
            </w:pPr>
            <w:r w:rsidRPr="00163266">
              <w:rPr>
                <w:b/>
                <w:i/>
              </w:rPr>
              <w:t>(d)</w:t>
            </w:r>
            <w:r w:rsidRPr="00163266">
              <w:rPr>
                <w:b/>
                <w:i/>
              </w:rPr>
              <w:tab/>
              <w:t>autoteollisuus, mukaan lukien autoteollisuuden tavarantoimittajat</w:t>
            </w:r>
            <w:r w:rsidRPr="00163266">
              <w:rPr>
                <w:b/>
                <w:i/>
                <w:vertAlign w:val="superscript"/>
              </w:rPr>
              <w:t>1 e</w:t>
            </w:r>
            <w:r w:rsidRPr="00163266">
              <w:rPr>
                <w:b/>
                <w:i/>
              </w:rPr>
              <w:t>, tankkausinfrastruktuuri, mukaan lukien sähköajoneuvojen latausinfrastruktuuri</w:t>
            </w:r>
            <w:r w:rsidRPr="00163266">
              <w:rPr>
                <w:b/>
                <w:i/>
                <w:vertAlign w:val="superscript"/>
              </w:rPr>
              <w:t>1 f</w:t>
            </w:r>
            <w:r w:rsidRPr="00163266">
              <w:rPr>
                <w:b/>
                <w:i/>
              </w:rPr>
              <w:t xml:space="preserve"> ja älykkäät liikennejärjestelmät</w:t>
            </w:r>
            <w:r w:rsidRPr="00163266">
              <w:rPr>
                <w:b/>
                <w:i/>
                <w:vertAlign w:val="superscript"/>
              </w:rPr>
              <w:t>1 g</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__________________</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vertAlign w:val="superscript"/>
              </w:rPr>
              <w:t>1 a</w:t>
            </w:r>
            <w:r w:rsidRPr="00163266">
              <w:t xml:space="preserve"> </w:t>
            </w:r>
            <w:r w:rsidRPr="00163266">
              <w:rPr>
                <w:b/>
                <w:i/>
              </w:rPr>
              <w:t>Yhteisistä siviili-ilmailua koskevista säännöistä ja Euroopan unionin lentoturvallisuusviraston perustamisesta, Euroopan parlamentin ja neuvoston asetusten (EY) N:o 2111/2005, (EY) N:o 1008/2008, (EU) N:o 996/2010, (EU) N:o 376/2014 ja direktiivien 2014/30/EU ja 2014/53/EU muuttamisesta sekä Euroopan parlamentin ja neuvoston asetusten (EY) N:o 552/2004, (EY) N:o 216/2008 ja neuvoston asetuksen (ETY) N:o 3922/91 kumoamisesta 4 päivänä heinäkuuta 2018 annetun Euroopan parlamentin ja neuvoston asetuksen (EU) 2018/1139 2 artiklan 1 kohdan a ja b alakohta.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vertAlign w:val="superscript"/>
              </w:rPr>
              <w:t>1 b</w:t>
            </w:r>
            <w:r w:rsidRPr="00163266">
              <w:rPr>
                <w:b/>
                <w:i/>
              </w:rPr>
              <w:t xml:space="preserve"> Laivanrakennusteollisuuden valtiontukea koskevien puitteiden (EUVL 2011/C 364/06) 12 kohdan a, b ja c alakohta.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vertAlign w:val="superscript"/>
              </w:rPr>
              <w:t>1 c</w:t>
            </w:r>
            <w:r w:rsidRPr="00163266">
              <w:rPr>
                <w:b/>
                <w:i/>
              </w:rPr>
              <w:t xml:space="preserve"> Laivavarusteista ja neuvoston direktiivin 96/98/EY kumoamisesta 23 päivänä heinäkuuta 2014 annetun </w:t>
            </w:r>
            <w:r w:rsidRPr="00163266">
              <w:rPr>
                <w:b/>
                <w:i/>
              </w:rPr>
              <w:lastRenderedPageBreak/>
              <w:t>Euroopan parlamentin ja neuvoston direktiivin 2014/90/EU 2 artiklan 1 kohta.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pPr>
              <w:pStyle w:val="Normal6"/>
              <w:widowControl/>
              <w:rPr>
                <w:szCs w:val="24"/>
              </w:rPr>
            </w:pPr>
            <w:r w:rsidRPr="00163266">
              <w:rPr>
                <w:b/>
                <w:i/>
                <w:vertAlign w:val="superscript"/>
              </w:rPr>
              <w:t>1 d</w:t>
            </w:r>
            <w:r w:rsidRPr="00163266">
              <w:rPr>
                <w:b/>
                <w:i/>
              </w:rPr>
              <w:t xml:space="preserve"> Rautatiejärjestelmän </w:t>
            </w:r>
            <w:proofErr w:type="spellStart"/>
            <w:r w:rsidRPr="00163266">
              <w:rPr>
                <w:b/>
                <w:i/>
              </w:rPr>
              <w:t>yhteentoimivuudesta</w:t>
            </w:r>
            <w:proofErr w:type="spellEnd"/>
            <w:r w:rsidRPr="00163266">
              <w:rPr>
                <w:b/>
                <w:i/>
              </w:rPr>
              <w:t xml:space="preserve"> Euroopan unionissa 11 päivänä toukokuuta 2016 annetun Euroopan parlamentin ja neuvoston direktiivin (EU) 2016/797 liite II</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vertAlign w:val="superscript"/>
              </w:rPr>
              <w:t>1 e</w:t>
            </w:r>
            <w:r w:rsidRPr="00163266">
              <w:t xml:space="preserve"> </w:t>
            </w:r>
            <w:r w:rsidRPr="00163266">
              <w:rPr>
                <w:b/>
                <w:i/>
              </w:rPr>
              <w:t xml:space="preserve">Teollisuus, joka vastaa kaikenlaisten sellaisten omalla käyttövoimallaan kulkevien maantieajoneuvojen (mukaan lukien henkilöautot, linja-autot, moottoripyörät, pakettiautot ja kuorma-autot) ja niiden varusteiden ja osien tuotannosta, jotka kuuluvat muun muassa Maailman tullijärjestön </w:t>
            </w:r>
            <w:proofErr w:type="spellStart"/>
            <w:r w:rsidRPr="00163266">
              <w:rPr>
                <w:b/>
                <w:i/>
              </w:rPr>
              <w:t>harmonoidun</w:t>
            </w:r>
            <w:proofErr w:type="spellEnd"/>
            <w:r w:rsidRPr="00163266">
              <w:rPr>
                <w:b/>
                <w:i/>
              </w:rPr>
              <w:t xml:space="preserve"> tavarankuvaus- ja koodausjärjestelmän nimikkeistön (HS 2017) 40, 84, 85, 87, 90 ja 94 ryhmään.</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vertAlign w:val="superscript"/>
              </w:rPr>
              <w:t>1 f</w:t>
            </w:r>
            <w:r w:rsidRPr="00163266">
              <w:t xml:space="preserve"> </w:t>
            </w:r>
            <w:r w:rsidRPr="00163266">
              <w:rPr>
                <w:b/>
                <w:i/>
              </w:rPr>
              <w:t>Vaihtoehtoisten polttoaineiden infrastruktuurin käyttöönotosta ja direktiivin 2014/94/EU kumoamisesta 13 päivänä syyskuuta 2023 annetun Euroopan parlamentin ja neuvoston asetuksen (EU) 2023/1804 2 artiklan 17, 21, 48, 49, 50, 51, 52, 53, 56 ja 59 alakohta.</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vertAlign w:val="superscript"/>
              </w:rPr>
              <w:t>1 g</w:t>
            </w:r>
            <w:r w:rsidRPr="00163266">
              <w:t xml:space="preserve"> </w:t>
            </w:r>
            <w:r w:rsidRPr="00163266">
              <w:rPr>
                <w:b/>
                <w:i/>
              </w:rPr>
              <w:t>Tieliikenteen älykkäiden liikennejärjestelmien käyttöönoton sekä tieliikenteen ja muiden liikennemuotojen rajapintojen puitteista 7 päivänä heinäkuuta 2010 annetun Euroopan parlamentin ja neuvoston direktiivin 2010/40/EU 4 artiklan 1 alakohta.</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249</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5 b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5 b.</w:t>
            </w:r>
            <w:r w:rsidRPr="00163266">
              <w:rPr>
                <w:b/>
                <w:i/>
              </w:rPr>
              <w:tab/>
              <w:t xml:space="preserve">Mediapalvelujen yhteisestä kehyksestä sisämarkkinoilla ja direktiivin 2010/13/EU muuttamisesta 11 päivänä huhtikuuta 2024 annetun Euroopan parlamentin ja neuvoston asetuksen (EU) 2024/1083 (eurooppalainen medianvapaussäädös) 2 artiklan </w:t>
            </w:r>
            <w:r w:rsidRPr="00163266">
              <w:rPr>
                <w:b/>
                <w:i/>
              </w:rPr>
              <w:lastRenderedPageBreak/>
              <w:t>1 alakohdassa määritellyt mediapalvelut, jotka edistävät yleisen mielipiteen muodostumista ja joille on tunnusomaista erityinen ajankohtaisuus ja laaja vaikutus.</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250</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5 c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5 c.</w:t>
            </w:r>
            <w:r w:rsidRPr="00163266">
              <w:rPr>
                <w:b/>
                <w:i/>
              </w:rPr>
              <w:tab/>
              <w:t>Vaali-infrastruktuuri: vaalien järjestämisessä ja toimittamisessa tarvittavat fyysiset ja digitaaliset järjestelmät, prosessit ja laitteet, mukaan lukien äänestysjärjestelmät, vaaliluettelotietokannat ja muut tekniset järjestelmät, joiden avulla varmistetaan vaaliprosessien loukkaamattomuus, saavutettavuus ja turvallisuus.</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251</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5 d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5 d.</w:t>
            </w:r>
            <w:r w:rsidRPr="00163266">
              <w:rPr>
                <w:b/>
                <w:i/>
              </w:rPr>
              <w:tab/>
              <w:t>Asetuksen (EU) 2024/1252</w:t>
            </w:r>
            <w:r w:rsidRPr="00163266">
              <w:rPr>
                <w:b/>
                <w:i/>
                <w:vertAlign w:val="superscript"/>
              </w:rPr>
              <w:t>1 a</w:t>
            </w:r>
            <w:r w:rsidRPr="00163266">
              <w:rPr>
                <w:b/>
                <w:i/>
              </w:rPr>
              <w:t xml:space="preserve"> liitteessä I ja II luetellut kriittiset raaka-aineet: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t>–</w:t>
            </w:r>
            <w:r w:rsidRPr="00163266">
              <w:tab/>
            </w:r>
            <w:r w:rsidRPr="00163266">
              <w:rPr>
                <w:b/>
                <w:i/>
              </w:rPr>
              <w:t>kriittisten raaka-aineiden louhinta ja jalostus</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t>–</w:t>
            </w:r>
            <w:r w:rsidRPr="00163266">
              <w:tab/>
            </w:r>
            <w:r w:rsidRPr="00163266">
              <w:rPr>
                <w:b/>
                <w:i/>
              </w:rPr>
              <w:t>erityisesti akuista ja elektroniikkajätteestä saatavien kriittisten raaka-aineiden kierrätys- ja hyödyntämistekniikat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t>–</w:t>
            </w:r>
            <w:r w:rsidRPr="00163266">
              <w:tab/>
            </w:r>
            <w:r w:rsidRPr="00163266">
              <w:rPr>
                <w:b/>
                <w:i/>
              </w:rPr>
              <w:t>kriittisten raaka-aineiden strategiset varastointi- ja säilytystilat</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t>–</w:t>
            </w:r>
            <w:r w:rsidRPr="00163266">
              <w:tab/>
            </w:r>
            <w:r w:rsidRPr="00163266">
              <w:rPr>
                <w:b/>
                <w:i/>
              </w:rPr>
              <w:t>toimitusketjujen infrastruktuuri kriittisten raaka-aineiden turvalliseen kuljetukseen ja jakeluun</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t>–</w:t>
            </w:r>
            <w:r w:rsidRPr="00163266">
              <w:tab/>
            </w:r>
            <w:r w:rsidRPr="00163266">
              <w:rPr>
                <w:b/>
                <w:i/>
              </w:rPr>
              <w:t xml:space="preserve">materiaalien korvaamisen, jalostusinnovaatioiden ja kehittyneiden </w:t>
            </w:r>
            <w:r w:rsidRPr="00163266">
              <w:rPr>
                <w:b/>
                <w:i/>
              </w:rPr>
              <w:lastRenderedPageBreak/>
              <w:t>kierrätysmenetelmien tutkimus ja kehittäminen.</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rsidP="00F60C33">
            <w:pPr>
              <w:pStyle w:val="Normal6"/>
              <w:widowControl/>
              <w:rPr>
                <w:szCs w:val="24"/>
              </w:rPr>
            </w:pPr>
            <w:r w:rsidRPr="00163266">
              <w:rPr>
                <w:b/>
                <w:i/>
              </w:rPr>
              <w:t>__________________</w:t>
            </w:r>
          </w:p>
        </w:tc>
      </w:tr>
      <w:tr w:rsidR="001E1179" w:rsidRPr="00163266" w:rsidTr="00F60C33">
        <w:trPr>
          <w:jc w:val="center"/>
        </w:trPr>
        <w:tc>
          <w:tcPr>
            <w:tcW w:w="4876" w:type="dxa"/>
          </w:tcPr>
          <w:p w:rsidR="001E1179" w:rsidRPr="00163266" w:rsidRDefault="001E1179" w:rsidP="00F60C33">
            <w:pPr>
              <w:pStyle w:val="Normal6"/>
              <w:widowControl/>
            </w:pPr>
          </w:p>
        </w:tc>
        <w:tc>
          <w:tcPr>
            <w:tcW w:w="4876" w:type="dxa"/>
            <w:hideMark/>
          </w:tcPr>
          <w:p w:rsidR="001E1179" w:rsidRPr="00163266" w:rsidRDefault="001E1179">
            <w:pPr>
              <w:pStyle w:val="Normal6"/>
              <w:widowControl/>
              <w:rPr>
                <w:szCs w:val="24"/>
              </w:rPr>
            </w:pPr>
            <w:r w:rsidRPr="00163266">
              <w:rPr>
                <w:b/>
                <w:i/>
                <w:vertAlign w:val="superscript"/>
              </w:rPr>
              <w:t>1 a</w:t>
            </w:r>
            <w:r w:rsidRPr="00163266">
              <w:rPr>
                <w:b/>
                <w:i/>
              </w:rPr>
              <w:t xml:space="preserve"> Euroopan parlamentin ja neuvoston asetus (EU) 2024/1252, annettu 11 päivänä huhtikuuta 2024, puitteiden vahvistamisesta kriittisten raaka-aineiden turvatun ja kestävän tarjonnan varmistamiseksi ja asetusten (EU) N:o 168/2013, (EU) 2018/858, (EU) 2018/1724 ja (EU) 2019/1020 muuttamisesta</w:t>
            </w:r>
            <w:r w:rsidR="00EE4312" w:rsidRPr="00163266">
              <w:rPr>
                <w:b/>
                <w:i/>
              </w:rPr>
              <w:t xml:space="preserve"> (EUVL L 2024/1252,</w:t>
            </w:r>
            <w:r w:rsidR="00EE4312" w:rsidRPr="00163266">
              <w:t xml:space="preserve"> 3.5.2024, ELI: </w:t>
            </w:r>
            <w:hyperlink r:id="rId10" w:tgtFrame="_blank" w:tooltip="Gives access to this document through its ELI URI." w:history="1">
              <w:r w:rsidR="00EE4312" w:rsidRPr="00163266">
                <w:t>http://data.europa.eu/eli/reg/2024/1252/oj</w:t>
              </w:r>
            </w:hyperlink>
            <w:r w:rsidR="00EE4312" w:rsidRPr="00163266">
              <w:t>)</w:t>
            </w:r>
            <w:r w:rsidRPr="00163266">
              <w:rPr>
                <w:b/>
                <w:i/>
              </w:rPr>
              <w:t>.</w:t>
            </w:r>
          </w:p>
        </w:tc>
      </w:tr>
    </w:tbl>
    <w:p w:rsidR="001E1179" w:rsidRPr="00163266" w:rsidRDefault="001E1179" w:rsidP="001E1179">
      <w:pPr>
        <w:widowControl/>
      </w:pPr>
    </w:p>
    <w:p w:rsidR="001E1179" w:rsidRPr="00163266" w:rsidRDefault="001E1179" w:rsidP="001E1179">
      <w:pPr>
        <w:pStyle w:val="AmNumberTabs"/>
        <w:widowControl/>
      </w:pPr>
      <w:r w:rsidRPr="00163266">
        <w:t>Tarkistus</w:t>
      </w:r>
      <w:r w:rsidR="00277A55" w:rsidRPr="00163266">
        <w:t xml:space="preserve"> </w:t>
      </w:r>
      <w:r w:rsidRPr="00163266">
        <w:t>252</w:t>
      </w:r>
    </w:p>
    <w:p w:rsidR="001E1179" w:rsidRPr="00163266" w:rsidRDefault="001E1179" w:rsidP="001E1179">
      <w:pPr>
        <w:widowControl/>
      </w:pPr>
    </w:p>
    <w:p w:rsidR="001E1179" w:rsidRPr="00163266" w:rsidRDefault="001E1179" w:rsidP="001E1179">
      <w:pPr>
        <w:pStyle w:val="NormalBold"/>
        <w:keepNext/>
        <w:widowControl/>
      </w:pPr>
      <w:r w:rsidRPr="00163266">
        <w:t>Ehdotus asetukseksi</w:t>
      </w:r>
    </w:p>
    <w:p w:rsidR="001E1179" w:rsidRPr="00163266" w:rsidRDefault="001E1179" w:rsidP="001E1179">
      <w:pPr>
        <w:pStyle w:val="NormalBold"/>
        <w:widowControl/>
      </w:pPr>
      <w:r w:rsidRPr="00163266">
        <w:t>Liite II – 5 e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179" w:rsidRPr="00163266" w:rsidTr="00F60C33">
        <w:trPr>
          <w:jc w:val="center"/>
        </w:trPr>
        <w:tc>
          <w:tcPr>
            <w:tcW w:w="9752" w:type="dxa"/>
            <w:gridSpan w:val="2"/>
          </w:tcPr>
          <w:p w:rsidR="001E1179" w:rsidRPr="00163266" w:rsidRDefault="001E1179" w:rsidP="00F60C33">
            <w:pPr>
              <w:keepNext/>
              <w:widowControl/>
            </w:pPr>
          </w:p>
        </w:tc>
      </w:tr>
      <w:tr w:rsidR="001E1179" w:rsidRPr="00163266" w:rsidTr="00F60C33">
        <w:trPr>
          <w:jc w:val="center"/>
        </w:trPr>
        <w:tc>
          <w:tcPr>
            <w:tcW w:w="4876" w:type="dxa"/>
            <w:hideMark/>
          </w:tcPr>
          <w:p w:rsidR="001E1179" w:rsidRPr="00163266" w:rsidRDefault="001E1179" w:rsidP="00F60C33">
            <w:pPr>
              <w:pStyle w:val="ColumnHeading"/>
              <w:keepNext/>
              <w:widowControl/>
            </w:pPr>
            <w:r w:rsidRPr="00163266">
              <w:t>Komission teksti</w:t>
            </w:r>
          </w:p>
        </w:tc>
        <w:tc>
          <w:tcPr>
            <w:tcW w:w="4876" w:type="dxa"/>
            <w:hideMark/>
          </w:tcPr>
          <w:p w:rsidR="001E1179" w:rsidRPr="00163266" w:rsidRDefault="001E1179" w:rsidP="00F60C33">
            <w:pPr>
              <w:pStyle w:val="ColumnHeading"/>
              <w:keepNext/>
              <w:widowControl/>
            </w:pPr>
            <w:r w:rsidRPr="00163266">
              <w:t>Tarkistus</w:t>
            </w:r>
          </w:p>
        </w:tc>
      </w:tr>
      <w:tr w:rsidR="001E1179" w:rsidRPr="003072F8" w:rsidTr="00F60C33">
        <w:trPr>
          <w:jc w:val="center"/>
        </w:trPr>
        <w:tc>
          <w:tcPr>
            <w:tcW w:w="4876" w:type="dxa"/>
          </w:tcPr>
          <w:p w:rsidR="001E1179" w:rsidRPr="00163266" w:rsidRDefault="001E1179" w:rsidP="00F60C33">
            <w:pPr>
              <w:pStyle w:val="Normal6"/>
              <w:widowControl/>
            </w:pPr>
          </w:p>
        </w:tc>
        <w:tc>
          <w:tcPr>
            <w:tcW w:w="4876" w:type="dxa"/>
            <w:hideMark/>
          </w:tcPr>
          <w:p w:rsidR="001E1179" w:rsidRPr="003072F8" w:rsidRDefault="001E1179" w:rsidP="00F60C33">
            <w:pPr>
              <w:pStyle w:val="Normal6"/>
              <w:widowControl/>
              <w:rPr>
                <w:szCs w:val="24"/>
              </w:rPr>
            </w:pPr>
            <w:r w:rsidRPr="00163266">
              <w:rPr>
                <w:b/>
                <w:i/>
              </w:rPr>
              <w:t>5 e.</w:t>
            </w:r>
            <w:r w:rsidRPr="00163266">
              <w:rPr>
                <w:b/>
                <w:i/>
              </w:rPr>
              <w:tab/>
              <w:t>Maanviljely, kun unionin sijoituskohde omistaa viljelyalan tai harjoittaa maanviljelyä viljelyalalla, joka on pinta-alaltaan yli 10 000 hehtaaria.</w:t>
            </w:r>
          </w:p>
        </w:tc>
      </w:tr>
    </w:tbl>
    <w:p w:rsidR="001E1179" w:rsidRPr="003072F8" w:rsidRDefault="001E1179" w:rsidP="001E1179">
      <w:pPr>
        <w:widowControl/>
      </w:pPr>
    </w:p>
    <w:p w:rsidR="00E365E1" w:rsidRPr="003072F8" w:rsidRDefault="00E365E1" w:rsidP="00277A55">
      <w:pPr>
        <w:widowControl/>
      </w:pPr>
    </w:p>
    <w:sectPr w:rsidR="00E365E1" w:rsidRPr="003072F8" w:rsidSect="003072F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C33" w:rsidRPr="003072F8" w:rsidRDefault="00F60C33">
      <w:r w:rsidRPr="003072F8">
        <w:separator/>
      </w:r>
    </w:p>
  </w:endnote>
  <w:endnote w:type="continuationSeparator" w:id="0">
    <w:p w:rsidR="00F60C33" w:rsidRPr="003072F8" w:rsidRDefault="00F60C33">
      <w:r w:rsidRPr="003072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C33" w:rsidRPr="003072F8" w:rsidRDefault="00F60C33">
      <w:r w:rsidRPr="003072F8">
        <w:separator/>
      </w:r>
    </w:p>
  </w:footnote>
  <w:footnote w:type="continuationSeparator" w:id="0">
    <w:p w:rsidR="00F60C33" w:rsidRPr="003072F8" w:rsidRDefault="00F60C33">
      <w:r w:rsidRPr="003072F8">
        <w:continuationSeparator/>
      </w:r>
    </w:p>
  </w:footnote>
  <w:footnote w:id="1">
    <w:p w:rsidR="00163266" w:rsidRPr="002524FE" w:rsidRDefault="00163266" w:rsidP="00163266">
      <w:pPr>
        <w:pStyle w:val="FootnoteText"/>
        <w:ind w:left="567" w:hanging="567"/>
        <w:rPr>
          <w:lang w:val="fi-FI"/>
        </w:rPr>
      </w:pPr>
      <w:r w:rsidRPr="00B45820">
        <w:rPr>
          <w:rStyle w:val="FootnoteReference"/>
        </w:rPr>
        <w:footnoteRef/>
      </w:r>
      <w:r w:rsidRPr="00B45820">
        <w:rPr>
          <w:lang w:val="fi-FI"/>
        </w:rPr>
        <w:tab/>
        <w:t>Asia päätettiin palauttaa asiasta vastaavaan valiokuntaan toimielinten välisiä neuvotteluja varten työjärjestyksen 60 artiklan 4 kohdan neljännen alakohdan mukaisesti (A10-0061/2025).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A8F42A24">
      <w:start w:val="1"/>
      <w:numFmt w:val="bullet"/>
      <w:lvlText w:val=""/>
      <w:lvlJc w:val="left"/>
      <w:pPr>
        <w:ind w:left="720" w:hanging="360"/>
      </w:pPr>
      <w:rPr>
        <w:rFonts w:ascii="Symbol" w:hAnsi="Symbol" w:hint="default"/>
      </w:rPr>
    </w:lvl>
    <w:lvl w:ilvl="1" w:tplc="050AC3DE" w:tentative="1">
      <w:start w:val="1"/>
      <w:numFmt w:val="bullet"/>
      <w:lvlText w:val="o"/>
      <w:lvlJc w:val="left"/>
      <w:pPr>
        <w:ind w:left="1440" w:hanging="360"/>
      </w:pPr>
      <w:rPr>
        <w:rFonts w:ascii="Courier New" w:hAnsi="Courier New" w:cs="Courier New" w:hint="default"/>
      </w:rPr>
    </w:lvl>
    <w:lvl w:ilvl="2" w:tplc="B81E0B52" w:tentative="1">
      <w:start w:val="1"/>
      <w:numFmt w:val="bullet"/>
      <w:lvlText w:val=""/>
      <w:lvlJc w:val="left"/>
      <w:pPr>
        <w:ind w:left="2160" w:hanging="360"/>
      </w:pPr>
      <w:rPr>
        <w:rFonts w:ascii="Wingdings" w:hAnsi="Wingdings" w:hint="default"/>
      </w:rPr>
    </w:lvl>
    <w:lvl w:ilvl="3" w:tplc="CD1889D2" w:tentative="1">
      <w:start w:val="1"/>
      <w:numFmt w:val="bullet"/>
      <w:lvlText w:val=""/>
      <w:lvlJc w:val="left"/>
      <w:pPr>
        <w:ind w:left="2880" w:hanging="360"/>
      </w:pPr>
      <w:rPr>
        <w:rFonts w:ascii="Symbol" w:hAnsi="Symbol" w:hint="default"/>
      </w:rPr>
    </w:lvl>
    <w:lvl w:ilvl="4" w:tplc="A6664A58" w:tentative="1">
      <w:start w:val="1"/>
      <w:numFmt w:val="bullet"/>
      <w:lvlText w:val="o"/>
      <w:lvlJc w:val="left"/>
      <w:pPr>
        <w:ind w:left="3600" w:hanging="360"/>
      </w:pPr>
      <w:rPr>
        <w:rFonts w:ascii="Courier New" w:hAnsi="Courier New" w:cs="Courier New" w:hint="default"/>
      </w:rPr>
    </w:lvl>
    <w:lvl w:ilvl="5" w:tplc="A9BE6F8A" w:tentative="1">
      <w:start w:val="1"/>
      <w:numFmt w:val="bullet"/>
      <w:lvlText w:val=""/>
      <w:lvlJc w:val="left"/>
      <w:pPr>
        <w:ind w:left="4320" w:hanging="360"/>
      </w:pPr>
      <w:rPr>
        <w:rFonts w:ascii="Wingdings" w:hAnsi="Wingdings" w:hint="default"/>
      </w:rPr>
    </w:lvl>
    <w:lvl w:ilvl="6" w:tplc="A3A0C19E" w:tentative="1">
      <w:start w:val="1"/>
      <w:numFmt w:val="bullet"/>
      <w:lvlText w:val=""/>
      <w:lvlJc w:val="left"/>
      <w:pPr>
        <w:ind w:left="5040" w:hanging="360"/>
      </w:pPr>
      <w:rPr>
        <w:rFonts w:ascii="Symbol" w:hAnsi="Symbol" w:hint="default"/>
      </w:rPr>
    </w:lvl>
    <w:lvl w:ilvl="7" w:tplc="5674FF8C" w:tentative="1">
      <w:start w:val="1"/>
      <w:numFmt w:val="bullet"/>
      <w:lvlText w:val="o"/>
      <w:lvlJc w:val="left"/>
      <w:pPr>
        <w:ind w:left="5760" w:hanging="360"/>
      </w:pPr>
      <w:rPr>
        <w:rFonts w:ascii="Courier New" w:hAnsi="Courier New" w:cs="Courier New" w:hint="default"/>
      </w:rPr>
    </w:lvl>
    <w:lvl w:ilvl="8" w:tplc="23389400"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583A17A2">
      <w:numFmt w:val="bullet"/>
      <w:lvlText w:val="•"/>
      <w:lvlJc w:val="left"/>
      <w:pPr>
        <w:ind w:left="1080" w:hanging="720"/>
      </w:pPr>
      <w:rPr>
        <w:rFonts w:ascii="Times New Roman" w:eastAsia="Times New Roman" w:hAnsi="Times New Roman" w:cs="Times New Roman" w:hint="default"/>
      </w:rPr>
    </w:lvl>
    <w:lvl w:ilvl="1" w:tplc="08E8F50E" w:tentative="1">
      <w:start w:val="1"/>
      <w:numFmt w:val="bullet"/>
      <w:lvlText w:val="o"/>
      <w:lvlJc w:val="left"/>
      <w:pPr>
        <w:ind w:left="1440" w:hanging="360"/>
      </w:pPr>
      <w:rPr>
        <w:rFonts w:ascii="Courier New" w:hAnsi="Courier New" w:cs="Courier New" w:hint="default"/>
      </w:rPr>
    </w:lvl>
    <w:lvl w:ilvl="2" w:tplc="AEA0E1B2" w:tentative="1">
      <w:start w:val="1"/>
      <w:numFmt w:val="bullet"/>
      <w:lvlText w:val=""/>
      <w:lvlJc w:val="left"/>
      <w:pPr>
        <w:ind w:left="2160" w:hanging="360"/>
      </w:pPr>
      <w:rPr>
        <w:rFonts w:ascii="Wingdings" w:hAnsi="Wingdings" w:hint="default"/>
      </w:rPr>
    </w:lvl>
    <w:lvl w:ilvl="3" w:tplc="2FE8462E" w:tentative="1">
      <w:start w:val="1"/>
      <w:numFmt w:val="bullet"/>
      <w:lvlText w:val=""/>
      <w:lvlJc w:val="left"/>
      <w:pPr>
        <w:ind w:left="2880" w:hanging="360"/>
      </w:pPr>
      <w:rPr>
        <w:rFonts w:ascii="Symbol" w:hAnsi="Symbol" w:hint="default"/>
      </w:rPr>
    </w:lvl>
    <w:lvl w:ilvl="4" w:tplc="A370AB00" w:tentative="1">
      <w:start w:val="1"/>
      <w:numFmt w:val="bullet"/>
      <w:lvlText w:val="o"/>
      <w:lvlJc w:val="left"/>
      <w:pPr>
        <w:ind w:left="3600" w:hanging="360"/>
      </w:pPr>
      <w:rPr>
        <w:rFonts w:ascii="Courier New" w:hAnsi="Courier New" w:cs="Courier New" w:hint="default"/>
      </w:rPr>
    </w:lvl>
    <w:lvl w:ilvl="5" w:tplc="9AD694DA" w:tentative="1">
      <w:start w:val="1"/>
      <w:numFmt w:val="bullet"/>
      <w:lvlText w:val=""/>
      <w:lvlJc w:val="left"/>
      <w:pPr>
        <w:ind w:left="4320" w:hanging="360"/>
      </w:pPr>
      <w:rPr>
        <w:rFonts w:ascii="Wingdings" w:hAnsi="Wingdings" w:hint="default"/>
      </w:rPr>
    </w:lvl>
    <w:lvl w:ilvl="6" w:tplc="01D81124" w:tentative="1">
      <w:start w:val="1"/>
      <w:numFmt w:val="bullet"/>
      <w:lvlText w:val=""/>
      <w:lvlJc w:val="left"/>
      <w:pPr>
        <w:ind w:left="5040" w:hanging="360"/>
      </w:pPr>
      <w:rPr>
        <w:rFonts w:ascii="Symbol" w:hAnsi="Symbol" w:hint="default"/>
      </w:rPr>
    </w:lvl>
    <w:lvl w:ilvl="7" w:tplc="E5E0412E" w:tentative="1">
      <w:start w:val="1"/>
      <w:numFmt w:val="bullet"/>
      <w:lvlText w:val="o"/>
      <w:lvlJc w:val="left"/>
      <w:pPr>
        <w:ind w:left="5760" w:hanging="360"/>
      </w:pPr>
      <w:rPr>
        <w:rFonts w:ascii="Courier New" w:hAnsi="Courier New" w:cs="Courier New" w:hint="default"/>
      </w:rPr>
    </w:lvl>
    <w:lvl w:ilvl="8" w:tplc="FC029752"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57024C0E">
      <w:start w:val="1"/>
      <w:numFmt w:val="bullet"/>
      <w:lvlText w:val=""/>
      <w:lvlJc w:val="left"/>
      <w:pPr>
        <w:ind w:left="720" w:hanging="360"/>
      </w:pPr>
      <w:rPr>
        <w:rFonts w:ascii="Symbol" w:hAnsi="Symbol" w:hint="default"/>
      </w:rPr>
    </w:lvl>
    <w:lvl w:ilvl="1" w:tplc="1068AA2C" w:tentative="1">
      <w:start w:val="1"/>
      <w:numFmt w:val="bullet"/>
      <w:lvlText w:val="o"/>
      <w:lvlJc w:val="left"/>
      <w:pPr>
        <w:ind w:left="1440" w:hanging="360"/>
      </w:pPr>
      <w:rPr>
        <w:rFonts w:ascii="Courier New" w:hAnsi="Courier New" w:cs="Courier New" w:hint="default"/>
      </w:rPr>
    </w:lvl>
    <w:lvl w:ilvl="2" w:tplc="D51AD026" w:tentative="1">
      <w:start w:val="1"/>
      <w:numFmt w:val="bullet"/>
      <w:lvlText w:val=""/>
      <w:lvlJc w:val="left"/>
      <w:pPr>
        <w:ind w:left="2160" w:hanging="360"/>
      </w:pPr>
      <w:rPr>
        <w:rFonts w:ascii="Wingdings" w:hAnsi="Wingdings" w:hint="default"/>
      </w:rPr>
    </w:lvl>
    <w:lvl w:ilvl="3" w:tplc="DAD48450" w:tentative="1">
      <w:start w:val="1"/>
      <w:numFmt w:val="bullet"/>
      <w:lvlText w:val=""/>
      <w:lvlJc w:val="left"/>
      <w:pPr>
        <w:ind w:left="2880" w:hanging="360"/>
      </w:pPr>
      <w:rPr>
        <w:rFonts w:ascii="Symbol" w:hAnsi="Symbol" w:hint="default"/>
      </w:rPr>
    </w:lvl>
    <w:lvl w:ilvl="4" w:tplc="684463B4" w:tentative="1">
      <w:start w:val="1"/>
      <w:numFmt w:val="bullet"/>
      <w:lvlText w:val="o"/>
      <w:lvlJc w:val="left"/>
      <w:pPr>
        <w:ind w:left="3600" w:hanging="360"/>
      </w:pPr>
      <w:rPr>
        <w:rFonts w:ascii="Courier New" w:hAnsi="Courier New" w:cs="Courier New" w:hint="default"/>
      </w:rPr>
    </w:lvl>
    <w:lvl w:ilvl="5" w:tplc="82D81726" w:tentative="1">
      <w:start w:val="1"/>
      <w:numFmt w:val="bullet"/>
      <w:lvlText w:val=""/>
      <w:lvlJc w:val="left"/>
      <w:pPr>
        <w:ind w:left="4320" w:hanging="360"/>
      </w:pPr>
      <w:rPr>
        <w:rFonts w:ascii="Wingdings" w:hAnsi="Wingdings" w:hint="default"/>
      </w:rPr>
    </w:lvl>
    <w:lvl w:ilvl="6" w:tplc="55480D9A" w:tentative="1">
      <w:start w:val="1"/>
      <w:numFmt w:val="bullet"/>
      <w:lvlText w:val=""/>
      <w:lvlJc w:val="left"/>
      <w:pPr>
        <w:ind w:left="5040" w:hanging="360"/>
      </w:pPr>
      <w:rPr>
        <w:rFonts w:ascii="Symbol" w:hAnsi="Symbol" w:hint="default"/>
      </w:rPr>
    </w:lvl>
    <w:lvl w:ilvl="7" w:tplc="08C0FF78" w:tentative="1">
      <w:start w:val="1"/>
      <w:numFmt w:val="bullet"/>
      <w:lvlText w:val="o"/>
      <w:lvlJc w:val="left"/>
      <w:pPr>
        <w:ind w:left="5760" w:hanging="360"/>
      </w:pPr>
      <w:rPr>
        <w:rFonts w:ascii="Courier New" w:hAnsi="Courier New" w:cs="Courier New" w:hint="default"/>
      </w:rPr>
    </w:lvl>
    <w:lvl w:ilvl="8" w:tplc="5C1864E6"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3F841506">
      <w:start w:val="1"/>
      <w:numFmt w:val="bullet"/>
      <w:lvlText w:val=""/>
      <w:lvlJc w:val="left"/>
      <w:pPr>
        <w:ind w:left="720" w:hanging="360"/>
      </w:pPr>
      <w:rPr>
        <w:rFonts w:ascii="Symbol" w:hAnsi="Symbol" w:hint="default"/>
      </w:rPr>
    </w:lvl>
    <w:lvl w:ilvl="1" w:tplc="E966AE34">
      <w:start w:val="1"/>
      <w:numFmt w:val="bullet"/>
      <w:lvlText w:val="o"/>
      <w:lvlJc w:val="left"/>
      <w:pPr>
        <w:ind w:left="1440" w:hanging="360"/>
      </w:pPr>
      <w:rPr>
        <w:rFonts w:ascii="Courier New" w:hAnsi="Courier New" w:cs="Courier New" w:hint="default"/>
      </w:rPr>
    </w:lvl>
    <w:lvl w:ilvl="2" w:tplc="7EDC39C6">
      <w:start w:val="1"/>
      <w:numFmt w:val="bullet"/>
      <w:lvlText w:val=""/>
      <w:lvlJc w:val="left"/>
      <w:pPr>
        <w:ind w:left="2160" w:hanging="360"/>
      </w:pPr>
      <w:rPr>
        <w:rFonts w:ascii="Wingdings" w:hAnsi="Wingdings" w:hint="default"/>
      </w:rPr>
    </w:lvl>
    <w:lvl w:ilvl="3" w:tplc="B2DC5890">
      <w:start w:val="1"/>
      <w:numFmt w:val="bullet"/>
      <w:lvlText w:val=""/>
      <w:lvlJc w:val="left"/>
      <w:pPr>
        <w:ind w:left="2880" w:hanging="360"/>
      </w:pPr>
      <w:rPr>
        <w:rFonts w:ascii="Symbol" w:hAnsi="Symbol" w:hint="default"/>
      </w:rPr>
    </w:lvl>
    <w:lvl w:ilvl="4" w:tplc="2076C3F8">
      <w:start w:val="1"/>
      <w:numFmt w:val="bullet"/>
      <w:lvlText w:val="o"/>
      <w:lvlJc w:val="left"/>
      <w:pPr>
        <w:ind w:left="3600" w:hanging="360"/>
      </w:pPr>
      <w:rPr>
        <w:rFonts w:ascii="Courier New" w:hAnsi="Courier New" w:cs="Courier New" w:hint="default"/>
      </w:rPr>
    </w:lvl>
    <w:lvl w:ilvl="5" w:tplc="7D4EC150">
      <w:start w:val="1"/>
      <w:numFmt w:val="bullet"/>
      <w:lvlText w:val=""/>
      <w:lvlJc w:val="left"/>
      <w:pPr>
        <w:ind w:left="4320" w:hanging="360"/>
      </w:pPr>
      <w:rPr>
        <w:rFonts w:ascii="Wingdings" w:hAnsi="Wingdings" w:hint="default"/>
      </w:rPr>
    </w:lvl>
    <w:lvl w:ilvl="6" w:tplc="9A821328">
      <w:start w:val="1"/>
      <w:numFmt w:val="bullet"/>
      <w:lvlText w:val=""/>
      <w:lvlJc w:val="left"/>
      <w:pPr>
        <w:ind w:left="5040" w:hanging="360"/>
      </w:pPr>
      <w:rPr>
        <w:rFonts w:ascii="Symbol" w:hAnsi="Symbol" w:hint="default"/>
      </w:rPr>
    </w:lvl>
    <w:lvl w:ilvl="7" w:tplc="30CA1AA8">
      <w:start w:val="1"/>
      <w:numFmt w:val="bullet"/>
      <w:lvlText w:val="o"/>
      <w:lvlJc w:val="left"/>
      <w:pPr>
        <w:ind w:left="5760" w:hanging="360"/>
      </w:pPr>
      <w:rPr>
        <w:rFonts w:ascii="Courier New" w:hAnsi="Courier New" w:cs="Courier New" w:hint="default"/>
      </w:rPr>
    </w:lvl>
    <w:lvl w:ilvl="8" w:tplc="262CB752">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6"/>
  </w:num>
  <w:num w:numId="46">
    <w:abstractNumId w:val="11"/>
  </w:num>
  <w:num w:numId="47">
    <w:abstractNumId w:val="13"/>
  </w:num>
  <w:num w:numId="48">
    <w:abstractNumId w:val="15"/>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1/2025"/>
    <w:docVar w:name="dvlangue" w:val="FI"/>
    <w:docVar w:name="dvnumam" w:val="491"/>
    <w:docVar w:name="dvpe" w:val="767.951"/>
    <w:docVar w:name="dvrapporteur" w:val="Esittelijä: "/>
    <w:docVar w:name="dvstar" w:val="***I"/>
    <w:docVar w:name="dvtitre" w:val="Euroopan parlamentin lainsäädäntöpäätöslauselma xx. toukokuuta 2025 ehdotuksesta Euroopan parlamentin ja neuvoston asetukseksi ulkomaisten sijoitusten seurannasta unionissa ja Euroopan parlamentin ja neuvoston asetuksen (EU) 2019/452 kumoamisesta(COM(2024)0023 – C9-0011/2024 – 2024/0017(COD))"/>
  </w:docVars>
  <w:rsids>
    <w:rsidRoot w:val="00272D5A"/>
    <w:rsid w:val="00002272"/>
    <w:rsid w:val="00064002"/>
    <w:rsid w:val="000677B9"/>
    <w:rsid w:val="000831BA"/>
    <w:rsid w:val="000A42CC"/>
    <w:rsid w:val="000D7005"/>
    <w:rsid w:val="000E7DD9"/>
    <w:rsid w:val="0010095E"/>
    <w:rsid w:val="00125B37"/>
    <w:rsid w:val="00163266"/>
    <w:rsid w:val="00187494"/>
    <w:rsid w:val="001E1179"/>
    <w:rsid w:val="001F32AE"/>
    <w:rsid w:val="00272D5A"/>
    <w:rsid w:val="002767FF"/>
    <w:rsid w:val="00277A55"/>
    <w:rsid w:val="002B18FE"/>
    <w:rsid w:val="002B5493"/>
    <w:rsid w:val="003072F8"/>
    <w:rsid w:val="00343214"/>
    <w:rsid w:val="00361C00"/>
    <w:rsid w:val="003736E0"/>
    <w:rsid w:val="00395FA1"/>
    <w:rsid w:val="003C11B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383E"/>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582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5590"/>
    <w:rsid w:val="00E365E1"/>
    <w:rsid w:val="00E820A4"/>
    <w:rsid w:val="00EB006A"/>
    <w:rsid w:val="00EB4772"/>
    <w:rsid w:val="00ED169E"/>
    <w:rsid w:val="00ED4235"/>
    <w:rsid w:val="00EE4312"/>
    <w:rsid w:val="00F04346"/>
    <w:rsid w:val="00F075DC"/>
    <w:rsid w:val="00F149E9"/>
    <w:rsid w:val="00F5134D"/>
    <w:rsid w:val="00F60C3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1BEDA10-78A9-488F-B71A-35740C206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7A55"/>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E1179"/>
    <w:rPr>
      <w:b/>
      <w:kern w:val="28"/>
      <w:sz w:val="28"/>
      <w:lang w:val="fr-FR" w:eastAsia="fr-FR"/>
    </w:rPr>
  </w:style>
  <w:style w:type="character" w:customStyle="1" w:styleId="Heading2Char">
    <w:name w:val="Heading 2 Char"/>
    <w:basedOn w:val="DefaultParagraphFont"/>
    <w:link w:val="Heading2"/>
    <w:semiHidden/>
    <w:rsid w:val="001E1179"/>
    <w:rPr>
      <w:sz w:val="24"/>
      <w:lang w:val="fr-FR" w:eastAsia="fr-FR"/>
    </w:rPr>
  </w:style>
  <w:style w:type="character" w:customStyle="1" w:styleId="Heading3Char">
    <w:name w:val="Heading 3 Char"/>
    <w:basedOn w:val="DefaultParagraphFont"/>
    <w:link w:val="Heading3"/>
    <w:semiHidden/>
    <w:rsid w:val="001E1179"/>
    <w:rPr>
      <w:rFonts w:ascii="Arial" w:hAnsi="Arial"/>
      <w:sz w:val="24"/>
      <w:lang w:val="fr-FR" w:eastAsia="fr-FR"/>
    </w:rPr>
  </w:style>
  <w:style w:type="character" w:customStyle="1" w:styleId="Heading4Char">
    <w:name w:val="Heading 4 Char"/>
    <w:basedOn w:val="DefaultParagraphFont"/>
    <w:link w:val="Heading4"/>
    <w:semiHidden/>
    <w:rsid w:val="001E1179"/>
    <w:rPr>
      <w:sz w:val="24"/>
      <w:lang w:val="en-US" w:eastAsia="fr-FR"/>
    </w:rPr>
  </w:style>
  <w:style w:type="character" w:customStyle="1" w:styleId="Heading5Char">
    <w:name w:val="Heading 5 Char"/>
    <w:basedOn w:val="DefaultParagraphFont"/>
    <w:link w:val="Heading5"/>
    <w:semiHidden/>
    <w:rsid w:val="001E1179"/>
    <w:rPr>
      <w:sz w:val="24"/>
      <w:lang w:val="en-US" w:eastAsia="fr-FR"/>
    </w:rPr>
  </w:style>
  <w:style w:type="character" w:customStyle="1" w:styleId="Heading6Char">
    <w:name w:val="Heading 6 Char"/>
    <w:basedOn w:val="DefaultParagraphFont"/>
    <w:link w:val="Heading6"/>
    <w:semiHidden/>
    <w:rsid w:val="001E1179"/>
    <w:rPr>
      <w:i/>
      <w:sz w:val="22"/>
      <w:lang w:val="fi-FI"/>
    </w:rPr>
  </w:style>
  <w:style w:type="character" w:customStyle="1" w:styleId="Heading7Char">
    <w:name w:val="Heading 7 Char"/>
    <w:basedOn w:val="DefaultParagraphFont"/>
    <w:link w:val="Heading7"/>
    <w:semiHidden/>
    <w:rsid w:val="001E1179"/>
    <w:rPr>
      <w:rFonts w:ascii="Arial" w:hAnsi="Arial"/>
      <w:sz w:val="24"/>
      <w:lang w:val="fi-FI"/>
    </w:rPr>
  </w:style>
  <w:style w:type="character" w:customStyle="1" w:styleId="Heading8Char">
    <w:name w:val="Heading 8 Char"/>
    <w:basedOn w:val="DefaultParagraphFont"/>
    <w:link w:val="Heading8"/>
    <w:semiHidden/>
    <w:rsid w:val="001E1179"/>
    <w:rPr>
      <w:rFonts w:ascii="Arial" w:hAnsi="Arial"/>
      <w:i/>
      <w:sz w:val="24"/>
      <w:lang w:val="fi-FI"/>
    </w:rPr>
  </w:style>
  <w:style w:type="character" w:customStyle="1" w:styleId="Heading9Char">
    <w:name w:val="Heading 9 Char"/>
    <w:basedOn w:val="DefaultParagraphFont"/>
    <w:link w:val="Heading9"/>
    <w:semiHidden/>
    <w:rsid w:val="001E1179"/>
    <w:rPr>
      <w:rFonts w:ascii="Arial" w:hAnsi="Arial"/>
      <w:b/>
      <w:i/>
      <w:sz w:val="18"/>
      <w:lang w:val="fi-FI"/>
    </w:rPr>
  </w:style>
  <w:style w:type="paragraph" w:styleId="TOCHeading">
    <w:name w:val="TOC Heading"/>
    <w:basedOn w:val="Normal"/>
    <w:next w:val="Normal"/>
    <w:uiPriority w:val="39"/>
    <w:unhideWhenUsed/>
    <w:qFormat/>
    <w:rsid w:val="001E1179"/>
    <w:pPr>
      <w:widowControl/>
      <w:spacing w:after="240"/>
    </w:pPr>
    <w:rPr>
      <w:lang w:val="en-GB"/>
    </w:rPr>
  </w:style>
  <w:style w:type="paragraph" w:customStyle="1" w:styleId="EPFooter2">
    <w:name w:val="EPFooter2"/>
    <w:basedOn w:val="Normal"/>
    <w:next w:val="Normal"/>
    <w:rsid w:val="001E117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E1179"/>
    <w:pPr>
      <w:keepNext/>
      <w:spacing w:after="240"/>
      <w:jc w:val="right"/>
    </w:pPr>
    <w:rPr>
      <w:rFonts w:ascii="Arial" w:hAnsi="Arial"/>
      <w:b/>
    </w:rPr>
  </w:style>
  <w:style w:type="paragraph" w:customStyle="1" w:styleId="Normal6a">
    <w:name w:val="Normal6a"/>
    <w:basedOn w:val="Normal"/>
    <w:rsid w:val="001E1179"/>
    <w:pPr>
      <w:spacing w:after="120"/>
    </w:pPr>
  </w:style>
  <w:style w:type="paragraph" w:customStyle="1" w:styleId="PageHeading">
    <w:name w:val="PageHeading"/>
    <w:basedOn w:val="Normal"/>
    <w:rsid w:val="001E1179"/>
    <w:pPr>
      <w:keepNext/>
      <w:spacing w:after="480"/>
      <w:jc w:val="center"/>
    </w:pPr>
    <w:rPr>
      <w:rFonts w:ascii="Arial" w:hAnsi="Arial" w:cs="Arial"/>
      <w:b/>
    </w:rPr>
  </w:style>
  <w:style w:type="paragraph" w:customStyle="1" w:styleId="NormalBold">
    <w:name w:val="NormalBold"/>
    <w:basedOn w:val="Normal"/>
    <w:link w:val="NormalBoldChar"/>
    <w:rsid w:val="001E1179"/>
    <w:rPr>
      <w:b/>
    </w:rPr>
  </w:style>
  <w:style w:type="paragraph" w:customStyle="1" w:styleId="NormalBold12a">
    <w:name w:val="NormalBold12a"/>
    <w:basedOn w:val="Normal"/>
    <w:rsid w:val="001E1179"/>
    <w:pPr>
      <w:spacing w:after="240"/>
    </w:pPr>
    <w:rPr>
      <w:b/>
    </w:rPr>
  </w:style>
  <w:style w:type="paragraph" w:customStyle="1" w:styleId="AmJustText">
    <w:name w:val="AmJustText"/>
    <w:basedOn w:val="Normal"/>
    <w:rsid w:val="001E1179"/>
    <w:pPr>
      <w:spacing w:after="240"/>
    </w:pPr>
    <w:rPr>
      <w:i/>
    </w:rPr>
  </w:style>
  <w:style w:type="paragraph" w:customStyle="1" w:styleId="NormalHanging12a">
    <w:name w:val="NormalHanging12a"/>
    <w:basedOn w:val="Normal"/>
    <w:rsid w:val="001E1179"/>
    <w:pPr>
      <w:spacing w:after="240"/>
      <w:ind w:left="567" w:hanging="567"/>
    </w:pPr>
  </w:style>
  <w:style w:type="paragraph" w:customStyle="1" w:styleId="CoverNormal24a">
    <w:name w:val="CoverNormal24a"/>
    <w:basedOn w:val="Normal"/>
    <w:rsid w:val="001E1179"/>
    <w:pPr>
      <w:spacing w:after="480"/>
      <w:ind w:left="1417"/>
    </w:pPr>
  </w:style>
  <w:style w:type="paragraph" w:customStyle="1" w:styleId="CoverNormal">
    <w:name w:val="CoverNormal"/>
    <w:basedOn w:val="Normal"/>
    <w:rsid w:val="001E1179"/>
    <w:pPr>
      <w:ind w:left="1418"/>
    </w:pPr>
  </w:style>
  <w:style w:type="paragraph" w:customStyle="1" w:styleId="AmCrossRef">
    <w:name w:val="AmCrossRef"/>
    <w:basedOn w:val="Normal"/>
    <w:rsid w:val="001E1179"/>
    <w:pPr>
      <w:spacing w:before="240" w:after="240"/>
      <w:jc w:val="center"/>
    </w:pPr>
    <w:rPr>
      <w:i/>
    </w:rPr>
  </w:style>
  <w:style w:type="paragraph" w:customStyle="1" w:styleId="AmJustTitle">
    <w:name w:val="AmJustTitle"/>
    <w:basedOn w:val="Normal"/>
    <w:next w:val="AmJustText"/>
    <w:rsid w:val="001E1179"/>
    <w:pPr>
      <w:keepNext/>
      <w:spacing w:before="240" w:after="240"/>
      <w:jc w:val="center"/>
    </w:pPr>
    <w:rPr>
      <w:i/>
    </w:rPr>
  </w:style>
  <w:style w:type="paragraph" w:customStyle="1" w:styleId="CoverReference">
    <w:name w:val="CoverReference"/>
    <w:basedOn w:val="Normal"/>
    <w:rsid w:val="001E1179"/>
    <w:pPr>
      <w:spacing w:before="1080"/>
      <w:jc w:val="right"/>
    </w:pPr>
    <w:rPr>
      <w:rFonts w:ascii="Arial" w:hAnsi="Arial" w:cs="Arial"/>
      <w:b/>
    </w:rPr>
  </w:style>
  <w:style w:type="paragraph" w:customStyle="1" w:styleId="CoverDocType">
    <w:name w:val="CoverDocType"/>
    <w:basedOn w:val="Normal"/>
    <w:rsid w:val="001E1179"/>
    <w:pPr>
      <w:ind w:left="1418"/>
    </w:pPr>
    <w:rPr>
      <w:rFonts w:ascii="Arial" w:hAnsi="Arial"/>
      <w:b/>
      <w:sz w:val="48"/>
    </w:rPr>
  </w:style>
  <w:style w:type="paragraph" w:customStyle="1" w:styleId="CoverDocType24a">
    <w:name w:val="CoverDocType24a"/>
    <w:basedOn w:val="Normal"/>
    <w:rsid w:val="001E1179"/>
    <w:pPr>
      <w:spacing w:after="480"/>
      <w:ind w:left="1418"/>
    </w:pPr>
    <w:rPr>
      <w:rFonts w:ascii="Arial" w:hAnsi="Arial"/>
      <w:b/>
      <w:sz w:val="48"/>
    </w:rPr>
  </w:style>
  <w:style w:type="paragraph" w:customStyle="1" w:styleId="CoverDate">
    <w:name w:val="CoverDate"/>
    <w:basedOn w:val="Normal"/>
    <w:rsid w:val="001E1179"/>
    <w:pPr>
      <w:spacing w:before="240" w:after="1200"/>
    </w:pPr>
  </w:style>
  <w:style w:type="paragraph" w:styleId="Header">
    <w:name w:val="header"/>
    <w:basedOn w:val="Normal"/>
    <w:link w:val="HeaderChar"/>
    <w:rsid w:val="001E1179"/>
    <w:pPr>
      <w:tabs>
        <w:tab w:val="center" w:pos="4513"/>
        <w:tab w:val="right" w:pos="9026"/>
      </w:tabs>
    </w:pPr>
  </w:style>
  <w:style w:type="character" w:customStyle="1" w:styleId="HeaderChar">
    <w:name w:val="Header Char"/>
    <w:basedOn w:val="DefaultParagraphFont"/>
    <w:link w:val="Header"/>
    <w:rsid w:val="001E1179"/>
    <w:rPr>
      <w:sz w:val="24"/>
      <w:lang w:val="fi-FI"/>
    </w:rPr>
  </w:style>
  <w:style w:type="paragraph" w:customStyle="1" w:styleId="AmOrLang">
    <w:name w:val="AmOrLang"/>
    <w:basedOn w:val="Normal"/>
    <w:rsid w:val="001E1179"/>
    <w:pPr>
      <w:spacing w:before="240" w:after="240"/>
      <w:jc w:val="right"/>
    </w:pPr>
  </w:style>
  <w:style w:type="paragraph" w:customStyle="1" w:styleId="AmColumnHeading">
    <w:name w:val="AmColumnHeading"/>
    <w:basedOn w:val="Normal"/>
    <w:rsid w:val="001E1179"/>
    <w:pPr>
      <w:spacing w:after="240"/>
      <w:jc w:val="center"/>
    </w:pPr>
    <w:rPr>
      <w:i/>
    </w:rPr>
  </w:style>
  <w:style w:type="paragraph" w:customStyle="1" w:styleId="AmNumberTabs">
    <w:name w:val="AmNumberTabs"/>
    <w:basedOn w:val="Normal"/>
    <w:rsid w:val="00277A55"/>
    <w:pPr>
      <w:keepNext/>
      <w:spacing w:before="240"/>
    </w:pPr>
    <w:rPr>
      <w:b/>
    </w:rPr>
  </w:style>
  <w:style w:type="paragraph" w:customStyle="1" w:styleId="NormalBold12b">
    <w:name w:val="NormalBold12b"/>
    <w:basedOn w:val="Normal"/>
    <w:link w:val="NormalBold12bChar"/>
    <w:rsid w:val="001E1179"/>
    <w:pPr>
      <w:spacing w:before="240"/>
    </w:pPr>
    <w:rPr>
      <w:b/>
    </w:rPr>
  </w:style>
  <w:style w:type="paragraph" w:customStyle="1" w:styleId="EPBody">
    <w:name w:val="EPBody"/>
    <w:basedOn w:val="Normal"/>
    <w:rsid w:val="001E1179"/>
    <w:pPr>
      <w:jc w:val="center"/>
    </w:pPr>
    <w:rPr>
      <w:rFonts w:ascii="Arial" w:hAnsi="Arial" w:cs="Arial"/>
      <w:i/>
      <w:sz w:val="22"/>
      <w:szCs w:val="22"/>
    </w:rPr>
  </w:style>
  <w:style w:type="paragraph" w:customStyle="1" w:styleId="EPFooter">
    <w:name w:val="EPFooter"/>
    <w:basedOn w:val="Normal"/>
    <w:rsid w:val="001E1179"/>
    <w:pPr>
      <w:tabs>
        <w:tab w:val="center" w:pos="4535"/>
        <w:tab w:val="right" w:pos="9071"/>
      </w:tabs>
      <w:spacing w:before="240" w:after="240"/>
    </w:pPr>
    <w:rPr>
      <w:color w:val="010000"/>
      <w:sz w:val="22"/>
    </w:rPr>
  </w:style>
  <w:style w:type="paragraph" w:customStyle="1" w:styleId="EPComma">
    <w:name w:val="EPComma"/>
    <w:basedOn w:val="Normal"/>
    <w:rsid w:val="001E1179"/>
    <w:pPr>
      <w:spacing w:before="480" w:after="240"/>
    </w:pPr>
  </w:style>
  <w:style w:type="paragraph" w:customStyle="1" w:styleId="Lgendesigne">
    <w:name w:val="Légende signe"/>
    <w:basedOn w:val="Normal"/>
    <w:rsid w:val="001E1179"/>
    <w:pPr>
      <w:tabs>
        <w:tab w:val="right" w:pos="454"/>
        <w:tab w:val="left" w:pos="737"/>
      </w:tabs>
      <w:ind w:left="737" w:hanging="737"/>
    </w:pPr>
    <w:rPr>
      <w:snapToGrid w:val="0"/>
      <w:sz w:val="18"/>
      <w:lang w:eastAsia="en-US"/>
    </w:rPr>
  </w:style>
  <w:style w:type="paragraph" w:customStyle="1" w:styleId="Lgendetitre">
    <w:name w:val="Légende titre"/>
    <w:basedOn w:val="Normal"/>
    <w:rsid w:val="001E1179"/>
    <w:pPr>
      <w:spacing w:before="240" w:after="240"/>
    </w:pPr>
    <w:rPr>
      <w:b/>
      <w:i/>
      <w:snapToGrid w:val="0"/>
      <w:lang w:eastAsia="en-US"/>
    </w:rPr>
  </w:style>
  <w:style w:type="paragraph" w:customStyle="1" w:styleId="Lgendestandard">
    <w:name w:val="Légende standard"/>
    <w:basedOn w:val="Normal"/>
    <w:rsid w:val="001E1179"/>
    <w:rPr>
      <w:sz w:val="18"/>
    </w:rPr>
  </w:style>
  <w:style w:type="character" w:customStyle="1" w:styleId="Normal6Char">
    <w:name w:val="Normal6 Char"/>
    <w:link w:val="Normal6"/>
    <w:locked/>
    <w:rsid w:val="001E1179"/>
    <w:rPr>
      <w:sz w:val="24"/>
      <w:lang w:val="fi-FI"/>
    </w:rPr>
  </w:style>
  <w:style w:type="paragraph" w:customStyle="1" w:styleId="Normal6">
    <w:name w:val="Normal6"/>
    <w:basedOn w:val="Normal"/>
    <w:link w:val="Normal6Char"/>
    <w:rsid w:val="001E1179"/>
    <w:pPr>
      <w:spacing w:after="120"/>
    </w:pPr>
  </w:style>
  <w:style w:type="character" w:customStyle="1" w:styleId="NormalBoldChar">
    <w:name w:val="NormalBold Char"/>
    <w:link w:val="NormalBold"/>
    <w:locked/>
    <w:rsid w:val="001E1179"/>
    <w:rPr>
      <w:b/>
      <w:sz w:val="24"/>
      <w:lang w:val="fi-FI"/>
    </w:rPr>
  </w:style>
  <w:style w:type="paragraph" w:customStyle="1" w:styleId="ColumnHeading">
    <w:name w:val="ColumnHeading"/>
    <w:basedOn w:val="Normal"/>
    <w:rsid w:val="001E1179"/>
    <w:pPr>
      <w:spacing w:after="240"/>
      <w:jc w:val="center"/>
    </w:pPr>
    <w:rPr>
      <w:i/>
    </w:rPr>
  </w:style>
  <w:style w:type="paragraph" w:customStyle="1" w:styleId="AMNumberTabs0">
    <w:name w:val="AMNumberTabs"/>
    <w:basedOn w:val="Normal"/>
    <w:rsid w:val="001E11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E1179"/>
    <w:pPr>
      <w:jc w:val="right"/>
    </w:pPr>
    <w:rPr>
      <w:lang w:val="fi-FI"/>
    </w:rPr>
  </w:style>
  <w:style w:type="paragraph" w:styleId="NormalWeb">
    <w:name w:val="Normal (Web)"/>
    <w:basedOn w:val="Normal"/>
    <w:uiPriority w:val="99"/>
    <w:unhideWhenUsed/>
    <w:rsid w:val="001E1179"/>
    <w:pPr>
      <w:widowControl/>
      <w:spacing w:before="100" w:beforeAutospacing="1" w:after="100" w:afterAutospacing="1"/>
    </w:pPr>
    <w:rPr>
      <w:szCs w:val="24"/>
    </w:rPr>
  </w:style>
  <w:style w:type="paragraph" w:styleId="ListParagraph">
    <w:name w:val="List Paragraph"/>
    <w:basedOn w:val="Normal"/>
    <w:uiPriority w:val="34"/>
    <w:qFormat/>
    <w:rsid w:val="001E1179"/>
    <w:pPr>
      <w:widowControl/>
      <w:ind w:left="720"/>
      <w:contextualSpacing/>
      <w:jc w:val="both"/>
    </w:pPr>
    <w:rPr>
      <w:rFonts w:eastAsiaTheme="minorHAnsi"/>
      <w:szCs w:val="24"/>
      <w:lang w:eastAsia="en-US"/>
    </w:rPr>
  </w:style>
  <w:style w:type="paragraph" w:styleId="BalloonText">
    <w:name w:val="Balloon Text"/>
    <w:basedOn w:val="Normal"/>
    <w:link w:val="BalloonTextChar"/>
    <w:unhideWhenUsed/>
    <w:rsid w:val="001E1179"/>
    <w:rPr>
      <w:rFonts w:ascii="Segoe UI" w:hAnsi="Segoe UI" w:cs="Segoe UI"/>
      <w:sz w:val="18"/>
      <w:szCs w:val="18"/>
    </w:rPr>
  </w:style>
  <w:style w:type="character" w:customStyle="1" w:styleId="BalloonTextChar">
    <w:name w:val="Balloon Text Char"/>
    <w:basedOn w:val="DefaultParagraphFont"/>
    <w:link w:val="BalloonText"/>
    <w:rsid w:val="001E1179"/>
    <w:rPr>
      <w:rFonts w:ascii="Segoe UI" w:hAnsi="Segoe UI" w:cs="Segoe UI"/>
      <w:sz w:val="18"/>
      <w:szCs w:val="18"/>
      <w:lang w:val="fi-FI"/>
    </w:rPr>
  </w:style>
  <w:style w:type="character" w:styleId="CommentReference">
    <w:name w:val="annotation reference"/>
    <w:basedOn w:val="DefaultParagraphFont"/>
    <w:rsid w:val="001E1179"/>
    <w:rPr>
      <w:sz w:val="16"/>
      <w:szCs w:val="16"/>
    </w:rPr>
  </w:style>
  <w:style w:type="paragraph" w:styleId="CommentText">
    <w:name w:val="annotation text"/>
    <w:basedOn w:val="Normal"/>
    <w:link w:val="CommentTextChar"/>
    <w:rsid w:val="001E1179"/>
    <w:rPr>
      <w:sz w:val="20"/>
    </w:rPr>
  </w:style>
  <w:style w:type="character" w:customStyle="1" w:styleId="CommentTextChar">
    <w:name w:val="Comment Text Char"/>
    <w:basedOn w:val="DefaultParagraphFont"/>
    <w:link w:val="CommentText"/>
    <w:rsid w:val="001E1179"/>
    <w:rPr>
      <w:lang w:val="fi-FI"/>
    </w:rPr>
  </w:style>
  <w:style w:type="paragraph" w:styleId="CommentSubject">
    <w:name w:val="annotation subject"/>
    <w:basedOn w:val="CommentText"/>
    <w:next w:val="CommentText"/>
    <w:link w:val="CommentSubjectChar"/>
    <w:unhideWhenUsed/>
    <w:rsid w:val="001E1179"/>
    <w:rPr>
      <w:b/>
      <w:bCs/>
    </w:rPr>
  </w:style>
  <w:style w:type="character" w:customStyle="1" w:styleId="CommentSubjectChar">
    <w:name w:val="Comment Subject Char"/>
    <w:basedOn w:val="CommentTextChar"/>
    <w:link w:val="CommentSubject"/>
    <w:rsid w:val="001E1179"/>
    <w:rPr>
      <w:b/>
      <w:bCs/>
      <w:lang w:val="fi-FI"/>
    </w:rPr>
  </w:style>
  <w:style w:type="character" w:customStyle="1" w:styleId="NormalBold12bChar">
    <w:name w:val="NormalBold12b Char"/>
    <w:basedOn w:val="DefaultParagraphFont"/>
    <w:link w:val="NormalBold12b"/>
    <w:rsid w:val="001E1179"/>
    <w:rPr>
      <w:b/>
      <w:sz w:val="24"/>
      <w:lang w:val="fi-FI"/>
    </w:rPr>
  </w:style>
  <w:style w:type="paragraph" w:styleId="Revision">
    <w:name w:val="Revision"/>
    <w:hidden/>
    <w:uiPriority w:val="99"/>
    <w:semiHidden/>
    <w:rsid w:val="001E1179"/>
    <w:rPr>
      <w:sz w:val="24"/>
      <w:lang w:val="fi-FI"/>
    </w:rPr>
  </w:style>
  <w:style w:type="paragraph" w:customStyle="1" w:styleId="Normal24a">
    <w:name w:val="Normal24a"/>
    <w:basedOn w:val="Normal"/>
    <w:rsid w:val="001E1179"/>
    <w:pPr>
      <w:spacing w:after="480"/>
    </w:pPr>
  </w:style>
  <w:style w:type="paragraph" w:customStyle="1" w:styleId="NormalBoldCenter">
    <w:name w:val="NormalBoldCenter"/>
    <w:basedOn w:val="Normal"/>
    <w:rsid w:val="001E1179"/>
    <w:pPr>
      <w:jc w:val="center"/>
    </w:pPr>
    <w:rPr>
      <w:b/>
    </w:rPr>
  </w:style>
  <w:style w:type="paragraph" w:customStyle="1" w:styleId="Footprint12b">
    <w:name w:val="Footprint12b"/>
    <w:basedOn w:val="Normal"/>
    <w:rsid w:val="001E1179"/>
    <w:pPr>
      <w:spacing w:before="240"/>
    </w:pPr>
    <w:rPr>
      <w:szCs w:val="24"/>
    </w:rPr>
  </w:style>
  <w:style w:type="paragraph" w:customStyle="1" w:styleId="NormalSingle">
    <w:name w:val="NormalSingle"/>
    <w:basedOn w:val="Normal"/>
    <w:qFormat/>
    <w:rsid w:val="001E1179"/>
    <w:rPr>
      <w:szCs w:val="24"/>
    </w:rPr>
  </w:style>
  <w:style w:type="character" w:styleId="Hyperlink">
    <w:name w:val="Hyperlink"/>
    <w:basedOn w:val="DefaultParagraphFont"/>
    <w:rsid w:val="001E1179"/>
    <w:rPr>
      <w:color w:val="0563C1" w:themeColor="hyperlink"/>
      <w:u w:val="single"/>
    </w:rPr>
  </w:style>
  <w:style w:type="paragraph" w:customStyle="1" w:styleId="Normal12a">
    <w:name w:val="Normal12a"/>
    <w:basedOn w:val="Normal"/>
    <w:rsid w:val="001E1179"/>
    <w:pPr>
      <w:spacing w:after="240"/>
    </w:pPr>
  </w:style>
  <w:style w:type="paragraph" w:customStyle="1" w:styleId="PageHeadingNotTOC">
    <w:name w:val="PageHeadingNotTOC"/>
    <w:basedOn w:val="Normal"/>
    <w:rsid w:val="001E1179"/>
    <w:pPr>
      <w:keepNext/>
      <w:spacing w:after="480"/>
      <w:jc w:val="center"/>
    </w:pPr>
    <w:rPr>
      <w:rFonts w:ascii="Arial" w:hAnsi="Arial" w:cs="Arial"/>
      <w:b/>
    </w:rPr>
  </w:style>
  <w:style w:type="paragraph" w:customStyle="1" w:styleId="AmHeadingPA">
    <w:name w:val="AmHeadingPA"/>
    <w:basedOn w:val="Normal"/>
    <w:next w:val="Normal"/>
    <w:rsid w:val="001E1179"/>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1E1179"/>
    <w:pPr>
      <w:spacing w:after="240"/>
    </w:pPr>
    <w:rPr>
      <w:i/>
      <w:noProof/>
    </w:rPr>
  </w:style>
  <w:style w:type="paragraph" w:customStyle="1" w:styleId="JustificationTitle">
    <w:name w:val="JustificationTitle"/>
    <w:basedOn w:val="Normal"/>
    <w:next w:val="Normal"/>
    <w:rsid w:val="001E1179"/>
    <w:pPr>
      <w:keepNext/>
      <w:spacing w:before="240" w:after="240"/>
      <w:jc w:val="center"/>
    </w:pPr>
    <w:rPr>
      <w:i/>
      <w:noProof/>
    </w:rPr>
  </w:style>
  <w:style w:type="paragraph" w:customStyle="1" w:styleId="Text1">
    <w:name w:val="Text 1"/>
    <w:basedOn w:val="Normal"/>
    <w:rsid w:val="001E1179"/>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1E117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E1179"/>
    <w:pPr>
      <w:tabs>
        <w:tab w:val="center" w:pos="284"/>
        <w:tab w:val="left" w:pos="426"/>
      </w:tabs>
    </w:pPr>
    <w:rPr>
      <w:snapToGrid w:val="0"/>
      <w:lang w:eastAsia="en-US"/>
    </w:rPr>
  </w:style>
  <w:style w:type="paragraph" w:customStyle="1" w:styleId="RollCallVotes">
    <w:name w:val="RollCallVotes"/>
    <w:basedOn w:val="Normal"/>
    <w:rsid w:val="001E1179"/>
    <w:pPr>
      <w:spacing w:before="120" w:after="120"/>
      <w:jc w:val="center"/>
    </w:pPr>
    <w:rPr>
      <w:b/>
      <w:bCs/>
      <w:snapToGrid w:val="0"/>
      <w:sz w:val="16"/>
      <w:lang w:eastAsia="en-US"/>
    </w:rPr>
  </w:style>
  <w:style w:type="paragraph" w:customStyle="1" w:styleId="RollCallTable">
    <w:name w:val="RollCallTable"/>
    <w:basedOn w:val="Normal"/>
    <w:rsid w:val="001E1179"/>
    <w:pPr>
      <w:spacing w:before="120" w:after="120"/>
    </w:pPr>
    <w:rPr>
      <w:snapToGrid w:val="0"/>
      <w:sz w:val="16"/>
      <w:lang w:eastAsia="en-US"/>
    </w:rPr>
  </w:style>
  <w:style w:type="character" w:styleId="FollowedHyperlink">
    <w:name w:val="FollowedHyperlink"/>
    <w:basedOn w:val="DefaultParagraphFont"/>
    <w:uiPriority w:val="99"/>
    <w:unhideWhenUsed/>
    <w:rsid w:val="001E1179"/>
    <w:rPr>
      <w:color w:val="954F72" w:themeColor="followedHyperlink"/>
      <w:u w:val="single"/>
    </w:rPr>
  </w:style>
  <w:style w:type="paragraph" w:customStyle="1" w:styleId="msonormal0">
    <w:name w:val="msonormal"/>
    <w:basedOn w:val="Normal"/>
    <w:rsid w:val="001E1179"/>
    <w:pPr>
      <w:widowControl/>
      <w:spacing w:before="100" w:beforeAutospacing="1" w:after="100" w:afterAutospacing="1"/>
    </w:pPr>
    <w:rPr>
      <w:szCs w:val="24"/>
    </w:rPr>
  </w:style>
  <w:style w:type="character" w:customStyle="1" w:styleId="Normal12Char">
    <w:name w:val="Normal12 Char"/>
    <w:basedOn w:val="DefaultParagraphFont"/>
    <w:link w:val="Normal12"/>
    <w:locked/>
    <w:rsid w:val="001E1179"/>
    <w:rPr>
      <w:noProof/>
      <w:sz w:val="24"/>
    </w:rPr>
  </w:style>
  <w:style w:type="paragraph" w:customStyle="1" w:styleId="Normal12">
    <w:name w:val="Normal12"/>
    <w:basedOn w:val="Normal"/>
    <w:link w:val="Normal12Char"/>
    <w:rsid w:val="001E1179"/>
    <w:pPr>
      <w:spacing w:after="240"/>
    </w:pPr>
    <w:rPr>
      <w:noProof/>
      <w:lang w:val="en-GB"/>
    </w:rPr>
  </w:style>
  <w:style w:type="paragraph" w:customStyle="1" w:styleId="CommitteeAM">
    <w:name w:val="CommitteeAM"/>
    <w:basedOn w:val="Normal"/>
    <w:rsid w:val="001E1179"/>
    <w:pPr>
      <w:spacing w:before="240" w:after="600"/>
      <w:jc w:val="center"/>
    </w:pPr>
    <w:rPr>
      <w:i/>
    </w:rPr>
  </w:style>
  <w:style w:type="paragraph" w:customStyle="1" w:styleId="ZDateAM">
    <w:name w:val="ZDateAM"/>
    <w:basedOn w:val="Normal"/>
    <w:rsid w:val="001E1179"/>
    <w:pPr>
      <w:tabs>
        <w:tab w:val="right" w:pos="9356"/>
      </w:tabs>
      <w:spacing w:after="480"/>
    </w:pPr>
    <w:rPr>
      <w:noProof/>
    </w:rPr>
  </w:style>
  <w:style w:type="paragraph" w:customStyle="1" w:styleId="ProjRap">
    <w:name w:val="ProjRap"/>
    <w:basedOn w:val="Normal"/>
    <w:rsid w:val="001E1179"/>
    <w:pPr>
      <w:tabs>
        <w:tab w:val="right" w:pos="9356"/>
      </w:tabs>
    </w:pPr>
    <w:rPr>
      <w:b/>
      <w:noProof/>
    </w:rPr>
  </w:style>
  <w:style w:type="paragraph" w:customStyle="1" w:styleId="PELeft">
    <w:name w:val="PELeft"/>
    <w:basedOn w:val="Normal"/>
    <w:rsid w:val="001E1179"/>
    <w:pPr>
      <w:spacing w:before="40" w:after="40"/>
    </w:pPr>
    <w:rPr>
      <w:rFonts w:ascii="Arial" w:hAnsi="Arial" w:cs="Arial"/>
      <w:sz w:val="22"/>
      <w:szCs w:val="22"/>
    </w:rPr>
  </w:style>
  <w:style w:type="paragraph" w:customStyle="1" w:styleId="PERight">
    <w:name w:val="PERight"/>
    <w:basedOn w:val="Normal"/>
    <w:next w:val="Normal"/>
    <w:rsid w:val="001E1179"/>
    <w:pPr>
      <w:jc w:val="right"/>
    </w:pPr>
    <w:rPr>
      <w:rFonts w:ascii="Arial" w:hAnsi="Arial" w:cs="Arial"/>
      <w:sz w:val="22"/>
      <w:szCs w:val="22"/>
    </w:rPr>
  </w:style>
  <w:style w:type="paragraph" w:customStyle="1" w:styleId="CrossRef">
    <w:name w:val="CrossRef"/>
    <w:basedOn w:val="Normal"/>
    <w:rsid w:val="001E1179"/>
    <w:pPr>
      <w:spacing w:before="240"/>
      <w:jc w:val="center"/>
    </w:pPr>
    <w:rPr>
      <w:i/>
    </w:rPr>
  </w:style>
  <w:style w:type="character" w:customStyle="1" w:styleId="Footer2Middle">
    <w:name w:val="Footer2Middle"/>
    <w:rsid w:val="001E1179"/>
    <w:rPr>
      <w:rFonts w:ascii="Arial" w:hAnsi="Arial" w:cs="Arial" w:hint="default"/>
      <w:b w:val="0"/>
      <w:bCs w:val="0"/>
      <w:i/>
      <w:iCs w:val="0"/>
      <w:color w:val="C0C0C0"/>
      <w:sz w:val="22"/>
    </w:rPr>
  </w:style>
  <w:style w:type="paragraph" w:customStyle="1" w:styleId="EntPE">
    <w:name w:val="EntPE"/>
    <w:basedOn w:val="Normal12"/>
    <w:rsid w:val="001E1179"/>
    <w:pPr>
      <w:jc w:val="center"/>
    </w:pPr>
    <w:rPr>
      <w:noProof w:val="0"/>
      <w:sz w:val="56"/>
    </w:rPr>
  </w:style>
  <w:style w:type="paragraph" w:customStyle="1" w:styleId="CoverBold">
    <w:name w:val="CoverBold"/>
    <w:basedOn w:val="Normal"/>
    <w:rsid w:val="001E1179"/>
    <w:pPr>
      <w:ind w:left="1416"/>
    </w:pPr>
    <w:rPr>
      <w:b/>
      <w:szCs w:val="24"/>
      <w:lang w:eastAsia="en-US"/>
    </w:rPr>
  </w:style>
  <w:style w:type="character" w:customStyle="1" w:styleId="EPFooter2Motto">
    <w:name w:val="EPFooter2Motto"/>
    <w:rsid w:val="001E1179"/>
    <w:rPr>
      <w:rFonts w:ascii="Arial" w:hAnsi="Arial"/>
      <w:b/>
      <w:i/>
      <w:color w:val="C0C0C0"/>
      <w:sz w:val="22"/>
    </w:rPr>
  </w:style>
  <w:style w:type="paragraph" w:customStyle="1" w:styleId="NormalBold12b12a">
    <w:name w:val="NormalBold12b12a"/>
    <w:basedOn w:val="Normal"/>
    <w:next w:val="NormalBold"/>
    <w:rsid w:val="001E1179"/>
    <w:pPr>
      <w:spacing w:before="240" w:after="240"/>
    </w:pPr>
    <w:rPr>
      <w:b/>
      <w:szCs w:val="24"/>
      <w:lang w:eastAsia="en-US"/>
    </w:rPr>
  </w:style>
  <w:style w:type="paragraph" w:customStyle="1" w:styleId="EPFooterLandscape">
    <w:name w:val="EPFooterLandscape"/>
    <w:rsid w:val="001E1179"/>
    <w:pPr>
      <w:widowControl w:val="0"/>
      <w:tabs>
        <w:tab w:val="center" w:pos="6800"/>
        <w:tab w:val="right" w:pos="15020"/>
      </w:tabs>
    </w:pPr>
    <w:rPr>
      <w:sz w:val="22"/>
      <w:lang w:val="fi-FI" w:eastAsia="en-US"/>
    </w:rPr>
  </w:style>
  <w:style w:type="paragraph" w:customStyle="1" w:styleId="Normal0">
    <w:name w:val="Normal0"/>
    <w:basedOn w:val="Normal"/>
    <w:rsid w:val="001E1179"/>
    <w:rPr>
      <w:sz w:val="0"/>
      <w:szCs w:val="24"/>
      <w:lang w:eastAsia="en-US"/>
    </w:rPr>
  </w:style>
  <w:style w:type="paragraph" w:customStyle="1" w:styleId="EPFooter2Landscape">
    <w:name w:val="EPFooter2Landscape"/>
    <w:rsid w:val="001E1179"/>
    <w:pPr>
      <w:widowControl w:val="0"/>
      <w:tabs>
        <w:tab w:val="center" w:pos="4520"/>
        <w:tab w:val="center" w:pos="9920"/>
        <w:tab w:val="right" w:pos="15020"/>
      </w:tabs>
    </w:pPr>
    <w:rPr>
      <w:rFonts w:ascii="Arial" w:eastAsia="Arial" w:hAnsi="Arial" w:cs="Arial"/>
      <w:b/>
      <w:sz w:val="48"/>
      <w:lang w:val="fi-FI" w:eastAsia="en-US"/>
    </w:rPr>
  </w:style>
  <w:style w:type="character" w:customStyle="1" w:styleId="EPFooter2Middle">
    <w:name w:val="EPFooter2Middle"/>
    <w:rsid w:val="001E1179"/>
    <w:rPr>
      <w:rFonts w:ascii="Arial" w:hAnsi="Arial"/>
      <w:b w:val="0"/>
      <w:i/>
      <w:color w:val="AEAAAA"/>
      <w:sz w:val="22"/>
      <w:shd w:val="pct50" w:color="auto" w:fill="auto"/>
    </w:rPr>
  </w:style>
  <w:style w:type="paragraph" w:customStyle="1" w:styleId="PMissingStyle">
    <w:name w:val="P_MissingStyle"/>
    <w:basedOn w:val="Normal"/>
    <w:rsid w:val="001E1179"/>
    <w:rPr>
      <w:color w:val="FFFFFF"/>
      <w:szCs w:val="24"/>
      <w:shd w:val="clear" w:color="000000" w:fill="000000"/>
      <w:lang w:eastAsia="en-US"/>
    </w:rPr>
  </w:style>
  <w:style w:type="character" w:customStyle="1" w:styleId="CMissingStyle">
    <w:name w:val="C_MissingStyle"/>
    <w:rsid w:val="001E1179"/>
    <w:rPr>
      <w:color w:val="FFFFFF"/>
      <w:sz w:val="22"/>
      <w:shd w:val="clear" w:color="000000" w:fill="000000"/>
    </w:rPr>
  </w:style>
  <w:style w:type="character" w:customStyle="1" w:styleId="erpldocument-subtitle-author">
    <w:name w:val="erpl_document-subtitle-author"/>
    <w:basedOn w:val="DefaultParagraphFont"/>
    <w:rsid w:val="001E1179"/>
  </w:style>
  <w:style w:type="character" w:customStyle="1" w:styleId="StyleStrikethrough">
    <w:name w:val="Style Strikethrough"/>
    <w:basedOn w:val="DefaultParagraphFont"/>
    <w:rsid w:val="001E1179"/>
    <w:rPr>
      <w:strike/>
    </w:rPr>
  </w:style>
  <w:style w:type="paragraph" w:styleId="Footer">
    <w:name w:val="footer"/>
    <w:basedOn w:val="Normal"/>
    <w:link w:val="FooterChar"/>
    <w:rsid w:val="001E1179"/>
    <w:pPr>
      <w:tabs>
        <w:tab w:val="center" w:pos="4513"/>
        <w:tab w:val="right" w:pos="9026"/>
      </w:tabs>
    </w:pPr>
  </w:style>
  <w:style w:type="character" w:customStyle="1" w:styleId="FooterChar">
    <w:name w:val="Footer Char"/>
    <w:basedOn w:val="DefaultParagraphFont"/>
    <w:link w:val="Footer"/>
    <w:rsid w:val="001E1179"/>
    <w:rPr>
      <w:sz w:val="24"/>
      <w:lang w:val="fi-FI"/>
    </w:rPr>
  </w:style>
  <w:style w:type="paragraph" w:styleId="Title">
    <w:name w:val="Title"/>
    <w:basedOn w:val="Normal"/>
    <w:next w:val="Normal"/>
    <w:link w:val="TitleChar"/>
    <w:uiPriority w:val="10"/>
    <w:qFormat/>
    <w:rsid w:val="001E1179"/>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1E1179"/>
    <w:rPr>
      <w:rFonts w:ascii="Arial" w:eastAsiaTheme="majorEastAsia" w:hAnsi="Arial" w:cs="Arial"/>
      <w:b/>
      <w:bCs/>
      <w:kern w:val="28"/>
      <w:sz w:val="32"/>
      <w:szCs w:val="32"/>
      <w:lang w:val="fi-FI" w:eastAsia="en-US"/>
    </w:rPr>
  </w:style>
  <w:style w:type="paragraph" w:styleId="Subtitle">
    <w:name w:val="Subtitle"/>
    <w:basedOn w:val="Normal"/>
    <w:next w:val="Normal"/>
    <w:link w:val="SubtitleChar"/>
    <w:uiPriority w:val="11"/>
    <w:qFormat/>
    <w:rsid w:val="001E1179"/>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1E1179"/>
    <w:rPr>
      <w:rFonts w:ascii="Arial" w:eastAsiaTheme="majorEastAsia" w:hAnsi="Arial" w:cs="Arial"/>
      <w:sz w:val="24"/>
      <w:szCs w:val="24"/>
      <w:lang w:val="fi-FI" w:eastAsia="en-US"/>
    </w:rPr>
  </w:style>
  <w:style w:type="character" w:styleId="Strong">
    <w:name w:val="Strong"/>
    <w:basedOn w:val="DefaultParagraphFont"/>
    <w:uiPriority w:val="22"/>
    <w:qFormat/>
    <w:rsid w:val="001E1179"/>
    <w:rPr>
      <w:b/>
      <w:bCs/>
    </w:rPr>
  </w:style>
  <w:style w:type="character" w:styleId="Emphasis">
    <w:name w:val="Emphasis"/>
    <w:basedOn w:val="DefaultParagraphFont"/>
    <w:uiPriority w:val="20"/>
    <w:qFormat/>
    <w:rsid w:val="001E1179"/>
    <w:rPr>
      <w:rFonts w:asciiTheme="minorHAnsi" w:hAnsiTheme="minorHAnsi"/>
      <w:b/>
      <w:i/>
      <w:iCs/>
    </w:rPr>
  </w:style>
  <w:style w:type="paragraph" w:styleId="NoSpacing">
    <w:name w:val="No Spacing"/>
    <w:basedOn w:val="Normal"/>
    <w:uiPriority w:val="1"/>
    <w:qFormat/>
    <w:rsid w:val="001E1179"/>
    <w:pPr>
      <w:widowControl/>
      <w:jc w:val="both"/>
    </w:pPr>
    <w:rPr>
      <w:rFonts w:eastAsiaTheme="minorHAnsi"/>
      <w:szCs w:val="32"/>
      <w:lang w:eastAsia="en-US"/>
    </w:rPr>
  </w:style>
  <w:style w:type="paragraph" w:styleId="Quote">
    <w:name w:val="Quote"/>
    <w:basedOn w:val="Normal"/>
    <w:next w:val="Normal"/>
    <w:link w:val="QuoteChar"/>
    <w:uiPriority w:val="29"/>
    <w:qFormat/>
    <w:rsid w:val="001E1179"/>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1E1179"/>
    <w:rPr>
      <w:rFonts w:eastAsiaTheme="minorHAnsi"/>
      <w:i/>
      <w:sz w:val="24"/>
      <w:szCs w:val="24"/>
      <w:lang w:val="fi-FI" w:eastAsia="en-US"/>
    </w:rPr>
  </w:style>
  <w:style w:type="paragraph" w:styleId="IntenseQuote">
    <w:name w:val="Intense Quote"/>
    <w:basedOn w:val="Normal"/>
    <w:next w:val="Normal"/>
    <w:link w:val="IntenseQuoteChar"/>
    <w:uiPriority w:val="30"/>
    <w:qFormat/>
    <w:rsid w:val="001E1179"/>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1E1179"/>
    <w:rPr>
      <w:rFonts w:eastAsiaTheme="minorHAnsi"/>
      <w:b/>
      <w:i/>
      <w:sz w:val="24"/>
      <w:szCs w:val="22"/>
      <w:lang w:val="fi-FI" w:eastAsia="en-US"/>
    </w:rPr>
  </w:style>
  <w:style w:type="character" w:styleId="SubtleEmphasis">
    <w:name w:val="Subtle Emphasis"/>
    <w:uiPriority w:val="19"/>
    <w:qFormat/>
    <w:rsid w:val="001E1179"/>
    <w:rPr>
      <w:i/>
      <w:color w:val="5A5A5A" w:themeColor="text1" w:themeTint="A5"/>
    </w:rPr>
  </w:style>
  <w:style w:type="character" w:styleId="IntenseEmphasis">
    <w:name w:val="Intense Emphasis"/>
    <w:basedOn w:val="DefaultParagraphFont"/>
    <w:uiPriority w:val="21"/>
    <w:qFormat/>
    <w:rsid w:val="001E1179"/>
    <w:rPr>
      <w:b/>
      <w:i/>
      <w:sz w:val="24"/>
      <w:szCs w:val="24"/>
      <w:u w:val="single"/>
    </w:rPr>
  </w:style>
  <w:style w:type="character" w:styleId="SubtleReference">
    <w:name w:val="Subtle Reference"/>
    <w:basedOn w:val="DefaultParagraphFont"/>
    <w:uiPriority w:val="31"/>
    <w:qFormat/>
    <w:rsid w:val="001E1179"/>
    <w:rPr>
      <w:sz w:val="24"/>
      <w:szCs w:val="24"/>
      <w:u w:val="single"/>
    </w:rPr>
  </w:style>
  <w:style w:type="character" w:styleId="IntenseReference">
    <w:name w:val="Intense Reference"/>
    <w:basedOn w:val="DefaultParagraphFont"/>
    <w:uiPriority w:val="32"/>
    <w:qFormat/>
    <w:rsid w:val="001E1179"/>
    <w:rPr>
      <w:b/>
      <w:sz w:val="24"/>
      <w:u w:val="single"/>
    </w:rPr>
  </w:style>
  <w:style w:type="character" w:styleId="BookTitle">
    <w:name w:val="Book Title"/>
    <w:basedOn w:val="DefaultParagraphFont"/>
    <w:uiPriority w:val="33"/>
    <w:qFormat/>
    <w:rsid w:val="001E1179"/>
    <w:rPr>
      <w:rFonts w:asciiTheme="majorHAnsi" w:eastAsiaTheme="majorEastAsia" w:hAnsiTheme="majorHAnsi"/>
      <w:b/>
      <w:i/>
      <w:sz w:val="24"/>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163266"/>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data.europa.eu/eli/reg/2024/1252/oj" TargetMode="External"/><Relationship Id="rId4" Type="http://schemas.openxmlformats.org/officeDocument/2006/relationships/settings" Target="settings.xml"/><Relationship Id="rId9"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3A954-A39B-4040-A68F-C65980214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121</Pages>
  <Words>24524</Words>
  <Characters>200703</Characters>
  <Application>Microsoft Office Word</Application>
  <DocSecurity>0</DocSecurity>
  <Lines>1672</Lines>
  <Paragraphs>449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2025-05-08T11:58:00Z</dcterms:created>
  <dcterms:modified xsi:type="dcterms:W3CDTF">2025-05-08T11:58:00Z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A10-0061/2025</vt:lpwstr>
  </property>
  <property fmtid="{D5CDD505-2E9C-101B-9397-08002B2CF9AE}" pid="4" name="&lt;Type&gt;">
    <vt:lpwstr>RR</vt:lpwstr>
  </property>
</Properties>
</file>