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6E90" w14:paraId="28DAF45A" w14:textId="77777777" w:rsidTr="0010095E">
        <w:trPr>
          <w:trHeight w:hRule="exact" w:val="1418"/>
        </w:trPr>
        <w:tc>
          <w:tcPr>
            <w:tcW w:w="6804" w:type="dxa"/>
            <w:shd w:val="clear" w:color="auto" w:fill="auto"/>
            <w:vAlign w:val="center"/>
          </w:tcPr>
          <w:p w14:paraId="422BB98C" w14:textId="77777777" w:rsidR="00751A4A" w:rsidRPr="00096E90" w:rsidRDefault="00A52EFB" w:rsidP="0010095E">
            <w:pPr>
              <w:pStyle w:val="EPName"/>
            </w:pPr>
            <w:r w:rsidRPr="00096E90">
              <w:t>Eiropas Parlaments</w:t>
            </w:r>
          </w:p>
          <w:p w14:paraId="227A0235" w14:textId="77777777" w:rsidR="00751A4A" w:rsidRPr="00096E90" w:rsidRDefault="005F1B17" w:rsidP="005F1B17">
            <w:pPr>
              <w:pStyle w:val="EPTerm"/>
              <w:rPr>
                <w:rStyle w:val="HideTWBExt"/>
                <w:noProof w:val="0"/>
                <w:vanish w:val="0"/>
                <w:color w:val="auto"/>
              </w:rPr>
            </w:pPr>
            <w:r w:rsidRPr="00096E90">
              <w:t>2024</w:t>
            </w:r>
            <w:r w:rsidR="00817416" w:rsidRPr="00096E90">
              <w:t>-202</w:t>
            </w:r>
            <w:r w:rsidRPr="00096E90">
              <w:t>9</w:t>
            </w:r>
          </w:p>
        </w:tc>
        <w:tc>
          <w:tcPr>
            <w:tcW w:w="2268" w:type="dxa"/>
            <w:shd w:val="clear" w:color="auto" w:fill="auto"/>
          </w:tcPr>
          <w:p w14:paraId="3DB376A2" w14:textId="77777777" w:rsidR="00751A4A" w:rsidRPr="00096E90" w:rsidRDefault="00187494" w:rsidP="0010095E">
            <w:pPr>
              <w:pStyle w:val="EPLogo"/>
            </w:pPr>
            <w:r w:rsidRPr="00096E90">
              <w:rPr>
                <w:noProof/>
                <w:lang w:val="pl-PL" w:eastAsia="pl-PL"/>
              </w:rPr>
              <w:drawing>
                <wp:inline distT="0" distB="0" distL="0" distR="0" wp14:anchorId="51C660A1" wp14:editId="4275E5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DCEFD1" w14:textId="77777777" w:rsidR="00D058B8" w:rsidRPr="00096E90" w:rsidRDefault="00D058B8" w:rsidP="004C5D52">
      <w:pPr>
        <w:pStyle w:val="LineTop"/>
      </w:pPr>
    </w:p>
    <w:p w14:paraId="20E91DF0" w14:textId="77777777" w:rsidR="00680577" w:rsidRPr="00096E90" w:rsidRDefault="00A52EFB" w:rsidP="00680577">
      <w:pPr>
        <w:pStyle w:val="EPBodyTA1"/>
      </w:pPr>
      <w:r w:rsidRPr="00096E90">
        <w:t>PIEŅEMTIE TEKSTI</w:t>
      </w:r>
    </w:p>
    <w:p w14:paraId="2A2E4127" w14:textId="77777777" w:rsidR="00D058B8" w:rsidRPr="00096E90" w:rsidRDefault="00D058B8" w:rsidP="00D058B8">
      <w:pPr>
        <w:pStyle w:val="LineBottom"/>
      </w:pPr>
    </w:p>
    <w:p w14:paraId="4B863B27" w14:textId="61BA9C79" w:rsidR="00A52EFB" w:rsidRPr="00096E90" w:rsidRDefault="00A52EFB" w:rsidP="00A52EFB">
      <w:pPr>
        <w:pStyle w:val="ATHeading1"/>
      </w:pPr>
      <w:bookmarkStart w:id="0" w:name="TANumber"/>
      <w:r w:rsidRPr="00096E90">
        <w:t>P10_TA(2025)0</w:t>
      </w:r>
      <w:bookmarkEnd w:id="0"/>
      <w:r w:rsidR="00096E90" w:rsidRPr="00096E90">
        <w:t>103</w:t>
      </w:r>
    </w:p>
    <w:p w14:paraId="779813AB" w14:textId="13B544E8" w:rsidR="00A52EFB" w:rsidRPr="00096E90" w:rsidRDefault="003E388B" w:rsidP="00A52EFB">
      <w:pPr>
        <w:pStyle w:val="ATHeading2"/>
      </w:pPr>
      <w:r w:rsidRPr="00096E90">
        <w:t xml:space="preserve">Konkrētas Regulas (ES) 2015/478 daļas apturēšana attiecībā </w:t>
      </w:r>
      <w:r w:rsidR="004A3A6A" w:rsidRPr="00096E90">
        <w:t>uz Ukrainas ražojumu importu Eiropas Savienībā</w:t>
      </w:r>
    </w:p>
    <w:p w14:paraId="2037726C" w14:textId="77777777" w:rsidR="00A52EFB" w:rsidRPr="00096E90" w:rsidRDefault="00A52EFB" w:rsidP="00A52EFB">
      <w:pPr>
        <w:rPr>
          <w:i/>
          <w:vanish/>
        </w:rPr>
      </w:pPr>
      <w:r w:rsidRPr="00096E90">
        <w:rPr>
          <w:i/>
        </w:rPr>
        <w:fldChar w:fldCharType="begin"/>
      </w:r>
      <w:r w:rsidRPr="00096E90">
        <w:rPr>
          <w:i/>
        </w:rPr>
        <w:instrText xml:space="preserve"> TC"(</w:instrText>
      </w:r>
      <w:bookmarkStart w:id="1" w:name="DocNumber"/>
      <w:r w:rsidRPr="00096E90">
        <w:rPr>
          <w:i/>
        </w:rPr>
        <w:instrText>A10-0059/2025</w:instrText>
      </w:r>
      <w:bookmarkEnd w:id="1"/>
      <w:r w:rsidRPr="00096E90">
        <w:rPr>
          <w:i/>
        </w:rPr>
        <w:instrText xml:space="preserve"> - Referente: Karin Karlsbro)"\l3 \n&gt; \* MERGEFORMAT </w:instrText>
      </w:r>
      <w:r w:rsidRPr="00096E90">
        <w:rPr>
          <w:i/>
        </w:rPr>
        <w:fldChar w:fldCharType="end"/>
      </w:r>
    </w:p>
    <w:p w14:paraId="0A2D50E9" w14:textId="77777777" w:rsidR="00A52EFB" w:rsidRPr="00096E90" w:rsidRDefault="00A52EFB" w:rsidP="00A52EFB">
      <w:pPr>
        <w:rPr>
          <w:vanish/>
        </w:rPr>
      </w:pPr>
      <w:bookmarkStart w:id="2" w:name="Commission"/>
      <w:r w:rsidRPr="00096E90">
        <w:rPr>
          <w:vanish/>
        </w:rPr>
        <w:t>Starptautiskās tirdzniecības komiteja</w:t>
      </w:r>
      <w:bookmarkEnd w:id="2"/>
    </w:p>
    <w:p w14:paraId="0785AC8D" w14:textId="77777777" w:rsidR="00A52EFB" w:rsidRPr="00096E90" w:rsidRDefault="00A52EFB" w:rsidP="00A52EFB">
      <w:pPr>
        <w:rPr>
          <w:vanish/>
        </w:rPr>
      </w:pPr>
      <w:bookmarkStart w:id="3" w:name="PE"/>
      <w:r w:rsidRPr="00096E90">
        <w:rPr>
          <w:vanish/>
        </w:rPr>
        <w:t>PE772.143</w:t>
      </w:r>
      <w:bookmarkEnd w:id="3"/>
    </w:p>
    <w:p w14:paraId="2E394FA7" w14:textId="77777777" w:rsidR="00774DD2" w:rsidRPr="00096E90" w:rsidRDefault="00A52EFB" w:rsidP="009F02E2">
      <w:pPr>
        <w:pStyle w:val="ATHeading3"/>
      </w:pPr>
      <w:bookmarkStart w:id="4" w:name="Sujet"/>
      <w:r w:rsidRPr="00096E90">
        <w:t xml:space="preserve">Eiropas Parlamenta 2025. gada </w:t>
      </w:r>
      <w:r w:rsidR="0083366A" w:rsidRPr="00096E90">
        <w:t>8</w:t>
      </w:r>
      <w:r w:rsidRPr="00096E90">
        <w:t xml:space="preserve">. </w:t>
      </w:r>
      <w:r w:rsidR="004A3A6A" w:rsidRPr="00096E90">
        <w:t>maija</w:t>
      </w:r>
      <w:r w:rsidRPr="00096E90">
        <w:t xml:space="preserve"> normatīvā rezolūcija par priekšlikumu Eiropas Parlamenta un Padomes Regulai, ar ko attiecībā uz Ukrainas ražojumu importu Eiropas Savienībā aptur konkrētas Regulas (ES) 2015/478 daļas</w:t>
      </w:r>
      <w:bookmarkEnd w:id="4"/>
      <w:r w:rsidRPr="00096E90">
        <w:t xml:space="preserve"> </w:t>
      </w:r>
      <w:bookmarkStart w:id="5" w:name="References"/>
      <w:r w:rsidRPr="00096E90">
        <w:t>(COM(2025)0107 – C10-0042/2025 – 2025/0056(COD))</w:t>
      </w:r>
      <w:bookmarkStart w:id="6" w:name="TextBodyBegin"/>
      <w:bookmarkEnd w:id="5"/>
      <w:bookmarkEnd w:id="6"/>
    </w:p>
    <w:p w14:paraId="67B17682" w14:textId="77777777" w:rsidR="004A3A6A" w:rsidRPr="00096E90" w:rsidRDefault="00774DD2" w:rsidP="00774DD2">
      <w:pPr>
        <w:pStyle w:val="NormalBold"/>
      </w:pPr>
      <w:r w:rsidRPr="00096E90">
        <w:t>(Parastā likumdošanas procedūra: pirmais lasījums)</w:t>
      </w:r>
    </w:p>
    <w:p w14:paraId="1E1C45F3" w14:textId="77777777" w:rsidR="00774DD2" w:rsidRPr="00096E90" w:rsidRDefault="00774DD2" w:rsidP="00774DD2">
      <w:pPr>
        <w:pStyle w:val="EPComma"/>
      </w:pPr>
      <w:r w:rsidRPr="00096E90">
        <w:rPr>
          <w:i/>
        </w:rPr>
        <w:t>Eiropas Parlaments</w:t>
      </w:r>
      <w:r w:rsidRPr="00096E90">
        <w:t>,</w:t>
      </w:r>
    </w:p>
    <w:p w14:paraId="3DB44442" w14:textId="77777777" w:rsidR="00774DD2" w:rsidRPr="00096E90" w:rsidRDefault="00774DD2" w:rsidP="00774DD2">
      <w:pPr>
        <w:pStyle w:val="NormalHanging12a"/>
      </w:pPr>
      <w:r w:rsidRPr="00096E90">
        <w:t>–</w:t>
      </w:r>
      <w:r w:rsidRPr="00096E90">
        <w:tab/>
        <w:t>ņemot vērā Komisijas priekšlikumu Eiropas Parlamentam un Padomei (COM(2025)0107),</w:t>
      </w:r>
    </w:p>
    <w:p w14:paraId="47AB6EAB" w14:textId="77777777" w:rsidR="00774DD2" w:rsidRPr="00096E90" w:rsidRDefault="00774DD2" w:rsidP="00774DD2">
      <w:pPr>
        <w:pStyle w:val="NormalHanging12a"/>
      </w:pPr>
      <w:r w:rsidRPr="00096E90">
        <w:t>–</w:t>
      </w:r>
      <w:r w:rsidRPr="00096E90">
        <w:tab/>
        <w:t>ņemot vērā Līguma par Eiropas Savienības darbību 294. panta 2. punktu un 207. panta 2. punktu, saskaņā ar kuriem Komisija tam ir iesniegusi priekšlikumu (C10</w:t>
      </w:r>
      <w:r w:rsidRPr="00096E90">
        <w:noBreakHyphen/>
        <w:t>0042/2025),</w:t>
      </w:r>
    </w:p>
    <w:p w14:paraId="16C17608" w14:textId="77777777" w:rsidR="00774DD2" w:rsidRPr="00096E90" w:rsidRDefault="00774DD2" w:rsidP="00774DD2">
      <w:pPr>
        <w:pStyle w:val="NormalHanging12a"/>
      </w:pPr>
      <w:r w:rsidRPr="00096E90">
        <w:t>–</w:t>
      </w:r>
      <w:r w:rsidRPr="00096E90">
        <w:tab/>
        <w:t>ņemot vērā Līguma par Eiropas Savienības darbību 294. panta 3. punktu,</w:t>
      </w:r>
    </w:p>
    <w:p w14:paraId="16D9D791" w14:textId="12C8DE6C" w:rsidR="0083366A" w:rsidRPr="00096E90" w:rsidRDefault="0083366A" w:rsidP="00774DD2">
      <w:pPr>
        <w:pStyle w:val="NormalHanging12a"/>
      </w:pPr>
      <w:r w:rsidRPr="00096E90">
        <w:t>–</w:t>
      </w:r>
      <w:r w:rsidRPr="00096E90">
        <w:tab/>
        <w:t>ņemot vērā provizorisko vienošanos, ko atbildīgā komiteja apstiprināja saskaņā ar Reglamenta 75. panta 4. punktu</w:t>
      </w:r>
      <w:r w:rsidR="000877E5" w:rsidRPr="00096E90">
        <w:t>,</w:t>
      </w:r>
      <w:r w:rsidRPr="00096E90">
        <w:t xml:space="preserve"> un Padomes pārstāvja 2025. gada 2. aprīļa vēstulē pausto apņemšanos apstiprināt </w:t>
      </w:r>
      <w:r w:rsidR="003E388B" w:rsidRPr="00096E90">
        <w:t>Parlamenta</w:t>
      </w:r>
      <w:r w:rsidRPr="00096E90">
        <w:t xml:space="preserve"> nostāju saskaņā ar Līguma par Eiropas Savienības darbību 294. panta 4. punktu,</w:t>
      </w:r>
    </w:p>
    <w:p w14:paraId="3E2F942B" w14:textId="77777777" w:rsidR="00774DD2" w:rsidRPr="00096E90" w:rsidRDefault="00774DD2" w:rsidP="00774DD2">
      <w:pPr>
        <w:pStyle w:val="NormalHanging12a"/>
      </w:pPr>
      <w:r w:rsidRPr="00096E90">
        <w:t>–</w:t>
      </w:r>
      <w:r w:rsidRPr="00096E90">
        <w:tab/>
        <w:t>ņemot vērā Reglamenta 60. pantu,</w:t>
      </w:r>
    </w:p>
    <w:p w14:paraId="4253FBD4" w14:textId="77777777" w:rsidR="00774DD2" w:rsidRPr="00096E90" w:rsidRDefault="00774DD2" w:rsidP="00774DD2">
      <w:pPr>
        <w:pStyle w:val="NormalHanging12a"/>
      </w:pPr>
      <w:r w:rsidRPr="00096E90">
        <w:t>–</w:t>
      </w:r>
      <w:r w:rsidRPr="00096E90">
        <w:tab/>
        <w:t>ņemot vērā Starptautiskās tirdzniecības komitejas ziņojumu (A10-0059/2025),</w:t>
      </w:r>
    </w:p>
    <w:p w14:paraId="2AF0D56D" w14:textId="77777777" w:rsidR="00774DD2" w:rsidRPr="00096E90" w:rsidRDefault="00774DD2" w:rsidP="00774DD2">
      <w:pPr>
        <w:pStyle w:val="NormalHanging12a"/>
      </w:pPr>
      <w:r w:rsidRPr="00096E90">
        <w:t>1.</w:t>
      </w:r>
      <w:r w:rsidRPr="00096E90">
        <w:tab/>
        <w:t>pieņem pirmajā lasījumā turpmāk izklāstīto nostāju;</w:t>
      </w:r>
    </w:p>
    <w:p w14:paraId="74386F2A" w14:textId="77777777" w:rsidR="00774DD2" w:rsidRPr="00096E90" w:rsidRDefault="00774DD2" w:rsidP="00774DD2">
      <w:pPr>
        <w:pStyle w:val="NormalHanging12a"/>
      </w:pPr>
      <w:r w:rsidRPr="00096E90">
        <w:t>2.</w:t>
      </w:r>
      <w:r w:rsidRPr="00096E90">
        <w:tab/>
        <w:t>prasa Komisijai priekšlikumu Parlamentam iesniegt vēlreiz, ja tā savu priekšlikumu aizstāj, būtiski groza vai ir paredzējusi to būtiski grozīt;</w:t>
      </w:r>
    </w:p>
    <w:p w14:paraId="0A50FD83" w14:textId="41D22CF1" w:rsidR="009F02E2" w:rsidRPr="00096E90" w:rsidRDefault="00774DD2" w:rsidP="004D7678">
      <w:pPr>
        <w:pStyle w:val="NormalHanging12a"/>
      </w:pPr>
      <w:r w:rsidRPr="00096E90">
        <w:t>3.</w:t>
      </w:r>
      <w:r w:rsidRPr="00096E90">
        <w:tab/>
        <w:t>uzdod priekšsēdētājai Parlamenta nostāju nosūtīt Padomei un Komisijai, kā arī dalībvalstu parlamentiem.</w:t>
      </w:r>
      <w:r w:rsidR="009F02E2" w:rsidRPr="00096E90">
        <w:br w:type="page"/>
      </w:r>
    </w:p>
    <w:p w14:paraId="601A3380" w14:textId="77777777" w:rsidR="000877E5" w:rsidRPr="00096E90" w:rsidRDefault="000877E5" w:rsidP="00096E90">
      <w:pPr>
        <w:autoSpaceDE w:val="0"/>
        <w:autoSpaceDN w:val="0"/>
        <w:adjustRightInd w:val="0"/>
        <w:spacing w:after="240" w:line="260" w:lineRule="exact"/>
        <w:rPr>
          <w:rFonts w:eastAsia="Calibri"/>
          <w:b/>
          <w:bCs/>
          <w:color w:val="000000"/>
          <w:szCs w:val="24"/>
        </w:rPr>
      </w:pPr>
      <w:bookmarkStart w:id="7" w:name="restart"/>
      <w:bookmarkStart w:id="8" w:name="_Hlk101503899"/>
      <w:r w:rsidRPr="00096E90">
        <w:rPr>
          <w:rFonts w:eastAsia="Calibri"/>
          <w:b/>
          <w:bCs/>
          <w:color w:val="000000"/>
          <w:szCs w:val="24"/>
        </w:rPr>
        <w:lastRenderedPageBreak/>
        <w:t>P10_TC1-COD(2025)0056</w:t>
      </w:r>
    </w:p>
    <w:p w14:paraId="68369615" w14:textId="77777777" w:rsidR="000877E5" w:rsidRPr="00096E90" w:rsidRDefault="000877E5" w:rsidP="000877E5">
      <w:pPr>
        <w:widowControl/>
        <w:autoSpaceDE w:val="0"/>
        <w:autoSpaceDN w:val="0"/>
        <w:adjustRightInd w:val="0"/>
        <w:spacing w:before="120" w:after="120"/>
        <w:rPr>
          <w:rFonts w:eastAsia="Calibri"/>
          <w:b/>
          <w:noProof/>
          <w:szCs w:val="22"/>
          <w:lang w:eastAsia="en-US"/>
        </w:rPr>
      </w:pPr>
      <w:r w:rsidRPr="00096E90">
        <w:rPr>
          <w:rFonts w:eastAsia="Calibri"/>
          <w:b/>
          <w:bCs/>
          <w:szCs w:val="24"/>
        </w:rPr>
        <w:t xml:space="preserve">Eiropas Parlamenta </w:t>
      </w:r>
      <w:r w:rsidRPr="00096E90">
        <w:rPr>
          <w:b/>
          <w:noProof/>
        </w:rPr>
        <w:t xml:space="preserve">nostāja, pieņemta pirmajā lasījumā </w:t>
      </w:r>
      <w:r w:rsidRPr="00096E90">
        <w:rPr>
          <w:b/>
        </w:rPr>
        <w:t>2025. gada 8. maijā</w:t>
      </w:r>
      <w:r w:rsidRPr="00096E90">
        <w:rPr>
          <w:b/>
          <w:noProof/>
        </w:rPr>
        <w:t xml:space="preserve">, lai pieņemtu Eiropas Parlamenta un Padomes Regulu (ES) 2025/..., </w:t>
      </w:r>
      <w:r w:rsidRPr="00096E90">
        <w:rPr>
          <w:rFonts w:eastAsia="Calibri"/>
          <w:b/>
          <w:szCs w:val="22"/>
          <w:lang w:eastAsia="en-US"/>
        </w:rPr>
        <w:t>ar ko attiecībā uz Ukrainas ražojumu importu Savienībā aptur konkrētus Regulas (ES) 2015/478 noteikumus</w:t>
      </w:r>
    </w:p>
    <w:bookmarkEnd w:id="7"/>
    <w:bookmarkEnd w:id="8"/>
    <w:p w14:paraId="2DC3D7F0" w14:textId="46E715FD" w:rsidR="001D23F3" w:rsidRDefault="001D23F3" w:rsidP="001D23F3">
      <w:pPr>
        <w:rPr>
          <w:i/>
        </w:rPr>
      </w:pPr>
      <w:r w:rsidRPr="003E6639">
        <w:rPr>
          <w:i/>
        </w:rPr>
        <w:t xml:space="preserve">(Tā kā starp Parlamentu un Padomi tika panākta vienošanās, Parlamenta nostāja atbilst galīgajam tiesību aktam </w:t>
      </w:r>
      <w:r w:rsidRPr="001D23F3">
        <w:rPr>
          <w:i/>
        </w:rPr>
        <w:t>Regulai (ES) 2025/</w:t>
      </w:r>
      <w:r w:rsidRPr="001D23F3">
        <w:rPr>
          <w:i/>
        </w:rPr>
        <w:t>1153</w:t>
      </w:r>
      <w:r w:rsidRPr="001D23F3">
        <w:rPr>
          <w:i/>
        </w:rPr>
        <w:t>.)</w:t>
      </w:r>
    </w:p>
    <w:p w14:paraId="41B4D7C4" w14:textId="77777777" w:rsidR="00774DD2" w:rsidRPr="00096E90" w:rsidRDefault="00774DD2" w:rsidP="00774DD2"/>
    <w:sectPr w:rsidR="00774DD2" w:rsidRPr="00096E90" w:rsidSect="004A5DA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C1998" w14:textId="77777777" w:rsidR="00A52EFB" w:rsidRPr="004A5DAB" w:rsidRDefault="00A52EFB">
      <w:r w:rsidRPr="004A5DAB">
        <w:separator/>
      </w:r>
    </w:p>
  </w:endnote>
  <w:endnote w:type="continuationSeparator" w:id="0">
    <w:p w14:paraId="178BE791" w14:textId="77777777" w:rsidR="00A52EFB" w:rsidRPr="004A5DAB" w:rsidRDefault="00A52EFB">
      <w:r w:rsidRPr="004A5D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D6360" w14:textId="77777777" w:rsidR="00064002" w:rsidRPr="004A5DA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B6F0E" w14:textId="77777777" w:rsidR="00064002" w:rsidRPr="004A5DA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D8BBC" w14:textId="77777777" w:rsidR="00064002" w:rsidRPr="004A5D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D4433" w14:textId="77777777" w:rsidR="00A52EFB" w:rsidRPr="004A5DAB" w:rsidRDefault="00A52EFB">
      <w:r w:rsidRPr="004A5DAB">
        <w:separator/>
      </w:r>
    </w:p>
  </w:footnote>
  <w:footnote w:type="continuationSeparator" w:id="0">
    <w:p w14:paraId="20425944" w14:textId="77777777" w:rsidR="00A52EFB" w:rsidRPr="004A5DAB" w:rsidRDefault="00A52EFB">
      <w:r w:rsidRPr="004A5DA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84B92" w14:textId="77777777" w:rsidR="00064002" w:rsidRPr="004A5DA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2FF72" w14:textId="77777777" w:rsidR="00064002" w:rsidRPr="004A5DA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6B47B" w14:textId="77777777" w:rsidR="00064002" w:rsidRPr="004A5D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08338617">
    <w:abstractNumId w:val="9"/>
  </w:num>
  <w:num w:numId="2" w16cid:durableId="418059616">
    <w:abstractNumId w:val="9"/>
  </w:num>
  <w:num w:numId="3" w16cid:durableId="132187479">
    <w:abstractNumId w:val="7"/>
  </w:num>
  <w:num w:numId="4" w16cid:durableId="113254679">
    <w:abstractNumId w:val="7"/>
  </w:num>
  <w:num w:numId="5" w16cid:durableId="1444884881">
    <w:abstractNumId w:val="6"/>
  </w:num>
  <w:num w:numId="6" w16cid:durableId="305201901">
    <w:abstractNumId w:val="6"/>
  </w:num>
  <w:num w:numId="7" w16cid:durableId="1021929497">
    <w:abstractNumId w:val="5"/>
  </w:num>
  <w:num w:numId="8" w16cid:durableId="1611010408">
    <w:abstractNumId w:val="5"/>
  </w:num>
  <w:num w:numId="9" w16cid:durableId="1148327969">
    <w:abstractNumId w:val="4"/>
  </w:num>
  <w:num w:numId="10" w16cid:durableId="1951355410">
    <w:abstractNumId w:val="4"/>
  </w:num>
  <w:num w:numId="11" w16cid:durableId="1377579312">
    <w:abstractNumId w:val="8"/>
  </w:num>
  <w:num w:numId="12" w16cid:durableId="954942562">
    <w:abstractNumId w:val="8"/>
  </w:num>
  <w:num w:numId="13" w16cid:durableId="2070182876">
    <w:abstractNumId w:val="3"/>
  </w:num>
  <w:num w:numId="14" w16cid:durableId="377361091">
    <w:abstractNumId w:val="3"/>
  </w:num>
  <w:num w:numId="15" w16cid:durableId="1512065792">
    <w:abstractNumId w:val="2"/>
  </w:num>
  <w:num w:numId="16" w16cid:durableId="1494757597">
    <w:abstractNumId w:val="2"/>
  </w:num>
  <w:num w:numId="17" w16cid:durableId="197401306">
    <w:abstractNumId w:val="1"/>
  </w:num>
  <w:num w:numId="18" w16cid:durableId="162818859">
    <w:abstractNumId w:val="1"/>
  </w:num>
  <w:num w:numId="19" w16cid:durableId="574781353">
    <w:abstractNumId w:val="0"/>
  </w:num>
  <w:num w:numId="20" w16cid:durableId="1935243718">
    <w:abstractNumId w:val="0"/>
  </w:num>
  <w:num w:numId="21" w16cid:durableId="1175879530">
    <w:abstractNumId w:val="9"/>
  </w:num>
  <w:num w:numId="22" w16cid:durableId="535891784">
    <w:abstractNumId w:val="7"/>
  </w:num>
  <w:num w:numId="23" w16cid:durableId="758525439">
    <w:abstractNumId w:val="6"/>
  </w:num>
  <w:num w:numId="24" w16cid:durableId="303853573">
    <w:abstractNumId w:val="5"/>
  </w:num>
  <w:num w:numId="25" w16cid:durableId="753358729">
    <w:abstractNumId w:val="4"/>
  </w:num>
  <w:num w:numId="26" w16cid:durableId="1241793719">
    <w:abstractNumId w:val="8"/>
  </w:num>
  <w:num w:numId="27" w16cid:durableId="59600527">
    <w:abstractNumId w:val="3"/>
  </w:num>
  <w:num w:numId="28" w16cid:durableId="449205382">
    <w:abstractNumId w:val="2"/>
  </w:num>
  <w:num w:numId="29" w16cid:durableId="245771248">
    <w:abstractNumId w:val="1"/>
  </w:num>
  <w:num w:numId="30" w16cid:durableId="1438912282">
    <w:abstractNumId w:val="0"/>
  </w:num>
  <w:num w:numId="31" w16cid:durableId="348064745">
    <w:abstractNumId w:val="9"/>
  </w:num>
  <w:num w:numId="32" w16cid:durableId="443698366">
    <w:abstractNumId w:val="7"/>
  </w:num>
  <w:num w:numId="33" w16cid:durableId="233664780">
    <w:abstractNumId w:val="6"/>
  </w:num>
  <w:num w:numId="34" w16cid:durableId="2076246066">
    <w:abstractNumId w:val="5"/>
  </w:num>
  <w:num w:numId="35" w16cid:durableId="776367209">
    <w:abstractNumId w:val="4"/>
  </w:num>
  <w:num w:numId="36" w16cid:durableId="383333872">
    <w:abstractNumId w:val="8"/>
  </w:num>
  <w:num w:numId="37" w16cid:durableId="727995784">
    <w:abstractNumId w:val="3"/>
  </w:num>
  <w:num w:numId="38" w16cid:durableId="1457797954">
    <w:abstractNumId w:val="2"/>
  </w:num>
  <w:num w:numId="39" w16cid:durableId="598369313">
    <w:abstractNumId w:val="1"/>
  </w:num>
  <w:num w:numId="40" w16cid:durableId="782260553">
    <w:abstractNumId w:val="0"/>
  </w:num>
  <w:num w:numId="41" w16cid:durableId="1051461346">
    <w:abstractNumId w:val="10"/>
  </w:num>
  <w:num w:numId="42" w16cid:durableId="2111928912">
    <w:abstractNumId w:val="10"/>
  </w:num>
  <w:num w:numId="43" w16cid:durableId="1838692123">
    <w:abstractNumId w:val="10"/>
  </w:num>
  <w:num w:numId="44" w16cid:durableId="793753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9/2025"/>
    <w:docVar w:name="dvlangue" w:val="LV"/>
    <w:docVar w:name="dvnumam" w:val="3"/>
    <w:docVar w:name="dvpe" w:val="772.143"/>
    <w:docVar w:name="dvrapporteur" w:val="Referente: "/>
    <w:docVar w:name="dvstar" w:val="***I"/>
    <w:docVar w:name="dvtitre" w:val="Eiropas Parlamenta 2025. gada XX. XXX normatīvā rezolūcija par priekšlikumu Eiropas Parlamenta un Padomes Regulai, ar ko attiecībā uz Ukrainas ražojumu importu Eiropas Savienībā aptur konkrētas Regulas (ES) 2015/478 daļas(COM(2025)0107 – C10-0042/2025 – 2025/0056(COD))"/>
  </w:docVars>
  <w:rsids>
    <w:rsidRoot w:val="00A52EFB"/>
    <w:rsid w:val="00002272"/>
    <w:rsid w:val="00064002"/>
    <w:rsid w:val="000677B9"/>
    <w:rsid w:val="000831BA"/>
    <w:rsid w:val="000877E5"/>
    <w:rsid w:val="00096E90"/>
    <w:rsid w:val="000A42CC"/>
    <w:rsid w:val="000C633F"/>
    <w:rsid w:val="000E7DD9"/>
    <w:rsid w:val="0010095E"/>
    <w:rsid w:val="00125B37"/>
    <w:rsid w:val="00187494"/>
    <w:rsid w:val="001D23F3"/>
    <w:rsid w:val="001F32AE"/>
    <w:rsid w:val="00203D47"/>
    <w:rsid w:val="002767FF"/>
    <w:rsid w:val="002B18FE"/>
    <w:rsid w:val="002B5493"/>
    <w:rsid w:val="00343214"/>
    <w:rsid w:val="00361C00"/>
    <w:rsid w:val="00395FA1"/>
    <w:rsid w:val="003E15D4"/>
    <w:rsid w:val="003E388B"/>
    <w:rsid w:val="00411CCE"/>
    <w:rsid w:val="0041666E"/>
    <w:rsid w:val="00421060"/>
    <w:rsid w:val="00471C19"/>
    <w:rsid w:val="004867E3"/>
    <w:rsid w:val="00494A28"/>
    <w:rsid w:val="004A3A6A"/>
    <w:rsid w:val="004A5DAB"/>
    <w:rsid w:val="004C0004"/>
    <w:rsid w:val="004C5D52"/>
    <w:rsid w:val="004D7678"/>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4DD2"/>
    <w:rsid w:val="00786EC0"/>
    <w:rsid w:val="007D1690"/>
    <w:rsid w:val="007E22AD"/>
    <w:rsid w:val="00817416"/>
    <w:rsid w:val="0083366A"/>
    <w:rsid w:val="00842779"/>
    <w:rsid w:val="00865F67"/>
    <w:rsid w:val="00881A7B"/>
    <w:rsid w:val="008840E5"/>
    <w:rsid w:val="00887B3E"/>
    <w:rsid w:val="008C2AC6"/>
    <w:rsid w:val="00930C23"/>
    <w:rsid w:val="0093193B"/>
    <w:rsid w:val="009509D8"/>
    <w:rsid w:val="00950B64"/>
    <w:rsid w:val="00981893"/>
    <w:rsid w:val="009F02E2"/>
    <w:rsid w:val="00A1687D"/>
    <w:rsid w:val="00A43E52"/>
    <w:rsid w:val="00A4678D"/>
    <w:rsid w:val="00A52EFB"/>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3A9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D92291"/>
  <w15:chartTrackingRefBased/>
  <w15:docId w15:val="{B5363095-8025-4792-81F1-92D6A5253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774DD2"/>
    <w:rPr>
      <w:b/>
    </w:rPr>
  </w:style>
  <w:style w:type="paragraph" w:customStyle="1" w:styleId="NormalBold12a">
    <w:name w:val="NormalBold12a"/>
    <w:basedOn w:val="Normal"/>
    <w:rsid w:val="00774DD2"/>
    <w:pPr>
      <w:spacing w:after="240"/>
    </w:pPr>
    <w:rPr>
      <w:b/>
    </w:rPr>
  </w:style>
  <w:style w:type="paragraph" w:customStyle="1" w:styleId="NormalHanging12a">
    <w:name w:val="NormalHanging12a"/>
    <w:basedOn w:val="Normal"/>
    <w:rsid w:val="00774DD2"/>
    <w:pPr>
      <w:spacing w:after="240"/>
      <w:ind w:left="567" w:hanging="567"/>
    </w:pPr>
  </w:style>
  <w:style w:type="paragraph" w:customStyle="1" w:styleId="AmNumberTabs">
    <w:name w:val="AmNumberTabs"/>
    <w:basedOn w:val="Normal"/>
    <w:rsid w:val="00774DD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74DD2"/>
    <w:pPr>
      <w:spacing w:before="240"/>
    </w:pPr>
    <w:rPr>
      <w:b/>
    </w:rPr>
  </w:style>
  <w:style w:type="paragraph" w:customStyle="1" w:styleId="EPComma">
    <w:name w:val="EPComma"/>
    <w:basedOn w:val="Normal"/>
    <w:rsid w:val="00774DD2"/>
    <w:pPr>
      <w:spacing w:before="480" w:after="240"/>
    </w:pPr>
  </w:style>
  <w:style w:type="character" w:customStyle="1" w:styleId="Normal6Char">
    <w:name w:val="Normal6 Char"/>
    <w:basedOn w:val="DefaultParagraphFont"/>
    <w:link w:val="Normal6"/>
    <w:locked/>
    <w:rsid w:val="00774DD2"/>
    <w:rPr>
      <w:sz w:val="24"/>
      <w:lang w:val="lv-LV"/>
    </w:rPr>
  </w:style>
  <w:style w:type="paragraph" w:customStyle="1" w:styleId="Normal6">
    <w:name w:val="Normal6"/>
    <w:basedOn w:val="Normal"/>
    <w:link w:val="Normal6Char"/>
    <w:rsid w:val="00774DD2"/>
    <w:pPr>
      <w:spacing w:after="120"/>
    </w:pPr>
  </w:style>
  <w:style w:type="character" w:customStyle="1" w:styleId="NormalBoldChar">
    <w:name w:val="NormalBold Char"/>
    <w:basedOn w:val="DefaultParagraphFont"/>
    <w:link w:val="NormalBold"/>
    <w:locked/>
    <w:rsid w:val="00774DD2"/>
    <w:rPr>
      <w:b/>
      <w:sz w:val="24"/>
      <w:lang w:val="lv-LV"/>
    </w:rPr>
  </w:style>
  <w:style w:type="paragraph" w:customStyle="1" w:styleId="ColumnHeading">
    <w:name w:val="ColumnHeading"/>
    <w:basedOn w:val="Normal"/>
    <w:rsid w:val="00774DD2"/>
    <w:pPr>
      <w:spacing w:after="240"/>
      <w:jc w:val="center"/>
    </w:pPr>
    <w:rPr>
      <w:i/>
    </w:rPr>
  </w:style>
  <w:style w:type="character" w:customStyle="1" w:styleId="NormalBold12bChar">
    <w:name w:val="NormalBold12b Char"/>
    <w:basedOn w:val="DefaultParagraphFont"/>
    <w:link w:val="NormalBold12b"/>
    <w:rsid w:val="00774DD2"/>
    <w:rPr>
      <w:b/>
      <w:sz w:val="24"/>
      <w:lang w:val="lv-LV"/>
    </w:rPr>
  </w:style>
  <w:style w:type="character" w:styleId="Hyperlink">
    <w:name w:val="Hyperlink"/>
    <w:basedOn w:val="DefaultParagraphFont"/>
    <w:uiPriority w:val="99"/>
    <w:unhideWhenUsed/>
    <w:rsid w:val="009F02E2"/>
    <w:rPr>
      <w:color w:val="0000FF"/>
      <w:u w:val="single"/>
    </w:rPr>
  </w:style>
  <w:style w:type="paragraph" w:customStyle="1" w:styleId="NormalCentre">
    <w:name w:val="NormalCentre"/>
    <w:basedOn w:val="Normal"/>
    <w:next w:val="Normal"/>
    <w:rsid w:val="009F02E2"/>
    <w:pPr>
      <w:jc w:val="center"/>
    </w:pPr>
  </w:style>
  <w:style w:type="paragraph" w:customStyle="1" w:styleId="ConsLine">
    <w:name w:val="ConsLine"/>
    <w:basedOn w:val="Normal"/>
    <w:rsid w:val="009F02E2"/>
    <w:pPr>
      <w:spacing w:before="240" w:after="240"/>
      <w:jc w:val="center"/>
    </w:pPr>
    <w:rPr>
      <w:bCs/>
      <w:lang w:val="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9F02E2"/>
    <w:pPr>
      <w:widowControl/>
      <w:spacing w:after="160" w:line="240" w:lineRule="exact"/>
    </w:pPr>
    <w:rPr>
      <w:sz w:val="20"/>
      <w:vertAlign w:val="superscript"/>
      <w:lang w:val="en-GB"/>
    </w:rPr>
  </w:style>
  <w:style w:type="character" w:styleId="CommentReference">
    <w:name w:val="annotation reference"/>
    <w:basedOn w:val="DefaultParagraphFont"/>
    <w:rsid w:val="000877E5"/>
    <w:rPr>
      <w:sz w:val="16"/>
      <w:szCs w:val="16"/>
    </w:rPr>
  </w:style>
  <w:style w:type="paragraph" w:styleId="CommentText">
    <w:name w:val="annotation text"/>
    <w:basedOn w:val="Normal"/>
    <w:link w:val="CommentTextChar"/>
    <w:rsid w:val="000877E5"/>
    <w:rPr>
      <w:sz w:val="20"/>
    </w:rPr>
  </w:style>
  <w:style w:type="character" w:customStyle="1" w:styleId="CommentTextChar">
    <w:name w:val="Comment Text Char"/>
    <w:basedOn w:val="DefaultParagraphFont"/>
    <w:link w:val="CommentText"/>
    <w:rsid w:val="000877E5"/>
    <w:rPr>
      <w:lang w:val="lv-LV"/>
    </w:rPr>
  </w:style>
  <w:style w:type="paragraph" w:styleId="CommentSubject">
    <w:name w:val="annotation subject"/>
    <w:basedOn w:val="CommentText"/>
    <w:next w:val="CommentText"/>
    <w:link w:val="CommentSubjectChar"/>
    <w:rsid w:val="000877E5"/>
    <w:rPr>
      <w:b/>
      <w:bCs/>
    </w:rPr>
  </w:style>
  <w:style w:type="character" w:customStyle="1" w:styleId="CommentSubjectChar">
    <w:name w:val="Comment Subject Char"/>
    <w:basedOn w:val="CommentTextChar"/>
    <w:link w:val="CommentSubject"/>
    <w:rsid w:val="000877E5"/>
    <w:rPr>
      <w:b/>
      <w:bCs/>
      <w:lang w:val="lv-LV"/>
    </w:rPr>
  </w:style>
  <w:style w:type="paragraph" w:styleId="BalloonText">
    <w:name w:val="Balloon Text"/>
    <w:basedOn w:val="Normal"/>
    <w:link w:val="BalloonTextChar"/>
    <w:rsid w:val="000877E5"/>
    <w:rPr>
      <w:rFonts w:ascii="Segoe UI" w:hAnsi="Segoe UI" w:cs="Segoe UI"/>
      <w:sz w:val="18"/>
      <w:szCs w:val="18"/>
    </w:rPr>
  </w:style>
  <w:style w:type="character" w:customStyle="1" w:styleId="BalloonTextChar">
    <w:name w:val="Balloon Text Char"/>
    <w:basedOn w:val="DefaultParagraphFont"/>
    <w:link w:val="BalloonText"/>
    <w:rsid w:val="000877E5"/>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74C38-7AC6-4ABE-982D-EC8A2CED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247</Words>
  <Characters>1832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PESA Karina</cp:lastModifiedBy>
  <cp:revision>2</cp:revision>
  <cp:lastPrinted>2004-11-19T15:42:00Z</cp:lastPrinted>
  <dcterms:created xsi:type="dcterms:W3CDTF">2025-09-19T05:43:00Z</dcterms:created>
  <dcterms:modified xsi:type="dcterms:W3CDTF">2025-09-19T05:43:00Z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P10_TA(2025)0103_</vt:lpwstr>
  </property>
  <property fmtid="{D5CDD505-2E9C-101B-9397-08002B2CF9AE}" pid="4" name="&lt;Type&gt;">
    <vt:lpwstr>RR</vt:lpwstr>
  </property>
</Properties>
</file>