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D7274" w14:paraId="077E25B1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9CC232" w14:textId="77777777" w:rsidR="007D7274" w:rsidRDefault="007F3A9C">
            <w:pPr>
              <w:pStyle w:val="EPName"/>
            </w:pPr>
            <w:r>
              <w:t>Európsky parlament</w:t>
            </w:r>
          </w:p>
          <w:p w14:paraId="64D2CE8E" w14:textId="77777777" w:rsidR="007D7274" w:rsidRDefault="007F3A9C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64B07FD" w14:textId="77777777" w:rsidR="007D7274" w:rsidRDefault="007F3A9C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 wp14:anchorId="25B4037C" wp14:editId="05F678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78B44C" w14:textId="77777777" w:rsidR="007D7274" w:rsidRDefault="007D7274">
      <w:pPr>
        <w:pStyle w:val="LineTop"/>
      </w:pPr>
    </w:p>
    <w:p w14:paraId="6AA9758A" w14:textId="77777777" w:rsidR="007D7274" w:rsidRDefault="007F3A9C">
      <w:pPr>
        <w:pStyle w:val="EPBodyTA1"/>
      </w:pPr>
      <w:r>
        <w:t>PRIJATÉ TEXTY</w:t>
      </w:r>
    </w:p>
    <w:p w14:paraId="020F163D" w14:textId="77777777" w:rsidR="007D7274" w:rsidRDefault="007D7274">
      <w:pPr>
        <w:pStyle w:val="LineBottom"/>
      </w:pPr>
    </w:p>
    <w:p w14:paraId="17D4D33E" w14:textId="77777777" w:rsidR="007D7274" w:rsidRDefault="007F3A9C">
      <w:pPr>
        <w:pStyle w:val="ATHeading1"/>
      </w:pPr>
      <w:bookmarkStart w:id="0" w:name="TANumber"/>
      <w:r>
        <w:t>P10_TA(2025)0103</w:t>
      </w:r>
      <w:bookmarkEnd w:id="0"/>
    </w:p>
    <w:p w14:paraId="5AB8A407" w14:textId="77777777" w:rsidR="007D7274" w:rsidRDefault="007F3A9C">
      <w:pPr>
        <w:pStyle w:val="ATHeading2"/>
      </w:pPr>
      <w:r>
        <w:t xml:space="preserve">Pozastavenie uplatňovania určitých častí nariadenia (EÚ) 2015/478, pokiaľ ide o dovoz ukrajinských výrobkov do Európskej únie </w:t>
      </w:r>
    </w:p>
    <w:p w14:paraId="78797B5A" w14:textId="77777777" w:rsidR="007D7274" w:rsidRDefault="007F3A9C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1" w:name="DocNumber"/>
      <w:r>
        <w:rPr>
          <w:i/>
        </w:rPr>
        <w:instrText>A10-0059/2025</w:instrText>
      </w:r>
      <w:bookmarkEnd w:id="1"/>
      <w:r>
        <w:rPr>
          <w:i/>
        </w:rPr>
        <w:instrText xml:space="preserve"> - Spravodajkyňa: Karin </w:instrText>
      </w:r>
      <w:proofErr w:type="spellStart"/>
      <w:r>
        <w:rPr>
          <w:i/>
        </w:rPr>
        <w:instrText>Karlsbro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14:paraId="677E3197" w14:textId="77777777" w:rsidR="007D7274" w:rsidRDefault="007F3A9C">
      <w:pPr>
        <w:rPr>
          <w:vanish/>
        </w:rPr>
      </w:pPr>
      <w:bookmarkStart w:id="2" w:name="Commission"/>
      <w:r>
        <w:rPr>
          <w:vanish/>
        </w:rPr>
        <w:t>Výbor pre medzinárodný obchod</w:t>
      </w:r>
      <w:bookmarkEnd w:id="2"/>
    </w:p>
    <w:p w14:paraId="6F415E78" w14:textId="77777777" w:rsidR="007D7274" w:rsidRDefault="007F3A9C">
      <w:pPr>
        <w:rPr>
          <w:vanish/>
        </w:rPr>
      </w:pPr>
      <w:bookmarkStart w:id="3" w:name="PE"/>
      <w:r>
        <w:rPr>
          <w:vanish/>
        </w:rPr>
        <w:t>PE772.143</w:t>
      </w:r>
      <w:bookmarkEnd w:id="3"/>
    </w:p>
    <w:p w14:paraId="39D22206" w14:textId="77777777" w:rsidR="007D7274" w:rsidRDefault="007F3A9C">
      <w:pPr>
        <w:pStyle w:val="ATHeading3"/>
      </w:pPr>
      <w:bookmarkStart w:id="4" w:name="Sujet"/>
      <w:r>
        <w:t>Legislatívne uznesenie Európskeho parlamentu z 8. mája 2025 o návrhu nariadenia Európskeho parlamentu a Rady, ktorým sa pozastavuje uplatňovanie určitých častí nariadenia (EÚ) 2015/478, pokiaľ ide o dovoz ukrajinských výrobkov do Európskej únie</w:t>
      </w:r>
      <w:bookmarkEnd w:id="4"/>
      <w:r>
        <w:t xml:space="preserve"> </w:t>
      </w:r>
      <w:bookmarkStart w:id="5" w:name="References"/>
      <w:r>
        <w:t>(COM(2025)0107 – C10-0042/2025 – 2025/0056(COD))</w:t>
      </w:r>
      <w:bookmarkEnd w:id="5"/>
    </w:p>
    <w:p w14:paraId="4D70008B" w14:textId="77777777" w:rsidR="007D7274" w:rsidRDefault="007D7274"/>
    <w:p w14:paraId="5CD1AF75" w14:textId="77777777" w:rsidR="007D7274" w:rsidRDefault="007F3A9C">
      <w:pPr>
        <w:pStyle w:val="NormalBold"/>
      </w:pPr>
      <w:bookmarkStart w:id="6" w:name="TextBodyBegin"/>
      <w:bookmarkEnd w:id="6"/>
      <w:r>
        <w:t>(Riadny legislatívny postup: prvé čítanie)</w:t>
      </w:r>
    </w:p>
    <w:p w14:paraId="734508F9" w14:textId="77777777" w:rsidR="007D7274" w:rsidRDefault="007F3A9C">
      <w:pPr>
        <w:pStyle w:val="EPComma"/>
      </w:pPr>
      <w:r>
        <w:rPr>
          <w:i/>
        </w:rPr>
        <w:t>Európsky parlament</w:t>
      </w:r>
      <w:r>
        <w:t>,</w:t>
      </w:r>
    </w:p>
    <w:p w14:paraId="3A7620C2" w14:textId="77777777" w:rsidR="007D7274" w:rsidRDefault="007F3A9C">
      <w:pPr>
        <w:pStyle w:val="NormalHanging12a"/>
      </w:pPr>
      <w:r>
        <w:t>–</w:t>
      </w:r>
      <w:r>
        <w:tab/>
        <w:t>so zreteľom na návrh Komisie pre Európsky parlament a Radu (COM(2025)0107),</w:t>
      </w:r>
    </w:p>
    <w:p w14:paraId="60D38652" w14:textId="77777777" w:rsidR="007D7274" w:rsidRDefault="007F3A9C">
      <w:pPr>
        <w:pStyle w:val="NormalHanging12a"/>
      </w:pPr>
      <w:r>
        <w:t>–</w:t>
      </w:r>
      <w:r>
        <w:tab/>
        <w:t xml:space="preserve">so zreteľom na článok 294 ods. 2 a článok 207 ods. 2 Zmluvy o fungovaní </w:t>
      </w:r>
      <w:r>
        <w:t>Európskej únie, v súlade s ktorými Komisia predložila návrh Európskemu parlamentu (C10</w:t>
      </w:r>
      <w:r>
        <w:noBreakHyphen/>
        <w:t>0042/2025),</w:t>
      </w:r>
    </w:p>
    <w:p w14:paraId="2DD4DB72" w14:textId="77777777" w:rsidR="007D7274" w:rsidRDefault="007F3A9C">
      <w:pPr>
        <w:pStyle w:val="NormalHanging12a"/>
      </w:pPr>
      <w:r>
        <w:t>–</w:t>
      </w:r>
      <w:r>
        <w:tab/>
        <w:t>so zreteľom na článok 294 ods. 3 Zmluvy o fungovaní Európskej únie,</w:t>
      </w:r>
    </w:p>
    <w:p w14:paraId="59F36E38" w14:textId="77777777" w:rsidR="007D7274" w:rsidRDefault="007F3A9C">
      <w:pPr>
        <w:pStyle w:val="NormalHanging12a"/>
      </w:pPr>
      <w:r>
        <w:t>–</w:t>
      </w:r>
      <w:r>
        <w:tab/>
        <w:t>so zreteľom na predbežnú dohodu schválenú gestorským výborom podľa článku 75 ods. 4 rokovacieho poriadku, a na záväzok zástupcu Rady, vyjadrený v liste z 2. apríla 2025, schváliť pozíciu Európskeho parlamentu v súlade s článkom 294 ods. 4 Zmluvy o fungovaní Európskej únie,</w:t>
      </w:r>
    </w:p>
    <w:p w14:paraId="6AD830F5" w14:textId="77777777" w:rsidR="007D7274" w:rsidRDefault="007F3A9C">
      <w:pPr>
        <w:pStyle w:val="NormalHanging12a"/>
      </w:pPr>
      <w:r>
        <w:t>–</w:t>
      </w:r>
      <w:r>
        <w:tab/>
        <w:t>so zreteľom na článok 60 rokovacieho poriadku,</w:t>
      </w:r>
    </w:p>
    <w:p w14:paraId="02DB2650" w14:textId="77777777" w:rsidR="007D7274" w:rsidRDefault="007F3A9C">
      <w:pPr>
        <w:pStyle w:val="NormalHanging12a"/>
      </w:pPr>
      <w:r>
        <w:t>–</w:t>
      </w:r>
      <w:r>
        <w:tab/>
        <w:t>so zreteľom na správu Výboru pre medzinárodný obchod (A10-0059/2025),</w:t>
      </w:r>
    </w:p>
    <w:p w14:paraId="2C596F8E" w14:textId="77777777" w:rsidR="007D7274" w:rsidRDefault="007F3A9C">
      <w:pPr>
        <w:pStyle w:val="NormalHanging12a"/>
      </w:pPr>
      <w:r>
        <w:t>1.</w:t>
      </w:r>
      <w:r>
        <w:tab/>
        <w:t>prijíma nasledujúcu pozíciu v prvom čítaní;</w:t>
      </w:r>
    </w:p>
    <w:p w14:paraId="7E195FAB" w14:textId="77777777" w:rsidR="007D7274" w:rsidRDefault="007F3A9C"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 w14:paraId="2E782619" w14:textId="77777777" w:rsidR="007D7274" w:rsidRDefault="007F3A9C"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 w14:paraId="525A540A" w14:textId="77777777" w:rsidR="007D7274" w:rsidRDefault="007D7274">
      <w:pPr>
        <w:sectPr w:rsidR="007D72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E56DDFE" w14:textId="77777777" w:rsidR="007D7274" w:rsidRDefault="007F3A9C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P10_TC1-COD(2025)0056</w:t>
      </w:r>
    </w:p>
    <w:p w14:paraId="158F5BBA" w14:textId="77777777" w:rsidR="007D7274" w:rsidRDefault="007F3A9C">
      <w:pPr>
        <w:autoSpaceDE w:val="0"/>
        <w:autoSpaceDN w:val="0"/>
        <w:adjustRightInd w:val="0"/>
        <w:spacing w:after="240" w:line="260" w:lineRule="exact"/>
        <w:rPr>
          <w:rFonts w:eastAsia="Calibri"/>
          <w:b/>
          <w:noProof/>
          <w:szCs w:val="22"/>
        </w:rPr>
      </w:pPr>
      <w:r>
        <w:rPr>
          <w:b/>
        </w:rPr>
        <w:t>Pozícia Európskeho parlamentu prijatá v prvom čítaní 8. mája</w:t>
      </w:r>
      <w:r>
        <w:rPr>
          <w:b/>
          <w:color w:val="FFFF00"/>
        </w:rPr>
        <w:t xml:space="preserve"> </w:t>
      </w:r>
      <w:r>
        <w:rPr>
          <w:b/>
        </w:rPr>
        <w:t xml:space="preserve">2025 na účely prijatia nariadenia Európskeho parlamentu a Rady (EÚ) 2025/..., </w:t>
      </w:r>
      <w:r>
        <w:rPr>
          <w:rFonts w:eastAsia="Calibri"/>
          <w:b/>
          <w:noProof/>
          <w:szCs w:val="22"/>
        </w:rPr>
        <w:t>ktorým sa pozastavujú určité ustanovenia nariadenia (EÚ) 2015/478, pokiaľ ide o dovoz ukrajinských výrobkov do Únie</w:t>
      </w:r>
    </w:p>
    <w:p w14:paraId="68B8C767" w14:textId="77777777" w:rsidR="007F3A9C" w:rsidRDefault="007F3A9C">
      <w:pPr>
        <w:autoSpaceDE w:val="0"/>
        <w:autoSpaceDN w:val="0"/>
        <w:adjustRightInd w:val="0"/>
        <w:spacing w:after="240" w:line="260" w:lineRule="exact"/>
        <w:rPr>
          <w:rFonts w:eastAsia="Calibri"/>
          <w:b/>
          <w:noProof/>
          <w:szCs w:val="22"/>
        </w:rPr>
      </w:pPr>
    </w:p>
    <w:p w14:paraId="24C358CD" w14:textId="164F3580" w:rsidR="007F3A9C" w:rsidRPr="00731EF8" w:rsidRDefault="007F3A9C" w:rsidP="007F3A9C">
      <w:r w:rsidRPr="00731EF8">
        <w:rPr>
          <w:i/>
          <w:iCs/>
        </w:rPr>
        <w:t xml:space="preserve">(Keďže bola dosiahnutá dohoda medzi Európskym parlamentom a Radou, pozícia Európskeho parlamentu </w:t>
      </w:r>
      <w:r w:rsidRPr="007F3A9C">
        <w:rPr>
          <w:i/>
          <w:iCs/>
        </w:rPr>
        <w:t>zodpovedá záverečnému legislatívnemu aktu, nariadeniu (EÚ) 2025/</w:t>
      </w:r>
      <w:r>
        <w:rPr>
          <w:i/>
          <w:iCs/>
        </w:rPr>
        <w:t>1153</w:t>
      </w:r>
      <w:r w:rsidRPr="007F3A9C">
        <w:rPr>
          <w:i/>
          <w:iCs/>
        </w:rPr>
        <w:t>.)</w:t>
      </w:r>
    </w:p>
    <w:p w14:paraId="493D1F95" w14:textId="77777777" w:rsidR="007F3A9C" w:rsidRDefault="007F3A9C">
      <w:pPr>
        <w:autoSpaceDE w:val="0"/>
        <w:autoSpaceDN w:val="0"/>
        <w:adjustRightInd w:val="0"/>
        <w:spacing w:after="240" w:line="260" w:lineRule="exact"/>
        <w:rPr>
          <w:rFonts w:eastAsia="Calibri"/>
          <w:b/>
          <w:noProof/>
          <w:szCs w:val="22"/>
        </w:rPr>
      </w:pPr>
    </w:p>
    <w:sectPr w:rsidR="007F3A9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FEFEB" w14:textId="77777777" w:rsidR="007D7274" w:rsidRDefault="007F3A9C">
      <w:r>
        <w:separator/>
      </w:r>
    </w:p>
  </w:endnote>
  <w:endnote w:type="continuationSeparator" w:id="0">
    <w:p w14:paraId="475FB852" w14:textId="77777777" w:rsidR="007D7274" w:rsidRDefault="007F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AED13" w14:textId="77777777" w:rsidR="007D7274" w:rsidRDefault="007D72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ADB15" w14:textId="77777777" w:rsidR="007D7274" w:rsidRDefault="007D727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0A456" w14:textId="77777777" w:rsidR="007D7274" w:rsidRDefault="007D72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3A291" w14:textId="77777777" w:rsidR="007D7274" w:rsidRDefault="007F3A9C">
      <w:r>
        <w:separator/>
      </w:r>
    </w:p>
  </w:footnote>
  <w:footnote w:type="continuationSeparator" w:id="0">
    <w:p w14:paraId="08803258" w14:textId="77777777" w:rsidR="007D7274" w:rsidRDefault="007F3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79EA2" w14:textId="77777777" w:rsidR="007D7274" w:rsidRDefault="007D72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893E3" w14:textId="77777777" w:rsidR="007D7274" w:rsidRDefault="007D727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00D39" w14:textId="77777777" w:rsidR="007D7274" w:rsidRDefault="007D72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06260215">
    <w:abstractNumId w:val="9"/>
  </w:num>
  <w:num w:numId="2" w16cid:durableId="364453788">
    <w:abstractNumId w:val="9"/>
  </w:num>
  <w:num w:numId="3" w16cid:durableId="1108963285">
    <w:abstractNumId w:val="7"/>
  </w:num>
  <w:num w:numId="4" w16cid:durableId="353504036">
    <w:abstractNumId w:val="7"/>
  </w:num>
  <w:num w:numId="5" w16cid:durableId="387268883">
    <w:abstractNumId w:val="6"/>
  </w:num>
  <w:num w:numId="6" w16cid:durableId="1812139681">
    <w:abstractNumId w:val="6"/>
  </w:num>
  <w:num w:numId="7" w16cid:durableId="1282684975">
    <w:abstractNumId w:val="5"/>
  </w:num>
  <w:num w:numId="8" w16cid:durableId="2146653696">
    <w:abstractNumId w:val="5"/>
  </w:num>
  <w:num w:numId="9" w16cid:durableId="634526534">
    <w:abstractNumId w:val="4"/>
  </w:num>
  <w:num w:numId="10" w16cid:durableId="2057390687">
    <w:abstractNumId w:val="4"/>
  </w:num>
  <w:num w:numId="11" w16cid:durableId="1368339127">
    <w:abstractNumId w:val="8"/>
  </w:num>
  <w:num w:numId="12" w16cid:durableId="1589341978">
    <w:abstractNumId w:val="8"/>
  </w:num>
  <w:num w:numId="13" w16cid:durableId="218328421">
    <w:abstractNumId w:val="3"/>
  </w:num>
  <w:num w:numId="14" w16cid:durableId="1149593255">
    <w:abstractNumId w:val="3"/>
  </w:num>
  <w:num w:numId="15" w16cid:durableId="1732075606">
    <w:abstractNumId w:val="2"/>
  </w:num>
  <w:num w:numId="16" w16cid:durableId="928852407">
    <w:abstractNumId w:val="2"/>
  </w:num>
  <w:num w:numId="17" w16cid:durableId="1689332835">
    <w:abstractNumId w:val="1"/>
  </w:num>
  <w:num w:numId="18" w16cid:durableId="445927124">
    <w:abstractNumId w:val="1"/>
  </w:num>
  <w:num w:numId="19" w16cid:durableId="1597858008">
    <w:abstractNumId w:val="0"/>
  </w:num>
  <w:num w:numId="20" w16cid:durableId="721248025">
    <w:abstractNumId w:val="0"/>
  </w:num>
  <w:num w:numId="21" w16cid:durableId="767232432">
    <w:abstractNumId w:val="9"/>
  </w:num>
  <w:num w:numId="22" w16cid:durableId="1605845571">
    <w:abstractNumId w:val="7"/>
  </w:num>
  <w:num w:numId="23" w16cid:durableId="417214373">
    <w:abstractNumId w:val="6"/>
  </w:num>
  <w:num w:numId="24" w16cid:durableId="1148014216">
    <w:abstractNumId w:val="5"/>
  </w:num>
  <w:num w:numId="25" w16cid:durableId="1415005766">
    <w:abstractNumId w:val="4"/>
  </w:num>
  <w:num w:numId="26" w16cid:durableId="411707540">
    <w:abstractNumId w:val="8"/>
  </w:num>
  <w:num w:numId="27" w16cid:durableId="841698511">
    <w:abstractNumId w:val="3"/>
  </w:num>
  <w:num w:numId="28" w16cid:durableId="1807045158">
    <w:abstractNumId w:val="2"/>
  </w:num>
  <w:num w:numId="29" w16cid:durableId="1720279315">
    <w:abstractNumId w:val="1"/>
  </w:num>
  <w:num w:numId="30" w16cid:durableId="931625569">
    <w:abstractNumId w:val="0"/>
  </w:num>
  <w:num w:numId="31" w16cid:durableId="1733112697">
    <w:abstractNumId w:val="9"/>
  </w:num>
  <w:num w:numId="32" w16cid:durableId="1864006815">
    <w:abstractNumId w:val="7"/>
  </w:num>
  <w:num w:numId="33" w16cid:durableId="496573541">
    <w:abstractNumId w:val="6"/>
  </w:num>
  <w:num w:numId="34" w16cid:durableId="323974101">
    <w:abstractNumId w:val="5"/>
  </w:num>
  <w:num w:numId="35" w16cid:durableId="47800885">
    <w:abstractNumId w:val="4"/>
  </w:num>
  <w:num w:numId="36" w16cid:durableId="1546941293">
    <w:abstractNumId w:val="8"/>
  </w:num>
  <w:num w:numId="37" w16cid:durableId="262150028">
    <w:abstractNumId w:val="3"/>
  </w:num>
  <w:num w:numId="38" w16cid:durableId="1910774461">
    <w:abstractNumId w:val="2"/>
  </w:num>
  <w:num w:numId="39" w16cid:durableId="1875920884">
    <w:abstractNumId w:val="1"/>
  </w:num>
  <w:num w:numId="40" w16cid:durableId="706415766">
    <w:abstractNumId w:val="0"/>
  </w:num>
  <w:num w:numId="41" w16cid:durableId="1593081806">
    <w:abstractNumId w:val="10"/>
  </w:num>
  <w:num w:numId="42" w16cid:durableId="635452537">
    <w:abstractNumId w:val="10"/>
  </w:num>
  <w:num w:numId="43" w16cid:durableId="1986346820">
    <w:abstractNumId w:val="10"/>
  </w:num>
  <w:num w:numId="44" w16cid:durableId="11263186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SK"/>
    <w:docVar w:name="dvnumam" w:val="3"/>
    <w:docVar w:name="dvpe" w:val="772.143"/>
    <w:docVar w:name="dvrapporteur" w:val="Spravodajkyňa: "/>
    <w:docVar w:name="dvstar" w:val="***I"/>
    <w:docVar w:name="dvtitre" w:val="Legislatívne uznesenie Európskeho parlamentu z xx. mája 2025 o návrhu nariadenia Európskeho parlamentu a Rady, ktorým sa pozastavuje uplatňovanie určitých častí nariadenia (EÚ) 2015/478, pokiaľ ide o dovoz ukrajinských výrobkov do Európskej únie(COM(2025)0107 – C10-0042/2025 – 2025/0056(COD))"/>
  </w:docVars>
  <w:rsids>
    <w:rsidRoot w:val="007D7274"/>
    <w:rsid w:val="007D7274"/>
    <w:rsid w:val="007F3A9C"/>
    <w:rsid w:val="0085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7F255E"/>
  <w15:chartTrackingRefBased/>
  <w15:docId w15:val="{B1699FC4-3F09-4A4E-9941-BFD4D3C9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Pr>
      <w:b/>
      <w:sz w:val="24"/>
      <w:lang w:val="sk-SK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2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1B36E-7144-401F-94C6-3BB2DEDD7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2025-09-18T13:36:00Z</dcterms:created>
  <dcterms:modified xsi:type="dcterms:W3CDTF">2025-09-18T13:36:00Z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