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4D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4D95" w:rsidRDefault="00457E44" w:rsidP="0010095E">
            <w:pPr>
              <w:pStyle w:val="EPName"/>
            </w:pPr>
            <w:r w:rsidRPr="006C4D95">
              <w:t>Evropský parlament</w:t>
            </w:r>
          </w:p>
          <w:p w:rsidR="00751A4A" w:rsidRPr="006C4D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4D95">
              <w:t>2024</w:t>
            </w:r>
            <w:r w:rsidR="00817416" w:rsidRPr="006C4D95">
              <w:t>-202</w:t>
            </w:r>
            <w:r w:rsidRPr="006C4D9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C4D95" w:rsidRDefault="00187494" w:rsidP="0010095E">
            <w:pPr>
              <w:pStyle w:val="EPLogo"/>
            </w:pPr>
            <w:r w:rsidRPr="006C4D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4D95" w:rsidRDefault="00D058B8" w:rsidP="004C5D52">
      <w:pPr>
        <w:pStyle w:val="LineTop"/>
      </w:pPr>
    </w:p>
    <w:p w:rsidR="00680577" w:rsidRPr="006C4D95" w:rsidRDefault="00457E44" w:rsidP="00680577">
      <w:pPr>
        <w:pStyle w:val="EPBodyTA1"/>
      </w:pPr>
      <w:r w:rsidRPr="006C4D95">
        <w:t>PŘIJATÉ TEXTY</w:t>
      </w:r>
    </w:p>
    <w:p w:rsidR="00D058B8" w:rsidRPr="006C4D95" w:rsidRDefault="00D058B8" w:rsidP="00D058B8">
      <w:pPr>
        <w:pStyle w:val="LineBottom"/>
      </w:pPr>
    </w:p>
    <w:p w:rsidR="00457E44" w:rsidRPr="003471E7" w:rsidRDefault="00457E44" w:rsidP="00457E44">
      <w:pPr>
        <w:pStyle w:val="ATHeading1"/>
      </w:pPr>
      <w:bookmarkStart w:id="0" w:name="TANumber"/>
      <w:r w:rsidRPr="003471E7">
        <w:t>P10_TA(2025)0</w:t>
      </w:r>
      <w:r w:rsidR="006951E3">
        <w:t>1</w:t>
      </w:r>
      <w:r w:rsidRPr="003471E7">
        <w:t>0</w:t>
      </w:r>
      <w:r w:rsidR="006951E3">
        <w:t>4</w:t>
      </w:r>
      <w:bookmarkStart w:id="1" w:name="_GoBack"/>
      <w:bookmarkEnd w:id="0"/>
      <w:bookmarkEnd w:id="1"/>
    </w:p>
    <w:p w:rsidR="00457E44" w:rsidRPr="003471E7" w:rsidRDefault="00457E44" w:rsidP="00457E44">
      <w:pPr>
        <w:pStyle w:val="ATHeading2"/>
      </w:pPr>
      <w:bookmarkStart w:id="2" w:name="title"/>
      <w:r w:rsidRPr="003471E7">
        <w:t>Politika v oblasti hospodářské soutěže – výroční zpráva za rok 2024</w:t>
      </w:r>
      <w:bookmarkEnd w:id="2"/>
    </w:p>
    <w:p w:rsidR="00457E44" w:rsidRPr="006C4D95" w:rsidRDefault="00457E44" w:rsidP="00457E44">
      <w:pPr>
        <w:rPr>
          <w:i/>
          <w:vanish/>
        </w:rPr>
      </w:pPr>
      <w:r w:rsidRPr="006C4D95">
        <w:rPr>
          <w:i/>
        </w:rPr>
        <w:fldChar w:fldCharType="begin"/>
      </w:r>
      <w:r w:rsidRPr="006C4D95">
        <w:rPr>
          <w:i/>
        </w:rPr>
        <w:instrText xml:space="preserve"> TC"(</w:instrText>
      </w:r>
      <w:bookmarkStart w:id="3" w:name="DocNumber"/>
      <w:r w:rsidRPr="006C4D95">
        <w:rPr>
          <w:i/>
        </w:rPr>
        <w:instrText>A10-0071/2025</w:instrText>
      </w:r>
      <w:bookmarkEnd w:id="3"/>
      <w:r w:rsidRPr="006C4D95">
        <w:rPr>
          <w:i/>
        </w:rPr>
        <w:instrText xml:space="preserve"> - Zpravodajka: Lara </w:instrText>
      </w:r>
      <w:proofErr w:type="spellStart"/>
      <w:r w:rsidRPr="006C4D95">
        <w:rPr>
          <w:i/>
        </w:rPr>
        <w:instrText>Wolters</w:instrText>
      </w:r>
      <w:proofErr w:type="spellEnd"/>
      <w:r w:rsidRPr="006C4D95">
        <w:rPr>
          <w:i/>
        </w:rPr>
        <w:instrText xml:space="preserve">)"\l3 \n&gt; \* MERGEFORMAT </w:instrText>
      </w:r>
      <w:r w:rsidRPr="006C4D95">
        <w:rPr>
          <w:i/>
        </w:rPr>
        <w:fldChar w:fldCharType="end"/>
      </w:r>
    </w:p>
    <w:p w:rsidR="00457E44" w:rsidRPr="006C4D95" w:rsidRDefault="00457E44" w:rsidP="00457E44">
      <w:pPr>
        <w:rPr>
          <w:vanish/>
        </w:rPr>
      </w:pPr>
      <w:bookmarkStart w:id="4" w:name="Commission"/>
      <w:r w:rsidRPr="006C4D95">
        <w:rPr>
          <w:vanish/>
        </w:rPr>
        <w:t>Hospodářský a měnový výbor</w:t>
      </w:r>
      <w:bookmarkEnd w:id="4"/>
    </w:p>
    <w:p w:rsidR="00457E44" w:rsidRPr="006C4D95" w:rsidRDefault="00457E44" w:rsidP="00457E44">
      <w:pPr>
        <w:rPr>
          <w:vanish/>
        </w:rPr>
      </w:pPr>
      <w:bookmarkStart w:id="5" w:name="PE"/>
      <w:r w:rsidRPr="006C4D95">
        <w:rPr>
          <w:vanish/>
        </w:rPr>
        <w:t>PE765.240</w:t>
      </w:r>
      <w:bookmarkEnd w:id="5"/>
    </w:p>
    <w:p w:rsidR="00457E44" w:rsidRPr="003471E7" w:rsidRDefault="00457E44" w:rsidP="00457E44">
      <w:pPr>
        <w:pStyle w:val="ATHeading3"/>
      </w:pPr>
      <w:bookmarkStart w:id="6" w:name="Sujet"/>
      <w:r w:rsidRPr="003471E7">
        <w:t>Usnesení Evropského parlamentu ze dne 8. května 2025 o politice v oblasti hospodářské soutěže – výroční zpráva za rok 2024</w:t>
      </w:r>
      <w:bookmarkEnd w:id="6"/>
      <w:r w:rsidRPr="003471E7">
        <w:t xml:space="preserve"> </w:t>
      </w:r>
      <w:bookmarkStart w:id="7" w:name="References"/>
      <w:r w:rsidRPr="003471E7">
        <w:t>(2024/2079(INI))</w:t>
      </w:r>
      <w:bookmarkEnd w:id="7"/>
    </w:p>
    <w:p w:rsidR="00DE5101" w:rsidRPr="006C4D95" w:rsidRDefault="00DE5101" w:rsidP="00DE5101">
      <w:pPr>
        <w:pStyle w:val="EPComma"/>
        <w:rPr>
          <w:lang w:val="cs-CZ"/>
        </w:rPr>
      </w:pPr>
      <w:r w:rsidRPr="006C4D95">
        <w:rPr>
          <w:rStyle w:val="Italic"/>
          <w:lang w:val="cs-CZ"/>
        </w:rPr>
        <w:t>Evropský parlament</w:t>
      </w:r>
      <w:r w:rsidRPr="006C4D95">
        <w:rPr>
          <w:lang w:val="cs-CZ"/>
        </w:rPr>
        <w:t>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lang w:val="cs-CZ"/>
        </w:rPr>
        <w:t>–</w:t>
      </w:r>
      <w:r w:rsidRPr="006C4D95">
        <w:rPr>
          <w:lang w:val="cs-CZ"/>
        </w:rPr>
        <w:tab/>
        <w:t>s ohledem na Smlouv</w:t>
      </w:r>
      <w:r w:rsidRPr="006C4D95">
        <w:rPr>
          <w:szCs w:val="24"/>
          <w:lang w:val="cs-CZ"/>
        </w:rPr>
        <w:t>u o fungování Evropské unie (</w:t>
      </w:r>
      <w:r w:rsidR="006C4D95">
        <w:rPr>
          <w:szCs w:val="24"/>
          <w:lang w:val="cs-CZ"/>
        </w:rPr>
        <w:t>dále jen „</w:t>
      </w:r>
      <w:r w:rsidRPr="006C4D95">
        <w:rPr>
          <w:szCs w:val="24"/>
          <w:lang w:val="cs-CZ"/>
        </w:rPr>
        <w:t>S</w:t>
      </w:r>
      <w:r w:rsidR="006C4D95">
        <w:rPr>
          <w:szCs w:val="24"/>
          <w:lang w:val="cs-CZ"/>
        </w:rPr>
        <w:t xml:space="preserve">mlouva o fungování </w:t>
      </w:r>
      <w:r w:rsidRPr="006C4D95">
        <w:rPr>
          <w:szCs w:val="24"/>
          <w:lang w:val="cs-CZ"/>
        </w:rPr>
        <w:t>EU</w:t>
      </w:r>
      <w:r w:rsidR="006C4D95">
        <w:rPr>
          <w:szCs w:val="24"/>
          <w:lang w:val="cs-CZ"/>
        </w:rPr>
        <w:t>“</w:t>
      </w:r>
      <w:r w:rsidRPr="006C4D95">
        <w:rPr>
          <w:szCs w:val="24"/>
          <w:lang w:val="cs-CZ"/>
        </w:rPr>
        <w:t>), zejména na články 101 až 109 této smlouvy,</w:t>
      </w:r>
    </w:p>
    <w:p w:rsidR="00DE5101" w:rsidRPr="007879D5" w:rsidRDefault="00DE5101" w:rsidP="006C4D95">
      <w:pPr>
        <w:pStyle w:val="NormalHanging12a"/>
        <w:rPr>
          <w:szCs w:val="24"/>
          <w:lang w:val="cs-CZ"/>
        </w:rPr>
      </w:pPr>
      <w:r w:rsidRPr="007879D5">
        <w:rPr>
          <w:szCs w:val="24"/>
          <w:lang w:val="cs-CZ"/>
        </w:rPr>
        <w:t>–</w:t>
      </w:r>
      <w:r w:rsidRPr="007879D5">
        <w:rPr>
          <w:szCs w:val="24"/>
          <w:lang w:val="cs-CZ"/>
        </w:rPr>
        <w:tab/>
        <w:t xml:space="preserve">s ohledem na publikaci Ursuly von der </w:t>
      </w:r>
      <w:proofErr w:type="spellStart"/>
      <w:r w:rsidRPr="007879D5">
        <w:rPr>
          <w:szCs w:val="24"/>
          <w:lang w:val="cs-CZ"/>
        </w:rPr>
        <w:t>Leyenové</w:t>
      </w:r>
      <w:proofErr w:type="spellEnd"/>
      <w:r w:rsidRPr="007879D5">
        <w:rPr>
          <w:szCs w:val="24"/>
          <w:lang w:val="cs-CZ"/>
        </w:rPr>
        <w:t xml:space="preserve"> ze dne 18. července 2024 </w:t>
      </w:r>
      <w:r w:rsidR="007879D5" w:rsidRPr="007879D5">
        <w:rPr>
          <w:szCs w:val="24"/>
          <w:lang w:val="cs-CZ"/>
        </w:rPr>
        <w:t>nazvanou</w:t>
      </w:r>
      <w:r w:rsidRPr="007879D5">
        <w:rPr>
          <w:szCs w:val="24"/>
          <w:lang w:val="cs-CZ"/>
        </w:rPr>
        <w:t xml:space="preserve"> „Volba Evropy: politické směry pro příští Evropskou komisi 2024–2029“,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 xml:space="preserve">s ohledem na zprávu ze dne 9. září 2024, kterou vypracoval Mario </w:t>
      </w:r>
      <w:proofErr w:type="spellStart"/>
      <w:r w:rsidRPr="006C4D95">
        <w:rPr>
          <w:szCs w:val="24"/>
          <w:lang w:val="cs-CZ"/>
        </w:rPr>
        <w:t>Draghi</w:t>
      </w:r>
      <w:proofErr w:type="spellEnd"/>
      <w:r w:rsidRPr="006C4D95">
        <w:rPr>
          <w:szCs w:val="24"/>
          <w:lang w:val="cs-CZ"/>
        </w:rPr>
        <w:t xml:space="preserve"> pod názvem „Budoucnost evropské konkurenceschopnosti“,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 xml:space="preserve">s ohledem na zprávu ze dne 18. dubna 2024, kterou vypracoval Enrico </w:t>
      </w:r>
      <w:proofErr w:type="spellStart"/>
      <w:r w:rsidRPr="006C4D95">
        <w:rPr>
          <w:szCs w:val="24"/>
          <w:lang w:val="cs-CZ"/>
        </w:rPr>
        <w:t>Letta</w:t>
      </w:r>
      <w:proofErr w:type="spellEnd"/>
      <w:r w:rsidRPr="006C4D95">
        <w:rPr>
          <w:szCs w:val="24"/>
          <w:lang w:val="cs-CZ"/>
        </w:rPr>
        <w:t xml:space="preserve"> pod názvem „Mnohem více než trh“,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 ohledem na zvláštní zprávu Evropského účetního dvora 21/2024 ze dne 23. října 2024 nazvanou „Státní podpora v době krize – Pohotová reakce, avšak nedostatky v monitorování prováděném Komisí a nejednotnost rámce na podporu cílů průmyslové politiky EU“,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 ohledem na nařízení Rady (ES) č. 139/2004 ze dne 20. ledna 2004 o kontrole spojování podniků (nařízení ES o spojování)</w:t>
      </w:r>
      <w:r w:rsidRPr="006C4D95">
        <w:rPr>
          <w:rStyle w:val="FootnoteReference"/>
          <w:szCs w:val="24"/>
          <w:lang w:val="cs-CZ"/>
        </w:rPr>
        <w:footnoteReference w:id="1"/>
      </w:r>
      <w:r w:rsidRPr="006C4D95">
        <w:rPr>
          <w:szCs w:val="24"/>
          <w:lang w:val="cs-CZ"/>
        </w:rPr>
        <w:t>,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b/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 ohledem na článek 11 S</w:t>
      </w:r>
      <w:r w:rsidR="006C4D95">
        <w:rPr>
          <w:szCs w:val="24"/>
          <w:lang w:val="cs-CZ"/>
        </w:rPr>
        <w:t xml:space="preserve">mlouvy o fungování </w:t>
      </w:r>
      <w:r w:rsidRPr="006C4D95">
        <w:rPr>
          <w:szCs w:val="24"/>
          <w:lang w:val="cs-CZ"/>
        </w:rPr>
        <w:t>EU, podle kterého musí být požadavky na ochranu životního prostředí zahrnuty do vymezení a provádění politik a činností Unie, zejména s ohledem na podporu udržitelného rozvoje,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 ohledem na článek 3 rozhodnutí Evropského parlamentu</w:t>
      </w:r>
      <w:r w:rsidRPr="00276266">
        <w:rPr>
          <w:szCs w:val="24"/>
          <w:lang w:val="cs-CZ"/>
        </w:rPr>
        <w:t xml:space="preserve"> a </w:t>
      </w:r>
      <w:r w:rsidRPr="007879D5">
        <w:rPr>
          <w:szCs w:val="24"/>
          <w:lang w:val="cs-CZ"/>
        </w:rPr>
        <w:t xml:space="preserve">Rady (EU) 2022/591 ze dne 6. dubna 2022 o všeobecném akčním programu Unie pro životní prostředí na období do </w:t>
      </w:r>
      <w:r w:rsidRPr="007879D5">
        <w:rPr>
          <w:szCs w:val="24"/>
          <w:lang w:val="cs-CZ"/>
        </w:rPr>
        <w:lastRenderedPageBreak/>
        <w:t>roku 2030</w:t>
      </w:r>
      <w:r w:rsidRPr="006C4D95">
        <w:rPr>
          <w:rStyle w:val="FootnoteReference"/>
          <w:szCs w:val="24"/>
          <w:lang w:val="cs-CZ"/>
        </w:rPr>
        <w:footnoteReference w:id="2"/>
      </w:r>
      <w:r w:rsidRPr="006C4D95">
        <w:rPr>
          <w:szCs w:val="24"/>
          <w:lang w:val="cs-CZ"/>
        </w:rPr>
        <w:t>, v němž se stanoví, že dotace škodlivé pro životní prostředí, zejména dotace na fosilní paliva, by měly být neprodleně zrušeny,</w:t>
      </w:r>
    </w:p>
    <w:p w:rsidR="00DE5101" w:rsidRPr="003471E7" w:rsidRDefault="00DE5101" w:rsidP="006C4D95">
      <w:pPr>
        <w:pStyle w:val="NormalHanging12a"/>
        <w:rPr>
          <w:i/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 xml:space="preserve">s ohledem na rozsudky Soudního dvora Evropské unie ze dne 3. září 2024 ve věci C-611/22 P </w:t>
      </w:r>
      <w:proofErr w:type="spellStart"/>
      <w:r w:rsidRPr="003471E7">
        <w:rPr>
          <w:rStyle w:val="Italic"/>
          <w:i w:val="0"/>
          <w:szCs w:val="24"/>
          <w:lang w:val="cs-CZ"/>
        </w:rPr>
        <w:t>Illumina</w:t>
      </w:r>
      <w:proofErr w:type="spellEnd"/>
      <w:r w:rsidRPr="003471E7">
        <w:rPr>
          <w:rStyle w:val="Italic"/>
          <w:i w:val="0"/>
          <w:szCs w:val="24"/>
          <w:lang w:val="cs-CZ"/>
        </w:rPr>
        <w:t xml:space="preserve"> v. Komise</w:t>
      </w:r>
      <w:r w:rsidRPr="007879D5">
        <w:rPr>
          <w:rStyle w:val="FootnoteReference"/>
          <w:szCs w:val="24"/>
          <w:lang w:val="cs-CZ"/>
        </w:rPr>
        <w:footnoteReference w:id="3"/>
      </w:r>
      <w:r w:rsidRPr="007879D5">
        <w:rPr>
          <w:szCs w:val="24"/>
          <w:lang w:val="cs-CZ"/>
        </w:rPr>
        <w:t xml:space="preserve">, ze dne 10. září 2024 ve věci C-465/20 P </w:t>
      </w:r>
      <w:r w:rsidRPr="003471E7">
        <w:rPr>
          <w:rStyle w:val="Italic"/>
          <w:i w:val="0"/>
          <w:szCs w:val="24"/>
          <w:lang w:val="cs-CZ"/>
        </w:rPr>
        <w:t>Evropská komise v. Irsko a další</w:t>
      </w:r>
      <w:r w:rsidRPr="007879D5">
        <w:rPr>
          <w:rStyle w:val="FootnoteReference"/>
          <w:szCs w:val="24"/>
          <w:lang w:val="cs-CZ"/>
        </w:rPr>
        <w:footnoteReference w:id="4"/>
      </w:r>
      <w:r w:rsidRPr="007879D5">
        <w:rPr>
          <w:szCs w:val="24"/>
          <w:lang w:val="cs-CZ"/>
        </w:rPr>
        <w:t xml:space="preserve"> a ze dne 10. září 2024 ve věci C-48/22 P (</w:t>
      </w:r>
      <w:r w:rsidRPr="003471E7">
        <w:rPr>
          <w:rStyle w:val="Italic"/>
          <w:i w:val="0"/>
          <w:szCs w:val="24"/>
          <w:lang w:val="cs-CZ"/>
        </w:rPr>
        <w:t>Google a </w:t>
      </w:r>
      <w:proofErr w:type="spellStart"/>
      <w:r w:rsidRPr="003471E7">
        <w:rPr>
          <w:rStyle w:val="Italic"/>
          <w:i w:val="0"/>
          <w:szCs w:val="24"/>
          <w:lang w:val="cs-CZ"/>
        </w:rPr>
        <w:t>Alphabet</w:t>
      </w:r>
      <w:proofErr w:type="spellEnd"/>
      <w:r w:rsidRPr="003471E7">
        <w:rPr>
          <w:rStyle w:val="Italic"/>
          <w:i w:val="0"/>
          <w:szCs w:val="24"/>
          <w:lang w:val="cs-CZ"/>
        </w:rPr>
        <w:t xml:space="preserve"> v. Komise</w:t>
      </w:r>
      <w:r w:rsidRPr="007879D5">
        <w:rPr>
          <w:szCs w:val="24"/>
          <w:lang w:val="cs-CZ"/>
        </w:rPr>
        <w:t>)</w:t>
      </w:r>
      <w:r w:rsidRPr="007879D5">
        <w:rPr>
          <w:rStyle w:val="FootnoteReference"/>
          <w:szCs w:val="24"/>
          <w:lang w:val="cs-CZ"/>
        </w:rPr>
        <w:footnoteReference w:id="5"/>
      </w:r>
      <w:r w:rsidRPr="007879D5">
        <w:rPr>
          <w:szCs w:val="24"/>
          <w:lang w:val="cs-CZ"/>
        </w:rPr>
        <w:t>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 ohledem na zprávu Komise z června 2024 nazvanou „</w:t>
      </w:r>
      <w:proofErr w:type="spellStart"/>
      <w:r w:rsidRPr="006C4D95">
        <w:rPr>
          <w:szCs w:val="24"/>
          <w:lang w:val="cs-CZ"/>
        </w:rPr>
        <w:t>Protecting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competition</w:t>
      </w:r>
      <w:proofErr w:type="spellEnd"/>
      <w:r w:rsidRPr="006C4D95">
        <w:rPr>
          <w:szCs w:val="24"/>
          <w:lang w:val="cs-CZ"/>
        </w:rPr>
        <w:t xml:space="preserve"> in a </w:t>
      </w:r>
      <w:proofErr w:type="spellStart"/>
      <w:r w:rsidRPr="006C4D95">
        <w:rPr>
          <w:szCs w:val="24"/>
          <w:lang w:val="cs-CZ"/>
        </w:rPr>
        <w:t>changing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world</w:t>
      </w:r>
      <w:proofErr w:type="spellEnd"/>
      <w:r w:rsidRPr="006C4D95">
        <w:rPr>
          <w:szCs w:val="24"/>
          <w:lang w:val="cs-CZ"/>
        </w:rPr>
        <w:t xml:space="preserve"> – Evidence on </w:t>
      </w:r>
      <w:proofErr w:type="spellStart"/>
      <w:r w:rsidRPr="006C4D95">
        <w:rPr>
          <w:szCs w:val="24"/>
          <w:lang w:val="cs-CZ"/>
        </w:rPr>
        <w:t>the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evolution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of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competition</w:t>
      </w:r>
      <w:proofErr w:type="spellEnd"/>
      <w:r w:rsidRPr="006C4D95">
        <w:rPr>
          <w:szCs w:val="24"/>
          <w:lang w:val="cs-CZ"/>
        </w:rPr>
        <w:t xml:space="preserve"> in </w:t>
      </w:r>
      <w:proofErr w:type="spellStart"/>
      <w:r w:rsidRPr="006C4D95">
        <w:rPr>
          <w:szCs w:val="24"/>
          <w:lang w:val="cs-CZ"/>
        </w:rPr>
        <w:t>the</w:t>
      </w:r>
      <w:proofErr w:type="spellEnd"/>
      <w:r w:rsidRPr="006C4D95">
        <w:rPr>
          <w:szCs w:val="24"/>
          <w:lang w:val="cs-CZ"/>
        </w:rPr>
        <w:t xml:space="preserve"> EU </w:t>
      </w:r>
      <w:proofErr w:type="spellStart"/>
      <w:r w:rsidRPr="006C4D95">
        <w:rPr>
          <w:szCs w:val="24"/>
          <w:lang w:val="cs-CZ"/>
        </w:rPr>
        <w:t>during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the</w:t>
      </w:r>
      <w:proofErr w:type="spellEnd"/>
      <w:r w:rsidRPr="006C4D95">
        <w:rPr>
          <w:szCs w:val="24"/>
          <w:lang w:val="cs-CZ"/>
        </w:rPr>
        <w:t xml:space="preserve"> past 25 </w:t>
      </w:r>
      <w:proofErr w:type="spellStart"/>
      <w:r w:rsidRPr="006C4D95">
        <w:rPr>
          <w:szCs w:val="24"/>
          <w:lang w:val="cs-CZ"/>
        </w:rPr>
        <w:t>years</w:t>
      </w:r>
      <w:proofErr w:type="spellEnd"/>
      <w:r w:rsidRPr="006C4D95">
        <w:rPr>
          <w:szCs w:val="24"/>
          <w:lang w:val="cs-CZ"/>
        </w:rPr>
        <w:t>“ („Ochrana hospodářské soutěže v měnícím se světě – dokumentace vývoje hospodářské soutěže v EU za posledních 25 let“),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 ohledem na studii nazvanou „</w:t>
      </w:r>
      <w:proofErr w:type="spellStart"/>
      <w:r w:rsidRPr="006C4D95">
        <w:rPr>
          <w:szCs w:val="24"/>
          <w:lang w:val="cs-CZ"/>
        </w:rPr>
        <w:t>The</w:t>
      </w:r>
      <w:proofErr w:type="spellEnd"/>
      <w:r w:rsidRPr="006C4D95">
        <w:rPr>
          <w:szCs w:val="24"/>
          <w:lang w:val="cs-CZ"/>
        </w:rPr>
        <w:t xml:space="preserve"> role </w:t>
      </w:r>
      <w:proofErr w:type="spellStart"/>
      <w:r w:rsidRPr="006C4D95">
        <w:rPr>
          <w:szCs w:val="24"/>
          <w:lang w:val="cs-CZ"/>
        </w:rPr>
        <w:t>of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commodity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traders</w:t>
      </w:r>
      <w:proofErr w:type="spellEnd"/>
      <w:r w:rsidRPr="006C4D95">
        <w:rPr>
          <w:szCs w:val="24"/>
          <w:lang w:val="cs-CZ"/>
        </w:rPr>
        <w:t xml:space="preserve"> in </w:t>
      </w:r>
      <w:proofErr w:type="spellStart"/>
      <w:r w:rsidRPr="006C4D95">
        <w:rPr>
          <w:szCs w:val="24"/>
          <w:lang w:val="cs-CZ"/>
        </w:rPr>
        <w:t>shaping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agricultural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markets</w:t>
      </w:r>
      <w:proofErr w:type="spellEnd"/>
      <w:r w:rsidRPr="006C4D95">
        <w:rPr>
          <w:szCs w:val="24"/>
          <w:lang w:val="cs-CZ"/>
        </w:rPr>
        <w:t>“ („Úloha obchodníků s komoditami při utváření zemědělských trhů“), kterou v listopadu 2024 zveřejnila tematická sekce Strukturální politika a politika soudržnosti,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 xml:space="preserve">s ohledem na zprávu Evropského orgánu pro cenné papíry a trhy s názvem „CRA Market </w:t>
      </w:r>
      <w:proofErr w:type="spellStart"/>
      <w:r w:rsidRPr="006C4D95">
        <w:rPr>
          <w:szCs w:val="24"/>
          <w:lang w:val="cs-CZ"/>
        </w:rPr>
        <w:t>Share</w:t>
      </w:r>
      <w:proofErr w:type="spellEnd"/>
      <w:r w:rsidRPr="006C4D95">
        <w:rPr>
          <w:szCs w:val="24"/>
          <w:lang w:val="cs-CZ"/>
        </w:rPr>
        <w:t xml:space="preserve"> Report: 2023 </w:t>
      </w:r>
      <w:proofErr w:type="spellStart"/>
      <w:r w:rsidRPr="006C4D95">
        <w:rPr>
          <w:szCs w:val="24"/>
          <w:lang w:val="cs-CZ"/>
        </w:rPr>
        <w:t>edition</w:t>
      </w:r>
      <w:proofErr w:type="spellEnd"/>
      <w:r w:rsidRPr="006C4D95">
        <w:rPr>
          <w:szCs w:val="24"/>
          <w:lang w:val="cs-CZ"/>
        </w:rPr>
        <w:t>“ („Zpráva o tržním podílu ratingových agentur za rok 2023“) ze dne 20. prosince 2023,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 ohledem na článek 55 jednacího řádu,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–</w:t>
      </w:r>
      <w:r w:rsidRPr="006C4D95">
        <w:rPr>
          <w:szCs w:val="24"/>
          <w:lang w:val="cs-CZ"/>
        </w:rPr>
        <w:tab/>
        <w:t>s ohledem na zprávu Hospodářského a měnového výboru (A10-0071/2025),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A.</w:t>
      </w:r>
      <w:r w:rsidRPr="006C4D95">
        <w:rPr>
          <w:szCs w:val="24"/>
          <w:lang w:val="cs-CZ"/>
        </w:rPr>
        <w:tab/>
        <w:t>vzhledem k tomu, že současný náročný hospodářský, klimatický a geopolitický kontext, který se vyznačuje nejistotou a nepředvídatelností, vyžaduje nový přístup k evropské konkurenceschopnosti a konkrétní strategie na podporu hospodářského růstu;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B.</w:t>
      </w:r>
      <w:r w:rsidRPr="006C4D95">
        <w:rPr>
          <w:szCs w:val="24"/>
          <w:lang w:val="cs-CZ"/>
        </w:rPr>
        <w:tab/>
        <w:t>vzhledem k tomu, že řádné prosazování rámce politiky hospodářské soutěže EU vede k nižším cenám, vyšší kvalitě, většímu výběru pro spotřebitele, rychlejším inovacím a spravedlivějšímu a odolnějšímu hospodářství a chrání podmínky pro vstup hospodářských subjektů na vnitřní trh, přičemž bojuje proti zneužívání dominantního postavení, monopolům a praktikám narušujícím vnitřní trh;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C.</w:t>
      </w:r>
      <w:r w:rsidRPr="006C4D95">
        <w:rPr>
          <w:szCs w:val="24"/>
          <w:lang w:val="cs-CZ"/>
        </w:rPr>
        <w:tab/>
        <w:t>vzhledem k tomu, že v </w:t>
      </w:r>
      <w:proofErr w:type="spellStart"/>
      <w:r w:rsidRPr="006C4D95">
        <w:rPr>
          <w:szCs w:val="24"/>
          <w:lang w:val="cs-CZ"/>
        </w:rPr>
        <w:t>Draghiho</w:t>
      </w:r>
      <w:proofErr w:type="spellEnd"/>
      <w:r w:rsidRPr="006C4D95">
        <w:rPr>
          <w:szCs w:val="24"/>
          <w:lang w:val="cs-CZ"/>
        </w:rPr>
        <w:t xml:space="preserve"> zprávě se zdůrazňuje, že EU má širokou a diverzifikovanou průmyslovou inovační základnu se silnou komparativní výhodou v oblasti ekologických technologií, ale že je třeba soustavně vynakládat úsilí, aby byla tato výhoda zachována; vzhledem k tomu, že v tomto ohledu má zásadní význam začlenění klimatických a environmentálních aspektů do politiky hospodářské soutěže; vzhledem k tomu, že v </w:t>
      </w:r>
      <w:proofErr w:type="spellStart"/>
      <w:r w:rsidRPr="006C4D95">
        <w:rPr>
          <w:szCs w:val="24"/>
          <w:lang w:val="cs-CZ"/>
        </w:rPr>
        <w:t>Lettově</w:t>
      </w:r>
      <w:proofErr w:type="spellEnd"/>
      <w:r w:rsidRPr="006C4D95">
        <w:rPr>
          <w:szCs w:val="24"/>
          <w:lang w:val="cs-CZ"/>
        </w:rPr>
        <w:t xml:space="preserve"> zprávě se uvádí, že hlavním důvodem klesající konkurenceschopnosti Evropy je nedostatečná integrace EU ve finančním sektoru a v odvětvích energetiky a elektronických komunikací;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lastRenderedPageBreak/>
        <w:t>D.</w:t>
      </w:r>
      <w:r w:rsidRPr="006C4D95">
        <w:rPr>
          <w:szCs w:val="24"/>
          <w:lang w:val="cs-CZ"/>
        </w:rPr>
        <w:tab/>
        <w:t>vzhledem k tomu, že politika hospodářské soutěže EU by mohla přispět k posílení odolnosti vnitřního trhu a k dosažení cílů Zelené dohody pro Evropu, Digitálního kompasu 2030 a Kompasu konkurenceschopnosti, pro které má zásadní význam mezinárodní výměna a spolupráce;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E.</w:t>
      </w:r>
      <w:r w:rsidRPr="006C4D95">
        <w:rPr>
          <w:szCs w:val="24"/>
          <w:lang w:val="cs-CZ"/>
        </w:rPr>
        <w:tab/>
        <w:t>vzhledem k tomu, že Komise a vnitrostátní orgány pro hospodářskou soutěž musejí jednat nestranně a objektivně, aby byla zachována důvěryhodnost politiky hospodářské soutěže EU; vzhledem k tomu, že pro zajištění nestrannosti a důvěryhodnosti politiky hospodářské soutěže je naprosto nezbytná politická nezávislost vnitrostátních orgánů na ochranu hospodářské soutěže;</w:t>
      </w:r>
    </w:p>
    <w:p w:rsidR="00DE5101" w:rsidRPr="006C4D95" w:rsidRDefault="00DE5101" w:rsidP="006C4D95">
      <w:pPr>
        <w:pStyle w:val="Normal12a24b"/>
        <w:spacing w:before="0"/>
        <w:ind w:left="567" w:hanging="567"/>
        <w:rPr>
          <w:szCs w:val="24"/>
          <w:lang w:val="cs-CZ"/>
        </w:rPr>
      </w:pPr>
      <w:r w:rsidRPr="006C4D95">
        <w:rPr>
          <w:rStyle w:val="BoldItalic"/>
          <w:szCs w:val="24"/>
          <w:lang w:val="cs-CZ"/>
        </w:rPr>
        <w:t>Obecné úvahy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1.</w:t>
      </w:r>
      <w:r w:rsidRPr="006C4D95">
        <w:rPr>
          <w:szCs w:val="24"/>
          <w:lang w:val="cs-CZ"/>
        </w:rPr>
        <w:tab/>
        <w:t>domnívá se, že cílem právních předpisů EU v oblasti hospodářské soutěže je chránit před nadměrnou koncentrací a akumulací tržní síly, a znovu potvrzuje úlohu politiky hospodářské soutěže při podpoře účinnosti, inovací a růstu, vytváření rovných podmínek a ochraně spotřebitelů tím, že zajišťuje, aby trhy zůstaly konkurenceschopné, účinné, dynamické a inovativní a poskytovaly široký výběr kvalitních výrobků a služeb za spravedlivé ceny;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2.</w:t>
      </w:r>
      <w:r w:rsidRPr="006C4D95">
        <w:rPr>
          <w:szCs w:val="24"/>
          <w:lang w:val="cs-CZ"/>
        </w:rPr>
        <w:tab/>
        <w:t>opakuje, že politika hospodářské soutěže by měla přispívat ke všem politikám EU, zejména v oblastech udržitelnosti, energetiky, obrany a digitalizace; vítá závazek Komise vytvořit nový rámec pro státní podporu, který bude doprovázet Dohodu o čistém průmyslu, aby se zajistila konkurenceschopnost prostřednictvím mobilizace potřebné veřejné podpory na transformaci energetiky s cílem dekarbonizovat evropský průmysl, přičemž je třeba zajistit, že to nebude bránit inovacím, zvyšovat ceny ani omezovat hospodářskou soutěž na vnitřním trhu; opakuje, že státní podpora by neměla narušovat spravedlivou a účinnou hospodářskou soutěž;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3.</w:t>
      </w:r>
      <w:r w:rsidRPr="006C4D95">
        <w:rPr>
          <w:szCs w:val="24"/>
          <w:lang w:val="cs-CZ"/>
        </w:rPr>
        <w:tab/>
        <w:t>zdůrazňuje, že globální síla a význam jednotného trhu EU vyplývá nejen z jeho vnitřní a vnější konkurenceschopnosti, ale i z jeho schopnosti stanovovat společné normy a zaručovat územní soudržnost; konstatuje, že tvůrci politik by zároveň měli náležitě zohlednit mezinárodní vývoj v oblasti regulace a trhů, a vyzývá Komisi, aby usilovala o pokračování dialogu a spolupráce na mezinárodní úrovni, a to i prostřednictvím dohod o spolupráci druhé generace, které umožní efektivnější výměnu informací mezi orgány pro hospodářskou soutěž a větší vliv na politiku hospodářské soutěže v celosvětovém měřítku; zdůrazňuje význam Evropské sítě pro hospodářskou soutěž a vyzývá Komisi, aby v této souvislosti upřednostňovala trvalý konstruktivní dialog a spolupráci na mezinárodní úrovni; vyzývá ke koordinaci mezi vnitrostátními orgány pro hospodářskou soutěž s cílem zajistit jednotné uplatňování pravidel hospodářské soutěže a zdůrazňuje, že je nezbytné posílit spolupráci mezi antimonopolními a dalšími odvětvovými regulačními orgány;</w:t>
      </w:r>
    </w:p>
    <w:p w:rsidR="00DE5101" w:rsidRPr="006C4D95" w:rsidRDefault="00DE5101" w:rsidP="006C4D95">
      <w:pPr>
        <w:pStyle w:val="Normal12a24b"/>
        <w:spacing w:before="0"/>
        <w:ind w:left="567" w:hanging="567"/>
        <w:rPr>
          <w:szCs w:val="24"/>
          <w:lang w:val="cs-CZ"/>
        </w:rPr>
      </w:pPr>
      <w:r w:rsidRPr="006C4D95">
        <w:rPr>
          <w:rStyle w:val="BoldItalic"/>
          <w:szCs w:val="24"/>
          <w:lang w:val="cs-CZ"/>
        </w:rPr>
        <w:t>Konkurenceschopná Unie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4.</w:t>
      </w:r>
      <w:r w:rsidRPr="006C4D95">
        <w:rPr>
          <w:szCs w:val="24"/>
          <w:lang w:val="cs-CZ"/>
        </w:rPr>
        <w:tab/>
        <w:t>podporuje závazek Komise investovat do udržitelné konkurenceschopnosti; vítá důraz, který je kladen v </w:t>
      </w:r>
      <w:proofErr w:type="spellStart"/>
      <w:r w:rsidRPr="006C4D95">
        <w:rPr>
          <w:szCs w:val="24"/>
          <w:lang w:val="cs-CZ"/>
        </w:rPr>
        <w:t>Draghiho</w:t>
      </w:r>
      <w:proofErr w:type="spellEnd"/>
      <w:r w:rsidRPr="006C4D95">
        <w:rPr>
          <w:szCs w:val="24"/>
          <w:lang w:val="cs-CZ"/>
        </w:rPr>
        <w:t xml:space="preserve"> zprávě na inovace, investice, integraci trhu, dekarbonizaci a odolnost, a zaměření </w:t>
      </w:r>
      <w:proofErr w:type="spellStart"/>
      <w:r w:rsidRPr="006C4D95">
        <w:rPr>
          <w:szCs w:val="24"/>
          <w:lang w:val="cs-CZ"/>
        </w:rPr>
        <w:t>Lettovy</w:t>
      </w:r>
      <w:proofErr w:type="spellEnd"/>
      <w:r w:rsidRPr="006C4D95">
        <w:rPr>
          <w:szCs w:val="24"/>
          <w:lang w:val="cs-CZ"/>
        </w:rPr>
        <w:t xml:space="preserve"> zprávy na integraci, autonomii a solidaritu; vybízí k provádění politik, které podporují inovace, konkurenceschopnost a udržitelný a inkluzivní růst;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lastRenderedPageBreak/>
        <w:t>5.</w:t>
      </w:r>
      <w:r w:rsidRPr="006C4D95">
        <w:rPr>
          <w:szCs w:val="24"/>
          <w:lang w:val="cs-CZ"/>
        </w:rPr>
        <w:tab/>
        <w:t>zdůrazňuje, že pro zvýšení konkurenceschopnosti je zapotřebí koordinovaná, cílená a skutečně evropská politika; konstatuje, že to nesmí vést k dominantnímu postavení na trhu nebo k jeho zneužívání, k narušení cen ani k ekonomické neefektivitě, a poukazuje na potřebu účinných postupů pro kontrolu fúzí;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6.</w:t>
      </w:r>
      <w:r w:rsidRPr="006C4D95">
        <w:rPr>
          <w:szCs w:val="24"/>
          <w:lang w:val="cs-CZ"/>
        </w:rPr>
        <w:tab/>
        <w:t>domnívá se, že poskytovaná státní podpora by měla být v souladu s cíli politiky EU; bere na vědomí záměr Komise vydat pokyny týkající se slučitelnosti státní podpory s hledisky inovací, klimatu a hospodářské bezpečnosti, jakož i její opatření ke snížení a postupnému ukončení dotací na fosilní paliva v rámci Dohody o čistém průmyslu, a vybízí členské státy, aby zvážily zavedení dalších podmínek pro získání státní podpory; žádá zákaz poskytování státní podpory podnikům strukturovaným prostřednictvím daňových rájů mimo EU; vyzývá Komisi, vyzývá Komisi, aby prošetřila nedostatky v harmonizaci mechanismů zpětného vymáhání neoprávněně vyplacených prostředků;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7.</w:t>
      </w:r>
      <w:r w:rsidRPr="006C4D95">
        <w:rPr>
          <w:szCs w:val="24"/>
          <w:lang w:val="cs-CZ"/>
        </w:rPr>
        <w:tab/>
        <w:t>bere na vědomí zprávu Komise, v níž se uvádí, že koncentrace trhu, obchodní marže a zisky se za posledních 25 let zvýšily, zatímco dynamika průmyslu se navzdory aktivnímu prosazování právních předpisů v oblasti hospodářské soutěže snížila; bere rovněž na vědomí, že bylo zjištěno, že tento nárůst obchodních marží byl způsoben přerozdělením tržních podílů ve prospěch největších firem; dále konstatuje, že slabá úroveň hospodářské soutěže měla významné negativní dopady na spotřebitele, kupní sílu a konkurenceschopnost podniků v EU a celkový hospodářský růst; připomíná, že při uplatňování práva hospodářské soutěže je třeba se zamě</w:t>
      </w:r>
      <w:r w:rsidR="007879D5">
        <w:rPr>
          <w:szCs w:val="24"/>
          <w:lang w:val="cs-CZ"/>
        </w:rPr>
        <w:t>ř</w:t>
      </w:r>
      <w:r w:rsidRPr="007879D5">
        <w:rPr>
          <w:szCs w:val="24"/>
          <w:lang w:val="cs-CZ"/>
        </w:rPr>
        <w:t>it na zajištění otevřených a </w:t>
      </w:r>
      <w:r w:rsidRPr="006C4D95">
        <w:rPr>
          <w:szCs w:val="24"/>
          <w:lang w:val="cs-CZ"/>
        </w:rPr>
        <w:t>konkurenceschopných trhů bez praktik narušujících hospodářskou soutěž;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8.</w:t>
      </w:r>
      <w:r w:rsidRPr="006C4D95">
        <w:rPr>
          <w:szCs w:val="24"/>
          <w:lang w:val="cs-CZ"/>
        </w:rPr>
        <w:tab/>
        <w:t>poukazuje na to, že státní podpora se stále častěji využívá na podporu cílů průmyslové politiky; připomíná, že taková podpora, kterou povoluje čl. 107 odst. 3 písm. c) S</w:t>
      </w:r>
      <w:r w:rsidR="006C4D95">
        <w:rPr>
          <w:szCs w:val="24"/>
          <w:lang w:val="cs-CZ"/>
        </w:rPr>
        <w:t xml:space="preserve">mlouvy o fungování </w:t>
      </w:r>
      <w:r w:rsidRPr="006C4D95">
        <w:rPr>
          <w:szCs w:val="24"/>
          <w:lang w:val="cs-CZ"/>
        </w:rPr>
        <w:t xml:space="preserve">EU, nesmí nepříznivě ovlivňovat podmínky obchodu ani společný zájem; bere na vědomí rozdíly ve fiskální kapacitě členských států a varuje, že roztříštěná státní podpora vytváří nerovné podmínky; vyzývá Komisi, aby tyto dopady sledovala a zajistila integritu jednotného trhu, čehož lze dosáhnout prostřednictvím společného finančního nástroje pro evropskou průmyslovou politiku, jako je Evropský fond pro konkurenceschopnost, jak navrhla předsedkyně Komise von der </w:t>
      </w:r>
      <w:proofErr w:type="spellStart"/>
      <w:r w:rsidRPr="006C4D95">
        <w:rPr>
          <w:szCs w:val="24"/>
          <w:lang w:val="cs-CZ"/>
        </w:rPr>
        <w:t>Leyenová</w:t>
      </w:r>
      <w:proofErr w:type="spellEnd"/>
      <w:r w:rsidRPr="006C4D95">
        <w:rPr>
          <w:szCs w:val="24"/>
          <w:lang w:val="cs-CZ"/>
        </w:rPr>
        <w:t xml:space="preserve"> ve svých politických směrech; vyzývá Komisi a členské státy, aby nesoutěžily v dotacích, neboť to jen zhoršuje narušení trhu, zejména pokud jsou financovány neefektivní podniky; dochází k závěru, že dočasné rámce státní podpory nedokázaly zabránit další roztříštěnosti trhu, a konstatuje, že 77 % oznámené státní podpory pocházelo jen ze dvou členských států; žádá přísnější monitorování oznamování státní podpory, posílené podávání zpráv o státní podpoře a větší transparentnost v souladu s doporučeními Evropského účetního dvora;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9.</w:t>
      </w:r>
      <w:r w:rsidRPr="006C4D95">
        <w:rPr>
          <w:b/>
          <w:szCs w:val="24"/>
          <w:lang w:val="cs-CZ"/>
        </w:rPr>
        <w:tab/>
      </w:r>
      <w:r w:rsidRPr="006C4D95">
        <w:rPr>
          <w:szCs w:val="24"/>
          <w:lang w:val="cs-CZ"/>
        </w:rPr>
        <w:t>poukazuje na význam důležitých projektů společného evropského zájmu pro financování projektů v rámci EU s přeshraničním rozměrem; zdůrazňuje, že významné projekty společného evropského zájmu by měly mít skutečnou přidanou hodnotu EU, což znamená, že by měly mít pozitivní dopad na více než jeden členský stát; vyzývá Komisi a členské státy, aby zajistily, aby každé takovéto oznámení o státní podpoře bylo dokončeno nejpozději do šesti měsíců;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10.</w:t>
      </w:r>
      <w:r w:rsidRPr="006C4D95">
        <w:rPr>
          <w:szCs w:val="24"/>
          <w:lang w:val="cs-CZ"/>
        </w:rPr>
        <w:tab/>
        <w:t xml:space="preserve">bere na vědomí, že podle odhadů </w:t>
      </w:r>
      <w:proofErr w:type="spellStart"/>
      <w:r w:rsidRPr="006C4D95">
        <w:rPr>
          <w:szCs w:val="24"/>
          <w:lang w:val="cs-CZ"/>
        </w:rPr>
        <w:t>Draghiho</w:t>
      </w:r>
      <w:proofErr w:type="spellEnd"/>
      <w:r w:rsidRPr="006C4D95">
        <w:rPr>
          <w:szCs w:val="24"/>
          <w:lang w:val="cs-CZ"/>
        </w:rPr>
        <w:t xml:space="preserve"> zprávy je na ochranu konkurenceschopnosti EU zapotřebí dalších 800 miliard EUR ročně; uznává význam veřejných a soukromých investic v této souvislosti; poukazuje na to, že rozpočet EU musí být pro tento účel </w:t>
      </w:r>
      <w:r w:rsidRPr="006C4D95">
        <w:rPr>
          <w:szCs w:val="24"/>
          <w:lang w:val="cs-CZ"/>
        </w:rPr>
        <w:lastRenderedPageBreak/>
        <w:t>dobře vybaven; domnívá se, že v zájmu mobilizace soukromých investic, řešení roztříštěnosti vnitřního trhu a podpory průmyslové strategie EU je důležité dokončit unii úspor a investic; uznává, že je naléhavě nutné provést reformy a účinná opatření v těchto třech oblastech uvedených v </w:t>
      </w:r>
      <w:proofErr w:type="spellStart"/>
      <w:r w:rsidRPr="006C4D95">
        <w:rPr>
          <w:szCs w:val="24"/>
          <w:lang w:val="cs-CZ"/>
        </w:rPr>
        <w:t>Draghiho</w:t>
      </w:r>
      <w:proofErr w:type="spellEnd"/>
      <w:r w:rsidRPr="006C4D95">
        <w:rPr>
          <w:szCs w:val="24"/>
          <w:lang w:val="cs-CZ"/>
        </w:rPr>
        <w:t xml:space="preserve"> zprávě: i) vyrovnání se Číně a USA v oblasti inovací, </w:t>
      </w:r>
      <w:proofErr w:type="spellStart"/>
      <w:r w:rsidRPr="006C4D95">
        <w:rPr>
          <w:szCs w:val="24"/>
          <w:lang w:val="cs-CZ"/>
        </w:rPr>
        <w:t>ii</w:t>
      </w:r>
      <w:proofErr w:type="spellEnd"/>
      <w:r w:rsidRPr="006C4D95">
        <w:rPr>
          <w:szCs w:val="24"/>
          <w:lang w:val="cs-CZ"/>
        </w:rPr>
        <w:t>) společný plán pro dekarbonizaci a konkurenceschopnost s cílem urychlit transformaci energetiky a snížit náklady na energii a </w:t>
      </w:r>
      <w:proofErr w:type="spellStart"/>
      <w:r w:rsidRPr="006C4D95">
        <w:rPr>
          <w:szCs w:val="24"/>
          <w:lang w:val="cs-CZ"/>
        </w:rPr>
        <w:t>iii</w:t>
      </w:r>
      <w:proofErr w:type="spellEnd"/>
      <w:r w:rsidRPr="006C4D95">
        <w:rPr>
          <w:szCs w:val="24"/>
          <w:lang w:val="cs-CZ"/>
        </w:rPr>
        <w:t>) zvýšení bezpečnosti a snížení závislosti;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11.</w:t>
      </w:r>
      <w:r w:rsidRPr="006C4D95">
        <w:rPr>
          <w:szCs w:val="24"/>
          <w:lang w:val="cs-CZ"/>
        </w:rPr>
        <w:tab/>
        <w:t>vítá ochranu rovných podmínek na evropských trzích a ochranu evropských společností a jejich pracovníků, kterou poskytují antidumpingová opatření, jež korigují zahraniční státní podporu narušující hospodářskou soutěž; vyzývá Komisi, aby urychleně využila dostupné obchodní nástroje v oblasti zadávání veřejných zakázek a zahraničních subvencí s cílem zabránit nekalé hospodářské soutěži na vnitřním trhu;</w:t>
      </w:r>
    </w:p>
    <w:p w:rsidR="00DE5101" w:rsidRPr="006C4D95" w:rsidRDefault="00DE5101" w:rsidP="006C4D95">
      <w:pPr>
        <w:pStyle w:val="Normal12a24b"/>
        <w:spacing w:before="0"/>
        <w:ind w:left="567" w:hanging="567"/>
        <w:rPr>
          <w:szCs w:val="24"/>
          <w:lang w:val="cs-CZ"/>
        </w:rPr>
      </w:pPr>
      <w:r w:rsidRPr="006C4D95">
        <w:rPr>
          <w:rStyle w:val="BoldItalic"/>
          <w:szCs w:val="24"/>
          <w:lang w:val="cs-CZ"/>
        </w:rPr>
        <w:t>Priority v oblasti prosazování práva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12.</w:t>
      </w:r>
      <w:r w:rsidRPr="006C4D95">
        <w:rPr>
          <w:szCs w:val="24"/>
          <w:lang w:val="cs-CZ"/>
        </w:rPr>
        <w:tab/>
        <w:t>bere na vědomí změny v obchodních praktikách a poukazuje na pokles počtu kartelových dohod; varuje však před novými formami škodlivého jednání, jako je tichá koluze a algoritmická koluze, a zdůrazňuje, že je třeba sladit priority v oblasti prosazování práva s tímto měnícím se prostředím;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13.</w:t>
      </w:r>
      <w:r w:rsidRPr="006C4D95">
        <w:rPr>
          <w:szCs w:val="24"/>
          <w:lang w:val="cs-CZ"/>
        </w:rPr>
        <w:tab/>
        <w:t>bere na vědomí návrh obsažený v </w:t>
      </w:r>
      <w:proofErr w:type="spellStart"/>
      <w:r w:rsidRPr="006C4D95">
        <w:rPr>
          <w:szCs w:val="24"/>
          <w:lang w:val="cs-CZ"/>
        </w:rPr>
        <w:t>Draghiho</w:t>
      </w:r>
      <w:proofErr w:type="spellEnd"/>
      <w:r w:rsidRPr="006C4D95">
        <w:rPr>
          <w:szCs w:val="24"/>
          <w:lang w:val="cs-CZ"/>
        </w:rPr>
        <w:t xml:space="preserve"> zprávě, aby byl vytvořen nový nástroj pro hospodářskou soutěž jako flexibilní nástroj pro šetření trhu, který se bude zaměřovat na řešení strukturálních problémů v oblasti hospodářské soutěže, jež nejsou výsledkem dohod narušujících hospodářskou soutěž ani zneužívání dominantního postavení, a aby byla v zájmu zvýšení konkurenceschopnosti, stimulace inovací a ochrany zranitelných spotřebitelů zavedena výhledově orientovaná strukturální nebo behaviorální nápravná opatření zaměřená na celý trh, mimo jiné aby byly sníženy překážky vstupu konkurentů na trh; vyzývá Komisi, aby zanalyzovala, jak by tento nástroj mohl doplňovat stávající rámec pro odvětvová šetření;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14.</w:t>
      </w:r>
      <w:r w:rsidRPr="006C4D95">
        <w:rPr>
          <w:szCs w:val="24"/>
          <w:lang w:val="cs-CZ"/>
        </w:rPr>
        <w:tab/>
        <w:t>připomíná, že podle Smlouvy má Komise pravomoc zasahovat proti zneužívajícímu jednání;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15.</w:t>
      </w:r>
      <w:r w:rsidRPr="006C4D95">
        <w:rPr>
          <w:szCs w:val="24"/>
          <w:lang w:val="cs-CZ"/>
        </w:rPr>
        <w:tab/>
        <w:t>bere na vědomí, že existuje právní základ pro strukturální nápravná opatření proti zneužívání dominantního postavení na trhu; je si vědom toho, že pravidla EU v oblasti hospodářské soutěže stanoví, že strukturální nápravná opatření by se měla používat pouze v krajním případě, pokud se behaviorální nápravná opatření ukázala jako neúčinná, vyjadřuje však politování nad neochotou Komise řešit dominantní postavení na trhu prostřednictvím strukturálních nápravných opatření; opakuje svou výzvu, aby se lépe využívala strukturální nápravná opatření a aby se již neupřednostňovala behaviorální nápravná opatření, a vyzývá k dalšímu úsilí o posílení jejich uplatňování, je-li to zapotřebí; vyzývá Komisi, aby lépe využívala nástroj prozatímních opatření k zastavení veškerých praktik, které by mohly vážně poškodit hospodářskou soutěž, a to zejména v souvislosti s dynamickými a rychle se rozvíjejícími trhy, jako jsou digitální trhy;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16.</w:t>
      </w:r>
      <w:r w:rsidRPr="006C4D95">
        <w:rPr>
          <w:szCs w:val="24"/>
          <w:lang w:val="cs-CZ"/>
        </w:rPr>
        <w:tab/>
        <w:t xml:space="preserve">vítá skutečnost, že Komise zvolená na období 2024–2029 považuje bydlení za prioritu; vyzývá Komisi, aby posoudila, jak zásady hospodářské soutěže EU ovlivňují poskytování služeb obecného hospodářského zájmu; vyzývá Komisi, aby posoudila </w:t>
      </w:r>
      <w:r w:rsidRPr="006C4D95">
        <w:rPr>
          <w:szCs w:val="24"/>
          <w:lang w:val="cs-CZ"/>
        </w:rPr>
        <w:lastRenderedPageBreak/>
        <w:t>postavení sociálních služeb obecného zájmu a výjimku pro poskytování služeb obecného hospodářského zájmu, pokud jde o cenově dostupné bydlení;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 xml:space="preserve">17. </w:t>
      </w:r>
      <w:r w:rsidRPr="006C4D95">
        <w:rPr>
          <w:szCs w:val="24"/>
          <w:lang w:val="cs-CZ"/>
        </w:rPr>
        <w:tab/>
        <w:t>zdůrazňuje význam státní podpory jako nástroje ke zmenšení hospodářských rozdílů mezi rozvinutějšími regiony EU a ostrovními oblastmi, vnitrozemskými oblastmi, nejvzdálenějšími regiony a oblastmi v hospodářském útlumu; připomíná, že umožnění poskytování státní podpory v souvislosti se službami obecného hospodářského zájmu má i nadále zásadní význam pro přežití těchto oblastí, zejména v souvislosti se státní podporou zaměřenou na konektivitu a další základní služby poskytované komunitám v izolovaných, odlehlých nebo okrajových regionech EU; vyzývá Komisi, aby prozkoumala možnosti větší flexibility při poskytování finančních prostředků těmto regionům;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18.</w:t>
      </w:r>
      <w:r w:rsidRPr="006C4D95">
        <w:rPr>
          <w:szCs w:val="24"/>
          <w:lang w:val="cs-CZ"/>
        </w:rPr>
        <w:tab/>
        <w:t>bere na vědomí nedávné rozhodnutí Soudního dvora Evropské unie, podle kterého jeden z členských států neprovedl směrnici ECN+ ve vnitrostátním právu; zdůrazňuje význam plného provedení směrnice ECN+; vyzývá všechny členské státy, aby zajistily řádné provádění této směrnice;</w:t>
      </w:r>
    </w:p>
    <w:p w:rsidR="00DE5101" w:rsidRPr="006C4D95" w:rsidRDefault="00DE5101" w:rsidP="006C4D95">
      <w:pPr>
        <w:pStyle w:val="Normal12a24b"/>
        <w:spacing w:before="0"/>
        <w:ind w:left="567" w:hanging="567"/>
        <w:rPr>
          <w:szCs w:val="24"/>
          <w:lang w:val="cs-CZ"/>
        </w:rPr>
      </w:pPr>
      <w:r w:rsidRPr="006C4D95">
        <w:rPr>
          <w:rStyle w:val="BoldItalic"/>
          <w:szCs w:val="24"/>
          <w:lang w:val="cs-CZ"/>
        </w:rPr>
        <w:t xml:space="preserve">Fúze a antimonopolní opatření 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19.</w:t>
      </w:r>
      <w:r w:rsidRPr="006C4D95">
        <w:rPr>
          <w:szCs w:val="24"/>
          <w:lang w:val="cs-CZ"/>
        </w:rPr>
        <w:tab/>
        <w:t>se znepokojením bere na vědomí výklad Soudního dvora Evropské unie týkající se článku 22 nařízení ES o spojování ve věci C-611/22 P (</w:t>
      </w:r>
      <w:proofErr w:type="spellStart"/>
      <w:r w:rsidRPr="003471E7">
        <w:rPr>
          <w:rStyle w:val="Italic"/>
          <w:i w:val="0"/>
          <w:szCs w:val="24"/>
          <w:lang w:val="cs-CZ"/>
        </w:rPr>
        <w:t>Illumina</w:t>
      </w:r>
      <w:proofErr w:type="spellEnd"/>
      <w:r w:rsidRPr="003471E7">
        <w:rPr>
          <w:rStyle w:val="Italic"/>
          <w:i w:val="0"/>
          <w:szCs w:val="24"/>
          <w:lang w:val="cs-CZ"/>
        </w:rPr>
        <w:t xml:space="preserve"> v. Komise</w:t>
      </w:r>
      <w:r w:rsidRPr="007879D5">
        <w:rPr>
          <w:szCs w:val="24"/>
          <w:lang w:val="cs-CZ"/>
        </w:rPr>
        <w:t>), kterým se ruší přístup Komise spočívající v přijímání postoupených dohod nepodléhajících oznamovací povinnosti; uznává, že nařízení ES o spojování neposkytuje Komisi dostatečné nástroje pro řešení případů likvidačních akvizic</w:t>
      </w:r>
      <w:r w:rsidRPr="006C4D95">
        <w:rPr>
          <w:szCs w:val="24"/>
          <w:lang w:val="cs-CZ"/>
        </w:rPr>
        <w:t xml:space="preserve">; je pevně přesvědčen, že dopad rozhodnutí o fúzi na jednotný trh je důvodem pro to, aby byl do nařízení ES o spojování začleněn právní základ jednotného trhu, neboť je třeba plně zapojit </w:t>
      </w:r>
      <w:proofErr w:type="spellStart"/>
      <w:r w:rsidRPr="006C4D95">
        <w:rPr>
          <w:szCs w:val="24"/>
          <w:lang w:val="cs-CZ"/>
        </w:rPr>
        <w:t>spolunormotvůrce</w:t>
      </w:r>
      <w:proofErr w:type="spellEnd"/>
      <w:r w:rsidRPr="006C4D95">
        <w:rPr>
          <w:szCs w:val="24"/>
          <w:lang w:val="cs-CZ"/>
        </w:rPr>
        <w:t>, podobně jako v případě nařízení o digitálních trzích; vyzývá Komisi, aby požadovala po členských státech, které mají nebo mohou uplatnit příslušnou pravomoc, aby přezkoumaly potenciální likvidační akvizice na základě svých vnitrostátních právních předpisů o kontrole fúzí a aby tyto dohody nadále postupovaly v souladu s článkem 22 nařízení ES o spojování; vyzývá Komisi, aby prozkoumala možnost revize nařízení ES o spojování, tak aby mohla přezkoumávat fúze, které nedosahují unijních nebo vnitrostátních prahových hodnot, bez ohledu na dotčená odvětví;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20.</w:t>
      </w:r>
      <w:r w:rsidRPr="006C4D95">
        <w:rPr>
          <w:szCs w:val="24"/>
          <w:lang w:val="cs-CZ"/>
        </w:rPr>
        <w:tab/>
        <w:t>konstatuje, že od roku 2004, kdy vstoupilo v platnost nařízení ES o spojování, bylo 0,7 % oznámených fúzí buď zablokováno Komisí, nebo po šetření staženo;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21.</w:t>
      </w:r>
      <w:r w:rsidRPr="006C4D95">
        <w:rPr>
          <w:szCs w:val="24"/>
          <w:lang w:val="cs-CZ"/>
        </w:rPr>
        <w:tab/>
        <w:t>konstatuje, že prahové hodnoty obratu v nařízení ES o spojování nemusí být samy o sobě vhodné pro odhalení všech případů, které by měly přezkoumat orgány pro hospodářskou soutěž; upozorňuje na praktiky používané dominantními firmami, aby se vyhnuly formálnímu vyšetřování, jako je rostoucí využívání „partnerství“ v odvětví umělé inteligence, což dále naznačuje, že je nezbytné nařízení EU o spojování revidovat;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22.</w:t>
      </w:r>
      <w:r w:rsidRPr="006C4D95">
        <w:rPr>
          <w:szCs w:val="24"/>
          <w:lang w:val="cs-CZ"/>
        </w:rPr>
        <w:tab/>
        <w:t xml:space="preserve">vítá návrh </w:t>
      </w:r>
      <w:proofErr w:type="spellStart"/>
      <w:r w:rsidRPr="006C4D95">
        <w:rPr>
          <w:szCs w:val="24"/>
          <w:lang w:val="cs-CZ"/>
        </w:rPr>
        <w:t>Draghiho</w:t>
      </w:r>
      <w:proofErr w:type="spellEnd"/>
      <w:r w:rsidRPr="006C4D95">
        <w:rPr>
          <w:szCs w:val="24"/>
          <w:lang w:val="cs-CZ"/>
        </w:rPr>
        <w:t xml:space="preserve"> zprávy na „obranu inovací“ v případech, kdy fúze zvýší schopnost a motivaci inovovat, a vyzývá Komisi, aby tuto koncepci analyzovala a dále rozvíjela; dále žádá, aby se přihlíželo k otázkám veřejného zájmu, jako je dopad na pracovníky;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lastRenderedPageBreak/>
        <w:t>23.</w:t>
      </w:r>
      <w:r w:rsidRPr="006C4D95">
        <w:rPr>
          <w:szCs w:val="24"/>
          <w:lang w:val="cs-CZ"/>
        </w:rPr>
        <w:tab/>
        <w:t>žádá Komisi, aby identifikovala vnitrostátní překážky, které jí mohou bránit v tom, aby ve svých analýzách fúzí považovala za relevantní trh EU; vyzývá Komisi, aby předložila legislativní návrh na odstranění těchto překážek; konstatuje, že při rozhodování o vymezení relevantního trhu v případech hospodářské soutěže a kontroly fúzí je třeba pečlivě analyzovat mezinárodní prostředí; vyzývá Komisi, aby tam, kde je to vhodné, zaujala ke konsolidaci v EU progresivní přístup, což se rovněž navrhuje v </w:t>
      </w:r>
      <w:proofErr w:type="spellStart"/>
      <w:r w:rsidRPr="006C4D95">
        <w:rPr>
          <w:szCs w:val="24"/>
          <w:lang w:val="cs-CZ"/>
        </w:rPr>
        <w:t>Draghiho</w:t>
      </w:r>
      <w:proofErr w:type="spellEnd"/>
      <w:r w:rsidRPr="006C4D95">
        <w:rPr>
          <w:szCs w:val="24"/>
          <w:lang w:val="cs-CZ"/>
        </w:rPr>
        <w:t xml:space="preserve"> zprávě a </w:t>
      </w:r>
      <w:proofErr w:type="spellStart"/>
      <w:r w:rsidRPr="006C4D95">
        <w:rPr>
          <w:szCs w:val="24"/>
          <w:lang w:val="cs-CZ"/>
        </w:rPr>
        <w:t>Lettově</w:t>
      </w:r>
      <w:proofErr w:type="spellEnd"/>
      <w:r w:rsidRPr="006C4D95">
        <w:rPr>
          <w:szCs w:val="24"/>
          <w:lang w:val="cs-CZ"/>
        </w:rPr>
        <w:t xml:space="preserve"> zprávě, a aby přitom zohlednila strategický význam rozsahu a příznivých investičních podmínek v některých odvětvích a jejich pozitivní dopad na hospodářskou soutěž, pokud jde o podporu inovací a dlouhodobé hospodářské soutěže;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24.</w:t>
      </w:r>
      <w:r w:rsidRPr="006C4D95">
        <w:rPr>
          <w:szCs w:val="24"/>
          <w:lang w:val="cs-CZ"/>
        </w:rPr>
        <w:tab/>
        <w:t xml:space="preserve">vyzývá k aktualizaci rámců pro posuzování fúzí tak, aby odrážely realitu digitální ekonomiky, v níž se tržní síla může projevit i jinými způsoby než tradičním tržním podílem na jasně vymezených trzích; podporuje rozvoj pokročilých metodik pro analýzu dominantního postavení, které se zakládá na datech a síťových účincích, a zdůrazňuje zásadní úlohu volby spotřebitelů při výběru digitálních služeb a zařízení; vybízí Komisi, aby posílila mechanismy umožňující interoperabilitu mezi službami a zařízeními a podporovala inovace a hospodářskou soutěž v digitálním ekosystému; naléhavě vyzývá Komisi, aby urychleně pokročila v provádění stávajících povinností interoperability pro služby zasílání zpráv podle nařízení o digitálních trzích a stávajících povinností v oblasti interoperability pro poskytovatele </w:t>
      </w:r>
      <w:proofErr w:type="spellStart"/>
      <w:r w:rsidRPr="006C4D95">
        <w:rPr>
          <w:szCs w:val="24"/>
          <w:lang w:val="cs-CZ"/>
        </w:rPr>
        <w:t>cloudových</w:t>
      </w:r>
      <w:proofErr w:type="spellEnd"/>
      <w:r w:rsidRPr="006C4D95">
        <w:rPr>
          <w:szCs w:val="24"/>
          <w:lang w:val="cs-CZ"/>
        </w:rPr>
        <w:t xml:space="preserve"> služeb podle nařízení o datech a aby zahájila práci na revizi nařízení o digitálních trzích, která má být provedena v květnu 2026; naléhavě vyzývá Komisi, aby provedla stávající povinnosti v oblasti interoperability stanovené v nařízení o digitálních trzích a aby zvážila rozšíření povinností interoperability i na online služby sociálních sítí; podporuje Komisi, aby při posuzování fúzí více zohledňovala potenciální narušení hospodářské soutěže, pokud by expanze na sousední trhy dále posílila dominantní postavení nástupnické společnosti na jejím hlavním trhu;</w:t>
      </w:r>
    </w:p>
    <w:p w:rsidR="00DE5101" w:rsidRPr="006C4D95" w:rsidRDefault="00DE5101" w:rsidP="006C4D95">
      <w:pPr>
        <w:pStyle w:val="NormalHanging12a"/>
        <w:rPr>
          <w:b/>
          <w:snapToGrid/>
          <w:szCs w:val="24"/>
          <w:lang w:val="cs-CZ"/>
        </w:rPr>
      </w:pPr>
      <w:r w:rsidRPr="006C4D95">
        <w:rPr>
          <w:szCs w:val="24"/>
          <w:lang w:val="cs-CZ"/>
        </w:rPr>
        <w:t>25.</w:t>
      </w:r>
      <w:r w:rsidRPr="006C4D95">
        <w:rPr>
          <w:szCs w:val="24"/>
          <w:lang w:val="cs-CZ"/>
        </w:rPr>
        <w:tab/>
        <w:t>vyzývá Komisi, aby se zabývala přílišnou délkou antimonopolních šetření, během nichž společnosti nepřestávají těžit ze svých praktik narušujících hospodářskou soutěž; vyzývá Komisi, aby stanovila pro antimonopolní řízení vhodné lhůty a zajistila účinné provedení přijatých rozhodnutí; vyzývá Komisi, aby přijala další prozatímní opatření s cílem zastavit veškeré praktiky, které by vážně poškozovaly hospodářskou soutěž, a to zejména ve vztahu k dynamickým a rychle se rozvíjejícím trhům, jako jsou digitální trhy;</w:t>
      </w:r>
    </w:p>
    <w:p w:rsidR="00DE5101" w:rsidRPr="006C4D95" w:rsidRDefault="00DE5101" w:rsidP="006C4D95">
      <w:pPr>
        <w:pStyle w:val="Normal12a24b"/>
        <w:spacing w:before="0"/>
        <w:ind w:left="567" w:hanging="567"/>
        <w:rPr>
          <w:szCs w:val="24"/>
          <w:lang w:val="cs-CZ"/>
        </w:rPr>
      </w:pPr>
      <w:r w:rsidRPr="006C4D95">
        <w:rPr>
          <w:rStyle w:val="BoldItalic"/>
          <w:szCs w:val="24"/>
          <w:lang w:val="cs-CZ"/>
        </w:rPr>
        <w:t>Odvětvové politiky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26.</w:t>
      </w:r>
      <w:r w:rsidRPr="006C4D95">
        <w:rPr>
          <w:szCs w:val="24"/>
          <w:lang w:val="cs-CZ"/>
        </w:rPr>
        <w:tab/>
        <w:t>vítá dva přelomové rozsudky Soudního dvora ze září 2024, které potvrzují tvrzení Komise, že irská daňová dohoda se společností Apple představuje protiprávní státní podporu a že společnost Google v rozporu se Smlouvami zneužila svého dominantního postavení; uznává, že právní rámec v Irsku se od té doby změnil; vybízí Komisi, aby pokračovala v boji proti zneužívání státní podpory, jako je selektivní poskytování daňových úlev společnostem;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27.</w:t>
      </w:r>
      <w:r w:rsidRPr="006C4D95">
        <w:rPr>
          <w:szCs w:val="24"/>
          <w:lang w:val="cs-CZ"/>
        </w:rPr>
        <w:tab/>
        <w:t xml:space="preserve">bere na vědomí škodlivý dopad mezinárodní daňové soutěže; připomíná, že podporuje provádění druhého pilíře Organizace pro hospodářskou spolupráci a rozvoj (OECD); vyjadřuje hluboké politování nad prezidentským dekretem USA ze dne 20. ledna 2025, v němž se tvrdí, že globální daňová dohoda OECD nemá ve Spojených státech „žádnou platnost ani účinek“; zdůrazňuje význam multilateralismu pro zajištění toho, aby </w:t>
      </w:r>
      <w:r w:rsidRPr="006C4D95">
        <w:rPr>
          <w:szCs w:val="24"/>
          <w:lang w:val="cs-CZ"/>
        </w:rPr>
        <w:lastRenderedPageBreak/>
        <w:t>nadnárodní společnosti platily svůj spravedlivý podíl na daních v místě, kde je vytvářena hodnota; zastává názor, že EU by měla stát v plném rozsahu za směrnicí o druhém pilíři OECD;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28.</w:t>
      </w:r>
      <w:r w:rsidRPr="006C4D95">
        <w:rPr>
          <w:szCs w:val="24"/>
          <w:lang w:val="cs-CZ"/>
        </w:rPr>
        <w:tab/>
        <w:t xml:space="preserve">upozorňuje na znepokojivou tržní koncentraci na jednotlivých digitálních trzích, k nimž patří sociální média, vyhledávače, umělá inteligence, </w:t>
      </w:r>
      <w:proofErr w:type="spellStart"/>
      <w:r w:rsidRPr="006C4D95">
        <w:rPr>
          <w:szCs w:val="24"/>
          <w:lang w:val="cs-CZ"/>
        </w:rPr>
        <w:t>cloudové</w:t>
      </w:r>
      <w:proofErr w:type="spellEnd"/>
      <w:r w:rsidRPr="006C4D95">
        <w:rPr>
          <w:szCs w:val="24"/>
          <w:lang w:val="cs-CZ"/>
        </w:rPr>
        <w:t xml:space="preserve"> služby, elektronický obchod, mikročipy a internetová reklama; zdůrazňuje reálný i potenciální negativní dopad na konkurenceschopnost EU, odolnost dodavatelských řetězců, svobodu sdělovacích prostředků, ochranu soukromí a údajů, společnost a demokracii; naléhavě vyzývá Komisi, aby se zabývala otázkami, které jsou specifické pro technologický trh, včetně výkonu infrastruktury ve vrstvách hardwaru a </w:t>
      </w:r>
      <w:proofErr w:type="spellStart"/>
      <w:r w:rsidRPr="006C4D95">
        <w:rPr>
          <w:szCs w:val="24"/>
          <w:lang w:val="cs-CZ"/>
        </w:rPr>
        <w:t>cloud</w:t>
      </w:r>
      <w:proofErr w:type="spellEnd"/>
      <w:r w:rsidRPr="006C4D95">
        <w:rPr>
          <w:szCs w:val="24"/>
          <w:lang w:val="cs-CZ"/>
        </w:rPr>
        <w:t xml:space="preserve"> </w:t>
      </w:r>
      <w:proofErr w:type="spellStart"/>
      <w:r w:rsidRPr="006C4D95">
        <w:rPr>
          <w:szCs w:val="24"/>
          <w:lang w:val="cs-CZ"/>
        </w:rPr>
        <w:t>computingu</w:t>
      </w:r>
      <w:proofErr w:type="spellEnd"/>
      <w:r w:rsidRPr="006C4D95">
        <w:rPr>
          <w:szCs w:val="24"/>
          <w:lang w:val="cs-CZ"/>
        </w:rPr>
        <w:t xml:space="preserve">, vertikální koncentrace, algoritmické manipulace digitální veřejné sféry a využívání tržní síly na digitálních trzích, jak dokládá pokrok dosažený v rámci nařízení o digitálních trzích; dále žádá, aby byla v zájmu dalšího zajištění spravedlivé hospodářské soutěže a inovací zahájena nová šetření v odvětví </w:t>
      </w:r>
      <w:proofErr w:type="spellStart"/>
      <w:r w:rsidRPr="006C4D95">
        <w:rPr>
          <w:szCs w:val="24"/>
          <w:lang w:val="cs-CZ"/>
        </w:rPr>
        <w:t>cloudových</w:t>
      </w:r>
      <w:proofErr w:type="spellEnd"/>
      <w:r w:rsidRPr="006C4D95">
        <w:rPr>
          <w:szCs w:val="24"/>
          <w:lang w:val="cs-CZ"/>
        </w:rPr>
        <w:t xml:space="preserve"> služeb a aby byla současně zohledněna míra tržní koncentrace v tomto odvětví a protisoutěžní praktiky v souvislosti se složitými a netransparentními licenčními podmínkami nebo nuceným spojeným prodejem; naléhavě vyzývá Komisi, aby se zabývala rostoucí vertikální koncentrací dominantních subjektů v celém hodnotovém řetězci reklamy, která ohrožuje evropské odvětví internetové reklamy;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29.</w:t>
      </w:r>
      <w:r w:rsidRPr="006C4D95">
        <w:rPr>
          <w:szCs w:val="24"/>
          <w:lang w:val="cs-CZ"/>
        </w:rPr>
        <w:tab/>
        <w:t>bere na vědomí rychlý rozvoj služeb umělé inteligence, který může vést ke koncentraci trhu; vyzývá Komisi, aby k tomuto odvětví zaujala ekosystémový přístup, mimo jiné aby další upevňování pozic dominantních subjektů v odvětví řešila rozvojem a uplatňováním nových teorií škod; zdůrazňuje, že nařízení o digitálních trzích obsahuje několik ustanovení, která se musí použít, má-li se strážcům přístupu zabránit v omezování začínajících vývojářů umělé inteligence, a žádá Komisi, aby urychleně jednala s cílem řešit riziko, že spotřebitelé budou na svých mobilních zařízeních nuceni používat předem stanovené služby umělé inteligence, a s cílem zajistit, aby systémy umělé inteligence zůstaly uživatelsky volitelnými a transparentními, a tím chránily hospodářskou soutěž a možnost volby pro spotřebitele; vyzývá Komisi, aby prozkoumala možnost nově přidat generativní umělou inteligenci k hlavním službám platformy podle nařízení o digitálním trhu;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30.</w:t>
      </w:r>
      <w:r w:rsidRPr="006C4D95">
        <w:rPr>
          <w:szCs w:val="24"/>
          <w:lang w:val="cs-CZ"/>
        </w:rPr>
        <w:tab/>
        <w:t>konstatuje, že velcí digitální aktéři využívají svou tržní sílu, moc nad spotřebiteli, finanční zdroje a koncentraci údajů na jednom trhu k tomu, aby posílili svou pozici na jiném trhu; zdůrazňuje, že malí aktéři nemohou výše uvedeným faktorům konkurovat, což ještě více zvyšuje závislost občanů EU na stejném malém počtu společností ze zemí mimo EU a ohrožuje strategickou autonomii; žádá, aby v zájmu zajištění účinnější kontroly využívání tržní síly byla prostřednictvím revize pokynů pro spojování zvýšena kontrola nad tím, jak je tržní síla, které dominantní aktéři dosáhli v digitálním odvětví, využívána v jiných odvětvích a ve vztahu ke strategické autonomii EU;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31.</w:t>
      </w:r>
      <w:r w:rsidRPr="006C4D95">
        <w:rPr>
          <w:szCs w:val="24"/>
          <w:lang w:val="cs-CZ"/>
        </w:rPr>
        <w:tab/>
        <w:t>poukazuje na význam dat a nástrojů pro analýzu dat jako jednoho z faktorů, které v digitálním odvětví odrazují od koncentrace a akvizic na digitálním trhu; žádá, aby v případě spojení, jež zahrnuje jeden nebo více subjektů digitálního odvětví, předložil Evropský sbor pro ochranu osobních údajů stanovisko týkající se relevantnosti souborů údajů pro zamýšlené spojení, osobních údajů, které se v rámci cílové akvizice zpracovávají, a potenciálního dopadu zamýšleného spojení na práva na soukromí a ochranu údajů;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lastRenderedPageBreak/>
        <w:t>32.</w:t>
      </w:r>
      <w:r w:rsidRPr="006C4D95">
        <w:rPr>
          <w:szCs w:val="24"/>
          <w:lang w:val="cs-CZ"/>
        </w:rPr>
        <w:tab/>
        <w:t>vyjadřuje znepokojení nad rostoucím využíváním dynamických cenových mechanismů v celé EU; vyzývá Komisi, aby prozkoumala regulační opatření proti vysoce adaptivním a neprůhledným metodám stanovování cen;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33.</w:t>
      </w:r>
      <w:r w:rsidRPr="006C4D95">
        <w:rPr>
          <w:szCs w:val="24"/>
          <w:lang w:val="cs-CZ"/>
        </w:rPr>
        <w:tab/>
        <w:t>vyzývá Komisi, aby v zájmu řešení praktik strážců přístupu a podpory spravedlivé hospodářské soutěže a trhů otevřených hospodářské soutěži důrazně prosazovala všechna pravidla hospodářské soutěže, včetně nařízení o zahraničních subvencích a nařízení o digitálních trzích; zdůrazňuje, že Komise musí mít pro prosazování právních předpisů dostatečný počet zaměstnanců, a konstatuje, že ke zlepšení prosazování práva v oblasti hospodářské soutěže mohou přispět nové nástroje i vědci a ekonomové pocházející z různých oborů; zdůrazňuje zejména, že uplatňování nařízení o digitálních trzích má být důsledné a nezávislé a nesmí být oslabováno vnějšími tlaky; zdůrazňuje, že nařízení o digitálních trzích a případné pokuty se nesmí využívat jako nástroj vyjednávání v diskusích o clech, ale jako základní kámen v úsilí EU o zajištění spravedlivosti a konkurenceschopnosti digitálních trhů; bere na vědomí šest řízení o nesplnění povinnosti zahájených proti některým určeným strážcům přístupu; je hluboce znepokojen, pokud jde o možné průtahy v kriticky důležitých vyšetřováních a o schopnost Komise dostát svým povinnostem vyvíjet „maximální úsilí“ a přijímat rozhodnutí o postupech v případě nedodržování předpisů bez zbytečného odkladu;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34.</w:t>
      </w:r>
      <w:r w:rsidRPr="006C4D95">
        <w:rPr>
          <w:szCs w:val="24"/>
          <w:lang w:val="cs-CZ"/>
        </w:rPr>
        <w:tab/>
        <w:t>se znepokojením bere na vědomí roztříštěnost mnoha spotřebitelských trhů, včetně finančních služeb, telekomunikací a energie pro domácnosti, a vyzývá k rychlejší a větší integraci trhu tam, kde je to pro spotřebitele přínosné, a k uznání, že taková integrace trhu může být hnací silou pro investice a inovace;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35.</w:t>
      </w:r>
      <w:r w:rsidRPr="006C4D95">
        <w:rPr>
          <w:szCs w:val="24"/>
          <w:lang w:val="cs-CZ"/>
        </w:rPr>
        <w:tab/>
        <w:t>je znepokojen vysokou koncentrací v maloobchodním, zemědělském a automobilovém odvětví v zámořských územích, kdy přemrštěné ceny základních produktů a služeb stanovené dominantními podniky prohlubují nerovnosti, nejistotu a územní rozdíly; vyzývá Komisi, aby zahájila vyšetřování možného zneužití dominantního postavení podle článku 102 S</w:t>
      </w:r>
      <w:r w:rsidR="006C4D95">
        <w:rPr>
          <w:szCs w:val="24"/>
          <w:lang w:val="cs-CZ"/>
        </w:rPr>
        <w:t xml:space="preserve">mlouvy o fungování </w:t>
      </w:r>
      <w:r w:rsidRPr="006C4D95">
        <w:rPr>
          <w:szCs w:val="24"/>
          <w:lang w:val="cs-CZ"/>
        </w:rPr>
        <w:t>EU;</w:t>
      </w:r>
    </w:p>
    <w:p w:rsidR="00DE5101" w:rsidRPr="006C4D95" w:rsidRDefault="00DE5101" w:rsidP="006C4D95">
      <w:pPr>
        <w:pStyle w:val="NormalHanging12a"/>
        <w:rPr>
          <w:b/>
          <w:snapToGrid/>
          <w:szCs w:val="24"/>
          <w:lang w:val="cs-CZ"/>
        </w:rPr>
      </w:pPr>
      <w:r w:rsidRPr="006C4D95">
        <w:rPr>
          <w:szCs w:val="24"/>
          <w:lang w:val="cs-CZ"/>
        </w:rPr>
        <w:t>36.</w:t>
      </w:r>
      <w:r w:rsidRPr="006C4D95">
        <w:rPr>
          <w:szCs w:val="24"/>
          <w:lang w:val="cs-CZ"/>
        </w:rPr>
        <w:tab/>
        <w:t xml:space="preserve">se znepokojením bere na vědomí vysokou míru koncentrace trhu v evropském finančním sektoru a setrvalou nadměrnou závislost tohoto odvětví na omezeném počtu </w:t>
      </w:r>
      <w:proofErr w:type="spellStart"/>
      <w:r w:rsidRPr="006C4D95">
        <w:rPr>
          <w:szCs w:val="24"/>
          <w:lang w:val="cs-CZ"/>
        </w:rPr>
        <w:t>mimounijních</w:t>
      </w:r>
      <w:proofErr w:type="spellEnd"/>
      <w:r w:rsidRPr="006C4D95">
        <w:rPr>
          <w:szCs w:val="24"/>
          <w:lang w:val="cs-CZ"/>
        </w:rPr>
        <w:t xml:space="preserve"> poskytovatelů služeb; konstatuje, že tři největší ratingové agentury si stále drží více než 90% podíl na trhu; vyjadřuje znepokojení nad neustávající vysokou koncentrací na trhu auditu subjektů veřejného zájmu, kde převážnou většinu příjmů z těchto auditů drží v EU čtyři společnosti, což omezuje výběr a přináší riziko „dozorového zajetí“; vyzývá Komisi, aby předložila posouzení dopadů týkající se možností, jak tyto problémy řešit; naléhavě vyzývá Komisi, aby v zájmu zabránění možnému střetu zájmů pečlivě posuzovala veřejná nabídková řízení z hlediska odborných znalostí účastníků auditorského trhu;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37.</w:t>
      </w:r>
      <w:r w:rsidRPr="006C4D95">
        <w:rPr>
          <w:szCs w:val="24"/>
          <w:lang w:val="cs-CZ"/>
        </w:rPr>
        <w:tab/>
        <w:t xml:space="preserve">vyjadřuje znepokojení nad krizí cen potravin a bere v této souvislosti na vědomí vysokou míru koncentrace trhu v potravinových dodavatelských řetězcích; opakovaně vyzývá Komisi, aby bezodkladně provedla hloubkovou analýzu rozsahu a dopadu nákupních společenství a aby současně věnovala zvláštní pozornost zajištění spravedlivé hospodářské soutěže a větší transparentnosti obchodních praktik řetězců supermarketů a hypermarketů, zejména pokud tyto praktiky ovlivňují hodnotu značky a výběr výrobků nebo omezují inovace a vedou k nižší srovnatelnosti cen; v této souvislosti připomíná tržní koncentraci v obchodování se zemědělskými komoditami, kde jsou za převážnou většinu světového obchodu s plodinami odpovědné čtyři </w:t>
      </w:r>
      <w:r w:rsidRPr="006C4D95">
        <w:rPr>
          <w:szCs w:val="24"/>
          <w:lang w:val="cs-CZ"/>
        </w:rPr>
        <w:lastRenderedPageBreak/>
        <w:t xml:space="preserve">společnosti; vyjadřuje politování nad tím, že v roce 2024 Komise navzdory obavám z narušení hospodářské soutěže podmínečně schválila fúzi </w:t>
      </w:r>
      <w:proofErr w:type="spellStart"/>
      <w:r w:rsidRPr="006C4D95">
        <w:rPr>
          <w:szCs w:val="24"/>
          <w:lang w:val="cs-CZ"/>
        </w:rPr>
        <w:t>Bunge-Viterra</w:t>
      </w:r>
      <w:proofErr w:type="spellEnd"/>
      <w:r w:rsidRPr="006C4D95">
        <w:rPr>
          <w:szCs w:val="24"/>
          <w:lang w:val="cs-CZ"/>
        </w:rPr>
        <w:t xml:space="preserve"> (M.11204); žádá Komisi, aby se zabývala nadměrným hromaděním moci v rukou několika velkých subjektů na tomto trhu a snažila se posílit vyjednávací pozici zemědělců a spotřebitelů; upozorňuje v této souvislosti na provádění nového nástroje pro hospodářskou soutěž;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38.</w:t>
      </w:r>
      <w:r w:rsidRPr="006C4D95">
        <w:rPr>
          <w:szCs w:val="24"/>
          <w:lang w:val="cs-CZ"/>
        </w:rPr>
        <w:tab/>
        <w:t>bere na vědomí vysoké čisté zisky bank v EU během tohoto inflačního období, které byly způsobeny zejména opožděným promítnutím rychlého zpřísnění měnové politiky do úročení vkladů;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 xml:space="preserve">39. </w:t>
      </w:r>
      <w:r w:rsidRPr="006C4D95">
        <w:rPr>
          <w:szCs w:val="24"/>
          <w:lang w:val="cs-CZ"/>
        </w:rPr>
        <w:tab/>
        <w:t>se zvláštním znepokojením bere na vědomí dominantní postavení, které mají na platebním trhu EU dvě mezinárodní schémata platebních karet, a jejich zapojení do postupů, jež jejich dominantní postavení na tomto trhu posilují a rozšiřují, potenciálně dále zvyšují překážky vstupu na trh, brání dlouhodobým inovacím</w:t>
      </w:r>
      <w:r w:rsidRPr="006C4D95">
        <w:rPr>
          <w:rStyle w:val="FootnoteReference"/>
          <w:szCs w:val="24"/>
          <w:lang w:val="cs-CZ"/>
        </w:rPr>
        <w:footnoteReference w:id="6"/>
      </w:r>
      <w:r w:rsidRPr="006C4D95">
        <w:rPr>
          <w:szCs w:val="24"/>
          <w:lang w:val="cs-CZ"/>
        </w:rPr>
        <w:t xml:space="preserve"> a vedou k vyšším nákladům pro podniky v EU, a v konečném důsledku pro spotřebitele; vyzývá Komisi, aby přijala rozhodná opatření, a z</w:t>
      </w:r>
      <w:r w:rsidRPr="007879D5">
        <w:rPr>
          <w:szCs w:val="24"/>
          <w:lang w:val="cs-CZ"/>
        </w:rPr>
        <w:t>důrazňuje, že je zapotřebí přezkoumat nařízení o </w:t>
      </w:r>
      <w:r w:rsidRPr="006C4D95">
        <w:rPr>
          <w:szCs w:val="24"/>
          <w:lang w:val="cs-CZ"/>
        </w:rPr>
        <w:t>mezibankovních poplatcích (nařízení (EU) 2015/751) s cílem řešit výrazný nárůst poplatků, které si mezinárodní schémata platebních karet účtují, a zajistit spravedlivé, konkurenceschopné a transparentní tržní prostředí;</w:t>
      </w:r>
    </w:p>
    <w:p w:rsidR="00DE5101" w:rsidRPr="006C4D95" w:rsidRDefault="00DE5101" w:rsidP="006C4D95">
      <w:pPr>
        <w:pStyle w:val="Normal12a24b"/>
        <w:spacing w:before="0"/>
        <w:ind w:left="567" w:hanging="567"/>
        <w:rPr>
          <w:szCs w:val="24"/>
          <w:lang w:val="cs-CZ"/>
        </w:rPr>
      </w:pPr>
      <w:r w:rsidRPr="006C4D95">
        <w:rPr>
          <w:rStyle w:val="BoldItalic"/>
          <w:szCs w:val="24"/>
          <w:lang w:val="cs-CZ"/>
        </w:rPr>
        <w:t xml:space="preserve">Zapojení Parlamentu </w:t>
      </w:r>
    </w:p>
    <w:p w:rsidR="00DE5101" w:rsidRPr="006C4D95" w:rsidRDefault="00DE5101" w:rsidP="006C4D95">
      <w:pPr>
        <w:pStyle w:val="NormalHanging12a"/>
        <w:rPr>
          <w:szCs w:val="24"/>
          <w:lang w:val="cs-CZ"/>
        </w:rPr>
      </w:pPr>
      <w:r w:rsidRPr="006C4D95">
        <w:rPr>
          <w:szCs w:val="24"/>
          <w:lang w:val="cs-CZ"/>
        </w:rPr>
        <w:t>40.</w:t>
      </w:r>
      <w:r w:rsidRPr="006C4D95">
        <w:rPr>
          <w:szCs w:val="24"/>
          <w:lang w:val="cs-CZ"/>
        </w:rPr>
        <w:tab/>
        <w:t>zdůrazňuje, že Parlament by měl být do utváření politiky v oblasti hospodářské soutěže dostatečně zapojen; varuje před přílišným spoléháním se na právně nevynutitelné nástroje, jako jsou pokyny a dočasné rámce, do nichž se Parlament zapojuje omezeně; vyzývá Komisi, aby zahájila jednání o interinstitucionální dohodě o politice hospodářské soutěže, v níž by své priority v oblasti prosazování práva formalizovala ve vztahu k Parlamentu; vyzývá Evropskou radu, aby podle čl. 48 odst. 7 Smlouvy o EU přijala rozhodnutí, které umožní přijímat legislativní akty v oblasti politiky hospodářské soutěže řádným legislativním postupem; zdůrazňuje, že Parlament by měl být více zapojen do činnosti pracovních skupin a skupin odborníků v rámci Mezinárodní sítě pro hospodářskou soutěž a OECD jako pozorovatel a také do činnosti skupiny na vysoké úrovni pro nařízení o digitálních trzích;</w:t>
      </w:r>
    </w:p>
    <w:p w:rsidR="00DE5101" w:rsidRPr="006C4D95" w:rsidRDefault="00DE5101" w:rsidP="006C4D95">
      <w:pPr>
        <w:pStyle w:val="NormalHanging12a"/>
        <w:rPr>
          <w:snapToGrid/>
          <w:szCs w:val="24"/>
          <w:lang w:val="cs-CZ"/>
        </w:rPr>
      </w:pPr>
      <w:r w:rsidRPr="006C4D95">
        <w:rPr>
          <w:szCs w:val="24"/>
          <w:lang w:val="cs-CZ"/>
        </w:rPr>
        <w:t>41.</w:t>
      </w:r>
      <w:r w:rsidRPr="006C4D95">
        <w:rPr>
          <w:szCs w:val="24"/>
          <w:lang w:val="cs-CZ"/>
        </w:rPr>
        <w:tab/>
        <w:t>vyzývá odpovědnou výkonnou místopředsedkyni a komisařku odpovědnou za politiku hospodářské soutěže, aby udržovala úzký kontakt s příslušným výborem Parlamentu a s jeho pracovní skupinou pro otázky hospodářské soutěže;</w:t>
      </w:r>
    </w:p>
    <w:p w:rsidR="006C4D95" w:rsidRPr="006C4D95" w:rsidRDefault="006C4D95" w:rsidP="006C4D95">
      <w:pPr>
        <w:pStyle w:val="NormalCenter12a"/>
        <w:widowControl/>
        <w:ind w:left="567" w:hanging="567"/>
        <w:rPr>
          <w:szCs w:val="24"/>
          <w:lang w:val="cs-CZ"/>
        </w:rPr>
      </w:pPr>
      <w:r w:rsidRPr="006C4D95">
        <w:rPr>
          <w:szCs w:val="24"/>
          <w:lang w:val="cs-CZ"/>
        </w:rPr>
        <w:t>°</w:t>
      </w:r>
    </w:p>
    <w:p w:rsidR="006C4D95" w:rsidRPr="006C4D95" w:rsidRDefault="006C4D95" w:rsidP="006C4D95">
      <w:pPr>
        <w:pStyle w:val="NormalCenter12a"/>
        <w:widowControl/>
        <w:ind w:left="567" w:hanging="567"/>
        <w:rPr>
          <w:szCs w:val="24"/>
          <w:lang w:val="cs-CZ"/>
        </w:rPr>
      </w:pPr>
      <w:r w:rsidRPr="006C4D95">
        <w:rPr>
          <w:szCs w:val="24"/>
          <w:lang w:val="cs-CZ"/>
        </w:rPr>
        <w:t>°     °</w:t>
      </w:r>
    </w:p>
    <w:p w:rsidR="0018550A" w:rsidRPr="006C4D95" w:rsidRDefault="00DE5101" w:rsidP="006C4D95">
      <w:pPr>
        <w:pStyle w:val="NormalHanging12a"/>
        <w:rPr>
          <w:lang w:val="cs-CZ"/>
        </w:rPr>
      </w:pPr>
      <w:r w:rsidRPr="006C4D95">
        <w:rPr>
          <w:szCs w:val="24"/>
          <w:lang w:val="cs-CZ"/>
        </w:rPr>
        <w:t>42.</w:t>
      </w:r>
      <w:r w:rsidRPr="006C4D95">
        <w:rPr>
          <w:szCs w:val="24"/>
          <w:lang w:val="cs-CZ"/>
        </w:rPr>
        <w:tab/>
        <w:t>pověřuje</w:t>
      </w:r>
      <w:r w:rsidRPr="006C4D95">
        <w:rPr>
          <w:lang w:val="cs-CZ"/>
        </w:rPr>
        <w:t xml:space="preserve"> svou předsedkyni, aby předala toto usnesení Radě a Komisi.</w:t>
      </w:r>
    </w:p>
    <w:p w:rsidR="00E365E1" w:rsidRPr="006C4D95" w:rsidRDefault="00E365E1" w:rsidP="00457E44"/>
    <w:sectPr w:rsidR="00E365E1" w:rsidRPr="006C4D95" w:rsidSect="001855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E44" w:rsidRPr="0018550A" w:rsidRDefault="00457E44">
      <w:r w:rsidRPr="0018550A">
        <w:separator/>
      </w:r>
    </w:p>
  </w:endnote>
  <w:endnote w:type="continuationSeparator" w:id="0">
    <w:p w:rsidR="00457E44" w:rsidRPr="0018550A" w:rsidRDefault="00457E44">
      <w:r w:rsidRPr="001855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5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5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5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E44" w:rsidRPr="0018550A" w:rsidRDefault="00457E44">
      <w:r w:rsidRPr="0018550A">
        <w:separator/>
      </w:r>
    </w:p>
  </w:footnote>
  <w:footnote w:type="continuationSeparator" w:id="0">
    <w:p w:rsidR="00457E44" w:rsidRPr="0018550A" w:rsidRDefault="00457E44">
      <w:r w:rsidRPr="0018550A">
        <w:continuationSeparator/>
      </w:r>
    </w:p>
  </w:footnote>
  <w:footnote w:id="1">
    <w:p w:rsidR="00DE5101" w:rsidRPr="0018550A" w:rsidRDefault="00DE5101" w:rsidP="0018550A">
      <w:pPr>
        <w:pStyle w:val="FootnoteText"/>
        <w:ind w:left="567" w:hanging="567"/>
        <w:rPr>
          <w:sz w:val="24"/>
          <w:lang w:val="cs-CZ"/>
        </w:rPr>
      </w:pPr>
      <w:r w:rsidRPr="0018550A">
        <w:rPr>
          <w:rStyle w:val="FootnoteReference"/>
          <w:sz w:val="24"/>
          <w:lang w:val="cs-CZ"/>
        </w:rPr>
        <w:footnoteRef/>
      </w:r>
      <w:r w:rsidR="0018550A" w:rsidRPr="0018550A">
        <w:rPr>
          <w:sz w:val="24"/>
          <w:lang w:val="cs-CZ"/>
        </w:rPr>
        <w:t xml:space="preserve"> </w:t>
      </w:r>
      <w:r w:rsidR="0018550A" w:rsidRPr="0018550A">
        <w:rPr>
          <w:sz w:val="24"/>
          <w:lang w:val="cs-CZ"/>
        </w:rPr>
        <w:tab/>
      </w:r>
      <w:proofErr w:type="spellStart"/>
      <w:r w:rsidRPr="0018550A">
        <w:rPr>
          <w:sz w:val="24"/>
          <w:lang w:val="cs-CZ"/>
        </w:rPr>
        <w:t>Úř</w:t>
      </w:r>
      <w:proofErr w:type="spellEnd"/>
      <w:r w:rsidRPr="0018550A">
        <w:rPr>
          <w:sz w:val="24"/>
          <w:lang w:val="cs-CZ"/>
        </w:rPr>
        <w:t xml:space="preserve">. </w:t>
      </w:r>
      <w:proofErr w:type="spellStart"/>
      <w:r w:rsidRPr="0018550A">
        <w:rPr>
          <w:sz w:val="24"/>
          <w:lang w:val="cs-CZ"/>
        </w:rPr>
        <w:t>věst</w:t>
      </w:r>
      <w:proofErr w:type="spellEnd"/>
      <w:r w:rsidRPr="0018550A">
        <w:rPr>
          <w:sz w:val="24"/>
          <w:lang w:val="cs-CZ"/>
        </w:rPr>
        <w:t xml:space="preserve">. L 024, 29.1.2004, s. 1, ELI: </w:t>
      </w:r>
      <w:hyperlink r:id="rId1" w:history="1">
        <w:r w:rsidRPr="0018550A">
          <w:rPr>
            <w:color w:val="0000FF"/>
            <w:sz w:val="24"/>
            <w:u w:val="single" w:color="0000FF"/>
            <w:lang w:val="cs-CZ"/>
          </w:rPr>
          <w:t>http://data.europa.eu/eli/reg/2004/139/oj</w:t>
        </w:r>
        <w:r w:rsidRPr="006C4D95">
          <w:rPr>
            <w:sz w:val="24"/>
            <w:lang w:val="cs-CZ"/>
          </w:rPr>
          <w:t>.</w:t>
        </w:r>
      </w:hyperlink>
    </w:p>
  </w:footnote>
  <w:footnote w:id="2">
    <w:p w:rsidR="00DE5101" w:rsidRPr="0018550A" w:rsidRDefault="00DE5101" w:rsidP="0018550A">
      <w:pPr>
        <w:pStyle w:val="FootnoteText"/>
        <w:ind w:left="567" w:hanging="567"/>
        <w:rPr>
          <w:sz w:val="24"/>
          <w:lang w:val="cs-CZ"/>
        </w:rPr>
      </w:pPr>
      <w:r w:rsidRPr="0018550A">
        <w:rPr>
          <w:rStyle w:val="FootnoteReference"/>
          <w:sz w:val="24"/>
          <w:lang w:val="cs-CZ"/>
        </w:rPr>
        <w:footnoteRef/>
      </w:r>
      <w:r w:rsidR="0018550A" w:rsidRPr="0018550A">
        <w:rPr>
          <w:sz w:val="24"/>
          <w:lang w:val="cs-CZ"/>
        </w:rPr>
        <w:t xml:space="preserve"> </w:t>
      </w:r>
      <w:r w:rsidR="0018550A" w:rsidRPr="0018550A">
        <w:rPr>
          <w:sz w:val="24"/>
          <w:lang w:val="cs-CZ"/>
        </w:rPr>
        <w:tab/>
      </w:r>
      <w:proofErr w:type="spellStart"/>
      <w:r w:rsidRPr="0018550A">
        <w:rPr>
          <w:sz w:val="24"/>
          <w:lang w:val="cs-CZ"/>
        </w:rPr>
        <w:t>Úř</w:t>
      </w:r>
      <w:proofErr w:type="spellEnd"/>
      <w:r w:rsidRPr="0018550A">
        <w:rPr>
          <w:sz w:val="24"/>
          <w:lang w:val="cs-CZ"/>
        </w:rPr>
        <w:t xml:space="preserve">. </w:t>
      </w:r>
      <w:proofErr w:type="spellStart"/>
      <w:r w:rsidRPr="0018550A">
        <w:rPr>
          <w:sz w:val="24"/>
          <w:lang w:val="cs-CZ"/>
        </w:rPr>
        <w:t>věst</w:t>
      </w:r>
      <w:proofErr w:type="spellEnd"/>
      <w:r w:rsidRPr="0018550A">
        <w:rPr>
          <w:sz w:val="24"/>
          <w:lang w:val="cs-CZ"/>
        </w:rPr>
        <w:t>. L 114, 12.4.2022, s. 22, ELI: </w:t>
      </w:r>
      <w:r w:rsidR="003471E7">
        <w:fldChar w:fldCharType="begin"/>
      </w:r>
      <w:r w:rsidR="003471E7" w:rsidRPr="003471E7">
        <w:rPr>
          <w:lang w:val="cs-CZ"/>
        </w:rPr>
        <w:instrText xml:space="preserve"> HYPERLINK "http://data.europa.eu/eli/dec/2022/591/oj" \o "Umožňuje přístup k tomuto dokumentu prostřednictvím jeho identifikátoru URI používaného v ELI." </w:instrText>
      </w:r>
      <w:r w:rsidR="003471E7">
        <w:fldChar w:fldCharType="separate"/>
      </w:r>
      <w:r w:rsidRPr="0018550A">
        <w:rPr>
          <w:rStyle w:val="Hyperlink"/>
          <w:sz w:val="24"/>
          <w:lang w:val="cs-CZ"/>
        </w:rPr>
        <w:t>http://data.europa.eu/eli/dec/2022/591/oj</w:t>
      </w:r>
      <w:r w:rsidR="003471E7">
        <w:rPr>
          <w:rStyle w:val="Hyperlink"/>
          <w:sz w:val="24"/>
          <w:lang w:val="cs-CZ"/>
        </w:rPr>
        <w:fldChar w:fldCharType="end"/>
      </w:r>
      <w:r w:rsidRPr="0018550A">
        <w:rPr>
          <w:sz w:val="24"/>
          <w:lang w:val="cs-CZ"/>
        </w:rPr>
        <w:t>.</w:t>
      </w:r>
    </w:p>
  </w:footnote>
  <w:footnote w:id="3">
    <w:p w:rsidR="00DE5101" w:rsidRPr="006C4D95" w:rsidRDefault="00DE5101" w:rsidP="0018550A">
      <w:pPr>
        <w:pStyle w:val="FootnoteText"/>
        <w:ind w:left="567" w:hanging="567"/>
        <w:rPr>
          <w:sz w:val="24"/>
          <w:lang w:val="cs-CZ"/>
        </w:rPr>
      </w:pPr>
      <w:r w:rsidRPr="0018550A">
        <w:rPr>
          <w:rStyle w:val="FootnoteReference"/>
          <w:sz w:val="24"/>
          <w:lang w:val="cs-CZ"/>
        </w:rPr>
        <w:footnoteRef/>
      </w:r>
      <w:r w:rsidR="0018550A" w:rsidRPr="0018550A">
        <w:rPr>
          <w:sz w:val="24"/>
          <w:lang w:val="cs-CZ"/>
        </w:rPr>
        <w:t xml:space="preserve"> </w:t>
      </w:r>
      <w:r w:rsidR="0018550A" w:rsidRPr="0018550A">
        <w:rPr>
          <w:sz w:val="24"/>
          <w:lang w:val="cs-CZ"/>
        </w:rPr>
        <w:tab/>
      </w:r>
      <w:r w:rsidRPr="0018550A">
        <w:rPr>
          <w:sz w:val="24"/>
          <w:lang w:val="cs-CZ"/>
        </w:rPr>
        <w:t xml:space="preserve">Rozsudek Soudního dvora ze dne 3. září 2024, </w:t>
      </w:r>
      <w:proofErr w:type="spellStart"/>
      <w:r w:rsidRPr="003471E7">
        <w:rPr>
          <w:sz w:val="24"/>
          <w:lang w:val="cs-CZ"/>
        </w:rPr>
        <w:t>Illumina</w:t>
      </w:r>
      <w:proofErr w:type="spellEnd"/>
      <w:r w:rsidRPr="003471E7">
        <w:rPr>
          <w:sz w:val="24"/>
          <w:lang w:val="cs-CZ"/>
        </w:rPr>
        <w:t xml:space="preserve"> </w:t>
      </w:r>
      <w:r w:rsidRPr="006C4D95">
        <w:rPr>
          <w:sz w:val="24"/>
          <w:lang w:val="cs-CZ"/>
        </w:rPr>
        <w:t xml:space="preserve">v. </w:t>
      </w:r>
      <w:r w:rsidRPr="003471E7">
        <w:rPr>
          <w:sz w:val="24"/>
          <w:lang w:val="cs-CZ"/>
        </w:rPr>
        <w:t>Komise</w:t>
      </w:r>
      <w:r w:rsidRPr="006C4D95">
        <w:rPr>
          <w:sz w:val="24"/>
          <w:lang w:val="cs-CZ"/>
        </w:rPr>
        <w:t>, C-611/22 P, ECLI:EU:C:2024:677.</w:t>
      </w:r>
    </w:p>
  </w:footnote>
  <w:footnote w:id="4">
    <w:p w:rsidR="00DE5101" w:rsidRPr="007879D5" w:rsidRDefault="00DE5101" w:rsidP="0018550A">
      <w:pPr>
        <w:pStyle w:val="FootnoteText"/>
        <w:ind w:left="567" w:hanging="567"/>
        <w:rPr>
          <w:sz w:val="24"/>
          <w:lang w:val="cs-CZ"/>
        </w:rPr>
      </w:pPr>
      <w:r w:rsidRPr="006C4D95">
        <w:rPr>
          <w:rStyle w:val="FootnoteReference"/>
          <w:sz w:val="24"/>
          <w:lang w:val="cs-CZ"/>
        </w:rPr>
        <w:footnoteRef/>
      </w:r>
      <w:r w:rsidR="0018550A" w:rsidRPr="006C4D95">
        <w:rPr>
          <w:sz w:val="24"/>
          <w:lang w:val="cs-CZ"/>
        </w:rPr>
        <w:t xml:space="preserve"> </w:t>
      </w:r>
      <w:r w:rsidR="0018550A" w:rsidRPr="006C4D95">
        <w:rPr>
          <w:sz w:val="24"/>
          <w:lang w:val="cs-CZ"/>
        </w:rPr>
        <w:tab/>
      </w:r>
      <w:r w:rsidRPr="006C4D95">
        <w:rPr>
          <w:sz w:val="24"/>
          <w:lang w:val="cs-CZ"/>
        </w:rPr>
        <w:t xml:space="preserve">Rozsudek Soudního dvora ze dne 10. září 2024, </w:t>
      </w:r>
      <w:r w:rsidRPr="003471E7">
        <w:rPr>
          <w:rStyle w:val="Italic"/>
          <w:i w:val="0"/>
          <w:sz w:val="24"/>
          <w:lang w:val="cs-CZ"/>
        </w:rPr>
        <w:t>Evropská komise v. Irsko a další</w:t>
      </w:r>
      <w:r w:rsidRPr="007879D5">
        <w:rPr>
          <w:sz w:val="24"/>
          <w:lang w:val="cs-CZ"/>
        </w:rPr>
        <w:t>, C-465/20 P, ECLI:EU:C:2024:724.</w:t>
      </w:r>
    </w:p>
  </w:footnote>
  <w:footnote w:id="5">
    <w:p w:rsidR="00DE5101" w:rsidRPr="007879D5" w:rsidRDefault="00DE5101" w:rsidP="0018550A">
      <w:pPr>
        <w:pStyle w:val="FootnoteText"/>
        <w:ind w:left="567" w:hanging="567"/>
        <w:rPr>
          <w:sz w:val="24"/>
          <w:lang w:val="cs-CZ"/>
        </w:rPr>
      </w:pPr>
      <w:r w:rsidRPr="007879D5">
        <w:rPr>
          <w:rStyle w:val="FootnoteReference"/>
          <w:sz w:val="24"/>
          <w:lang w:val="cs-CZ"/>
        </w:rPr>
        <w:footnoteRef/>
      </w:r>
      <w:r w:rsidR="0018550A" w:rsidRPr="007879D5">
        <w:rPr>
          <w:sz w:val="24"/>
          <w:lang w:val="cs-CZ"/>
        </w:rPr>
        <w:t xml:space="preserve"> </w:t>
      </w:r>
      <w:r w:rsidR="0018550A" w:rsidRPr="007879D5">
        <w:rPr>
          <w:sz w:val="24"/>
          <w:lang w:val="cs-CZ"/>
        </w:rPr>
        <w:tab/>
      </w:r>
      <w:r w:rsidRPr="007879D5">
        <w:rPr>
          <w:sz w:val="24"/>
          <w:lang w:val="cs-CZ"/>
        </w:rPr>
        <w:t xml:space="preserve">Rozsudek Soudního dvora ze dne 10. září 2024, </w:t>
      </w:r>
      <w:r w:rsidRPr="003471E7">
        <w:rPr>
          <w:rStyle w:val="Italic"/>
          <w:i w:val="0"/>
          <w:sz w:val="24"/>
          <w:lang w:val="cs-CZ"/>
        </w:rPr>
        <w:t xml:space="preserve">Google LLC a </w:t>
      </w:r>
      <w:proofErr w:type="spellStart"/>
      <w:r w:rsidRPr="003471E7">
        <w:rPr>
          <w:rStyle w:val="Italic"/>
          <w:i w:val="0"/>
          <w:sz w:val="24"/>
          <w:lang w:val="cs-CZ"/>
        </w:rPr>
        <w:t>Alphabet</w:t>
      </w:r>
      <w:proofErr w:type="spellEnd"/>
      <w:r w:rsidRPr="003471E7">
        <w:rPr>
          <w:rStyle w:val="Italic"/>
          <w:i w:val="0"/>
          <w:sz w:val="24"/>
          <w:lang w:val="cs-CZ"/>
        </w:rPr>
        <w:t xml:space="preserve"> Inc. v. Evropská komise</w:t>
      </w:r>
      <w:r w:rsidRPr="007879D5">
        <w:rPr>
          <w:sz w:val="24"/>
          <w:lang w:val="cs-CZ"/>
        </w:rPr>
        <w:t>, C-48/22 P, CLI:EU:C:2024:726.</w:t>
      </w:r>
    </w:p>
  </w:footnote>
  <w:footnote w:id="6">
    <w:p w:rsidR="00DE5101" w:rsidRPr="0018550A" w:rsidRDefault="00DE5101" w:rsidP="0018550A">
      <w:pPr>
        <w:pStyle w:val="FootnoteText"/>
        <w:ind w:left="567" w:hanging="567"/>
        <w:rPr>
          <w:sz w:val="24"/>
          <w:lang w:val="cs-CZ"/>
        </w:rPr>
      </w:pPr>
      <w:r w:rsidRPr="0018550A">
        <w:rPr>
          <w:rStyle w:val="FootnoteReference"/>
          <w:sz w:val="24"/>
          <w:lang w:val="cs-CZ"/>
        </w:rPr>
        <w:footnoteRef/>
      </w:r>
      <w:r w:rsidR="0018550A" w:rsidRPr="0018550A">
        <w:rPr>
          <w:sz w:val="24"/>
          <w:lang w:val="cs-CZ"/>
        </w:rPr>
        <w:t xml:space="preserve"> </w:t>
      </w:r>
      <w:r w:rsidR="0018550A" w:rsidRPr="0018550A">
        <w:rPr>
          <w:sz w:val="24"/>
          <w:lang w:val="cs-CZ"/>
        </w:rPr>
        <w:tab/>
      </w:r>
      <w:r w:rsidRPr="0018550A">
        <w:rPr>
          <w:sz w:val="24"/>
          <w:lang w:val="cs-CZ"/>
        </w:rPr>
        <w:t xml:space="preserve">Zvláštní zpráva Evropského účetního dvora „Digitální platby v EU – Navzdory přetrvávajícím nedostatkům jsou bezpečnější, rychlejší a levnější“, 9. ledna 2025, </w:t>
      </w:r>
      <w:r w:rsidR="003471E7">
        <w:fldChar w:fldCharType="begin"/>
      </w:r>
      <w:r w:rsidR="003471E7" w:rsidRPr="003471E7">
        <w:rPr>
          <w:lang w:val="cs-CZ"/>
        </w:rPr>
        <w:instrText xml:space="preserve"> HYPERLINK "https://www.eca.europa.eu/ECAPublications/SR-2025-01/SR-2025-01_cs.pdf" </w:instrText>
      </w:r>
      <w:r w:rsidR="003471E7">
        <w:fldChar w:fldCharType="separate"/>
      </w:r>
      <w:r w:rsidRPr="0018550A">
        <w:rPr>
          <w:rStyle w:val="Hyperlink"/>
          <w:sz w:val="24"/>
          <w:lang w:val="cs-CZ"/>
        </w:rPr>
        <w:t>https://www.eca.europa.eu/ECAPublications/SR-2025-01/SR-2025-01_CS.pdf</w:t>
      </w:r>
      <w:r w:rsidR="003471E7">
        <w:rPr>
          <w:rStyle w:val="Hyperlink"/>
          <w:sz w:val="24"/>
          <w:lang w:val="cs-CZ"/>
        </w:rPr>
        <w:fldChar w:fldCharType="end"/>
      </w:r>
      <w:r w:rsidRPr="0018550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5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5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55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1/2025"/>
    <w:docVar w:name="dvlangue" w:val="CS"/>
    <w:docVar w:name="dvnumam" w:val="0"/>
    <w:docVar w:name="dvpe" w:val="765.240"/>
    <w:docVar w:name="dvrapporteur" w:val="Zpravodajka: "/>
    <w:docVar w:name="dvtitre" w:val="Usnesení Evropského parlamentu ze dne 8. května 2025 o politice v oblasti hospodářské soutěže – výroční zpráva za rok 2024(2024/2079(INI))"/>
  </w:docVars>
  <w:rsids>
    <w:rsidRoot w:val="00457E44"/>
    <w:rsid w:val="00002272"/>
    <w:rsid w:val="00064002"/>
    <w:rsid w:val="000677B9"/>
    <w:rsid w:val="000831BA"/>
    <w:rsid w:val="000A42CC"/>
    <w:rsid w:val="000E7DD9"/>
    <w:rsid w:val="0010095E"/>
    <w:rsid w:val="00125B37"/>
    <w:rsid w:val="0018550A"/>
    <w:rsid w:val="00187494"/>
    <w:rsid w:val="001F32AE"/>
    <w:rsid w:val="00276266"/>
    <w:rsid w:val="002767FF"/>
    <w:rsid w:val="002B18FE"/>
    <w:rsid w:val="002B5493"/>
    <w:rsid w:val="00343214"/>
    <w:rsid w:val="003471E7"/>
    <w:rsid w:val="00361C00"/>
    <w:rsid w:val="00395FA1"/>
    <w:rsid w:val="003E15D4"/>
    <w:rsid w:val="00411CCE"/>
    <w:rsid w:val="0041666E"/>
    <w:rsid w:val="00421060"/>
    <w:rsid w:val="00457E4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1E3"/>
    <w:rsid w:val="006C4D95"/>
    <w:rsid w:val="006F74FA"/>
    <w:rsid w:val="00731ADD"/>
    <w:rsid w:val="00734777"/>
    <w:rsid w:val="00747932"/>
    <w:rsid w:val="00751A4A"/>
    <w:rsid w:val="00756632"/>
    <w:rsid w:val="00762C74"/>
    <w:rsid w:val="00786EC0"/>
    <w:rsid w:val="007879D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10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C7BDF0"/>
  <w15:chartTrackingRefBased/>
  <w15:docId w15:val="{80D442EA-0CBD-4DB3-911F-61BDDC6D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E5101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DE5101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DE5101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DE5101"/>
    <w:rPr>
      <w:b/>
      <w:i/>
      <w:u w:val="none"/>
    </w:rPr>
  </w:style>
  <w:style w:type="character" w:customStyle="1" w:styleId="Italic">
    <w:name w:val="Italic"/>
    <w:uiPriority w:val="1"/>
    <w:rsid w:val="00DE5101"/>
    <w:rPr>
      <w:i/>
    </w:rPr>
  </w:style>
  <w:style w:type="paragraph" w:customStyle="1" w:styleId="Normal12a24b">
    <w:name w:val="Normal12a24b"/>
    <w:basedOn w:val="Normal"/>
    <w:rsid w:val="00DE5101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DE510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C4D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4D95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N/TXT/?uri=uriserv:OJ.L_.2004.024.01.0001.01.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785A1-25DB-4368-AD16-60E1DF01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4562</Words>
  <Characters>26009</Characters>
  <Application>Microsoft Office Word</Application>
  <DocSecurity>0</DocSecurity>
  <Lines>216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2025-05-08T12:19:00Z</dcterms:created>
  <dcterms:modified xsi:type="dcterms:W3CDTF">2025-05-08T12:19:00Z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A10-0071/2025</vt:lpwstr>
  </property>
  <property fmtid="{D5CDD505-2E9C-101B-9397-08002B2CF9AE}" pid="4" name="&lt;Type&gt;">
    <vt:lpwstr>RR</vt:lpwstr>
  </property>
</Properties>
</file>