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6753" w14:paraId="3C2A4847" w14:textId="77777777" w:rsidTr="0010095E">
        <w:trPr>
          <w:trHeight w:hRule="exact" w:val="1418"/>
        </w:trPr>
        <w:tc>
          <w:tcPr>
            <w:tcW w:w="6804" w:type="dxa"/>
            <w:shd w:val="clear" w:color="auto" w:fill="auto"/>
            <w:vAlign w:val="center"/>
          </w:tcPr>
          <w:p w14:paraId="24BFC56C" w14:textId="77777777" w:rsidR="00751A4A" w:rsidRPr="00DB6753" w:rsidRDefault="00573380" w:rsidP="0010095E">
            <w:pPr>
              <w:pStyle w:val="EPName"/>
            </w:pPr>
            <w:r w:rsidRPr="00DB6753">
              <w:t>Ευρωπαϊκό Κοινοβούλιο</w:t>
            </w:r>
          </w:p>
          <w:p w14:paraId="6C0585EA" w14:textId="77777777" w:rsidR="00751A4A" w:rsidRPr="00DB6753" w:rsidRDefault="005F1B17" w:rsidP="005F1B17">
            <w:pPr>
              <w:pStyle w:val="EPTerm"/>
              <w:rPr>
                <w:rStyle w:val="HideTWBExt"/>
                <w:noProof w:val="0"/>
                <w:vanish w:val="0"/>
                <w:color w:val="auto"/>
              </w:rPr>
            </w:pPr>
            <w:r w:rsidRPr="00DB6753">
              <w:t>2024</w:t>
            </w:r>
            <w:r w:rsidR="00817416" w:rsidRPr="00DB6753">
              <w:t>-202</w:t>
            </w:r>
            <w:r w:rsidRPr="00DB6753">
              <w:t>9</w:t>
            </w:r>
          </w:p>
        </w:tc>
        <w:tc>
          <w:tcPr>
            <w:tcW w:w="2268" w:type="dxa"/>
            <w:shd w:val="clear" w:color="auto" w:fill="auto"/>
          </w:tcPr>
          <w:p w14:paraId="2AEF5F5D" w14:textId="77777777" w:rsidR="00751A4A" w:rsidRPr="00DB6753" w:rsidRDefault="00187494" w:rsidP="0010095E">
            <w:pPr>
              <w:pStyle w:val="EPLogo"/>
            </w:pPr>
            <w:r w:rsidRPr="00DB6753">
              <w:rPr>
                <w:noProof/>
                <w:lang w:val="en-GB"/>
              </w:rPr>
              <w:drawing>
                <wp:inline distT="0" distB="0" distL="0" distR="0" wp14:anchorId="728A9A52" wp14:editId="4A4F23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23AF4C" w14:textId="77777777" w:rsidR="00D058B8" w:rsidRPr="00DB6753" w:rsidRDefault="00D058B8" w:rsidP="004C5D52">
      <w:pPr>
        <w:pStyle w:val="LineTop"/>
      </w:pPr>
    </w:p>
    <w:p w14:paraId="1D08D8D8" w14:textId="77777777" w:rsidR="00680577" w:rsidRPr="00DB6753" w:rsidRDefault="00573380" w:rsidP="00680577">
      <w:pPr>
        <w:pStyle w:val="EPBodyTA1"/>
      </w:pPr>
      <w:r w:rsidRPr="00DB6753">
        <w:t>ΚΕΙΜΕΝΑ ΠΟΥ ΕΓΚΡΙΘΗΚΑΝ</w:t>
      </w:r>
    </w:p>
    <w:p w14:paraId="77738EF6" w14:textId="77777777" w:rsidR="00D058B8" w:rsidRPr="00DB6753" w:rsidRDefault="00D058B8" w:rsidP="00D058B8">
      <w:pPr>
        <w:pStyle w:val="LineBottom"/>
      </w:pPr>
    </w:p>
    <w:p w14:paraId="274071EC" w14:textId="77777777" w:rsidR="00573380" w:rsidRPr="00DB6753" w:rsidRDefault="00573380" w:rsidP="00573380">
      <w:pPr>
        <w:pStyle w:val="ATHeading1"/>
      </w:pPr>
      <w:bookmarkStart w:id="0" w:name="TANumber"/>
      <w:r w:rsidRPr="00DB6753">
        <w:t>P10_TA(2025)0</w:t>
      </w:r>
      <w:r w:rsidR="00DB6753">
        <w:t>104</w:t>
      </w:r>
      <w:bookmarkEnd w:id="0"/>
    </w:p>
    <w:p w14:paraId="6E5F3CA1" w14:textId="77777777" w:rsidR="00573380" w:rsidRPr="00DB6753" w:rsidRDefault="00B26674" w:rsidP="00573380">
      <w:pPr>
        <w:pStyle w:val="ATHeading2"/>
      </w:pPr>
      <w:bookmarkStart w:id="1" w:name="title"/>
      <w:r w:rsidRPr="00DB6753">
        <w:t>Πολιτική ανταγωνισμού – ετήσια έκθεση 2024</w:t>
      </w:r>
      <w:bookmarkEnd w:id="1"/>
    </w:p>
    <w:p w14:paraId="56A5DAC8" w14:textId="77777777" w:rsidR="00573380" w:rsidRPr="00DB6753" w:rsidRDefault="00573380" w:rsidP="00573380">
      <w:pPr>
        <w:rPr>
          <w:i/>
          <w:vanish/>
        </w:rPr>
      </w:pPr>
      <w:r w:rsidRPr="00DB6753">
        <w:rPr>
          <w:i/>
        </w:rPr>
        <w:fldChar w:fldCharType="begin"/>
      </w:r>
      <w:r w:rsidRPr="00DB6753">
        <w:rPr>
          <w:i/>
        </w:rPr>
        <w:instrText xml:space="preserve"> TC"(</w:instrText>
      </w:r>
      <w:bookmarkStart w:id="2" w:name="DocNumber"/>
      <w:r w:rsidRPr="00DB6753">
        <w:rPr>
          <w:i/>
        </w:rPr>
        <w:instrText>A10-0071/2025</w:instrText>
      </w:r>
      <w:bookmarkEnd w:id="2"/>
      <w:r w:rsidRPr="00DB6753">
        <w:rPr>
          <w:i/>
        </w:rPr>
        <w:instrText xml:space="preserve"> - Εισηγήτρια: Lara Wolters)"\l3 \n&gt; \* MERGEFORMAT </w:instrText>
      </w:r>
      <w:r w:rsidRPr="00DB6753">
        <w:rPr>
          <w:i/>
        </w:rPr>
        <w:fldChar w:fldCharType="end"/>
      </w:r>
    </w:p>
    <w:p w14:paraId="33C712E2" w14:textId="77777777" w:rsidR="00573380" w:rsidRPr="00DB6753" w:rsidRDefault="00573380" w:rsidP="00573380">
      <w:pPr>
        <w:rPr>
          <w:vanish/>
        </w:rPr>
      </w:pPr>
      <w:bookmarkStart w:id="3" w:name="Commission"/>
      <w:r w:rsidRPr="00DB6753">
        <w:rPr>
          <w:vanish/>
        </w:rPr>
        <w:t>Επιτροπή Οικονομικής και Νομισματικής Πολιτικής</w:t>
      </w:r>
      <w:bookmarkEnd w:id="3"/>
    </w:p>
    <w:p w14:paraId="772C34FA" w14:textId="77777777" w:rsidR="00573380" w:rsidRPr="00DB6753" w:rsidRDefault="00573380" w:rsidP="00573380">
      <w:pPr>
        <w:rPr>
          <w:vanish/>
        </w:rPr>
      </w:pPr>
      <w:bookmarkStart w:id="4" w:name="PE"/>
      <w:r w:rsidRPr="00DB6753">
        <w:rPr>
          <w:vanish/>
        </w:rPr>
        <w:t>PE765.240</w:t>
      </w:r>
      <w:bookmarkEnd w:id="4"/>
    </w:p>
    <w:p w14:paraId="75F94298" w14:textId="77777777" w:rsidR="00573380" w:rsidRPr="00DB6753" w:rsidRDefault="00573380" w:rsidP="00573380">
      <w:pPr>
        <w:pStyle w:val="ATHeading3"/>
      </w:pPr>
      <w:bookmarkStart w:id="5" w:name="Sujet"/>
      <w:r w:rsidRPr="00DB6753">
        <w:t xml:space="preserve">Ψήφισμα του Ευρωπαϊκού Κοινοβουλίου </w:t>
      </w:r>
      <w:r w:rsidR="00B26674" w:rsidRPr="00DB6753">
        <w:t xml:space="preserve">της 8ης Μαΐου 2025 </w:t>
      </w:r>
      <w:r w:rsidRPr="00DB6753">
        <w:t>σχετικά με την πολιτική ανταγωνισμού – ετήσια έκθεση 2024</w:t>
      </w:r>
      <w:bookmarkEnd w:id="5"/>
      <w:r w:rsidRPr="00DB6753">
        <w:t xml:space="preserve"> </w:t>
      </w:r>
      <w:bookmarkStart w:id="6" w:name="References"/>
      <w:r w:rsidRPr="00DB6753">
        <w:t>(2024/2079(INI))</w:t>
      </w:r>
      <w:bookmarkEnd w:id="6"/>
    </w:p>
    <w:p w14:paraId="767CB115" w14:textId="77777777" w:rsidR="00DD4327" w:rsidRPr="00DB6753" w:rsidRDefault="00DD4327" w:rsidP="00DD4327">
      <w:pPr>
        <w:pStyle w:val="EPComma"/>
      </w:pPr>
      <w:r w:rsidRPr="00DB6753">
        <w:rPr>
          <w:rStyle w:val="Italic"/>
        </w:rPr>
        <w:t>Το Ευρωπαϊκό Κοινοβούλιο</w:t>
      </w:r>
      <w:r w:rsidRPr="00DB6753">
        <w:t>,</w:t>
      </w:r>
    </w:p>
    <w:p w14:paraId="28A27A2D" w14:textId="77777777" w:rsidR="00DD4327" w:rsidRPr="00DB6753" w:rsidRDefault="00DD4327" w:rsidP="00B26674">
      <w:pPr>
        <w:pStyle w:val="NormalHanging12a"/>
      </w:pPr>
      <w:r w:rsidRPr="00DB6753">
        <w:t>–</w:t>
      </w:r>
      <w:r w:rsidRPr="00DB6753">
        <w:tab/>
        <w:t>έχοντας υπόψη τη Συνθήκη για τη λειτουργία της Ευρωπαϊκής Ένωσης (ΣΛΕΕ) και ιδίως τα άρθρα 101 έως 109,</w:t>
      </w:r>
    </w:p>
    <w:p w14:paraId="7C35DA73" w14:textId="77777777" w:rsidR="00DD4327" w:rsidRPr="00DB6753" w:rsidRDefault="00DD4327" w:rsidP="00B26674">
      <w:pPr>
        <w:pStyle w:val="NormalHanging12a"/>
      </w:pPr>
      <w:r w:rsidRPr="00DB6753">
        <w:t>–</w:t>
      </w:r>
      <w:r w:rsidRPr="00DB6753">
        <w:tab/>
        <w:t>έχοντας υπόψη τη δημοσίευση της Ursula von der Leyen, της 18ης Ιουλίου 2024, με τίτλο «Europe’s choice – political guidelines for the next European Commission 2024–2029» (Η επιλογή της Ευρώπης – Πολιτικές κατευθύνσεις για την επόμενη Ευρωπαϊκή Επιτροπή 2024-2029),</w:t>
      </w:r>
    </w:p>
    <w:p w14:paraId="390A6045" w14:textId="77777777" w:rsidR="00DD4327" w:rsidRPr="00DB6753" w:rsidRDefault="00DD4327" w:rsidP="00B26674">
      <w:pPr>
        <w:pStyle w:val="NormalHanging12a"/>
      </w:pPr>
      <w:r w:rsidRPr="00DB6753">
        <w:t>–</w:t>
      </w:r>
      <w:r w:rsidRPr="00DB6753">
        <w:tab/>
        <w:t>έχοντας υπόψη την έκθεση του Mario Draghi, της 9ης Σεπτεμβρίου 2024, με τίτλο ««The future of European competitiveness» (Το μέλλον της ευρωπαϊκής ανταγωνιστικότητας),</w:t>
      </w:r>
    </w:p>
    <w:p w14:paraId="5E1BFF85" w14:textId="77777777" w:rsidR="00DD4327" w:rsidRPr="00DB6753" w:rsidRDefault="00DD4327" w:rsidP="00B26674">
      <w:pPr>
        <w:pStyle w:val="NormalHanging12a"/>
      </w:pPr>
      <w:r w:rsidRPr="00DB6753">
        <w:t>–</w:t>
      </w:r>
      <w:r w:rsidRPr="00DB6753">
        <w:tab/>
        <w:t>έχοντας υπόψη την έκθεση του Enrico Letta, της 18ης Απριλίου 2024, με τίτλο «Much more than a market» (Πολύ περισσότερο από μια απλή αγορά),</w:t>
      </w:r>
    </w:p>
    <w:p w14:paraId="732683F4" w14:textId="5F51A678" w:rsidR="00DD4327" w:rsidRPr="00DB6753" w:rsidRDefault="00DD4327" w:rsidP="00B26674">
      <w:pPr>
        <w:pStyle w:val="NormalHanging12a"/>
      </w:pPr>
      <w:r w:rsidRPr="00DB6753">
        <w:t>–</w:t>
      </w:r>
      <w:r w:rsidRPr="00DB6753">
        <w:tab/>
        <w:t>έχοντας υπόψη την ειδική έκθεση</w:t>
      </w:r>
      <w:r w:rsidR="004D6EE3">
        <w:t xml:space="preserve"> </w:t>
      </w:r>
      <w:r w:rsidRPr="00DB6753">
        <w:t>21/2024 του Ευρωπαϊκού Ελεγκτικού Συνεδρίου, της 23ης Οκτωβρίου 2024, με τίτλο «Κρατικές ενισχύσεις σε περιόδους κρίσης – Ταχεία αντίδραση, αλλά ανεπάρκειες στην παρακολούθηση από την Επιτροπή και ασυνέπειες στο πλαίσιο για τη στήριξη των στόχων της βιομηχανικής πολιτικής της ΕΕ»,</w:t>
      </w:r>
    </w:p>
    <w:p w14:paraId="27A12466" w14:textId="77777777" w:rsidR="00DD4327" w:rsidRPr="00DB6753" w:rsidRDefault="00DD4327" w:rsidP="00B26674">
      <w:pPr>
        <w:pStyle w:val="NormalHanging12a"/>
      </w:pPr>
      <w:r w:rsidRPr="00DB6753">
        <w:t>–</w:t>
      </w:r>
      <w:r w:rsidRPr="00DB6753">
        <w:tab/>
        <w:t>έχοντας υπόψη τον κανονισμό (ΕΚ) αριθ. 139/2004 του Συμβουλίου, της 20ής Ιανουαρίου 2004, για τον έλεγχο των συγκεντρώσεων μεταξύ επιχειρήσεων (Κοινοτικός κανονισμός περί συγκεντρώσεων)</w:t>
      </w:r>
      <w:r w:rsidRPr="00DB6753">
        <w:rPr>
          <w:rStyle w:val="FootnoteReference"/>
        </w:rPr>
        <w:footnoteReference w:id="1"/>
      </w:r>
      <w:r w:rsidRPr="00DB6753">
        <w:t>,</w:t>
      </w:r>
    </w:p>
    <w:p w14:paraId="6BFE212A" w14:textId="77777777" w:rsidR="00DD4327" w:rsidRPr="00DB6753" w:rsidRDefault="00DD4327" w:rsidP="00B26674">
      <w:pPr>
        <w:pStyle w:val="NormalHanging12a"/>
        <w:rPr>
          <w:snapToGrid/>
        </w:rPr>
      </w:pPr>
      <w:r w:rsidRPr="00DB6753">
        <w:rPr>
          <w:b/>
        </w:rPr>
        <w:t>–</w:t>
      </w:r>
      <w:r w:rsidRPr="00DB6753">
        <w:tab/>
        <w:t>έχοντας υπόψη το άρθρο 11 ΣΛΕΕ, το οποίο ορίζει ότι οι απαιτήσεις της περιβαλλοντικής προστασίας πρέπει να ενταχθούν στον καθορισμό και την εφαρμογή των πολιτικών και δράσεων της Ένωσης, προκειμένου να προωθηθεί η αειφόρος ανάπτυξη,</w:t>
      </w:r>
    </w:p>
    <w:p w14:paraId="0F4B265F" w14:textId="77777777" w:rsidR="00DD4327" w:rsidRPr="00DB6753" w:rsidRDefault="00DD4327" w:rsidP="00B26674">
      <w:pPr>
        <w:pStyle w:val="NormalHanging12a"/>
      </w:pPr>
      <w:r w:rsidRPr="00DB6753">
        <w:t>–</w:t>
      </w:r>
      <w:r w:rsidRPr="00DB6753">
        <w:tab/>
        <w:t xml:space="preserve">έχοντας υπόψη το άρθρο 3 της απόφασης (ΕΕ) 2022/591 του Ευρωπαϊκού Κοινοβουλίου και του Συμβουλίου, της 6ης Απριλίου 2022, σχετικά με γενικό </w:t>
      </w:r>
      <w:r w:rsidRPr="00DB6753">
        <w:lastRenderedPageBreak/>
        <w:t>ενωσιακό πρόγραμμα δράσης για το περιβάλλον έως το 2030</w:t>
      </w:r>
      <w:r w:rsidRPr="00DB6753">
        <w:rPr>
          <w:rStyle w:val="FootnoteReference"/>
        </w:rPr>
        <w:footnoteReference w:id="2"/>
      </w:r>
      <w:r w:rsidRPr="00DB6753">
        <w:t>, το οποίο προβλέπει ότι οι επιζήμιες για το περιβάλλον επιδοτήσεις, ιδίως οι επιδοτήσεις ορυκτών καυσίμων, θα πρέπει σταδιακά να καταργηθούν χωρίς καθυστέρηση,</w:t>
      </w:r>
    </w:p>
    <w:p w14:paraId="510BC362" w14:textId="77777777" w:rsidR="00DD4327" w:rsidRPr="00DB6753" w:rsidRDefault="00DD4327" w:rsidP="00B26674">
      <w:pPr>
        <w:pStyle w:val="NormalHanging12a"/>
      </w:pPr>
      <w:r w:rsidRPr="00DB6753">
        <w:t>–</w:t>
      </w:r>
      <w:r w:rsidRPr="00DB6753">
        <w:tab/>
        <w:t>έχοντας υπόψη τις αποφάσεις του Δικαστηρίου της Ευρωπαϊκής Ένωσης της 3ης</w:t>
      </w:r>
      <w:r w:rsidR="00B26674" w:rsidRPr="00DB6753">
        <w:t> </w:t>
      </w:r>
      <w:r w:rsidRPr="00DB6753">
        <w:t>Σεπτεμβρίου 2024 στην υπόθεση C-611/22 P</w:t>
      </w:r>
      <w:r w:rsidR="00B26674" w:rsidRPr="00DB6753">
        <w:t>,</w:t>
      </w:r>
      <w:r w:rsidRPr="00DB6753">
        <w:t xml:space="preserve"> </w:t>
      </w:r>
      <w:r w:rsidRPr="00DB6753">
        <w:rPr>
          <w:rStyle w:val="Italic"/>
          <w:i w:val="0"/>
        </w:rPr>
        <w:t>Illumina κατά Επιτροπής</w:t>
      </w:r>
      <w:r w:rsidRPr="00DB6753">
        <w:rPr>
          <w:rStyle w:val="FootnoteReference"/>
        </w:rPr>
        <w:footnoteReference w:id="3"/>
      </w:r>
      <w:r w:rsidRPr="00DB6753">
        <w:t>, της 10ης</w:t>
      </w:r>
      <w:r w:rsidR="00B26674" w:rsidRPr="00DB6753">
        <w:t> </w:t>
      </w:r>
      <w:r w:rsidRPr="00DB6753">
        <w:t>Σεπτεμβρίου 2024 στην υπόθεση C-465/20 P</w:t>
      </w:r>
      <w:r w:rsidR="00B26674" w:rsidRPr="00DB6753">
        <w:t>,</w:t>
      </w:r>
      <w:r w:rsidRPr="00DB6753">
        <w:t xml:space="preserve"> </w:t>
      </w:r>
      <w:r w:rsidRPr="00DB6753">
        <w:rPr>
          <w:rStyle w:val="Italic"/>
          <w:i w:val="0"/>
        </w:rPr>
        <w:t>Ευρωπαϊκή Επιτροπή κατά Ιρλανδίας κ.ά.</w:t>
      </w:r>
      <w:r w:rsidRPr="00DB6753">
        <w:rPr>
          <w:rStyle w:val="FootnoteReference"/>
        </w:rPr>
        <w:footnoteReference w:id="4"/>
      </w:r>
      <w:r w:rsidRPr="00DB6753">
        <w:t xml:space="preserve"> και της 10ης Σεπτεμβρίου 2024 στην υπόθεση C-48/22 P</w:t>
      </w:r>
      <w:r w:rsidR="00B26674" w:rsidRPr="00DB6753">
        <w:t>,</w:t>
      </w:r>
      <w:r w:rsidRPr="00DB6753">
        <w:t xml:space="preserve"> </w:t>
      </w:r>
      <w:r w:rsidRPr="00DB6753">
        <w:rPr>
          <w:rStyle w:val="Italic"/>
          <w:i w:val="0"/>
        </w:rPr>
        <w:t>Google και Alphabet κατά Επιτροπής</w:t>
      </w:r>
      <w:r w:rsidRPr="00DB6753">
        <w:rPr>
          <w:rStyle w:val="FootnoteReference"/>
        </w:rPr>
        <w:footnoteReference w:id="5"/>
      </w:r>
      <w:r w:rsidRPr="00DB6753">
        <w:t>,</w:t>
      </w:r>
    </w:p>
    <w:p w14:paraId="4B535B45" w14:textId="77777777" w:rsidR="00DD4327" w:rsidRPr="00DB6753" w:rsidRDefault="00DD4327" w:rsidP="00B26674">
      <w:pPr>
        <w:pStyle w:val="NormalHanging12a"/>
      </w:pPr>
      <w:r w:rsidRPr="00DB6753">
        <w:t>–</w:t>
      </w:r>
      <w:r w:rsidRPr="00DB6753">
        <w:tab/>
        <w:t xml:space="preserve">έχοντας υπόψη την έκθεση της Επιτροπής του Ιουνίου </w:t>
      </w:r>
      <w:r w:rsidR="00B26674" w:rsidRPr="00DB6753">
        <w:t xml:space="preserve">του </w:t>
      </w:r>
      <w:r w:rsidRPr="00DB6753">
        <w:t>2024 με τίτλο «Protecting competition in a changing world – Evidence on the evolution of competition in the EU during the last 25 years» (Προστασία του ανταγωνισμού σε έναν μεταβαλλόμενο κόσμο – Στοιχεία σχετικά με την εξέλιξη του ανταγωνισμού στην ΕΕ κατά τα τελευταία 25 έτη),</w:t>
      </w:r>
    </w:p>
    <w:p w14:paraId="57E149A5" w14:textId="77777777" w:rsidR="00DD4327" w:rsidRPr="00DB6753" w:rsidRDefault="00DD4327" w:rsidP="00B26674">
      <w:pPr>
        <w:pStyle w:val="NormalHanging12a"/>
        <w:rPr>
          <w:snapToGrid/>
        </w:rPr>
      </w:pPr>
      <w:r w:rsidRPr="00DB6753">
        <w:t>–</w:t>
      </w:r>
      <w:r w:rsidRPr="00DB6753">
        <w:tab/>
        <w:t>έχοντας υπόψη τη μελέτη με τίτλο «Ο ρόλος των εμπόρων βασικών προϊόντων στη διαμόρφωση των γεωργικών αγορών», που δημοσιεύτηκε από το Θεματικό Τμήμα Διαρθρωτικής Πολιτικής και Πολιτικής Συνοχής του Κοινοβουλίου τον Νοέμβριο του 2024,</w:t>
      </w:r>
    </w:p>
    <w:p w14:paraId="78D32823" w14:textId="77777777" w:rsidR="00DD4327" w:rsidRPr="00DB6753" w:rsidRDefault="00DD4327" w:rsidP="00B26674">
      <w:pPr>
        <w:pStyle w:val="NormalHanging12a"/>
      </w:pPr>
      <w:r w:rsidRPr="00DB6753">
        <w:t>–</w:t>
      </w:r>
      <w:r w:rsidRPr="00DB6753">
        <w:tab/>
        <w:t>έχοντας υπόψη την έκθεση της Ευρωπαϊκής Αρχής Κινητών Αξιών και Αγορών, της 20ής Δεκεμβρίου 2023, με τίτλο «CRA Market Share Report: 2023 edition» (Έκθεση σχετικά με το μερίδιο αγοράς: έκδοση 2023),</w:t>
      </w:r>
    </w:p>
    <w:p w14:paraId="57B7C7D1" w14:textId="77777777" w:rsidR="00DD4327" w:rsidRPr="00DB6753" w:rsidRDefault="00DD4327" w:rsidP="00B26674">
      <w:pPr>
        <w:pStyle w:val="NormalHanging12a"/>
      </w:pPr>
      <w:r w:rsidRPr="00DB6753">
        <w:t>–</w:t>
      </w:r>
      <w:r w:rsidRPr="00DB6753">
        <w:tab/>
        <w:t>έχοντας υπόψη το άρθρο 55 του Κανονισμού του,</w:t>
      </w:r>
    </w:p>
    <w:p w14:paraId="40797591" w14:textId="77777777" w:rsidR="00DD4327" w:rsidRPr="00DB6753" w:rsidRDefault="00DD4327" w:rsidP="00B26674">
      <w:pPr>
        <w:pStyle w:val="NormalHanging12a"/>
      </w:pPr>
      <w:r w:rsidRPr="00DB6753">
        <w:t>–</w:t>
      </w:r>
      <w:r w:rsidRPr="00DB6753">
        <w:tab/>
        <w:t>έχοντας υπόψη την έκθεση της Επιτροπής Οικονομικής και Νομισματικής Πολιτικής (A10-0071/2025),</w:t>
      </w:r>
    </w:p>
    <w:p w14:paraId="0EA010F3" w14:textId="77777777" w:rsidR="00DD4327" w:rsidRPr="00DB6753" w:rsidRDefault="00DD4327" w:rsidP="00B26674">
      <w:pPr>
        <w:pStyle w:val="NormalHanging12a"/>
      </w:pPr>
      <w:r w:rsidRPr="00DB6753">
        <w:t>Α.</w:t>
      </w:r>
      <w:r w:rsidRPr="00DB6753">
        <w:tab/>
        <w:t>λαμβάνοντας υπόψη ότι οι τρέχουσες δύσκολες οικονομικές, κλιματικές και γεωπολιτικές συγκυρίες, που χαρακτηρίζονται από αβεβαιότητα και έλλειψη προβλεψιμότητας, απαιτούν μια νέα προσέγγιση της ευρωπαϊκής ανταγωνιστικότητας και συγκεκριμένες στρατηγικές για την τόνωση της οικονομικής ανάπτυξης·</w:t>
      </w:r>
    </w:p>
    <w:p w14:paraId="2DB6E284" w14:textId="77777777" w:rsidR="00DD4327" w:rsidRPr="00DB6753" w:rsidRDefault="00DD4327" w:rsidP="00B26674">
      <w:pPr>
        <w:pStyle w:val="NormalHanging12a"/>
        <w:rPr>
          <w:snapToGrid/>
        </w:rPr>
      </w:pPr>
      <w:r w:rsidRPr="00DB6753">
        <w:t>Β.</w:t>
      </w:r>
      <w:r w:rsidRPr="00DB6753">
        <w:tab/>
        <w:t>λαμβάνοντας υπόψη ότι η ορθή επιβολή του πλαισίου πολιτικής ανταγωνισμού της ΕΕ οδηγεί σε χαμηλότερες τιμές, υψηλότερη ποιότητα, περισσότερες επιλογές για τους καταναλωτές, ταχύτερη καινοτομία και μια πιο δίκαιη και ανθεκτική οικονομία, και προστατεύει τους όρους εισόδου για τους φορείς στην εσωτερική αγορά, αντιμετωπίζοντας τις καταχρήσεις δεσπόζουσας θέσης, τα μονοπώλια και τις πρακτικές που στρεβλώνουν την εσωτερική αγορά·</w:t>
      </w:r>
    </w:p>
    <w:p w14:paraId="5C1CAA2F" w14:textId="77777777" w:rsidR="00DD4327" w:rsidRPr="00DB6753" w:rsidRDefault="00DD4327" w:rsidP="00B26674">
      <w:pPr>
        <w:pStyle w:val="NormalHanging12a"/>
        <w:rPr>
          <w:snapToGrid/>
        </w:rPr>
      </w:pPr>
      <w:r w:rsidRPr="00DB6753">
        <w:lastRenderedPageBreak/>
        <w:t>Γ.</w:t>
      </w:r>
      <w:r w:rsidRPr="00DB6753">
        <w:tab/>
        <w:t>λαμβάνοντας υπόψη ότι η έκθεση Draghi υπογραμμίζει ότι η ΕΕ διαθέτει ευρεία και διαφοροποιημένη βάση βιομηχανικής καινοτομίας, με ισχυρό συγκριτικό πλεονέκτημα στις πράσινες τεχνολογίες, αλλά ότι απαιτούνται συνεχείς προσπάθειες προκειμένου να διατηρηθεί αυτό το πλεονέκτημα· λαμβάνοντας υπόψη ότι η ενσωμάτωση κλιματικών και περιβαλλοντικών παραμέτρων στην πολιτική ανταγωνισμού είναι ουσιαστικής σημασίας στο πλαίσιο αυτό· λαμβάνοντας υπόψη ότι, σύμφωνα με την έκθεση Letta, η έλλειψη ολοκλήρωσης της ΕΕ στους τομείς του χρηματοπιστωτικού τομέα, της ενέργειας και των ηλεκτρονικών επικοινωνιών αποτελεί πρωταρχικό λόγο για τη φθίνουσα ανταγωνιστικότητα της Ευρώπης·</w:t>
      </w:r>
    </w:p>
    <w:p w14:paraId="52B9AACF" w14:textId="77777777" w:rsidR="00DD4327" w:rsidRPr="00DB6753" w:rsidRDefault="00DD4327" w:rsidP="00B26674">
      <w:pPr>
        <w:pStyle w:val="NormalHanging12a"/>
      </w:pPr>
      <w:r w:rsidRPr="00DB6753">
        <w:t>Δ.</w:t>
      </w:r>
      <w:r w:rsidRPr="00DB6753">
        <w:tab/>
        <w:t>λαμβάνοντας υπόψη ότι η πολιτική ανταγωνισμού της ΕΕ θα μπορούσε να συμβάλει στην ενίσχυση της ανθεκτικότητας της εσωτερικής αγοράς, καθώς και στην επίτευξη των στόχων της Ευρωπαϊκής Πράσινης Συμφωνίας, της Ψηφιακής Πυξίδας 2030 και της Πυξίδας Ανταγωνιστικότητας, για τους οποίους οι διεθνείς ανταλλαγές και η διεθνής συνεργασία είναι απαραίτητες·</w:t>
      </w:r>
    </w:p>
    <w:p w14:paraId="37DAA9F5" w14:textId="77777777" w:rsidR="00DD4327" w:rsidRPr="00DB6753" w:rsidRDefault="00DD4327" w:rsidP="00B26674">
      <w:pPr>
        <w:pStyle w:val="NormalHanging12a"/>
      </w:pPr>
      <w:r w:rsidRPr="00DB6753">
        <w:t>Ε.</w:t>
      </w:r>
      <w:r w:rsidRPr="00DB6753">
        <w:tab/>
        <w:t>λαμβάνοντας υπόψη ότι η Επιτροπή και οι εθνικές αρχές ανταγωνισμού πρέπει να ενεργούν με αμερόληπτο και αντικειμενικό τρόπο προκειμένου να διατηρηθεί η αξιοπιστία της πολιτικής ανταγωνισμού της ΕΕ· λαμβάνοντας υπόψη ότι η πολιτική ανεξαρτησία των εθνικών αρχών ανταγωνισμού είναι εξαιρετικής σημασίας για τη διασφάλιση της αμεροληψίας και της αξιοπιστίας της πολιτικής ανταγωνισμού·</w:t>
      </w:r>
    </w:p>
    <w:p w14:paraId="5AB6DEEA" w14:textId="77777777" w:rsidR="00DD4327" w:rsidRPr="00DB6753" w:rsidRDefault="00DD4327" w:rsidP="00B26674">
      <w:pPr>
        <w:pStyle w:val="Normal12a24b"/>
        <w:widowControl/>
        <w:spacing w:before="0"/>
        <w:ind w:left="567" w:hanging="567"/>
      </w:pPr>
      <w:r w:rsidRPr="00DB6753">
        <w:rPr>
          <w:rStyle w:val="BoldItalic"/>
        </w:rPr>
        <w:t>Γενικές εκτιμήσεις</w:t>
      </w:r>
    </w:p>
    <w:p w14:paraId="349298B7" w14:textId="77777777" w:rsidR="00DD4327" w:rsidRPr="00DB6753" w:rsidRDefault="00DB6753" w:rsidP="00DB6753">
      <w:pPr>
        <w:pStyle w:val="NormalHanging12a"/>
        <w:ind w:left="570" w:hanging="570"/>
      </w:pPr>
      <w:r w:rsidRPr="00DB6753">
        <w:t>1.</w:t>
      </w:r>
      <w:r w:rsidRPr="00DB6753">
        <w:tab/>
      </w:r>
      <w:r w:rsidR="00DD4327" w:rsidRPr="00DB6753">
        <w:t>θεωρεί ότι το δίκαιο ανταγωνισμού της ΕΕ επιδιώκει να προστατεύσει από τα υπερβολικά επίπεδα συγκέντρωσης και συσσώρευσης ισχύος στην αγορά, και επιβεβαιώνει τον ρόλο της πολιτικής ανταγωνισμού στην ενθάρρυνση της αποτελεσματικότητας, της καινοτομίας και της ανάπτυξης, στη δημιουργία ίσων όρων ανταγωνισμού και στην προστασία των καταναλωτών, διασφαλίζοντας ότι οι αγορές παραμένουν ανταγωνιστικές, αποτελεσματικές, δυναμικές και καινοτόμες, παρέχοντας προϊόντα και υπηρεσίες υψηλής ποιότητας σε δίκαιες τιμές και με ευρύτερο φάσμα επιλογών·</w:t>
      </w:r>
    </w:p>
    <w:p w14:paraId="76F978EC" w14:textId="77777777" w:rsidR="00DD4327" w:rsidRPr="00DB6753" w:rsidRDefault="00DB6753" w:rsidP="00DB6753">
      <w:pPr>
        <w:pStyle w:val="NormalHanging12a"/>
        <w:ind w:left="570" w:hanging="570"/>
        <w:rPr>
          <w:snapToGrid/>
        </w:rPr>
      </w:pPr>
      <w:r w:rsidRPr="00DB6753">
        <w:rPr>
          <w:snapToGrid/>
        </w:rPr>
        <w:t>2.</w:t>
      </w:r>
      <w:r w:rsidRPr="00DB6753">
        <w:rPr>
          <w:snapToGrid/>
        </w:rPr>
        <w:tab/>
      </w:r>
      <w:r w:rsidR="00DD4327" w:rsidRPr="00DB6753">
        <w:t>επαναλαμβάνει ότι η πολιτική ανταγωνισμού θα πρέπει να συμβάλλει σε όλες τις πολιτικές της ΕΕ, ιδίως στους τομείς της βιωσιμότητας, της ενέργειας, της άμυνας και της ψηφιοποίησης· χαιρετίζει τη δέσμευση της Επιτροπής για ένα νέο πλαίσιο κρατικών ενισχύσεων που θα συνοδεύει τη συμφωνία για καθαρή βιομηχανία, προκειμένου να διασφαλιστεί η ανταγωνιστικότητα μέσω της κινητοποίησης της απαραίτητης δημόσιας στήριξης για την ενεργειακή μετάβαση με σκοπό την απαλλαγή της ευρωπαϊκής βιομηχανίας από τις ανθρακούχες εκπομπές, με παράλληλη διασφάλιση ότι η εν λόγω στήριξη δεν θα εμποδίζει την καινοτομία, δεν θα αυξάνει τις τιμές και δεν θα μειώνει τον ανταγωνισμό στην εσωτερική αγορά· επαναλαμβάνει ότι οι κρατικές ενισχύσεις δεν θα πρέπει να στρεβλώνουν τον θεμιτό και αποτελεσματικό ανταγωνισμό·</w:t>
      </w:r>
    </w:p>
    <w:p w14:paraId="5BA0EAC5" w14:textId="77777777" w:rsidR="00DD4327" w:rsidRPr="00DB6753" w:rsidRDefault="00DB6753" w:rsidP="00DB6753">
      <w:pPr>
        <w:pStyle w:val="NormalHanging12a"/>
        <w:ind w:left="570" w:hanging="570"/>
        <w:rPr>
          <w:snapToGrid/>
        </w:rPr>
      </w:pPr>
      <w:r w:rsidRPr="00DB6753">
        <w:rPr>
          <w:snapToGrid/>
        </w:rPr>
        <w:t>3.</w:t>
      </w:r>
      <w:r w:rsidRPr="00DB6753">
        <w:rPr>
          <w:snapToGrid/>
        </w:rPr>
        <w:tab/>
      </w:r>
      <w:r w:rsidR="00DD4327" w:rsidRPr="00DB6753">
        <w:t xml:space="preserve">τονίζει ότι η παγκόσμια ισχύς και σημασία της ενιαίας αγοράς της ΕΕ απορρέει όχι μόνο από την εσωτερική και εξωτερική ανταγωνιστικότητά της, αλλά και από την ικανότητά της να καθορίζει κοινά πρότυπα και να διασφαλίζει την εδαφική συνοχή· σημειώνει ότι, ταυτόχρονα, οι υπεύθυνοι χάραξης πολιτικής θα πρέπει να λαμβάνουν δεόντως υπόψη τις διεθνείς κανονιστικές εξελίξεις και τις εξελίξεις της αγοράς και καλεί την Επιτροπή να καταβάλει προσπάθειες για συνεχή διάλογο και συνεργασία σε διεθνές επίπεδο, μεταξύ άλλων μέσω συμφωνιών συνεργασίας δεύτερης γενιάς που </w:t>
      </w:r>
      <w:r w:rsidR="00DD4327" w:rsidRPr="00DB6753">
        <w:lastRenderedPageBreak/>
        <w:t>επιτρέπουν την αποτελεσματικότερη ανταλλαγή πληροφοριών μεταξύ των αρχών ανταγωνισμού και την ανάπτυξη επιρροής στην πολιτική ανταγωνισμού, σε παγκόσμιο επίπεδο· τονίζει τη σημασία του Ευρωπαϊκού Δικτύου Ανταγωνισμού (ΕΔΑ) και καλεί την Επιτροπή να δώσει προτεραιότητα στον συνεχή εποικοδομητικό διάλογο και τη συνεργασία, στο πλαίσιο αυτό, σε διεθνές επίπεδο· ζητεί τον συντονισμό μεταξύ των εθνικών αρχών ανταγωνισμού προκειμένου να διασφαλιστεί η ομοιόμορφη εφαρμογή των κανόνων ανταγωνισμού και υπογραμμίζει την ανάγκη αύξησης της συνεργασίας μεταξύ αντιμονοπωλιακών και άλλων τομεακών ρυθμιστικών αρχών·</w:t>
      </w:r>
    </w:p>
    <w:p w14:paraId="475B7D47" w14:textId="77777777" w:rsidR="00DD4327" w:rsidRPr="00DB6753" w:rsidRDefault="00DD4327" w:rsidP="00B26674">
      <w:pPr>
        <w:pStyle w:val="Normal12a24b"/>
        <w:widowControl/>
        <w:spacing w:before="0"/>
        <w:ind w:left="567" w:hanging="567"/>
      </w:pPr>
      <w:r w:rsidRPr="00DB6753">
        <w:rPr>
          <w:rStyle w:val="BoldItalic"/>
        </w:rPr>
        <w:t>Μια ανταγωνιστική Ένωση</w:t>
      </w:r>
    </w:p>
    <w:p w14:paraId="1BE1F459" w14:textId="77777777" w:rsidR="00DD4327" w:rsidRPr="00DB6753" w:rsidRDefault="00DB6753" w:rsidP="00DB6753">
      <w:pPr>
        <w:pStyle w:val="NormalHanging12a"/>
        <w:ind w:left="570" w:hanging="570"/>
      </w:pPr>
      <w:r w:rsidRPr="00DB6753">
        <w:t>4.</w:t>
      </w:r>
      <w:r w:rsidRPr="00DB6753">
        <w:tab/>
      </w:r>
      <w:r w:rsidR="00DD4327" w:rsidRPr="00DB6753">
        <w:t>υποστηρίζει τη δέσμευση της Επιτροπής να επενδύσει στη βιώσιμη ανταγωνιστικότητα· χαιρετίζει την έμφαση που δίνει η έκθεση Draghi στην καινοτομία, τις επενδύσεις, την ενοποίηση της αγοράς, την απαλλαγή από τις ανθρακούχες εκπομπές και την ανθεκτικότητα, καθώς και την προσήλωση της έκθεσης Letta στην ολοκλήρωση, την αυτονομία και την αλληλεγγύη· ενθαρρύνει πολιτικές που προωθούν την καινοτομία, την ανταγωνιστικότητα και τη βιώσιμη ανάπτυξη για όλους·</w:t>
      </w:r>
    </w:p>
    <w:p w14:paraId="4667AEDB" w14:textId="77777777" w:rsidR="00DD4327" w:rsidRPr="00DB6753" w:rsidRDefault="00DB6753" w:rsidP="00DB6753">
      <w:pPr>
        <w:pStyle w:val="NormalHanging12a"/>
        <w:ind w:left="570" w:hanging="570"/>
      </w:pPr>
      <w:r w:rsidRPr="00DB6753">
        <w:t>5.</w:t>
      </w:r>
      <w:r w:rsidRPr="00DB6753">
        <w:tab/>
      </w:r>
      <w:r w:rsidR="00DD4327" w:rsidRPr="00DB6753">
        <w:t>υπογραμμίζει την ανάγκη για συντονισμένη, στοχευμένη και γνήσια ευρωπαϊκή βιομηχανική πολιτική που να ενισχύει την ανταγωνιστικότητα· σημειώνει ότι αυτό δεν πρέπει να οδηγεί σε δεσπόζουσα θέση στην αγορά ή κατάχρηση αυτής, στρέβλωση των τιμών ή οικονομικές ανεπάρκειες και επισημαίνει την ανάγκη αποτελεσματικών διαδικασιών ελέγχου των συγχωνεύσεων·</w:t>
      </w:r>
    </w:p>
    <w:p w14:paraId="12ABEE10" w14:textId="77777777" w:rsidR="00DD4327" w:rsidRPr="00DB6753" w:rsidRDefault="00DB6753" w:rsidP="00DB6753">
      <w:pPr>
        <w:pStyle w:val="NormalHanging12a"/>
        <w:ind w:left="570" w:hanging="570"/>
        <w:rPr>
          <w:snapToGrid/>
        </w:rPr>
      </w:pPr>
      <w:r w:rsidRPr="00DB6753">
        <w:rPr>
          <w:snapToGrid/>
        </w:rPr>
        <w:t>6.</w:t>
      </w:r>
      <w:r w:rsidRPr="00DB6753">
        <w:rPr>
          <w:snapToGrid/>
        </w:rPr>
        <w:tab/>
      </w:r>
      <w:r w:rsidR="00DD4327" w:rsidRPr="00DB6753">
        <w:t>θεωρεί ότι οποιεσδήποτε κρατικές ενισχύσεις χορηγούνται θα πρέπει να συνάδουν με τους στόχους πολιτικής της ΕΕ· σημειώνει την πρόθεση της Επιτροπής να παράσχει καθοδήγηση σχετικά με τη συμβατότητα των κρατικών ενισχύσεων με τις παραμέτρους της καινοτομίας, της κλιματικής και της οικονομικής ασφάλειας, καθώς και τις δράσεις της για τη μείωση και τη σταδιακή κατάργηση των επιδοτήσεων για τα ορυκτά καύσιμα στο πλαίσιο της συμφωνίας για καθαρή βιομηχανία, και ενθαρρύνει τα κράτη μέλη να εξετάσουν το ενδεχόμενο θέσπισης περαιτέρω όρων για τη χορήγηση κρατικών ενισχύσεων· ζητεί οι επιχειρήσεις των οποίων η δομή βασίζεται σε φορολογικούς παραδείσους εκτός ΕΕ να μην μπορούν να επωφελούνται από κρατικές ενισχύσεις· καλεί την Επιτροπή να διερευνήσει την έλλειψη εναρμόνισης των μηχανισμών ανάκτησης·</w:t>
      </w:r>
    </w:p>
    <w:p w14:paraId="68D8A1DE" w14:textId="77777777" w:rsidR="00DD4327" w:rsidRPr="00DB6753" w:rsidRDefault="00DB6753" w:rsidP="00DB6753">
      <w:pPr>
        <w:pStyle w:val="NormalHanging12a"/>
        <w:ind w:left="570" w:hanging="570"/>
        <w:rPr>
          <w:snapToGrid/>
        </w:rPr>
      </w:pPr>
      <w:r w:rsidRPr="00DB6753">
        <w:rPr>
          <w:snapToGrid/>
        </w:rPr>
        <w:t>7.</w:t>
      </w:r>
      <w:r w:rsidRPr="00DB6753">
        <w:rPr>
          <w:snapToGrid/>
        </w:rPr>
        <w:tab/>
      </w:r>
      <w:r w:rsidR="00DD4327" w:rsidRPr="00DB6753">
        <w:t>σημειώνει την έκθεση της Επιτροπής στην οποία υποστηρίζεται ότι η συγκέντρωση της αγοράς, οι προσαυξήσεις και τα κέρδη έχουν αυξηθεί τα τελευταία 25 χρόνια, ενώ ο δυναμισμός της βιομηχανίας έχει μειωθεί, παρά την ενεργό επιβολή της νομοθεσίας περί ανταγωνισμού· σημειώνει επίσης ότι αυτή η αύξηση των προσαυξήσεων διαπιστώθηκε ότι οφείλεται στην ανακατανομή των μεριδίων αγοράς προς τις μεγαλύτερες επιχειρήσεις· επιπροσθέτως σημειώνει ότι τα χαμηλά επίπεδα ανταγωνισμού είχαν σημαντικό αρνητικό αντίκτυπο στους καταναλωτές, την αγοραστική δύναμη και την ανταγωνιστικότητα των επιχειρήσεων της ΕΕ και τη συνολική οικονομική ανάπτυξη· υπενθυμίζει ότι η εφαρμογή της νομοθεσίας περί ανταγωνισμού θα πρέπει να επικεντρώνεται στη διασφάλιση ανοικτών και ανταγωνιστικών αγορών απαλλαγμένων από αντιανταγωνιστικές πρακτικές·</w:t>
      </w:r>
    </w:p>
    <w:p w14:paraId="59C6BB7B" w14:textId="77777777" w:rsidR="00DD4327" w:rsidRPr="00DB6753" w:rsidRDefault="00DB6753" w:rsidP="00DB6753">
      <w:pPr>
        <w:pStyle w:val="NormalHanging12a"/>
        <w:ind w:left="570" w:hanging="570"/>
        <w:rPr>
          <w:snapToGrid/>
        </w:rPr>
      </w:pPr>
      <w:r w:rsidRPr="00DB6753">
        <w:rPr>
          <w:snapToGrid/>
        </w:rPr>
        <w:t>8.</w:t>
      </w:r>
      <w:r w:rsidRPr="00DB6753">
        <w:rPr>
          <w:snapToGrid/>
        </w:rPr>
        <w:tab/>
      </w:r>
      <w:r w:rsidR="00DD4327" w:rsidRPr="00DB6753">
        <w:t xml:space="preserve">επισημαίνει ότι οι κρατικές ενισχύσεις χρησιμοποιούνται όλο και περισσότερο για τη στήριξη των στόχων της βιομηχανικής πολιτικής· υπενθυμίζει ότι αυτού του είδους οι ενισχύσεις, όπως επιτρέπονται βάσει του άρθρου 107 παράγραφος 3 στοιχείο γ) ΣΛΕΕ, </w:t>
      </w:r>
      <w:r w:rsidR="00DD4327" w:rsidRPr="00DB6753">
        <w:lastRenderedPageBreak/>
        <w:t>δεν πρέπει να επηρεάζουν δυσμενώς τους όρους συναλλαγών ή το κοινό συμφέρον· σημειώνει τις διαφορές στη δημοσιονομική ικανότητα των κρατών μελών και προειδοποιεί ότι ο κατακερματισμός των κρατικών ενισχύσεων δημιουργεί άνισους όρους ανταγωνισμού· καλεί την Επιτροπή να παρακολουθεί αυτές τις επιπτώσεις και να διασφαλίσει την ακεραιότητα της ενιαίας αγοράς, κάτι που μπορεί να επιτευχθεί μέσω ενός κοινού χρηματοδοτικού μέσου για μια ευρωπαϊκή βιομηχανική πολιτική, όπως ένα ευρωπαϊκό ταμείο ανταγωνιστικότητας, όπως προτάθηκε από την πρόεδρο της Επιτροπής κ. von der Leyen στις πολιτικές κατευθυντήριες γραμμές της· καλεί την Επιτροπή και τα κράτη μέλη να μην συμμετέχουν σε ανταγωνισμό επιδοτήσεων, ο οποίος απλώς επιδεινώνει τις στρεβλώσεις της αγοράς, ιδίως όταν χρηματοδοτούν μη αποδοτικές επιχειρήσεις· καταλήγει στο συμπέρασμα ότι τα προσωρινά πλαίσια για τις κρατικές ενισχύσεις δεν απέτρεψαν τον περαιτέρω κατακερματισμό της αγοράς και σημειώνει ότι μόνο δύο από τα κράτη μέλη αντιπροσώπευαν το 77 % των κοινοποιηθεισών κρατικών ενισχύσεων· ζητεί αυστηρότερη παρακολούθηση των κοινοποιήσεων για τις κρατικές ενισχύσεις και ενίσχυση της υποβολής εκθέσεων για τις κρατικές ενισχύσεις και της διαφάνειας σύμφωνα με τις συστάσεις του Ευρωπαϊκού Ελεγκτικού Συνεδρίου·</w:t>
      </w:r>
    </w:p>
    <w:p w14:paraId="381344DC" w14:textId="77777777" w:rsidR="00DD4327" w:rsidRPr="00DB6753" w:rsidRDefault="00DB6753" w:rsidP="00DB6753">
      <w:pPr>
        <w:pStyle w:val="NormalHanging12a"/>
        <w:ind w:left="570" w:hanging="570"/>
        <w:rPr>
          <w:snapToGrid/>
        </w:rPr>
      </w:pPr>
      <w:r w:rsidRPr="00DB6753">
        <w:rPr>
          <w:snapToGrid/>
        </w:rPr>
        <w:t>9.</w:t>
      </w:r>
      <w:r w:rsidRPr="00DB6753">
        <w:rPr>
          <w:snapToGrid/>
        </w:rPr>
        <w:tab/>
      </w:r>
      <w:r w:rsidR="00DD4327" w:rsidRPr="00DB6753">
        <w:t>υπογραμμίζει τη σημασία των σημαντικών έργων κοινού ευρωπαϊκού ενδιαφέροντος (ΣΕΚΕΕ) για τη χρηματοδότηση έργων με διασυνοριακή διάσταση εντός της ΕΕ· τονίζει ότι τα ΣΕΚΕΕ θα πρέπει να έχουν πραγματική ευρωπαϊκή προστιθέμενη αξία, πράγμα που σημαίνει ότι θα πρέπει να έχουν θετικό αντίκτυπο σε περισσότερα από ένα κράτη μέλη· καλεί την Επιτροπή και τα κράτη μέλη να διασφαλίσουν ότι κάθε κοινοποίηση τέτοιου είδους κρατικής ενίσχυσης θα ολοκληρώνεται το αργότερο εντός έξι μηνών·</w:t>
      </w:r>
    </w:p>
    <w:p w14:paraId="56458A55" w14:textId="77777777" w:rsidR="00DD4327" w:rsidRPr="00DB6753" w:rsidRDefault="00DB6753" w:rsidP="00DB6753">
      <w:pPr>
        <w:pStyle w:val="NormalHanging12a"/>
        <w:ind w:left="570" w:hanging="570"/>
        <w:rPr>
          <w:snapToGrid/>
        </w:rPr>
      </w:pPr>
      <w:r w:rsidRPr="00DB6753">
        <w:rPr>
          <w:snapToGrid/>
        </w:rPr>
        <w:t>10.</w:t>
      </w:r>
      <w:r w:rsidRPr="00DB6753">
        <w:rPr>
          <w:snapToGrid/>
        </w:rPr>
        <w:tab/>
      </w:r>
      <w:r w:rsidR="00DD4327" w:rsidRPr="00DB6753">
        <w:t>σημειώνει την εκτίμηση που διατυπώνεται στην έκθεση Draghi ότι απαιτούνται επιπλέον 800 δισ</w:t>
      </w:r>
      <w:r w:rsidR="00B26674" w:rsidRPr="00DB6753">
        <w:t>εκατομμύρια</w:t>
      </w:r>
      <w:r w:rsidR="00DD4327" w:rsidRPr="00DB6753">
        <w:t xml:space="preserve"> EUR ετησίως για την προστασία της ανταγωνιστικότητας της ΕΕ· αναγνωρίζει τη σημασία των δημόσιων και ιδιωτικών επενδύσεων στο πλαίσιο αυτό· υπογραμμίζει ότι ο προϋπολογισμός της ΕΕ πρέπει να είναι κατάλληλα εξοπλισμένος για τον σκοπό αυτόν· θεωρεί ότι η ολοκλήρωση της Ένωσης Αποταμιεύσεων και Επενδύσεων είναι σημαντική για την κινητοποίηση ιδιωτικών επενδύσεων, την αντιμετώπιση του κατακερματισμού της εσωτερικής αγοράς και τη στήριξη της βιομηχανικής στρατηγικής της ΕΕ· αναγνωρίζει την επείγουσα ανάγκη για μεταρρυθμίσεις παράλληλα με την αποτελεσματική εφαρμογή των τριών τομέων δράσης που περιγράφονται στην έκθεση Draghi: i) γεφύρωμα του χάσματος καινοτομίας με τις ΗΠΑ και την Κίνα· ii) κοινό σχέδιο απαλλαγής από τις ανθρακούχες εκπομπές και ανταγωνιστικότητας για να επιταχυνθεί η μετάβαση και να μειωθούν οι ενεργειακές δαπάνες· και iii) αύξηση της ασφάλειας και μείωση των εξαρτήσεων·</w:t>
      </w:r>
    </w:p>
    <w:p w14:paraId="44D8B39F" w14:textId="77777777" w:rsidR="00DD4327" w:rsidRPr="00DB6753" w:rsidRDefault="00DB6753" w:rsidP="00DB6753">
      <w:pPr>
        <w:pStyle w:val="NormalHanging12a"/>
        <w:ind w:left="570" w:hanging="570"/>
        <w:rPr>
          <w:snapToGrid/>
        </w:rPr>
      </w:pPr>
      <w:r w:rsidRPr="00DB6753">
        <w:rPr>
          <w:snapToGrid/>
        </w:rPr>
        <w:t>11.</w:t>
      </w:r>
      <w:r w:rsidRPr="00DB6753">
        <w:rPr>
          <w:snapToGrid/>
        </w:rPr>
        <w:tab/>
      </w:r>
      <w:r w:rsidR="00DD4327" w:rsidRPr="00DB6753">
        <w:t>εκφράζει την ικανοποίησή του για την προστασία των ίσων όρων ανταγωνισμού των ευρωπαϊκών αγορών και των ευρωπαϊκών επιχειρήσεων και των εργαζομένων τους, η οποία εξασφαλίζεται με μέτρα αντιντάμπινγκ που διορθώνουν τις στρεβλωτικές ξένες κρατικές ενισχύσεις· καλεί την Επιτροπή να κάνει ταχεία χρήση των διαθέσιμων εμπορικών μέσων για τις δημόσιες συμβάσεις και τις ξένες επιδοτήσεις για την πρόληψη του αθέμιτου ανταγωνισμού στην εσωτερική αγορά·</w:t>
      </w:r>
    </w:p>
    <w:p w14:paraId="486FC54F" w14:textId="77777777" w:rsidR="00DD4327" w:rsidRPr="00DB6753" w:rsidRDefault="00DD4327" w:rsidP="00B26674">
      <w:pPr>
        <w:pStyle w:val="Normal12a24b"/>
        <w:widowControl/>
        <w:spacing w:before="0"/>
      </w:pPr>
      <w:r w:rsidRPr="00DB6753">
        <w:rPr>
          <w:rStyle w:val="BoldItalic"/>
        </w:rPr>
        <w:t>Προτεραιότητες όσον αφορά την επιβολή των κανόνων</w:t>
      </w:r>
    </w:p>
    <w:p w14:paraId="02F14CC8" w14:textId="77777777" w:rsidR="00DD4327" w:rsidRPr="00DB6753" w:rsidRDefault="00DB6753" w:rsidP="00DB6753">
      <w:pPr>
        <w:pStyle w:val="NormalHanging12a"/>
        <w:ind w:left="570" w:hanging="570"/>
        <w:rPr>
          <w:snapToGrid/>
        </w:rPr>
      </w:pPr>
      <w:r w:rsidRPr="00DB6753">
        <w:rPr>
          <w:snapToGrid/>
        </w:rPr>
        <w:t>12.</w:t>
      </w:r>
      <w:r w:rsidRPr="00DB6753">
        <w:rPr>
          <w:snapToGrid/>
        </w:rPr>
        <w:tab/>
      </w:r>
      <w:r w:rsidR="00DD4327" w:rsidRPr="00DB6753">
        <w:t xml:space="preserve">παρατηρεί μεταβολές στις εμπορικές πρακτικές, επισημαίνοντας μείωση των περιπτώσεων καρτέλ· προειδοποιεί, ωστόσο, για το ενδεχόμενο νέων μορφών </w:t>
      </w:r>
      <w:r w:rsidR="00DD4327" w:rsidRPr="00DB6753">
        <w:lastRenderedPageBreak/>
        <w:t>επιβλαβούς συμπεριφοράς, όπως σιωπηρή αθέμιτη σύμπραξη και αλγοριθμική συμπαιγνία, και τονίζει την ανάγκη να ευθυγραμμιστούν οι προτεραιότητες επιβολής των κανόνων με αυτήν την εξελισσόμενη κατάσταση·</w:t>
      </w:r>
    </w:p>
    <w:p w14:paraId="7E1B4967" w14:textId="77777777" w:rsidR="00DD4327" w:rsidRPr="00DB6753" w:rsidRDefault="00DB6753" w:rsidP="00DB6753">
      <w:pPr>
        <w:pStyle w:val="NormalHanging12a"/>
        <w:ind w:left="570" w:hanging="570"/>
        <w:rPr>
          <w:snapToGrid/>
        </w:rPr>
      </w:pPr>
      <w:r w:rsidRPr="00DB6753">
        <w:rPr>
          <w:snapToGrid/>
        </w:rPr>
        <w:t>13.</w:t>
      </w:r>
      <w:r w:rsidRPr="00DB6753">
        <w:rPr>
          <w:snapToGrid/>
        </w:rPr>
        <w:tab/>
      </w:r>
      <w:r w:rsidR="00DD4327" w:rsidRPr="00DB6753">
        <w:t>σημειώνει την πρόταση που διατυπώνεται στην έκθεση Draghi για ένα «νέο εργαλείο ανταγωνισμού» ως ευέλικτο εργαλείο έρευνας της αγοράς σχεδιασμένο για την αντιμετώπιση διαρθρωτικών προβλημάτων ανταγωνισμού τα οποία δεν είναι αποτέλεσμα αντιανταγωνιστικών συμφωνιών ή κατάχρησης δεσπόζουσας θέσης, και για την επιβολή μέτρων συμπεριφοράς ή διαρθρωτικού χαρακτήρα με μελλοντική προοπτική για το σύνολο της αγοράς, μεταξύ άλλων μέσω της μείωσης των φραγμών εισόδου στην αγορά για τους ανταγωνιστές, με στόχο την αύξηση της ανταγωνιστικότητας, την παροχή κινήτρων για καινοτομία και την προστασία των ευάλωτων καταναλωτών· καλεί την Επιτροπή να αναλύσει τον τρόπο με τον οποίο το εργαλείο αυτό θα μπορέσει να συμπληρώσει το υφιστάμενο πλαίσιο για τις τομεακές έρευνες·</w:t>
      </w:r>
    </w:p>
    <w:p w14:paraId="77DBEFD3" w14:textId="77777777" w:rsidR="00DD4327" w:rsidRPr="00DB6753" w:rsidRDefault="00DB6753" w:rsidP="00DB6753">
      <w:pPr>
        <w:pStyle w:val="NormalHanging12a"/>
        <w:ind w:left="570" w:hanging="570"/>
      </w:pPr>
      <w:r w:rsidRPr="00DB6753">
        <w:t>14.</w:t>
      </w:r>
      <w:r w:rsidRPr="00DB6753">
        <w:tab/>
      </w:r>
      <w:r w:rsidR="00DD4327" w:rsidRPr="00DB6753">
        <w:t>υπενθυμίζει ότι η Επιτροπή είναι εξουσιοδοτημένη βάσει της Συνθήκης να αντιμετωπίζει καταχρηστικές πρακτικές εκμετάλλευσης·</w:t>
      </w:r>
    </w:p>
    <w:p w14:paraId="4B8C68B7" w14:textId="77777777" w:rsidR="00DD4327" w:rsidRPr="00DB6753" w:rsidRDefault="00DB6753" w:rsidP="00DB6753">
      <w:pPr>
        <w:pStyle w:val="NormalHanging12a"/>
        <w:ind w:left="570" w:hanging="570"/>
        <w:rPr>
          <w:snapToGrid/>
        </w:rPr>
      </w:pPr>
      <w:r w:rsidRPr="00DB6753">
        <w:rPr>
          <w:snapToGrid/>
        </w:rPr>
        <w:t>15.</w:t>
      </w:r>
      <w:r w:rsidRPr="00DB6753">
        <w:rPr>
          <w:snapToGrid/>
        </w:rPr>
        <w:tab/>
      </w:r>
      <w:r w:rsidR="00DD4327" w:rsidRPr="00DB6753">
        <w:t>αναγνωρίζει την ύπαρξη νομικής βάσης για μέτρα διαρθρωτικού χαρακτήρα κατά της κατάχρησης δεσπόζουσας θέσης στην αγορά· γνωρίζει ότι οι κανόνες ανταγωνισμού της ΕΕ ορίζουν ότι τα διαρθρωτικά διορθωτικά μέτρα θα πρέπει να χρησιμοποιούνται ως έσχατη λύση μόνο εάν τα διορθωτικά μέτρα συμπεριφοράς έχουν αποδειχθεί αναποτελεσματικά, ωστόσο εκφράζει τη λύπη του για την απροθυμία της Επιτροπής να αντιμετωπίσει τη δεσπόζουσα θέση στην αγορά μέσω διαρθρωτικών διορθωτικών μέτρων· επαναλαμβάνει την έκκλησή του για καλύτερη χρήση των μέτρων διαρθρωτικού χαρακτήρα και για τον τερματισμό της προτίμησης που αποδίδεται στα διορθωτικά μέτρα συμπεριφοράς και ενθαρρύνει περαιτέρω τις προσπάθειες ενίσχυσης της εφαρμογής τους όποτε απαιτείται· καλεί την Επιτροπή να αξιοποιήσει καλύτερα το μέσο των προσωρινών μέτρων για να σταματήσει κάθε πρακτική που θα έβλαπτε σοβαρά τον ανταγωνισμό, ιδίως όσον αφορά τις δυναμικές και ταχέως αναπτυσσόμενες αγορές όπως οι ψηφιακές αγορές·</w:t>
      </w:r>
    </w:p>
    <w:p w14:paraId="649A0015" w14:textId="77777777" w:rsidR="00DD4327" w:rsidRPr="00DB6753" w:rsidRDefault="00DB6753" w:rsidP="00DB6753">
      <w:pPr>
        <w:pStyle w:val="NormalHanging12a"/>
        <w:ind w:left="570" w:hanging="570"/>
      </w:pPr>
      <w:r w:rsidRPr="00DB6753">
        <w:t>16.</w:t>
      </w:r>
      <w:r w:rsidRPr="00DB6753">
        <w:tab/>
      </w:r>
      <w:r w:rsidR="00DD4327" w:rsidRPr="00DB6753">
        <w:t>επικροτεί την προτεραιότητα που δίνει η Επιτροπή με θητεία 2024-2029 στη στέγαση· καλεί την Επιτροπή να αξιολογήσει τον τρόπο με τον οποίο οι αρχές ανταγωνισμού της ΕΕ επηρεάζουν την παροχή υπηρεσιών γενικού οικονομικού συμφέροντος (ΥΓΟΣ)· καλεί την Επιτροπή να αξιολογήσει τη θέση των κοινωνικών υπηρεσιών γενικού συμφέροντος και να θεσπίσει εξαίρεση από τις ΥΓΟΣ για οικονομικά προσιτή στέγαση·</w:t>
      </w:r>
    </w:p>
    <w:p w14:paraId="03020A09" w14:textId="77777777" w:rsidR="00DD4327" w:rsidRPr="00DB6753" w:rsidRDefault="00DB6753" w:rsidP="00DB6753">
      <w:pPr>
        <w:pStyle w:val="NormalHanging12a"/>
        <w:ind w:left="570" w:hanging="570"/>
        <w:rPr>
          <w:snapToGrid/>
        </w:rPr>
      </w:pPr>
      <w:r w:rsidRPr="00DB6753">
        <w:rPr>
          <w:snapToGrid/>
        </w:rPr>
        <w:t>17.</w:t>
      </w:r>
      <w:r w:rsidRPr="00DB6753">
        <w:rPr>
          <w:snapToGrid/>
        </w:rPr>
        <w:tab/>
      </w:r>
      <w:r w:rsidR="00DD4327" w:rsidRPr="00DB6753">
        <w:t>υπογραμμίζει τη σημασία των κρατικών ενισχύσεων ως μέσου γεφύρωσης του οικονομικού χάσματος ανάμεσα στις πιο αναπτυγμένες περιοχές της ΕΕ και τις νησιωτικές περιοχές, την ενδοχώρα, τις εξόχως απόκεντρες περιοχές και τις οικονομικά υποβαθμισμένες περιοχές· υπενθυμίζει ότι παραμένει ουσιώδους σημασίας να επιτρέπονται οι κρατικές ενισχύσεις στο πλαίσιο υπηρεσιών γενικού οικονομικού συμφέροντος, για την επιβίωση των περιοχών αυτών, ειδικότερα στο πλαίσιο κρατικής στήριξης για τη συνδεσιμότητα και άλλες βασικές παροχές υπηρεσιών για κοινότητες που βρίσκονται σε απομονωμένες, απομακρυσμένες ή περιφερειακές περιοχές της Ένωσης· καλεί την Επιτροπή να διερευνήσει τις δυνατότητες περαιτέρω ευελιξίας όσον αφορά την παροχή χρηματοδότησης σε αυτές τις περιφέρειες·</w:t>
      </w:r>
    </w:p>
    <w:p w14:paraId="0047BE09" w14:textId="77777777" w:rsidR="00DD4327" w:rsidRPr="00DB6753" w:rsidRDefault="00DB6753" w:rsidP="00DB6753">
      <w:pPr>
        <w:pStyle w:val="NormalHanging12a"/>
        <w:ind w:left="570" w:hanging="570"/>
        <w:rPr>
          <w:snapToGrid/>
        </w:rPr>
      </w:pPr>
      <w:r w:rsidRPr="00DB6753">
        <w:rPr>
          <w:snapToGrid/>
        </w:rPr>
        <w:lastRenderedPageBreak/>
        <w:t>18.</w:t>
      </w:r>
      <w:r w:rsidRPr="00DB6753">
        <w:rPr>
          <w:snapToGrid/>
        </w:rPr>
        <w:tab/>
      </w:r>
      <w:r w:rsidR="00DD4327" w:rsidRPr="00DB6753">
        <w:t>λαμβάνει υπόψη την πρόσφατη απόφαση του Δικαστηρίου της Ευρωπαϊκής Ένωσης σύμφωνα με την οποία ένα κράτος μέλος δεν κατάφερε να μεταφέρει στην εθνική νομοθεσία την οδηγία ΕΔΑ+· τονίζει τη σημασία της πλήρους μεταφοράς της οδηγίας ΕΔΑ+· καλεί όλα τα κράτη μέλη να διασφαλίσουν τη σωστή εφαρμογή της εν λόγω οδηγίας·</w:t>
      </w:r>
    </w:p>
    <w:p w14:paraId="5B520CAD" w14:textId="77777777" w:rsidR="00DD4327" w:rsidRPr="00DB6753" w:rsidRDefault="00DD4327" w:rsidP="00B26674">
      <w:pPr>
        <w:pStyle w:val="Normal12a24b"/>
        <w:widowControl/>
        <w:spacing w:before="0"/>
      </w:pPr>
      <w:r w:rsidRPr="00DB6753">
        <w:rPr>
          <w:rStyle w:val="BoldItalic"/>
        </w:rPr>
        <w:t xml:space="preserve">Συγχώνευση και αντιμονοπωλιακή νομοθεσία </w:t>
      </w:r>
    </w:p>
    <w:p w14:paraId="75BD3C87" w14:textId="77777777" w:rsidR="00DD4327" w:rsidRPr="00DB6753" w:rsidRDefault="00DB6753" w:rsidP="00DB6753">
      <w:pPr>
        <w:pStyle w:val="NormalHanging12a"/>
        <w:ind w:left="570" w:hanging="570"/>
        <w:rPr>
          <w:snapToGrid/>
        </w:rPr>
      </w:pPr>
      <w:r w:rsidRPr="00DB6753">
        <w:rPr>
          <w:snapToGrid/>
        </w:rPr>
        <w:t>19.</w:t>
      </w:r>
      <w:r w:rsidRPr="00DB6753">
        <w:rPr>
          <w:snapToGrid/>
        </w:rPr>
        <w:tab/>
      </w:r>
      <w:r w:rsidR="00DD4327" w:rsidRPr="00DB6753">
        <w:t>σημειώνει με ανησυχία την ερμηνεία που έδωσε το Δικαστήριο της Ευρωπαϊκής Ένωσης στο άρθρο 22 του κοινοτικού κανονισμού περί συγκεντρώσεων στην υπόθεση C-611/22 P (</w:t>
      </w:r>
      <w:r w:rsidR="00DD4327" w:rsidRPr="00DB6753">
        <w:rPr>
          <w:rStyle w:val="Italic"/>
          <w:i w:val="0"/>
        </w:rPr>
        <w:t>Illumina κατά Επιτροπής</w:t>
      </w:r>
      <w:r w:rsidR="00DD4327" w:rsidRPr="00DB6753">
        <w:t>), η οποία ανατρέπει την τακτική της Επιτροπής να δέχεται παραπομπές για μη κοινοποιητέες συμφωνίες· αναγνωρίζει ότι ο κοινοτικός κανονισμός περί συγκεντρώσεων δεν παρέχει στην Επιτροπή επαρκή εργαλεία για να αντιμετωπίσει τις «φονικές» εξαγορές· πιστεύει ακράδαντα ότι ο αντίκτυπος των αποφάσεων συγκέντρωσης στην εσωτερική αγορά δικαιολογεί την συμπερίληψη μιας νομικής βάσης για την εσωτερική αγορά στον κοινοτικό κανονισμό περί συγκεντρώσεων, προκειμένου να συμμετέχουν πλήρως οι συννομοθέτες, κατά τρόπο παρόμοιο με αυτόν της πράξης για τις ψηφιακές αγορές· καλεί την Επιτροπή να απαιτήσει από τα κράτη μέλη που διαθέτουν ή μπορούν να διεκδικήσουν τη σχετική αρμοδιότητα να εξετάσουν πιθανές «φονικές» εξαγορές υπό το πρίσμα της εθνικής νομοθεσίας ελέγχου των συγκεντρώσεων και να συνεχίσουν να παραπέμπουν τέτοιες συμφωνίες σύμφωνα με το άρθρο 22 του κοινοτικού κανονισμού περί συγκεντρώσεων· καλεί την Επιτροπή να διερευνήσει τη δυνατότητα επανεξέτασης του κοινοτικού κανονισμού περί συγκεντρώσεων ώστε να είναι δυνατή η εξέταση συγκεντρώσεων που δεν υπερβαίνουν τα κατώτατα όρια, εθνικά ή της ΕΕ, ανεξαρτήτως των εμπλεκομένων τομέων·</w:t>
      </w:r>
    </w:p>
    <w:p w14:paraId="77C8085E" w14:textId="77777777" w:rsidR="00DD4327" w:rsidRPr="00DB6753" w:rsidRDefault="00DB6753" w:rsidP="00DB6753">
      <w:pPr>
        <w:pStyle w:val="NormalHanging12a"/>
        <w:ind w:left="570" w:hanging="570"/>
        <w:rPr>
          <w:snapToGrid/>
        </w:rPr>
      </w:pPr>
      <w:r w:rsidRPr="00DB6753">
        <w:rPr>
          <w:snapToGrid/>
        </w:rPr>
        <w:t>20.</w:t>
      </w:r>
      <w:r w:rsidRPr="00DB6753">
        <w:rPr>
          <w:snapToGrid/>
        </w:rPr>
        <w:tab/>
      </w:r>
      <w:r w:rsidR="00DD4327" w:rsidRPr="00DB6753">
        <w:t>σημειώνει ότι, από την έναρξη ισχύος του κοινοτικού κανονισμού περί συγκεντρώσεων το 2004, το 0,7 % των κοινοποιηθεισών συγκεντρώσεων είτε εμποδίστηκαν από την Επιτροπή είτε αποσύρθηκαν μετά από έρευνα·</w:t>
      </w:r>
    </w:p>
    <w:p w14:paraId="4FF5EBC5" w14:textId="77777777" w:rsidR="00DD4327" w:rsidRPr="00DB6753" w:rsidRDefault="00DB6753" w:rsidP="00DB6753">
      <w:pPr>
        <w:pStyle w:val="NormalHanging12a"/>
        <w:ind w:left="570" w:hanging="570"/>
        <w:rPr>
          <w:snapToGrid/>
        </w:rPr>
      </w:pPr>
      <w:r w:rsidRPr="00DB6753">
        <w:rPr>
          <w:snapToGrid/>
        </w:rPr>
        <w:t>21.</w:t>
      </w:r>
      <w:r w:rsidRPr="00DB6753">
        <w:rPr>
          <w:snapToGrid/>
        </w:rPr>
        <w:tab/>
      </w:r>
      <w:r w:rsidR="00DD4327" w:rsidRPr="00DB6753">
        <w:t>σημειώνει ότι τα όρια κύκλου εργασιών που προβλέπονται στον κοινοτικό κανονισμό περί συγκεντρώσεων ενδέχεται να μην είναι από μόνα τους κατάλληλα για τον εντοπισμό όλων των περιπτώσεων που θα πρέπει να επανεξεταστούν από τις αρχές ανταγωνισμού· επισημαίνει τις πρακτικές που χρησιμοποιούνται από δεσπόζουσες επιχειρήσεις για την αποφυγή επίσημων ερευνών, όπως η αυξανόμενη χρήση «εταιρικών σχέσεων» στον τομέα της ΤΝ, γεγονός που υποδηλώνει περαιτέρω ότι είναι αναγκαία η αναθεώρηση του κανονισμού της ΕΕ για τις συγκεντρώσεις·</w:t>
      </w:r>
    </w:p>
    <w:p w14:paraId="2862B484" w14:textId="77777777" w:rsidR="00DD4327" w:rsidRPr="00DB6753" w:rsidRDefault="00DB6753" w:rsidP="00DB6753">
      <w:pPr>
        <w:pStyle w:val="NormalHanging12a"/>
        <w:ind w:left="570" w:hanging="570"/>
      </w:pPr>
      <w:r w:rsidRPr="00DB6753">
        <w:t>22.</w:t>
      </w:r>
      <w:r w:rsidRPr="00DB6753">
        <w:tab/>
      </w:r>
      <w:r w:rsidR="00DD4327" w:rsidRPr="00DB6753">
        <w:t>εκφράζει την ικανοποίησή του για την πρόταση της έκθεσης Draghi για μια «άμυνα της καινοτομίας» σε περιπτώσεις όπου η συγκέντρωση αυξάνει την ικανότητα και τα κίνητρα για καινοτομία, και καλεί την Επιτροπή να αναλύσει και να αναπτύξει περαιτέρω την έννοια αυτή· ζητεί, επιπλέον, να λαμβάνονται υπόψη ζητήματα δημόσιου συμφέροντος όπως ο αντίκτυπος στους εργαζομένους·</w:t>
      </w:r>
    </w:p>
    <w:p w14:paraId="6DB3FE86" w14:textId="77777777" w:rsidR="00DD4327" w:rsidRPr="00DB6753" w:rsidRDefault="00DB6753" w:rsidP="00DB6753">
      <w:pPr>
        <w:pStyle w:val="NormalHanging12a"/>
        <w:ind w:left="570" w:hanging="570"/>
        <w:rPr>
          <w:snapToGrid/>
        </w:rPr>
      </w:pPr>
      <w:r w:rsidRPr="00DB6753">
        <w:rPr>
          <w:snapToGrid/>
        </w:rPr>
        <w:t>23.</w:t>
      </w:r>
      <w:r w:rsidRPr="00DB6753">
        <w:rPr>
          <w:snapToGrid/>
        </w:rPr>
        <w:tab/>
      </w:r>
      <w:r w:rsidR="00DD4327" w:rsidRPr="00DB6753">
        <w:t xml:space="preserve">ζητεί από την Επιτροπή να προσδιορίσει τους εθνικούς φραγμούς που ενδέχεται να την εμποδίσουν να θεωρήσει την ενωσιακή αγορά ως σχετική κατά τις αναλύσεις της που αφορούν τις συγκεντρώσεις· καλεί την Επιτροπή να υποβάλει νομοθετική πρόταση για την εξάλειψη αυτών των φραγμών· σημειώνει ότι το διεθνές περιβάλλον πρέπει να αναλύεται προσεκτικά όταν αποφασίζεται ο ορισμός της σχετικής αγοράς σε υποθέσεις ανταγωνισμού και ελέγχου των συγκεντρώσεων· καλεί την Επιτροπή να υιοθετήσει μια </w:t>
      </w:r>
      <w:r w:rsidR="00DD4327" w:rsidRPr="00DB6753">
        <w:lastRenderedPageBreak/>
        <w:t>μακρόπνοη προσέγγιση για την ενοποίηση στην ΕΕ όπου αυτό είναι σκόπιμο, όπως προτείνεται επίσης στις εκθέσεις Draghi και Letta, λαμβάνοντας υπόψη τη στρατηγική σημασία και τον θετικό για τον ανταγωνισμό αντίκτυπο των ευνοϊκών επενδυτικών συνθηκών κλίμακας σε ορισμένους τομείς για την προώθηση της καινοτομίας και του μακροπρόθεσμου ανταγωνισμού·</w:t>
      </w:r>
    </w:p>
    <w:p w14:paraId="2D383AF7" w14:textId="77777777" w:rsidR="00DD4327" w:rsidRPr="00DB6753" w:rsidRDefault="00DB6753" w:rsidP="00DB6753">
      <w:pPr>
        <w:pStyle w:val="NormalHanging12a"/>
        <w:ind w:left="570" w:hanging="570"/>
      </w:pPr>
      <w:r w:rsidRPr="00DB6753">
        <w:t>24.</w:t>
      </w:r>
      <w:r w:rsidRPr="00DB6753">
        <w:tab/>
      </w:r>
      <w:r w:rsidR="00DD4327" w:rsidRPr="00DB6753">
        <w:t>ζητεί να επικαιροποιηθεί το πλαίσιο αξιολόγησης των συγκεντρώσεων ώστε να αντικατοπτρίζει την πραγματικότητα της ψηφιακής οικονομίας, όπου η ισχύς στην αγορά μπορεί να εκδηλωθεί με τρόπους πέραν του παραδοσιακού μεριδίου αγοράς σε σαφώς οριοθετημένες αγορές· υποστηρίζει την ανάπτυξη προηγμένων μεθοδολογιών για την ανάλυση της δεσπόζουσας θέσης βάσει δεδομένων και των αποτελεσμάτων δικτύου, τονίζοντας τον κρίσιμο ρόλο της επιλογής των καταναλωτών στην επιλογή ψηφιακών υπηρεσιών και συσκευών· ενθαρρύνει την Επιτροπή να ενισχύσει τους μηχανισμούς που επιτρέπουν τη διαλειτουργικότητα μεταξύ υπηρεσιών και συσκευών, προωθώντας την καινοτομία και τον ανταγωνισμό στο ψηφιακό οικοσύστημα· παροτρύνει την Επιτροπή να σημειώσει ταχεία πρόοδο όσον αφορά την εφαρμογή των υφιστάμενων υποχρεώσεων διαλειτουργικότητας για τις υπηρεσίες ανταλλαγής μηνυμάτων στο πλαίσιο της πράξης για τις ψηφιακές αγορές και των υφιστάμενων υποχρεώσεων διαλειτουργικότητας για τους παρόχους υπολογιστικού νέφους βάσει της πράξης για τα δεδομένα, και να ξεκινήσει να εργάζεται για την αναθεώρηση της πράξης για τις ψηφιακές αγορές που προβλέπεται για τον Μάιο του 2026· παροτρύνει την Επιτροπή να υλοποιήσει τις υφιστάμενες υποχρεώσεις διαλειτουργικότητας βάσει της πράξης για τις ψηφιακές αγορές και να εξετάσει το ενδεχόμενο επέκτασης των υποχρεώσεων αυτών στις επιγραμμικές υπηρεσίες κοινωνικής δικτύωσης· υποστηρίζει την Επιτροπή στο να λαμβάνει περισσότερο υπόψη τη δυνητική ζημία στον ανταγωνισμό κατά την αξιολόγηση των συγκεντρώσεων όπου η επέκταση σε όμορες αγορές θα είχε ως αποτέλεσμα την περαιτέρω ενίσχυση της δεσπόζουσας θέσης στην κύρια αγορά της απορροφώσας εταιρείας·</w:t>
      </w:r>
    </w:p>
    <w:p w14:paraId="613AD8F0" w14:textId="77777777" w:rsidR="00DD4327" w:rsidRPr="00DB6753" w:rsidRDefault="00DB6753" w:rsidP="00DB6753">
      <w:pPr>
        <w:pStyle w:val="NormalHanging12a"/>
        <w:ind w:left="570" w:hanging="570"/>
        <w:rPr>
          <w:snapToGrid/>
        </w:rPr>
      </w:pPr>
      <w:r w:rsidRPr="00DB6753">
        <w:rPr>
          <w:snapToGrid/>
        </w:rPr>
        <w:t>25.</w:t>
      </w:r>
      <w:r w:rsidRPr="00DB6753">
        <w:rPr>
          <w:snapToGrid/>
        </w:rPr>
        <w:tab/>
      </w:r>
      <w:r w:rsidR="00DD4327" w:rsidRPr="00DB6753">
        <w:t>καλεί την Επιτροπή να αντιμετωπίσει τις υπερβολικά μακροχρόνιες αντιμονοπωλιακές έρευνες κατά τη διάρκεια των οποίων οι εταιρείες εξακολουθούν να επωφελούνται από τις αντιανταγωνιστικές πρακτικές τους· καλεί την Επιτροπή να ορίσει κατάλληλες προθεσμίες για τις υποθέσεις παραβίασης της αντιμονοπωλιακής νομοθεσίας και να διασφαλίσει την αποτελεσματική παρακολούθηση των αποφάσεων που λαμβάνονται· καλεί την Επιτροπή να λάβει περαιτέρω προσωρινά μέτρα για να σταματήσει κάθε πρακτική που θα έβλαπτε σοβαρά τον ανταγωνισμό, ιδίως όσον αφορά τις δυναμικές και ταχέως αναπτυσσόμενες αγορές όπως οι ψηφιακές αγορές·</w:t>
      </w:r>
    </w:p>
    <w:p w14:paraId="29A16CC5" w14:textId="77777777" w:rsidR="00DD4327" w:rsidRPr="00DB6753" w:rsidRDefault="00DD4327" w:rsidP="00B26674">
      <w:pPr>
        <w:pStyle w:val="Normal12a24b"/>
        <w:widowControl/>
        <w:spacing w:before="0"/>
      </w:pPr>
      <w:r w:rsidRPr="00DB6753">
        <w:rPr>
          <w:rStyle w:val="BoldItalic"/>
        </w:rPr>
        <w:t>Τομεακές πολιτικές</w:t>
      </w:r>
    </w:p>
    <w:p w14:paraId="30D68587" w14:textId="77777777" w:rsidR="00DD4327" w:rsidRPr="00DB6753" w:rsidRDefault="00DB6753" w:rsidP="00DB6753">
      <w:pPr>
        <w:pStyle w:val="NormalHanging12a"/>
        <w:ind w:left="570" w:hanging="570"/>
        <w:rPr>
          <w:snapToGrid/>
        </w:rPr>
      </w:pPr>
      <w:r w:rsidRPr="00DB6753">
        <w:rPr>
          <w:snapToGrid/>
        </w:rPr>
        <w:t>26.</w:t>
      </w:r>
      <w:r w:rsidRPr="00DB6753">
        <w:rPr>
          <w:snapToGrid/>
        </w:rPr>
        <w:tab/>
      </w:r>
      <w:r w:rsidR="00DD4327" w:rsidRPr="00DB6753">
        <w:t xml:space="preserve">εκφράζει ικανοποίηση για τις δύο δικαστικές αποφάσεις ορόσημα του Δικαστηρίου του Σεπτεμβρίου </w:t>
      </w:r>
      <w:r w:rsidR="00B26674" w:rsidRPr="00DB6753">
        <w:t xml:space="preserve">του </w:t>
      </w:r>
      <w:r w:rsidR="00DD4327" w:rsidRPr="00DB6753">
        <w:t>2024 που επιβεβαιώνουν τον ισχυρισμό της Επιτροπής ότι η ιρλανδική φορολογική συμφωνία με την Apple συνιστά παράνομη κρατική ενίσχυση και ότι η Google καταχράστηκε τη δεσπόζουσα θέση της κατά παράβαση των Συνθηκών· αναγνωρίζει ότι το νομικό πλαίσιο στην Ιρλανδία έχει έκτοτε αλλάξει· ενθαρρύνει την Επιτροπή να συνεχίσει να καταπολεμά τις καταχρήσεις των κρατικών ενισχύσεων που συνεπάγονται επιλεκτική χορήγηση φορολογικών ελαφρύνσεων για τις επιχειρήσεις·</w:t>
      </w:r>
    </w:p>
    <w:p w14:paraId="30CD5C38" w14:textId="77777777" w:rsidR="00DD4327" w:rsidRPr="00DB6753" w:rsidRDefault="00DB6753" w:rsidP="00DB6753">
      <w:pPr>
        <w:pStyle w:val="NormalHanging12a"/>
        <w:ind w:left="570" w:hanging="570"/>
        <w:rPr>
          <w:snapToGrid/>
        </w:rPr>
      </w:pPr>
      <w:r w:rsidRPr="00DB6753">
        <w:rPr>
          <w:snapToGrid/>
        </w:rPr>
        <w:t>27.</w:t>
      </w:r>
      <w:r w:rsidRPr="00DB6753">
        <w:rPr>
          <w:snapToGrid/>
        </w:rPr>
        <w:tab/>
      </w:r>
      <w:r w:rsidR="00DD4327" w:rsidRPr="00DB6753">
        <w:t xml:space="preserve">επισημαίνει τις αρνητικές επιπτώσεις του διεθνούς φορολογικού ανταγωνισμού· υπενθυμίζει τη στήριξή του για την εφαρμογή του δεύτερου πυλώνα του Οργανισμού </w:t>
      </w:r>
      <w:r w:rsidR="00DD4327" w:rsidRPr="00DB6753">
        <w:lastRenderedPageBreak/>
        <w:t>Οικονομικής Συνεργασίας και Ανάπτυξης (ΟΟΣΑ)· εκφράζει τη βαθιά του λύπη για το προεδρικό εκτελεστικό διάταγμα των ΗΠΑ, της 20ής Ιανουαρίου 2025, το οποίο προβλέπει ότι η παγκόσμια φορολογική συμφωνία του ΟΟΣΑ «δεν έχει καμία ισχύ ή αποτέλεσμα εντός των Ηνωμένων Πολιτειών»· τονίζει τη σημασία της πολυμερούς προσέγγισης προκειμένου να διασφαλιστεί ότι οι πολυεθνικές καταβάλλουν το μερίδιο φορολογίας που τους αναλογεί όταν δημιουργείται αξία· είναι της άποψης ότι η ΕΕ θα πρέπει να υποστηρίξει πλήρως την οδηγία του ΟΟΣΑ για τον δεύτερο πυλώνα·</w:t>
      </w:r>
    </w:p>
    <w:p w14:paraId="51579175" w14:textId="77777777" w:rsidR="00DD4327" w:rsidRPr="00DB6753" w:rsidRDefault="00DB6753" w:rsidP="00DB6753">
      <w:pPr>
        <w:pStyle w:val="NormalHanging12a"/>
        <w:ind w:left="570" w:hanging="570"/>
      </w:pPr>
      <w:r w:rsidRPr="00DB6753">
        <w:t>28.</w:t>
      </w:r>
      <w:r w:rsidRPr="00DB6753">
        <w:tab/>
      </w:r>
      <w:r w:rsidR="00DD4327" w:rsidRPr="00DB6753">
        <w:t>τονίζει τις ανησυχητικές συγκεντρώσεις της αγοράς σε διάφορες ψηφιακές αγορές, όπως τα μέσα κοινωνικής δικτύωσης, οι μηχανές αναζήτησης, η τεχνητή νοημοσύνη, οι υπηρεσίες νεφοϋπολογιστικής, το ηλεκτρονικό εμπόριο, τα μικροκυκλώματα και η επιγραμμική διαφήμιση· υπογραμμίζει τον πραγματικό και δυνητικά αρνητικό αντίκτυπο στην ανταγωνιστικότητα της ΕΕ, την ανθεκτικότητα των εφοδιαστικών αλυσίδων, την ελευθερία των μέσων επικοινωνίας, την ιδιωτικότητα και την προστασία των δεδομένων, την κοινωνία και τη δημοκρατία· προτρέπει την Επιτροπή να αντιμετωπίσει τα ζητήματα που αφορούν ειδικά την αγορά τεχνολογίας, συμπεριλαμβανομένης της ισχύος υποδομών σε επίπεδα υπολογισμού υλισμικού και υπολογιστικού νέφους, της κάθετης συγκέντρωσης, της αλγοριθμικής χειραγώγησης της ψηφιακής δημόσιας σφαίρας και της μόχλευσης της αγοράς στις ψηφιακές αγορές, όπως καταδεικνύεται από την πρόοδο που έχει σημειωθεί στο πλαίσιο της πράξης για τις ψηφιακές αγορές· επιπλέον, ζητεί την έναρξη νέων ερευνών στον τομέα των υπηρεσιών υπολογιστικού νέφους για την περαιτέρω διασφάλιση του θεμιτού ανταγωνισμού και της καινοτομίας, λαμβάνοντας υπόψη τον βαθμό συγκέντρωσης της αγοράς στον εν λόγω τομέα και τις αντιανταγωνιστικές πρακτικές που σχετίζονται με πολύπλοκους και αδιαφανείς όρους αδειοδότησης ή αναγκαστική ομαδοποίηση· παροτρύνει επίσης την Επιτροπή να αντιμετωπίσει την αυξανόμενη κάθετη συγκέντρωση κυρίαρχων φορέων σε ολόκληρη την αξιακή αλυσίδα της διαφήμισης, η οποία θέτει σε κίνδυνο τον ευρωπαϊκό τομέα της επιγραμμικής διαφήμισης·</w:t>
      </w:r>
    </w:p>
    <w:p w14:paraId="2774096D" w14:textId="77777777" w:rsidR="00DD4327" w:rsidRPr="00DB6753" w:rsidRDefault="00DB6753" w:rsidP="00DB6753">
      <w:pPr>
        <w:pStyle w:val="NormalHanging12a"/>
        <w:ind w:left="570" w:hanging="570"/>
        <w:rPr>
          <w:snapToGrid/>
        </w:rPr>
      </w:pPr>
      <w:r w:rsidRPr="00DB6753">
        <w:rPr>
          <w:snapToGrid/>
        </w:rPr>
        <w:t>29.</w:t>
      </w:r>
      <w:r w:rsidRPr="00DB6753">
        <w:rPr>
          <w:snapToGrid/>
        </w:rPr>
        <w:tab/>
      </w:r>
      <w:r w:rsidR="00DD4327" w:rsidRPr="00DB6753">
        <w:t>σημειώνει την ταχεία ανάπτυξη των υπηρεσιών ΤΝ, η οποία έχει το δυναμικό να οδηγήσει σε συγκέντρωση της αγοράς· καλεί την Επιτροπή να υιοθετήσει μια οικοσυστημική προσέγγιση σε αυτόν τον τομέα, μεταξύ άλλων αναπτύσσοντας και εφαρμόζοντας νέες θεωρίες βλάβης για την αντιμετώπιση της περαιτέρω παγίωσης των κυρίαρχων φορέων στον τομέα αυτόν· επισημαίνει ότι η πράξη για τις ψηφιακές αγορές περιλαμβάνει διάφορες διατάξεις που πρέπει να χρησιμοποιούνται για να αποτρέπονται οι πυλωροί από το να περιορίζουν τους αναδυόμενους προγραμματιστές ΤΝ και καλεί την Επιτροπή να δράσει άμεσα για την αντιμετώπιση του κινδύνου εξαναγκασμού των καταναλωτών να χρησιμοποιούν προκαθορισμένες υπηρεσίες ΤΝ στις κινητές συσκευές τους, διασφαλίζοντας ότι τα συστήματα ΤΝ παραμένουν επιλέξιμα από τον χρήστη και διαφανή, γεγονός που θα διασφαλίσει επίσης τον ανταγωνισμό και τις επιλογές των καταναλωτών· καλεί την Επιτροπή να διερευνήσει τη δυνατότητα προσθήκης της παραγωγικής ΤΝ ως νέας βασικής υπηρεσίας πλατφόρμας στο πλαίσιο της πράξης για τις ψηφιακές αγορές·</w:t>
      </w:r>
    </w:p>
    <w:p w14:paraId="299A5EDC" w14:textId="77777777" w:rsidR="00DD4327" w:rsidRPr="00DB6753" w:rsidRDefault="00DB6753" w:rsidP="00DB6753">
      <w:pPr>
        <w:pStyle w:val="NormalHanging12a"/>
        <w:ind w:left="570" w:hanging="570"/>
      </w:pPr>
      <w:r w:rsidRPr="00DB6753">
        <w:t>30.</w:t>
      </w:r>
      <w:r w:rsidRPr="00DB6753">
        <w:tab/>
      </w:r>
      <w:r w:rsidR="00DD4327" w:rsidRPr="00DB6753">
        <w:t xml:space="preserve">σημειώνει ότι οι μεγάλοι ψηφιακοί φορείς χρησιμοποιούν την ισχύ τους στην αγορά, την ισχύ τους έναντι των καταναλωτών, τους οικονομικούς πόρους και τη συγκέντρωση δεδομένων σε μια αγορά για να ενισχύσουν τη θέση τους σε μια άλλη· τονίζει ότι οι μικροί φορείς δεν μπορούν να ανταγωνιστούν τους προαναφερθέντες παράγοντες, γεγονός που καθιστά τους πολίτες της ΕΕ ακόμη περισσότερο εξαρτώμενους από τον ίδιο μικρό αριθμό επιχειρήσεων τρίτων χωρών και θέτει σε κίνδυνο τη στρατηγική αυτονομία· ζητεί να ενισχυθεί ο έλεγχος της μόχλευσης της θέσης των κυρίαρχων </w:t>
      </w:r>
      <w:r w:rsidR="00DD4327" w:rsidRPr="00DB6753">
        <w:lastRenderedPageBreak/>
        <w:t>φορέων του ψηφιακού τομέα σε άλλους τομείς και της στρατηγικής αυτονομίας της ΕΕ, μέσω αναθεώρησης των κατευθυντήριων γραμμών για τις συγκεντρώσεις, ώστε να διασφαλιστεί η αποτελεσματικότερη εξέταση της μόχλευσης της αγοράς·</w:t>
      </w:r>
    </w:p>
    <w:p w14:paraId="2235E39B" w14:textId="77777777" w:rsidR="00DD4327" w:rsidRPr="00DB6753" w:rsidRDefault="00DB6753" w:rsidP="00DB6753">
      <w:pPr>
        <w:pStyle w:val="NormalHanging12a"/>
        <w:ind w:left="570" w:hanging="570"/>
      </w:pPr>
      <w:r w:rsidRPr="00DB6753">
        <w:t>31.</w:t>
      </w:r>
      <w:r w:rsidRPr="00DB6753">
        <w:tab/>
      </w:r>
      <w:r w:rsidR="00DD4327" w:rsidRPr="00DB6753">
        <w:t>επισημαίνει τη σημασία των δεδομένων και των εργαλείων ανάλυσης δεδομένων ως ενός από τους αποτρεπτικούς παράγοντες για τις συγκεντρώσεις στην ψηφιακή αγορά και τις εξαγορές στον ψηφιακό τομέα· ζητεί από το Ευρωπαϊκό Συμβούλιο Προστασίας Δεδομένων να εκδίδει γνωμοδότηση σε περίπτωση συγκεντρώσεων στις οποίες εμπλέκονται ένας ή περισσότεροι φορείς στον ψηφιακό τομέα σχετικά με τη συνάφεια των συνόλων δεδομένων για την επιδιωκόμενη συγκέντρωση, τα δεδομένα προσωπικού χαρακτήρα που επεξεργάζεται η στοχευόμενη εξαγορά και τον πιθανό αντίκτυπο στα δικαιώματα προστασίας της ιδιωτικής ζωής και των δεδομένων που επιφέρει η επιδιωκόμενη συγκέντρωση·</w:t>
      </w:r>
    </w:p>
    <w:p w14:paraId="0869884E" w14:textId="77777777" w:rsidR="00DD4327" w:rsidRPr="00DB6753" w:rsidRDefault="00DB6753" w:rsidP="00DB6753">
      <w:pPr>
        <w:pStyle w:val="NormalHanging12a"/>
        <w:ind w:left="570" w:hanging="570"/>
      </w:pPr>
      <w:r w:rsidRPr="00DB6753">
        <w:t>32.</w:t>
      </w:r>
      <w:r w:rsidRPr="00DB6753">
        <w:tab/>
      </w:r>
      <w:r w:rsidR="00DD4327" w:rsidRPr="00DB6753">
        <w:t>εκφράζει την ανησυχία του για την αυξανόμενη χρήση δυναμικών μηχανισμών τιμολόγησης σε ολόκληρη την ΕΕ· καλεί την Επιτροπή να διερευνήσει κανονιστικά μέτρα κατά των εξαιρετικά προσαρμοστικών και αδιαφανών μεθόδων τιμολόγησης·</w:t>
      </w:r>
    </w:p>
    <w:p w14:paraId="539EC764" w14:textId="77777777" w:rsidR="00DD4327" w:rsidRPr="00DB6753" w:rsidRDefault="00DB6753" w:rsidP="00DB6753">
      <w:pPr>
        <w:pStyle w:val="NormalHanging12a"/>
        <w:ind w:left="570" w:hanging="570"/>
        <w:rPr>
          <w:snapToGrid/>
        </w:rPr>
      </w:pPr>
      <w:r w:rsidRPr="00DB6753">
        <w:rPr>
          <w:snapToGrid/>
        </w:rPr>
        <w:t>33.</w:t>
      </w:r>
      <w:r w:rsidRPr="00DB6753">
        <w:rPr>
          <w:snapToGrid/>
        </w:rPr>
        <w:tab/>
      </w:r>
      <w:r w:rsidR="00DD4327" w:rsidRPr="00DB6753">
        <w:t>καλεί την Επιτροπή να εφαρμόσει αυστηρά όλους τους κανόνες ανταγωνισμού, συμπεριλαμβανομένου του κανονισμού για τις ξένες επιδοτήσεις και της πράξης για τις ψηφιακές αγορές, προκειμένου να αντιμετωπιστούν οι πρακτικές των πυλωρών και να προωθηθούν οι διεκδικήσιμες αγορές και ο δίκαιος ανταγωνισμός· τονίζει ότι η Επιτροπή πρέπει να διαθέτει επαρκές προσωπικό για την επιβολή της νομοθεσίας, επισημαίνοντας παράλληλα ότι νέα εργαλεία, καθώς και επιστήμονες και οικονομολόγοι που προέρχονται από αποκλίνοντες επιστημονικούς κλάδους, μπορούν να συμβάλουν στη βελτίωση της επιβολής της νομοθεσίας περί ανταγωνισμού· υπογραμμίζει ειδικότερα ότι η πράξη για τις ψηφιακές αγορές θα πρέπει να εφαρμόζεται αυστηρά και ανεξάρτητα, χωρίς να υπονομεύεται από εξωτερικές πιέσεις· τονίζει ότι η πράξη για τις ψηφιακές αγορές και τα πιθανά πρόστιμα δεν πρέπει να χρησιμοποιούνται ως διαπραγματευτικό πλέγμα σε σχέση με τις συζητήσεις για τους δασμούς, αλλά ως ακρογωνιαίος λίθος των προσπαθειών της ΕΕ για τη διασφάλιση δίκαιων και ανταγωνιστικών ψηφιακών αγορών· σημειώνει τις έξι διαδικασίες μη συμμόρφωσης που κινήθηκαν κατά ορισμένων ορισθέντων πυλωρών· εκφράζει τη βαθιά ανησυχία του για πιθανές καθυστερήσεις σε κρίσιμες έρευνες και για την ικανότητα της Επιτροπής να τηρεί τις υποχρεώσεις της περί «βέλτιστης προσπάθειας» και να λαμβάνει απόφαση σχετικά με τις διαδικασίες μη συμμόρφωσης χωρίς αδικαιολόγητη καθυστέρηση·</w:t>
      </w:r>
    </w:p>
    <w:p w14:paraId="0D5423DE" w14:textId="77777777" w:rsidR="00DD4327" w:rsidRPr="00DB6753" w:rsidRDefault="00DB6753" w:rsidP="00DB6753">
      <w:pPr>
        <w:pStyle w:val="NormalHanging12a"/>
        <w:ind w:left="570" w:hanging="570"/>
        <w:rPr>
          <w:snapToGrid/>
        </w:rPr>
      </w:pPr>
      <w:r w:rsidRPr="00DB6753">
        <w:rPr>
          <w:snapToGrid/>
        </w:rPr>
        <w:t>34.</w:t>
      </w:r>
      <w:r w:rsidRPr="00DB6753">
        <w:rPr>
          <w:snapToGrid/>
        </w:rPr>
        <w:tab/>
      </w:r>
      <w:r w:rsidR="00DD4327" w:rsidRPr="00DB6753">
        <w:t>σημειώνει με ανησυχία τον κατακερματισμό πολυάριθμων καταναλωτικών αγορών, συμπεριλαμβανομένων των χρηματοπιστωτικών υπηρεσιών, των τηλεπικοινωνιών και της οικιακής ενέργειας, και ζητεί ταχύτερη και μεγαλύτερη ενοποίηση της αγοράς όπου αυτό ωφελεί τους καταναλωτές καθώς και την αναγνώριση ότι η εν λόγω ενοποίηση της αγοράς μπορεί να τονώσει τις επενδύσεις και την καινοτομία·</w:t>
      </w:r>
    </w:p>
    <w:p w14:paraId="6FF0BBA2" w14:textId="77777777" w:rsidR="00DD4327" w:rsidRPr="00DB6753" w:rsidRDefault="00DB6753" w:rsidP="00DB6753">
      <w:pPr>
        <w:pStyle w:val="NormalHanging12a"/>
        <w:ind w:left="570" w:hanging="570"/>
        <w:rPr>
          <w:snapToGrid/>
        </w:rPr>
      </w:pPr>
      <w:r w:rsidRPr="00DB6753">
        <w:rPr>
          <w:snapToGrid/>
        </w:rPr>
        <w:t>35.</w:t>
      </w:r>
      <w:r w:rsidRPr="00DB6753">
        <w:rPr>
          <w:snapToGrid/>
        </w:rPr>
        <w:tab/>
      </w:r>
      <w:r w:rsidR="00DD4327" w:rsidRPr="00DB6753">
        <w:t>εκφράζει την ανησυχία του για την υψηλή συγκέντρωση στους τομείς του λιανικού εμπορίου, της γεωργίας και της αυτοκινητοβιομηχανίας στα υπερπόντια εδάφη, όπου οι υπερβολικές τιμές που καθορίζουν οι δεσπόζουσες επιχειρήσεις σε βασικά προϊόντα και υπηρεσίες επιτείνουν τις ανισότητες, την επισφάλεια και τις εδαφικές ανισότητες· καλεί την Επιτροπή να κινήσει έρευνα σχετικά με πιθανές καταχρήσεις δεσπόζουσας θέσης δυνάμει του άρθρου 102 ΣΛΕΕ·</w:t>
      </w:r>
    </w:p>
    <w:p w14:paraId="015B3AB4" w14:textId="77777777" w:rsidR="00DD4327" w:rsidRPr="00DB6753" w:rsidRDefault="00DB6753" w:rsidP="00DB6753">
      <w:pPr>
        <w:pStyle w:val="NormalHanging12a"/>
        <w:ind w:left="570" w:hanging="570"/>
        <w:rPr>
          <w:snapToGrid/>
        </w:rPr>
      </w:pPr>
      <w:r w:rsidRPr="00DB6753">
        <w:rPr>
          <w:snapToGrid/>
        </w:rPr>
        <w:lastRenderedPageBreak/>
        <w:t>36.</w:t>
      </w:r>
      <w:r w:rsidRPr="00DB6753">
        <w:rPr>
          <w:snapToGrid/>
        </w:rPr>
        <w:tab/>
      </w:r>
      <w:r w:rsidR="00DD4327" w:rsidRPr="00DB6753">
        <w:t>σημειώνει με ανησυχία τον υψηλό βαθμό συγκέντρωσης της αγοράς στον ευρωπαϊκό χρηματοπιστωτικό τομέα, καθώς και τη συνεχιζόμενη υπερβολική εξάρτησή της από περιορισμένο αριθμό παρόχων υπηρεσιών εκτός ΕΕ· σημειώνει ότι οι τρεις μεγαλύτεροι οργανισμοί αξιολόγησης της πιστοληπτικής ικανότητας εξακολουθούν να κατέχουν μερίδιο αγοράς άνω του 90 %· εκφράζει την ανησυχία του για τη συνεχιζόμενη υψηλή συγκέντρωση στην αγορά ελεγκτικών υπηρεσιών οντοτήτων δημοσίου συμφέροντος (ΟΔΣ), με τέσσερις εταιρείες να κατέχουν το μεγαλύτερο μέρος των εσόδων της ΕΕ για ελέγχους ΟΔΣ, περιορίζοντας τις επιλογές και θέτοντας σε κίνδυνο την αποτελεσματική εποπτεία· καλεί την Επιτροπή να υποβάλει εκτίμηση επιπτώσεων σχετικά με τις επιλογές για την αντιμετώπιση αυτών των ανησυχιών· παροτρύνει την Επιτροπή να αξιολογεί προσεκτικά τους δημόσιους διαγωνισμούς για εμπειρογνωμοσύνη από συμμετέχοντες στην αγορά ελέγχου, ώστε να αποφεύγονται πιθανές συγκρούσεις συμφερόντων·</w:t>
      </w:r>
    </w:p>
    <w:p w14:paraId="23E7C0D1" w14:textId="77777777" w:rsidR="00DD4327" w:rsidRPr="00DB6753" w:rsidRDefault="00DB6753" w:rsidP="00DB6753">
      <w:pPr>
        <w:pStyle w:val="NormalHanging12a"/>
        <w:ind w:left="570" w:hanging="570"/>
        <w:rPr>
          <w:snapToGrid/>
        </w:rPr>
      </w:pPr>
      <w:r w:rsidRPr="00DB6753">
        <w:rPr>
          <w:snapToGrid/>
        </w:rPr>
        <w:t>37.</w:t>
      </w:r>
      <w:r w:rsidRPr="00DB6753">
        <w:rPr>
          <w:snapToGrid/>
        </w:rPr>
        <w:tab/>
      </w:r>
      <w:r w:rsidR="00DD4327" w:rsidRPr="00DB6753">
        <w:t>εκφράζει την ανησυχία του για την κρίση των τιμών των τροφίμων και σημειώνει, στο πλαίσιο αυτό, τα υψηλά επίπεδα συγκέντρωσης της αγοράς στις αλυσίδες τροφίμων· επαναλαμβάνει την έκκλησή του προς την Επιτροπή να διενεργήσει επειγόντως ενδελεχή ανάλυση της έκτασης και των αποτελεσμάτων των αγοραστικών συμμαχιών, δίνοντας έτσι ιδιαίτερη προσοχή στη διασφάλιση θεμιτού ανταγωνισμού και μεγαλύτερης διαφάνειας στις εμπορικές πρακτικές των αλυσίδων σούπερ μάρκετ και υπεραγορών, ιδίως όταν οι πρακτικές αυτές επηρεάζουν την αξία της επωνυμίας και την επιλογή προϊόντων ή περιορίζουν την καινοτομία ή τη συγκρισιμότητα των τιμών· υπενθυμίζει, στο πλαίσιο αυτό, τη συγκέντρωση της αγοράς στο εμπόριο γεωργικών βασικών προϊόντων, όπου τέσσερις εταιρείες αντιπροσωπεύουν τη συντριπτική πλειονότητα του παγκόσμιου εμπορίου καλλιεργειών· εκφράζει τη λύπη του για το γεγονός ότι η Επιτροπή ενέκρινε, ωστόσο, υπό όρους τη συγκέντρωση Bunge-Vittera του 2024 (M.11204) παρά τα ζητήματα ανταγωνισμού· ζητεί από την Επιτροπή να αντιμετωπίσει την υπερβολική συσσώρευση ισχύος στα χέρια λίγων μεγάλων φορέων στην εν λόγω αγορά, προκειμένου να ενισχυθεί η διαπραγματευτική θέση τόσο των γεωργών όσο και των καταναλωτών· επισημαίνει την εφαρμογή του νέου εργαλείου ανταγωνισμού στο πλαίσιο αυτό·</w:t>
      </w:r>
    </w:p>
    <w:p w14:paraId="0CDCD8F6" w14:textId="77777777" w:rsidR="00DD4327" w:rsidRPr="00DB6753" w:rsidRDefault="00DB6753" w:rsidP="00DB6753">
      <w:pPr>
        <w:pStyle w:val="NormalHanging12a"/>
        <w:ind w:left="570" w:hanging="570"/>
      </w:pPr>
      <w:r w:rsidRPr="00DB6753">
        <w:t>38.</w:t>
      </w:r>
      <w:r w:rsidRPr="00DB6753">
        <w:tab/>
      </w:r>
      <w:r w:rsidR="00DD4327" w:rsidRPr="00DB6753">
        <w:t>σημειώνει τα υψηλά καθαρά κέρδη των τραπεζών της ΕΕ κατά τη διάρκεια αυτής της πληθωριστικής περιόδου, κυρίως λόγω της καθυστέρησης με την οποία η ταχεία αυστηροποίηση της νομισματικής πολιτικής επεκτάθηκε στα επιτόκια καταθέσεων·</w:t>
      </w:r>
    </w:p>
    <w:p w14:paraId="0F7C1BD7" w14:textId="77777777" w:rsidR="00DD4327" w:rsidRPr="00DB6753" w:rsidRDefault="00DB6753" w:rsidP="00DB6753">
      <w:pPr>
        <w:pStyle w:val="NormalHanging12a"/>
        <w:ind w:left="570" w:hanging="570"/>
      </w:pPr>
      <w:r w:rsidRPr="00DB6753">
        <w:t>39.</w:t>
      </w:r>
      <w:r w:rsidRPr="00DB6753">
        <w:tab/>
      </w:r>
      <w:r w:rsidR="00DD4327" w:rsidRPr="00DB6753">
        <w:t>σημειώνει με ιδιαίτερη ανησυχία τη δεσπόζουσα θέση δύο διεθνών συστημάτων καρτών στην αγορά πληρωμών της ΕΕ και τις πρακτικές τους που ενισχύσουν και επεκτείνουν τη δεσπόζουσα θέση τους στην αγορά αυτή, γεγονός που μπορεί να αυξήσει περαιτέρω τους φραγμούς εισόδου και να παρεμποδίσει τη μακροπρόθεσμη καινοτομία</w:t>
      </w:r>
      <w:r w:rsidR="00DD4327" w:rsidRPr="00DB6753">
        <w:rPr>
          <w:rStyle w:val="FootnoteReference"/>
        </w:rPr>
        <w:footnoteReference w:id="6"/>
      </w:r>
      <w:r w:rsidR="00DD4327" w:rsidRPr="00DB6753">
        <w:t xml:space="preserve">, καθώς και να οδηγήσει σε υψηλότερο κόστος για τις επιχειρήσεις της και, τελικά, για τους καταναλωτές της ΕΕ· καλεί την Επιτροπή να λάβει αποφασιστικά μέτρα, τονίζοντας την ανάγκη αναθεώρησης του κανονισμού για τις διατραπεζικές προμήθειες (κανονισμός (ΕΕ) 2015/751), προκειμένου να αντιμετωπιστεί η σημαντική αύξηση των τελών των συστημάτων καρτών που χρεώνονται από τα διεθνή συστήματα </w:t>
      </w:r>
      <w:r w:rsidR="00DD4327" w:rsidRPr="00DB6753">
        <w:lastRenderedPageBreak/>
        <w:t>καρτών και να διασφαλιστεί ένα δίκαιο, ανταγωνιστικό και διαφανές περιβάλλον αγοράς·</w:t>
      </w:r>
    </w:p>
    <w:p w14:paraId="2744C75C" w14:textId="77777777" w:rsidR="00DD4327" w:rsidRPr="00DB6753" w:rsidRDefault="00DD4327" w:rsidP="00B26674">
      <w:pPr>
        <w:pStyle w:val="Normal12a24b"/>
        <w:widowControl/>
        <w:spacing w:before="0"/>
        <w:ind w:left="567" w:hanging="567"/>
      </w:pPr>
      <w:r w:rsidRPr="00DB6753">
        <w:rPr>
          <w:rStyle w:val="BoldItalic"/>
        </w:rPr>
        <w:t xml:space="preserve">Κοινοβουλευτική συμμετοχή </w:t>
      </w:r>
    </w:p>
    <w:p w14:paraId="14A0D1C1" w14:textId="77777777" w:rsidR="00DD4327" w:rsidRPr="00DB6753" w:rsidRDefault="00DB6753" w:rsidP="00DB6753">
      <w:pPr>
        <w:pStyle w:val="NormalHanging12a"/>
        <w:ind w:left="570" w:hanging="570"/>
      </w:pPr>
      <w:r w:rsidRPr="00DB6753">
        <w:t>40.</w:t>
      </w:r>
      <w:r w:rsidRPr="00DB6753">
        <w:tab/>
      </w:r>
      <w:r w:rsidR="00DD4327" w:rsidRPr="00DB6753">
        <w:t>τονίζει ότι το Κοινοβούλιο θα πρέπει να συμμετέχει επαρκώς στη διαμόρφωση της πολιτικής ανταγωνισμού· προειδοποιεί για την υπερβολική εξάρτηση από μη δεσμευτικά μέσα, όπως οι κατευθυντήριες γραμμές και τα προσωρινά πλαίσια, στα οποία η συμμετοχή του Κοινοβουλίου είναι περιορισμένη· καλεί την Επιτροπή να ξεκινήσει διαπραγματεύσεις για τη σύναψη διοργανικής συμφωνίας σχετικά με την πολιτική ανταγωνισμού για την επισημοποίηση των προτεραιοτήτων της όσον αφορά την επιβολή στο Κοινοβούλιο· καλεί το Ευρωπαϊκό Συμβούλιο να εκδώσει απόφαση βάσει του άρθρου 48 παράγραφος 7 δεύτερο εδάφιο ΣΕΕ, που επιτρέπει την έκδοση νομοθετικών πράξεων στον τομέα της πολιτικής ανταγωνισμού σύμφωνα με τη συνήθη νομοθετική διαδικασία· τονίζει ότι το Κοινοβούλιο θα πρέπει να συμμετέχει περισσότερο στις δραστηριότητες των ομάδων εργασίας και των ομάδων εμπειρογνωμόνων του Διεθνούς Δικτύου Ανταγωνισμού (ΔΔΑ) και του ΟΟΣΑ ως παρατηρητής, αλλά και στην ομάδα εμπειρογνωμόνων υψηλού επιπέδου σχετικά με την πράξη για τις ψηφιακές αγορές·</w:t>
      </w:r>
    </w:p>
    <w:p w14:paraId="789B9338" w14:textId="77777777" w:rsidR="00DD4327" w:rsidRPr="00DB6753" w:rsidRDefault="00DB6753" w:rsidP="00DB6753">
      <w:pPr>
        <w:pStyle w:val="NormalHanging12a"/>
        <w:ind w:left="570" w:hanging="570"/>
        <w:rPr>
          <w:snapToGrid/>
        </w:rPr>
      </w:pPr>
      <w:r w:rsidRPr="00DB6753">
        <w:rPr>
          <w:snapToGrid/>
        </w:rPr>
        <w:t>41.</w:t>
      </w:r>
      <w:r w:rsidRPr="00DB6753">
        <w:rPr>
          <w:snapToGrid/>
        </w:rPr>
        <w:tab/>
      </w:r>
      <w:r w:rsidR="00DD4327" w:rsidRPr="00DB6753">
        <w:t>καλεί την εκτελεστική αντιπρόεδρο, που είναι επίσης επίτροπος αρμόδια για την πολιτική ανταγωνισμού, να παραμείνει σε στενή επαφή με την αρμόδια επιτροπή του Κοινοβουλίου και την ομάδα εργασίας του για θέματα ανταγωνισμού·</w:t>
      </w:r>
    </w:p>
    <w:p w14:paraId="036BB316" w14:textId="77777777" w:rsidR="00DD4327" w:rsidRPr="00DB6753" w:rsidRDefault="00DD4327" w:rsidP="00B26674">
      <w:pPr>
        <w:pStyle w:val="NormalCenter12a"/>
        <w:widowControl/>
        <w:ind w:left="567" w:hanging="567"/>
      </w:pPr>
      <w:r w:rsidRPr="00DB6753">
        <w:t>°</w:t>
      </w:r>
    </w:p>
    <w:p w14:paraId="55C205DE" w14:textId="77777777" w:rsidR="00DD4327" w:rsidRPr="00DB6753" w:rsidRDefault="00DD4327" w:rsidP="00B26674">
      <w:pPr>
        <w:pStyle w:val="NormalCenter12a"/>
        <w:widowControl/>
        <w:ind w:left="567" w:hanging="567"/>
      </w:pPr>
      <w:r w:rsidRPr="00DB6753">
        <w:t>°</w:t>
      </w:r>
      <w:r w:rsidRPr="00DB6753">
        <w:tab/>
        <w:t>°</w:t>
      </w:r>
    </w:p>
    <w:p w14:paraId="0F67FC4E" w14:textId="77777777" w:rsidR="001C6715" w:rsidRPr="00DB6753" w:rsidRDefault="00DB6753" w:rsidP="00DB6753">
      <w:pPr>
        <w:pStyle w:val="NormalHanging12a"/>
        <w:ind w:left="570" w:hanging="570"/>
      </w:pPr>
      <w:r w:rsidRPr="00DB6753">
        <w:t>42.</w:t>
      </w:r>
      <w:r w:rsidRPr="00DB6753">
        <w:tab/>
      </w:r>
      <w:r w:rsidR="00DD4327" w:rsidRPr="00DB6753">
        <w:t>αναθέτει στην Πρόεδρό του να διαβιβάσει το παρόν ψήφισμα στο Συμβούλιο και στην Επιτροπή.</w:t>
      </w:r>
    </w:p>
    <w:p w14:paraId="2346E9F8" w14:textId="77777777" w:rsidR="00E365E1" w:rsidRPr="00DB6753" w:rsidRDefault="00E365E1" w:rsidP="00B26674">
      <w:pPr>
        <w:widowControl/>
        <w:spacing w:after="240"/>
        <w:ind w:left="567" w:hanging="567"/>
      </w:pPr>
    </w:p>
    <w:sectPr w:rsidR="00E365E1" w:rsidRPr="00DB6753" w:rsidSect="001C67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754E9" w14:textId="77777777" w:rsidR="00573380" w:rsidRPr="001C6715" w:rsidRDefault="00573380">
      <w:r w:rsidRPr="001C6715">
        <w:separator/>
      </w:r>
    </w:p>
  </w:endnote>
  <w:endnote w:type="continuationSeparator" w:id="0">
    <w:p w14:paraId="1748BC99" w14:textId="77777777" w:rsidR="00573380" w:rsidRPr="001C6715" w:rsidRDefault="00573380">
      <w:r w:rsidRPr="001C67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718D7" w14:textId="77777777" w:rsidR="00064002" w:rsidRPr="001C671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1A96" w14:textId="77777777" w:rsidR="00064002" w:rsidRPr="001C671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0A20C" w14:textId="77777777" w:rsidR="00064002" w:rsidRPr="001C67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C0899" w14:textId="77777777" w:rsidR="00573380" w:rsidRPr="001C6715" w:rsidRDefault="00573380">
      <w:r w:rsidRPr="001C6715">
        <w:separator/>
      </w:r>
    </w:p>
  </w:footnote>
  <w:footnote w:type="continuationSeparator" w:id="0">
    <w:p w14:paraId="1AA337B7" w14:textId="77777777" w:rsidR="00573380" w:rsidRPr="001C6715" w:rsidRDefault="00573380">
      <w:r w:rsidRPr="001C6715">
        <w:continuationSeparator/>
      </w:r>
    </w:p>
  </w:footnote>
  <w:footnote w:id="1">
    <w:p w14:paraId="5F000128" w14:textId="77777777" w:rsidR="00DD4327" w:rsidRPr="00B26674" w:rsidRDefault="00DD4327" w:rsidP="00B26674">
      <w:pPr>
        <w:pStyle w:val="FootnoteText"/>
        <w:spacing w:line="240" w:lineRule="auto"/>
        <w:ind w:left="567" w:hanging="567"/>
        <w:rPr>
          <w:sz w:val="24"/>
          <w:lang w:val="el-GR"/>
        </w:rPr>
      </w:pPr>
      <w:r w:rsidRPr="00B26674">
        <w:rPr>
          <w:rStyle w:val="FootnoteReference"/>
          <w:sz w:val="24"/>
          <w:lang w:val="el-GR"/>
        </w:rPr>
        <w:footnoteRef/>
      </w:r>
      <w:r w:rsidR="001C6715" w:rsidRPr="00B26674">
        <w:rPr>
          <w:sz w:val="24"/>
          <w:lang w:val="el-GR"/>
        </w:rPr>
        <w:t xml:space="preserve"> </w:t>
      </w:r>
      <w:r w:rsidR="001C6715" w:rsidRPr="00B26674">
        <w:rPr>
          <w:sz w:val="24"/>
          <w:lang w:val="el-GR"/>
        </w:rPr>
        <w:tab/>
      </w:r>
      <w:r w:rsidRPr="00B26674">
        <w:rPr>
          <w:sz w:val="24"/>
          <w:lang w:val="el-GR"/>
        </w:rPr>
        <w:t xml:space="preserve">ΕΕ L 24 της 29.1.2004, σ. 1, ELI: </w:t>
      </w:r>
      <w:hyperlink r:id="rId1" w:history="1">
        <w:r w:rsidRPr="00B26674">
          <w:rPr>
            <w:color w:val="0000FF"/>
            <w:sz w:val="24"/>
            <w:u w:val="single" w:color="0000FF"/>
            <w:lang w:val="el-GR"/>
          </w:rPr>
          <w:t>http://data.europa.eu/eli/reg/2004/139/oj.</w:t>
        </w:r>
      </w:hyperlink>
    </w:p>
  </w:footnote>
  <w:footnote w:id="2">
    <w:p w14:paraId="1E394BED" w14:textId="77777777" w:rsidR="00DD4327" w:rsidRPr="00B26674" w:rsidRDefault="00DD4327" w:rsidP="00B26674">
      <w:pPr>
        <w:pStyle w:val="FootnoteText"/>
        <w:spacing w:line="240" w:lineRule="auto"/>
        <w:ind w:left="567" w:hanging="567"/>
        <w:rPr>
          <w:sz w:val="24"/>
          <w:lang w:val="el-GR"/>
        </w:rPr>
      </w:pPr>
      <w:r w:rsidRPr="00B26674">
        <w:rPr>
          <w:rStyle w:val="FootnoteReference"/>
          <w:sz w:val="24"/>
          <w:lang w:val="el-GR"/>
        </w:rPr>
        <w:footnoteRef/>
      </w:r>
      <w:r w:rsidR="001C6715" w:rsidRPr="00B26674">
        <w:rPr>
          <w:sz w:val="24"/>
          <w:lang w:val="el-GR"/>
        </w:rPr>
        <w:t xml:space="preserve"> </w:t>
      </w:r>
      <w:r w:rsidR="001C6715" w:rsidRPr="00B26674">
        <w:rPr>
          <w:sz w:val="24"/>
          <w:lang w:val="el-GR"/>
        </w:rPr>
        <w:tab/>
      </w:r>
      <w:r w:rsidRPr="00B26674">
        <w:rPr>
          <w:sz w:val="24"/>
          <w:lang w:val="el-GR"/>
        </w:rPr>
        <w:t>ΕΕ L 114 της 12.4.2022, σ. 22, ELI: </w:t>
      </w:r>
      <w:hyperlink r:id="rId2" w:tooltip="Πρόσβαση στο εν λόγω έγγραφο μέσω του ELI URI." w:history="1">
        <w:r w:rsidRPr="00B26674">
          <w:rPr>
            <w:rStyle w:val="Hyperlink"/>
            <w:sz w:val="24"/>
            <w:lang w:val="el-GR"/>
          </w:rPr>
          <w:t>http://data.europa.eu/eli/dec/2022/591/oj</w:t>
        </w:r>
      </w:hyperlink>
      <w:r w:rsidRPr="00B26674">
        <w:rPr>
          <w:sz w:val="24"/>
          <w:lang w:val="el-GR"/>
        </w:rPr>
        <w:t>.</w:t>
      </w:r>
    </w:p>
  </w:footnote>
  <w:footnote w:id="3">
    <w:p w14:paraId="17228842" w14:textId="77777777" w:rsidR="00DD4327" w:rsidRPr="00B26674" w:rsidRDefault="00DD4327" w:rsidP="00B26674">
      <w:pPr>
        <w:pStyle w:val="FootnoteText"/>
        <w:spacing w:line="240" w:lineRule="auto"/>
        <w:ind w:left="567" w:hanging="567"/>
        <w:rPr>
          <w:sz w:val="24"/>
          <w:lang w:val="el-GR"/>
        </w:rPr>
      </w:pPr>
      <w:r w:rsidRPr="00B26674">
        <w:rPr>
          <w:rStyle w:val="FootnoteReference"/>
          <w:sz w:val="24"/>
          <w:lang w:val="el-GR"/>
        </w:rPr>
        <w:footnoteRef/>
      </w:r>
      <w:r w:rsidR="001C6715" w:rsidRPr="00B26674">
        <w:rPr>
          <w:sz w:val="24"/>
          <w:lang w:val="el-GR"/>
        </w:rPr>
        <w:t xml:space="preserve"> </w:t>
      </w:r>
      <w:r w:rsidR="001C6715" w:rsidRPr="00B26674">
        <w:rPr>
          <w:sz w:val="24"/>
          <w:lang w:val="el-GR"/>
        </w:rPr>
        <w:tab/>
      </w:r>
      <w:r w:rsidRPr="00B26674">
        <w:rPr>
          <w:sz w:val="24"/>
          <w:lang w:val="el-GR"/>
        </w:rPr>
        <w:t xml:space="preserve">Απόφαση του Δικαστηρίου της 3ης Σεπτεμβρίου 2024, Illumina κατά </w:t>
      </w:r>
      <w:r w:rsidRPr="00B26674">
        <w:rPr>
          <w:iCs/>
          <w:sz w:val="24"/>
          <w:lang w:val="el-GR"/>
        </w:rPr>
        <w:t>Επιτροπής</w:t>
      </w:r>
      <w:r w:rsidRPr="00B26674">
        <w:rPr>
          <w:sz w:val="24"/>
          <w:lang w:val="el-GR"/>
        </w:rPr>
        <w:t>, C-611/22 P, ECLI:EU:C:2024:677.</w:t>
      </w:r>
    </w:p>
  </w:footnote>
  <w:footnote w:id="4">
    <w:p w14:paraId="22D2188E" w14:textId="77777777" w:rsidR="00DD4327" w:rsidRPr="00B26674" w:rsidRDefault="00DD4327" w:rsidP="00B26674">
      <w:pPr>
        <w:pStyle w:val="FootnoteText"/>
        <w:spacing w:line="240" w:lineRule="auto"/>
        <w:ind w:left="567" w:hanging="567"/>
        <w:rPr>
          <w:sz w:val="24"/>
          <w:lang w:val="el-GR"/>
        </w:rPr>
      </w:pPr>
      <w:r w:rsidRPr="00B26674">
        <w:rPr>
          <w:rStyle w:val="FootnoteReference"/>
          <w:sz w:val="24"/>
          <w:lang w:val="el-GR"/>
        </w:rPr>
        <w:footnoteRef/>
      </w:r>
      <w:r w:rsidR="001C6715" w:rsidRPr="00B26674">
        <w:rPr>
          <w:sz w:val="24"/>
          <w:lang w:val="el-GR"/>
        </w:rPr>
        <w:t xml:space="preserve"> </w:t>
      </w:r>
      <w:r w:rsidR="001C6715" w:rsidRPr="00B26674">
        <w:rPr>
          <w:sz w:val="24"/>
          <w:lang w:val="el-GR"/>
        </w:rPr>
        <w:tab/>
      </w:r>
      <w:r w:rsidRPr="00B26674">
        <w:rPr>
          <w:sz w:val="24"/>
          <w:lang w:val="el-GR"/>
        </w:rPr>
        <w:t xml:space="preserve">Απόφαση του Δικαστηρίου της 10ης Σεπτεμβρίου 2024, </w:t>
      </w:r>
      <w:r w:rsidRPr="00DB6753">
        <w:rPr>
          <w:rStyle w:val="Italic"/>
          <w:i w:val="0"/>
          <w:iCs/>
          <w:sz w:val="24"/>
          <w:lang w:val="el-GR"/>
        </w:rPr>
        <w:t>Ευρωπαϊκή Επιτροπή</w:t>
      </w:r>
      <w:r w:rsidRPr="00DB6753">
        <w:rPr>
          <w:rStyle w:val="Italic"/>
          <w:i w:val="0"/>
          <w:sz w:val="24"/>
          <w:lang w:val="el-GR"/>
        </w:rPr>
        <w:t xml:space="preserve"> κατά </w:t>
      </w:r>
      <w:r w:rsidRPr="00DB6753">
        <w:rPr>
          <w:rStyle w:val="Italic"/>
          <w:i w:val="0"/>
          <w:iCs/>
          <w:sz w:val="24"/>
          <w:lang w:val="el-GR"/>
        </w:rPr>
        <w:t>Ιρλανδίας κ.ά.</w:t>
      </w:r>
      <w:r w:rsidRPr="00B26674">
        <w:rPr>
          <w:sz w:val="24"/>
          <w:lang w:val="el-GR"/>
        </w:rPr>
        <w:t>, C-465/20 P, ECLI:EU:C:2024:724.</w:t>
      </w:r>
    </w:p>
  </w:footnote>
  <w:footnote w:id="5">
    <w:p w14:paraId="7104CB7C" w14:textId="77777777" w:rsidR="00DD4327" w:rsidRPr="00B26674" w:rsidRDefault="00DD4327" w:rsidP="00B26674">
      <w:pPr>
        <w:pStyle w:val="FootnoteText"/>
        <w:spacing w:line="240" w:lineRule="auto"/>
        <w:ind w:left="567" w:hanging="567"/>
        <w:rPr>
          <w:sz w:val="24"/>
          <w:lang w:val="el-GR"/>
        </w:rPr>
      </w:pPr>
      <w:r w:rsidRPr="00B26674">
        <w:rPr>
          <w:rStyle w:val="FootnoteReference"/>
          <w:sz w:val="24"/>
          <w:lang w:val="el-GR"/>
        </w:rPr>
        <w:footnoteRef/>
      </w:r>
      <w:r w:rsidR="001C6715" w:rsidRPr="00B26674">
        <w:rPr>
          <w:sz w:val="24"/>
          <w:lang w:val="el-GR"/>
        </w:rPr>
        <w:t xml:space="preserve"> </w:t>
      </w:r>
      <w:r w:rsidR="001C6715" w:rsidRPr="00B26674">
        <w:rPr>
          <w:sz w:val="24"/>
          <w:lang w:val="el-GR"/>
        </w:rPr>
        <w:tab/>
      </w:r>
      <w:r w:rsidRPr="00B26674">
        <w:rPr>
          <w:sz w:val="24"/>
          <w:lang w:val="el-GR"/>
        </w:rPr>
        <w:t xml:space="preserve">Απόφαση του Δικαστηρίου της </w:t>
      </w:r>
      <w:r w:rsidR="00DF4E1F">
        <w:rPr>
          <w:sz w:val="24"/>
          <w:lang w:val="el-GR"/>
        </w:rPr>
        <w:t>10</w:t>
      </w:r>
      <w:r w:rsidRPr="00B26674">
        <w:rPr>
          <w:sz w:val="24"/>
          <w:lang w:val="el-GR"/>
        </w:rPr>
        <w:t xml:space="preserve">ης </w:t>
      </w:r>
      <w:r w:rsidR="00DF4E1F">
        <w:rPr>
          <w:sz w:val="24"/>
          <w:lang w:val="el-GR"/>
        </w:rPr>
        <w:t>Σεπτεμ</w:t>
      </w:r>
      <w:r w:rsidRPr="00B26674">
        <w:rPr>
          <w:sz w:val="24"/>
          <w:lang w:val="el-GR"/>
        </w:rPr>
        <w:t xml:space="preserve">βρίου 2024, </w:t>
      </w:r>
      <w:r w:rsidRPr="00DB6753">
        <w:rPr>
          <w:rStyle w:val="Italic"/>
          <w:i w:val="0"/>
          <w:iCs/>
          <w:sz w:val="24"/>
          <w:lang w:val="el-GR"/>
        </w:rPr>
        <w:t>Google και Alphabet</w:t>
      </w:r>
      <w:r w:rsidRPr="00DB6753">
        <w:rPr>
          <w:rStyle w:val="Italic"/>
          <w:i w:val="0"/>
          <w:sz w:val="24"/>
          <w:lang w:val="el-GR"/>
        </w:rPr>
        <w:t xml:space="preserve"> κατά </w:t>
      </w:r>
      <w:r w:rsidRPr="00DB6753">
        <w:rPr>
          <w:rStyle w:val="Italic"/>
          <w:i w:val="0"/>
          <w:iCs/>
          <w:sz w:val="24"/>
          <w:lang w:val="el-GR"/>
        </w:rPr>
        <w:t>Επιτροπής</w:t>
      </w:r>
      <w:r w:rsidRPr="00DB6753">
        <w:rPr>
          <w:rStyle w:val="Italic"/>
          <w:i w:val="0"/>
          <w:sz w:val="24"/>
          <w:lang w:val="el-GR"/>
        </w:rPr>
        <w:t xml:space="preserve">, </w:t>
      </w:r>
      <w:r w:rsidRPr="00B26674">
        <w:rPr>
          <w:sz w:val="24"/>
          <w:lang w:val="el-GR"/>
        </w:rPr>
        <w:t xml:space="preserve">C-48/22 P, </w:t>
      </w:r>
      <w:r w:rsidR="00934B10">
        <w:rPr>
          <w:sz w:val="24"/>
          <w:lang w:val="el-GR"/>
        </w:rPr>
        <w:t>E</w:t>
      </w:r>
      <w:r w:rsidRPr="00B26674">
        <w:rPr>
          <w:sz w:val="24"/>
          <w:lang w:val="el-GR"/>
        </w:rPr>
        <w:t>CLI:EU:C:2024:726.</w:t>
      </w:r>
    </w:p>
  </w:footnote>
  <w:footnote w:id="6">
    <w:p w14:paraId="5FFF5453" w14:textId="77777777" w:rsidR="00DD4327" w:rsidRPr="00B26674" w:rsidRDefault="00DD4327" w:rsidP="00B26674">
      <w:pPr>
        <w:pStyle w:val="FootnoteText"/>
        <w:spacing w:line="240" w:lineRule="auto"/>
        <w:ind w:left="567" w:hanging="567"/>
        <w:rPr>
          <w:sz w:val="24"/>
          <w:lang w:val="el-GR"/>
        </w:rPr>
      </w:pPr>
      <w:r w:rsidRPr="00B26674">
        <w:rPr>
          <w:rStyle w:val="FootnoteReference"/>
          <w:sz w:val="24"/>
          <w:lang w:val="el-GR"/>
        </w:rPr>
        <w:footnoteRef/>
      </w:r>
      <w:r w:rsidR="001C6715" w:rsidRPr="00B26674">
        <w:rPr>
          <w:sz w:val="24"/>
          <w:lang w:val="el-GR"/>
        </w:rPr>
        <w:t xml:space="preserve"> </w:t>
      </w:r>
      <w:r w:rsidR="001C6715" w:rsidRPr="00B26674">
        <w:rPr>
          <w:sz w:val="24"/>
          <w:lang w:val="el-GR"/>
        </w:rPr>
        <w:tab/>
      </w:r>
      <w:r w:rsidRPr="00B26674">
        <w:rPr>
          <w:sz w:val="24"/>
          <w:lang w:val="el-GR"/>
        </w:rPr>
        <w:t xml:space="preserve">Ειδική έκθεση του Ευρωπαϊκού Ελεγκτικού Συνεδρίου: «Ψηφιακές πληρωμές στην ΕΕ – Πρόοδος προς ασφαλέστερες, ταχύτερες και φθηνότερες πληρωμές, παρά τα εναπομένοντα κενά», 9 Ιανουαρίου 2025, </w:t>
      </w:r>
      <w:hyperlink r:id="rId3" w:history="1">
        <w:r w:rsidRPr="00B26674">
          <w:rPr>
            <w:rStyle w:val="Hyperlink"/>
            <w:sz w:val="24"/>
            <w:lang w:val="el-GR"/>
          </w:rPr>
          <w:t>https://www.eca.europa.eu/ECAPublications/SR-2025-01/SR-2025-01_EL.pdf</w:t>
        </w:r>
      </w:hyperlink>
      <w:r w:rsidRPr="00B2667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522F0" w14:textId="77777777" w:rsidR="00064002" w:rsidRPr="001C671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88255" w14:textId="77777777" w:rsidR="00064002" w:rsidRPr="001C671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C3D54" w14:textId="77777777" w:rsidR="00064002" w:rsidRPr="001C67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C8551A2"/>
    <w:multiLevelType w:val="hybridMultilevel"/>
    <w:tmpl w:val="D2AC9C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FB6D48"/>
    <w:multiLevelType w:val="hybridMultilevel"/>
    <w:tmpl w:val="552CCE00"/>
    <w:lvl w:ilvl="0" w:tplc="D94E22F4">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7B33884"/>
    <w:multiLevelType w:val="hybridMultilevel"/>
    <w:tmpl w:val="D7EE857C"/>
    <w:lvl w:ilvl="0" w:tplc="D94E22F4">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A10E42"/>
    <w:multiLevelType w:val="hybridMultilevel"/>
    <w:tmpl w:val="A0E0324A"/>
    <w:lvl w:ilvl="0" w:tplc="D94E22F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0597F5A"/>
    <w:multiLevelType w:val="hybridMultilevel"/>
    <w:tmpl w:val="D798666C"/>
    <w:lvl w:ilvl="0" w:tplc="D94E22F4">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6498121">
    <w:abstractNumId w:val="9"/>
  </w:num>
  <w:num w:numId="2" w16cid:durableId="355155137">
    <w:abstractNumId w:val="9"/>
  </w:num>
  <w:num w:numId="3" w16cid:durableId="1559440646">
    <w:abstractNumId w:val="7"/>
  </w:num>
  <w:num w:numId="4" w16cid:durableId="1210649209">
    <w:abstractNumId w:val="7"/>
  </w:num>
  <w:num w:numId="5" w16cid:durableId="312175028">
    <w:abstractNumId w:val="6"/>
  </w:num>
  <w:num w:numId="6" w16cid:durableId="66807210">
    <w:abstractNumId w:val="6"/>
  </w:num>
  <w:num w:numId="7" w16cid:durableId="1216233212">
    <w:abstractNumId w:val="5"/>
  </w:num>
  <w:num w:numId="8" w16cid:durableId="804086610">
    <w:abstractNumId w:val="5"/>
  </w:num>
  <w:num w:numId="9" w16cid:durableId="963384807">
    <w:abstractNumId w:val="4"/>
  </w:num>
  <w:num w:numId="10" w16cid:durableId="961112005">
    <w:abstractNumId w:val="4"/>
  </w:num>
  <w:num w:numId="11" w16cid:durableId="2052529986">
    <w:abstractNumId w:val="8"/>
  </w:num>
  <w:num w:numId="12" w16cid:durableId="1691294811">
    <w:abstractNumId w:val="8"/>
  </w:num>
  <w:num w:numId="13" w16cid:durableId="1288118982">
    <w:abstractNumId w:val="3"/>
  </w:num>
  <w:num w:numId="14" w16cid:durableId="449394475">
    <w:abstractNumId w:val="3"/>
  </w:num>
  <w:num w:numId="15" w16cid:durableId="1059014225">
    <w:abstractNumId w:val="2"/>
  </w:num>
  <w:num w:numId="16" w16cid:durableId="1668434914">
    <w:abstractNumId w:val="2"/>
  </w:num>
  <w:num w:numId="17" w16cid:durableId="1096176105">
    <w:abstractNumId w:val="1"/>
  </w:num>
  <w:num w:numId="18" w16cid:durableId="1445881082">
    <w:abstractNumId w:val="1"/>
  </w:num>
  <w:num w:numId="19" w16cid:durableId="1437601141">
    <w:abstractNumId w:val="0"/>
  </w:num>
  <w:num w:numId="20" w16cid:durableId="631448189">
    <w:abstractNumId w:val="0"/>
  </w:num>
  <w:num w:numId="21" w16cid:durableId="2138521887">
    <w:abstractNumId w:val="9"/>
  </w:num>
  <w:num w:numId="22" w16cid:durableId="1876311011">
    <w:abstractNumId w:val="7"/>
  </w:num>
  <w:num w:numId="23" w16cid:durableId="1897625382">
    <w:abstractNumId w:val="6"/>
  </w:num>
  <w:num w:numId="24" w16cid:durableId="1966816347">
    <w:abstractNumId w:val="5"/>
  </w:num>
  <w:num w:numId="25" w16cid:durableId="973635370">
    <w:abstractNumId w:val="4"/>
  </w:num>
  <w:num w:numId="26" w16cid:durableId="886795374">
    <w:abstractNumId w:val="8"/>
  </w:num>
  <w:num w:numId="27" w16cid:durableId="2000965462">
    <w:abstractNumId w:val="3"/>
  </w:num>
  <w:num w:numId="28" w16cid:durableId="207496978">
    <w:abstractNumId w:val="2"/>
  </w:num>
  <w:num w:numId="29" w16cid:durableId="1888223897">
    <w:abstractNumId w:val="1"/>
  </w:num>
  <w:num w:numId="30" w16cid:durableId="1159811177">
    <w:abstractNumId w:val="0"/>
  </w:num>
  <w:num w:numId="31" w16cid:durableId="1555192220">
    <w:abstractNumId w:val="9"/>
  </w:num>
  <w:num w:numId="32" w16cid:durableId="1609727732">
    <w:abstractNumId w:val="7"/>
  </w:num>
  <w:num w:numId="33" w16cid:durableId="2140341345">
    <w:abstractNumId w:val="6"/>
  </w:num>
  <w:num w:numId="34" w16cid:durableId="2072577353">
    <w:abstractNumId w:val="5"/>
  </w:num>
  <w:num w:numId="35" w16cid:durableId="1783378471">
    <w:abstractNumId w:val="4"/>
  </w:num>
  <w:num w:numId="36" w16cid:durableId="1600289529">
    <w:abstractNumId w:val="8"/>
  </w:num>
  <w:num w:numId="37" w16cid:durableId="2038505492">
    <w:abstractNumId w:val="3"/>
  </w:num>
  <w:num w:numId="38" w16cid:durableId="882209078">
    <w:abstractNumId w:val="2"/>
  </w:num>
  <w:num w:numId="39" w16cid:durableId="1348631614">
    <w:abstractNumId w:val="1"/>
  </w:num>
  <w:num w:numId="40" w16cid:durableId="1842623635">
    <w:abstractNumId w:val="0"/>
  </w:num>
  <w:num w:numId="41" w16cid:durableId="727069156">
    <w:abstractNumId w:val="10"/>
  </w:num>
  <w:num w:numId="42" w16cid:durableId="1502355375">
    <w:abstractNumId w:val="10"/>
  </w:num>
  <w:num w:numId="43" w16cid:durableId="2067413659">
    <w:abstractNumId w:val="10"/>
  </w:num>
  <w:num w:numId="44" w16cid:durableId="1300839977">
    <w:abstractNumId w:val="13"/>
  </w:num>
  <w:num w:numId="45" w16cid:durableId="325132068">
    <w:abstractNumId w:val="11"/>
  </w:num>
  <w:num w:numId="46" w16cid:durableId="1445953040">
    <w:abstractNumId w:val="15"/>
  </w:num>
  <w:num w:numId="47" w16cid:durableId="1763526613">
    <w:abstractNumId w:val="12"/>
  </w:num>
  <w:num w:numId="48" w16cid:durableId="555624418">
    <w:abstractNumId w:val="16"/>
  </w:num>
  <w:num w:numId="49" w16cid:durableId="20987493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1/2025"/>
    <w:docVar w:name="dvlangue" w:val="EL"/>
    <w:docVar w:name="dvnumam" w:val="0"/>
    <w:docVar w:name="dvpe" w:val="765.240"/>
    <w:docVar w:name="dvrapporteur" w:val="Εισηγήτρια: "/>
    <w:docVar w:name="dvtitre" w:val="Ψήφισμα του Ευρωπαϊκού Κοινοβουλίου σχετικά με την πολιτική ανταγωνισμού – ετήσια έκθεση 2024(2024/2079(INI))"/>
  </w:docVars>
  <w:rsids>
    <w:rsidRoot w:val="00573380"/>
    <w:rsid w:val="00002272"/>
    <w:rsid w:val="00064002"/>
    <w:rsid w:val="000677B9"/>
    <w:rsid w:val="000831BA"/>
    <w:rsid w:val="000A42CC"/>
    <w:rsid w:val="000E7DD9"/>
    <w:rsid w:val="0010095E"/>
    <w:rsid w:val="00125B37"/>
    <w:rsid w:val="00187494"/>
    <w:rsid w:val="001C671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EE3"/>
    <w:rsid w:val="0050519A"/>
    <w:rsid w:val="005072A1"/>
    <w:rsid w:val="00514517"/>
    <w:rsid w:val="00545827"/>
    <w:rsid w:val="00560270"/>
    <w:rsid w:val="00573380"/>
    <w:rsid w:val="005C2568"/>
    <w:rsid w:val="005F1B17"/>
    <w:rsid w:val="006037C0"/>
    <w:rsid w:val="006631B6"/>
    <w:rsid w:val="00680577"/>
    <w:rsid w:val="006C638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B10"/>
    <w:rsid w:val="009509D8"/>
    <w:rsid w:val="00950B64"/>
    <w:rsid w:val="00981893"/>
    <w:rsid w:val="00A1687D"/>
    <w:rsid w:val="00A43E52"/>
    <w:rsid w:val="00A4678D"/>
    <w:rsid w:val="00A778C7"/>
    <w:rsid w:val="00AB441E"/>
    <w:rsid w:val="00AB6293"/>
    <w:rsid w:val="00AE0928"/>
    <w:rsid w:val="00AF3B82"/>
    <w:rsid w:val="00B12E95"/>
    <w:rsid w:val="00B22876"/>
    <w:rsid w:val="00B2667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753"/>
    <w:rsid w:val="00DD4327"/>
    <w:rsid w:val="00DF4E1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8310E"/>
  <w15:chartTrackingRefBased/>
  <w15:docId w15:val="{58CAD571-028D-44A5-9B3C-FF98C2C56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D4327"/>
    <w:pPr>
      <w:spacing w:before="480" w:after="240"/>
    </w:pPr>
    <w:rPr>
      <w:snapToGrid w:val="0"/>
      <w:lang w:eastAsia="en-US"/>
    </w:rPr>
  </w:style>
  <w:style w:type="paragraph" w:customStyle="1" w:styleId="NormalBold">
    <w:name w:val="NormalBold"/>
    <w:basedOn w:val="Normal"/>
    <w:rsid w:val="00DD4327"/>
    <w:rPr>
      <w:b/>
      <w:snapToGrid w:val="0"/>
      <w:lang w:eastAsia="en-US"/>
    </w:rPr>
  </w:style>
  <w:style w:type="paragraph" w:customStyle="1" w:styleId="NormalHanging12a">
    <w:name w:val="NormalHanging12a"/>
    <w:basedOn w:val="Normal"/>
    <w:rsid w:val="00DD4327"/>
    <w:pPr>
      <w:widowControl/>
      <w:spacing w:after="240"/>
      <w:ind w:left="567" w:hanging="567"/>
    </w:pPr>
    <w:rPr>
      <w:snapToGrid w:val="0"/>
      <w:lang w:eastAsia="en-US"/>
    </w:rPr>
  </w:style>
  <w:style w:type="paragraph" w:customStyle="1" w:styleId="NormalCenter12a">
    <w:name w:val="NormalCenter12a"/>
    <w:basedOn w:val="Normal"/>
    <w:rsid w:val="00DD4327"/>
    <w:pPr>
      <w:spacing w:after="240"/>
      <w:jc w:val="center"/>
    </w:pPr>
  </w:style>
  <w:style w:type="character" w:customStyle="1" w:styleId="BoldItalic">
    <w:name w:val="BoldItalic"/>
    <w:uiPriority w:val="1"/>
    <w:rsid w:val="00DD4327"/>
    <w:rPr>
      <w:b/>
      <w:i/>
      <w:u w:val="none"/>
    </w:rPr>
  </w:style>
  <w:style w:type="character" w:customStyle="1" w:styleId="Italic">
    <w:name w:val="Italic"/>
    <w:uiPriority w:val="1"/>
    <w:rsid w:val="00DD4327"/>
    <w:rPr>
      <w:i/>
    </w:rPr>
  </w:style>
  <w:style w:type="paragraph" w:customStyle="1" w:styleId="Normal12a24b">
    <w:name w:val="Normal12a24b"/>
    <w:basedOn w:val="Normal"/>
    <w:rsid w:val="00DD4327"/>
    <w:pPr>
      <w:spacing w:before="360" w:after="240"/>
    </w:pPr>
    <w:rPr>
      <w:snapToGrid w:val="0"/>
      <w:lang w:eastAsia="en-US"/>
    </w:rPr>
  </w:style>
  <w:style w:type="character" w:styleId="Hyperlink">
    <w:name w:val="Hyperlink"/>
    <w:basedOn w:val="DefaultParagraphFont"/>
    <w:rsid w:val="00DD4327"/>
    <w:rPr>
      <w:color w:val="0000FF"/>
      <w:u w:val="single"/>
    </w:rPr>
  </w:style>
  <w:style w:type="paragraph" w:styleId="BalloonText">
    <w:name w:val="Balloon Text"/>
    <w:basedOn w:val="Normal"/>
    <w:link w:val="BalloonTextChar"/>
    <w:rsid w:val="00B26674"/>
    <w:rPr>
      <w:rFonts w:ascii="Segoe UI" w:hAnsi="Segoe UI" w:cs="Segoe UI"/>
      <w:sz w:val="18"/>
      <w:szCs w:val="18"/>
    </w:rPr>
  </w:style>
  <w:style w:type="character" w:customStyle="1" w:styleId="BalloonTextChar">
    <w:name w:val="Balloon Text Char"/>
    <w:basedOn w:val="DefaultParagraphFont"/>
    <w:link w:val="BalloonText"/>
    <w:rsid w:val="00B2667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EL.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EL/TXT/?uri=CELEX:32004R0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A4867-A5B0-4F6F-BA94-98F95F3DB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5345</Words>
  <Characters>30469</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STEFOS Stefanos</cp:lastModifiedBy>
  <cp:revision>2</cp:revision>
  <cp:lastPrinted>2004-11-19T15:42:00Z</cp:lastPrinted>
  <dcterms:created xsi:type="dcterms:W3CDTF">2025-06-12T14:24:00Z</dcterms:created>
  <dcterms:modified xsi:type="dcterms:W3CDTF">2025-06-12T14:24:00Z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A10-0071/2025</vt:lpwstr>
  </property>
  <property fmtid="{D5CDD505-2E9C-101B-9397-08002B2CF9AE}" pid="4" name="&lt;Type&gt;">
    <vt:lpwstr>RR</vt:lpwstr>
  </property>
</Properties>
</file>