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1D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1D2A" w:rsidRDefault="003D1547" w:rsidP="0010095E">
            <w:pPr>
              <w:pStyle w:val="EPName"/>
            </w:pPr>
            <w:r w:rsidRPr="00041D2A">
              <w:t>Európai Parlament</w:t>
            </w:r>
          </w:p>
          <w:p w:rsidR="00751A4A" w:rsidRPr="00041D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1D2A">
              <w:t>2024</w:t>
            </w:r>
            <w:r w:rsidR="00817416" w:rsidRPr="00041D2A">
              <w:t>-202</w:t>
            </w:r>
            <w:r w:rsidRPr="00041D2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41D2A" w:rsidRDefault="00187494" w:rsidP="0010095E">
            <w:pPr>
              <w:pStyle w:val="EPLogo"/>
            </w:pPr>
            <w:r w:rsidRPr="00041D2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1D2A" w:rsidRDefault="00D058B8" w:rsidP="004C5D52">
      <w:pPr>
        <w:pStyle w:val="LineTop"/>
      </w:pPr>
    </w:p>
    <w:p w:rsidR="00680577" w:rsidRPr="00041D2A" w:rsidRDefault="003D1547" w:rsidP="00680577">
      <w:pPr>
        <w:pStyle w:val="EPBodyTA1"/>
      </w:pPr>
      <w:r w:rsidRPr="00041D2A">
        <w:t>ELFOGADOTT SZÖVEGEK</w:t>
      </w:r>
    </w:p>
    <w:p w:rsidR="00D058B8" w:rsidRPr="00041D2A" w:rsidRDefault="00D058B8" w:rsidP="00D058B8">
      <w:pPr>
        <w:pStyle w:val="LineBottom"/>
      </w:pPr>
    </w:p>
    <w:p w:rsidR="003D1547" w:rsidRPr="00041D2A" w:rsidRDefault="003D1547" w:rsidP="003D1547">
      <w:pPr>
        <w:pStyle w:val="ATHeading1"/>
      </w:pPr>
      <w:bookmarkStart w:id="0" w:name="TANumber"/>
      <w:r w:rsidRPr="00041D2A">
        <w:t>P10_</w:t>
      </w:r>
      <w:proofErr w:type="gramStart"/>
      <w:r w:rsidRPr="00041D2A">
        <w:t>TA(</w:t>
      </w:r>
      <w:proofErr w:type="gramEnd"/>
      <w:r w:rsidRPr="00041D2A">
        <w:t>2025)0</w:t>
      </w:r>
      <w:r w:rsidR="00041D2A">
        <w:t>104</w:t>
      </w:r>
      <w:bookmarkEnd w:id="0"/>
    </w:p>
    <w:p w:rsidR="003D1547" w:rsidRPr="00041D2A" w:rsidRDefault="00385647" w:rsidP="003D1547">
      <w:pPr>
        <w:pStyle w:val="ATHeading2"/>
      </w:pPr>
      <w:bookmarkStart w:id="1" w:name="title"/>
      <w:r w:rsidRPr="00041D2A">
        <w:rPr>
          <w:bCs/>
        </w:rPr>
        <w:t>Versenypolitika – 2024. évi éves jelentés</w:t>
      </w:r>
      <w:bookmarkEnd w:id="1"/>
    </w:p>
    <w:p w:rsidR="003D1547" w:rsidRPr="00041D2A" w:rsidRDefault="003D1547" w:rsidP="003D1547">
      <w:pPr>
        <w:rPr>
          <w:i/>
          <w:vanish/>
        </w:rPr>
      </w:pPr>
      <w:r w:rsidRPr="00041D2A">
        <w:rPr>
          <w:i/>
        </w:rPr>
        <w:fldChar w:fldCharType="begin"/>
      </w:r>
      <w:r w:rsidRPr="00041D2A">
        <w:rPr>
          <w:i/>
        </w:rPr>
        <w:instrText xml:space="preserve"> TC"(</w:instrText>
      </w:r>
      <w:bookmarkStart w:id="2" w:name="DocNumber"/>
      <w:r w:rsidRPr="00041D2A">
        <w:rPr>
          <w:i/>
        </w:rPr>
        <w:instrText>A10-0071/2025</w:instrText>
      </w:r>
      <w:bookmarkEnd w:id="2"/>
      <w:r w:rsidRPr="00041D2A">
        <w:rPr>
          <w:i/>
        </w:rPr>
        <w:instrText xml:space="preserve"> - Előadó: Lara Wolters)"\l3 \n&gt; \* MERGEFORMAT </w:instrText>
      </w:r>
      <w:r w:rsidRPr="00041D2A">
        <w:rPr>
          <w:i/>
        </w:rPr>
        <w:fldChar w:fldCharType="end"/>
      </w:r>
    </w:p>
    <w:p w:rsidR="003D1547" w:rsidRPr="00041D2A" w:rsidRDefault="003D1547" w:rsidP="003D1547">
      <w:pPr>
        <w:rPr>
          <w:vanish/>
        </w:rPr>
      </w:pPr>
      <w:bookmarkStart w:id="3" w:name="Commission"/>
      <w:r w:rsidRPr="00041D2A">
        <w:rPr>
          <w:vanish/>
        </w:rPr>
        <w:t>Gazdasági és Monetáris Bizottság</w:t>
      </w:r>
      <w:bookmarkEnd w:id="3"/>
    </w:p>
    <w:p w:rsidR="003D1547" w:rsidRPr="00041D2A" w:rsidRDefault="003D1547" w:rsidP="003D1547">
      <w:pPr>
        <w:rPr>
          <w:vanish/>
        </w:rPr>
      </w:pPr>
      <w:bookmarkStart w:id="4" w:name="PE"/>
      <w:r w:rsidRPr="00041D2A">
        <w:rPr>
          <w:vanish/>
        </w:rPr>
        <w:t>PE765.240</w:t>
      </w:r>
      <w:bookmarkEnd w:id="4"/>
    </w:p>
    <w:p w:rsidR="003D1547" w:rsidRPr="00041D2A" w:rsidRDefault="003D1547" w:rsidP="003D1547">
      <w:pPr>
        <w:pStyle w:val="ATHeading3"/>
      </w:pPr>
      <w:bookmarkStart w:id="5" w:name="Sujet"/>
      <w:r w:rsidRPr="00041D2A">
        <w:t xml:space="preserve">Az Európai Parlament 2025. </w:t>
      </w:r>
      <w:r w:rsidR="00385647" w:rsidRPr="00041D2A">
        <w:t xml:space="preserve">május </w:t>
      </w:r>
      <w:r w:rsidR="00041D2A">
        <w:t>8</w:t>
      </w:r>
      <w:r w:rsidRPr="00041D2A">
        <w:t>-i állásfoglalása a versenypolitikáról – 2024. évi éves jelentés</w:t>
      </w:r>
      <w:bookmarkEnd w:id="5"/>
      <w:r w:rsidRPr="00041D2A">
        <w:t xml:space="preserve"> </w:t>
      </w:r>
      <w:bookmarkStart w:id="6" w:name="References"/>
      <w:r w:rsidRPr="00041D2A">
        <w:t>(2024/</w:t>
      </w:r>
      <w:proofErr w:type="gramStart"/>
      <w:r w:rsidRPr="00041D2A">
        <w:t>2079(</w:t>
      </w:r>
      <w:proofErr w:type="gramEnd"/>
      <w:r w:rsidRPr="00041D2A">
        <w:t>INI))</w:t>
      </w:r>
      <w:bookmarkEnd w:id="6"/>
    </w:p>
    <w:p w:rsidR="00F944F3" w:rsidRPr="00041D2A" w:rsidRDefault="00F944F3" w:rsidP="00041D2A">
      <w:pPr>
        <w:pStyle w:val="EPComma"/>
        <w:widowControl/>
        <w:spacing w:before="360"/>
        <w:ind w:left="567" w:hanging="567"/>
      </w:pPr>
      <w:r w:rsidRPr="00041D2A">
        <w:rPr>
          <w:rStyle w:val="Italic"/>
        </w:rPr>
        <w:t>Az Európai Parlament,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>tekintettel az Európai Unió működéséről szóló szerződésre (EUMSZ), és különösen annak 101–109. cikkére,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>tekintettel Ursula von der Leyen „Európa választása – Politikai iránymutatás a hivatalba lépő következő Európai Bizottság számára (2024–2029)” című 2024. július 18-i kiadványára,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>tekintettel Mario Draghi „Az európai versenyképesség jövője” című, 2024. szeptember 9-i jelentésére,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>tekintettel Enrico Letta „Jóval több,</w:t>
      </w:r>
      <w:r w:rsidR="008F3645">
        <w:t xml:space="preserve"> mint piac” című, 2024. április</w:t>
      </w:r>
      <w:bookmarkStart w:id="7" w:name="_GoBack"/>
      <w:bookmarkEnd w:id="7"/>
      <w:r w:rsidRPr="00041D2A">
        <w:t xml:space="preserve"> 18-i jelentésére,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>tekintettel az Európai Számvevőszék „Állami támogatás válság idején: Gyorsan sor került válaszintézkedésekre, de hiányosságok vannak a bizottsági nyomon követésben, és az Unió iparpolitikai célkitűzéseit nem támogatja egységes keretrendszer” című, 2024. október 23-i 21/2024. sz. különjelentésére,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>tekintettel a vállalkozások közötti összefonódások ellenőrzéséről szóló, 2004. január 20-i 139/2004/EK tanácsi rendeletre</w:t>
      </w:r>
      <w:r w:rsidRPr="00041D2A">
        <w:rPr>
          <w:rStyle w:val="FootnoteReference"/>
        </w:rPr>
        <w:footnoteReference w:id="1"/>
      </w:r>
      <w:r w:rsidRPr="00041D2A">
        <w:t xml:space="preserve"> (az EK összefonódás-ellenőrzési rendelete),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rPr>
          <w:b/>
        </w:rPr>
        <w:t>–</w:t>
      </w:r>
      <w:r w:rsidRPr="00041D2A">
        <w:tab/>
        <w:t>tekintettel az EUMSZ 11. cikkére, amely előírja a környezetvédelmi követelmények beillesztését – a fenntartható fejlődés előmozdítása céljából – valamennyi uniós politika és tevékenység meghatározásába és végrehajtásába,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 xml:space="preserve">tekintettel a 2030-ig tartó időszakra szóló általános uniós környezetvédelmi cselekvési programról szóló, 2022. április 6-i (EU) 2022/591 európai parlamenti és tanácsi </w:t>
      </w:r>
      <w:r w:rsidRPr="00041D2A">
        <w:lastRenderedPageBreak/>
        <w:t>határozat</w:t>
      </w:r>
      <w:r w:rsidRPr="00041D2A">
        <w:rPr>
          <w:rStyle w:val="FootnoteReference"/>
        </w:rPr>
        <w:footnoteReference w:id="2"/>
      </w:r>
      <w:r w:rsidRPr="00041D2A">
        <w:t xml:space="preserve"> 3. cikkére, amely előírja, hogy haladéktalanul ki kell vezetni a környezeti szempontból káros támogatásokat, különösen a fosszilis tüzelőanyagok támogatását,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>tekintettel az Európai Unió Bíróságának a C‐611/22 P. sz. ügyben (</w:t>
      </w:r>
      <w:r w:rsidRPr="00041D2A">
        <w:rPr>
          <w:rStyle w:val="Italic"/>
          <w:i w:val="0"/>
        </w:rPr>
        <w:t>Illumina kontra Bizottság</w:t>
      </w:r>
      <w:r w:rsidRPr="00041D2A">
        <w:rPr>
          <w:rStyle w:val="FootnoteReference"/>
        </w:rPr>
        <w:footnoteReference w:id="3"/>
      </w:r>
      <w:r w:rsidRPr="00041D2A">
        <w:t>) hozott 2024. szeptember 3-i, a C‐465/20 P. sz. ügyben (</w:t>
      </w:r>
      <w:r w:rsidRPr="00041D2A">
        <w:rPr>
          <w:rStyle w:val="Italic"/>
          <w:i w:val="0"/>
        </w:rPr>
        <w:t>Európai Bizottság kontra Írország és társai</w:t>
      </w:r>
      <w:r w:rsidRPr="00041D2A">
        <w:rPr>
          <w:rStyle w:val="FootnoteReference"/>
        </w:rPr>
        <w:footnoteReference w:id="4"/>
      </w:r>
      <w:r w:rsidRPr="00041D2A">
        <w:t>) hozott 2024. szeptember 10-i és a C‐48/22 P. sz. ügyben (</w:t>
      </w:r>
      <w:r w:rsidRPr="00041D2A">
        <w:rPr>
          <w:rStyle w:val="Italic"/>
          <w:i w:val="0"/>
        </w:rPr>
        <w:t>Google és Alphabet kontra Bizottság</w:t>
      </w:r>
      <w:r w:rsidRPr="00041D2A">
        <w:rPr>
          <w:rStyle w:val="FootnoteReference"/>
        </w:rPr>
        <w:footnoteReference w:id="5"/>
      </w:r>
      <w:r w:rsidRPr="00041D2A">
        <w:t>) hozott 2024. szeptember 10-i ítéleteire,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>tekintettel a Bizottság „Protecting competition in a changing world – Evidence on the evolution of competition in the EU during the past 25 years” [</w:t>
      </w:r>
      <w:proofErr w:type="gramStart"/>
      <w:r w:rsidRPr="00041D2A">
        <w:t>A</w:t>
      </w:r>
      <w:proofErr w:type="gramEnd"/>
      <w:r w:rsidRPr="00041D2A">
        <w:t xml:space="preserve"> verseny védelme a változó világban – A verseny alakulásának bizonyítékai az EU-ban az elmúlt 25 évben] című, 2024. júniusi jelentésére,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t>–</w:t>
      </w:r>
      <w:r w:rsidRPr="00041D2A">
        <w:tab/>
        <w:t>tekintettel a „The role of commodity traders in shaping agricultural markets” [Az árutőzsdei kereskedők szerepe a mezőgazdasági piacok alakulásában] című, a Strukturális és Kohéziós Politikák Tematikus Főosztálya által 2024 novemberében közzétett tanulmányra,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>tekintettel az Európai Értékpapírpiaci Hatóság „</w:t>
      </w:r>
      <w:proofErr w:type="gramStart"/>
      <w:r w:rsidRPr="00041D2A">
        <w:t>A</w:t>
      </w:r>
      <w:proofErr w:type="gramEnd"/>
      <w:r w:rsidRPr="00041D2A">
        <w:t xml:space="preserve"> hitelminősítő intézetek piaci részesedéséről szóló 2023. évi jelentés” című, 2023. december 20-i jelentésére,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>tekintettel eljárási szabályzata 55. cikkére,</w:t>
      </w:r>
    </w:p>
    <w:p w:rsidR="00F944F3" w:rsidRPr="00041D2A" w:rsidRDefault="00F944F3" w:rsidP="00422821">
      <w:pPr>
        <w:pStyle w:val="NormalHanging12a"/>
      </w:pPr>
      <w:r w:rsidRPr="00041D2A">
        <w:t>–</w:t>
      </w:r>
      <w:r w:rsidRPr="00041D2A">
        <w:tab/>
        <w:t>tekintettel a Gazdasági és Monetáris Bizottság jelentésére (A10-0071/2025),</w:t>
      </w:r>
    </w:p>
    <w:p w:rsidR="00F944F3" w:rsidRPr="00041D2A" w:rsidRDefault="00F944F3" w:rsidP="00422821">
      <w:pPr>
        <w:pStyle w:val="NormalHanging12a"/>
      </w:pPr>
      <w:r w:rsidRPr="00041D2A">
        <w:t>A.</w:t>
      </w:r>
      <w:r w:rsidRPr="00041D2A">
        <w:tab/>
        <w:t xml:space="preserve">mivel a jelenlegi kihívásokkal teli gazdasági, éghajlati és geopolitikai környezet, amelyet bizonytalanság és kiszámíthatatlanság jellemez, az európai versenyképesség megújult megközelítését és a gazdasági növekedés fellendítését célzó </w:t>
      </w:r>
      <w:proofErr w:type="gramStart"/>
      <w:r w:rsidRPr="00041D2A">
        <w:t>konkrét</w:t>
      </w:r>
      <w:proofErr w:type="gramEnd"/>
      <w:r w:rsidRPr="00041D2A">
        <w:t xml:space="preserve"> stratégiákat tesz szükségessé;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t>B.</w:t>
      </w:r>
      <w:r w:rsidRPr="00041D2A">
        <w:tab/>
        <w:t>mivel az uniós versenypolitikai keret megfelelő végrehajtása alacsonyabb árakat, jobb minőséget, a fogyasztók számára nagyobb választékot, gyorsabb innovációt, valamint méltányosabb és reziliensebb gazdaságot eredményez, és védi a belső piaci szereplők belépési feltételeit, fellépve az erőfölénnyel való visszaélések, a monopóliumok és a belső piacot torzító gyakorlatok ellen;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C.</w:t>
      </w:r>
      <w:r w:rsidRPr="00041D2A">
        <w:tab/>
        <w:t>mivel a Draghi-jelentés hangsúlyozza, hogy az EU széles körű és diverzifikált ipari innovációs bázissal rendelkezik, amely jelentős komparatív előnnyel bír a zöld technológiák terén, de folyamatos erőfeszítésekre van szükség ezen előny megőrzése érdekében; mivel e tekintetben alapvető fontosságú az éghajlati és környezetvédelmi szempontok beépítése a versenypolitikába; mivel a Letta-jelentés fenntartja, hogy Európa romló versenyképességének elsődleges oka a pénzügyi, az energia- és az elektronikus hírközlési ágazaton belüli uniós integráció hiányában keresendő;</w:t>
      </w:r>
      <w:proofErr w:type="gramEnd"/>
    </w:p>
    <w:p w:rsidR="00F944F3" w:rsidRPr="00041D2A" w:rsidRDefault="00F944F3" w:rsidP="00422821">
      <w:pPr>
        <w:pStyle w:val="NormalHanging12a"/>
      </w:pPr>
      <w:r w:rsidRPr="00041D2A">
        <w:lastRenderedPageBreak/>
        <w:t>D.</w:t>
      </w:r>
      <w:r w:rsidRPr="00041D2A">
        <w:tab/>
        <w:t>mivel az uniós versenypolitika hozzájárulhat a belső piac rezilienciájának megerősítéséhez, valamint az európai zöld megállapodás, a 2030-ig tartó időszakra vonatkozó digitális iránytű és a versenyképességi iránytű céljainak eléréséhez, amelyekhez elengedhetetlen a nemzetközi eszmecsere és együttműködés;</w:t>
      </w:r>
    </w:p>
    <w:p w:rsidR="00F944F3" w:rsidRPr="00041D2A" w:rsidRDefault="00F944F3" w:rsidP="00422821">
      <w:pPr>
        <w:pStyle w:val="NormalHanging12a"/>
      </w:pPr>
      <w:r w:rsidRPr="00041D2A">
        <w:t>E.</w:t>
      </w:r>
      <w:r w:rsidRPr="00041D2A">
        <w:tab/>
      </w:r>
      <w:proofErr w:type="gramStart"/>
      <w:r w:rsidRPr="00041D2A">
        <w:t>mivel</w:t>
      </w:r>
      <w:proofErr w:type="gramEnd"/>
      <w:r w:rsidRPr="00041D2A">
        <w:t xml:space="preserve"> a Bizottságnak és a nemzeti versenyhatóságoknak pártatlanul és tárgyilagosan kell eljárniuk az uniós versenypolitika hitelességének megőrzése érdekében; mivel a nemzeti versenyhatóságok politikai függetlensége rendkívül fontos a versenypolitika pártatlanságának és hitelességének biztosításához;</w:t>
      </w:r>
    </w:p>
    <w:p w:rsidR="00F944F3" w:rsidRPr="00041D2A" w:rsidRDefault="00F944F3" w:rsidP="00422821">
      <w:pPr>
        <w:pStyle w:val="Normal12a24b"/>
        <w:widowControl/>
        <w:spacing w:before="0"/>
        <w:ind w:left="567" w:hanging="567"/>
      </w:pPr>
      <w:r w:rsidRPr="00041D2A">
        <w:rPr>
          <w:rStyle w:val="BoldItalic"/>
        </w:rPr>
        <w:t>Általános szempontok</w:t>
      </w:r>
    </w:p>
    <w:p w:rsidR="00F944F3" w:rsidRPr="00041D2A" w:rsidRDefault="00F944F3" w:rsidP="00422821">
      <w:pPr>
        <w:pStyle w:val="NormalHanging12a"/>
      </w:pPr>
      <w:r w:rsidRPr="00041D2A">
        <w:t>1.</w:t>
      </w:r>
      <w:r w:rsidRPr="00041D2A">
        <w:tab/>
        <w:t>úgy véli, hogy az uniós versenyjog célja a piaci erők túlzott mértékű összefonódása és a felhalmozódása elleni védelem, és megerősíti a versenypolitika szerepét a hatékonyság, az innováció és a növekedés ösztönzésében, az egyenlő versenyfeltételek megteremtésében és a fogyasztók védelmében, biztosítva, hogy a piacok versenyképesek, hatékonyak, dinamikusak és innovatívak maradjanak, tisztességes áron és szélesebb választékkal magas minőségű termékeket és szolgáltatásokat kínálva;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2.</w:t>
      </w:r>
      <w:r w:rsidRPr="00041D2A">
        <w:tab/>
        <w:t>megismétli, hogy a versenypolitikának hozzá kell járulnia valamennyi uniós szakpolitikához, különösen a fenntarthatóság, az energia, a védelem és a digitalizáció területén; üdvözli a Bizottság elkötelezettségét a tisztaipar-megállapodást kísérő új állami támogatási keretrendszer mellett, amelynek célja a versenyképesség biztosítása az energetikai átálláshoz szükséges állami támogatás mozgósítása révén az uniós ipar dekarbonizációja érdekében, biztosítva ugyanakkor, hogy ez ne akadályozza az innovációt, ne növelje az árakat és ne csökkentse a versenyt a belső piacon; megismétli, hogy az állami</w:t>
      </w:r>
      <w:proofErr w:type="gramEnd"/>
      <w:r w:rsidRPr="00041D2A">
        <w:t xml:space="preserve"> </w:t>
      </w:r>
      <w:proofErr w:type="gramStart"/>
      <w:r w:rsidRPr="00041D2A">
        <w:t>támogatások</w:t>
      </w:r>
      <w:proofErr w:type="gramEnd"/>
      <w:r w:rsidRPr="00041D2A">
        <w:t xml:space="preserve"> nem torzíthatják a tisztességes és hatékony versenyt;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3.</w:t>
      </w:r>
      <w:r w:rsidRPr="00041D2A">
        <w:tab/>
        <w:t>hangsúlyozza, hogy az EU egységes piacának globális ereje és jelentősége nemcsak belső és külső versenyképességéből ered, hanem abból is, hogy képes közös normákat meghatározni és garantálni a területi kohéziót; megjegyzi, hogy ugyanakkor a politikai döntéshozóknak megfelelően figyelembe kell venniük a nemzetközi szabályozási és piaci fejleményeket, és felhívja a Bizottságot, hogy törekedjen a nemzetközi szintű folyamatos párbeszédre és együttműködésre, többek között a második generációs együttműködési megállapodások révén, amelyek lehetővé teszik a versenyhatóságok közötti hatékonyabb információcserét,</w:t>
      </w:r>
      <w:proofErr w:type="gramEnd"/>
      <w:r w:rsidRPr="00041D2A">
        <w:t xml:space="preserve"> valamint a versenypolitikára gyakorolt befolyás </w:t>
      </w:r>
      <w:proofErr w:type="gramStart"/>
      <w:r w:rsidRPr="00041D2A">
        <w:t>globális</w:t>
      </w:r>
      <w:proofErr w:type="gramEnd"/>
      <w:r w:rsidRPr="00041D2A">
        <w:t xml:space="preserve"> kialakítását; kiemeli az Európai Versenyhatóságok Hálózatának (ECN) jelentőségét, és felhívja a Bizottságot, hogy e tekintetben nemzetközi szinten helyezze előtérbe a folyamatos konstruktív párbeszédet és együttműködést; felszólít a nemzeti versenyhatóságok közötti koordinációra a versenyszabályok egységes alkalmazásának biztosítása érdekében, és hangsúlyozza a versenyjogi és más ágazati szabályozó szervek közötti fokozott együttműködés szükségességét;</w:t>
      </w:r>
    </w:p>
    <w:p w:rsidR="00F944F3" w:rsidRPr="00041D2A" w:rsidRDefault="00F944F3" w:rsidP="00422821">
      <w:pPr>
        <w:pStyle w:val="Normal12a24b"/>
        <w:widowControl/>
        <w:spacing w:before="0"/>
        <w:ind w:left="567" w:hanging="567"/>
      </w:pPr>
      <w:r w:rsidRPr="00041D2A">
        <w:rPr>
          <w:rStyle w:val="BoldItalic"/>
        </w:rPr>
        <w:t>Versenyképes Unió</w:t>
      </w:r>
    </w:p>
    <w:p w:rsidR="00F944F3" w:rsidRPr="00041D2A" w:rsidRDefault="00F944F3" w:rsidP="00422821">
      <w:pPr>
        <w:pStyle w:val="NormalHanging12a"/>
      </w:pPr>
      <w:r w:rsidRPr="00041D2A">
        <w:t>4.</w:t>
      </w:r>
      <w:r w:rsidRPr="00041D2A">
        <w:tab/>
        <w:t>támogatja a Bizottság elkötelezettségét a fenntartható versenyképességbe való beruházás mellett; üdvözli, hogy a Draghi-jelentés hangsúlyt fektet az innovációra, a beruházásokra, a piaci integrációra, a dekarbonizációra és a rezilienciára, és hogy a Letta-jelentés kiáll az integráció, az autonómia és a szolidaritás mellett; ösztönzi az innovációt, a versenyképességet, valamint a fenntartható és inkluzív növekedést előmozdító politikákat;</w:t>
      </w:r>
    </w:p>
    <w:p w:rsidR="00F944F3" w:rsidRPr="00041D2A" w:rsidRDefault="00F944F3" w:rsidP="00422821">
      <w:pPr>
        <w:pStyle w:val="NormalHanging12a"/>
      </w:pPr>
      <w:r w:rsidRPr="00041D2A">
        <w:lastRenderedPageBreak/>
        <w:t>5.</w:t>
      </w:r>
      <w:r w:rsidRPr="00041D2A">
        <w:tab/>
        <w:t>hangsúlyozza, hogy a versenyképesség fokozása érdekében összehangolt, célzott és valóban európai iparpolitikára van szükség; megjegyzi, hogy ez nem vezethet piaci erőfölényhez vagy piaci visszaéléshez, valamint az árak torzulásához vagy alacsony gazdasági hatékonysághoz, és rámutat arra, hogy hatékony összefonódás-ellenőrzési eljárásokra van szükség;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6.</w:t>
      </w:r>
      <w:r w:rsidRPr="00041D2A">
        <w:tab/>
        <w:t>úgy véli, hogy minden állami támogatásnak összhangban kell lennie az uniós szakpolitikai célkitűzésekkel; tudomásul veszi a Bizottság azon szándékát, hogy iránymutatást adjon az állami támogatások innovációs, éghajlati és gazdasági biztonsági megfontolásokkal való összeegyeztethetőségéről, valamint a tisztaipar-megállapodás keretében a fosszilis tüzelőanyagok támogatásának csökkentésére és fokozatos megszüntetésére irányuló intézkedéseit, és arra ösztönzi a tagállamokat, hogy fontolják meg további feltételek bevezetését az állami támogatások megszerzésére; kéri, hogy az EU-n kívüli országok</w:t>
      </w:r>
      <w:proofErr w:type="gramEnd"/>
      <w:r w:rsidRPr="00041D2A">
        <w:t xml:space="preserve"> </w:t>
      </w:r>
      <w:proofErr w:type="gramStart"/>
      <w:r w:rsidRPr="00041D2A">
        <w:t>adóparadicsomain</w:t>
      </w:r>
      <w:proofErr w:type="gramEnd"/>
      <w:r w:rsidRPr="00041D2A">
        <w:t xml:space="preserve"> keresztül szerveződő vállalatokat zárják ki az állami támogatásból; felkéri a Bizottságot, hogy vizsgálja ki a visszakövetelési mechanizmusok harmonizálásának hiányát;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7.</w:t>
      </w:r>
      <w:r w:rsidRPr="00041D2A">
        <w:tab/>
        <w:t>tudomásul veszi a Bizottság jelentését, amely szerint az elmúlt 25 évben nőtt a piaci koncentráció, a haszonkulcsok és a nyereség, miközben az ipar dinamizmusa a versenyjog aktív érvényesítése ellenére csökkent; tudomásul veszi továbbá, hogy a haszonkulcsok növekedését a piaci részesedés legnagyobb vállalkozások felé történő újraelosztása okozta; megjegyzi továbbá, hogy a gyenge verseny meglehetősen károsan hatott a fogyasztókra, a vásárlóerőre, valamint az uniós vállalkozások versenyképességére és az EU általános gazdasági növekedésére; emlékeztet arra, hogy a versenyjog alkalmazásakor a versenyellene</w:t>
      </w:r>
      <w:proofErr w:type="gramEnd"/>
      <w:r w:rsidRPr="00041D2A">
        <w:t xml:space="preserve">s </w:t>
      </w:r>
      <w:proofErr w:type="gramStart"/>
      <w:r w:rsidRPr="00041D2A">
        <w:t>gyakorlatoktól</w:t>
      </w:r>
      <w:proofErr w:type="gramEnd"/>
      <w:r w:rsidRPr="00041D2A">
        <w:t xml:space="preserve"> mentes, nyitott, versenyképes piacok biztosítására kell összpontosítani;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8.</w:t>
      </w:r>
      <w:r w:rsidRPr="00041D2A">
        <w:tab/>
        <w:t>rámutat arra, hogy az állami támogatásokat egyre gyakrabban használják fel iparpolitikai célkitűzések támogatására; emlékeztet arra, hogy az EUMSZ 107. cikke (3) bekezdésének c) pontja által lehetővé tett ilyen támogatás nem érintheti hátrányosan a kereskedelmi feltételeket vagy a közös érdeket; tudomásul veszi a tagállamok eltérő költségvetési képességeit, és figyelmeztet arra, hogy az állami támogatások széttöredezettsége egyenlőtlen versenyfeltételeket teremt; felhívja a Bizottságot, hogy kövesse nyomon ezeket a hatásokat, és biztosítsa az egységes piac integritását, ami az európai iparpolitika</w:t>
      </w:r>
      <w:proofErr w:type="gramEnd"/>
      <w:r w:rsidRPr="00041D2A">
        <w:t xml:space="preserve"> </w:t>
      </w:r>
      <w:proofErr w:type="gramStart"/>
      <w:r w:rsidRPr="00041D2A">
        <w:t>közös finanszírozási eszközén, például az Európai Versenyképességi Alapon keresztül valósítható meg, amint azt Ursula von der Leyen, a Bizottság elnöke politikai iránymutatásaiban javasolta; felhívja a Bizottságot és a tagállamokat, hogy ne folytassanak támogatási versenyt, ami csak súlyosbítja a piaci torzulásokat, különösen akkor, ha nem hatékony vállalkozásokat finanszíroznak; arra a következtetésre jut, hogy az ideiglenes állami támogatási keretrendszerek nem akadályozták meg a piac további széttöredezését, és megjegyzi, hogy a bejelentett állami támogatások 77%-át csak két tagállam nyújtotta;</w:t>
      </w:r>
      <w:proofErr w:type="gramEnd"/>
      <w:r w:rsidRPr="00041D2A">
        <w:t xml:space="preserve"> </w:t>
      </w:r>
      <w:proofErr w:type="gramStart"/>
      <w:r w:rsidRPr="00041D2A">
        <w:t>felszólít</w:t>
      </w:r>
      <w:proofErr w:type="gramEnd"/>
      <w:r w:rsidRPr="00041D2A">
        <w:t xml:space="preserve"> az állami támogatások bejelentésének szigorúbb nyomon követésére, valamint az állami támogatások bejelentésének és átláthatóságának javítására, összhangban az Európai Számvevőszék ajánlásaival;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t>9.</w:t>
      </w:r>
      <w:r w:rsidRPr="00041D2A">
        <w:rPr>
          <w:b/>
        </w:rPr>
        <w:tab/>
      </w:r>
      <w:r w:rsidRPr="00041D2A">
        <w:t xml:space="preserve">hangsúlyozza, hogy a közös európai érdeket szolgáló fontos projektek kiemelkedő szerepet töltenek be a határokon átnyúló dimenzióval rendelkező uniós projektek </w:t>
      </w:r>
      <w:proofErr w:type="gramStart"/>
      <w:r w:rsidRPr="00041D2A">
        <w:t>finanszírozása</w:t>
      </w:r>
      <w:proofErr w:type="gramEnd"/>
      <w:r w:rsidRPr="00041D2A">
        <w:t xml:space="preserve"> szempontjából; hangsúlyozza, hogy a közös európai érdeket szolgáló fontos projekteknek valódi uniós hozzáadott értékkel kell rendelkezniük, ami azt jelenti, hogy egynél több tagállamra kell pozitív hatást gyakorolniuk; annak biztosítására kéri a </w:t>
      </w:r>
      <w:r w:rsidRPr="00041D2A">
        <w:lastRenderedPageBreak/>
        <w:t>Bizottságot és a tagállamokat, hogy az állami támogatások bejelentése legkésőbb hat hónapon belül megtörténjen;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10.</w:t>
      </w:r>
      <w:r w:rsidRPr="00041D2A">
        <w:tab/>
        <w:t>tudomásul veszi a Draghi-jelentés becslését, amely szerint az EU versenyképességének védelme érdekében évente további 800 milliárd EUR-ra van szükség; elismeri az állami és magánberuházások fontosságát ebben az összefüggésben; hangsúlyozza, hogy az uniós költségvetést megfelelően fel kell vértezni erre a célra; fontosnak tartja a megtakarítási és beruházási unió kiteljesítését a magánberuházások mozgósítása, a belső piac széttöredezettségének kezelése és az uniós iparstratégia támogatása szempontjából; elismeri, hogy a Draghi-jelentésben felvázolt három cselekvési terület hatékony végrehajtása</w:t>
      </w:r>
      <w:proofErr w:type="gramEnd"/>
      <w:r w:rsidRPr="00041D2A">
        <w:t xml:space="preserve"> </w:t>
      </w:r>
      <w:proofErr w:type="gramStart"/>
      <w:r w:rsidRPr="00041D2A">
        <w:t>mellett</w:t>
      </w:r>
      <w:proofErr w:type="gramEnd"/>
      <w:r w:rsidRPr="00041D2A">
        <w:t xml:space="preserve"> sürgősen szükség van az alábbi reformokra: i. az USA-hoz és Kínához képest fennálló innovációs szakadék megszüntetése; ii. közös dekarbonizációs és versenyképességi terv az energetikai átállás felgyorsítása és az energiaköltségek csökkentése érdekében; valamint iii. a biztonság növelése és a függőségek csökkentése;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t>11.</w:t>
      </w:r>
      <w:r w:rsidRPr="00041D2A">
        <w:tab/>
        <w:t xml:space="preserve">üdvözli az európai piacok, valamint az európai vállalatok és munkavállalóik egyenlő versenyfeltételeinek védelmét, amelyet a torzító hatású külföldi állami támogatásokat </w:t>
      </w:r>
      <w:proofErr w:type="gramStart"/>
      <w:r w:rsidRPr="00041D2A">
        <w:t>korrigáló</w:t>
      </w:r>
      <w:proofErr w:type="gramEnd"/>
      <w:r w:rsidRPr="00041D2A">
        <w:t xml:space="preserve"> dömpingellenes intézkedések biztosítanak; felhívja a Bizottságot, hogy mielőbb használja fel a közbeszerzéssel és a külföldi támogatásokkal kapcsolatban rendelkezésre álló kereskedelmi eszközöket a tisztességtelen verseny megakadályozása érdekében a belső piacon;</w:t>
      </w:r>
    </w:p>
    <w:p w:rsidR="00F944F3" w:rsidRPr="00041D2A" w:rsidRDefault="00F944F3" w:rsidP="00422821">
      <w:pPr>
        <w:pStyle w:val="Normal12a24b"/>
        <w:widowControl/>
        <w:spacing w:before="0"/>
        <w:ind w:left="567" w:hanging="567"/>
      </w:pPr>
      <w:r w:rsidRPr="00041D2A">
        <w:rPr>
          <w:rStyle w:val="BoldItalic"/>
        </w:rPr>
        <w:t>Végrehajtási prioritások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t>12.</w:t>
      </w:r>
      <w:r w:rsidRPr="00041D2A">
        <w:tab/>
        <w:t>megállapítja, hogy az üzleti gyakorlatok megváltoztak, kiemelve a kartellügyek számának csökkenését; óva int azonban a káros magatartás olyan új formáitól, mint a hallgatólagos összejátszás és az algoritmikus összejátszás, és hangsúlyozza, hogy a végrehajtási prioritásokat e változó környezethez kell igazítani;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13.</w:t>
      </w:r>
      <w:r w:rsidRPr="00041D2A">
        <w:tab/>
        <w:t>tudomásul veszi a Draghi-jelentés „új versenyjogi eszközre” irányuló javaslatát, amely a versenyképesség növelése, az innováció ösztönzése és a kiszolgáltatott fogyasztók védelme érdekében rugalmas piacvizsgálati eszközként szolgál a versenyellenes megállapodásokból vagy erőfölénnyel való visszaélésből eredő strukturális versenyproblémák kezelésére, valamint az egész piacra kiterjedő, előretekintő strukturális vagy magatartási korrekciós intézkedések bevezetésére, többek között a versenytársak piacra lépése előtt álló akadályok csökkentése révén; felkéri a Bizottságot annak elemzésére, hogy</w:t>
      </w:r>
      <w:proofErr w:type="gramEnd"/>
      <w:r w:rsidRPr="00041D2A">
        <w:t xml:space="preserve"> </w:t>
      </w:r>
      <w:proofErr w:type="gramStart"/>
      <w:r w:rsidRPr="00041D2A">
        <w:t>ez</w:t>
      </w:r>
      <w:proofErr w:type="gramEnd"/>
      <w:r w:rsidRPr="00041D2A">
        <w:t xml:space="preserve"> az eszköz hogyan egészítené ki az ágazati vizsgálatok meglévő keretét;</w:t>
      </w:r>
    </w:p>
    <w:p w:rsidR="00F944F3" w:rsidRPr="00041D2A" w:rsidRDefault="00F944F3" w:rsidP="00422821">
      <w:pPr>
        <w:pStyle w:val="NormalHanging12a"/>
      </w:pPr>
      <w:r w:rsidRPr="00041D2A">
        <w:t>14.</w:t>
      </w:r>
      <w:r w:rsidRPr="00041D2A">
        <w:tab/>
        <w:t>emlékeztet arra, hogy a Szerződés értelmében a Bizottság felhatalmazással rendelkezik a kizsákmányoló jellegű visszaélések kezelésére;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15.</w:t>
      </w:r>
      <w:r w:rsidRPr="00041D2A">
        <w:tab/>
        <w:t>elismeri a piaci erőfölénnyel való visszaélés elleni strukturális korrekciós intézkedések jogalapjának meglétét; tudatában van annak, hogy az uniós versenyszabályok előírják, hogy a strukturális korrekciós intézkedéseket csak végső megoldásként szabad alkalmazni, ha a magatartási korrekciós intézkedések eredménytelennek bizonyultak, mindazonáltal sajnálatát fejezi ki amiatt, hogy a Bizottság nem hajlandó strukturális korrekciós intézkedésekkel kezelni a piaci erőfölényt; megismétli arra irányuló felhívását, hogy jobban használják ki a strukturális korrekciós intézkedéseket, és vessenek véget</w:t>
      </w:r>
      <w:proofErr w:type="gramEnd"/>
      <w:r w:rsidRPr="00041D2A">
        <w:t xml:space="preserve"> a magatartási </w:t>
      </w:r>
      <w:proofErr w:type="gramStart"/>
      <w:r w:rsidRPr="00041D2A">
        <w:t>korrekciós</w:t>
      </w:r>
      <w:proofErr w:type="gramEnd"/>
      <w:r w:rsidRPr="00041D2A">
        <w:t xml:space="preserve"> intézkedéseknek biztosított elsőbbségnek, és további erőfeszítések megtételére ösztönöz alkalmazásuk szükség szerinti </w:t>
      </w:r>
      <w:r w:rsidRPr="00041D2A">
        <w:lastRenderedPageBreak/>
        <w:t>megerősítésére; kéri a Bizottságot, hogy a versenyre nézve rendkívül ártalmas gyakorlatok megszüntetése érdekében használja ki jobban az ideiglenes intézkedések eszközét, különösen a dinamikus és gyorsan fejlődő piacokon, például a digitális piacokon;</w:t>
      </w:r>
    </w:p>
    <w:p w:rsidR="00F944F3" w:rsidRPr="00041D2A" w:rsidRDefault="00F944F3" w:rsidP="00422821">
      <w:pPr>
        <w:pStyle w:val="NormalHanging12a"/>
      </w:pPr>
      <w:r w:rsidRPr="00041D2A">
        <w:t>16.</w:t>
      </w:r>
      <w:r w:rsidRPr="00041D2A">
        <w:tab/>
        <w:t>üdvözli, hogy a Bizottság a 2024–2029-es időszakban prioritásként kezeli a lakhatást; felhívja a Bizottságot annak értékelésére, hogy az uniós versenyjogi elvek hogyan befolyásolják az általános gazdasági érdekű szolgáltatások nyújtását; felhívja a Bizottságot, hogy értékelje az általános érdekű szociális szolgáltatások helyzetét és a megfizethető lakhatást szolgáló általános gazdasági érdekű szolgáltatásokra vonatkozó mentesség lehetőségét;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 xml:space="preserve">17. </w:t>
      </w:r>
      <w:r w:rsidRPr="00041D2A">
        <w:tab/>
        <w:t>hangsúlyozza, hogy az állami támogatások fontos szerepet töltenek be az EU fejlettebb régiói és a szigeti területek, a belső területek, a legkülső régiók, a gazdaságilag hátrányos helyzetű területek közötti gazdasági szakadék megszüntetésének eszközeként; emlékeztet arra, hogy az általános gazdasági érdekű szolgáltatásokkal összefüggésben nyújtott állami támogatás lehetővé tétele továbbra is elengedhetetlen e területek túlélése szempontjából, különösen az összeköttetéssel és az egyéb alapvető szolgáltatások nyújtásával kapcsolatban az EU elszigetelt, távoli vagy peremterületein élő közösségeknek</w:t>
      </w:r>
      <w:proofErr w:type="gramEnd"/>
      <w:r w:rsidRPr="00041D2A">
        <w:t xml:space="preserve"> szánt állami támogatás vonatkozásában; felhívja a Bizottságot, hogy vizsgálja meg a további rugalmasság lehetőségeit e régiók </w:t>
      </w:r>
      <w:proofErr w:type="gramStart"/>
      <w:r w:rsidRPr="00041D2A">
        <w:t>finanszírozása</w:t>
      </w:r>
      <w:proofErr w:type="gramEnd"/>
      <w:r w:rsidRPr="00041D2A">
        <w:t xml:space="preserve"> vonatkozásában;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t>18.</w:t>
      </w:r>
      <w:r w:rsidRPr="00041D2A">
        <w:tab/>
        <w:t>tudomásul veszi az Európai Unió Bíróságának közelmúltbeli ítéletét, amely megállapította, hogy az egyik tagállam nem ültette át nemzeti jogába az ECN+ irányelvet; hangsúlyozza az ECN+ irányelv teljes körű átültetésének fontosságát; kéri az összes tagállamot, hogy biztosítsák ezen irányelv megfelelő végrehajtását;</w:t>
      </w:r>
    </w:p>
    <w:p w:rsidR="00F944F3" w:rsidRPr="00041D2A" w:rsidRDefault="00F944F3" w:rsidP="00422821">
      <w:pPr>
        <w:pStyle w:val="Normal12a24b"/>
        <w:widowControl/>
        <w:spacing w:before="0"/>
        <w:ind w:left="567" w:hanging="567"/>
      </w:pPr>
      <w:r w:rsidRPr="00041D2A">
        <w:rPr>
          <w:rStyle w:val="BoldItalic"/>
        </w:rPr>
        <w:t xml:space="preserve">Összefonódás és antitröszt 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t>19.</w:t>
      </w:r>
      <w:r w:rsidRPr="00041D2A">
        <w:tab/>
        <w:t xml:space="preserve">aggodalommal veszi tudomásul az EK összefonódás-ellenőrzési rendelete 22. cikkének az Európai Unió Bírósága által a C-611/22. </w:t>
      </w:r>
      <w:proofErr w:type="gramStart"/>
      <w:r w:rsidRPr="00041D2A">
        <w:t>P. sz. ügyben (</w:t>
      </w:r>
      <w:r w:rsidRPr="00041D2A">
        <w:rPr>
          <w:rStyle w:val="Italic"/>
          <w:i w:val="0"/>
        </w:rPr>
        <w:t>Illumina kontra Bizottság</w:t>
      </w:r>
      <w:r w:rsidRPr="00041D2A">
        <w:t>) adott értelmezését, amely hatályon kívül helyezte a Bizottság azon gyakorlatát, hogy bejelentési kötelezettség alá nem tartozó ügyletek vizsgálatára irányuló kérelmeket fogad be; elismeri, hogy az EK összefonódás-ellenőrzési rendelete nem biztosít megfelelő eszközöket a Bizottság számára a gyilkos felvásárlások kezeléséhez; határozottan úgy véli, hogy az összefonódásra vonatkozó határozatok belső piacra gyakorolt hatása indokolja a belső piaci jogalap beépítését az EK összefonódás-ellenőrzési rendeletébe, a társjogalkotók teljes körű bevonása érdekében,</w:t>
      </w:r>
      <w:proofErr w:type="gramEnd"/>
      <w:r w:rsidRPr="00041D2A">
        <w:t xml:space="preserve"> </w:t>
      </w:r>
      <w:proofErr w:type="gramStart"/>
      <w:r w:rsidRPr="00041D2A">
        <w:t>a digitális piacokról szóló jogszabályhoz hasonló módon; felhívja a Bizottságot, hogy írja elő azon tagállamok számára, amelyek rendelkeznek a szükséges hatáskörrel vagy igényt tarthatnak arra, hogy a potenciális gyilkos felvásárlásokat nemzeti összefonódás-ellenőrzési jogszabályaik fényében vizsgálják, és ezeket az ügyleteket továbbra is az EK összefonódás-ellenőrzési rendeletének 22. cikkével összhangban utalják át; kéri a Bizottságot, hogy vizsgálja meg az EK összefonódás-ellenőrzési rendelete felülvizsgálatának lehetőségét annak érdekében, hogy az érintett ágazatoktól függetlenül megvizsgálhassa</w:t>
      </w:r>
      <w:proofErr w:type="gramEnd"/>
      <w:r w:rsidRPr="00041D2A">
        <w:t xml:space="preserve"> </w:t>
      </w:r>
      <w:proofErr w:type="gramStart"/>
      <w:r w:rsidRPr="00041D2A">
        <w:t>az</w:t>
      </w:r>
      <w:proofErr w:type="gramEnd"/>
      <w:r w:rsidRPr="00041D2A">
        <w:t xml:space="preserve"> uniós vagy nemzeti küszöbértékeket el nem érő összefonódásokat;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t>20.</w:t>
      </w:r>
      <w:r w:rsidRPr="00041D2A">
        <w:tab/>
        <w:t>megjegyzi, hogy az EK összefonódás-ellenőrzési rendeletének 2004. évi hatálybalépése óta a bejelentett összefonódások 0,7%-át vagy a Bizottság blokkolta, vagy egy vizsgálatot követően visszavonták;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lastRenderedPageBreak/>
        <w:t>21.</w:t>
      </w:r>
      <w:r w:rsidRPr="00041D2A">
        <w:tab/>
        <w:t>megjegyzi, hogy az EK összefonódás-ellenőrzési rendeletében megadott forgalmi küszöbértékek önmagukban nem feltétlenül alkalmasak minden olyan eset feltárására, amelyet a versenyhatóságoknak kell felülvizsgálniuk; kiemeli az erőfölényben lévő vállalkozások által a hivatalos vizsgálatok elkerülése érdekében alkalmazott gyakorlatokat, például a „partnerségek” növekvő használatát az MI-ágazatban, ami azt is sugallja, hogy felül kell vizsgálni az uniós összefonódás-ellenőrzési rendeletet;</w:t>
      </w:r>
    </w:p>
    <w:p w:rsidR="00F944F3" w:rsidRPr="00041D2A" w:rsidRDefault="00F944F3" w:rsidP="00422821">
      <w:pPr>
        <w:pStyle w:val="NormalHanging12a"/>
      </w:pPr>
      <w:r w:rsidRPr="00041D2A">
        <w:t>22.</w:t>
      </w:r>
      <w:r w:rsidRPr="00041D2A">
        <w:tab/>
        <w:t xml:space="preserve">üdvözli a Draghi-jelentés „innovációs védelemre” irányuló javaslatát azokban az esetekben, amikor az összefonódás növeli az innovációs képességet és az innováció iránti motiváltságot, és felkéri a Bizottságot, hogy elemezze és fejlessze tovább ezt a </w:t>
      </w:r>
      <w:proofErr w:type="gramStart"/>
      <w:r w:rsidRPr="00041D2A">
        <w:t>koncepciót</w:t>
      </w:r>
      <w:proofErr w:type="gramEnd"/>
      <w:r w:rsidRPr="00041D2A">
        <w:t>; kéri továbbá, hogy vegyék figyelembe a közérdekű kérdéseket, például a munkavállalókra gyakorolt hatást;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23.</w:t>
      </w:r>
      <w:r w:rsidRPr="00041D2A">
        <w:tab/>
        <w:t>kéri a Bizottságot, hogy azonosítsa azokat a nemzeti szintű akadályokat, amelyek megakadályozhatják abban, hogy az összefonódások elemzése során az uniós piacot tekintse releváns piacnak; felhívja a Bizottságot, hogy terjesszen elő jogalkotási javaslatot ezen akadályok megszüntetésére; megjegyzi, hogy a nemzetközi környezetet gondosan elemezni kell, amikor a versenyjogi és összefonódás-ellenőrzési ügyekben az érintett piac meghatározásáról döntenek; felhívja a Bizottságot, hogy adott esetben a Draghi- és Letta-jelentésekben is javasoltak szerint fogadjon el előretekintő megközelítést az EU-n</w:t>
      </w:r>
      <w:proofErr w:type="gramEnd"/>
      <w:r w:rsidRPr="00041D2A">
        <w:t xml:space="preserve"> belüli </w:t>
      </w:r>
      <w:proofErr w:type="gramStart"/>
      <w:r w:rsidRPr="00041D2A">
        <w:t>konszolidációval</w:t>
      </w:r>
      <w:proofErr w:type="gramEnd"/>
      <w:r w:rsidRPr="00041D2A">
        <w:t xml:space="preserve"> kapcsolatban, figyelembe véve a méretgazdaságosság és a kedvező beruházási feltételek stratégiai jelentőségét és versenytámogató hatását bizonyos ágazatokban az innováció és a hosszú távú verseny ösztönzése szempontjából;</w:t>
      </w:r>
    </w:p>
    <w:p w:rsidR="00F944F3" w:rsidRPr="00041D2A" w:rsidRDefault="00F944F3" w:rsidP="00422821">
      <w:pPr>
        <w:pStyle w:val="NormalHanging12a"/>
      </w:pPr>
      <w:proofErr w:type="gramStart"/>
      <w:r w:rsidRPr="00041D2A">
        <w:t>24.</w:t>
      </w:r>
      <w:r w:rsidRPr="00041D2A">
        <w:tab/>
        <w:t>kéri az összefonódás-értékelési keretek aktualizálását, hogy azok tükrözzék a digitális gazdaság realitásait, ahol a piaci erő az egyértelműen meghatározott piacokon a hagyományos piaci részesedésen túlmutató módon is megnyilvánulhat; támogatja az adatvezérelt erőfölény és a hálózati hatások elemzésére szolgáló fejlett módszerek kidolgozását, hangsúlyozva a fogyasztók választási lehetőségének kritikus szerepét a digitális szolgáltatások és eszközök kiválasztásában; ösztönzi a Bizottságot, hogy erősítse meg a szolgáltatások és eszközök közötti interoperabilitást lehetővé tevő mechanizmusokat,</w:t>
      </w:r>
      <w:proofErr w:type="gramEnd"/>
      <w:r w:rsidRPr="00041D2A">
        <w:t xml:space="preserve"> </w:t>
      </w:r>
      <w:proofErr w:type="gramStart"/>
      <w:r w:rsidRPr="00041D2A">
        <w:t>előmozdítva az innovációt és a versenyt a digitális ökoszisztémában; sürgeti a Bizottságot, hogy mielőbb lépjen előre az üzenetküldő szolgáltatásokra vonatkozó, a digitális piacokról szóló jogszabály szerinti meglévő interoperabilitási kötelezettségek és az adatmegosztási jogszabály szerinti, a felhőszolgáltatókra vonatkozó meglévő interoperabilitási kötelezettségek végrehajtása terén, és kezdje meg a digitális piacokról szóló jogszabály 2026. májusi felülvizsgálatával kapcsolatos munkát; sürgeti a Bizottságot, hogy hajtsa végre a digitális piacokról szóló jogszabály szerinti meglévő interoperabilitási</w:t>
      </w:r>
      <w:proofErr w:type="gramEnd"/>
      <w:r w:rsidRPr="00041D2A">
        <w:t xml:space="preserve"> kötelezettségeket, és vizsgálja meg az interoperabilitási kötelezettségek online közösségi hálózati szolgáltatásokra való kiterjesztésének lehetőségét; támogatja a Bizottságot abban, hogy jobban figyelembe vegye a versenyre gyakorolt </w:t>
      </w:r>
      <w:proofErr w:type="gramStart"/>
      <w:r w:rsidRPr="00041D2A">
        <w:t>potenciális</w:t>
      </w:r>
      <w:proofErr w:type="gramEnd"/>
      <w:r w:rsidRPr="00041D2A">
        <w:t xml:space="preserve"> károkat, amikor olyan összefonódásokat vizsgál, amelyek esetében a szomszédos piacokra való terjeszkedés tovább erősítené az erőfölényt a felvásárló vállalat fő piacán;</w:t>
      </w:r>
    </w:p>
    <w:p w:rsidR="00F944F3" w:rsidRPr="00041D2A" w:rsidRDefault="00F944F3" w:rsidP="00422821">
      <w:pPr>
        <w:pStyle w:val="NormalHanging12a"/>
        <w:rPr>
          <w:b/>
          <w:snapToGrid/>
        </w:rPr>
      </w:pPr>
      <w:proofErr w:type="gramStart"/>
      <w:r w:rsidRPr="00041D2A">
        <w:t>25.</w:t>
      </w:r>
      <w:r w:rsidRPr="00041D2A">
        <w:tab/>
        <w:t xml:space="preserve">felszólítja a Bizottságot, hogy lépjen fel a túlságosan hosszú antitrösztvizsgálatok ellen, amelyek során a vállalatok továbbra is profitálnak versenyellenes gyakorlataikból; felszólítja a Bizottságot, hogy az antitrösztügyek esetében szabjon megfelelő határidőket, és biztosítsa a meghozott határozatok hatékony nyomon követését; felszólítja a Bizottságot, hogy a versenyre nézve rendkívül ártalmas gyakorlatok </w:t>
      </w:r>
      <w:r w:rsidRPr="00041D2A">
        <w:lastRenderedPageBreak/>
        <w:t>megszüntetése érdekében fogadjon el további ideiglenes intézkedéseket, különösen a dinamikus és gyorsan fejlődő piacokon, például a digitális piacokon;</w:t>
      </w:r>
      <w:proofErr w:type="gramEnd"/>
    </w:p>
    <w:p w:rsidR="00F944F3" w:rsidRPr="00041D2A" w:rsidRDefault="00F944F3" w:rsidP="00422821">
      <w:pPr>
        <w:pStyle w:val="Normal12a24b"/>
        <w:widowControl/>
        <w:spacing w:before="0"/>
        <w:ind w:left="567" w:hanging="567"/>
      </w:pPr>
      <w:r w:rsidRPr="00041D2A">
        <w:rPr>
          <w:rStyle w:val="BoldItalic"/>
        </w:rPr>
        <w:t>Ágazati szakpolitikák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26.</w:t>
      </w:r>
      <w:r w:rsidRPr="00041D2A">
        <w:tab/>
        <w:t>üdvözli a Bíróság két, 2024. szeptemberi, mérföldkőnek számító ítéletét, amelyek megerősítik a Bizottság azon állítását, hogy az Apple vállalattal kötött ír adóügyi megállapodás jogellenes állami támogatásnak minősül, valamint hogy a Google a Szerződéseket megsértve visszaélt erőfölényével; elismeri, hogy Írországban a jogi keret azóta megváltozott; arra ösztönzi a Bizottságot, hogy továbbra is szigorúan lépjen fel az állami támogatásokkal kapcsolatos visszaélések ellen, amelyek a vállalatoknak nyújtott szelektív adókedvezményekkel kapcsolatosak;</w:t>
      </w:r>
      <w:proofErr w:type="gramEnd"/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27.</w:t>
      </w:r>
      <w:r w:rsidRPr="00041D2A">
        <w:tab/>
        <w:t>tudomásul veszi a nemzetközi adóverseny káros hatását; emlékeztet arra, hogy támogatja a Gazdasági Együttműködési és Fejlesztési Szervezet (OECD) második pillérének végrehajtását; mélységes sajnálatát fejezi ki az Egyesült Államok 2025. január 20-i elnöki rendelete miatt, amely kimondja, hogy az OECD globális adóügyi megállapodása „nem hatályos és nem érvényes az Egyesült Államokban”; hangsúlyozza a multilateralizmus fontosságát annak biztosításában, hogy a multinacionális vállalatok ott fizessék meg az adózásból rájuk eső méltányos részt, ahol érték keletkezik; úgy véli, hogy az EU-nak teljes</w:t>
      </w:r>
      <w:proofErr w:type="gramEnd"/>
      <w:r w:rsidRPr="00041D2A">
        <w:t xml:space="preserve"> </w:t>
      </w:r>
      <w:proofErr w:type="gramStart"/>
      <w:r w:rsidRPr="00041D2A">
        <w:t>mértékben</w:t>
      </w:r>
      <w:proofErr w:type="gramEnd"/>
      <w:r w:rsidRPr="00041D2A">
        <w:t xml:space="preserve"> ki kell állnia az OECD második pillérről szóló irányelv mellett;</w:t>
      </w:r>
    </w:p>
    <w:p w:rsidR="00F944F3" w:rsidRPr="00041D2A" w:rsidRDefault="00F944F3" w:rsidP="00422821">
      <w:pPr>
        <w:pStyle w:val="NormalHanging12a"/>
      </w:pPr>
      <w:proofErr w:type="gramStart"/>
      <w:r w:rsidRPr="00041D2A">
        <w:t>28.</w:t>
      </w:r>
      <w:r w:rsidRPr="00041D2A">
        <w:tab/>
        <w:t>rámutat az aggasztó piaci koncentrációra számos digitális piacon, például a közösségi média, a keresőmotorok, az MI, a felhőalapú szolgáltatások, az e-kereskedelem, a mikrocsipek és az online hirdetések területén; hangsúlyozza az EU versenyképességére, az ellátási láncok rezilienciájára, a tömegtájékoztatás szabadságára, a magánélet védelmére és az adatvédelemre, a társadalomra és a demokráciára gyakorolt tényleges és potenciális negatív hatást; sürgeti a Bizottságot, hogy foglalkozzon a technológiai piacra jellemző kérdésekkel, beleértve a hardver- és felhőalapú számítástechnikai rétegek</w:t>
      </w:r>
      <w:proofErr w:type="gramEnd"/>
      <w:r w:rsidRPr="00041D2A">
        <w:t xml:space="preserve"> </w:t>
      </w:r>
      <w:proofErr w:type="gramStart"/>
      <w:r w:rsidRPr="00041D2A">
        <w:t>infrastrukturális teljesítményét, a vertikális koncentrációt, a digitális közszféra algoritmikus manipulációját és a piaci tőkeáttételt a digitális piacokon, amint azt a digitális piacokról szóló jogszabály keretében elért eredmények is mutatják; kéri továbbá, hogy indítsanak új vizsgálatokat a felhőalapú szolgáltatási ágazatban a tisztességes verseny és az innováció további biztosítása érdekében, figyelembe véve az ágazatban tapasztalható piaci koncentráció mértékét, valamint az összetett és átláthatatlan engedélyezési feltételekkel vagy a kényszerített árukapcsolással kapcsolatos versenyellenes</w:t>
      </w:r>
      <w:proofErr w:type="gramEnd"/>
      <w:r w:rsidRPr="00041D2A">
        <w:t xml:space="preserve"> gyakorlatokat; továbbá sürgeti a Bizottságot, hogy foglalkozzon az erőfölényben lévő szereplők növekvő vertikális </w:t>
      </w:r>
      <w:proofErr w:type="gramStart"/>
      <w:r w:rsidRPr="00041D2A">
        <w:t>koncentrációjával</w:t>
      </w:r>
      <w:proofErr w:type="gramEnd"/>
      <w:r w:rsidRPr="00041D2A">
        <w:t xml:space="preserve"> a hirdetési értéklánc egészében, ami veszélyezteti az EU online hirdetési ágazatát;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29.</w:t>
      </w:r>
      <w:r w:rsidRPr="00041D2A">
        <w:tab/>
        <w:t>tudomásul veszi az MI-szolgáltatások gyors fejlődését, amely piaci koncentrációt eredményezhet; felhívja a Bizottságot, hogy alkalmazzon ökoszisztéma-alapú megközelítést ezzel az ágazattal kapcsolatban, többek között azáltal, hogy új kárelméleteket dolgoz ki és alkalmaz az ágazatban jelen lévő domináns szereplők további megszilárdulásának kezelése érdekében; kiemeli, hogy a digitális piacokról szóló jogszabály számos olyan rendelkezést tartalmaz, amelyeket fel kell használni annak megakadályozására, hogy a kapuőrök korlátozzák a kialakulóban lévő MI-fejlesztőket, és kéri a Bizottságot, hogy</w:t>
      </w:r>
      <w:proofErr w:type="gramEnd"/>
      <w:r w:rsidRPr="00041D2A">
        <w:t xml:space="preserve"> </w:t>
      </w:r>
      <w:proofErr w:type="gramStart"/>
      <w:r w:rsidRPr="00041D2A">
        <w:t>gyorsan</w:t>
      </w:r>
      <w:proofErr w:type="gramEnd"/>
      <w:r w:rsidRPr="00041D2A">
        <w:t xml:space="preserve"> lépjen fel annak kockázata ellen, hogy a fogyasztók arra kényszerüljenek, hogy mobileszközeiken előre meghatározott MI-szolgáltatásokat vegyenek igénybe, biztosítva, hogy az MI-rendszerek továbbra is a </w:t>
      </w:r>
      <w:r w:rsidRPr="00041D2A">
        <w:lastRenderedPageBreak/>
        <w:t>felhasználók által választhatók és átláthatók maradjanak, ezáltal védve a versenyt és a fogyasztók választási lehetőségeit; felhívja a Bizottságot, hogy vizsgálja meg a generatív mesterséges intelligencia új alapvető platformszolgáltatásként való hozzáadásának lehetőségét a digitális piacokról szóló jogszabály keretében;</w:t>
      </w:r>
    </w:p>
    <w:p w:rsidR="00F944F3" w:rsidRPr="00041D2A" w:rsidRDefault="00F944F3" w:rsidP="00422821">
      <w:pPr>
        <w:pStyle w:val="NormalHanging12a"/>
      </w:pPr>
      <w:proofErr w:type="gramStart"/>
      <w:r w:rsidRPr="00041D2A">
        <w:t>30.</w:t>
      </w:r>
      <w:r w:rsidRPr="00041D2A">
        <w:tab/>
        <w:t>megjegyzi, hogy a nagy digitális szereplők piaci erejüket, a fogyasztókkal szembeni erőfölényüket, a pénzügyi forrásokat és az adatok koncentrációját az egyik piacon arra használják fel, hogy pozíciójukat egy másik piacon is megerősítsék; hangsúlyozza, hogy a kis szereplők nem versenyezhetnek a fent említett tényezőkkel, ami még inkább függővé teszi az EU polgárait ugyanattól a néhány nem uniós vállalkozástól, és veszélyezteti a stratégiai autonómiát; kéri, hogy az összefonódásokra vonatkozó iránymutatások felülvizsgálata révén fokozottan ellenőrizzék a digitális ágazat domináns szereplői</w:t>
      </w:r>
      <w:proofErr w:type="gramEnd"/>
      <w:r w:rsidRPr="00041D2A">
        <w:t xml:space="preserve"> </w:t>
      </w:r>
      <w:proofErr w:type="gramStart"/>
      <w:r w:rsidRPr="00041D2A">
        <w:t>által</w:t>
      </w:r>
      <w:proofErr w:type="gramEnd"/>
      <w:r w:rsidRPr="00041D2A">
        <w:t xml:space="preserve"> más ágazatokra gyakorolt befolyást és az EU stratégiai autonómiáját annak biztosítása érdekében, hogy a piaci tőkeáttétel hatékonyabban ellenőrizhető legyen;</w:t>
      </w:r>
    </w:p>
    <w:p w:rsidR="00F944F3" w:rsidRPr="00041D2A" w:rsidRDefault="00F944F3" w:rsidP="00422821">
      <w:pPr>
        <w:pStyle w:val="NormalHanging12a"/>
      </w:pPr>
      <w:r w:rsidRPr="00041D2A">
        <w:t>31.</w:t>
      </w:r>
      <w:r w:rsidRPr="00041D2A">
        <w:tab/>
        <w:t xml:space="preserve">megjegyzi az adatok és az adatelemzési eszközök fontosságát, amelyek a digitális piaci </w:t>
      </w:r>
      <w:proofErr w:type="gramStart"/>
      <w:r w:rsidRPr="00041D2A">
        <w:t>koncentrációk</w:t>
      </w:r>
      <w:proofErr w:type="gramEnd"/>
      <w:r w:rsidRPr="00041D2A">
        <w:t xml:space="preserve"> és felvásárlások egyik visszatartó tényezőjét jelentik a digitális ágazatban; a digitális ágazatok egy vagy több szereplőjét érintő összefonódások esetén az Európai Adatvédelmi Testület véleményét kéri az adatkészleteknek a tervezett összefonódás szempontjából való relevanciájáról, a célvállalkozás által feldolgozott személyes adatokról, valamint a tervezett összefonódásnak a magánélethez való jogra és az adatvédelemre gyakorolt lehetséges hatásáról;</w:t>
      </w:r>
    </w:p>
    <w:p w:rsidR="00F944F3" w:rsidRPr="00041D2A" w:rsidRDefault="00F944F3" w:rsidP="00422821">
      <w:pPr>
        <w:pStyle w:val="NormalHanging12a"/>
      </w:pPr>
      <w:r w:rsidRPr="00041D2A">
        <w:t>32.</w:t>
      </w:r>
      <w:r w:rsidRPr="00041D2A">
        <w:tab/>
        <w:t xml:space="preserve">aggodalmát fejezi ki a dinamikus árképzési mechanizmusok EU-ban történő egyre szélesebb körű alkalmazásával </w:t>
      </w:r>
      <w:proofErr w:type="gramStart"/>
      <w:r w:rsidRPr="00041D2A">
        <w:t>kapcsolatban ;</w:t>
      </w:r>
      <w:proofErr w:type="gramEnd"/>
      <w:r w:rsidRPr="00041D2A">
        <w:t xml:space="preserve"> felhívja a Bizottságot, hogy vizsgálja meg a rendkívül alkalmazkodó és átláthatatlan árképzési módszerekkel szembeni szabályozási intézkedéseket;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33.</w:t>
      </w:r>
      <w:r w:rsidRPr="00041D2A">
        <w:tab/>
        <w:t>felszólítja a Bizottságot az összes versenyszabály – köztük a külföldi támogatásokról szóló rendelet és a digitális piacokról szóló jogszabály – határozott érvényesítésére a kapuőri gyakorlatok kezelése, valamint a megtámadható piacok és a tisztességes verseny előmozdítása érdekében; hangsúlyozza, hogy a Bizottságnak elegendő alkalmazottal kell rendelkeznie a jogérvényesítéshez, ugyanakkor megjegyzi, hogy az új eszközök, valamint az eltérő tudományágakból érkező tudósok és közgazdászok hozzájárulhatnak a versenyjog érvényesítésének javításához; különösen hangsúlyozza, hogy a digitális piacokról</w:t>
      </w:r>
      <w:proofErr w:type="gramEnd"/>
      <w:r w:rsidRPr="00041D2A">
        <w:t xml:space="preserve"> </w:t>
      </w:r>
      <w:proofErr w:type="gramStart"/>
      <w:r w:rsidRPr="00041D2A">
        <w:t>szóló jogszabályt szigorúan és függetlenül kell alkalmazni, anélkül, hogy azt külső nyomás aláásná; hangsúlyozza, hogy a digitális piacokról szóló jogszabályt és az esetleges bírságokat nem szabad alkualapként felhasználni a vámtarifákról folytatott tárgyalások során, hanem a tisztességes és versenyképes digitális piacok biztosítására irányuló uniós erőfeszítések sarokköveként; tudomásul veszi az egyes minősített kapuőrökkel szemben indított hat meg nem felelési eljárást; mély aggodalmát fejezi ki a kritikus vizsgálatok esetleges késedelmei, valamint amiatt, hogy a Bizottság képes lesz-e betartani</w:t>
      </w:r>
      <w:proofErr w:type="gramEnd"/>
      <w:r w:rsidRPr="00041D2A">
        <w:t xml:space="preserve"> </w:t>
      </w:r>
      <w:proofErr w:type="gramStart"/>
      <w:r w:rsidRPr="00041D2A">
        <w:t>a</w:t>
      </w:r>
      <w:proofErr w:type="gramEnd"/>
      <w:r w:rsidRPr="00041D2A">
        <w:t xml:space="preserve"> „legnagyobb gondossággal” kapcsolatos kötelezettségeit, és indokolatlan késedelem nélkül döntést hozni a meg nem felelési eljárásokról;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t>34.</w:t>
      </w:r>
      <w:r w:rsidRPr="00041D2A">
        <w:tab/>
        <w:t xml:space="preserve">aggodalommal veszi tudomásul számos fogyasztói piac – többek között a pénzügyi szolgáltatások, a távközlés és a háztartási energia – széttöredezettségét, és gyorsabb és nagyobb mértékű piaci integrációt sürget ott, ahol ez előnyös a fogyasztók számára és </w:t>
      </w:r>
      <w:r w:rsidRPr="00041D2A">
        <w:lastRenderedPageBreak/>
        <w:t>kéri, hogy ismerjék el, hogy ez a piaci integráció ösztönözheti a beruházásokat és az innovációt;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t>35.</w:t>
      </w:r>
      <w:r w:rsidRPr="00041D2A">
        <w:tab/>
        <w:t xml:space="preserve">aggodalmát fejezi ki a kiskereskedelmi, mezőgazdasági és gépjárműipari ágazatok tengerentúli területeken tapasztalható magas </w:t>
      </w:r>
      <w:proofErr w:type="gramStart"/>
      <w:r w:rsidRPr="00041D2A">
        <w:t>koncentrációja</w:t>
      </w:r>
      <w:proofErr w:type="gramEnd"/>
      <w:r w:rsidRPr="00041D2A">
        <w:t xml:space="preserve"> miatt, amelynek következtében az erőfölényben lévő vállalkozások által az alapvető termékekre és szolgáltatásokra megállapított túlzott árak felerősítik az egyenlőtlenségeket, a bizonytalanságot és a területi egyenlőtlenségeket; felszólítja a Bizottságot, hogy indítson vizsgálatot az EUMSZ 102. cikke alapján az erőfölénnyel való esetleges visszaélésekkel kapcsolatban;</w:t>
      </w:r>
    </w:p>
    <w:p w:rsidR="00F944F3" w:rsidRPr="00041D2A" w:rsidRDefault="00F944F3" w:rsidP="00422821">
      <w:pPr>
        <w:pStyle w:val="NormalHanging12a"/>
        <w:rPr>
          <w:b/>
          <w:snapToGrid/>
        </w:rPr>
      </w:pPr>
      <w:proofErr w:type="gramStart"/>
      <w:r w:rsidRPr="00041D2A">
        <w:t>36.</w:t>
      </w:r>
      <w:r w:rsidRPr="00041D2A">
        <w:tab/>
        <w:t>aggodalommal veszi tudomásul az európai pénzügyi ágazatban tapasztalható nagyfokú piaci koncentrációt, valamint azt, hogy az ágazat tartósan és túlzott mértékben támaszkodik néhány Unión kívüli szolgáltatóra; megjegyzi, hogy a három legnagyobb hitelminősítő intézet még mindig több mint 90%-os piaci részesedéssel rendelkezik; aggodalmát fejezi ki a közérdeklődésre számot tartó gazdálkodó egységek könyvvizsgálati piacának továbbra is magas koncentrációja miatt, mivel a közérdeklődésre számot tartó gazdálkodó egységek könyvvizsgálatából származó uniós bevételek túlnyomó többsége négy cégnél összpontosul</w:t>
      </w:r>
      <w:proofErr w:type="gramEnd"/>
      <w:r w:rsidRPr="00041D2A">
        <w:t xml:space="preserve">, </w:t>
      </w:r>
      <w:proofErr w:type="gramStart"/>
      <w:r w:rsidRPr="00041D2A">
        <w:t>ami</w:t>
      </w:r>
      <w:proofErr w:type="gramEnd"/>
      <w:r w:rsidRPr="00041D2A">
        <w:t xml:space="preserve"> korlátozza a választási lehetőségeket és kockázatot jelent a felügyeleti ellenőrzésre; felkéri a Bizottságot, hogy terjesszen elő hatásvizsgálatot az ezen aggályok elhárítására szolgáló lehetőségekről; sürgeti a Bizottságot, hogy gondosan értékelje a könyvvizsgálati piac résztvevőinek szakértelmére irányuló közbeszerzési pályázatokat az esetleges összeférhetetlenségek elkerülése érdekében;</w:t>
      </w:r>
    </w:p>
    <w:p w:rsidR="00F944F3" w:rsidRPr="00041D2A" w:rsidRDefault="00F944F3" w:rsidP="00422821">
      <w:pPr>
        <w:pStyle w:val="NormalHanging12a"/>
        <w:rPr>
          <w:snapToGrid/>
        </w:rPr>
      </w:pPr>
      <w:proofErr w:type="gramStart"/>
      <w:r w:rsidRPr="00041D2A">
        <w:t>37.</w:t>
      </w:r>
      <w:r w:rsidRPr="00041D2A">
        <w:tab/>
        <w:t>aggodalmát fejezi ki az élelmiszerár-válság miatt, és e tekintetben megjegyzi, hogy az élelmiszer-ellátási láncokban magas fokú piaci koncentráció tapasztalható; ismételten felhívja a Bizottságot, hogy sürgősen végezzen mélyreható elemzést a beszerzési szövetségek mértékéről és hatásáról, különös figyelmet szentelve annak, hogy biztosított legyen a tisztességes verseny és a nagyobb átláthatóság a szupermarket- és hipermarketláncok kereskedelmi gyakorlataiban, különösen akkor, ha ezek a gyakorlatok befolyásolják a márkaértéket és a termékválasztékot, vagy korlátozzák az innovációt vagy az ára</w:t>
      </w:r>
      <w:proofErr w:type="gramEnd"/>
      <w:r w:rsidRPr="00041D2A">
        <w:t xml:space="preserve">k </w:t>
      </w:r>
      <w:proofErr w:type="gramStart"/>
      <w:r w:rsidRPr="00041D2A">
        <w:t>összehasonlíthatóságát; ennek fényében emlékeztet az agrár-árukereskedelemben tapasztalható piaci koncentrációra, ahol a globális terménykereskedelem túlnyomó többségét négy vállalat bonyolítja; sajnálja azonban, hogy a Bizottság a versenyjogi aggályok ellenére feltételesen jóváhagyta a Bunge-Vitera 2024. évi fúzióját (M.11204); kéri a Bizottságot, hogy a mezőgazdasági termelők és a fogyasztók alkupozíciójának megerősítése érdekében foglalkozzon a piac néhány nagy szereplőjének kezében összpontosuló túlzott gazdasági erővel; kiemeli ezzel összefüggésben az új versenypolitikai eszköz végrehajtását;</w:t>
      </w:r>
      <w:proofErr w:type="gramEnd"/>
    </w:p>
    <w:p w:rsidR="00F944F3" w:rsidRPr="00041D2A" w:rsidRDefault="00F944F3" w:rsidP="00422821">
      <w:pPr>
        <w:pStyle w:val="NormalHanging12a"/>
      </w:pPr>
      <w:r w:rsidRPr="00041D2A">
        <w:t>38.</w:t>
      </w:r>
      <w:r w:rsidRPr="00041D2A">
        <w:tab/>
        <w:t xml:space="preserve">megjegyzi, hogy az uniós bankok nettó nyeresége ebben az inflációs időszakban magas volt, amit nagyrészt az okozott, hogy a </w:t>
      </w:r>
      <w:proofErr w:type="gramStart"/>
      <w:r w:rsidRPr="00041D2A">
        <w:t>monetáris</w:t>
      </w:r>
      <w:proofErr w:type="gramEnd"/>
      <w:r w:rsidRPr="00041D2A">
        <w:t xml:space="preserve"> politika gyors szigorításának hatása késleltetve jelent meg a betéti kamatokban;</w:t>
      </w:r>
    </w:p>
    <w:p w:rsidR="00F944F3" w:rsidRPr="00041D2A" w:rsidRDefault="00F944F3" w:rsidP="00422821">
      <w:pPr>
        <w:pStyle w:val="NormalHanging12a"/>
      </w:pPr>
      <w:proofErr w:type="gramStart"/>
      <w:r w:rsidRPr="00041D2A">
        <w:t xml:space="preserve">39. </w:t>
      </w:r>
      <w:r w:rsidRPr="00041D2A">
        <w:tab/>
        <w:t xml:space="preserve">különös aggodalommal állapítja meg, hogy az uniós pénzforgalmi piacon két nemzetközi kártyarendszer erőfölényben van, és hogy olyan gyakorlatokat folytatnak, amelyek megerősítik és kiterjesztik e piaci erőfölényüket, potenciálisan tovább növelve </w:t>
      </w:r>
      <w:r w:rsidRPr="00041D2A">
        <w:lastRenderedPageBreak/>
        <w:t>a piacra lépés akadályait és akadályozva a hosszú távú innovációt</w:t>
      </w:r>
      <w:r w:rsidRPr="00041D2A">
        <w:rPr>
          <w:rStyle w:val="FootnoteReference"/>
        </w:rPr>
        <w:footnoteReference w:id="6"/>
      </w:r>
      <w:r w:rsidRPr="00041D2A">
        <w:t>, valamint magasabb költségeket eredményezve az uniós vállalkozások és végső soron a fogyasztók számára; felhívja a Bizottságot, hogy hozzon határozott intézkedéseket, hangsúlyozva a bankközi díjakról szóló rendelet ((EU) 2015/751 rendelet) felülvizsgálatának szükségességét a nemzetközi</w:t>
      </w:r>
      <w:proofErr w:type="gramEnd"/>
      <w:r w:rsidRPr="00041D2A">
        <w:t xml:space="preserve"> </w:t>
      </w:r>
      <w:proofErr w:type="gramStart"/>
      <w:r w:rsidRPr="00041D2A">
        <w:t>kártyarendszerek</w:t>
      </w:r>
      <w:proofErr w:type="gramEnd"/>
      <w:r w:rsidRPr="00041D2A">
        <w:t xml:space="preserve"> által felszámított kártyarendszeri díjak jelentős emelkedésének kezelése, valamint a tisztességes, versenyképes és átlátható piaci környezet biztosítása érdekében;</w:t>
      </w:r>
    </w:p>
    <w:p w:rsidR="00F944F3" w:rsidRPr="00041D2A" w:rsidRDefault="00F944F3" w:rsidP="00422821">
      <w:pPr>
        <w:pStyle w:val="Normal12a24b"/>
        <w:widowControl/>
        <w:spacing w:before="0"/>
        <w:ind w:left="567" w:hanging="567"/>
      </w:pPr>
      <w:r w:rsidRPr="00041D2A">
        <w:rPr>
          <w:rStyle w:val="BoldItalic"/>
        </w:rPr>
        <w:t xml:space="preserve">A Parlament bevonása </w:t>
      </w:r>
    </w:p>
    <w:p w:rsidR="00F944F3" w:rsidRPr="00041D2A" w:rsidRDefault="00F944F3" w:rsidP="00422821">
      <w:pPr>
        <w:pStyle w:val="NormalHanging12a"/>
      </w:pPr>
      <w:proofErr w:type="gramStart"/>
      <w:r w:rsidRPr="00041D2A">
        <w:t>40.</w:t>
      </w:r>
      <w:r w:rsidRPr="00041D2A">
        <w:tab/>
        <w:t>hangsúlyozza, hogy a Parlamentet kellő mértékben be kell vonni a versenypolitika alakításába; óva int attól, nehogy túlzó mértékben támaszkodjanak a nem kötelező erejű jogi eszközökre, például az iránymutatásokra és az ideiglenes keretekre, amelyekben a Parlament részvétele korlátozott; felhívja a Bizottságot, hogy kezdjen tárgyalást egy versenypolitikáról szóló intézményközi megállapodásról annak érdekében, hogy hivatalossá tegye végrehajtási prioritásait a Parlament számára; felhívja az Európai Tanácsot, hogy az EUSZ 48. cikke (7) bekezdés értelmében fogadjon el olyan határozatot, amely</w:t>
      </w:r>
      <w:proofErr w:type="gramEnd"/>
      <w:r w:rsidRPr="00041D2A">
        <w:t xml:space="preserve"> lehetővé teszi a versenypolitika területét érintő jogalkotási </w:t>
      </w:r>
      <w:proofErr w:type="gramStart"/>
      <w:r w:rsidRPr="00041D2A">
        <w:t>aktusok</w:t>
      </w:r>
      <w:proofErr w:type="gramEnd"/>
      <w:r w:rsidRPr="00041D2A">
        <w:t xml:space="preserve"> rendes jogalkotási eljárás keretében történő elfogadását; hangsúlyozza, hogy a Parlamentet megfigyelőként jobban be kell vonni a Nemzetközi Versenyügyi Hálózat és az OECD munkacsoportjainak és szakértői csoportjainak tevékenységébe, valamint a digitális piacokról szóló jogszabály magas szintű szakértői csoportjába is;</w:t>
      </w:r>
    </w:p>
    <w:p w:rsidR="00F944F3" w:rsidRPr="00041D2A" w:rsidRDefault="00F944F3" w:rsidP="00422821">
      <w:pPr>
        <w:pStyle w:val="NormalHanging12a"/>
        <w:rPr>
          <w:snapToGrid/>
        </w:rPr>
      </w:pPr>
      <w:r w:rsidRPr="00041D2A">
        <w:t>41.</w:t>
      </w:r>
      <w:r w:rsidRPr="00041D2A">
        <w:tab/>
        <w:t>felhívja az illetékes ügyvezető alelnököt, egyben a versenypolitikáért felelős biztost, hogy tartson fenn szoros kapcsolatot a Parlament illetékes bizottságával és annak versenyjogi kérdésekkel foglalkozó munkacsoportjával;</w:t>
      </w:r>
    </w:p>
    <w:p w:rsidR="00F944F3" w:rsidRPr="00041D2A" w:rsidRDefault="00F944F3" w:rsidP="00422821">
      <w:pPr>
        <w:pStyle w:val="NormalCenter12a"/>
        <w:widowControl/>
        <w:ind w:left="567" w:hanging="567"/>
      </w:pPr>
      <w:r w:rsidRPr="00041D2A">
        <w:t>°</w:t>
      </w:r>
    </w:p>
    <w:p w:rsidR="00F944F3" w:rsidRPr="00041D2A" w:rsidRDefault="00F944F3" w:rsidP="00422821">
      <w:pPr>
        <w:pStyle w:val="NormalCenter12a"/>
        <w:widowControl/>
        <w:ind w:left="567" w:hanging="567"/>
      </w:pPr>
      <w:r w:rsidRPr="00041D2A">
        <w:t>°</w:t>
      </w:r>
      <w:r w:rsidRPr="00041D2A">
        <w:tab/>
        <w:t>°</w:t>
      </w:r>
    </w:p>
    <w:p w:rsidR="00E376A4" w:rsidRPr="00E376A4" w:rsidRDefault="00F944F3" w:rsidP="00422821">
      <w:pPr>
        <w:pStyle w:val="NormalHanging12a"/>
      </w:pPr>
      <w:r w:rsidRPr="00041D2A">
        <w:t>42.</w:t>
      </w:r>
      <w:r w:rsidRPr="00041D2A">
        <w:tab/>
        <w:t>utasítja elnökét, hogy továbbítsa ezt az állásfoglalást a Tanácsnak és a Bizottságnak.</w:t>
      </w:r>
    </w:p>
    <w:p w:rsidR="00E365E1" w:rsidRPr="00E376A4" w:rsidRDefault="00E365E1" w:rsidP="00422821">
      <w:pPr>
        <w:widowControl/>
        <w:spacing w:after="240"/>
        <w:ind w:left="567" w:hanging="567"/>
      </w:pPr>
    </w:p>
    <w:sectPr w:rsidR="00E365E1" w:rsidRPr="00E376A4" w:rsidSect="00E376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547" w:rsidRPr="00E376A4" w:rsidRDefault="003D1547">
      <w:r w:rsidRPr="00E376A4">
        <w:separator/>
      </w:r>
    </w:p>
  </w:endnote>
  <w:endnote w:type="continuationSeparator" w:id="0">
    <w:p w:rsidR="003D1547" w:rsidRPr="00E376A4" w:rsidRDefault="003D1547">
      <w:r w:rsidRPr="00E376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76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76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76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547" w:rsidRPr="00E376A4" w:rsidRDefault="003D1547">
      <w:r w:rsidRPr="00E376A4">
        <w:separator/>
      </w:r>
    </w:p>
  </w:footnote>
  <w:footnote w:type="continuationSeparator" w:id="0">
    <w:p w:rsidR="003D1547" w:rsidRPr="00E376A4" w:rsidRDefault="003D1547">
      <w:r w:rsidRPr="00E376A4">
        <w:continuationSeparator/>
      </w:r>
    </w:p>
  </w:footnote>
  <w:footnote w:id="1">
    <w:p w:rsidR="00F944F3" w:rsidRPr="00E376A4" w:rsidRDefault="00F944F3" w:rsidP="00E376A4">
      <w:pPr>
        <w:pStyle w:val="FootnoteText"/>
        <w:ind w:left="567" w:hanging="567"/>
        <w:rPr>
          <w:sz w:val="24"/>
          <w:lang w:val="hu-HU"/>
        </w:rPr>
      </w:pPr>
      <w:r w:rsidRPr="00E376A4">
        <w:rPr>
          <w:rStyle w:val="FootnoteReference"/>
          <w:sz w:val="24"/>
          <w:lang w:val="hu-HU"/>
        </w:rPr>
        <w:footnoteRef/>
      </w:r>
      <w:r w:rsidR="00E376A4" w:rsidRPr="00E376A4">
        <w:rPr>
          <w:sz w:val="24"/>
          <w:lang w:val="hu-HU"/>
        </w:rPr>
        <w:t xml:space="preserve"> </w:t>
      </w:r>
      <w:r w:rsidR="00E376A4" w:rsidRPr="00E376A4">
        <w:rPr>
          <w:sz w:val="24"/>
          <w:lang w:val="hu-HU"/>
        </w:rPr>
        <w:tab/>
      </w:r>
      <w:r w:rsidRPr="00E376A4">
        <w:rPr>
          <w:sz w:val="24"/>
          <w:lang w:val="hu-HU"/>
        </w:rPr>
        <w:t>HL L 024., 2004.1.29</w:t>
      </w:r>
      <w:proofErr w:type="gramStart"/>
      <w:r w:rsidRPr="00E376A4">
        <w:rPr>
          <w:sz w:val="24"/>
          <w:lang w:val="hu-HU"/>
        </w:rPr>
        <w:t>.,</w:t>
      </w:r>
      <w:proofErr w:type="gramEnd"/>
      <w:r w:rsidRPr="00E376A4">
        <w:rPr>
          <w:sz w:val="24"/>
          <w:lang w:val="hu-HU"/>
        </w:rPr>
        <w:t xml:space="preserve"> 1. o., ELI: </w:t>
      </w:r>
      <w:hyperlink r:id="rId1" w:history="1">
        <w:r w:rsidRPr="00E376A4">
          <w:rPr>
            <w:color w:val="0000FF"/>
            <w:sz w:val="24"/>
            <w:u w:val="single" w:color="0000FF"/>
            <w:lang w:val="hu-HU"/>
          </w:rPr>
          <w:t>http://data.europa.eu/eli/reg/2004/139/oj.</w:t>
        </w:r>
      </w:hyperlink>
    </w:p>
  </w:footnote>
  <w:footnote w:id="2">
    <w:p w:rsidR="00F944F3" w:rsidRPr="00E376A4" w:rsidRDefault="00F944F3" w:rsidP="00E376A4">
      <w:pPr>
        <w:pStyle w:val="FootnoteText"/>
        <w:ind w:left="567" w:hanging="567"/>
        <w:rPr>
          <w:sz w:val="24"/>
          <w:lang w:val="hu-HU"/>
        </w:rPr>
      </w:pPr>
      <w:r w:rsidRPr="00E376A4">
        <w:rPr>
          <w:rStyle w:val="FootnoteReference"/>
          <w:sz w:val="24"/>
          <w:lang w:val="hu-HU"/>
        </w:rPr>
        <w:footnoteRef/>
      </w:r>
      <w:r w:rsidR="00E376A4" w:rsidRPr="00E376A4">
        <w:rPr>
          <w:sz w:val="24"/>
          <w:lang w:val="hu-HU"/>
        </w:rPr>
        <w:t xml:space="preserve"> </w:t>
      </w:r>
      <w:r w:rsidR="00E376A4" w:rsidRPr="00E376A4">
        <w:rPr>
          <w:sz w:val="24"/>
          <w:lang w:val="hu-HU"/>
        </w:rPr>
        <w:tab/>
      </w:r>
      <w:r w:rsidRPr="00E376A4">
        <w:rPr>
          <w:sz w:val="24"/>
          <w:lang w:val="hu-HU"/>
        </w:rPr>
        <w:t>HL L 114., 2022.4.12</w:t>
      </w:r>
      <w:proofErr w:type="gramStart"/>
      <w:r w:rsidRPr="00E376A4">
        <w:rPr>
          <w:sz w:val="24"/>
          <w:lang w:val="hu-HU"/>
        </w:rPr>
        <w:t>.,</w:t>
      </w:r>
      <w:proofErr w:type="gramEnd"/>
      <w:r w:rsidRPr="00E376A4">
        <w:rPr>
          <w:sz w:val="24"/>
          <w:lang w:val="hu-HU"/>
        </w:rPr>
        <w:t xml:space="preserve"> 22. o., ELI: </w:t>
      </w:r>
      <w:hyperlink r:id="rId2" w:tooltip=" Az ELI (európai jogszabály-azonosító) URI-hivatkozása révén biztosít hozzáférést a dokumentumhoz." w:history="1">
        <w:r w:rsidRPr="00E376A4">
          <w:rPr>
            <w:rStyle w:val="Hyperlink"/>
            <w:sz w:val="24"/>
            <w:lang w:val="hu-HU"/>
          </w:rPr>
          <w:t>http://data.europa.eu/eli/dec/2022/591/oj</w:t>
        </w:r>
      </w:hyperlink>
      <w:r w:rsidRPr="00E376A4">
        <w:rPr>
          <w:sz w:val="24"/>
          <w:lang w:val="hu-HU"/>
        </w:rPr>
        <w:t>.</w:t>
      </w:r>
    </w:p>
  </w:footnote>
  <w:footnote w:id="3">
    <w:p w:rsidR="00F944F3" w:rsidRPr="00544143" w:rsidRDefault="00F944F3" w:rsidP="00E376A4">
      <w:pPr>
        <w:pStyle w:val="FootnoteText"/>
        <w:ind w:left="567" w:hanging="567"/>
        <w:rPr>
          <w:sz w:val="24"/>
          <w:lang w:val="hu-HU"/>
        </w:rPr>
      </w:pPr>
      <w:r w:rsidRPr="00E376A4">
        <w:rPr>
          <w:rStyle w:val="FootnoteReference"/>
          <w:sz w:val="24"/>
          <w:lang w:val="hu-HU"/>
        </w:rPr>
        <w:footnoteRef/>
      </w:r>
      <w:r w:rsidR="00E376A4" w:rsidRPr="00E376A4">
        <w:rPr>
          <w:sz w:val="24"/>
          <w:lang w:val="hu-HU"/>
        </w:rPr>
        <w:t xml:space="preserve"> </w:t>
      </w:r>
      <w:r w:rsidR="00E376A4" w:rsidRPr="00E376A4">
        <w:rPr>
          <w:sz w:val="24"/>
          <w:lang w:val="hu-HU"/>
        </w:rPr>
        <w:tab/>
      </w:r>
      <w:r w:rsidRPr="00E376A4">
        <w:rPr>
          <w:sz w:val="24"/>
          <w:lang w:val="hu-HU"/>
        </w:rPr>
        <w:t>A Bíróság 2024. sze</w:t>
      </w:r>
      <w:r w:rsidRPr="00544143">
        <w:rPr>
          <w:sz w:val="24"/>
          <w:lang w:val="hu-HU"/>
        </w:rPr>
        <w:t xml:space="preserve">ptember 3-i ítélete, </w:t>
      </w:r>
      <w:r w:rsidRPr="00041D2A">
        <w:rPr>
          <w:rStyle w:val="Italic"/>
          <w:i w:val="0"/>
          <w:sz w:val="24"/>
          <w:lang w:val="hu-HU"/>
        </w:rPr>
        <w:t>Illumina kontra Bizottság</w:t>
      </w:r>
      <w:r w:rsidRPr="00544143">
        <w:rPr>
          <w:sz w:val="24"/>
          <w:lang w:val="hu-HU"/>
        </w:rPr>
        <w:t>, C-611/22 P. sz., ECLI</w:t>
      </w:r>
      <w:proofErr w:type="gramStart"/>
      <w:r w:rsidRPr="00544143">
        <w:rPr>
          <w:sz w:val="24"/>
          <w:lang w:val="hu-HU"/>
        </w:rPr>
        <w:t>:EU</w:t>
      </w:r>
      <w:proofErr w:type="gramEnd"/>
      <w:r w:rsidRPr="00544143">
        <w:rPr>
          <w:sz w:val="24"/>
          <w:lang w:val="hu-HU"/>
        </w:rPr>
        <w:t>:C:2024:677.</w:t>
      </w:r>
    </w:p>
  </w:footnote>
  <w:footnote w:id="4">
    <w:p w:rsidR="00F944F3" w:rsidRPr="00544143" w:rsidRDefault="00F944F3" w:rsidP="00E376A4">
      <w:pPr>
        <w:pStyle w:val="FootnoteText"/>
        <w:ind w:left="567" w:hanging="567"/>
        <w:rPr>
          <w:sz w:val="24"/>
          <w:lang w:val="hu-HU"/>
        </w:rPr>
      </w:pPr>
      <w:r w:rsidRPr="00544143">
        <w:rPr>
          <w:rStyle w:val="FootnoteReference"/>
          <w:sz w:val="24"/>
          <w:lang w:val="hu-HU"/>
        </w:rPr>
        <w:footnoteRef/>
      </w:r>
      <w:r w:rsidR="00E376A4" w:rsidRPr="00544143">
        <w:rPr>
          <w:sz w:val="24"/>
          <w:lang w:val="hu-HU"/>
        </w:rPr>
        <w:t xml:space="preserve"> </w:t>
      </w:r>
      <w:r w:rsidR="00E376A4" w:rsidRPr="00544143">
        <w:rPr>
          <w:sz w:val="24"/>
          <w:lang w:val="hu-HU"/>
        </w:rPr>
        <w:tab/>
      </w:r>
      <w:r w:rsidRPr="00544143">
        <w:rPr>
          <w:sz w:val="24"/>
          <w:lang w:val="hu-HU"/>
        </w:rPr>
        <w:t xml:space="preserve">A Bíróság 2024. szeptember 10-i ítélete, </w:t>
      </w:r>
      <w:r w:rsidRPr="00041D2A">
        <w:rPr>
          <w:rStyle w:val="Italic"/>
          <w:i w:val="0"/>
          <w:sz w:val="24"/>
          <w:lang w:val="hu-HU"/>
        </w:rPr>
        <w:t>Európai Bizottság kontra Írország és társai</w:t>
      </w:r>
      <w:r w:rsidRPr="00544143">
        <w:rPr>
          <w:sz w:val="24"/>
          <w:lang w:val="hu-HU"/>
        </w:rPr>
        <w:t>, C-465/20 P. sz., ECLI</w:t>
      </w:r>
      <w:proofErr w:type="gramStart"/>
      <w:r w:rsidRPr="00544143">
        <w:rPr>
          <w:sz w:val="24"/>
          <w:lang w:val="hu-HU"/>
        </w:rPr>
        <w:t>:EU</w:t>
      </w:r>
      <w:proofErr w:type="gramEnd"/>
      <w:r w:rsidRPr="00544143">
        <w:rPr>
          <w:sz w:val="24"/>
          <w:lang w:val="hu-HU"/>
        </w:rPr>
        <w:t>:C:2024:724.</w:t>
      </w:r>
    </w:p>
  </w:footnote>
  <w:footnote w:id="5">
    <w:p w:rsidR="00F944F3" w:rsidRPr="00544143" w:rsidRDefault="00F944F3" w:rsidP="00E376A4">
      <w:pPr>
        <w:pStyle w:val="FootnoteText"/>
        <w:ind w:left="567" w:hanging="567"/>
        <w:rPr>
          <w:sz w:val="24"/>
          <w:lang w:val="hu-HU"/>
        </w:rPr>
      </w:pPr>
      <w:r w:rsidRPr="00544143">
        <w:rPr>
          <w:rStyle w:val="FootnoteReference"/>
          <w:sz w:val="24"/>
          <w:lang w:val="hu-HU"/>
        </w:rPr>
        <w:footnoteRef/>
      </w:r>
      <w:r w:rsidR="00E376A4" w:rsidRPr="00544143">
        <w:rPr>
          <w:sz w:val="24"/>
          <w:lang w:val="hu-HU"/>
        </w:rPr>
        <w:t xml:space="preserve"> </w:t>
      </w:r>
      <w:r w:rsidR="00E376A4" w:rsidRPr="00544143">
        <w:rPr>
          <w:sz w:val="24"/>
          <w:lang w:val="hu-HU"/>
        </w:rPr>
        <w:tab/>
      </w:r>
      <w:r w:rsidRPr="00544143">
        <w:rPr>
          <w:sz w:val="24"/>
          <w:lang w:val="hu-HU"/>
        </w:rPr>
        <w:t xml:space="preserve">A Bíróság 2024. szeptember 10-i ítélete, </w:t>
      </w:r>
      <w:r w:rsidRPr="00041D2A">
        <w:rPr>
          <w:rStyle w:val="Italic"/>
          <w:i w:val="0"/>
          <w:sz w:val="24"/>
          <w:lang w:val="hu-HU"/>
        </w:rPr>
        <w:t>Google és Alphabet kontra Bizottság</w:t>
      </w:r>
      <w:r w:rsidRPr="00544143">
        <w:rPr>
          <w:sz w:val="24"/>
          <w:lang w:val="hu-HU"/>
        </w:rPr>
        <w:t>, C-48/22 P. sz., CLI</w:t>
      </w:r>
      <w:proofErr w:type="gramStart"/>
      <w:r w:rsidRPr="00544143">
        <w:rPr>
          <w:sz w:val="24"/>
          <w:lang w:val="hu-HU"/>
        </w:rPr>
        <w:t>:EU</w:t>
      </w:r>
      <w:proofErr w:type="gramEnd"/>
      <w:r w:rsidRPr="00544143">
        <w:rPr>
          <w:sz w:val="24"/>
          <w:lang w:val="hu-HU"/>
        </w:rPr>
        <w:t>:C:2024:726.</w:t>
      </w:r>
    </w:p>
  </w:footnote>
  <w:footnote w:id="6">
    <w:p w:rsidR="00F944F3" w:rsidRPr="00E376A4" w:rsidRDefault="00F944F3" w:rsidP="00E376A4">
      <w:pPr>
        <w:pStyle w:val="FootnoteText"/>
        <w:ind w:left="567" w:hanging="567"/>
        <w:rPr>
          <w:sz w:val="24"/>
          <w:lang w:val="hu-HU"/>
        </w:rPr>
      </w:pPr>
      <w:r w:rsidRPr="00E376A4">
        <w:rPr>
          <w:rStyle w:val="FootnoteReference"/>
          <w:sz w:val="24"/>
          <w:lang w:val="hu-HU"/>
        </w:rPr>
        <w:footnoteRef/>
      </w:r>
      <w:r w:rsidR="00E376A4" w:rsidRPr="00E376A4">
        <w:rPr>
          <w:sz w:val="24"/>
          <w:lang w:val="hu-HU"/>
        </w:rPr>
        <w:t xml:space="preserve"> </w:t>
      </w:r>
      <w:r w:rsidR="00E376A4" w:rsidRPr="00E376A4">
        <w:rPr>
          <w:sz w:val="24"/>
          <w:lang w:val="hu-HU"/>
        </w:rPr>
        <w:tab/>
      </w:r>
      <w:r w:rsidRPr="00E376A4">
        <w:rPr>
          <w:sz w:val="24"/>
          <w:lang w:val="hu-HU"/>
        </w:rPr>
        <w:t>Az Európai Számvevőszék különjelentése: „Digitális fizetés az EU-ban – Már némileg biztonságosabb, gyorsabb és kevésbé drága, de vannak még hiányosságok”, 2025. január 9</w:t>
      </w:r>
      <w:proofErr w:type="gramStart"/>
      <w:r w:rsidRPr="00E376A4">
        <w:rPr>
          <w:sz w:val="24"/>
          <w:lang w:val="hu-HU"/>
        </w:rPr>
        <w:t>.,</w:t>
      </w:r>
      <w:proofErr w:type="gramEnd"/>
      <w:r w:rsidRPr="00E376A4">
        <w:rPr>
          <w:sz w:val="24"/>
          <w:lang w:val="hu-HU"/>
        </w:rPr>
        <w:t xml:space="preserve"> </w:t>
      </w:r>
      <w:hyperlink r:id="rId3" w:history="1">
        <w:r w:rsidRPr="00E376A4">
          <w:rPr>
            <w:rStyle w:val="Hyperlink"/>
            <w:sz w:val="24"/>
            <w:lang w:val="hu-HU"/>
          </w:rPr>
          <w:t>https://www.eca.europa.eu/ECAPublications/SR-2025-01/SR-2025-01_EN.pdf</w:t>
        </w:r>
      </w:hyperlink>
      <w:r w:rsidRPr="00E376A4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76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76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76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1/2025"/>
    <w:docVar w:name="dvlangue" w:val="HU"/>
    <w:docVar w:name="dvnumam" w:val="0"/>
    <w:docVar w:name="dvpe" w:val="765.240"/>
    <w:docVar w:name="dvrapporteur" w:val="Előadó: "/>
    <w:docVar w:name="dvtitre" w:val="Az Európai Parlament 2025.  ...-i állásfoglalása a versenypolitikáról – 2024. évi éves jelentés(2024/2079(INI))"/>
  </w:docVars>
  <w:rsids>
    <w:rsidRoot w:val="003D1547"/>
    <w:rsid w:val="00002272"/>
    <w:rsid w:val="00041D2A"/>
    <w:rsid w:val="00064002"/>
    <w:rsid w:val="000677B9"/>
    <w:rsid w:val="000831BA"/>
    <w:rsid w:val="00096C4C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5647"/>
    <w:rsid w:val="00395FA1"/>
    <w:rsid w:val="003D1547"/>
    <w:rsid w:val="003E15D4"/>
    <w:rsid w:val="00411CCE"/>
    <w:rsid w:val="0041666E"/>
    <w:rsid w:val="00421060"/>
    <w:rsid w:val="00422821"/>
    <w:rsid w:val="00471C19"/>
    <w:rsid w:val="004867E3"/>
    <w:rsid w:val="00494A28"/>
    <w:rsid w:val="004C0004"/>
    <w:rsid w:val="004C5D52"/>
    <w:rsid w:val="0050519A"/>
    <w:rsid w:val="005072A1"/>
    <w:rsid w:val="00514517"/>
    <w:rsid w:val="0054414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64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376A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4F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D347E"/>
  <w15:chartTrackingRefBased/>
  <w15:docId w15:val="{E39590D8-2FFA-4AF6-87D0-EDDD68D9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44F3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F944F3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F944F3"/>
    <w:pPr>
      <w:spacing w:after="240"/>
      <w:jc w:val="center"/>
    </w:pPr>
  </w:style>
  <w:style w:type="character" w:customStyle="1" w:styleId="BoldItalic">
    <w:name w:val="BoldItalic"/>
    <w:uiPriority w:val="1"/>
    <w:rsid w:val="00F944F3"/>
    <w:rPr>
      <w:b/>
      <w:i/>
      <w:u w:val="none"/>
    </w:rPr>
  </w:style>
  <w:style w:type="character" w:customStyle="1" w:styleId="Italic">
    <w:name w:val="Italic"/>
    <w:uiPriority w:val="1"/>
    <w:rsid w:val="00F944F3"/>
    <w:rPr>
      <w:i/>
    </w:rPr>
  </w:style>
  <w:style w:type="paragraph" w:customStyle="1" w:styleId="Normal12a24b">
    <w:name w:val="Normal12a24b"/>
    <w:basedOn w:val="Normal"/>
    <w:rsid w:val="00F944F3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F944F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856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85647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ca.europa.eu/ECAPublications/SR-2025-01/SR-2025-01_HU.pdf" TargetMode="External"/><Relationship Id="rId2" Type="http://schemas.openxmlformats.org/officeDocument/2006/relationships/hyperlink" Target="http://data.europa.eu/eli/dec/2022/591/oj" TargetMode="External"/><Relationship Id="rId1" Type="http://schemas.openxmlformats.org/officeDocument/2006/relationships/hyperlink" Target="https://eur-lex.europa.eu/legal-content/EN/TXT/?uri=uriserv:OJ.L_.2004.024.01.0001.01.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C972B-3D84-40DC-8778-68E896C46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4106</Words>
  <Characters>30154</Characters>
  <Application>Microsoft Office Word</Application>
  <DocSecurity>0</DocSecurity>
  <Lines>502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KOVACS-BOKOR Karoly</cp:lastModifiedBy>
  <cp:revision>2</cp:revision>
  <cp:lastPrinted>2004-11-19T15:42:00Z</cp:lastPrinted>
  <dcterms:created xsi:type="dcterms:W3CDTF">2025-06-03T13:09:00Z</dcterms:created>
  <dcterms:modified xsi:type="dcterms:W3CDTF">2025-06-03T13:09:00Z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A10-0071/2025</vt:lpwstr>
  </property>
  <property fmtid="{D5CDD505-2E9C-101B-9397-08002B2CF9AE}" pid="4" name="&lt;Type&gt;">
    <vt:lpwstr>RR</vt:lpwstr>
  </property>
</Properties>
</file>