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3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23C1" w:rsidRDefault="008172A5" w:rsidP="0010095E">
            <w:pPr>
              <w:pStyle w:val="EPName"/>
            </w:pPr>
            <w:r w:rsidRPr="002023C1">
              <w:t>Parlament Europejski</w:t>
            </w:r>
          </w:p>
          <w:p w:rsidR="00751A4A" w:rsidRPr="002023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3C1">
              <w:t>2024</w:t>
            </w:r>
            <w:r w:rsidR="00817416" w:rsidRPr="002023C1">
              <w:t>-202</w:t>
            </w:r>
            <w:r w:rsidRPr="002023C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23C1" w:rsidRDefault="00187494" w:rsidP="0010095E">
            <w:pPr>
              <w:pStyle w:val="EPLogo"/>
            </w:pPr>
            <w:r w:rsidRPr="002023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23C1" w:rsidRDefault="00D058B8" w:rsidP="004C5D52">
      <w:pPr>
        <w:pStyle w:val="LineTop"/>
      </w:pPr>
    </w:p>
    <w:p w:rsidR="00680577" w:rsidRPr="002023C1" w:rsidRDefault="008172A5" w:rsidP="00680577">
      <w:pPr>
        <w:pStyle w:val="EPBodyTA1"/>
      </w:pPr>
      <w:r w:rsidRPr="002023C1">
        <w:t>TEKSTY PRZYJĘTE</w:t>
      </w:r>
    </w:p>
    <w:p w:rsidR="00D058B8" w:rsidRPr="002023C1" w:rsidRDefault="00D058B8" w:rsidP="00D058B8">
      <w:pPr>
        <w:pStyle w:val="LineBottom"/>
      </w:pPr>
    </w:p>
    <w:p w:rsidR="008172A5" w:rsidRPr="002023C1" w:rsidRDefault="008172A5" w:rsidP="008172A5">
      <w:pPr>
        <w:pStyle w:val="ATHeading1"/>
      </w:pPr>
      <w:bookmarkStart w:id="0" w:name="TANumber"/>
      <w:r w:rsidRPr="002023C1">
        <w:t>P10_TA(2025)0</w:t>
      </w:r>
      <w:bookmarkEnd w:id="0"/>
      <w:r w:rsidR="001F104D">
        <w:t>104</w:t>
      </w:r>
      <w:bookmarkStart w:id="1" w:name="_GoBack"/>
      <w:bookmarkEnd w:id="1"/>
    </w:p>
    <w:p w:rsidR="008172A5" w:rsidRPr="00267B49" w:rsidRDefault="00267B49" w:rsidP="008172A5">
      <w:pPr>
        <w:pStyle w:val="ATHeading2"/>
      </w:pPr>
      <w:r w:rsidRPr="00267B49">
        <w:rPr>
          <w:bCs/>
        </w:rPr>
        <w:t>Polityka konkurencji – sprawozdanie roczne za 2024 r.</w:t>
      </w:r>
    </w:p>
    <w:p w:rsidR="008172A5" w:rsidRPr="002023C1" w:rsidRDefault="008172A5" w:rsidP="008172A5">
      <w:pPr>
        <w:rPr>
          <w:i/>
          <w:vanish/>
        </w:rPr>
      </w:pPr>
      <w:r w:rsidRPr="002023C1">
        <w:rPr>
          <w:i/>
        </w:rPr>
        <w:fldChar w:fldCharType="begin"/>
      </w:r>
      <w:r w:rsidRPr="002023C1">
        <w:rPr>
          <w:i/>
        </w:rPr>
        <w:instrText xml:space="preserve"> TC"(</w:instrText>
      </w:r>
      <w:bookmarkStart w:id="2" w:name="DocNumber"/>
      <w:r w:rsidRPr="002023C1">
        <w:rPr>
          <w:i/>
        </w:rPr>
        <w:instrText>A10-0071/2025</w:instrText>
      </w:r>
      <w:bookmarkEnd w:id="2"/>
      <w:r w:rsidRPr="002023C1">
        <w:rPr>
          <w:i/>
        </w:rPr>
        <w:instrText xml:space="preserve"> - Sprawozdawca: Lara Wolters</w:instrText>
      </w:r>
      <w:proofErr w:type="gramStart"/>
      <w:r w:rsidRPr="002023C1">
        <w:rPr>
          <w:i/>
        </w:rPr>
        <w:instrText>)"\l</w:instrText>
      </w:r>
      <w:proofErr w:type="gramEnd"/>
      <w:r w:rsidRPr="002023C1">
        <w:rPr>
          <w:i/>
        </w:rPr>
        <w:instrText xml:space="preserve">3 \n&gt; \* MERGEFORMAT </w:instrText>
      </w:r>
      <w:r w:rsidRPr="002023C1">
        <w:rPr>
          <w:i/>
        </w:rPr>
        <w:fldChar w:fldCharType="end"/>
      </w:r>
    </w:p>
    <w:p w:rsidR="008172A5" w:rsidRPr="002023C1" w:rsidRDefault="008172A5" w:rsidP="008172A5">
      <w:pPr>
        <w:rPr>
          <w:vanish/>
        </w:rPr>
      </w:pPr>
      <w:bookmarkStart w:id="3" w:name="Commission"/>
      <w:r w:rsidRPr="002023C1">
        <w:rPr>
          <w:vanish/>
        </w:rPr>
        <w:t>Komisja Gospodarcza i Monetarna</w:t>
      </w:r>
      <w:bookmarkEnd w:id="3"/>
    </w:p>
    <w:p w:rsidR="008172A5" w:rsidRPr="002023C1" w:rsidRDefault="008172A5" w:rsidP="008172A5">
      <w:pPr>
        <w:rPr>
          <w:vanish/>
        </w:rPr>
      </w:pPr>
      <w:bookmarkStart w:id="4" w:name="PE"/>
      <w:r w:rsidRPr="002023C1">
        <w:rPr>
          <w:vanish/>
        </w:rPr>
        <w:t>PE765.240</w:t>
      </w:r>
      <w:bookmarkEnd w:id="4"/>
    </w:p>
    <w:p w:rsidR="008172A5" w:rsidRPr="002023C1" w:rsidRDefault="008172A5" w:rsidP="008172A5">
      <w:pPr>
        <w:pStyle w:val="ATHeading3"/>
      </w:pPr>
      <w:bookmarkStart w:id="5" w:name="Sujet"/>
      <w:r w:rsidRPr="002023C1">
        <w:t xml:space="preserve">Rezolucja Parlamentu Europejskiego z dnia </w:t>
      </w:r>
      <w:r w:rsidR="00267B49">
        <w:t>8 maja</w:t>
      </w:r>
      <w:r w:rsidRPr="002023C1">
        <w:t xml:space="preserve"> 2025 r. w sprawie polityki konkurencji – sprawozdanie roczne za 2024 r.</w:t>
      </w:r>
      <w:bookmarkEnd w:id="5"/>
      <w:r w:rsidRPr="002023C1">
        <w:t xml:space="preserve"> </w:t>
      </w:r>
      <w:bookmarkStart w:id="6" w:name="References"/>
      <w:r w:rsidRPr="002023C1">
        <w:t>(2024/2079(INI))</w:t>
      </w:r>
      <w:bookmarkEnd w:id="6"/>
    </w:p>
    <w:p w:rsidR="007E061D" w:rsidRPr="002023C1" w:rsidRDefault="007E061D" w:rsidP="007E061D">
      <w:pPr>
        <w:pStyle w:val="EPComma"/>
      </w:pPr>
      <w:r w:rsidRPr="002023C1">
        <w:rPr>
          <w:rStyle w:val="Italic"/>
        </w:rPr>
        <w:t>Parlament Europejski</w:t>
      </w:r>
      <w:r w:rsidRPr="002023C1">
        <w:t>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Traktat o funkcjonowaniu Unii Europejskiej (TFUE), w szczególności art. 101–109,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 xml:space="preserve">uwzględniając publikację przez Ursulę von der </w:t>
      </w:r>
      <w:proofErr w:type="spellStart"/>
      <w:r w:rsidRPr="002023C1">
        <w:t>Leyen</w:t>
      </w:r>
      <w:proofErr w:type="spellEnd"/>
      <w:r w:rsidRPr="002023C1">
        <w:t xml:space="preserve"> 18 lipca 2024 r. dokumentu pt. „Wybór Europy: wytyczne polityczne na następną kadencję Komisji Europejskiej 2024−2029”,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 xml:space="preserve">uwzględniając sprawozdanie Maria </w:t>
      </w:r>
      <w:proofErr w:type="spellStart"/>
      <w:r w:rsidRPr="002023C1">
        <w:t>Draghiego</w:t>
      </w:r>
      <w:proofErr w:type="spellEnd"/>
      <w:r w:rsidRPr="002023C1">
        <w:t xml:space="preserve"> z 9 września 2024 r. pt. „The </w:t>
      </w:r>
      <w:proofErr w:type="spellStart"/>
      <w:r w:rsidRPr="002023C1">
        <w:t>future</w:t>
      </w:r>
      <w:proofErr w:type="spellEnd"/>
      <w:r w:rsidRPr="002023C1">
        <w:t xml:space="preserve"> of </w:t>
      </w:r>
      <w:proofErr w:type="spellStart"/>
      <w:r w:rsidRPr="002023C1">
        <w:t>European</w:t>
      </w:r>
      <w:proofErr w:type="spellEnd"/>
      <w:r w:rsidRPr="002023C1">
        <w:t xml:space="preserve"> </w:t>
      </w:r>
      <w:proofErr w:type="spellStart"/>
      <w:r w:rsidRPr="002023C1">
        <w:t>competitiveness</w:t>
      </w:r>
      <w:proofErr w:type="spellEnd"/>
      <w:r w:rsidRPr="002023C1">
        <w:t>” [Przyszłość europejskiej konkurencyjności],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 xml:space="preserve">uwzględniając sprawozdanie Enrica </w:t>
      </w:r>
      <w:proofErr w:type="spellStart"/>
      <w:r w:rsidRPr="002023C1">
        <w:t>Letty</w:t>
      </w:r>
      <w:proofErr w:type="spellEnd"/>
      <w:r w:rsidRPr="002023C1">
        <w:t xml:space="preserve"> z 18 kwietnia 2024 r. zatytułowane „Much </w:t>
      </w:r>
      <w:proofErr w:type="spellStart"/>
      <w:r w:rsidRPr="002023C1">
        <w:t>more</w:t>
      </w:r>
      <w:proofErr w:type="spellEnd"/>
      <w:r w:rsidRPr="002023C1">
        <w:t xml:space="preserve"> </w:t>
      </w:r>
      <w:proofErr w:type="spellStart"/>
      <w:r w:rsidRPr="002023C1">
        <w:t>than</w:t>
      </w:r>
      <w:proofErr w:type="spellEnd"/>
      <w:r w:rsidRPr="002023C1">
        <w:t xml:space="preserve"> a market” [Znacznie więcej niż rynek],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sprawozdanie specjalne Europejskiego Trybunału Obrachunkowego 21/2024 z 23 października 2024 r. pt. „Pomoc państwa w czasach kryzysu – Komisja zareagowała szybko, lecz niedostatecznie monitorowała pomoc państwa, a ramy służące realizacji celów polityki przemysłowej UE były niespójne”,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rozporządzenie Rady (WE) nr 139/2004 z 20 stycznia 2004 r. w sprawie kontroli koncentracji przedsiębiorstw (rozporządzenie WE w sprawie kontroli łączenia przedsiębiorstw)</w:t>
      </w:r>
      <w:r w:rsidRPr="002023C1">
        <w:rPr>
          <w:rStyle w:val="FootnoteReference"/>
        </w:rPr>
        <w:footnoteReference w:id="1"/>
      </w:r>
      <w:r w:rsidRPr="002023C1">
        <w:t>,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rPr>
          <w:b/>
        </w:rPr>
        <w:t>–</w:t>
      </w:r>
      <w:r w:rsidRPr="002023C1">
        <w:tab/>
        <w:t>uwzględniając art. 11 TFUE, który nakazuje uwzględnianie wymogów ochrony środowiska przy ustalaniu i realizacji polityk i działań Unii w celu wspierania zrównoważonego rozwoju,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 xml:space="preserve">uwzględniając art. 3 decyzji Parlamentu Europejskiego i Rady (UE) 2022/591 z dnia 6 kwietnia 2022 r. w sprawie ogólnego unijnego programu działań w zakresie środowiska </w:t>
      </w:r>
      <w:r w:rsidRPr="002023C1">
        <w:lastRenderedPageBreak/>
        <w:t>do 2030 r.</w:t>
      </w:r>
      <w:r w:rsidRPr="002023C1">
        <w:rPr>
          <w:rStyle w:val="FootnoteReference"/>
        </w:rPr>
        <w:footnoteReference w:id="2"/>
      </w:r>
      <w:r w:rsidRPr="002023C1">
        <w:t>, zgodnie z którym dotacje o skutkach szkodliwych dla środowiska, w szczególności dopłaty do paliw kopalnych, powinny zostać niezwłocznie cofnięte,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wyroki Trybunału Sprawiedliwości Unii Europejskiej z 3 września 2024 r. w sprawie C-611/22 P (</w:t>
      </w:r>
      <w:proofErr w:type="spellStart"/>
      <w:r w:rsidRPr="002023C1">
        <w:t>Illumina</w:t>
      </w:r>
      <w:proofErr w:type="spellEnd"/>
      <w:r w:rsidRPr="002023C1">
        <w:t>/Komisja</w:t>
      </w:r>
      <w:r w:rsidRPr="002023C1">
        <w:rPr>
          <w:rStyle w:val="FootnoteReference"/>
        </w:rPr>
        <w:footnoteReference w:id="3"/>
      </w:r>
      <w:r w:rsidRPr="002023C1">
        <w:t>), z 10 września 2024 r. w sprawie C-465/20 P (Komisja Europejska/Irlandia i Apple Sales International</w:t>
      </w:r>
      <w:r w:rsidRPr="002023C1">
        <w:rPr>
          <w:rStyle w:val="FootnoteReference"/>
        </w:rPr>
        <w:footnoteReference w:id="4"/>
      </w:r>
      <w:r w:rsidRPr="002023C1">
        <w:t xml:space="preserve">) oraz z 10 września 2024 r. w sprawie C-48/22 P (Google i </w:t>
      </w:r>
      <w:proofErr w:type="spellStart"/>
      <w:r w:rsidRPr="002023C1">
        <w:t>Alphabet</w:t>
      </w:r>
      <w:proofErr w:type="spellEnd"/>
      <w:r w:rsidRPr="002023C1">
        <w:t>/Komisja</w:t>
      </w:r>
      <w:r w:rsidRPr="002023C1">
        <w:rPr>
          <w:rStyle w:val="FootnoteReference"/>
        </w:rPr>
        <w:footnoteReference w:id="5"/>
      </w:r>
      <w:r w:rsidRPr="002023C1">
        <w:t>),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sprawozdanie Komisji z czerwca 2024 r. pt. „</w:t>
      </w:r>
      <w:proofErr w:type="spellStart"/>
      <w:r w:rsidRPr="002023C1">
        <w:t>Protecting</w:t>
      </w:r>
      <w:proofErr w:type="spellEnd"/>
      <w:r w:rsidRPr="002023C1">
        <w:t xml:space="preserve"> </w:t>
      </w:r>
      <w:proofErr w:type="spellStart"/>
      <w:r w:rsidRPr="002023C1">
        <w:t>competition</w:t>
      </w:r>
      <w:proofErr w:type="spellEnd"/>
      <w:r w:rsidRPr="002023C1">
        <w:t xml:space="preserve"> in a </w:t>
      </w:r>
      <w:proofErr w:type="spellStart"/>
      <w:r w:rsidRPr="002023C1">
        <w:t>changing</w:t>
      </w:r>
      <w:proofErr w:type="spellEnd"/>
      <w:r w:rsidRPr="002023C1">
        <w:t xml:space="preserve"> </w:t>
      </w:r>
      <w:proofErr w:type="spellStart"/>
      <w:r w:rsidRPr="002023C1">
        <w:t>world</w:t>
      </w:r>
      <w:proofErr w:type="spellEnd"/>
      <w:r w:rsidRPr="002023C1">
        <w:t xml:space="preserve"> – </w:t>
      </w:r>
      <w:proofErr w:type="spellStart"/>
      <w:r w:rsidRPr="002023C1">
        <w:t>Evidence</w:t>
      </w:r>
      <w:proofErr w:type="spellEnd"/>
      <w:r w:rsidRPr="002023C1">
        <w:t xml:space="preserve"> on the </w:t>
      </w:r>
      <w:proofErr w:type="spellStart"/>
      <w:r w:rsidRPr="002023C1">
        <w:t>evolution</w:t>
      </w:r>
      <w:proofErr w:type="spellEnd"/>
      <w:r w:rsidRPr="002023C1">
        <w:t xml:space="preserve"> of </w:t>
      </w:r>
      <w:proofErr w:type="spellStart"/>
      <w:r w:rsidRPr="002023C1">
        <w:t>competition</w:t>
      </w:r>
      <w:proofErr w:type="spellEnd"/>
      <w:r w:rsidRPr="002023C1">
        <w:t xml:space="preserve"> in the EU </w:t>
      </w:r>
      <w:proofErr w:type="spellStart"/>
      <w:r w:rsidRPr="002023C1">
        <w:t>during</w:t>
      </w:r>
      <w:proofErr w:type="spellEnd"/>
      <w:r w:rsidRPr="002023C1">
        <w:t xml:space="preserve"> the past 25 </w:t>
      </w:r>
      <w:proofErr w:type="spellStart"/>
      <w:r w:rsidRPr="002023C1">
        <w:t>years</w:t>
      </w:r>
      <w:proofErr w:type="spellEnd"/>
      <w:r w:rsidRPr="002023C1">
        <w:t>” [Ochrona konkurencji w zmieniającym się świecie – dowody na ewolucję konkurencji w UE w ciągu ostatnich 25 lat],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–</w:t>
      </w:r>
      <w:r w:rsidRPr="002023C1">
        <w:tab/>
        <w:t xml:space="preserve">uwzględniając badanie pt. „The role of </w:t>
      </w:r>
      <w:proofErr w:type="spellStart"/>
      <w:r w:rsidRPr="002023C1">
        <w:t>goods</w:t>
      </w:r>
      <w:proofErr w:type="spellEnd"/>
      <w:r w:rsidRPr="002023C1">
        <w:t xml:space="preserve"> </w:t>
      </w:r>
      <w:proofErr w:type="spellStart"/>
      <w:r w:rsidRPr="002023C1">
        <w:t>trader</w:t>
      </w:r>
      <w:proofErr w:type="spellEnd"/>
      <w:r w:rsidRPr="002023C1">
        <w:t xml:space="preserve"> in </w:t>
      </w:r>
      <w:proofErr w:type="spellStart"/>
      <w:r w:rsidRPr="002023C1">
        <w:t>shaping</w:t>
      </w:r>
      <w:proofErr w:type="spellEnd"/>
      <w:r w:rsidRPr="002023C1">
        <w:t xml:space="preserve"> </w:t>
      </w:r>
      <w:proofErr w:type="spellStart"/>
      <w:r w:rsidRPr="002023C1">
        <w:t>agricultural</w:t>
      </w:r>
      <w:proofErr w:type="spellEnd"/>
      <w:r w:rsidRPr="002023C1">
        <w:t xml:space="preserve"> </w:t>
      </w:r>
      <w:proofErr w:type="spellStart"/>
      <w:r w:rsidRPr="002023C1">
        <w:t>markets</w:t>
      </w:r>
      <w:proofErr w:type="spellEnd"/>
      <w:r w:rsidRPr="002023C1">
        <w:t>” [Rola handlu towarami w kształtowaniu rynków rolnych], opublikowane przez Departament Tematyczny ds. Polityki Strukturalnej i Polityki Spójności w listopadzie 2024 r.,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 xml:space="preserve">uwzględniając sprawozdanie Europejskiego Urzędu Nadzoru Giełd i Papierów Wartościowych z 20 grudnia 2023 r. pt. „CRA Market </w:t>
      </w:r>
      <w:proofErr w:type="spellStart"/>
      <w:r w:rsidRPr="002023C1">
        <w:t>Share</w:t>
      </w:r>
      <w:proofErr w:type="spellEnd"/>
      <w:r w:rsidRPr="002023C1">
        <w:t xml:space="preserve"> Report: 2023” [Udział rynkowy agencji ratingowych: 2023],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art. 55 Regulaminu,</w:t>
      </w:r>
    </w:p>
    <w:p w:rsidR="007E061D" w:rsidRPr="002023C1" w:rsidRDefault="007E061D" w:rsidP="007E061D">
      <w:pPr>
        <w:pStyle w:val="NormalHanging12a"/>
      </w:pPr>
      <w:r w:rsidRPr="002023C1">
        <w:t>–</w:t>
      </w:r>
      <w:r w:rsidRPr="002023C1">
        <w:tab/>
        <w:t>uwzględniając sprawozdanie Komisji Gospodarczej i Monetarnej (A10-0071/2025),</w:t>
      </w:r>
    </w:p>
    <w:p w:rsidR="007E061D" w:rsidRPr="002023C1" w:rsidRDefault="007E061D" w:rsidP="007E061D">
      <w:pPr>
        <w:pStyle w:val="NormalHanging12a"/>
      </w:pPr>
      <w:r w:rsidRPr="002023C1">
        <w:t>A.</w:t>
      </w:r>
      <w:r w:rsidRPr="002023C1">
        <w:tab/>
      </w:r>
      <w:proofErr w:type="gramStart"/>
      <w:r w:rsidRPr="002023C1">
        <w:t>mając</w:t>
      </w:r>
      <w:proofErr w:type="gramEnd"/>
      <w:r w:rsidRPr="002023C1">
        <w:t xml:space="preserve"> na uwadze, że trudny obecnie kontekst gospodarczy, klimatyczny i geopolityczny, charakteryzujący się niepewnością i nieprzewidywalnością, wymaga nowego podejścia do europejskiej konkurencyjności i konkretnych strategii na rzecz pobudzenia wzrostu gospodarczego;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B.</w:t>
      </w:r>
      <w:r w:rsidRPr="002023C1">
        <w:tab/>
        <w:t>mając na uwadze, że właściwe egzekwowanie ram polityki konkurencji UE prowadzi do niższych cen, wyższej jakości, lepszej oferty dla konsumentów, szybszych innowacji oraz bardziej sprawiedliwej i odpornej gospodarki, a także chroni warunki wejścia podmiotów na rynek wewnętrzny, przeciwdziałając nadużywaniu pozycji dominującej, monopolom i praktykom zakłócającym rynek wewnętrzny;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C.</w:t>
      </w:r>
      <w:r w:rsidRPr="002023C1">
        <w:tab/>
      </w:r>
      <w:proofErr w:type="gramStart"/>
      <w:r w:rsidRPr="002023C1">
        <w:t>mając</w:t>
      </w:r>
      <w:proofErr w:type="gramEnd"/>
      <w:r w:rsidRPr="002023C1">
        <w:t xml:space="preserve"> na uwadze, że w sprawozdaniu </w:t>
      </w:r>
      <w:proofErr w:type="spellStart"/>
      <w:r w:rsidRPr="002023C1">
        <w:t>Draghiego</w:t>
      </w:r>
      <w:proofErr w:type="spellEnd"/>
      <w:r w:rsidRPr="002023C1">
        <w:t xml:space="preserve"> podkreślono, że UE posiada szeroką i zdywersyfikowaną bazę innowacji przemysłowych, z silną przewagą komparatywną w zakresie zielonych technologii, ale aby utrzymać tę przewagę, konieczne są nieustające wysiłki; mając na uwadze, że włączenie kwestii klimatycznych i środowiskowych do polityki konkurencji ma w związku z tym zasadnicze znaczenie; mając na uwadze, że według sprawozdania </w:t>
      </w:r>
      <w:proofErr w:type="spellStart"/>
      <w:r w:rsidRPr="002023C1">
        <w:t>Letty</w:t>
      </w:r>
      <w:proofErr w:type="spellEnd"/>
      <w:r w:rsidRPr="002023C1">
        <w:t xml:space="preserve"> brak integracji UE w sektorach finansowym, </w:t>
      </w:r>
      <w:r w:rsidRPr="002023C1">
        <w:lastRenderedPageBreak/>
        <w:t>energetycznym i łączności elektronicznej jest główną przyczyną spadku konkurencyjności Europy;</w:t>
      </w:r>
    </w:p>
    <w:p w:rsidR="007E061D" w:rsidRPr="002023C1" w:rsidRDefault="007E061D" w:rsidP="007E061D">
      <w:pPr>
        <w:pStyle w:val="NormalHanging12a"/>
      </w:pPr>
      <w:r w:rsidRPr="002023C1">
        <w:t>D.</w:t>
      </w:r>
      <w:r w:rsidRPr="002023C1">
        <w:tab/>
      </w:r>
      <w:proofErr w:type="gramStart"/>
      <w:r w:rsidRPr="002023C1">
        <w:t>mając</w:t>
      </w:r>
      <w:proofErr w:type="gramEnd"/>
      <w:r w:rsidRPr="002023C1">
        <w:t xml:space="preserve"> na uwadze, że unijna polityka konkurencji mogłaby przyczynić się do wzmocnienia odporności rynku wewnętrznego, a także do osiągnięcia celów Europejskiego Zielonego Ładu, cyfrowego kompasu 2030 i kompasu konkurencyjności, dla których kluczowe są wymiana i handel międzynarodowy;</w:t>
      </w:r>
    </w:p>
    <w:p w:rsidR="007E061D" w:rsidRPr="002023C1" w:rsidRDefault="007E061D" w:rsidP="007E061D">
      <w:pPr>
        <w:pStyle w:val="NormalHanging12a"/>
      </w:pPr>
      <w:r w:rsidRPr="002023C1">
        <w:t>E.</w:t>
      </w:r>
      <w:r w:rsidRPr="002023C1">
        <w:tab/>
      </w:r>
      <w:proofErr w:type="gramStart"/>
      <w:r w:rsidRPr="002023C1">
        <w:t>mając</w:t>
      </w:r>
      <w:proofErr w:type="gramEnd"/>
      <w:r w:rsidRPr="002023C1">
        <w:t xml:space="preserve"> na uwadze, że Komisja i krajowe organy ochrony konkurencji muszą działać w sposób bezstronny i obiektywny, aby zachować wiarygodność polityki konkurencji UE; mając na uwadze, że niezależność polityczna krajowych organów ochrony konkurencji ma ogromne znaczenie dla zapewnienia bezstronności i wiarygodności polityki konkurencji;</w:t>
      </w:r>
    </w:p>
    <w:p w:rsidR="007E061D" w:rsidRPr="002023C1" w:rsidRDefault="007E061D" w:rsidP="007E061D">
      <w:pPr>
        <w:pStyle w:val="Normal12a24b"/>
        <w:keepNext/>
        <w:keepLines/>
        <w:widowControl/>
      </w:pPr>
      <w:r w:rsidRPr="002023C1">
        <w:rPr>
          <w:rStyle w:val="BoldItalic"/>
        </w:rPr>
        <w:t>Kwestie ogólne</w:t>
      </w:r>
    </w:p>
    <w:p w:rsidR="007E061D" w:rsidRPr="002023C1" w:rsidRDefault="007E061D" w:rsidP="007E061D">
      <w:pPr>
        <w:pStyle w:val="NormalHanging12a"/>
        <w:keepNext/>
        <w:keepLines/>
      </w:pPr>
      <w:r w:rsidRPr="002023C1">
        <w:t>1.</w:t>
      </w:r>
      <w:r w:rsidRPr="002023C1">
        <w:tab/>
      </w:r>
      <w:proofErr w:type="gramStart"/>
      <w:r w:rsidRPr="002023C1">
        <w:t>uważa</w:t>
      </w:r>
      <w:proofErr w:type="gramEnd"/>
      <w:r w:rsidRPr="002023C1">
        <w:t>, że unijne prawo konkurencji ma na celu ochronę przed nadmiernym poziomem koncentracji i kumulacją kontroli nad rynkiem, oraz potwierdza rolę polityki konkurencji w zachęcaniu do wydajności, innowacji i wzrostu, wyrównanych warunków działania i ochrony konsumentów, gwarantując konkurencyjność, wydajność, dynamikę i innowacyjność rynków, i dostarczając wysokiej jakości produkty i usługi po uczciwych cenach i z szerokim wachlarzem opcji wyboru;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2.</w:t>
      </w:r>
      <w:r w:rsidRPr="002023C1">
        <w:tab/>
      </w:r>
      <w:proofErr w:type="gramStart"/>
      <w:r w:rsidRPr="002023C1">
        <w:t>przypomina</w:t>
      </w:r>
      <w:proofErr w:type="gramEnd"/>
      <w:r w:rsidRPr="002023C1">
        <w:t>, że polityka konkurencji powinna przyczyniać się do realizacji wszystkich strategii politycznych UE, zwłaszcza w dziedzinie zrównoważonego rozwoju, energii, obrony i cyfryzacji; jest zadowolony, że Komisja zobowiązała się do ustanowienia nowych ram pomocy państwa, które będą towarzyszyć Paktowi dla czystego przemysłu, aby zagwarantować konkurencyjność dzięki mobilizacji niezbędnego wsparcia publicznego dla transformacji energetycznej w celu dekarbonizacji unijnego przemysłu, dbając, aby nie hamowało to innowacji, nie podwyższało cen ani nie ograniczało konkurencji na rynku wewnętrznym; przypomina, że pomoc państwa nie powinna zakłócać uczciwej i skutecznej konkurencji;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3.</w:t>
      </w:r>
      <w:r w:rsidRPr="002023C1">
        <w:tab/>
      </w:r>
      <w:proofErr w:type="gramStart"/>
      <w:r w:rsidRPr="002023C1">
        <w:t>podkreśla</w:t>
      </w:r>
      <w:proofErr w:type="gramEnd"/>
      <w:r w:rsidRPr="002023C1">
        <w:t xml:space="preserve">, że globalna siła i znaczenie jednolitego rynku UE wynikają nie tylko z jego wewnętrznej i zewnętrznej konkurencyjności, ale również z możliwości ustalania wspólnych standardów i dbania o spójność terytorialną; stwierdza, że jednocześnie decydenci polityczni powinni należycie uwzględniać rozwój sytuacji regulacyjnej i rynkowej na szczeblu międzynarodowym, i wzywa Komisję, aby stale dążyła do dialogu i współpracy na szczeblu międzynarodowym, w tym poprzez umowy o współpracy drugiej generacji, które usprawniają wymianę informacji między organami ds. konkurencji oraz ułatwiają wpływanie na politykę konkurencji na całym świecie; podkreśla znaczenie Europejskiej Sieci Konkurencji (ECN) i wzywa Komisję do priorytetowego traktowania trwałego konstruktywnego dialogu i </w:t>
      </w:r>
      <w:proofErr w:type="gramStart"/>
      <w:r w:rsidRPr="002023C1">
        <w:t>współpracy</w:t>
      </w:r>
      <w:proofErr w:type="gramEnd"/>
      <w:r w:rsidRPr="002023C1">
        <w:t xml:space="preserve"> w tym zakresie na szczeblu międzynarodowym; wzywa do koordynacji między krajowymi organami ochrony konkurencji, aby jednolicie stosowano reguły konkurencji i podkreśla konieczność zacieśnienia współpracy między organami regulacyjnymi ds. ochrony konkurencji a innymi sektorowymi organami regulacyjnymi;</w:t>
      </w:r>
    </w:p>
    <w:p w:rsidR="007E061D" w:rsidRPr="002023C1" w:rsidRDefault="007E061D" w:rsidP="007E061D">
      <w:pPr>
        <w:pStyle w:val="Normal12a24b"/>
      </w:pPr>
      <w:r w:rsidRPr="002023C1">
        <w:rPr>
          <w:rStyle w:val="BoldItalic"/>
        </w:rPr>
        <w:t>Konkurencyjna Unia</w:t>
      </w:r>
    </w:p>
    <w:p w:rsidR="007E061D" w:rsidRPr="002023C1" w:rsidRDefault="007E061D" w:rsidP="007E061D">
      <w:pPr>
        <w:pStyle w:val="NormalHanging12a"/>
      </w:pPr>
      <w:r w:rsidRPr="002023C1">
        <w:lastRenderedPageBreak/>
        <w:t>4.</w:t>
      </w:r>
      <w:r w:rsidRPr="002023C1">
        <w:tab/>
      </w:r>
      <w:proofErr w:type="gramStart"/>
      <w:r w:rsidRPr="002023C1">
        <w:t>popiera</w:t>
      </w:r>
      <w:proofErr w:type="gramEnd"/>
      <w:r w:rsidRPr="002023C1">
        <w:t xml:space="preserve"> zobowiązanie Komisji do inwestowania w zrównoważoną konkurencyjność; z zadowoleniem przyjmuje położony w sprawozdaniu </w:t>
      </w:r>
      <w:proofErr w:type="spellStart"/>
      <w:r w:rsidRPr="002023C1">
        <w:t>Draghiego</w:t>
      </w:r>
      <w:proofErr w:type="spellEnd"/>
      <w:r w:rsidRPr="002023C1">
        <w:t xml:space="preserve"> nacisk na innowacje, inwestycje, integrację rynku, dekarbonizację i odporność, a w sprawozdaniu </w:t>
      </w:r>
      <w:proofErr w:type="spellStart"/>
      <w:r w:rsidRPr="002023C1">
        <w:t>Letty</w:t>
      </w:r>
      <w:proofErr w:type="spellEnd"/>
      <w:r w:rsidRPr="002023C1">
        <w:t xml:space="preserve"> – na integrację, autonomię i solidarność; zachęca do polityki wspierającej innowacje, konkurencyjność oraz zrównoważony wzrost gospodarczy sprzyjający włączeniu społecznemu;</w:t>
      </w:r>
    </w:p>
    <w:p w:rsidR="007E061D" w:rsidRPr="002023C1" w:rsidRDefault="007E061D" w:rsidP="007E061D">
      <w:pPr>
        <w:pStyle w:val="NormalHanging12a"/>
      </w:pPr>
      <w:r w:rsidRPr="002023C1">
        <w:t>5.</w:t>
      </w:r>
      <w:r w:rsidRPr="002023C1">
        <w:tab/>
      </w:r>
      <w:proofErr w:type="gramStart"/>
      <w:r w:rsidRPr="002023C1">
        <w:t>podkreśla</w:t>
      </w:r>
      <w:proofErr w:type="gramEnd"/>
      <w:r w:rsidRPr="002023C1">
        <w:t>, że potrzebna jest skoordynowana, ukierunkowana i prawdziwie europejska polityka przemysłowa, która zwiększa konkurencyjność; zauważa, że nie musi to prowadzić do dominacji rynkowej lub jej nadużywania, zakłóceń cen lub nieefektywności gospodarczej, oraz zwraca uwagę na konieczność stosowania skutecznych procedur kontroli fuzji;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6.</w:t>
      </w:r>
      <w:r w:rsidRPr="002023C1">
        <w:tab/>
      </w:r>
      <w:proofErr w:type="gramStart"/>
      <w:r w:rsidRPr="002023C1">
        <w:t>uważa</w:t>
      </w:r>
      <w:proofErr w:type="gramEnd"/>
      <w:r w:rsidRPr="002023C1">
        <w:t>, że wszelka przyznana pomoc państwa powinna być zgodna z celami polityki UE; odnotowuje, że Komisja zamierza przedstawić wytyczne dotyczące wykorzystywania pomocy państwa na wspieranie innowacji, działań klimatycznych i bezpieczeństwa gospodarczego, a także działań na rzecz zmniejszenia i stopniowego wycofywania dopłat do paliw kopalnych w ramach Paktu dla czystego przemysłu i zachęca państwa członkowskie do rozważenia wprowadzenia dodatkowych warunków otrzymywania pomocy państwa; wzywa do zakazania przedsiębiorstwom korzystającym z rajów podatkowych poza UE do otrzymywania pomocy państwa; zachęca Komisję do zbadania kwestii braku harmonizacji mechanizmów wycofania;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7.</w:t>
      </w:r>
      <w:r w:rsidRPr="002023C1">
        <w:tab/>
      </w:r>
      <w:proofErr w:type="gramStart"/>
      <w:r w:rsidRPr="002023C1">
        <w:t>przyjmuje</w:t>
      </w:r>
      <w:proofErr w:type="gramEnd"/>
      <w:r w:rsidRPr="002023C1">
        <w:t xml:space="preserve"> do wiadomości sprawozdanie Komisji, w którym stwierdzono, że koncentracja rynku, marże i zyski wzrosły w ciągu ostatnich 25 lat, podczas gdy dynamika przemysłu zmniejszyła się pomimo aktywnego egzekwowania przepisów prawa konkurencji; zauważa również, że wzrost marż wynikał z realokacji udziałów rynkowych na rzecz największych przedsiębiorstw; zauważa ponadto, że niski poziom konkurencji wywarł duży negatywny wpływ na konsumentów, siłę nabywczą oraz konkurencyjność unijnych przedsiębiorstw i ogólny wzrost gospodarczy; przypomina, że stosowanie prawa konkurencji powinno skupiać się na zapewnieniu otwartych i konkurencyjnych rynków wolnych od praktyk </w:t>
      </w:r>
      <w:proofErr w:type="spellStart"/>
      <w:r w:rsidRPr="002023C1">
        <w:t>antykonkurencyjnych</w:t>
      </w:r>
      <w:proofErr w:type="spellEnd"/>
      <w:r w:rsidRPr="002023C1">
        <w:t>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8.</w:t>
      </w:r>
      <w:r w:rsidRPr="002023C1">
        <w:tab/>
      </w:r>
      <w:proofErr w:type="gramStart"/>
      <w:r w:rsidRPr="002023C1">
        <w:t>zwraca</w:t>
      </w:r>
      <w:proofErr w:type="gramEnd"/>
      <w:r w:rsidRPr="002023C1">
        <w:t xml:space="preserve"> uwagę, że pomoc państwa jest w coraz większym stopniu wykorzystywana do wspierania celów polityki przemysłowej; przypomina, że taka pomoc, dozwolona na mocy art. 107 ust. 3 lit. c) TFUE, nie może wpływać niekorzystnie na warunki wymiany handlowej ani na wspólny interes; odnotowuje rozbieżności między państwami członkowskimi w ich możliwościach fiskalnych i ostrzega, że fragmentaryczna pomoc państwa stwarza nierówne warunki działania; wzywa Komisję do monitorowania tych skutków i zapewnienia integralności jednolitego rynku, co można osiągnąć za pomocą wspólnego instrumentu finansowania europejskiej polityki przemysłowej, takiego jak Europejski Fundusz Konkurencyjności, zgodnie z propozycją przewodniczącej Komisji Ursuli von der </w:t>
      </w:r>
      <w:proofErr w:type="spellStart"/>
      <w:r w:rsidRPr="002023C1">
        <w:t>Leyen</w:t>
      </w:r>
      <w:proofErr w:type="spellEnd"/>
      <w:r w:rsidRPr="002023C1">
        <w:t xml:space="preserve"> zawartą w jej wytycznych politycznych; </w:t>
      </w:r>
      <w:proofErr w:type="gramStart"/>
      <w:r w:rsidRPr="002023C1">
        <w:t>wzywa</w:t>
      </w:r>
      <w:proofErr w:type="gramEnd"/>
      <w:r w:rsidRPr="002023C1">
        <w:t xml:space="preserve"> Komisję i państwa członkowskie, aby nie rywalizowały o dotacje, co jedynie pogłębia zakłócenia na rynku, zwłaszcza w przypadku finansowania nieefektywnych przedsiębiorstw; stwierdza, że tymczasowe ramy pomocy państwa nie zapobiegły dalszej fragmentacji rynku, i zauważa, że 77 % zgłoszeń dotyczących pomocy państwa pochodziło z zaledwie dwóch państw członkowskich; wzywa do ściślejszego monitorowania zgłaszanej pomocy państwa oraz do lepszej sprawozdawczości i większej przejrzystości w zakresie pomocy państwa zgodnie z zaleceniami Europejskiego Trybunału Obrachunkowego;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lastRenderedPageBreak/>
        <w:t>9.</w:t>
      </w:r>
      <w:r w:rsidRPr="002023C1">
        <w:rPr>
          <w:b/>
        </w:rPr>
        <w:tab/>
      </w:r>
      <w:proofErr w:type="gramStart"/>
      <w:r w:rsidRPr="002023C1">
        <w:t>podkreśla</w:t>
      </w:r>
      <w:proofErr w:type="gramEnd"/>
      <w:r w:rsidRPr="002023C1">
        <w:t xml:space="preserve"> znaczenie ważnych projektów stanowiących przedmiot wspólnego europejskiego zainteresowania (projektów IPCEI) dla finansowania projektów o wymiarze transgranicznym w Unii; podkreśla, że IPCEI powinny charakteryzować się rzeczywistą unijną wartością dodaną, czyli wywierać pozytywny wpływ na więcej niż jedno państwo członkowskie; wzywa Komisję i państwa członkowskie do dopilnowania, aby każda procedura zgłoszenia pomocy państwa została zakończona najpóźniej w ciągu sześciu miesięcy;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10.</w:t>
      </w:r>
      <w:r w:rsidRPr="002023C1">
        <w:tab/>
        <w:t xml:space="preserve">przyjmuje do wiadomości szacunki ze sprawozdania </w:t>
      </w:r>
      <w:proofErr w:type="spellStart"/>
      <w:r w:rsidRPr="002023C1">
        <w:t>Draghiego</w:t>
      </w:r>
      <w:proofErr w:type="spellEnd"/>
      <w:r w:rsidRPr="002023C1">
        <w:t xml:space="preserve">, zgodnie z którymi ochrona konkurencyjności UE wymaga dodatkowych 800 mld EUR rocznie; potwierdza znaczenie inwestycji publicznych i prywatnych w tym kontekście; podkreśla, że budżet UE musi być odpowiednio przygotowany do tej roli; mając na uwadze, że ukończenie procesu tworzenia unii oszczędności i inwestycji ma kluczowe znaczenie dla mobilizacji inwestycji prywatnych, rozwiązania problemu fragmentacji rynku wewnętrznego i wsparcia strategii przemysłowej UE; uznaje pilną potrzebę przeprowadzenia reform i skutecznej realizacji trzech obszarów działania przedstawionych w sprawozdaniu </w:t>
      </w:r>
      <w:proofErr w:type="spellStart"/>
      <w:r w:rsidRPr="002023C1">
        <w:t>Draghiego</w:t>
      </w:r>
      <w:proofErr w:type="spellEnd"/>
      <w:r w:rsidRPr="002023C1">
        <w:t xml:space="preserve">: (i) likwidacja luki innowacyjnej z USA i </w:t>
      </w:r>
      <w:proofErr w:type="gramStart"/>
      <w:r w:rsidRPr="002023C1">
        <w:t>Chinami;  (ii</w:t>
      </w:r>
      <w:proofErr w:type="gramEnd"/>
      <w:r w:rsidRPr="002023C1">
        <w:t xml:space="preserve">) wspólny plan na rzecz dekarbonizacji i konkurencyjności w celu przyspieszenia </w:t>
      </w:r>
      <w:proofErr w:type="gramStart"/>
      <w:r w:rsidRPr="002023C1">
        <w:t>transformacji</w:t>
      </w:r>
      <w:proofErr w:type="gramEnd"/>
      <w:r w:rsidRPr="002023C1">
        <w:t xml:space="preserve"> energetycznej i zmniejszenia kosztów energii; oraz (iii) poprawa bezpieczeństwa i zmniejszenie zależności;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11.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zadowoleniem przyjmuje ochronę równych warunków działania na rynkach europejskich, w europejskich przedsiębiorstwach i wśród ich pracowników za pomocą środków antydumpingowych, które korygują zakłócającą zagraniczną pomoc państwa; wzywa Komisję do szybkiego wykorzystania dostępnych instrumentów handlowych dotyczących zamówień publicznych i subsydiów zagranicznych, aby zapobiec nieuczciwej konkurencji na rynku wewnętrznym;</w:t>
      </w:r>
    </w:p>
    <w:p w:rsidR="007E061D" w:rsidRPr="002023C1" w:rsidRDefault="007E061D" w:rsidP="007E061D">
      <w:pPr>
        <w:pStyle w:val="Normal12a24b"/>
      </w:pPr>
      <w:r w:rsidRPr="002023C1">
        <w:rPr>
          <w:rStyle w:val="BoldItalic"/>
        </w:rPr>
        <w:t>Priorytety w zakresie egzekwowania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12.</w:t>
      </w:r>
      <w:r w:rsidRPr="002023C1">
        <w:tab/>
      </w:r>
      <w:proofErr w:type="gramStart"/>
      <w:r w:rsidRPr="002023C1">
        <w:t>zauważa</w:t>
      </w:r>
      <w:proofErr w:type="gramEnd"/>
      <w:r w:rsidRPr="002023C1">
        <w:t xml:space="preserve"> zmiany w praktykach biznesowych, co widać w spadku liczby spraw kartelowych; ostrzega jednak przed nowymi formami szkodliwych </w:t>
      </w:r>
      <w:proofErr w:type="spellStart"/>
      <w:r w:rsidRPr="002023C1">
        <w:t>zachowań</w:t>
      </w:r>
      <w:proofErr w:type="spellEnd"/>
      <w:r w:rsidRPr="002023C1">
        <w:t>, takich jak milcząca zmowa i zmowa algorytmiczna, oraz podkreśla, że należy dostosować priorytety w dziedzinie egzekwowania prawa do tej zmieniającej się sytuacji;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13.</w:t>
      </w:r>
      <w:r w:rsidRPr="002023C1">
        <w:tab/>
      </w:r>
      <w:proofErr w:type="gramStart"/>
      <w:r w:rsidRPr="002023C1">
        <w:t>jest</w:t>
      </w:r>
      <w:proofErr w:type="gramEnd"/>
      <w:r w:rsidRPr="002023C1">
        <w:t xml:space="preserve"> zadowolony z propozycji zawartej w sprawozdaniu </w:t>
      </w:r>
      <w:proofErr w:type="spellStart"/>
      <w:r w:rsidRPr="002023C1">
        <w:t>Draghiego</w:t>
      </w:r>
      <w:proofErr w:type="spellEnd"/>
      <w:r w:rsidRPr="002023C1">
        <w:t xml:space="preserve"> dotyczącej „nowego narzędzia konkurencji” jako elastycznego instrumentu badania rynku mającego rozwiązać problemy strukturalne w zakresie konkurencji, które nie wynikają z </w:t>
      </w:r>
      <w:proofErr w:type="spellStart"/>
      <w:r w:rsidRPr="002023C1">
        <w:t>antykonkurencyjnych</w:t>
      </w:r>
      <w:proofErr w:type="spellEnd"/>
      <w:r w:rsidRPr="002023C1">
        <w:t xml:space="preserve"> porozumień lub nadużywania pozycji dominującej, oraz wprowadzić nowoczesne środki zaradcze o charakterze strukturalnym lub behawioralnym na całym rynku, w tym dzięki zmniejszeniu barier wejścia dla konkurentów w celu zwiększenia konkurencyjności, zachęcania do innowacji i ochrony konsumentów znajdujących się w trudnej sytuacji; zwraca się do Komisji o przeanalizowanie, w jaki sposób narzędzie to uzupełniłoby dotychczasowe ramy badań sektorowych;</w:t>
      </w:r>
    </w:p>
    <w:p w:rsidR="007E061D" w:rsidRPr="002023C1" w:rsidRDefault="007E061D" w:rsidP="007E061D">
      <w:pPr>
        <w:pStyle w:val="NormalHanging12a"/>
      </w:pPr>
      <w:r w:rsidRPr="002023C1">
        <w:t>14.</w:t>
      </w:r>
      <w:r w:rsidRPr="002023C1">
        <w:tab/>
      </w:r>
      <w:proofErr w:type="gramStart"/>
      <w:r w:rsidRPr="002023C1">
        <w:t>przypomina</w:t>
      </w:r>
      <w:proofErr w:type="gramEnd"/>
      <w:r w:rsidRPr="002023C1">
        <w:t>, że na mocy traktatu Komisja jest uprawniona do przeciwdziałania nadużyciom;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15.</w:t>
      </w:r>
      <w:r w:rsidRPr="002023C1">
        <w:tab/>
      </w:r>
      <w:proofErr w:type="gramStart"/>
      <w:r w:rsidRPr="002023C1">
        <w:t>docenia</w:t>
      </w:r>
      <w:proofErr w:type="gramEnd"/>
      <w:r w:rsidRPr="002023C1">
        <w:t xml:space="preserve"> istnienie podstawy prawnej dla strukturalnych środków zaradczych przeciwko nadużywaniu pozycji dominującej na rynku; jest świadomy, że unijne reguły </w:t>
      </w:r>
      <w:r w:rsidRPr="002023C1">
        <w:lastRenderedPageBreak/>
        <w:t xml:space="preserve">konkurencji stanowią, iż strukturalne środki zaradcze powinny być stosowane w ostateczności tylko wtedy, gdy środki behawioralne okazały się nieskuteczne, ale ubolewa jednak nad niechęcią Komisji do rozwiązania problemu dominacji rynkowej za pomocą strukturalnych środków zaradczych; ponawia apel o lepsze wykorzystanie strukturalnych środków zaradczych i porzucenie praktyki priorytetowego traktowania środków o charakterze behawioralnym oraz zachęca do ich bardziej zdecydowanego stosowania; wzywa Komisję do lepszego wykorzystywania instrumentu środków tymczasowych, aby powstrzymać praktyki, które mogłyby poważnie zaszkodzić konkurencji, zwłaszcza w odniesieniu do dynamicznych i </w:t>
      </w:r>
      <w:proofErr w:type="gramStart"/>
      <w:r w:rsidRPr="002023C1">
        <w:t>szybko</w:t>
      </w:r>
      <w:proofErr w:type="gramEnd"/>
      <w:r w:rsidRPr="002023C1">
        <w:t xml:space="preserve"> rozwijających się rynków, np. rynków cyfrowych;</w:t>
      </w:r>
    </w:p>
    <w:p w:rsidR="007E061D" w:rsidRPr="002023C1" w:rsidRDefault="007E061D" w:rsidP="007E061D">
      <w:pPr>
        <w:pStyle w:val="NormalHanging12a"/>
      </w:pPr>
      <w:r w:rsidRPr="002023C1">
        <w:t>16.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zadowoleniem przyjmuje priorytetowe traktowanie mieszkalnictwa przez Komisję 2024–2029; wzywa Komisję, aby oceniła, jak zasady konkurencji UE wpłynęły na świadczenie usług w ogólnym interesie gospodarczym (UOIG); wzywa Komisję, aby oceniła pozycję usług socjalnych świadczonych w interesie ogólnym oraz wyłączenie z tytułu UOIG dotyczące przystępnych cenowo mieszkań;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 xml:space="preserve">17. </w:t>
      </w:r>
      <w:r w:rsidRPr="002023C1">
        <w:tab/>
      </w:r>
      <w:proofErr w:type="gramStart"/>
      <w:r w:rsidRPr="002023C1">
        <w:t>podkreśla</w:t>
      </w:r>
      <w:proofErr w:type="gramEnd"/>
      <w:r w:rsidRPr="002023C1">
        <w:t>, jak ważna jest pomoc państwa jako instrument zmniejszania przepaści gospodarczej między najbardziej rozwiniętymi regionami UE a wyspami, obszarami śródlądowymi, regionami najbardziej oddalonymi i obszarami znajdującymi się w trudnej sytuacji gospodarczej; przypomina, że zezwolenie na pomoc państwa w związku z UOIG ma nadal istotne znaczenie dla przetrwania tych obszarów, zwłaszcza w kontekście wsparcia państwa przeznaczonego na łączność i inne podstawowe świadczenie usług dla społeczności zamieszkujących w odizolowanych, oddalonych lub peryferyjnych regionach UE; wzywa Komisję do zbadania możliwości większej elastyczności w przyznawaniu finansowania tym regionom;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18.</w:t>
      </w:r>
      <w:r w:rsidRPr="002023C1">
        <w:tab/>
      </w:r>
      <w:proofErr w:type="gramStart"/>
      <w:r w:rsidRPr="002023C1">
        <w:t>odnotowuje</w:t>
      </w:r>
      <w:proofErr w:type="gramEnd"/>
      <w:r w:rsidRPr="002023C1">
        <w:t xml:space="preserve"> niedawne orzeczenie Trybunału Sprawiedliwości Unii Europejskiej, w którym stwierdzono, że jedno państwo członkowskie nie transponowało dyrektywy ECN+ do ustawodawstwa krajowego; podkreśla, jak ważna jest pełna transpozycja tej dyrektywy; apeluje do wszystkich państw członkowskich, by zapewniły jej właściwe wdrożenie;</w:t>
      </w:r>
    </w:p>
    <w:p w:rsidR="007E061D" w:rsidRPr="002023C1" w:rsidRDefault="007E061D" w:rsidP="007E061D">
      <w:pPr>
        <w:pStyle w:val="Normal12a24b"/>
      </w:pPr>
      <w:r w:rsidRPr="002023C1">
        <w:rPr>
          <w:rStyle w:val="BoldItalic"/>
        </w:rPr>
        <w:t xml:space="preserve">Łączenie przedsiębiorstw i przeciwdziałanie praktykom monopolistycznym 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19.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zaniepokojeniem odnotowuje wydaną przez Trybunał Sprawiedliwości UE interpretację art. 22 rozporządzenia WE w sprawie kontroli łączenia przedsiębiorstw w sprawie C-611/22 P (</w:t>
      </w:r>
      <w:proofErr w:type="spellStart"/>
      <w:r w:rsidRPr="002023C1">
        <w:t>Illumina</w:t>
      </w:r>
      <w:proofErr w:type="spellEnd"/>
      <w:r w:rsidRPr="002023C1">
        <w:t xml:space="preserve">/Komisja) odrzucającą podejście Komisji polegające na przyjmowaniu wniosków o odesłanie sprawy dotyczących umów niepodlegających zgłoszeniu; przyznaje, że rozporządzenie WE w sprawie kontroli łączenia przedsiębiorstw nie zapewnia Komisji wystarczających narzędzi do radzenia sobie z zabójczymi przejęciami; jest głęboko przekonany, że wpływ decyzji dotyczących połączeń na rynek wewnętrzny uzasadnia dodanie do rozporządzenia WE w sprawie kontroli łączenia przedsiębiorstw podstawy prawnej dotyczącej rynku wewnętrznego, tak aby w pełni zaangażować </w:t>
      </w:r>
      <w:proofErr w:type="spellStart"/>
      <w:r w:rsidRPr="002023C1">
        <w:t>współustawodawców</w:t>
      </w:r>
      <w:proofErr w:type="spellEnd"/>
      <w:r w:rsidRPr="002023C1">
        <w:t xml:space="preserve">, tak jak w akcie o rynkach cyfrowych (DMA – Digital </w:t>
      </w:r>
      <w:proofErr w:type="spellStart"/>
      <w:r w:rsidRPr="002023C1">
        <w:t>Markets</w:t>
      </w:r>
      <w:proofErr w:type="spellEnd"/>
      <w:r w:rsidRPr="002023C1">
        <w:t xml:space="preserve"> </w:t>
      </w:r>
      <w:proofErr w:type="spellStart"/>
      <w:r w:rsidRPr="002023C1">
        <w:t>Act</w:t>
      </w:r>
      <w:proofErr w:type="spellEnd"/>
      <w:r w:rsidRPr="002023C1">
        <w:t xml:space="preserve">); </w:t>
      </w:r>
      <w:proofErr w:type="gramStart"/>
      <w:r w:rsidRPr="002023C1">
        <w:t>wzywa</w:t>
      </w:r>
      <w:proofErr w:type="gramEnd"/>
      <w:r w:rsidRPr="002023C1">
        <w:t xml:space="preserve"> Komisję, aby zobowiązała państwa członkowskie, które mają lub mogą powoływać się na odpowiednie kompetencje, do zbadania potencjalnych zabójczych przejęć w świetle ich krajowych przepisów dotyczących kontroli połączeń oraz do dalszego przekazywania takich umów zgodnie z art. 22 rozporządzenia WE w sprawie kontroli łączenia przedsiębiorstw; wzywa </w:t>
      </w:r>
      <w:r w:rsidRPr="002023C1">
        <w:lastRenderedPageBreak/>
        <w:t>Komisję do analizy możliwości przeglądu rozporządzenia WE w sprawie kontroli łączenia przedsiębiorstw, co pozwoliłoby jej badać połączenia przedsiębiorstw, które nie osiągają progów unijnych ani krajowych, niezależnie od zaangażowanych sektorów;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20.</w:t>
      </w:r>
      <w:r w:rsidRPr="002023C1">
        <w:tab/>
      </w:r>
      <w:proofErr w:type="gramStart"/>
      <w:r w:rsidRPr="002023C1">
        <w:t>zauważa</w:t>
      </w:r>
      <w:proofErr w:type="gramEnd"/>
      <w:r w:rsidRPr="002023C1">
        <w:t>, że od czasu wejścia w życie rozporządzenia WE w sprawie kontroli łączenia przedsiębiorstw w 2004 r. 0,7 % zgłoszonych połączeń zostało zablokowanych przez Komisję lub cofniętych w wyniku dochodzenia;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21.</w:t>
      </w:r>
      <w:r w:rsidRPr="002023C1">
        <w:tab/>
      </w:r>
      <w:proofErr w:type="gramStart"/>
      <w:r w:rsidRPr="002023C1">
        <w:t>zauważa</w:t>
      </w:r>
      <w:proofErr w:type="gramEnd"/>
      <w:r w:rsidRPr="002023C1">
        <w:t>, że same progi obrotu określone w rozporządzeniu WE w sprawie kontroli łączenia przedsiębiorstw mogą nie być wystarczające, by wykryć wszystkie przypadki, które organy ochrony konkurencji powinny zbadać; zwraca uwagę na praktyki stosowane przez przedsiębiorstwa dominujące w celu unikania formalnych dochodzeń, takie jak coraz częstsze wykorzystywanie „partnerstw” w sektorze AI, co prowadzi do wniosku, że konieczny jest przegląd tego rozporządzenia;</w:t>
      </w:r>
    </w:p>
    <w:p w:rsidR="007E061D" w:rsidRPr="002023C1" w:rsidRDefault="007E061D" w:rsidP="007E061D">
      <w:pPr>
        <w:pStyle w:val="NormalHanging12a"/>
      </w:pPr>
      <w:r w:rsidRPr="002023C1">
        <w:t>22.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zadowoleniem przyjmuje zawartą w sprawozdaniu </w:t>
      </w:r>
      <w:proofErr w:type="spellStart"/>
      <w:r w:rsidRPr="002023C1">
        <w:t>Draghiego</w:t>
      </w:r>
      <w:proofErr w:type="spellEnd"/>
      <w:r w:rsidRPr="002023C1">
        <w:t xml:space="preserve"> propozycję „obrony innowacji”, jeżeli połączenie zwiększa zdolność i motywację do innowacji, oraz zachęca Komisję do przeanalizowania i dalszego rozwijania tej koncepcji; ponadto wzywa do uwzględnienia kwestii interesu publicznego takich jak wpływ na pracowników;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23.</w:t>
      </w:r>
      <w:r w:rsidRPr="002023C1">
        <w:tab/>
      </w:r>
      <w:proofErr w:type="gramStart"/>
      <w:r w:rsidRPr="002023C1">
        <w:t>zwraca</w:t>
      </w:r>
      <w:proofErr w:type="gramEnd"/>
      <w:r w:rsidRPr="002023C1">
        <w:t xml:space="preserve"> się do Komisji, by zidentyfikowała krajowe bariery, które mogą uniemożliwiać jej uznanie rynku unijnego za istotny w analizie połączeń; wzywa Komisję, by przedstawiła wniosek ustawodawczy w celu usunięcia tych przeszkód; zauważa, że przy podejmowaniu decyzji w sprawie definicji rynku właściwego w sprawach dotyczących konkurencji i kontroli połączeń należy dokładnie przeanalizować środowisko międzynarodowe; wzywa Komisję, by przyjęła tam, gdzie to stosowne, perspektywiczne podejście do konsolidacji w UE, zaproponowane również w sprawozdaniach </w:t>
      </w:r>
      <w:proofErr w:type="spellStart"/>
      <w:r w:rsidRPr="002023C1">
        <w:t>Draghiego</w:t>
      </w:r>
      <w:proofErr w:type="spellEnd"/>
      <w:r w:rsidRPr="002023C1">
        <w:t xml:space="preserve"> i </w:t>
      </w:r>
      <w:proofErr w:type="spellStart"/>
      <w:r w:rsidRPr="002023C1">
        <w:t>Letty</w:t>
      </w:r>
      <w:proofErr w:type="spellEnd"/>
      <w:r w:rsidRPr="002023C1">
        <w:t>, z uwzględnieniem strategicznego znaczenia i prokonkurencyjnego wpływu skali i korzystnych warunków inwestycyjnych w niektórych sektorach na pobudzanie innowacji i długoterminowej konkurencji;</w:t>
      </w:r>
    </w:p>
    <w:p w:rsidR="007E061D" w:rsidRPr="002023C1" w:rsidRDefault="007E061D" w:rsidP="007E061D">
      <w:pPr>
        <w:pStyle w:val="NormalHanging12a"/>
      </w:pPr>
      <w:r w:rsidRPr="002023C1">
        <w:t>24.</w:t>
      </w:r>
      <w:r w:rsidRPr="002023C1">
        <w:tab/>
      </w:r>
      <w:proofErr w:type="gramStart"/>
      <w:r w:rsidRPr="002023C1">
        <w:t>wzywa</w:t>
      </w:r>
      <w:proofErr w:type="gramEnd"/>
      <w:r w:rsidRPr="002023C1">
        <w:t xml:space="preserve"> do aktualizacji ram oceny połączeń w celu odzwierciedlenia realiów gospodarki cyfrowej, w której dominacja na rynku może się manifestować inaczej niż tradycyjny udział w rynku na wyraźnie rozgraniczonych rynkach; popiera opracowanie zaawansowanych metod analizy dominacji opartej na dostępie do danych i efektach sieciowych, a zarazem podkreśla kluczową rolę decyzji konsumentów przy wyborze usług i urządzeń cyfrowych; zachęca Komisję, by wzmocniła mechanizmy umożliwiające interoperacyjność między usługami i urządzeniami oraz wspierające innowacje i konkurencję w ekosystemie cyfrowym; wzywa Komisję do szybkich postępów we wdrażaniu istniejących obowiązków w zakresie interoperacyjności usług przesyłania wiadomości na mocy DMA, istniejących obowiązków w zakresie interoperacyjności dla </w:t>
      </w:r>
      <w:proofErr w:type="gramStart"/>
      <w:r w:rsidRPr="002023C1">
        <w:t>dostawców</w:t>
      </w:r>
      <w:proofErr w:type="gramEnd"/>
      <w:r w:rsidRPr="002023C1">
        <w:t xml:space="preserve"> usług w chmurze na mocy aktu w sprawie danych oraz do rozpoczęcia prac nad przeglądem DMA do maja 2026 r.; wzywa Komisję do stosowania dotychczasowych obowiązków w zakresie interoperacyjności wynikających z DMA i do rozszerzenia ich na internetowe serwisy społecznościowe; popiera propozycję Komisji, aby w sytuacji, gdy ekspansja na sąsiednie rynki skutkowałaby dalszym wzmocnieniem dominującej pozycji spółki przejmującej na jej rynku głównym, w ocenie połączeń w większym stopniu uwzględniać potencjalne szkody dla konkurencji;</w:t>
      </w:r>
    </w:p>
    <w:p w:rsidR="007E061D" w:rsidRPr="002023C1" w:rsidRDefault="007E061D" w:rsidP="007E061D">
      <w:pPr>
        <w:pStyle w:val="NormalHanging12a"/>
        <w:rPr>
          <w:b/>
          <w:snapToGrid/>
        </w:rPr>
      </w:pPr>
      <w:r w:rsidRPr="002023C1">
        <w:lastRenderedPageBreak/>
        <w:t>25.</w:t>
      </w:r>
      <w:r w:rsidRPr="002023C1">
        <w:tab/>
      </w:r>
      <w:proofErr w:type="gramStart"/>
      <w:r w:rsidRPr="002023C1">
        <w:t>wzywa</w:t>
      </w:r>
      <w:proofErr w:type="gramEnd"/>
      <w:r w:rsidRPr="002023C1">
        <w:t xml:space="preserve"> Komisję do zajęcia się nadmiernie długimi dochodzeniami antymonopolowymi, podczas których przedsiębiorstwa nadal czerpią korzyści z praktyk </w:t>
      </w:r>
      <w:proofErr w:type="spellStart"/>
      <w:r w:rsidRPr="002023C1">
        <w:t>antykonkurencyjnych</w:t>
      </w:r>
      <w:proofErr w:type="spellEnd"/>
      <w:r w:rsidRPr="002023C1">
        <w:t>; wzywa Komisję do ustalenia odpowiednich terminów dla procedur antymonopolowych i zapewnienia skutecznej realizacji podjętych decyzji; wzywa Komisję do przyjęcia dalszych środków tymczasowych, aby powstrzymać wszelkie praktyki, które mogłyby poważnie szkodzić konkurencji, zwłaszcza w odniesieniu do dynamicznych i szybko rozwijających się rynków, np. rynków cyfrowych;</w:t>
      </w:r>
    </w:p>
    <w:p w:rsidR="007E061D" w:rsidRPr="002023C1" w:rsidRDefault="007E061D" w:rsidP="007E061D">
      <w:pPr>
        <w:pStyle w:val="Normal12a24b"/>
      </w:pPr>
      <w:r w:rsidRPr="002023C1">
        <w:rPr>
          <w:rStyle w:val="BoldItalic"/>
        </w:rPr>
        <w:t>Polityki sektorowe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26.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zadowoleniem przyjmuje dwa przełomowe wyroki Trybunału Sprawiedliwości z września 2024 r. potwierdzające opinię Komisji, że irlandzkie porozumienie podatkowe z Apple stanowi niezgodną z prawem pomoc państwa oraz że Google nadużywa pozycji dominującej, naruszając traktaty; przyznaje, że od tego czasu ramy prawne w Irlandii zmieniły się; zachęca Komisję, by nadal podejmowała zdecydowane kroki przeciwko nadużyciom pomocy państwa obejmującym wybiórcze ulgi podatkowe dla przedsiębiorstw;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27.</w:t>
      </w:r>
      <w:r w:rsidRPr="002023C1">
        <w:tab/>
      </w:r>
      <w:proofErr w:type="gramStart"/>
      <w:r w:rsidRPr="002023C1">
        <w:t>zwraca</w:t>
      </w:r>
      <w:proofErr w:type="gramEnd"/>
      <w:r w:rsidRPr="002023C1">
        <w:t xml:space="preserve"> uwagę na szkodliwy wpływ międzynarodowej konkurencji podatkowej; przypomina o swoim poparciu dla wdrożenia drugiego filaru Organizacji Współpracy Gospodarczej i Rozwoju (OECD); wyraża głębokie ubolewanie z powodu amerykańskiego prezydenckiego dekretu z 20 stycznia 2025 r., zgodnie z którym globalne porozumienie podatkowe OECD „nie ma mocy ani skutku w Stanach Zjednoczonych”; podkreśla znaczenie multilateralizmu dla dopilnowania, aby przedsiębiorstwa wielonarodowe płaciły sprawiedliwą część opodatkowania w miejscu, gdzie tworzona jest wartość; jest zdania, że UE powinna bronić dyrektywy OECD w sprawie drugiego filaru;</w:t>
      </w:r>
    </w:p>
    <w:p w:rsidR="007E061D" w:rsidRPr="002023C1" w:rsidRDefault="007E061D" w:rsidP="007E061D">
      <w:pPr>
        <w:pStyle w:val="NormalHanging12a"/>
      </w:pPr>
      <w:r w:rsidRPr="002023C1">
        <w:t>28.</w:t>
      </w:r>
      <w:r w:rsidRPr="002023C1">
        <w:tab/>
      </w:r>
      <w:proofErr w:type="gramStart"/>
      <w:r w:rsidRPr="002023C1">
        <w:t>podkreśla</w:t>
      </w:r>
      <w:proofErr w:type="gramEnd"/>
      <w:r w:rsidRPr="002023C1">
        <w:t xml:space="preserve"> niepokojące zjawisko koncentracji rynkowej na różnych rynkach cyfrowych, takich jak rynek mediów społecznościowych, wyszukiwarek, AI, usług w chmurze, handlu elektronicznego, </w:t>
      </w:r>
      <w:proofErr w:type="spellStart"/>
      <w:r w:rsidRPr="002023C1">
        <w:t>mikroczipów</w:t>
      </w:r>
      <w:proofErr w:type="spellEnd"/>
      <w:r w:rsidRPr="002023C1">
        <w:t xml:space="preserve"> i reklam internetowych; podkreśla jego rzeczywisty i potencjalny negatywny wpływ na konkurencyjność UE, odporność łańcuchów dostaw, wolność mediów, ochronę prywatności i danych, społeczeństwo i demokrację; wzywa Komisję do zajęcia się kwestiami specyficznymi dla rynku technologii, w tym kontrolą nad infrastrukturą w segmentach sprzętu komputerowego i chmury obliczeniowej, pionową koncentracją, algorytmiczną manipulacją cyfrową sferą publiczną i wykorzystywaniem efektu mnożnikowego na rynkach cyfrowych, co udowodniły postępy osiągnięte dzięki DMA; ponadto wzywa do wszczęcia nowych dochodzeń w sektorze usług w chmurze, </w:t>
      </w:r>
      <w:proofErr w:type="gramStart"/>
      <w:r w:rsidRPr="002023C1">
        <w:t>aby</w:t>
      </w:r>
      <w:proofErr w:type="gramEnd"/>
      <w:r w:rsidRPr="002023C1">
        <w:t xml:space="preserve"> zapewnić uczciwą konkurencję i innowacje, z uwzględnieniem stopnia koncentracji rynku w tym sektorze oraz praktyk </w:t>
      </w:r>
      <w:proofErr w:type="spellStart"/>
      <w:r w:rsidRPr="002023C1">
        <w:t>antykonkurencyjnych</w:t>
      </w:r>
      <w:proofErr w:type="spellEnd"/>
      <w:r w:rsidRPr="002023C1">
        <w:t xml:space="preserve"> związanych ze złożonymi i nieprzejrzystymi warunkami udzielania licencji lub przymusowym łączeniem; wzywa poza tym Komisję, by zajęła się coraz większą pionową koncentracją dominujących podmiotów w łańcuchu wartości reklam, zagrażającą unijnemu sektorowi reklamy internetowej;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29.</w:t>
      </w:r>
      <w:r w:rsidRPr="002023C1">
        <w:tab/>
      </w:r>
      <w:proofErr w:type="gramStart"/>
      <w:r w:rsidRPr="002023C1">
        <w:t>obserwuje</w:t>
      </w:r>
      <w:proofErr w:type="gramEnd"/>
      <w:r w:rsidRPr="002023C1">
        <w:t xml:space="preserve"> szybki rozwój usług AI, który może doprowadzić do koncentracji rynku; wzywa Komisję do przyjęcia ekosystemowego podejścia do tego sektora, m.in. poprzez opracowanie i zastosowanie nowych teorii szkód w celu przeciwdziałania dalszemu umacnianiu się w tym sektorze dominujących firm; podkreśla, że DMA zawiera </w:t>
      </w:r>
      <w:r w:rsidRPr="002023C1">
        <w:lastRenderedPageBreak/>
        <w:t xml:space="preserve">przepisy, które trzeba wykorzystać, aby uniemożliwić strażnikom dostępu utrudnianie rozwoju nowych produktów AI, oraz zwraca się do Komisji o szybkie rozwiązanie problemu polegającego na zmuszaniu konsumentów do korzystania z odgórnie oferowanych usług AI na urządzeniach mobilnych, co zapewni możliwość wyboru systemów AI przez użytkownika i ich przejrzystość, a tym samym ochroni konkurencję i swobodę wyboru konsumentów; </w:t>
      </w:r>
      <w:proofErr w:type="gramStart"/>
      <w:r w:rsidRPr="002023C1">
        <w:t>wzywa</w:t>
      </w:r>
      <w:proofErr w:type="gramEnd"/>
      <w:r w:rsidRPr="002023C1">
        <w:t xml:space="preserve"> Komisję do zbadania możliwości dodania generatywnej AI jako nowej podstawowej usługi platformy w ramach DMA;</w:t>
      </w:r>
    </w:p>
    <w:p w:rsidR="007E061D" w:rsidRPr="002023C1" w:rsidRDefault="007E061D" w:rsidP="007E061D">
      <w:pPr>
        <w:pStyle w:val="NormalHanging12a"/>
      </w:pPr>
      <w:r w:rsidRPr="002023C1">
        <w:t>30.</w:t>
      </w:r>
      <w:r w:rsidRPr="002023C1">
        <w:tab/>
      </w:r>
      <w:proofErr w:type="gramStart"/>
      <w:r w:rsidRPr="002023C1">
        <w:t>zauważa</w:t>
      </w:r>
      <w:proofErr w:type="gramEnd"/>
      <w:r w:rsidRPr="002023C1">
        <w:t xml:space="preserve">, że duże podmioty cyfrowe wykorzystują własną potęgę rynkową, siłę wpływu na konsumentów, zasoby finansowe i koncentrację danych na jednym rynku, aby zwiększyć wpływ na inny rynek; podkreśla, że małe podmioty nie mogą konkurować z wyżej wymienionymi czynnikami, przez co obywatele UE są jeszcze bardziej zależni od tej samej niewielkiej liczby przedsiębiorstw spoza UE i zagrożona jest strategiczna autonomia; wzywa, by w większym stopniu kontrolować wykorzystywanie pozycji przez firmy dominujące w sektorze cyfrowym i rozszerzanie tej przewagi na inne sektory, a także by kontrolować strategiczną autonomię UE za pośrednictwem przeglądu wytycznych w sprawie łączenia przedsiębiorstw, aby zapewnić skuteczniejszy nadzór nad </w:t>
      </w:r>
      <w:proofErr w:type="gramStart"/>
      <w:r w:rsidRPr="002023C1">
        <w:t>wykorzystywaniem</w:t>
      </w:r>
      <w:proofErr w:type="gramEnd"/>
      <w:r w:rsidRPr="002023C1">
        <w:t xml:space="preserve"> efektu mnożnikowego na rynku;</w:t>
      </w:r>
    </w:p>
    <w:p w:rsidR="007E061D" w:rsidRPr="002023C1" w:rsidRDefault="007E061D" w:rsidP="007E061D">
      <w:pPr>
        <w:pStyle w:val="NormalHanging12a"/>
      </w:pPr>
      <w:r w:rsidRPr="002023C1">
        <w:t>31.</w:t>
      </w:r>
      <w:r w:rsidRPr="002023C1">
        <w:tab/>
      </w:r>
      <w:proofErr w:type="gramStart"/>
      <w:r w:rsidRPr="002023C1">
        <w:t>zwraca</w:t>
      </w:r>
      <w:proofErr w:type="gramEnd"/>
      <w:r w:rsidRPr="002023C1">
        <w:t xml:space="preserve"> uwagę na znaczenie danych i narzędzi analizy danych jako jednego z czynników zniechęcających do koncentracji i przejęć na rynku cyfrowym w sektorze cyfrowym; wzywa Europejską Radę Ochrony Danych, aby w przypadku połączeń z udziałem co najmniej jednego uczestnika rynku w sektorze cyfrowym wydawała obowiązkową opinię na temat znaczenia zbiorów danych dla planowanej koncentracji, danych osobowych przetwarzanych przez przejmowany podmiot oraz ewentualnego wpływu planowanej koncentracji na prawo do prywatności i ochrony danych;</w:t>
      </w:r>
    </w:p>
    <w:p w:rsidR="007E061D" w:rsidRPr="002023C1" w:rsidRDefault="007E061D" w:rsidP="007E061D">
      <w:pPr>
        <w:pStyle w:val="NormalHanging12a"/>
      </w:pPr>
      <w:r w:rsidRPr="002023C1">
        <w:t>32.</w:t>
      </w:r>
      <w:r w:rsidRPr="002023C1">
        <w:tab/>
      </w:r>
      <w:proofErr w:type="gramStart"/>
      <w:r w:rsidRPr="002023C1">
        <w:t>wyraża</w:t>
      </w:r>
      <w:proofErr w:type="gramEnd"/>
      <w:r w:rsidRPr="002023C1">
        <w:t xml:space="preserve"> zaniepokojenie coraz powszechniejszym stosowaniem dynamicznych mechanizmów ustalania cen w całej UE; wzywa Komisję do poszukania rozwiązań regulacyjnych przeciwko wysoce elastycznym i nieprzejrzystym metodom ustalania cen;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33.</w:t>
      </w:r>
      <w:r w:rsidRPr="002023C1">
        <w:tab/>
      </w:r>
      <w:proofErr w:type="gramStart"/>
      <w:r w:rsidRPr="002023C1">
        <w:t>wzywa</w:t>
      </w:r>
      <w:proofErr w:type="gramEnd"/>
      <w:r w:rsidRPr="002023C1">
        <w:t xml:space="preserve"> Komisję do zdecydowanego egzekwowania wszystkich zasad konkurencji, w tym rozporządzenia w sprawie subsydiów zagranicznych i DMA, aby ukrócić praktyki strażników dostępu oraz wspierać </w:t>
      </w:r>
      <w:proofErr w:type="spellStart"/>
      <w:r w:rsidRPr="002023C1">
        <w:t>kontestowalne</w:t>
      </w:r>
      <w:proofErr w:type="spellEnd"/>
      <w:r w:rsidRPr="002023C1">
        <w:t xml:space="preserve"> rynki i uczciwą konkurencję; podkreśla, że Komisja musi dysponować wystarczającą liczbą personelu, aby egzekwować prawo, a nowe narzędzia, a także naukowcy i ekonomiści wywodzący się z rozbieżnych dyscyplin, mogą działać na rzecz poprawy egzekwowania prawa konkurencji; podkreśla w szczególności, że DMA powinien być stosowany rygorystycznie i niezależnie, bez zewnętrznych nacisków; podkreśla, że DMA i potencjalne grzywny nie mogą być wykorzystywane jako karta przetargowa w dyskusji na temat ceł, lecz jako uzasadnienie wysiłków UE na rzecz </w:t>
      </w:r>
      <w:proofErr w:type="gramStart"/>
      <w:r w:rsidRPr="002023C1">
        <w:t>zapewnienia</w:t>
      </w:r>
      <w:proofErr w:type="gramEnd"/>
      <w:r w:rsidRPr="002023C1">
        <w:t xml:space="preserve"> sprawiedliwych i konkurencyjnych rynków cyfrowych; odnotowuje sześć postępowań w sprawie niewypełniania obowiązków wszczętych przeciwko niektórym wyznaczonym strażnikom dostępu; jest głęboko zaniepokojony potencjalnymi opóźnieniami w krytycznych dochodzeniach oraz zdolnością Komisji do wywiązania się ze swoich obowiązków w zakresie „dołożenia wszelkich starań” i podjęcia decyzji w sprawie postępowań w sprawie braku zgodności bez zbędnej zwłoki;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34.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zaniepokojeniem odnotowuje fragmentację wielu rynków konsumenckich, w tym usług finansowych, telekomunikacji i energii dla gospodarstw domowych, oraz wzywa </w:t>
      </w:r>
      <w:r w:rsidRPr="002023C1">
        <w:lastRenderedPageBreak/>
        <w:t>zarówno do szybszej i lepszej integracji rynku tam, gdzie przynosi to korzyści konsumentom, jak i do przyznania, że integracja rynku może napędzać inwestycje i innowacje;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35.</w:t>
      </w:r>
      <w:r w:rsidRPr="002023C1">
        <w:tab/>
      </w:r>
      <w:proofErr w:type="gramStart"/>
      <w:r w:rsidRPr="002023C1">
        <w:t>jest</w:t>
      </w:r>
      <w:proofErr w:type="gramEnd"/>
      <w:r w:rsidRPr="002023C1">
        <w:t xml:space="preserve"> głęboko zaniepokojony dużą koncentracją w sektorach detalicznym, rolnym i motoryzacyjnym na terytoriach zamorskich, gdzie nadmierne ceny podstawowych produktów i usług, ustalane przez przedsiębiorstwa dominujące, pogłębiają nierówności, niepewność i dysproporcje terytorialne; wzywa Komisję do wszczęcia dochodzenia w sprawie potencjalnego nadużycia pozycji dominującej na mocy art. 102 TFUE;</w:t>
      </w:r>
    </w:p>
    <w:p w:rsidR="007E061D" w:rsidRPr="002023C1" w:rsidRDefault="007E061D" w:rsidP="007E061D">
      <w:pPr>
        <w:pStyle w:val="NormalHanging12a"/>
        <w:rPr>
          <w:b/>
          <w:snapToGrid/>
        </w:rPr>
      </w:pPr>
      <w:r w:rsidRPr="002023C1">
        <w:t>36.</w:t>
      </w:r>
      <w:r w:rsidRPr="002023C1">
        <w:tab/>
      </w:r>
      <w:proofErr w:type="gramStart"/>
      <w:r w:rsidRPr="002023C1">
        <w:t>z</w:t>
      </w:r>
      <w:proofErr w:type="gramEnd"/>
      <w:r w:rsidRPr="002023C1">
        <w:t xml:space="preserve"> zaniepokojeniem odnotowuje wysoki stopień koncentracji rynku w europejskim sektorze finansowym, a także wciąż nadmierne poleganie na ograniczonej liczbie usługodawców spoza UE; zauważa, że trzy największe agencje ratingowe mają wciąż kontrolują ponad 90 % rynku; jest zaniepokojony utrzymującą się wysoką koncentracją na rynku audytu jednostek interesu publicznego, na którym cztery firmy posiadają większość przychodów UE z audytów jednostek interesu publicznego, co ogranicza wybór i grozi zawłaszczeniem nadzoru; zwraca się do Komisji o przedstawienie oceny skutków dotyczącej wariantów rozwiązania tego problemu; wzywa Komisję do starannej oceny zamówień publicznych na ekspertyzy firm audytorskich, aby uniknąć potencjalnych konfliktów interesów;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37.</w:t>
      </w:r>
      <w:r w:rsidRPr="002023C1">
        <w:tab/>
      </w:r>
      <w:proofErr w:type="gramStart"/>
      <w:r w:rsidRPr="002023C1">
        <w:t>wyraża</w:t>
      </w:r>
      <w:proofErr w:type="gramEnd"/>
      <w:r w:rsidRPr="002023C1">
        <w:t xml:space="preserve"> zaniepokojenie kryzysem cen żywności i dostrzega wysoki poziom koncentracji rynku w łańcuchach dostaw żywności; ponownie apeluje do Komisji o pilne przeprowadzenie dogłębnej analizy zakresu i skutków tworzenia stowarzyszeń nabywców, a tym samym zwrócenie szczególnej uwagi na zagwarantowanie uczciwej konkurencji i większej przejrzystości praktyk handlowych stosowanych przez sieci supermarketów i hipermarketów, zwłaszcza gdy takie praktyki wpływają na wartość marki i wybór produktów lub ograniczają innowacyjność lub porównywalność cen; przypomina w związku z tym o koncentracji na rynku handlu towarami rolnymi, gdzie cztery przedsiębiorstwa kontrolują zdecydowaną większość światowego handlu uprawami; ubolewa, że mimo to Komisja warunkowo zatwierdziła połączenie </w:t>
      </w:r>
      <w:proofErr w:type="spellStart"/>
      <w:r w:rsidRPr="002023C1">
        <w:t>Bunge-Viterra</w:t>
      </w:r>
      <w:proofErr w:type="spellEnd"/>
      <w:r w:rsidRPr="002023C1">
        <w:t xml:space="preserve"> w 2024 r. (M.11204), pomimo obaw dotyczących konkurencji; zwraca się do Komisji o zajęcie się problemem nadmiernej koncentracji władzy w rękach kilku dużych podmiotów działających na tym rynku, aby wzmocnić pozycję przetargową zarówno rolników, jak i konsumentów; podkreśla w tym kontekście wdrożenie nowego narzędzia konkurencji;</w:t>
      </w:r>
    </w:p>
    <w:p w:rsidR="007E061D" w:rsidRPr="002023C1" w:rsidRDefault="007E061D" w:rsidP="007E061D">
      <w:pPr>
        <w:pStyle w:val="NormalHanging12a"/>
      </w:pPr>
      <w:r w:rsidRPr="002023C1">
        <w:t>38.</w:t>
      </w:r>
      <w:r w:rsidRPr="002023C1">
        <w:tab/>
      </w:r>
      <w:proofErr w:type="gramStart"/>
      <w:r w:rsidRPr="002023C1">
        <w:t>odnotowuje</w:t>
      </w:r>
      <w:proofErr w:type="gramEnd"/>
      <w:r w:rsidRPr="002023C1">
        <w:t xml:space="preserve"> wysokie zyski netto banków UE w okresie wysokiej inflacji, głównie spowodowane opóźnionym przeniesieniem skutków zaostrzonej polityki pieniężnej na oprocentowanie depozytów;</w:t>
      </w:r>
    </w:p>
    <w:p w:rsidR="007E061D" w:rsidRPr="002023C1" w:rsidRDefault="007E061D" w:rsidP="007E061D">
      <w:pPr>
        <w:pStyle w:val="NormalHanging12a"/>
      </w:pPr>
      <w:r w:rsidRPr="002023C1">
        <w:t xml:space="preserve">39. </w:t>
      </w:r>
      <w:r w:rsidRPr="002023C1">
        <w:tab/>
      </w:r>
      <w:proofErr w:type="gramStart"/>
      <w:r w:rsidRPr="002023C1">
        <w:t>ze</w:t>
      </w:r>
      <w:proofErr w:type="gramEnd"/>
      <w:r w:rsidRPr="002023C1">
        <w:t xml:space="preserve"> szczególnym zaniepokojeniem odnotowuje dominującą pozycję dwóch międzynarodowych systemów obsługi kart płatniczych na unijnym rynku płatności oraz ich praktyki polegające na dalszym umacnianiu i rozszerzaniu dominacji na tym rynku, co potencjalnie jeszcze bardziej zwiększy bariery wejścia na ten rynek i zahamuje długoterminowe innowacje</w:t>
      </w:r>
      <w:r w:rsidRPr="002023C1">
        <w:rPr>
          <w:rStyle w:val="FootnoteReference"/>
        </w:rPr>
        <w:footnoteReference w:id="6"/>
      </w:r>
      <w:r w:rsidRPr="002023C1">
        <w:t xml:space="preserve">, a także doprowadzi do wyższych kosztów dla </w:t>
      </w:r>
      <w:r w:rsidRPr="002023C1">
        <w:lastRenderedPageBreak/>
        <w:t xml:space="preserve">przedsiębiorstw UE, a ostatecznie dla konsumentów; wzywa Komisję do podjęcia zdecydowanych działań, podkreślając potrzebę przeglądu rozporządzenia (UE) 2015/751 w sprawie opłat </w:t>
      </w:r>
      <w:proofErr w:type="spellStart"/>
      <w:r w:rsidRPr="002023C1">
        <w:t>interchange</w:t>
      </w:r>
      <w:proofErr w:type="spellEnd"/>
      <w:r w:rsidRPr="002023C1">
        <w:t xml:space="preserve"> w celu rozwiązania problemu znacznego wzrostu opłat za korzystanie z systemów kart płatniczych pobieranych przez międzynarodowe systemy kart płatniczych oraz zapewnienia sprawiedliwego, konkurencyjnego i przejrzystego otoczenia rynkowego;</w:t>
      </w:r>
    </w:p>
    <w:p w:rsidR="007E061D" w:rsidRPr="002023C1" w:rsidRDefault="007E061D" w:rsidP="007E061D">
      <w:pPr>
        <w:pStyle w:val="Normal12a24b"/>
      </w:pPr>
      <w:r w:rsidRPr="002023C1">
        <w:rPr>
          <w:rStyle w:val="BoldItalic"/>
        </w:rPr>
        <w:t xml:space="preserve">Rola Parlamentu </w:t>
      </w:r>
    </w:p>
    <w:p w:rsidR="007E061D" w:rsidRPr="002023C1" w:rsidRDefault="007E061D" w:rsidP="007E061D">
      <w:pPr>
        <w:pStyle w:val="NormalHanging12a"/>
      </w:pPr>
      <w:r w:rsidRPr="002023C1">
        <w:t>40.</w:t>
      </w:r>
      <w:r w:rsidRPr="002023C1">
        <w:tab/>
      </w:r>
      <w:proofErr w:type="gramStart"/>
      <w:r w:rsidRPr="002023C1">
        <w:t>podkreśla</w:t>
      </w:r>
      <w:proofErr w:type="gramEnd"/>
      <w:r w:rsidRPr="002023C1">
        <w:t xml:space="preserve">, że Parlament powinien być dostatecznie zaangażowany w kształtowanie polityki konkurencji; przestrzega przed nadmiernym poleganiem na instrumentach miękkiego prawa, takich jak wytyczne i tymczasowe ramy, w których zaangażowanie Parlamentu jest ograniczone; wzywa Komisję do rozpoczęcia negocjacji nad porozumieniem międzyinstytucjonalnym w sprawie polityki konkurencji w celu sformalizowania jej priorytetów w zakresie egzekwowania prawa wobec Parlamentu; wzywa Radę Europejską do przyjęcia na podstawie art. 48 ust. 7 TUE decyzji umożliwiającej przyjmowanie aktów ustawodawczych w dziedzinie polityki konkurencji zgodnie ze zwykłą procedurą ustawodawczą; podkreśla, że Parlament powinien być bardziej zaangażowany w działalność grup roboczych i grup eksperckich w Międzynarodowej Sieci Konkurencji i OECD jako obserwator, </w:t>
      </w:r>
      <w:proofErr w:type="gramStart"/>
      <w:r w:rsidRPr="002023C1">
        <w:t>ale</w:t>
      </w:r>
      <w:proofErr w:type="gramEnd"/>
      <w:r w:rsidRPr="002023C1">
        <w:t xml:space="preserve"> również w prace grupy wysokiego szczebla ds. DMA;</w:t>
      </w:r>
    </w:p>
    <w:p w:rsidR="007E061D" w:rsidRPr="002023C1" w:rsidRDefault="007E061D" w:rsidP="007E061D">
      <w:pPr>
        <w:pStyle w:val="NormalHanging12a"/>
        <w:rPr>
          <w:snapToGrid/>
        </w:rPr>
      </w:pPr>
      <w:r w:rsidRPr="002023C1">
        <w:t>41.</w:t>
      </w:r>
      <w:r w:rsidRPr="002023C1">
        <w:tab/>
      </w:r>
      <w:proofErr w:type="gramStart"/>
      <w:r w:rsidRPr="002023C1">
        <w:t>wzywa</w:t>
      </w:r>
      <w:proofErr w:type="gramEnd"/>
      <w:r w:rsidRPr="002023C1">
        <w:t xml:space="preserve"> właściwą wiceprzewodniczącą wykonawczą, a także komisarz odpowiedzialną za politykę konkurencji, by pozostawała w ścisłym kontakcie z właściwą komisją Parlamentu i jej grupą roboczą ds. konkurencji;</w:t>
      </w:r>
    </w:p>
    <w:p w:rsidR="007E061D" w:rsidRPr="002023C1" w:rsidRDefault="007E061D" w:rsidP="007E061D">
      <w:pPr>
        <w:pStyle w:val="NormalCenter12a"/>
      </w:pPr>
      <w:r w:rsidRPr="002023C1">
        <w:t>°</w:t>
      </w:r>
    </w:p>
    <w:p w:rsidR="007E061D" w:rsidRPr="002023C1" w:rsidRDefault="007E061D" w:rsidP="007E061D">
      <w:pPr>
        <w:pStyle w:val="NormalCenter12a"/>
      </w:pPr>
      <w:r w:rsidRPr="002023C1">
        <w:t>°</w:t>
      </w:r>
      <w:r w:rsidRPr="002023C1">
        <w:tab/>
        <w:t>°</w:t>
      </w:r>
    </w:p>
    <w:p w:rsidR="002023C1" w:rsidRPr="002023C1" w:rsidRDefault="007E061D" w:rsidP="002023C1">
      <w:pPr>
        <w:pStyle w:val="NormalHanging12a"/>
      </w:pPr>
      <w:r w:rsidRPr="002023C1">
        <w:t>42.</w:t>
      </w:r>
      <w:r w:rsidRPr="002023C1">
        <w:tab/>
      </w:r>
      <w:proofErr w:type="gramStart"/>
      <w:r w:rsidRPr="002023C1">
        <w:t>zobowiązuje</w:t>
      </w:r>
      <w:proofErr w:type="gramEnd"/>
      <w:r w:rsidRPr="002023C1">
        <w:t xml:space="preserve"> swoją przewodniczącą do przekazania niniejszej rezolucji Radzie i Komisji.</w:t>
      </w:r>
    </w:p>
    <w:p w:rsidR="00E365E1" w:rsidRPr="002023C1" w:rsidRDefault="00E365E1" w:rsidP="008172A5"/>
    <w:sectPr w:rsidR="00E365E1" w:rsidRPr="002023C1" w:rsidSect="002023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2A5" w:rsidRPr="002023C1" w:rsidRDefault="008172A5">
      <w:r w:rsidRPr="002023C1">
        <w:separator/>
      </w:r>
    </w:p>
  </w:endnote>
  <w:endnote w:type="continuationSeparator" w:id="0">
    <w:p w:rsidR="008172A5" w:rsidRPr="002023C1" w:rsidRDefault="008172A5">
      <w:r w:rsidRPr="002023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2A5" w:rsidRPr="002023C1" w:rsidRDefault="008172A5">
      <w:r w:rsidRPr="002023C1">
        <w:separator/>
      </w:r>
    </w:p>
  </w:footnote>
  <w:footnote w:type="continuationSeparator" w:id="0">
    <w:p w:rsidR="008172A5" w:rsidRPr="002023C1" w:rsidRDefault="008172A5">
      <w:r w:rsidRPr="002023C1">
        <w:continuationSeparator/>
      </w:r>
    </w:p>
  </w:footnote>
  <w:footnote w:id="1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 xml:space="preserve">Dz.U. L 024 z 29.1.2004, </w:t>
      </w:r>
      <w:proofErr w:type="gramStart"/>
      <w:r w:rsidRPr="002023C1">
        <w:rPr>
          <w:sz w:val="24"/>
          <w:lang w:val="pl-PL"/>
        </w:rPr>
        <w:t>s</w:t>
      </w:r>
      <w:proofErr w:type="gramEnd"/>
      <w:r w:rsidRPr="002023C1">
        <w:rPr>
          <w:sz w:val="24"/>
          <w:lang w:val="pl-PL"/>
        </w:rPr>
        <w:t xml:space="preserve">. 1., ELI: </w:t>
      </w:r>
      <w:hyperlink r:id="rId1" w:history="1">
        <w:r w:rsidRPr="002023C1">
          <w:rPr>
            <w:color w:val="0000FF"/>
            <w:sz w:val="24"/>
            <w:u w:val="single" w:color="0000FF"/>
            <w:lang w:val="pl-PL"/>
          </w:rPr>
          <w:t>http://data.europa.eu/eli/reg/2004/139/oj.</w:t>
        </w:r>
      </w:hyperlink>
    </w:p>
  </w:footnote>
  <w:footnote w:id="2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>Dz.U. L 114 z 12.4.2022, s. 22, ELI</w:t>
      </w:r>
      <w:proofErr w:type="gramStart"/>
      <w:r w:rsidRPr="002023C1">
        <w:rPr>
          <w:sz w:val="24"/>
          <w:lang w:val="pl-PL"/>
        </w:rPr>
        <w:t>: </w:t>
      </w:r>
      <w:r w:rsidR="001F104D">
        <w:fldChar w:fldCharType="begin"/>
      </w:r>
      <w:r w:rsidR="001F104D" w:rsidRPr="001F104D">
        <w:rPr>
          <w:lang w:val="pl-PL"/>
        </w:rPr>
        <w:instrText xml:space="preserve"> HYPERLINK "http://data.euro</w:instrText>
      </w:r>
      <w:r w:rsidR="001F104D" w:rsidRPr="001F104D">
        <w:rPr>
          <w:lang w:val="pl-PL"/>
        </w:rPr>
        <w:instrText xml:space="preserve">pa.eu/eli/dec/2022/591/oj" \o "Dostęp do dokumentu przez ELI URI." </w:instrText>
      </w:r>
      <w:r w:rsidR="001F104D">
        <w:fldChar w:fldCharType="separate"/>
      </w:r>
      <w:proofErr w:type="gramEnd"/>
      <w:r w:rsidRPr="002023C1">
        <w:rPr>
          <w:rStyle w:val="Hyperlink"/>
          <w:sz w:val="24"/>
          <w:lang w:val="pl-PL"/>
        </w:rPr>
        <w:t>http://data.europa.eu/eli/dec/2022/591/oj</w:t>
      </w:r>
      <w:r w:rsidR="001F104D">
        <w:rPr>
          <w:rStyle w:val="Hyperlink"/>
          <w:sz w:val="24"/>
          <w:lang w:val="pl-PL"/>
        </w:rPr>
        <w:fldChar w:fldCharType="end"/>
      </w:r>
      <w:r w:rsidRPr="002023C1">
        <w:rPr>
          <w:sz w:val="24"/>
          <w:lang w:val="pl-PL"/>
        </w:rPr>
        <w:t>.</w:t>
      </w:r>
    </w:p>
  </w:footnote>
  <w:footnote w:id="3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 xml:space="preserve">Wyrok Trybunału Sprawiedliwości z 3 września 2024 r., </w:t>
      </w:r>
      <w:proofErr w:type="spellStart"/>
      <w:r w:rsidRPr="002023C1">
        <w:rPr>
          <w:sz w:val="24"/>
          <w:lang w:val="pl-PL"/>
        </w:rPr>
        <w:t>Illumina</w:t>
      </w:r>
      <w:proofErr w:type="spellEnd"/>
      <w:r w:rsidRPr="002023C1">
        <w:rPr>
          <w:sz w:val="24"/>
          <w:lang w:val="pl-PL"/>
        </w:rPr>
        <w:t>/Komisja, C-611/22 P, ECLI</w:t>
      </w:r>
      <w:proofErr w:type="gramStart"/>
      <w:r w:rsidRPr="002023C1">
        <w:rPr>
          <w:sz w:val="24"/>
          <w:lang w:val="pl-PL"/>
        </w:rPr>
        <w:t>:EU</w:t>
      </w:r>
      <w:proofErr w:type="gramEnd"/>
      <w:r w:rsidRPr="002023C1">
        <w:rPr>
          <w:sz w:val="24"/>
          <w:lang w:val="pl-PL"/>
        </w:rPr>
        <w:t>:C:2024:677.</w:t>
      </w:r>
    </w:p>
  </w:footnote>
  <w:footnote w:id="4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>Wyrok Trybunału Sprawiedliwości z 10 września 2024 r., Komisja Europejska/ Irlandia i Apple Sales International, C-465/20 P, ECLI: EU</w:t>
      </w:r>
      <w:proofErr w:type="gramStart"/>
      <w:r w:rsidRPr="002023C1">
        <w:rPr>
          <w:sz w:val="24"/>
          <w:lang w:val="pl-PL"/>
        </w:rPr>
        <w:t>:C</w:t>
      </w:r>
      <w:proofErr w:type="gramEnd"/>
      <w:r w:rsidRPr="002023C1">
        <w:rPr>
          <w:sz w:val="24"/>
          <w:lang w:val="pl-PL"/>
        </w:rPr>
        <w:t>:2024:724.</w:t>
      </w:r>
    </w:p>
  </w:footnote>
  <w:footnote w:id="5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 xml:space="preserve">Wyrok Trybunału Sprawiedliwości z 10 września 2024 r., Google i </w:t>
      </w:r>
      <w:proofErr w:type="spellStart"/>
      <w:r w:rsidRPr="002023C1">
        <w:rPr>
          <w:sz w:val="24"/>
          <w:lang w:val="pl-PL"/>
        </w:rPr>
        <w:t>Alphabet</w:t>
      </w:r>
      <w:proofErr w:type="spellEnd"/>
      <w:r w:rsidRPr="002023C1">
        <w:rPr>
          <w:sz w:val="24"/>
          <w:lang w:val="pl-PL"/>
        </w:rPr>
        <w:t>/Komisja, C-48/22 P, CLI</w:t>
      </w:r>
      <w:proofErr w:type="gramStart"/>
      <w:r w:rsidRPr="002023C1">
        <w:rPr>
          <w:sz w:val="24"/>
          <w:lang w:val="pl-PL"/>
        </w:rPr>
        <w:t>:EU</w:t>
      </w:r>
      <w:proofErr w:type="gramEnd"/>
      <w:r w:rsidRPr="002023C1">
        <w:rPr>
          <w:sz w:val="24"/>
          <w:lang w:val="pl-PL"/>
        </w:rPr>
        <w:t>:C:2024:726.</w:t>
      </w:r>
    </w:p>
  </w:footnote>
  <w:footnote w:id="6">
    <w:p w:rsidR="007E061D" w:rsidRPr="002023C1" w:rsidRDefault="007E061D" w:rsidP="002023C1">
      <w:pPr>
        <w:pStyle w:val="FootnoteText"/>
        <w:ind w:left="567" w:hanging="567"/>
        <w:rPr>
          <w:sz w:val="24"/>
          <w:lang w:val="pl-PL"/>
        </w:rPr>
      </w:pPr>
      <w:r w:rsidRPr="002023C1">
        <w:rPr>
          <w:rStyle w:val="FootnoteReference"/>
          <w:sz w:val="24"/>
          <w:lang w:val="pl-PL"/>
        </w:rPr>
        <w:footnoteRef/>
      </w:r>
      <w:r w:rsidR="002023C1" w:rsidRPr="002023C1">
        <w:rPr>
          <w:sz w:val="24"/>
          <w:lang w:val="pl-PL"/>
        </w:rPr>
        <w:t xml:space="preserve"> </w:t>
      </w:r>
      <w:r w:rsidR="002023C1" w:rsidRPr="002023C1">
        <w:rPr>
          <w:sz w:val="24"/>
          <w:lang w:val="pl-PL"/>
        </w:rPr>
        <w:tab/>
      </w:r>
      <w:r w:rsidRPr="002023C1">
        <w:rPr>
          <w:sz w:val="24"/>
          <w:lang w:val="pl-PL"/>
        </w:rPr>
        <w:t xml:space="preserve">Sprawozdanie specjalne Trybunału Obrachunkowego „Płatności cyfrowe w UE – coraz bezpieczniejsze, szybsze i tańsze pomimo utrzymujących się problemów”, 9 stycznia 2025 r., </w:t>
      </w:r>
      <w:r w:rsidR="001F104D">
        <w:fldChar w:fldCharType="begin"/>
      </w:r>
      <w:r w:rsidR="001F104D" w:rsidRPr="001F104D">
        <w:rPr>
          <w:lang w:val="pl-PL"/>
        </w:rPr>
        <w:instrText xml:space="preserve"> HYPERLINK "https://www.eca.europa.eu/ECAPublications/SR-2025-01/SR-2025-01_PL.pdf"</w:instrText>
      </w:r>
      <w:r w:rsidR="001F104D" w:rsidRPr="001F104D">
        <w:rPr>
          <w:lang w:val="pl-PL"/>
        </w:rPr>
        <w:instrText xml:space="preserve"> </w:instrText>
      </w:r>
      <w:r w:rsidR="001F104D">
        <w:fldChar w:fldCharType="separate"/>
      </w:r>
      <w:r w:rsidRPr="002023C1">
        <w:rPr>
          <w:rStyle w:val="Hyperlink"/>
          <w:sz w:val="24"/>
          <w:lang w:val="pl-PL"/>
        </w:rPr>
        <w:t>https://www.eca.europa.eu/ECAPublications/SR-2025-01/SR-2025-01_EN.pdf</w:t>
      </w:r>
      <w:r w:rsidR="001F104D">
        <w:rPr>
          <w:rStyle w:val="Hyperlink"/>
          <w:sz w:val="24"/>
          <w:lang w:val="pl-PL"/>
        </w:rPr>
        <w:fldChar w:fldCharType="end"/>
      </w:r>
      <w:r w:rsidRPr="002023C1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23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1/2025"/>
    <w:docVar w:name="dvlangue" w:val="PL"/>
    <w:docVar w:name="dvnumam" w:val="0"/>
    <w:docVar w:name="dvpe" w:val="765.240"/>
    <w:docVar w:name="dvrapporteur" w:val="Sprawozdawca: "/>
    <w:docVar w:name="dvstar" w:val="??"/>
    <w:docVar w:name="dvtitre" w:val="Rezolucja Parlamentu Europejskiego z dnia  2025 r. w sprawie polityki konkurencji – sprawozdanie roczne za 2024 r.(2024/2079(INI))"/>
  </w:docVars>
  <w:rsids>
    <w:rsidRoot w:val="008172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04D"/>
    <w:rsid w:val="001F32AE"/>
    <w:rsid w:val="002023C1"/>
    <w:rsid w:val="00267B4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61D"/>
    <w:rsid w:val="007E22AD"/>
    <w:rsid w:val="008172A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D5AFA"/>
  <w15:chartTrackingRefBased/>
  <w15:docId w15:val="{0ED67183-C787-4617-BC31-015F6D70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061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7E061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7E061D"/>
    <w:pPr>
      <w:spacing w:after="240"/>
      <w:jc w:val="center"/>
    </w:pPr>
  </w:style>
  <w:style w:type="character" w:customStyle="1" w:styleId="BoldItalic">
    <w:name w:val="BoldItalic"/>
    <w:uiPriority w:val="1"/>
    <w:rsid w:val="007E061D"/>
    <w:rPr>
      <w:b/>
      <w:i/>
      <w:u w:val="none"/>
    </w:rPr>
  </w:style>
  <w:style w:type="character" w:customStyle="1" w:styleId="Italic">
    <w:name w:val="Italic"/>
    <w:uiPriority w:val="1"/>
    <w:rsid w:val="007E061D"/>
    <w:rPr>
      <w:i/>
    </w:rPr>
  </w:style>
  <w:style w:type="paragraph" w:customStyle="1" w:styleId="Normal12a24b">
    <w:name w:val="Normal12a24b"/>
    <w:basedOn w:val="Normal"/>
    <w:rsid w:val="007E061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7E0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PL/TXT/?uri=uriserv:OJ.L_.2004.024.01.0001.01.P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EE387-81E6-42EE-9098-64ADA736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4786</Words>
  <Characters>27286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2025-05-08T11:52:00Z</dcterms:created>
  <dcterms:modified xsi:type="dcterms:W3CDTF">2025-05-08T11:52:00Z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A10-0071/2025</vt:lpwstr>
  </property>
  <property fmtid="{D5CDD505-2E9C-101B-9397-08002B2CF9AE}" pid="4" name="&lt;Type&gt;">
    <vt:lpwstr>RR</vt:lpwstr>
  </property>
</Properties>
</file>