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2F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2FF7" w:rsidRDefault="00CD1CE7" w:rsidP="0010095E">
            <w:pPr>
              <w:pStyle w:val="EPName"/>
            </w:pPr>
            <w:r w:rsidRPr="00B62FF7">
              <w:t>Európsky parlament</w:t>
            </w:r>
          </w:p>
          <w:p w:rsidR="00751A4A" w:rsidRPr="00B62F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2FF7">
              <w:t>2024</w:t>
            </w:r>
            <w:r w:rsidR="00817416" w:rsidRPr="00B62FF7">
              <w:t>-202</w:t>
            </w:r>
            <w:r w:rsidRPr="00B62FF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62FF7" w:rsidRDefault="00187494" w:rsidP="0010095E">
            <w:pPr>
              <w:pStyle w:val="EPLogo"/>
            </w:pPr>
            <w:r w:rsidRPr="00B62F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2FF7" w:rsidRDefault="00D058B8" w:rsidP="004C5D52">
      <w:pPr>
        <w:pStyle w:val="LineTop"/>
      </w:pPr>
    </w:p>
    <w:p w:rsidR="00680577" w:rsidRPr="00B62FF7" w:rsidRDefault="00CD1CE7" w:rsidP="00680577">
      <w:pPr>
        <w:pStyle w:val="EPBodyTA1"/>
      </w:pPr>
      <w:r w:rsidRPr="00B62FF7">
        <w:t>PRIJATÉ TEXTY</w:t>
      </w:r>
    </w:p>
    <w:p w:rsidR="00D058B8" w:rsidRPr="00B62FF7" w:rsidRDefault="00D058B8" w:rsidP="00D058B8">
      <w:pPr>
        <w:pStyle w:val="LineBottom"/>
      </w:pPr>
    </w:p>
    <w:p w:rsidR="00CD1CE7" w:rsidRPr="00B62FF7" w:rsidRDefault="00CD1CE7" w:rsidP="00CD1CE7">
      <w:pPr>
        <w:pStyle w:val="ATHeading1"/>
      </w:pPr>
      <w:bookmarkStart w:id="0" w:name="TANumber"/>
      <w:r w:rsidRPr="00B62FF7">
        <w:t>P10_TA(2025)0</w:t>
      </w:r>
      <w:r w:rsidR="00B62FF7" w:rsidRPr="00B62FF7">
        <w:t>104</w:t>
      </w:r>
      <w:bookmarkEnd w:id="0"/>
    </w:p>
    <w:p w:rsidR="00CD1CE7" w:rsidRPr="00B62FF7" w:rsidRDefault="00CD1CE7" w:rsidP="00CD1CE7">
      <w:pPr>
        <w:pStyle w:val="ATHeading2"/>
      </w:pPr>
      <w:bookmarkStart w:id="1" w:name="title"/>
      <w:r w:rsidRPr="00B62FF7">
        <w:t>Politika hospodárskej súťaže – výročná správa za rok 2024</w:t>
      </w:r>
      <w:bookmarkEnd w:id="1"/>
    </w:p>
    <w:p w:rsidR="00CD1CE7" w:rsidRPr="00B62FF7" w:rsidRDefault="00CD1CE7" w:rsidP="00CD1CE7">
      <w:pPr>
        <w:rPr>
          <w:i/>
          <w:vanish/>
        </w:rPr>
      </w:pPr>
      <w:r w:rsidRPr="00B62FF7">
        <w:rPr>
          <w:i/>
        </w:rPr>
        <w:fldChar w:fldCharType="begin"/>
      </w:r>
      <w:r w:rsidRPr="00B62FF7">
        <w:rPr>
          <w:i/>
        </w:rPr>
        <w:instrText xml:space="preserve"> TC"(</w:instrText>
      </w:r>
      <w:bookmarkStart w:id="2" w:name="DocNumber"/>
      <w:r w:rsidRPr="00B62FF7">
        <w:rPr>
          <w:i/>
        </w:rPr>
        <w:instrText>A10-0071/2025</w:instrText>
      </w:r>
      <w:bookmarkEnd w:id="2"/>
      <w:r w:rsidRPr="00B62FF7">
        <w:rPr>
          <w:i/>
        </w:rPr>
        <w:instrText xml:space="preserve"> - Spravodajkyňa: Lara Wolters)"\l3 \n&gt; \* MERGEFORMAT </w:instrText>
      </w:r>
      <w:r w:rsidRPr="00B62FF7">
        <w:rPr>
          <w:i/>
        </w:rPr>
        <w:fldChar w:fldCharType="end"/>
      </w:r>
    </w:p>
    <w:p w:rsidR="00CD1CE7" w:rsidRPr="00B62FF7" w:rsidRDefault="00CD1CE7" w:rsidP="00CD1CE7">
      <w:pPr>
        <w:rPr>
          <w:vanish/>
        </w:rPr>
      </w:pPr>
      <w:bookmarkStart w:id="3" w:name="Commission"/>
      <w:r w:rsidRPr="00B62FF7">
        <w:rPr>
          <w:vanish/>
        </w:rPr>
        <w:t>Výbor pre hospodárske a menové veci</w:t>
      </w:r>
      <w:bookmarkEnd w:id="3"/>
    </w:p>
    <w:p w:rsidR="00CD1CE7" w:rsidRPr="00B62FF7" w:rsidRDefault="00CD1CE7" w:rsidP="00CD1CE7">
      <w:pPr>
        <w:rPr>
          <w:vanish/>
        </w:rPr>
      </w:pPr>
      <w:bookmarkStart w:id="4" w:name="PE"/>
      <w:r w:rsidRPr="00B62FF7">
        <w:rPr>
          <w:vanish/>
        </w:rPr>
        <w:t>PE765.240</w:t>
      </w:r>
      <w:bookmarkEnd w:id="4"/>
    </w:p>
    <w:p w:rsidR="00CD1CE7" w:rsidRPr="00B62FF7" w:rsidRDefault="00CD1CE7" w:rsidP="00CD1CE7">
      <w:pPr>
        <w:pStyle w:val="ATHeading3"/>
      </w:pPr>
      <w:bookmarkStart w:id="5" w:name="Sujet"/>
      <w:r w:rsidRPr="00B62FF7">
        <w:t xml:space="preserve">Uznesenie Európskeho parlamentu z </w:t>
      </w:r>
      <w:r w:rsidR="00CE74F6">
        <w:t>8</w:t>
      </w:r>
      <w:r w:rsidRPr="00B62FF7">
        <w:t>. mája 2025 o politike hospodárskej súťaže – výročná správa za rok 2024</w:t>
      </w:r>
      <w:bookmarkEnd w:id="5"/>
      <w:r w:rsidRPr="00B62FF7">
        <w:t xml:space="preserve"> </w:t>
      </w:r>
      <w:bookmarkStart w:id="6" w:name="References"/>
      <w:r w:rsidRPr="00B62FF7">
        <w:t>(2024/2079(INI))</w:t>
      </w:r>
      <w:bookmarkEnd w:id="6"/>
    </w:p>
    <w:p w:rsidR="00895CA9" w:rsidRPr="00B62FF7" w:rsidRDefault="00895CA9" w:rsidP="00895CA9">
      <w:pPr>
        <w:pStyle w:val="EPComma"/>
      </w:pPr>
      <w:r w:rsidRPr="00B62FF7">
        <w:rPr>
          <w:rStyle w:val="Italic"/>
        </w:rPr>
        <w:t>Európsky parlament</w:t>
      </w:r>
      <w:r w:rsidRPr="00B62FF7">
        <w:t>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>so zreteľom na Zmluvu o fungovaní Európskej únie (</w:t>
      </w:r>
      <w:r w:rsidR="003E1381" w:rsidRPr="00B62FF7">
        <w:t>ďalej len „</w:t>
      </w:r>
      <w:r w:rsidRPr="00B62FF7">
        <w:t>ZFEÚ</w:t>
      </w:r>
      <w:r w:rsidR="003E1381" w:rsidRPr="00B62FF7">
        <w:t>“)</w:t>
      </w:r>
      <w:r w:rsidRPr="00B62FF7">
        <w:t>, najmä na jej články 101 až 109,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 xml:space="preserve">so zreteľom na publikáciu </w:t>
      </w:r>
      <w:proofErr w:type="spellStart"/>
      <w:r w:rsidRPr="00B62FF7">
        <w:t>Ursuly</w:t>
      </w:r>
      <w:proofErr w:type="spellEnd"/>
      <w:r w:rsidRPr="00B62FF7">
        <w:t xml:space="preserve"> von der </w:t>
      </w:r>
      <w:proofErr w:type="spellStart"/>
      <w:r w:rsidRPr="00B62FF7">
        <w:t>Leyenovej</w:t>
      </w:r>
      <w:proofErr w:type="spellEnd"/>
      <w:r w:rsidRPr="00B62FF7">
        <w:t xml:space="preserve"> z 18. júla 2024 s názvom Európa má na výber – Politické usmernenia pre budúcu Európsku komisiu na roky 2024 – 2029,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 xml:space="preserve">so zreteľom na správu Maria </w:t>
      </w:r>
      <w:proofErr w:type="spellStart"/>
      <w:r w:rsidRPr="00B62FF7">
        <w:t>Draghiho</w:t>
      </w:r>
      <w:proofErr w:type="spellEnd"/>
      <w:r w:rsidRPr="00B62FF7">
        <w:t xml:space="preserve"> z 9. septembra 2024 s názvom Budúcnosť európskej konkurencieschopnosti,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 xml:space="preserve">so zreteľom na správu </w:t>
      </w:r>
      <w:proofErr w:type="spellStart"/>
      <w:r w:rsidRPr="00B62FF7">
        <w:t>Enrica</w:t>
      </w:r>
      <w:proofErr w:type="spellEnd"/>
      <w:r w:rsidRPr="00B62FF7">
        <w:t xml:space="preserve"> </w:t>
      </w:r>
      <w:proofErr w:type="spellStart"/>
      <w:r w:rsidRPr="00B62FF7">
        <w:t>Lettu</w:t>
      </w:r>
      <w:proofErr w:type="spellEnd"/>
      <w:r w:rsidRPr="00B62FF7">
        <w:t xml:space="preserve"> zo 18. apríla 2024 s názvom Oveľa viac než len trh,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>so zreteľom na osobitnú správu Európskeho dvora audítorov 21/2024 z 23. októbra 2024 s názvom Štátna pomoc v časoch krízy – Rýchla reakcia, ale nedostatky v monitorovaní vykonávanom Komisiou a nezrovnalosti v rámci na podporu cieľov priemyselnej politiky EÚ,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>so zreteľom na nariadenie Rady (ES) č. 139/2004 z 20. januára 2004 o kontrole koncentrácií medzi podnikmi (nariadenie ES o fúziách)</w:t>
      </w:r>
      <w:r w:rsidRPr="00B62FF7">
        <w:rPr>
          <w:rStyle w:val="FootnoteReference"/>
        </w:rPr>
        <w:footnoteReference w:id="1"/>
      </w:r>
      <w:r w:rsidRPr="00B62FF7">
        <w:t>,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rPr>
          <w:b/>
        </w:rPr>
        <w:t>–</w:t>
      </w:r>
      <w:r w:rsidRPr="00B62FF7">
        <w:tab/>
        <w:t>so zreteľom na článok 11 ZFEÚ, v ktorom sa stanovuje začlenenie požiadaviek ochrany životného prostredia do vymedzenia a uskutočňovania politík Únie a činností s ohľadom na podporu udržateľného rozvoja,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>so zreteľom na článok 3 rozhodnutia Európskeho parlamentu a Rady (EÚ) 2022/591 zo 6. apríla 2022 o všeobecnom environmentálnom akčnom programe Únie do roku 2030</w:t>
      </w:r>
      <w:r w:rsidRPr="00B62FF7">
        <w:rPr>
          <w:rStyle w:val="FootnoteReference"/>
        </w:rPr>
        <w:footnoteReference w:id="2"/>
      </w:r>
      <w:r w:rsidRPr="00B62FF7">
        <w:t>, v ktorom sa stanovuje, že dotácie škodlivé pre životné prostredie, najmä dotácie na fosílne palivá, by sa mali bezodkladne postupne rušiť,</w:t>
      </w:r>
    </w:p>
    <w:p w:rsidR="00895CA9" w:rsidRPr="00B62FF7" w:rsidRDefault="00895CA9" w:rsidP="00895CA9">
      <w:pPr>
        <w:pStyle w:val="NormalHanging12a"/>
      </w:pPr>
      <w:r w:rsidRPr="00B62FF7">
        <w:lastRenderedPageBreak/>
        <w:t>–</w:t>
      </w:r>
      <w:r w:rsidRPr="00B62FF7">
        <w:tab/>
        <w:t>so zreteľom na rozsudky Súdneho dvora Európskej únie z 3. septembra 2024 vo veci C-611/22 P,</w:t>
      </w:r>
      <w:r w:rsidRPr="00B62FF7">
        <w:rPr>
          <w:rStyle w:val="Italic"/>
        </w:rPr>
        <w:t xml:space="preserve"> </w:t>
      </w:r>
      <w:proofErr w:type="spellStart"/>
      <w:r w:rsidRPr="00B62FF7">
        <w:t>Illumina</w:t>
      </w:r>
      <w:proofErr w:type="spellEnd"/>
      <w:r w:rsidRPr="00B62FF7">
        <w:t>/Komisia</w:t>
      </w:r>
      <w:r w:rsidRPr="00B62FF7">
        <w:rPr>
          <w:rStyle w:val="FootnoteReference"/>
        </w:rPr>
        <w:footnoteReference w:id="3"/>
      </w:r>
      <w:r w:rsidRPr="00B62FF7">
        <w:t>, z 10. septembra 2024 vo veci C-465/20 P,</w:t>
      </w:r>
      <w:r w:rsidRPr="00B62FF7">
        <w:rPr>
          <w:rStyle w:val="Italic"/>
        </w:rPr>
        <w:t xml:space="preserve"> </w:t>
      </w:r>
      <w:r w:rsidRPr="00B62FF7">
        <w:t>Európska komisia/Írsko a iní</w:t>
      </w:r>
      <w:r w:rsidRPr="00B62FF7">
        <w:rPr>
          <w:rStyle w:val="FootnoteReference"/>
        </w:rPr>
        <w:footnoteReference w:id="4"/>
      </w:r>
      <w:r w:rsidRPr="00B62FF7">
        <w:t xml:space="preserve"> a z 10. septembra 2024 vo veci C-48/22 P,</w:t>
      </w:r>
      <w:r w:rsidRPr="00B62FF7">
        <w:rPr>
          <w:rStyle w:val="Italic"/>
        </w:rPr>
        <w:t xml:space="preserve"> </w:t>
      </w:r>
      <w:r w:rsidRPr="00B62FF7">
        <w:t xml:space="preserve">Google a </w:t>
      </w:r>
      <w:proofErr w:type="spellStart"/>
      <w:r w:rsidRPr="00B62FF7">
        <w:t>Alphabet</w:t>
      </w:r>
      <w:proofErr w:type="spellEnd"/>
      <w:r w:rsidRPr="00B62FF7">
        <w:t>/Komisia</w:t>
      </w:r>
      <w:r w:rsidRPr="00B62FF7">
        <w:rPr>
          <w:rStyle w:val="FootnoteReference"/>
        </w:rPr>
        <w:footnoteReference w:id="5"/>
      </w:r>
      <w:r w:rsidRPr="00B62FF7">
        <w:t>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>so zreteľom na správu Komisie z roku 2024 s názvom Ochrana hospodárskej súťaže v meniacom sa svete – Dôkazy o vývoji hospodárskej súťaže v EÚ za posledných 25 rokov (</w:t>
      </w:r>
      <w:proofErr w:type="spellStart"/>
      <w:r w:rsidRPr="00B62FF7">
        <w:t>Protecting</w:t>
      </w:r>
      <w:proofErr w:type="spellEnd"/>
      <w:r w:rsidRPr="00B62FF7">
        <w:t xml:space="preserve"> </w:t>
      </w:r>
      <w:proofErr w:type="spellStart"/>
      <w:r w:rsidRPr="00B62FF7">
        <w:t>competition</w:t>
      </w:r>
      <w:proofErr w:type="spellEnd"/>
      <w:r w:rsidRPr="00B62FF7">
        <w:t xml:space="preserve"> in a </w:t>
      </w:r>
      <w:proofErr w:type="spellStart"/>
      <w:r w:rsidRPr="00B62FF7">
        <w:t>changing</w:t>
      </w:r>
      <w:proofErr w:type="spellEnd"/>
      <w:r w:rsidRPr="00B62FF7">
        <w:t xml:space="preserve"> </w:t>
      </w:r>
      <w:proofErr w:type="spellStart"/>
      <w:r w:rsidRPr="00B62FF7">
        <w:t>world</w:t>
      </w:r>
      <w:proofErr w:type="spellEnd"/>
      <w:r w:rsidRPr="00B62FF7">
        <w:t xml:space="preserve"> – </w:t>
      </w:r>
      <w:proofErr w:type="spellStart"/>
      <w:r w:rsidRPr="00B62FF7">
        <w:t>Evidence</w:t>
      </w:r>
      <w:proofErr w:type="spellEnd"/>
      <w:r w:rsidRPr="00B62FF7">
        <w:t xml:space="preserve"> on </w:t>
      </w:r>
      <w:proofErr w:type="spellStart"/>
      <w:r w:rsidRPr="00B62FF7">
        <w:t>the</w:t>
      </w:r>
      <w:proofErr w:type="spellEnd"/>
      <w:r w:rsidRPr="00B62FF7">
        <w:t xml:space="preserve"> </w:t>
      </w:r>
      <w:proofErr w:type="spellStart"/>
      <w:r w:rsidRPr="00B62FF7">
        <w:t>evolution</w:t>
      </w:r>
      <w:proofErr w:type="spellEnd"/>
      <w:r w:rsidRPr="00B62FF7">
        <w:t xml:space="preserve"> of </w:t>
      </w:r>
      <w:proofErr w:type="spellStart"/>
      <w:r w:rsidRPr="00B62FF7">
        <w:t>competition</w:t>
      </w:r>
      <w:proofErr w:type="spellEnd"/>
      <w:r w:rsidRPr="00B62FF7">
        <w:t xml:space="preserve"> in </w:t>
      </w:r>
      <w:proofErr w:type="spellStart"/>
      <w:r w:rsidRPr="00B62FF7">
        <w:t>the</w:t>
      </w:r>
      <w:proofErr w:type="spellEnd"/>
      <w:r w:rsidRPr="00B62FF7">
        <w:t xml:space="preserve"> EU </w:t>
      </w:r>
      <w:proofErr w:type="spellStart"/>
      <w:r w:rsidRPr="00B62FF7">
        <w:t>during</w:t>
      </w:r>
      <w:proofErr w:type="spellEnd"/>
      <w:r w:rsidRPr="00B62FF7">
        <w:t xml:space="preserve"> </w:t>
      </w:r>
      <w:proofErr w:type="spellStart"/>
      <w:r w:rsidRPr="00B62FF7">
        <w:t>the</w:t>
      </w:r>
      <w:proofErr w:type="spellEnd"/>
      <w:r w:rsidRPr="00B62FF7">
        <w:t xml:space="preserve"> </w:t>
      </w:r>
      <w:proofErr w:type="spellStart"/>
      <w:r w:rsidRPr="00B62FF7">
        <w:t>past</w:t>
      </w:r>
      <w:proofErr w:type="spellEnd"/>
      <w:r w:rsidRPr="00B62FF7">
        <w:t xml:space="preserve"> 25 </w:t>
      </w:r>
      <w:proofErr w:type="spellStart"/>
      <w:r w:rsidRPr="00B62FF7">
        <w:t>years</w:t>
      </w:r>
      <w:proofErr w:type="spellEnd"/>
      <w:r w:rsidRPr="00B62FF7">
        <w:t>),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–</w:t>
      </w:r>
      <w:r w:rsidRPr="00B62FF7">
        <w:tab/>
        <w:t>so zreteľom na štúdiu s názvom Úloha obchodníkov s komoditami pri formovaní poľnohospodárskych trhov (</w:t>
      </w:r>
      <w:proofErr w:type="spellStart"/>
      <w:r w:rsidRPr="00B62FF7">
        <w:t>The</w:t>
      </w:r>
      <w:proofErr w:type="spellEnd"/>
      <w:r w:rsidRPr="00B62FF7">
        <w:t xml:space="preserve"> role of </w:t>
      </w:r>
      <w:proofErr w:type="spellStart"/>
      <w:r w:rsidRPr="00B62FF7">
        <w:t>commodity</w:t>
      </w:r>
      <w:proofErr w:type="spellEnd"/>
      <w:r w:rsidRPr="00B62FF7">
        <w:t xml:space="preserve"> </w:t>
      </w:r>
      <w:proofErr w:type="spellStart"/>
      <w:r w:rsidRPr="00B62FF7">
        <w:t>traders</w:t>
      </w:r>
      <w:proofErr w:type="spellEnd"/>
      <w:r w:rsidRPr="00B62FF7">
        <w:t xml:space="preserve"> in </w:t>
      </w:r>
      <w:proofErr w:type="spellStart"/>
      <w:r w:rsidRPr="00B62FF7">
        <w:t>shaping</w:t>
      </w:r>
      <w:proofErr w:type="spellEnd"/>
      <w:r w:rsidRPr="00B62FF7">
        <w:t xml:space="preserve"> </w:t>
      </w:r>
      <w:proofErr w:type="spellStart"/>
      <w:r w:rsidRPr="00B62FF7">
        <w:t>agricultural</w:t>
      </w:r>
      <w:proofErr w:type="spellEnd"/>
      <w:r w:rsidRPr="00B62FF7">
        <w:t xml:space="preserve"> </w:t>
      </w:r>
      <w:proofErr w:type="spellStart"/>
      <w:r w:rsidRPr="00B62FF7">
        <w:t>markets</w:t>
      </w:r>
      <w:proofErr w:type="spellEnd"/>
      <w:r w:rsidRPr="00B62FF7">
        <w:t>), ktorú uverejnila tematická sekcia pre štrukturálne politiky a politiky súdržnosti v novembri 2024,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 xml:space="preserve">so zreteľom na správu Európskeho orgánu pre cenné papiere a trhy </w:t>
      </w:r>
      <w:r w:rsidR="00EE4931">
        <w:t xml:space="preserve">z 20. decembra 2023 </w:t>
      </w:r>
      <w:bookmarkStart w:id="7" w:name="_GoBack"/>
      <w:bookmarkEnd w:id="7"/>
      <w:r w:rsidRPr="00B62FF7">
        <w:t xml:space="preserve">s názvom Správa o podiele ratingových agentúr na trhu: vydanie 2023 (CRA </w:t>
      </w:r>
      <w:proofErr w:type="spellStart"/>
      <w:r w:rsidRPr="00B62FF7">
        <w:t>Market</w:t>
      </w:r>
      <w:proofErr w:type="spellEnd"/>
      <w:r w:rsidRPr="00B62FF7">
        <w:t xml:space="preserve"> </w:t>
      </w:r>
      <w:proofErr w:type="spellStart"/>
      <w:r w:rsidRPr="00B62FF7">
        <w:t>Share</w:t>
      </w:r>
      <w:proofErr w:type="spellEnd"/>
      <w:r w:rsidRPr="00B62FF7">
        <w:t xml:space="preserve"> Report: 2023 </w:t>
      </w:r>
      <w:proofErr w:type="spellStart"/>
      <w:r w:rsidRPr="00B62FF7">
        <w:t>edition</w:t>
      </w:r>
      <w:proofErr w:type="spellEnd"/>
      <w:r w:rsidRPr="00B62FF7">
        <w:t>),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>so zreteľom na článok 55 rokovacieho poriadku,</w:t>
      </w:r>
    </w:p>
    <w:p w:rsidR="00895CA9" w:rsidRPr="00B62FF7" w:rsidRDefault="00895CA9" w:rsidP="00895CA9">
      <w:pPr>
        <w:pStyle w:val="NormalHanging12a"/>
      </w:pPr>
      <w:r w:rsidRPr="00B62FF7">
        <w:t>–</w:t>
      </w:r>
      <w:r w:rsidRPr="00B62FF7">
        <w:tab/>
        <w:t>so zreteľom na správu Výboru pre hospodárske a menové veci (A10-0071/2025),</w:t>
      </w:r>
    </w:p>
    <w:p w:rsidR="00895CA9" w:rsidRPr="00B62FF7" w:rsidRDefault="00895CA9" w:rsidP="00895CA9">
      <w:pPr>
        <w:pStyle w:val="NormalHanging12a"/>
      </w:pPr>
      <w:r w:rsidRPr="00B62FF7">
        <w:t>A.</w:t>
      </w:r>
      <w:r w:rsidRPr="00B62FF7">
        <w:tab/>
        <w:t>keďže súčasný náročný hospodársky, klimatický a geopolitický kontext, ktorý sa vyznačuje neistotou a nepredvídateľnosťou, si vyžaduje nový prístup k európskej konkurencieschopnosti a konkrétne stratégie na podporu hospodárskeho rastu;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B.</w:t>
      </w:r>
      <w:r w:rsidRPr="00B62FF7">
        <w:tab/>
        <w:t>keďže riadne presadzovanie rámca politiky hospodárskej súťaže EÚ vedie k nižším cenám, vyššej kvalite, väčšiemu výberu pre spotrebiteľov, rýchlejším inováciám a spravodlivejšiemu a odolnejšiemu hospodárstvu a chráni podmienky vstupu subjektov na vnútorný trh, pričom bojuje proti zneužívaniu dominantného postavenia, monopolom a praktikám narúšajúcim vnútorný trh;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C.</w:t>
      </w:r>
      <w:r w:rsidRPr="00B62FF7">
        <w:tab/>
        <w:t>keďže v </w:t>
      </w:r>
      <w:proofErr w:type="spellStart"/>
      <w:r w:rsidRPr="00B62FF7">
        <w:t>Draghiho</w:t>
      </w:r>
      <w:proofErr w:type="spellEnd"/>
      <w:r w:rsidRPr="00B62FF7">
        <w:t xml:space="preserve"> správe sa zdôrazňuje, že EÚ má širokú a diverzifikovanú priemyselnú inovačnú základňu so silnou komparatívnou výhodou v oblasti ekologických technológií, ale na zachovanie tejto výhody je potrebné vyvíjať trvalé úsilie; keďže v tejto súvislosti má zásadný význam začleňovanie klimatických a environmentálnych aspektov do politiky hospodárskej súťaže; keďže v </w:t>
      </w:r>
      <w:proofErr w:type="spellStart"/>
      <w:r w:rsidRPr="00B62FF7">
        <w:t>Lettovej</w:t>
      </w:r>
      <w:proofErr w:type="spellEnd"/>
      <w:r w:rsidRPr="00B62FF7">
        <w:t xml:space="preserve"> správe sa uvádza, že hlavným dôvodom klesajúcej konkurencieschopnosti Európy je nedostatočná integrácia EÚ v odvetviach financií, energetiky a elektronických komunikácií;</w:t>
      </w:r>
    </w:p>
    <w:p w:rsidR="00895CA9" w:rsidRPr="00B62FF7" w:rsidRDefault="00895CA9" w:rsidP="00895CA9">
      <w:pPr>
        <w:pStyle w:val="NormalHanging12a"/>
      </w:pPr>
      <w:r w:rsidRPr="00B62FF7">
        <w:t>D.</w:t>
      </w:r>
      <w:r w:rsidRPr="00B62FF7">
        <w:tab/>
        <w:t xml:space="preserve">keďže politika hospodárskej súťaže EÚ by mohla prispieť k posilneniu odolnosti vnútorného trhu, ako aj k dosiahnutiu cieľov Európskej zelenej dohody, Digitálneho </w:t>
      </w:r>
      <w:r w:rsidRPr="00B62FF7">
        <w:lastRenderedPageBreak/>
        <w:t>kompasu a Kompasu konkurencieschopnosti, pre ktoré má zásadný význam medzinárodná výmena a spolupráca;</w:t>
      </w:r>
    </w:p>
    <w:p w:rsidR="00895CA9" w:rsidRPr="00B62FF7" w:rsidRDefault="00895CA9" w:rsidP="00895CA9">
      <w:pPr>
        <w:pStyle w:val="NormalHanging12a"/>
      </w:pPr>
      <w:r w:rsidRPr="00B62FF7">
        <w:t>E.</w:t>
      </w:r>
      <w:r w:rsidRPr="00B62FF7">
        <w:tab/>
        <w:t>keďže Komisia a vnútroštátne orgány na ochranu hospodárskej súťaže musia konať nestranne a objektívne, aby sa zachovala dôveryhodnosť politiky hospodárskej súťaže EÚ; keďže politická nezávislosť vnútroštátnych orgánov na ochranu hospodárskej súťaže je mimoriadne dôležitá na zabezpečenie nestrannosti a dôveryhodnosti politiky hospodárskej súťaže;</w:t>
      </w:r>
    </w:p>
    <w:p w:rsidR="00895CA9" w:rsidRPr="00B62FF7" w:rsidRDefault="00895CA9" w:rsidP="00895CA9">
      <w:pPr>
        <w:pStyle w:val="Normal12a24b"/>
      </w:pPr>
      <w:r w:rsidRPr="00B62FF7">
        <w:rPr>
          <w:rStyle w:val="BoldItalic"/>
        </w:rPr>
        <w:t>Všeobecné aspekty</w:t>
      </w:r>
    </w:p>
    <w:p w:rsidR="00895CA9" w:rsidRPr="00B62FF7" w:rsidRDefault="00895CA9" w:rsidP="00895CA9">
      <w:pPr>
        <w:pStyle w:val="NormalHanging12a"/>
      </w:pPr>
      <w:r w:rsidRPr="00B62FF7">
        <w:t>1.</w:t>
      </w:r>
      <w:r w:rsidRPr="00B62FF7">
        <w:tab/>
        <w:t>domnieva sa, že cieľom právnych predpisov EÚ v oblasti hospodárskej súťaže je chrániť pred nadmernou koncentráciou a hromadením trhovej sily, a opätovne potvrdzuje úlohu politiky hospodárskej súťaže pri podpore účinnosti, inovácií a rastu, vytváraní rovnakých podmienok a ochrane spotrebiteľov tým, že sa zabezpečí, aby trhy zostali konkurencieschopné, účinné, dynamické a inovatívne a poskytovali široký výber vysokokvalitných výrobkov a služieb za spravodlivé ceny;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2.</w:t>
      </w:r>
      <w:r w:rsidRPr="00B62FF7">
        <w:tab/>
        <w:t>opakuje, že politika hospodárskej súťaže by mala prispievať ku všetkým politikám EÚ, najmä v oblasti udržateľnosti, energetiky, obrany a digitalizácie; víta záväzok Komisie vytvoriť nový rámec štátnej pomoci, ktorý bude sprevádzať Dohodu o čistom priemysle, aby sa tak zabezpečila konkurencieschopnosť prostredníctvom mobilizácie potrebnej verejnej podpory na energetickú transformáciu s cieľom dekarbonizovať priemysel EÚ a zároveň zabezpečiť, aby to nebránilo inováciám, nezvyšovalo ceny ani neznižovalo hospodársku súťaž na vnútornom trhu; opakuje, že štátna pomoc by nemala narúšať spravodlivú a účinnú hospodársku súťaž;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3.</w:t>
      </w:r>
      <w:r w:rsidRPr="00B62FF7">
        <w:tab/>
        <w:t xml:space="preserve">zdôrazňuje, že globálna sila a význam jednotného trhu EÚ nevyplývajú len z jeho vnútornej a vonkajšej konkurencieschopnosti, ale aj z jeho schopnosti stanoviť spoločné normy a zaručiť územnú súdržnosť; konštatuje, že tvorcovia politík by zároveň mali náležite zohľadňovať medzinárodný regulačný a trhový vývoj, a vyzýva Komisiu, aby sa usilovala o pokračovanie dialógu a spolupráce na medzinárodnej úrovni, a to aj prostredníctvom dohôd o spolupráci druhej generácie, ktoré umožňujú účinnejšiu výmenu informácií medzi orgánmi hospodárskej súťaže, ako aj rozvoj vplyvu na politiku hospodárskej súťaže v globálnom meradle; zdôrazňuje význam Európskej siete pre hospodársku súťaž (ESHS) a vyzýva Komisiu, aby v tejto súvislosti uprednostňovala trvalý konštruktívny dialóg a spoluprácu na medzinárodnej úrovni; požaduje koordináciu medzi vnútroštátnymi orgánmi na ochranu hospodárskej súťaže s cieľom zabezpečiť jednotné uplatňovanie pravidiel hospodárskej súťaže a zdôrazňuje potrebu posilniť spoluprácu medzi </w:t>
      </w:r>
      <w:proofErr w:type="spellStart"/>
      <w:r w:rsidRPr="00B62FF7">
        <w:t>antitrustovými</w:t>
      </w:r>
      <w:proofErr w:type="spellEnd"/>
      <w:r w:rsidRPr="00B62FF7">
        <w:t xml:space="preserve"> a inými odvetvovými regulačnými orgánmi;</w:t>
      </w:r>
    </w:p>
    <w:p w:rsidR="00895CA9" w:rsidRPr="00B62FF7" w:rsidRDefault="00895CA9" w:rsidP="00895CA9">
      <w:pPr>
        <w:pStyle w:val="Normal12a24b"/>
      </w:pPr>
      <w:r w:rsidRPr="00B62FF7">
        <w:rPr>
          <w:rStyle w:val="BoldItalic"/>
        </w:rPr>
        <w:t>Konkurencieschopná Únia</w:t>
      </w:r>
    </w:p>
    <w:p w:rsidR="00895CA9" w:rsidRPr="00B62FF7" w:rsidRDefault="00895CA9" w:rsidP="00895CA9">
      <w:pPr>
        <w:pStyle w:val="NormalHanging12a"/>
      </w:pPr>
      <w:r w:rsidRPr="00B62FF7">
        <w:t>4.</w:t>
      </w:r>
      <w:r w:rsidRPr="00B62FF7">
        <w:tab/>
        <w:t>podporuje záväzok Komisie investovať do udržateľnej konkurencieschopnosti; víta dôraz, ktorý sa v </w:t>
      </w:r>
      <w:proofErr w:type="spellStart"/>
      <w:r w:rsidRPr="00B62FF7">
        <w:t>Draghiho</w:t>
      </w:r>
      <w:proofErr w:type="spellEnd"/>
      <w:r w:rsidRPr="00B62FF7">
        <w:t xml:space="preserve"> správe kladie na inovácie, investície, integráciu trhu, dekarbonizáciu a odolnosť, a zameranie </w:t>
      </w:r>
      <w:proofErr w:type="spellStart"/>
      <w:r w:rsidRPr="00B62FF7">
        <w:t>Lettovej</w:t>
      </w:r>
      <w:proofErr w:type="spellEnd"/>
      <w:r w:rsidRPr="00B62FF7">
        <w:t xml:space="preserve"> správy na integráciu, autonómiu a solidaritu; nabáda na politiky, ktoré podporujú inovácie, konkurencieschopnosť a udržateľný a </w:t>
      </w:r>
      <w:proofErr w:type="spellStart"/>
      <w:r w:rsidRPr="00B62FF7">
        <w:t>inkluzívny</w:t>
      </w:r>
      <w:proofErr w:type="spellEnd"/>
      <w:r w:rsidRPr="00B62FF7">
        <w:t xml:space="preserve"> rast;</w:t>
      </w:r>
    </w:p>
    <w:p w:rsidR="00895CA9" w:rsidRPr="00B62FF7" w:rsidRDefault="00895CA9" w:rsidP="00895CA9">
      <w:pPr>
        <w:pStyle w:val="NormalHanging12a"/>
      </w:pPr>
      <w:r w:rsidRPr="00B62FF7">
        <w:lastRenderedPageBreak/>
        <w:t>5.</w:t>
      </w:r>
      <w:r w:rsidRPr="00B62FF7">
        <w:tab/>
        <w:t>zdôrazňuje potrebu koordinovanej, cielenej a skutočne európskej priemyselnej politiky na zvýšenie konkurencieschopnosti; konštatuje, že to nesmie viesť k dominantnému postaveniu na trhu alebo jeho zneužívaniu, k narušeniu cien ani k hospodárskej neefektívnosti, a poukazuje na potrebu účinných postupov kontroly fúzií;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6.</w:t>
      </w:r>
      <w:r w:rsidRPr="00B62FF7">
        <w:tab/>
        <w:t>domnieva sa, že každá poskytnutá štátna pomoc by mala byť v súlade s cieľmi politiky EÚ; berie na vedomie zámer Komisie poskytnúť usmernenia k zlučiteľnosti štátnej pomoci s hľadiskami inovácie, klímy a hospodárskej bezpečnosti, ako aj jej opatrenia na zníženie a postupné zrušenie dotácií na fosílne palivá podľa Dohody o čistom priemysle a nabáda členské štáty, aby zvážili zavedenie ďalších podmienok na získanie štátnej pomoci; žiada, aby sa spoločnostiam štruktúrovaným prostredníctvom daňových rajov mimo EÚ zakázalo prijímať štátnu pomoc; vyzýva Komisiu, aby preskúmala nedostatočnú harmonizáciu mechanizmov vracania finančných prostriedkov;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7.</w:t>
      </w:r>
      <w:r w:rsidRPr="00B62FF7">
        <w:tab/>
        <w:t>berie na vedomie správu Komisie, v ktorej sa uvádza, že koncentrácia trhu, prirážky a zisky sa za posledných 25 rokov zvýšili, zatiaľ čo dynamika priemyslu sa znížila napriek aktívnemu presadzovaniu práva hospodárskej súťaže; berie tiež na vedomie, že toto zvýšenie prirážok bolo spôsobené prerozdelením podielu na trhu medzi najväčšie firmy; ďalej konštatuje, že slabá úroveň hospodárskej súťaže má významný negatívny vplyv na spotrebiteľov, kúpnu silu a konkurencieschopnosť podnikov EÚ a celkový hospodársky rast; pripomína, že pri uplatňovaní práva hospodárskej súťaže by malo byť ťažiskom zabezpečenie otvorených a konkurenčných trhov bez praktík narúšajúcich hospodársku súťaž;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8.</w:t>
      </w:r>
      <w:r w:rsidRPr="00B62FF7">
        <w:tab/>
        <w:t xml:space="preserve">poukazuje na to, že štátna pomoc sa čoraz viac využíva na podporu cieľov priemyselnej politiky; pripomína, že takáto pomoc, povolená podľa článku 107 ods. 3 písm. c) ZFEÚ, nesmie nepriaznivo ovplyvniť obchodné podmienky ani spoločný záujem; upozorňuje na rozdielne fiškálne spôsobilosti členských štátov a varuje, že roztrieštená štátna pomoc vytvára nerovnaké podmienky; vyzýva Komisiu, aby monitorovala tieto účinky a zabezpečila integritu jednotného trhu, čo možno dosiahnuť prostredníctvom spoločného nástroja financovania európskej priemyselnej politiky, ako je Európsky fond pre konkurencieschopnosť, ako to navrhla predsedníčka Komisie von der </w:t>
      </w:r>
      <w:proofErr w:type="spellStart"/>
      <w:r w:rsidRPr="00B62FF7">
        <w:t>Leyenová</w:t>
      </w:r>
      <w:proofErr w:type="spellEnd"/>
      <w:r w:rsidRPr="00B62FF7">
        <w:t xml:space="preserve"> vo svojich politických usmerneniach; vyzýva Komisiu a členské štáty, aby sa nezapájali do subvenčnej hospodárskej súťaže, ktorá len zhoršuje narušenia trhu, najmä pri financovaní podnikov, ktoré nie sú efektívne; usudzuje, že dočasné rámce štátnej pomoci nedokázali zabrániť ďalšej fragmentácii trhu, a konštatuje, že 77 % oznámenej štátnej pomoci pripadá len na dva členské štáty; požaduje prísnejšie monitorovanie oznamovania štátnej pomoci a posilnené podávanie správ o štátnej pomoci a transparentnosť v súlade s odporúčaniami Európskeho dvora audítorov;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9.</w:t>
      </w:r>
      <w:r w:rsidRPr="00B62FF7">
        <w:rPr>
          <w:b/>
        </w:rPr>
        <w:tab/>
      </w:r>
      <w:r w:rsidRPr="00B62FF7">
        <w:t>zdôrazňuje význam dôležitých projektov spoločného európskeho záujmu na financovanie projektov v rámci EÚ s cezhraničným rozmerom; zdôrazňuje, že dôležité projekty spoločného európskeho záujmu by mali mať skutočnú pridanú hodnotu EÚ, čo znamená, že by mali mať pozitívny vplyv na viac ako jeden členský štát; vyzýva Komisiu a členské štáty, aby zabezpečili, aby bolo každé takéto oznamovanie štátnej pomoci dokončené najneskôr do šiestich mesiacov;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10.</w:t>
      </w:r>
      <w:r w:rsidRPr="00B62FF7">
        <w:tab/>
        <w:t>berie na vedomie odhad v </w:t>
      </w:r>
      <w:proofErr w:type="spellStart"/>
      <w:r w:rsidRPr="00B62FF7">
        <w:t>Draghiho</w:t>
      </w:r>
      <w:proofErr w:type="spellEnd"/>
      <w:r w:rsidRPr="00B62FF7">
        <w:t xml:space="preserve"> správe, že na ochranu konkurencieschopnosti EÚ je potrebných ďalších 800 miliárd EUR ročne; uznáva význam verejných a súkromných investícií v tejto súvislosti; zdôrazňuje, že rozpočet EÚ musí byť náležite pripravený na tento účel; považuje dokončenie únie úspor a investícií za dôležité pre mobilizáciu </w:t>
      </w:r>
      <w:r w:rsidRPr="00B62FF7">
        <w:lastRenderedPageBreak/>
        <w:t xml:space="preserve">súkromných investícií, riešenie fragmentácie vnútorného trhu a podporu priemyselnej stratégie EÚ; uznáva naliehavú potrebu reforiem spolu s účinným vykonávaním troch oblastí činnosti uvedených v </w:t>
      </w:r>
      <w:proofErr w:type="spellStart"/>
      <w:r w:rsidRPr="00B62FF7">
        <w:t>Draghiho</w:t>
      </w:r>
      <w:proofErr w:type="spellEnd"/>
      <w:r w:rsidRPr="00B62FF7">
        <w:t xml:space="preserve"> správe: i) preklenutie inovačnej priepasti, ktorá nás delí od USA a Číny; ii) spoločný plán dekarbonizácie a konkurencieschopnosti s cieľom urýchliť energetickú transformáciu a znížiť náklady na energiu a iii) zvýšenie bezpečnosti a zníženie závislosti;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11.</w:t>
      </w:r>
      <w:r w:rsidRPr="00B62FF7">
        <w:tab/>
        <w:t>víta ochranu rovnakých podmienok pre európske trhy a európske spoločnosti a ich pracovníkov, ktorú poskytujú antidumpingové opatrenia, ktoré korigujú zahraničnú štátnu pomoc narúšajúcu hospodársku súťaž; vyzýva Komisiu, aby urýchlene využila dostupné obchodné nástroje v oblasti verejného obstarávania a zahraničných dotácií s cieľom zabrániť nekalej hospodárskej súťaži na vnútornom trhu;</w:t>
      </w:r>
    </w:p>
    <w:p w:rsidR="00895CA9" w:rsidRPr="00B62FF7" w:rsidRDefault="00895CA9" w:rsidP="00895CA9">
      <w:pPr>
        <w:pStyle w:val="Normal12a24b"/>
      </w:pPr>
      <w:r w:rsidRPr="00B62FF7">
        <w:rPr>
          <w:rStyle w:val="BoldItalic"/>
        </w:rPr>
        <w:t>Priority v oblasti presadzovania práva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12.</w:t>
      </w:r>
      <w:r w:rsidRPr="00B62FF7">
        <w:tab/>
        <w:t xml:space="preserve">všíma si zmeny v obchodných praktikách a poukazuje na pokles kartelových prípadov; varuje však pred novými formami škodlivého správania, ako je tichá </w:t>
      </w:r>
      <w:proofErr w:type="spellStart"/>
      <w:r w:rsidRPr="00B62FF7">
        <w:t>kolúzia</w:t>
      </w:r>
      <w:proofErr w:type="spellEnd"/>
      <w:r w:rsidRPr="00B62FF7">
        <w:t xml:space="preserve"> a algoritmická </w:t>
      </w:r>
      <w:proofErr w:type="spellStart"/>
      <w:r w:rsidRPr="00B62FF7">
        <w:t>kolúzia</w:t>
      </w:r>
      <w:proofErr w:type="spellEnd"/>
      <w:r w:rsidRPr="00B62FF7">
        <w:t>, a zdôrazňuje potrebu zosúladiť priority presadzovania s týmto vyvíjajúcim sa prostredím;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13.</w:t>
      </w:r>
      <w:r w:rsidRPr="00B62FF7">
        <w:tab/>
        <w:t>všíma si návrh z </w:t>
      </w:r>
      <w:proofErr w:type="spellStart"/>
      <w:r w:rsidRPr="00B62FF7">
        <w:t>Draghiho</w:t>
      </w:r>
      <w:proofErr w:type="spellEnd"/>
      <w:r w:rsidRPr="00B62FF7">
        <w:t xml:space="preserve"> správy na „nový nástroj hospodárskej súťaže“ ako flexibilný nástroj na prieskum trhu určený na riešenie štrukturálnych problémov hospodárskej súťaže, ktoré nevyplývajú z protisúťažných dohôd ani zo zneužitia dominantného postavenia, a na zavedenie </w:t>
      </w:r>
      <w:proofErr w:type="spellStart"/>
      <w:r w:rsidRPr="00B62FF7">
        <w:t>celotrhových</w:t>
      </w:r>
      <w:proofErr w:type="spellEnd"/>
      <w:r w:rsidRPr="00B62FF7">
        <w:t xml:space="preserve">, výhľadovo orientovaných štrukturálnych alebo </w:t>
      </w:r>
      <w:proofErr w:type="spellStart"/>
      <w:r w:rsidRPr="00B62FF7">
        <w:t>behaviorálnych</w:t>
      </w:r>
      <w:proofErr w:type="spellEnd"/>
      <w:r w:rsidRPr="00B62FF7">
        <w:t xml:space="preserve"> nápravných opatrení, a to aj znižovaním prekážok vstupu konkurentov na trh s cieľom zvýšiť konkurencieschopnosť, stimulovať inovácie a chrániť zraniteľných spotrebiteľov; vyzýva Komisiu, aby zanalyzovala, ako by tento nástroj mohol dopĺňať existujúci rámec pre odvetvové vyšetrovania;</w:t>
      </w:r>
    </w:p>
    <w:p w:rsidR="00895CA9" w:rsidRPr="00B62FF7" w:rsidRDefault="00895CA9" w:rsidP="00895CA9">
      <w:pPr>
        <w:pStyle w:val="NormalHanging12a"/>
      </w:pPr>
      <w:r w:rsidRPr="00B62FF7">
        <w:t>14.</w:t>
      </w:r>
      <w:r w:rsidRPr="00B62FF7">
        <w:tab/>
        <w:t>pripomína, že podľa zmluvy má Komisia právomoc riešiť vykorisťovateľské zneužívanie;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15.</w:t>
      </w:r>
      <w:r w:rsidRPr="00B62FF7">
        <w:tab/>
        <w:t xml:space="preserve">berie na vedomie existenciu právneho základu pre štrukturálne nápravné opatrenia proti zneužívaniu dominantného postavenia na trhu; uvedomuje si, že v pravidlách hospodárskej súťaže EÚ sa stanovuje, že štrukturálne nápravné opatrenia by sa mali použiť len ako posledná možnosť, ak sa </w:t>
      </w:r>
      <w:proofErr w:type="spellStart"/>
      <w:r w:rsidRPr="00B62FF7">
        <w:t>behaviorálne</w:t>
      </w:r>
      <w:proofErr w:type="spellEnd"/>
      <w:r w:rsidRPr="00B62FF7">
        <w:t xml:space="preserve"> nápravné opatrenia ukážu ako neúčinné, vyjadruje však poľutovanie nad neochotou Komisie riešiť dominantné postavenie na trhu prostredníctvom štrukturálnych nápravných opatrení; opakuje svoju výzvu na lepšie využívanie štrukturálnych nápravných opatrení a na ukončenie uprednostňovania </w:t>
      </w:r>
      <w:proofErr w:type="spellStart"/>
      <w:r w:rsidRPr="00B62FF7">
        <w:t>behaviorálnych</w:t>
      </w:r>
      <w:proofErr w:type="spellEnd"/>
      <w:r w:rsidRPr="00B62FF7">
        <w:t xml:space="preserve"> nápravných opatrení a nabáda na ďalšie úsilie o posilnenie ich uplatňovania v prípade potreby; vyzýva Komisiu, aby lepšie využívala nástroj dočasných opatrení s cieľom zastaviť akúkoľvek prax, ktorá by hospodársku súťaž závažne poškodila, najmä v súvislosti s dynamickými a rýchlo sa rozvíjajúcimi trhmi, ako sú digitálne trhy;</w:t>
      </w:r>
    </w:p>
    <w:p w:rsidR="00895CA9" w:rsidRPr="00B62FF7" w:rsidRDefault="00895CA9" w:rsidP="00895CA9">
      <w:pPr>
        <w:pStyle w:val="NormalHanging12a"/>
      </w:pPr>
      <w:r w:rsidRPr="00B62FF7">
        <w:t>16.</w:t>
      </w:r>
      <w:r w:rsidRPr="00B62FF7">
        <w:tab/>
        <w:t>víta skutočnosť, že Komisia zvolená na obdobie 2024 – 2029 považuje bývanie za prioritu; vyzýva Komisiu, aby posúdila, ako zásady hospodárskej súťaže EÚ ovplyvňujú ponuku služieb všeobecného hospodárskeho záujmu; vyzýva Komisiu, aby posúdila postavenie sociálnych služieb všeobecného záujmu a výnimku zo služieb všeobecného hospodárskeho záujmu pre dostupné bývanie;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lastRenderedPageBreak/>
        <w:t xml:space="preserve">17. </w:t>
      </w:r>
      <w:r w:rsidRPr="00B62FF7">
        <w:tab/>
        <w:t>zdôrazňuje význam štátnej pomoci ako nástroja na preklenutie hospodárskej priepasti medzi rozvinutejšími regiónmi EÚ a ostrovnými oblasťami, vnútrozemskými oblasťami, najvzdialenejšími regiónmi a hospodársky oslabenými oblasťami; pripomína, že umožnenie štátnej pomoci v súvislosti so službami všeobecného hospodárskeho záujmu je naďalej nevyhnutné na prežitie týchto oblastí, najmä v kontexte štátnej podpory zameranej na prepojenosť a iné základné poskytovanie služieb pre komunity žijúce v izolovaných, odľahlých alebo okrajových regiónoch EÚ; vyzýva Komisiu, aby preskúmala možnosti ďalšej flexibility pri poskytovaní finančných prostriedkov týmto regiónom;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18.</w:t>
      </w:r>
      <w:r w:rsidRPr="00B62FF7">
        <w:tab/>
        <w:t>berie na vedomie nedávne rozhodnutie Súdneho dvora Európskej únie, podľa ktorého jeden z členských štátov netransponoval smernicu o ESHS+ do vnútroštátnych právnych predpisov; zdôrazňuje význam úplnej transpozície smernice o ESHS+; vyzýva všetky členské štáty, aby zabezpečili riadne vykonávanie tejto smernice;</w:t>
      </w:r>
    </w:p>
    <w:p w:rsidR="00895CA9" w:rsidRPr="00B62FF7" w:rsidRDefault="00895CA9" w:rsidP="00895CA9">
      <w:pPr>
        <w:pStyle w:val="Normal12a24b"/>
      </w:pPr>
      <w:r w:rsidRPr="00B62FF7">
        <w:rPr>
          <w:rStyle w:val="BoldItalic"/>
        </w:rPr>
        <w:t xml:space="preserve">Fúzie a </w:t>
      </w:r>
      <w:proofErr w:type="spellStart"/>
      <w:r w:rsidRPr="00B62FF7">
        <w:rPr>
          <w:rStyle w:val="BoldItalic"/>
        </w:rPr>
        <w:t>antitrustové</w:t>
      </w:r>
      <w:proofErr w:type="spellEnd"/>
      <w:r w:rsidRPr="00B62FF7">
        <w:rPr>
          <w:rStyle w:val="BoldItalic"/>
        </w:rPr>
        <w:t xml:space="preserve"> opatrenia 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19.</w:t>
      </w:r>
      <w:r w:rsidRPr="00B62FF7">
        <w:tab/>
        <w:t>so znepokojením berie na vedomie výklad Súdneho dvora týkajúci sa článku 22 nariadenia ES o fúziách vo veci C-611/22 P</w:t>
      </w:r>
      <w:r w:rsidRPr="00B62FF7">
        <w:rPr>
          <w:rStyle w:val="Italic"/>
        </w:rPr>
        <w:t xml:space="preserve"> </w:t>
      </w:r>
      <w:r w:rsidRPr="00B62FF7">
        <w:t>(</w:t>
      </w:r>
      <w:proofErr w:type="spellStart"/>
      <w:r w:rsidRPr="00B62FF7">
        <w:t>Illumina</w:t>
      </w:r>
      <w:proofErr w:type="spellEnd"/>
      <w:r w:rsidRPr="00B62FF7">
        <w:t xml:space="preserve">/Komisia), ktorým sa ruší prístup Komisie akceptujúci postúpenie dohôd nepodliehajúcich oznamovacej povinnosti; uznáva, že nariadenie ES o fúziách neposkytuje Komisii dostatočné nástroje na riešenie akvizícií na účel likvidácie konkurencie; je pevne presvedčený, že vplyv rozhodnutí o fúziách na vnútorný trh odôvodňuje zahrnutie právneho základu vnútorného trhu do nariadenia ES o fúziách s cieľom plne zapojiť </w:t>
      </w:r>
      <w:proofErr w:type="spellStart"/>
      <w:r w:rsidRPr="00B62FF7">
        <w:t>spoluzákonodarcov</w:t>
      </w:r>
      <w:proofErr w:type="spellEnd"/>
      <w:r w:rsidRPr="00B62FF7">
        <w:t xml:space="preserve"> podobným spôsobom ako v prípade aktu o digitálnych trhoch; vyzýva Komisiu, aby vyžadovala od členských štátov, ktoré majú alebo si môžu nárokovať príslušnú právomoc, aby preskúmali potenciálne akvizície na účel likvidácie konkurencie na základe svojich vnútroštátnych právnych predpisov o kontrole fúzií, a aby tieto dohody naďalej postupovali v súlade s článkom 22 nariadenia ES o fúziách; vyzýva Komisiu, aby preskúmala možnosť revízie nariadenia ES o fúziách, aby tak mohla skúmať fúzie, ktoré nedosahujú prahové hodnoty EÚ alebo vnútroštátne prahové hodnoty, a to bez ohľadu na príslušné odvetvia;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20.</w:t>
      </w:r>
      <w:r w:rsidRPr="00B62FF7">
        <w:tab/>
        <w:t>konštatuje, že od nadobudnutia účinnosti nariadenia ES o fúziách v roku 2004 bolo 0,7 % oznámených fúzií buď zablokovaných Komisiou, alebo stiahnutých po vyšetrovaní;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21.</w:t>
      </w:r>
      <w:r w:rsidRPr="00B62FF7">
        <w:tab/>
        <w:t>poznamenáva, že samotné limity obratu v nariadení ES o fúziách nemusia byť vhodné na odhalenie všetkých prípadov, ktoré by mali byť preskúmané orgánmi na ochranu hospodárskej súťaže; upozorňuje na praktiky, ktoré používajú dominantné spoločnosti, aby sa vyhli formálnym vyšetrovaniam, napríklad na rastúce využívanie „partnerstiev“ v odvetví umelej inteligencie, čo tiež svedčí o tom, že je potrebné preskúmať nariadenie EÚ o fúziách;</w:t>
      </w:r>
    </w:p>
    <w:p w:rsidR="00895CA9" w:rsidRPr="00B62FF7" w:rsidRDefault="00895CA9" w:rsidP="00895CA9">
      <w:pPr>
        <w:pStyle w:val="NormalHanging12a"/>
      </w:pPr>
      <w:r w:rsidRPr="00B62FF7">
        <w:t>22.</w:t>
      </w:r>
      <w:r w:rsidRPr="00B62FF7">
        <w:tab/>
        <w:t>víta návrh z </w:t>
      </w:r>
      <w:proofErr w:type="spellStart"/>
      <w:r w:rsidRPr="00B62FF7">
        <w:t>Draghiho</w:t>
      </w:r>
      <w:proofErr w:type="spellEnd"/>
      <w:r w:rsidRPr="00B62FF7">
        <w:t xml:space="preserve"> správy na „ochranu inovácií“ v prípadoch, keď fúzia zvyšuje schopnosť a motiváciu inovovať, a vyzýva Komisiu, aby túto myšlienku zanalyzovala a ďalej rozvinula; okrem toho žiada, aby sa zohľadnili otázky verejného záujmu, ako je vplyv na pracovníkov;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23.</w:t>
      </w:r>
      <w:r w:rsidRPr="00B62FF7">
        <w:tab/>
        <w:t xml:space="preserve">žiada Komisiu, aby identifikovala vnútroštátne prekážky, ktoré jej môžu brániť v tom, aby vo svojich analýzach fúzií považovala trh EÚ za relevantný; vyzýva Komisiu, aby predložila legislatívny návrh na odstránenie týchto prekážok; poznamenáva, že pri </w:t>
      </w:r>
      <w:r w:rsidRPr="00B62FF7">
        <w:lastRenderedPageBreak/>
        <w:t xml:space="preserve">rozhodovaní o vymedzení relevantného trhu v prípadoch kontroly hospodárskej súťaže a fúzií je potrebné dôkladne analyzovať medzinárodné prostredie; vyzýva Komisiu, aby v náležitých prípadoch prijala výhľadový prístup ku konsolidácii v EÚ, ako sa navrhuje aj v správach </w:t>
      </w:r>
      <w:proofErr w:type="spellStart"/>
      <w:r w:rsidRPr="00B62FF7">
        <w:t>Draghiho</w:t>
      </w:r>
      <w:proofErr w:type="spellEnd"/>
      <w:r w:rsidRPr="00B62FF7">
        <w:t xml:space="preserve"> a </w:t>
      </w:r>
      <w:proofErr w:type="spellStart"/>
      <w:r w:rsidRPr="00B62FF7">
        <w:t>Lettu</w:t>
      </w:r>
      <w:proofErr w:type="spellEnd"/>
      <w:r w:rsidRPr="00B62FF7">
        <w:t xml:space="preserve">, v rámci ktorého zohľadní strategický význam a </w:t>
      </w:r>
      <w:proofErr w:type="spellStart"/>
      <w:r w:rsidRPr="00B62FF7">
        <w:t>prosúťažný</w:t>
      </w:r>
      <w:proofErr w:type="spellEnd"/>
      <w:r w:rsidRPr="00B62FF7">
        <w:t xml:space="preserve"> vplyv rozsahu a priaznivých investičných podmienok v určitých odvetviach na podporu inovácií a dlhodobej hospodárskej súťaže;</w:t>
      </w:r>
    </w:p>
    <w:p w:rsidR="00895CA9" w:rsidRPr="00B62FF7" w:rsidRDefault="00895CA9" w:rsidP="00895CA9">
      <w:pPr>
        <w:pStyle w:val="NormalHanging12a"/>
      </w:pPr>
      <w:r w:rsidRPr="00B62FF7">
        <w:t>24.</w:t>
      </w:r>
      <w:r w:rsidRPr="00B62FF7">
        <w:tab/>
        <w:t xml:space="preserve">žiada, aby sa rámce posudzovania fúzií aktualizovali tak, aby odrážali realitu digitálneho hospodárstva, v ktorom sa trhová sila môže prejaviť inými spôsobmi ako tradičným trhovým podielom na jasne vymedzených trhoch; podporuje rozvoj pokročilých metodík na analýzu dominantného postavenia založeného na údajoch a sieťových účinkov, pričom zdôrazňuje kľúčovú úlohu rozhodovania spotrebiteľov pri výbere digitálnych služieb a zariadení; nabáda Komisiu, aby posilnila mechanizmy, ktoré umožňujú </w:t>
      </w:r>
      <w:proofErr w:type="spellStart"/>
      <w:r w:rsidRPr="00B62FF7">
        <w:t>interoperabilitu</w:t>
      </w:r>
      <w:proofErr w:type="spellEnd"/>
      <w:r w:rsidRPr="00B62FF7">
        <w:t xml:space="preserve"> medzi službami a zariadeniami a podporujú inovácie a hospodársku súťaž v digitálnom ekosystéme; naliehavo vyzýva Komisiu, aby urýchlene pokročila vo vykonávaní existujúcich povinností týkajúcich sa </w:t>
      </w:r>
      <w:proofErr w:type="spellStart"/>
      <w:r w:rsidRPr="00B62FF7">
        <w:t>interoperability</w:t>
      </w:r>
      <w:proofErr w:type="spellEnd"/>
      <w:r w:rsidRPr="00B62FF7">
        <w:t xml:space="preserve"> služieb zasielania správ podľa aktu o digitálnych trhoch a existujúcich povinností poskytovateľov </w:t>
      </w:r>
      <w:proofErr w:type="spellStart"/>
      <w:r w:rsidRPr="00B62FF7">
        <w:t>cloudových</w:t>
      </w:r>
      <w:proofErr w:type="spellEnd"/>
      <w:r w:rsidRPr="00B62FF7">
        <w:t xml:space="preserve"> služieb týkajúcich sa </w:t>
      </w:r>
      <w:proofErr w:type="spellStart"/>
      <w:r w:rsidRPr="00B62FF7">
        <w:t>interoperability</w:t>
      </w:r>
      <w:proofErr w:type="spellEnd"/>
      <w:r w:rsidRPr="00B62FF7">
        <w:t xml:space="preserve"> podľa aktu o údajoch a aby začala práce na preskúmaní aktu o digitálnych trhoch, ktoré sa má uskutočniť do mája 2026; naliehavo vyzýva Komisiu, aby vykonávala existujúce povinnosti v oblasti </w:t>
      </w:r>
      <w:proofErr w:type="spellStart"/>
      <w:r w:rsidRPr="00B62FF7">
        <w:t>interoperability</w:t>
      </w:r>
      <w:proofErr w:type="spellEnd"/>
      <w:r w:rsidRPr="00B62FF7">
        <w:t xml:space="preserve"> podľa aktu o digitálnych trhoch a preskúmala rozšírenie povinností v oblasti </w:t>
      </w:r>
      <w:proofErr w:type="spellStart"/>
      <w:r w:rsidRPr="00B62FF7">
        <w:t>interoperability</w:t>
      </w:r>
      <w:proofErr w:type="spellEnd"/>
      <w:r w:rsidRPr="00B62FF7">
        <w:t xml:space="preserve"> na online služby sociálnych sietí; podporuje Komisiu v tom, aby pri posudzovaní fúzií viac zohľadňovala potenciálne poškodenie hospodárskej súťaže, ak by expanzia na susedné trhy mala za následok ďalšie posilnenie dominantného postavenia na hlavnom trhu nadobúdajúcej spoločnosti;</w:t>
      </w:r>
    </w:p>
    <w:p w:rsidR="00895CA9" w:rsidRPr="00B62FF7" w:rsidRDefault="00895CA9" w:rsidP="00895CA9">
      <w:pPr>
        <w:pStyle w:val="NormalHanging12a"/>
        <w:rPr>
          <w:b/>
          <w:snapToGrid/>
        </w:rPr>
      </w:pPr>
      <w:r w:rsidRPr="00B62FF7">
        <w:t>25.</w:t>
      </w:r>
      <w:r w:rsidRPr="00B62FF7">
        <w:tab/>
        <w:t xml:space="preserve">vyzýva Komisiu, aby riešila príliš dlhé </w:t>
      </w:r>
      <w:proofErr w:type="spellStart"/>
      <w:r w:rsidRPr="00B62FF7">
        <w:t>antitrustové</w:t>
      </w:r>
      <w:proofErr w:type="spellEnd"/>
      <w:r w:rsidRPr="00B62FF7">
        <w:t xml:space="preserve"> vyšetrovania, počas ktorých spoločnosti naďalej profitujú zo svojich protisúťažných praktík; vyzýva Komisiu, aby stanovila primerané lehoty pre </w:t>
      </w:r>
      <w:proofErr w:type="spellStart"/>
      <w:r w:rsidRPr="00B62FF7">
        <w:t>antitrustové</w:t>
      </w:r>
      <w:proofErr w:type="spellEnd"/>
      <w:r w:rsidRPr="00B62FF7">
        <w:t xml:space="preserve"> prípady a zabezpečila účinné vykonanie prijatých rozhodnutí; vyzýva Komisiu, aby prijala ďalšie dočasné opatrenia s cieľom zastaviť akúkoľvek prax, ktorá by hospodársku súťaž závažne poškodila, najmä v súvislosti s dynamickými a rýchlo sa rozvíjajúcimi trhmi, ako sú digitálne trhy;</w:t>
      </w:r>
    </w:p>
    <w:p w:rsidR="00895CA9" w:rsidRPr="00B62FF7" w:rsidRDefault="00895CA9" w:rsidP="00895CA9">
      <w:pPr>
        <w:pStyle w:val="Normal12a24b"/>
      </w:pPr>
      <w:r w:rsidRPr="00B62FF7">
        <w:rPr>
          <w:rStyle w:val="BoldItalic"/>
        </w:rPr>
        <w:t>Sektorové politiky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26.</w:t>
      </w:r>
      <w:r w:rsidRPr="00B62FF7">
        <w:tab/>
        <w:t>víta dva prelomové rozsudky Súdneho dvora zo septembra 2024, v ktorých sa potvrdzuje tvrdenie Komisie, že írska daňová dohoda so spoločnosťou Apple predstavuje nezákonnú štátnu pomoc a že spoločnosť Google v rozpore so zmluvami zneužila svoje dominantné postavenie; berie na vedomie, že právny rámec v Írsku sa odvtedy zmenil; nabáda Komisiu, aby pokračovala v opatreniach proti zneužívaniu štátnej pomoci, ktoré zahŕňa selektívne poskytovanie daňových úľav spoločnostiam;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27.</w:t>
      </w:r>
      <w:r w:rsidRPr="00B62FF7">
        <w:tab/>
        <w:t xml:space="preserve">berie na vedomie škodlivý vplyv medzinárodnej daňovej súťaže; pripomína svoju podporu vykonávaniu druhého piliera Organizácie pre hospodársku spoluprácu a rozvoj (OECD); vyjadruje hlboké poľutovanie nad prezidentským dekrétom USA z 20. januára 2025, v ktorom sa uvádza, že globálna daňová dohoda OECD nemá v Spojených štátoch „žiadnu silu ani účinok“; zdôrazňuje význam </w:t>
      </w:r>
      <w:proofErr w:type="spellStart"/>
      <w:r w:rsidRPr="00B62FF7">
        <w:t>multilateralizmu</w:t>
      </w:r>
      <w:proofErr w:type="spellEnd"/>
      <w:r w:rsidRPr="00B62FF7">
        <w:t xml:space="preserve"> pri zabezpečovaní toho, aby nadnárodné spoločnosti platili svoj spravodlivý podiel na daniach tam, kde sa vytvára hodnota; zastáva názor, že EÚ by sa mala v plnej miere podporiť smernicu OECD týkajúcu sa druhého piliera;</w:t>
      </w:r>
    </w:p>
    <w:p w:rsidR="00895CA9" w:rsidRPr="00B62FF7" w:rsidRDefault="00895CA9" w:rsidP="00895CA9">
      <w:pPr>
        <w:pStyle w:val="NormalHanging12a"/>
      </w:pPr>
      <w:r w:rsidRPr="00B62FF7">
        <w:lastRenderedPageBreak/>
        <w:t>28.</w:t>
      </w:r>
      <w:r w:rsidRPr="00B62FF7">
        <w:tab/>
        <w:t xml:space="preserve">zdôrazňuje znepokojujúce koncentrácie trhu v rámci rôznych digitálnych trhov, ako sú sociálne médiá, vyhľadávače, umelá inteligencia, </w:t>
      </w:r>
      <w:proofErr w:type="spellStart"/>
      <w:r w:rsidRPr="00B62FF7">
        <w:t>cloudové</w:t>
      </w:r>
      <w:proofErr w:type="spellEnd"/>
      <w:r w:rsidRPr="00B62FF7">
        <w:t xml:space="preserve"> služby, elektronický obchod, mikročipy a online reklama; zdôrazňuje skutočný a potenciálny negatívny vplyv na </w:t>
      </w:r>
      <w:proofErr w:type="spellStart"/>
      <w:r w:rsidRPr="00B62FF7">
        <w:t>únijnú</w:t>
      </w:r>
      <w:proofErr w:type="spellEnd"/>
      <w:r w:rsidRPr="00B62FF7">
        <w:t xml:space="preserve"> konkurencieschopnosť, odolnosť dodávateľských reťazcov, slobodu médií, ochranu súkromia a údajov, spoločnosť a demokraciu; naliehavo vyzýva Komisiu, aby sa zaoberala otázkami, ktoré sú špecifické pre trh s technológiami, vrátane infraštruktúrnej moci na úrovniach hardvéru a </w:t>
      </w:r>
      <w:proofErr w:type="spellStart"/>
      <w:r w:rsidRPr="00B62FF7">
        <w:t>cloud</w:t>
      </w:r>
      <w:proofErr w:type="spellEnd"/>
      <w:r w:rsidRPr="00B62FF7">
        <w:t xml:space="preserve"> </w:t>
      </w:r>
      <w:proofErr w:type="spellStart"/>
      <w:r w:rsidRPr="00B62FF7">
        <w:t>computingu</w:t>
      </w:r>
      <w:proofErr w:type="spellEnd"/>
      <w:r w:rsidRPr="00B62FF7">
        <w:t xml:space="preserve">, vertikálnej koncentrácie, algoritmickej manipulácie digitálnej verejnej sféry a trhového pákového efektu na digitálnych trhoch, o čom svedčí pokrok dosiahnutý na základe aktu o digitálnych trhoch; okrem toho vyzýva na začatie nových vyšetrovaní v odvetví </w:t>
      </w:r>
      <w:proofErr w:type="spellStart"/>
      <w:r w:rsidRPr="00B62FF7">
        <w:t>cloudových</w:t>
      </w:r>
      <w:proofErr w:type="spellEnd"/>
      <w:r w:rsidRPr="00B62FF7">
        <w:t xml:space="preserve"> služieb s cieľom ďalej zabezpečiť spravodlivú hospodársku súťaž a inovácie, a to vzhľadom na mieru koncentrácie trhu v tomto odvetví a protisúťažné postupy týkajúce sa zložitých a netransparentných licenčných podmienok alebo núteného balíčkovania; okrem toho naliehavo vyzýva Komisiu, aby sa zaoberala rastúcou vertikálnou koncentráciou dominantných aktérov v celom hodnotovom reťazci reklamy, ktorá ohrozuje online reklamný sektor EÚ;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29.</w:t>
      </w:r>
      <w:r w:rsidRPr="00B62FF7">
        <w:tab/>
        <w:t>berie na vedomie rýchly rozvoj služieb umelej inteligencie, ktorý môže viesť ku koncentrácii trhu; vyzýva Komisiu, aby zaujala ekosystémový prístup k tomuto odvetviu, a to aj vypracovaním a uplatňovaním nových teórií ujmy s cieľom riešiť ďalšie upevňovanie pozícií dominantných aktérov v tomto odvetví; zdôrazňuje, že akt o digitálnych trhoch obsahuje niekoľko ustanovení, ktoré sa musia použiť nato, aby sa strážcom prístupu zabránilo v obmedzovaní nových vývojárov umelej inteligencie, a žiada Komisiu, aby urýchlene prijala kroky na riešenie rizika, že spotrebitelia budú nútení využívať na svojich mobilných zariadeniach preddefinované služby umelej inteligencie, a tak zabezpečila, že systémy umelej inteligencie zostanú používateľsky voliteľné a transparentné, čím sa zaručí hospodárska súťaž a možnosti voľby pre spotrebiteľov; vyzýva Komisiu, aby preskúmala možnosť doplniť generatívnu umelú inteligenciu ako novú základnú platformovú službu podľa aktu o digitálnych trhoch;</w:t>
      </w:r>
    </w:p>
    <w:p w:rsidR="00895CA9" w:rsidRPr="00B62FF7" w:rsidRDefault="00895CA9" w:rsidP="00895CA9">
      <w:pPr>
        <w:pStyle w:val="NormalHanging12a"/>
      </w:pPr>
      <w:r w:rsidRPr="00B62FF7">
        <w:t>30.</w:t>
      </w:r>
      <w:r w:rsidRPr="00B62FF7">
        <w:tab/>
        <w:t xml:space="preserve">konštatuje, že veľkí digitálni aktéri využívajú svoju trhovú silu, moc nad spotrebiteľmi, finančné zdroje a koncentráciu údajov na jednom trhu na posilnenie svojho postavenia na inom trhu; zdôrazňuje, že malé subjekty nemôžu konkurovať uvedeným faktorom, čo ešte viac zvyšuje závislosť občanov EÚ od toho istého malého počtu </w:t>
      </w:r>
      <w:proofErr w:type="spellStart"/>
      <w:r w:rsidRPr="00B62FF7">
        <w:t>mimoúnijných</w:t>
      </w:r>
      <w:proofErr w:type="spellEnd"/>
      <w:r w:rsidRPr="00B62FF7">
        <w:t xml:space="preserve"> podnikov a ohrozuje strategickú autonómiu; požaduje zvýšenú kontrolu posilňovania postavenia dominantnými aktérmi digitálneho sektora v iných odvetviach a strategickej autonómie EÚ prostredníctvom revízie usmernení o fúziách s cieľom zabezpečiť, aby bolo možné účinnejšie kontrolovať využívanie trhovej sily;</w:t>
      </w:r>
    </w:p>
    <w:p w:rsidR="00895CA9" w:rsidRPr="00B62FF7" w:rsidRDefault="00895CA9" w:rsidP="00895CA9">
      <w:pPr>
        <w:pStyle w:val="NormalHanging12a"/>
      </w:pPr>
      <w:r w:rsidRPr="00B62FF7">
        <w:t>31.</w:t>
      </w:r>
      <w:r w:rsidRPr="00B62FF7">
        <w:tab/>
        <w:t>všíma si význam údajov a nástrojov na analýzu údajov ako jedného z odrádzajúcich faktorov pre koncentrácie na digitálnom trhu a akvizície v digitálnom sektore; v prípadoch koncentrácií, do ktorých je zapojený jeden alebo viacero subjektov v digitálnych sektoroch, požaduje stanovisko Európskeho výboru pre ochranu údajov k významu súborov údajov pre zamýšľanú koncentráciu, osobným údajom spracúvaným v rámci cieľovej akvizície a potenciálnemu vplyvu zamýšľanej koncentrácie na právo na súkromie a ochranu údajov;</w:t>
      </w:r>
    </w:p>
    <w:p w:rsidR="00895CA9" w:rsidRPr="00B62FF7" w:rsidRDefault="00895CA9" w:rsidP="00895CA9">
      <w:pPr>
        <w:pStyle w:val="NormalHanging12a"/>
      </w:pPr>
      <w:r w:rsidRPr="00B62FF7">
        <w:t>32.</w:t>
      </w:r>
      <w:r w:rsidRPr="00B62FF7">
        <w:tab/>
        <w:t>vyjadruje znepokojenie nad rastúcim využívaním mechanizmov dynamickej cenotvorby v celej EÚ; vyzýva Komisiu, aby preskúmala regulačné opatrenia proti vysoko adaptívnym a nepriehľadným metódam cenotvorby;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lastRenderedPageBreak/>
        <w:t>33.</w:t>
      </w:r>
      <w:r w:rsidRPr="00B62FF7">
        <w:tab/>
        <w:t xml:space="preserve">vyzýva Komisiu, aby dôrazne presadzovala všetky pravidlá hospodárskej súťaže vrátane nariadenia o zahraničných subvenciách a aktu o digitálnych trhoch s cieľom riešiť praktiky strážcov prístupu a podporovať </w:t>
      </w:r>
      <w:proofErr w:type="spellStart"/>
      <w:r w:rsidRPr="00B62FF7">
        <w:t>súťažeschopné</w:t>
      </w:r>
      <w:proofErr w:type="spellEnd"/>
      <w:r w:rsidRPr="00B62FF7">
        <w:t xml:space="preserve"> trhy a spravodlivú hospodársku súťaž; zdôrazňuje, že Komisia musí mať dostatok zamestnancov na presadzovanie práva, pričom poznamenáva, že k zlepšeniu presadzovania práva hospodárskej súťaže môžu prispieť nové nástroje, ako aj vedci a ekonómovia z rozličných odborov; zdôrazňuje najmä, že akt o digitálnych trhoch by sa mal uplatňovať prísne a nezávisle bez akéhokoľvek oslabovania vonkajšími tlakmi; zdôrazňuje, že akt o digitálnych trhoch a potenciálne pokuty sa nesmú využívať ako nástroj na vyjednávanie v súvislosti s diskusiami o clách, ale ako základný kameň úsilia EÚ o zabezpečenie spravodlivých a konkurencieschopných digitálnych trhov; berie na vedomie šesť postupov v prípade nedodržiavania predpisov, ktoré sa začali proti niektorým označeným strážcom prístupu; je hlboko znepokojený možnými oneskoreniami v kľúčových vyšetrovaniach a schopnosťou Komisie, pokiaľ ide o dodržiavanie povinnosti vynaložiť „maximálne úsilie“ a bezodkladné prijatie rozhodnutia o postupoch v prípade nedodržiavania predpisov;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34.</w:t>
      </w:r>
      <w:r w:rsidRPr="00B62FF7">
        <w:tab/>
        <w:t>so znepokojením berie na vedomie rozdrobenosť mnohých spotrebiteľských trhov vrátane finančných služieb, telekomunikácií a energií pre domácnosti a vyzýva na rýchlejšiu a väčšiu integráciu trhu tam, kde to prináša výhody pre spotrebiteľov, a na uznanie skutočnosti, že takáto integrácia trhu môže byť motorom investícií a inovácií;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35.</w:t>
      </w:r>
      <w:r w:rsidRPr="00B62FF7">
        <w:tab/>
        <w:t>vyjadruje znepokojenie nad vysokou koncentráciou v maloobchodnom, poľnohospodárskom a automobilovom odvetví v zámorských územiach, keď nadmerné ceny, ktoré stanovujú dominantné podniky za základné výrobky a služby, prehlbujú nerovnosti, neistotu a územné rozdiely; vyzýva Komisiu, aby začala vyšetrovanie možného zneužívania dominantného postavenia podľa článku 102 ZFEÚ;</w:t>
      </w:r>
    </w:p>
    <w:p w:rsidR="00895CA9" w:rsidRPr="00B62FF7" w:rsidRDefault="00895CA9" w:rsidP="00895CA9">
      <w:pPr>
        <w:pStyle w:val="NormalHanging12a"/>
        <w:rPr>
          <w:b/>
          <w:snapToGrid/>
        </w:rPr>
      </w:pPr>
      <w:r w:rsidRPr="00B62FF7">
        <w:t>36.</w:t>
      </w:r>
      <w:r w:rsidRPr="00B62FF7">
        <w:tab/>
        <w:t>so znepokojením berie na vedomie vysoký stupeň koncentrácie trhu v európskom finančnom sektore, ako aj jeho trvalé nadmerné spoliehanie sa na obmedzené množstvo poskytovateľov služieb z krajín mimo EÚ; poznamenáva, že tri najväčšie ratingové agentúry majú stále trhový podiel viac než 90 %; vyjadruje znepokojenie nad pretrvávajúcou vysokou koncentráciou na audítorskom trhu subjektov verejného záujmu (SVZ), kde prevažnú väčšinu príjmov EÚ z auditov SV držia hlavne štyri spoločnosti, čo obmedzuje výber a prináša riziko tzv. dozorného zajatia; vyzýva Komisiu, aby predložila posúdenie vplyvu týkajúce sa možností riešenia týchto obáv; naliehavo vyzýva Komisiu, aby dôkladne posudzovala verejné súťaže v oblasti expertízy účastníkov trhu s auditom, aby sa zabránilo možným konfliktom záujmov;</w:t>
      </w:r>
    </w:p>
    <w:p w:rsidR="00895CA9" w:rsidRPr="00B62FF7" w:rsidRDefault="00895CA9" w:rsidP="00895CA9">
      <w:pPr>
        <w:pStyle w:val="NormalHanging12a"/>
        <w:rPr>
          <w:snapToGrid/>
        </w:rPr>
      </w:pPr>
      <w:r w:rsidRPr="00B62FF7">
        <w:t>37.</w:t>
      </w:r>
      <w:r w:rsidRPr="00B62FF7">
        <w:tab/>
        <w:t xml:space="preserve">vyjadruje znepokojenie nad krízou cien potravín a v tejto súvislosti konštatuje vysokú mieru koncentrácie trhu v potravinových dodávateľských reťazcoch; opakuje svoju výzvu Komisii, aby naliehavo vykonala hĺbkovú analýzu rozsahu a efektu nákupných aliancií, a tým venovala osobitnú pozornosť zaručeniu spravodlivej hospodárskej súťaže a väčšej transparentnosti obchodných praktík reťazcov supermarketov a hypermarketov, najmä ak takéto praktiky ovplyvňujú hodnotu značky a výber produktov alebo obmedzujú inovácie či porovnateľnosť cien; v tejto súvislosti pripomína koncentráciu trhu v oblasti obchodovania s poľnohospodárskymi komoditami, kde prevažnú väčšinu svetového obchodu s plodinami predstavujú štyri spoločnosti; vyjadruje poľutovanie nad tým, že Komisia napriek obavám z narušenia hospodárskej súťaže podmienečne schválila fúziu </w:t>
      </w:r>
      <w:proofErr w:type="spellStart"/>
      <w:r w:rsidRPr="00B62FF7">
        <w:t>Bunge-Viterra</w:t>
      </w:r>
      <w:proofErr w:type="spellEnd"/>
      <w:r w:rsidRPr="00B62FF7">
        <w:t xml:space="preserve"> v roku 2024 (M.11204); žiada Komisiu, aby riešila nadmerné hromadenie moci v rukách niekoľkých veľkých aktérov na tomto trhu </w:t>
      </w:r>
      <w:r w:rsidRPr="00B62FF7">
        <w:lastRenderedPageBreak/>
        <w:t>s cieľom posilniť vyjednávaciu pozíciu poľnohospodárov aj spotrebiteľov; v tejto súvislosti vyzdvihuje zavedenie nového nástroja hospodárskej súťaže;</w:t>
      </w:r>
    </w:p>
    <w:p w:rsidR="00895CA9" w:rsidRPr="00B62FF7" w:rsidRDefault="00895CA9" w:rsidP="00895CA9">
      <w:pPr>
        <w:pStyle w:val="NormalHanging12a"/>
      </w:pPr>
      <w:r w:rsidRPr="00B62FF7">
        <w:t>38.</w:t>
      </w:r>
      <w:r w:rsidRPr="00B62FF7">
        <w:tab/>
        <w:t>berie na vedomie vysoké čisté zisky bánk EÚ počas tohto inflačného obdobia, ktoré boli spôsobené najmä oneskoreným premietnutím rýchleho sprísňovania menovej politiky do vkladových úrokových sadzieb;</w:t>
      </w:r>
    </w:p>
    <w:p w:rsidR="00895CA9" w:rsidRPr="00B62FF7" w:rsidRDefault="00895CA9" w:rsidP="00895CA9">
      <w:pPr>
        <w:pStyle w:val="NormalHanging12a"/>
      </w:pPr>
      <w:r w:rsidRPr="00B62FF7">
        <w:t xml:space="preserve">39. </w:t>
      </w:r>
      <w:r w:rsidRPr="00B62FF7">
        <w:tab/>
        <w:t>s osobitným znepokojením berie na vedomie dominantné postavenie dvoch medzinárodných kartových schém na platobnom trhu EÚ a ich zapojenie do postupov, ktoré posilňujú a rozširujú ich dominantné postavenie na tomto trhu, čo môže ešte viac prehĺbiť prekážky vstupu na trh a zabrzdiť dlhodobé inovácie</w:t>
      </w:r>
      <w:r w:rsidRPr="00B62FF7">
        <w:rPr>
          <w:rStyle w:val="FootnoteReference"/>
        </w:rPr>
        <w:footnoteReference w:id="6"/>
      </w:r>
      <w:r w:rsidRPr="00B62FF7">
        <w:t>, ako aj viesť k vyšším nákladom pre podniky v EÚ a v konečnom dôsledku aj pre spotrebiteľov; vyzýva Komisiu, aby prijala rozhodné opatrenia, pričom zdôrazňuje potrebu revízie nariadenia o výmenných poplatkoch [nariadenie (EÚ) 2015/751] s cieľom riešiť výrazné zvýšenie poplatkov za kartové schémy účtovaných medzinárodnými kartovými schémami a zabezpečiť spravodlivé, konkurencieschopné a transparentné trhové prostredie;</w:t>
      </w:r>
    </w:p>
    <w:p w:rsidR="00895CA9" w:rsidRPr="00B62FF7" w:rsidRDefault="00895CA9" w:rsidP="00895CA9">
      <w:pPr>
        <w:pStyle w:val="Normal12a24b"/>
      </w:pPr>
      <w:r w:rsidRPr="00B62FF7">
        <w:rPr>
          <w:rStyle w:val="BoldItalic"/>
        </w:rPr>
        <w:t xml:space="preserve">Zapojenie Európskeho parlamentu </w:t>
      </w:r>
    </w:p>
    <w:p w:rsidR="00895CA9" w:rsidRPr="00B62FF7" w:rsidRDefault="00895CA9" w:rsidP="00895CA9">
      <w:pPr>
        <w:pStyle w:val="NormalHanging12a"/>
      </w:pPr>
      <w:r w:rsidRPr="00B62FF7">
        <w:t>40.</w:t>
      </w:r>
      <w:r w:rsidRPr="00B62FF7">
        <w:tab/>
        <w:t xml:space="preserve">zdôrazňuje, že </w:t>
      </w:r>
      <w:r w:rsidR="003E1381" w:rsidRPr="00B62FF7">
        <w:t>Európsky p</w:t>
      </w:r>
      <w:r w:rsidRPr="00B62FF7">
        <w:t xml:space="preserve">arlament by mal byť dostatočne zapojený do formovania politiky hospodárskej súťaže; varuje pred nadmerným využívaním právne nezáväzných nástrojov, ako sú usmernenia a dočasné rámce, pri ktorých je zapojenie </w:t>
      </w:r>
      <w:r w:rsidR="003E1381" w:rsidRPr="00B62FF7">
        <w:t>Európskeho p</w:t>
      </w:r>
      <w:r w:rsidRPr="00B62FF7">
        <w:t xml:space="preserve">arlamentu obmedzené; vyzýva Komisiu, aby začala rokovania o </w:t>
      </w:r>
      <w:proofErr w:type="spellStart"/>
      <w:r w:rsidRPr="00B62FF7">
        <w:t>medziinštitucionálnej</w:t>
      </w:r>
      <w:proofErr w:type="spellEnd"/>
      <w:r w:rsidRPr="00B62FF7">
        <w:t xml:space="preserve"> dohode o politike hospodárskej súťaže s cieľom </w:t>
      </w:r>
      <w:proofErr w:type="spellStart"/>
      <w:r w:rsidRPr="00B62FF7">
        <w:t>fomalizovať</w:t>
      </w:r>
      <w:proofErr w:type="spellEnd"/>
      <w:r w:rsidRPr="00B62FF7">
        <w:t xml:space="preserve"> svoje priority v oblasti presadzovania práva voči </w:t>
      </w:r>
      <w:r w:rsidR="003E1381" w:rsidRPr="00B62FF7">
        <w:t>Európskemu p</w:t>
      </w:r>
      <w:r w:rsidRPr="00B62FF7">
        <w:t>arlamentu; vyzýva Európsku radu, aby prijala rozhodnutie podľa článku 48 ods. 7 Z</w:t>
      </w:r>
      <w:r w:rsidR="003E1381" w:rsidRPr="00B62FF7">
        <w:t>mluvy o </w:t>
      </w:r>
      <w:r w:rsidRPr="00B62FF7">
        <w:t>E</w:t>
      </w:r>
      <w:r w:rsidR="003E1381" w:rsidRPr="00B62FF7">
        <w:t>urópskej únii</w:t>
      </w:r>
      <w:r w:rsidRPr="00B62FF7">
        <w:t xml:space="preserve">, ktoré umožní prijímanie legislatívnych aktov v oblasti politiky hospodárskej súťaže v súlade s riadnym legislatívnym postupom; zdôrazňuje, že </w:t>
      </w:r>
      <w:r w:rsidR="003E1381" w:rsidRPr="00B62FF7">
        <w:t>Európsky p</w:t>
      </w:r>
      <w:r w:rsidRPr="00B62FF7">
        <w:t>arlament by mal byť viac zapojený do činnosti pracovných skupín a expertných skupín v rámci Medzinárodnej siete pre hospodársku súťaž a OECD ako pozorovateľ, ako aj do skupiny na vysokej úrovni pre akt o digitálnych trhoch;</w:t>
      </w:r>
    </w:p>
    <w:p w:rsidR="00895CA9" w:rsidRPr="00B62FF7" w:rsidRDefault="00895CA9" w:rsidP="00895CA9">
      <w:pPr>
        <w:pStyle w:val="NormalHanging12a"/>
      </w:pPr>
      <w:r w:rsidRPr="00B62FF7">
        <w:t>41.</w:t>
      </w:r>
      <w:r w:rsidRPr="00B62FF7">
        <w:tab/>
        <w:t>vyzýva príslušnú výkonnú podpredsedníčku a komisárku zodpovednú za politiku hospodárskej súťaže, aby udržiavala úzky kontakt s príslušným výborom Európskeho parlamentu a jeho pracovnou skupinou pre otázky hospodárskej súťaže;</w:t>
      </w:r>
    </w:p>
    <w:p w:rsidR="003E1381" w:rsidRPr="00B62FF7" w:rsidRDefault="003E1381" w:rsidP="003E1381">
      <w:pPr>
        <w:pStyle w:val="NormalHanging12a"/>
        <w:ind w:left="0" w:firstLine="0"/>
        <w:jc w:val="center"/>
        <w:rPr>
          <w:snapToGrid/>
        </w:rPr>
      </w:pPr>
      <w:r w:rsidRPr="00B62FF7">
        <w:rPr>
          <w:snapToGrid/>
        </w:rPr>
        <w:t>°</w:t>
      </w:r>
    </w:p>
    <w:p w:rsidR="003E1381" w:rsidRPr="00B62FF7" w:rsidRDefault="003E1381" w:rsidP="003E1381">
      <w:pPr>
        <w:pStyle w:val="NormalHanging12a"/>
        <w:ind w:left="0" w:firstLine="0"/>
        <w:jc w:val="center"/>
        <w:rPr>
          <w:snapToGrid/>
        </w:rPr>
      </w:pPr>
      <w:r w:rsidRPr="00B62FF7">
        <w:rPr>
          <w:snapToGrid/>
        </w:rPr>
        <w:t>°     °</w:t>
      </w:r>
    </w:p>
    <w:p w:rsidR="00E365E1" w:rsidRPr="00B62FF7" w:rsidRDefault="00895CA9" w:rsidP="003E1381">
      <w:pPr>
        <w:pStyle w:val="NormalHanging12a"/>
      </w:pPr>
      <w:r w:rsidRPr="00B62FF7">
        <w:t>42.</w:t>
      </w:r>
      <w:r w:rsidRPr="00B62FF7">
        <w:tab/>
        <w:t>poveruje svoju predsedníčku, aby postúpila toto uznesenie Rade a Komisii.</w:t>
      </w:r>
    </w:p>
    <w:sectPr w:rsidR="00E365E1" w:rsidRPr="00B62FF7" w:rsidSect="000D7B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CE7" w:rsidRPr="000D7B64" w:rsidRDefault="00CD1CE7">
      <w:r w:rsidRPr="000D7B64">
        <w:separator/>
      </w:r>
    </w:p>
  </w:endnote>
  <w:endnote w:type="continuationSeparator" w:id="0">
    <w:p w:rsidR="00CD1CE7" w:rsidRPr="000D7B64" w:rsidRDefault="00CD1CE7">
      <w:r w:rsidRPr="000D7B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7B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7B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7B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CE7" w:rsidRPr="000D7B64" w:rsidRDefault="00CD1CE7">
      <w:r w:rsidRPr="000D7B64">
        <w:separator/>
      </w:r>
    </w:p>
  </w:footnote>
  <w:footnote w:type="continuationSeparator" w:id="0">
    <w:p w:rsidR="00CD1CE7" w:rsidRPr="000D7B64" w:rsidRDefault="00CD1CE7">
      <w:r w:rsidRPr="000D7B64">
        <w:continuationSeparator/>
      </w:r>
    </w:p>
  </w:footnote>
  <w:footnote w:id="1">
    <w:p w:rsidR="00895CA9" w:rsidRPr="000D7B64" w:rsidRDefault="00895CA9" w:rsidP="000D7B64">
      <w:pPr>
        <w:pStyle w:val="FootnoteText"/>
        <w:ind w:left="567" w:hanging="567"/>
        <w:rPr>
          <w:sz w:val="24"/>
          <w:lang w:val="sk-SK"/>
        </w:rPr>
      </w:pPr>
      <w:r w:rsidRPr="000D7B64">
        <w:rPr>
          <w:rStyle w:val="FootnoteReference"/>
          <w:sz w:val="24"/>
          <w:lang w:val="sk-SK"/>
        </w:rPr>
        <w:footnoteRef/>
      </w:r>
      <w:r w:rsidR="000D7B64" w:rsidRPr="000D7B64">
        <w:rPr>
          <w:sz w:val="24"/>
          <w:lang w:val="sk-SK"/>
        </w:rPr>
        <w:t xml:space="preserve"> </w:t>
      </w:r>
      <w:r w:rsidR="000D7B64" w:rsidRPr="000D7B64">
        <w:rPr>
          <w:sz w:val="24"/>
          <w:lang w:val="sk-SK"/>
        </w:rPr>
        <w:tab/>
      </w:r>
      <w:r w:rsidRPr="000D7B64">
        <w:rPr>
          <w:sz w:val="24"/>
          <w:lang w:val="sk-SK"/>
        </w:rPr>
        <w:t xml:space="preserve">Ú. v. EÚ L 24, 29.1.2004, s. 1, ELI: </w:t>
      </w:r>
      <w:hyperlink r:id="rId1" w:history="1">
        <w:r w:rsidRPr="000D7B64">
          <w:rPr>
            <w:color w:val="0000FF"/>
            <w:sz w:val="24"/>
            <w:u w:val="single" w:color="0000FF"/>
            <w:lang w:val="sk-SK"/>
          </w:rPr>
          <w:t>http://data.europa.eu/eli/reg/2004/139/oj.</w:t>
        </w:r>
      </w:hyperlink>
    </w:p>
  </w:footnote>
  <w:footnote w:id="2">
    <w:p w:rsidR="00895CA9" w:rsidRPr="000D7B64" w:rsidRDefault="00895CA9" w:rsidP="000D7B64">
      <w:pPr>
        <w:pStyle w:val="FootnoteText"/>
        <w:ind w:left="567" w:hanging="567"/>
        <w:rPr>
          <w:sz w:val="24"/>
          <w:lang w:val="sk-SK"/>
        </w:rPr>
      </w:pPr>
      <w:r w:rsidRPr="000D7B64">
        <w:rPr>
          <w:rStyle w:val="FootnoteReference"/>
          <w:sz w:val="24"/>
          <w:lang w:val="sk-SK"/>
        </w:rPr>
        <w:footnoteRef/>
      </w:r>
      <w:r w:rsidR="000D7B64" w:rsidRPr="000D7B64">
        <w:rPr>
          <w:sz w:val="24"/>
          <w:lang w:val="sk-SK"/>
        </w:rPr>
        <w:t xml:space="preserve"> </w:t>
      </w:r>
      <w:r w:rsidR="000D7B64" w:rsidRPr="000D7B64">
        <w:rPr>
          <w:sz w:val="24"/>
          <w:lang w:val="sk-SK"/>
        </w:rPr>
        <w:tab/>
      </w:r>
      <w:r w:rsidRPr="000D7B64">
        <w:rPr>
          <w:sz w:val="24"/>
          <w:lang w:val="sk-SK"/>
        </w:rPr>
        <w:t xml:space="preserve">Ú. v. EÚ L 114, 12.4.2022, s. </w:t>
      </w:r>
      <w:r w:rsidRPr="000D7B64">
        <w:rPr>
          <w:sz w:val="24"/>
          <w:lang w:val="sk-SK"/>
        </w:rPr>
        <w:t>22, ELI: </w:t>
      </w:r>
      <w:hyperlink r:id="rId2" w:tooltip="Umožňuje prístup k tomuto dokumentu prostredníctvom identifikátora URI používaného v rámci ELI." w:history="1">
        <w:r w:rsidRPr="000D7B64">
          <w:rPr>
            <w:rStyle w:val="Hyperlink"/>
            <w:sz w:val="24"/>
            <w:lang w:val="sk-SK"/>
          </w:rPr>
          <w:t>http://data.europa.eu/eli/dec/2022/591/oj</w:t>
        </w:r>
      </w:hyperlink>
      <w:r w:rsidRPr="000D7B64">
        <w:rPr>
          <w:sz w:val="24"/>
          <w:lang w:val="sk-SK"/>
        </w:rPr>
        <w:t>.</w:t>
      </w:r>
    </w:p>
  </w:footnote>
  <w:footnote w:id="3">
    <w:p w:rsidR="00895CA9" w:rsidRPr="000D7B64" w:rsidRDefault="00895CA9" w:rsidP="000D7B64">
      <w:pPr>
        <w:pStyle w:val="FootnoteText"/>
        <w:ind w:left="567" w:hanging="567"/>
        <w:rPr>
          <w:sz w:val="24"/>
          <w:lang w:val="sk-SK"/>
        </w:rPr>
      </w:pPr>
      <w:r w:rsidRPr="000D7B64">
        <w:rPr>
          <w:rStyle w:val="FootnoteReference"/>
          <w:sz w:val="24"/>
          <w:lang w:val="sk-SK"/>
        </w:rPr>
        <w:footnoteRef/>
      </w:r>
      <w:r w:rsidR="000D7B64" w:rsidRPr="000D7B64">
        <w:rPr>
          <w:sz w:val="24"/>
          <w:lang w:val="sk-SK"/>
        </w:rPr>
        <w:t xml:space="preserve"> </w:t>
      </w:r>
      <w:r w:rsidR="000D7B64" w:rsidRPr="000D7B64">
        <w:rPr>
          <w:sz w:val="24"/>
          <w:lang w:val="sk-SK"/>
        </w:rPr>
        <w:tab/>
      </w:r>
      <w:r w:rsidRPr="000D7B64">
        <w:rPr>
          <w:sz w:val="24"/>
          <w:lang w:val="sk-SK"/>
        </w:rPr>
        <w:t xml:space="preserve">Rozsudok Súdneho dvora z 3. septembra 2024, </w:t>
      </w:r>
      <w:proofErr w:type="spellStart"/>
      <w:r w:rsidRPr="000D7B64">
        <w:rPr>
          <w:sz w:val="24"/>
          <w:lang w:val="sk-SK"/>
        </w:rPr>
        <w:t>Illumina</w:t>
      </w:r>
      <w:proofErr w:type="spellEnd"/>
      <w:r w:rsidRPr="000D7B64">
        <w:rPr>
          <w:sz w:val="24"/>
          <w:lang w:val="sk-SK"/>
        </w:rPr>
        <w:t>/Komisia, C-611/22 P, ECLI:EU:C:2024:677.</w:t>
      </w:r>
    </w:p>
  </w:footnote>
  <w:footnote w:id="4">
    <w:p w:rsidR="00895CA9" w:rsidRPr="000D7B64" w:rsidRDefault="00895CA9" w:rsidP="000D7B64">
      <w:pPr>
        <w:pStyle w:val="FootnoteText"/>
        <w:ind w:left="567" w:hanging="567"/>
        <w:rPr>
          <w:sz w:val="24"/>
          <w:lang w:val="sk-SK"/>
        </w:rPr>
      </w:pPr>
      <w:r w:rsidRPr="000D7B64">
        <w:rPr>
          <w:rStyle w:val="FootnoteReference"/>
          <w:sz w:val="24"/>
          <w:lang w:val="sk-SK"/>
        </w:rPr>
        <w:footnoteRef/>
      </w:r>
      <w:r w:rsidR="000D7B64" w:rsidRPr="000D7B64">
        <w:rPr>
          <w:sz w:val="24"/>
          <w:lang w:val="sk-SK"/>
        </w:rPr>
        <w:t xml:space="preserve"> </w:t>
      </w:r>
      <w:r w:rsidR="000D7B64" w:rsidRPr="000D7B64">
        <w:rPr>
          <w:sz w:val="24"/>
          <w:lang w:val="sk-SK"/>
        </w:rPr>
        <w:tab/>
      </w:r>
      <w:r w:rsidRPr="000D7B64">
        <w:rPr>
          <w:sz w:val="24"/>
          <w:lang w:val="sk-SK"/>
        </w:rPr>
        <w:t>Rozsudok Súdneho dvora z 10. septembra 2024, Komisia/Írsko a iní, C-465/20 P, ECLI:EU:C:2024:724.</w:t>
      </w:r>
    </w:p>
  </w:footnote>
  <w:footnote w:id="5">
    <w:p w:rsidR="00895CA9" w:rsidRPr="000D7B64" w:rsidRDefault="00895CA9" w:rsidP="000D7B64">
      <w:pPr>
        <w:pStyle w:val="FootnoteText"/>
        <w:ind w:left="567" w:hanging="567"/>
        <w:rPr>
          <w:sz w:val="24"/>
          <w:lang w:val="sk-SK"/>
        </w:rPr>
      </w:pPr>
      <w:r w:rsidRPr="000D7B64">
        <w:rPr>
          <w:rStyle w:val="FootnoteReference"/>
          <w:sz w:val="24"/>
          <w:lang w:val="sk-SK"/>
        </w:rPr>
        <w:footnoteRef/>
      </w:r>
      <w:r w:rsidR="000D7B64" w:rsidRPr="000D7B64">
        <w:rPr>
          <w:sz w:val="24"/>
          <w:lang w:val="sk-SK"/>
        </w:rPr>
        <w:t xml:space="preserve"> </w:t>
      </w:r>
      <w:r w:rsidR="000D7B64" w:rsidRPr="000D7B64">
        <w:rPr>
          <w:sz w:val="24"/>
          <w:lang w:val="sk-SK"/>
        </w:rPr>
        <w:tab/>
      </w:r>
      <w:r w:rsidRPr="000D7B64">
        <w:rPr>
          <w:sz w:val="24"/>
          <w:lang w:val="sk-SK"/>
        </w:rPr>
        <w:t xml:space="preserve">Rozsudok Súdneho dvora z 10. septembra 2024, Google a </w:t>
      </w:r>
      <w:proofErr w:type="spellStart"/>
      <w:r w:rsidRPr="000D7B64">
        <w:rPr>
          <w:sz w:val="24"/>
          <w:lang w:val="sk-SK"/>
        </w:rPr>
        <w:t>Alphabet</w:t>
      </w:r>
      <w:proofErr w:type="spellEnd"/>
      <w:r w:rsidRPr="000D7B64">
        <w:rPr>
          <w:sz w:val="24"/>
          <w:lang w:val="sk-SK"/>
        </w:rPr>
        <w:t>/Komisia, C-48/22 P, CLI:EU:C:2024:726.</w:t>
      </w:r>
    </w:p>
  </w:footnote>
  <w:footnote w:id="6">
    <w:p w:rsidR="00895CA9" w:rsidRPr="000D7B64" w:rsidRDefault="00895CA9" w:rsidP="000D7B64">
      <w:pPr>
        <w:pStyle w:val="FootnoteText"/>
        <w:ind w:left="567" w:hanging="567"/>
        <w:rPr>
          <w:sz w:val="24"/>
          <w:lang w:val="sk-SK"/>
        </w:rPr>
      </w:pPr>
      <w:r w:rsidRPr="000D7B64">
        <w:rPr>
          <w:rStyle w:val="FootnoteReference"/>
          <w:sz w:val="24"/>
          <w:lang w:val="sk-SK"/>
        </w:rPr>
        <w:footnoteRef/>
      </w:r>
      <w:r w:rsidR="000D7B64" w:rsidRPr="000D7B64">
        <w:rPr>
          <w:sz w:val="24"/>
          <w:lang w:val="sk-SK"/>
        </w:rPr>
        <w:t xml:space="preserve"> </w:t>
      </w:r>
      <w:r w:rsidR="000D7B64" w:rsidRPr="000D7B64">
        <w:rPr>
          <w:sz w:val="24"/>
          <w:lang w:val="sk-SK"/>
        </w:rPr>
        <w:tab/>
      </w:r>
      <w:r w:rsidRPr="000D7B64">
        <w:rPr>
          <w:sz w:val="24"/>
          <w:lang w:val="sk-SK"/>
        </w:rPr>
        <w:t xml:space="preserve">Osobitná správa Európskeho dvora audítorov: Digitálne platby v EÚ – Napriek pretrvávajúcim nedostatkom sa stali bezpečnejšími, rýchlejšími a lacnejšími, 9. </w:t>
      </w:r>
      <w:r w:rsidRPr="000D7B64">
        <w:rPr>
          <w:sz w:val="24"/>
          <w:lang w:val="sk-SK"/>
        </w:rPr>
        <w:t xml:space="preserve">januára 2025, </w:t>
      </w:r>
      <w:hyperlink r:id="rId3" w:history="1">
        <w:r w:rsidRPr="000D7B64">
          <w:rPr>
            <w:rStyle w:val="Hyperlink"/>
            <w:sz w:val="24"/>
            <w:lang w:val="sk-SK"/>
          </w:rPr>
          <w:t>https://www.eca.europa.eu/ECAPublications/SR-2025-01/SR-2025-01_SK.pdf.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7B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7B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7B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1/2025"/>
    <w:docVar w:name="dvlangue" w:val="SK"/>
    <w:docVar w:name="dvnumam" w:val="0"/>
    <w:docVar w:name="dvpe" w:val="765.240"/>
    <w:docVar w:name="dvrapporteur" w:val="Spravodajkyňa: "/>
    <w:docVar w:name="dvtitre" w:val="Uznesenie Európskeho parlamentu z xx. mája 2025 o politike hospodárskej súťaže – výročná správa za rok 2024(2024/2079(INI))"/>
  </w:docVars>
  <w:rsids>
    <w:rsidRoot w:val="00CD1CE7"/>
    <w:rsid w:val="00002272"/>
    <w:rsid w:val="00064002"/>
    <w:rsid w:val="000677B9"/>
    <w:rsid w:val="000831BA"/>
    <w:rsid w:val="000A42CC"/>
    <w:rsid w:val="000D7B64"/>
    <w:rsid w:val="000E7DD9"/>
    <w:rsid w:val="0010095E"/>
    <w:rsid w:val="00125B37"/>
    <w:rsid w:val="0014315C"/>
    <w:rsid w:val="00187494"/>
    <w:rsid w:val="001F32AE"/>
    <w:rsid w:val="002767FF"/>
    <w:rsid w:val="002B18FE"/>
    <w:rsid w:val="002B5493"/>
    <w:rsid w:val="00343214"/>
    <w:rsid w:val="00361C00"/>
    <w:rsid w:val="00395FA1"/>
    <w:rsid w:val="003E138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CA9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FF7"/>
    <w:rsid w:val="00BD48FE"/>
    <w:rsid w:val="00BD7BD8"/>
    <w:rsid w:val="00BE6ADC"/>
    <w:rsid w:val="00C05BFE"/>
    <w:rsid w:val="00C23CD4"/>
    <w:rsid w:val="00C61C0C"/>
    <w:rsid w:val="00C941CB"/>
    <w:rsid w:val="00CC2357"/>
    <w:rsid w:val="00CD1CE7"/>
    <w:rsid w:val="00CE74F6"/>
    <w:rsid w:val="00CF071A"/>
    <w:rsid w:val="00CF612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93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FD3170"/>
  <w15:chartTrackingRefBased/>
  <w15:docId w15:val="{A3DF73B4-9A80-4C56-9A65-A31EED53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95CA9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895CA9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895CA9"/>
    <w:pPr>
      <w:spacing w:after="240"/>
      <w:jc w:val="center"/>
    </w:pPr>
  </w:style>
  <w:style w:type="character" w:customStyle="1" w:styleId="BoldItalic">
    <w:name w:val="BoldItalic"/>
    <w:uiPriority w:val="1"/>
    <w:rsid w:val="00895CA9"/>
    <w:rPr>
      <w:b/>
      <w:i/>
      <w:u w:val="none"/>
    </w:rPr>
  </w:style>
  <w:style w:type="character" w:customStyle="1" w:styleId="Italic">
    <w:name w:val="Italic"/>
    <w:uiPriority w:val="1"/>
    <w:rsid w:val="00895CA9"/>
    <w:rPr>
      <w:i/>
    </w:rPr>
  </w:style>
  <w:style w:type="paragraph" w:customStyle="1" w:styleId="Normal12a24b">
    <w:name w:val="Normal12a24b"/>
    <w:basedOn w:val="Normal"/>
    <w:rsid w:val="00895CA9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895C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ca.europa.eu/ECAPublications/SR-2025-01/SR-2025-01_SK.pdf" TargetMode="External"/><Relationship Id="rId2" Type="http://schemas.openxmlformats.org/officeDocument/2006/relationships/hyperlink" Target="http://data.europa.eu/eli/dec/2022/591/oj" TargetMode="External"/><Relationship Id="rId1" Type="http://schemas.openxmlformats.org/officeDocument/2006/relationships/hyperlink" Target="https://eur-lex.europa.eu/legal-content/SK/TXT/?uri=CELEX:32004R01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6A592-261D-4952-8B11-46E739EEC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4123</Words>
  <Characters>26578</Characters>
  <Application>Microsoft Office Word</Application>
  <DocSecurity>0</DocSecurity>
  <Lines>221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2025-06-11T10:46:00Z</dcterms:created>
  <dcterms:modified xsi:type="dcterms:W3CDTF">2025-06-11T10:46:00Z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A10-0071/2025</vt:lpwstr>
  </property>
  <property fmtid="{D5CDD505-2E9C-101B-9397-08002B2CF9AE}" pid="4" name="&lt;Type&gt;">
    <vt:lpwstr>RR</vt:lpwstr>
  </property>
</Properties>
</file>