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7F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7F57" w:rsidRDefault="00180FDA" w:rsidP="0010095E">
            <w:pPr>
              <w:pStyle w:val="EPName"/>
            </w:pPr>
            <w:r w:rsidRPr="00DC7F57">
              <w:t>Evropský parlament</w:t>
            </w:r>
          </w:p>
          <w:p w:rsidR="00751A4A" w:rsidRPr="00DC7F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7F57">
              <w:t>2024</w:t>
            </w:r>
            <w:r w:rsidR="00817416" w:rsidRPr="00DC7F57">
              <w:t>-202</w:t>
            </w:r>
            <w:r w:rsidRPr="00DC7F5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C7F57" w:rsidRDefault="00187494" w:rsidP="0010095E">
            <w:pPr>
              <w:pStyle w:val="EPLogo"/>
            </w:pPr>
            <w:r w:rsidRPr="00DC7F57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7F57" w:rsidRDefault="00D058B8" w:rsidP="004C5D52">
      <w:pPr>
        <w:pStyle w:val="LineTop"/>
      </w:pPr>
    </w:p>
    <w:p w:rsidR="00680577" w:rsidRPr="00DC7F57" w:rsidRDefault="00180FDA" w:rsidP="00680577">
      <w:pPr>
        <w:pStyle w:val="EPBodyTA1"/>
      </w:pPr>
      <w:r w:rsidRPr="00DC7F57">
        <w:t>PŘIJATÉ TEXTY</w:t>
      </w:r>
    </w:p>
    <w:p w:rsidR="00D058B8" w:rsidRPr="00DC7F57" w:rsidRDefault="00D058B8" w:rsidP="00D058B8">
      <w:pPr>
        <w:pStyle w:val="LineBottom"/>
      </w:pPr>
    </w:p>
    <w:p w:rsidR="00180FDA" w:rsidRPr="00DC7F57" w:rsidRDefault="00180FDA" w:rsidP="00180FDA">
      <w:pPr>
        <w:pStyle w:val="ATHeading1"/>
      </w:pPr>
      <w:bookmarkStart w:id="0" w:name="TANumber"/>
      <w:r w:rsidRPr="00DC7F57">
        <w:t>P10_TA(2025)0</w:t>
      </w:r>
      <w:bookmarkEnd w:id="0"/>
      <w:r w:rsidR="0030305E">
        <w:t>105</w:t>
      </w:r>
    </w:p>
    <w:p w:rsidR="00180FDA" w:rsidRPr="00DC7F57" w:rsidRDefault="00180FDA" w:rsidP="00180FDA">
      <w:pPr>
        <w:pStyle w:val="ATHeading2"/>
      </w:pPr>
      <w:bookmarkStart w:id="1" w:name="title"/>
      <w:r w:rsidRPr="00DC7F57">
        <w:t>Bankovní unie – výroční zpráva za rok 2024</w:t>
      </w:r>
      <w:bookmarkEnd w:id="1"/>
    </w:p>
    <w:p w:rsidR="00180FDA" w:rsidRPr="00DC7F57" w:rsidRDefault="00180FDA" w:rsidP="00180FDA">
      <w:pPr>
        <w:rPr>
          <w:i/>
          <w:vanish/>
        </w:rPr>
      </w:pPr>
      <w:r w:rsidRPr="00DC7F57">
        <w:rPr>
          <w:i/>
        </w:rPr>
        <w:fldChar w:fldCharType="begin"/>
      </w:r>
      <w:r w:rsidRPr="00DC7F57">
        <w:rPr>
          <w:i/>
        </w:rPr>
        <w:instrText xml:space="preserve"> TC"(</w:instrText>
      </w:r>
      <w:bookmarkStart w:id="2" w:name="DocNumber"/>
      <w:r w:rsidRPr="00DC7F57">
        <w:rPr>
          <w:i/>
        </w:rPr>
        <w:instrText>A10-0044/2025</w:instrText>
      </w:r>
      <w:bookmarkEnd w:id="2"/>
      <w:r w:rsidRPr="00DC7F57">
        <w:rPr>
          <w:i/>
        </w:rPr>
        <w:instrText xml:space="preserve"> - Zpravodaj: Ralf Seekatz)"\l3 \n&gt; \* MERGEFORMAT </w:instrText>
      </w:r>
      <w:r w:rsidRPr="00DC7F57">
        <w:rPr>
          <w:i/>
        </w:rPr>
        <w:fldChar w:fldCharType="end"/>
      </w:r>
    </w:p>
    <w:p w:rsidR="00180FDA" w:rsidRPr="00DC7F57" w:rsidRDefault="00180FDA" w:rsidP="00180FDA">
      <w:pPr>
        <w:rPr>
          <w:vanish/>
        </w:rPr>
      </w:pPr>
      <w:bookmarkStart w:id="3" w:name="Commission"/>
      <w:r w:rsidRPr="00DC7F57">
        <w:rPr>
          <w:vanish/>
        </w:rPr>
        <w:t>Hospodářský a měnový výbor</w:t>
      </w:r>
      <w:bookmarkEnd w:id="3"/>
    </w:p>
    <w:p w:rsidR="00180FDA" w:rsidRPr="00DC7F57" w:rsidRDefault="00180FDA" w:rsidP="00180FDA">
      <w:pPr>
        <w:rPr>
          <w:vanish/>
        </w:rPr>
      </w:pPr>
      <w:bookmarkStart w:id="4" w:name="PE"/>
      <w:r w:rsidRPr="00DC7F57">
        <w:rPr>
          <w:vanish/>
        </w:rPr>
        <w:t>PE765.133</w:t>
      </w:r>
      <w:bookmarkEnd w:id="4"/>
    </w:p>
    <w:p w:rsidR="00180FDA" w:rsidRPr="00DC7F57" w:rsidRDefault="00180FDA" w:rsidP="00180FDA">
      <w:pPr>
        <w:pStyle w:val="ATHeading3"/>
      </w:pPr>
      <w:bookmarkStart w:id="5" w:name="Sujet"/>
      <w:r w:rsidRPr="00DC7F57">
        <w:t xml:space="preserve">Usnesení </w:t>
      </w:r>
      <w:r w:rsidR="00B14279">
        <w:t>Evropského parlamentu z</w:t>
      </w:r>
      <w:r w:rsidR="00DC4C4A">
        <w:t xml:space="preserve">e dne </w:t>
      </w:r>
      <w:r w:rsidR="0030305E">
        <w:t>8</w:t>
      </w:r>
      <w:r w:rsidR="00B14279">
        <w:t>. května</w:t>
      </w:r>
      <w:r w:rsidRPr="00DC7F57">
        <w:t xml:space="preserve"> 2025 o bankovní unii – výroční zpráva za rok 2024</w:t>
      </w:r>
      <w:bookmarkEnd w:id="5"/>
      <w:r w:rsidRPr="00DC7F57">
        <w:t xml:space="preserve"> </w:t>
      </w:r>
      <w:bookmarkStart w:id="6" w:name="References"/>
      <w:r w:rsidRPr="00DC7F57">
        <w:t>(2024/2055(INI))</w:t>
      </w:r>
      <w:bookmarkEnd w:id="6"/>
    </w:p>
    <w:p w:rsidR="006C281F" w:rsidRPr="00DC7F57" w:rsidRDefault="006C281F" w:rsidP="006C281F">
      <w:pPr>
        <w:pStyle w:val="EPComma"/>
      </w:pPr>
      <w:r w:rsidRPr="00DC7F57">
        <w:rPr>
          <w:rStyle w:val="Italic"/>
        </w:rPr>
        <w:t>Evropský parlament</w:t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své usnesení ze dne 16. ledna 2024 o bankovní unii – výroční zprávě za rok 2023</w:t>
      </w:r>
      <w:r w:rsidRPr="00DC7F57">
        <w:rPr>
          <w:rStyle w:val="FootnoteReference"/>
        </w:rPr>
        <w:footnoteReference w:id="1"/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opatření Komise v návaznosti na usnesení Parlamentu ze dne 16. ledna 2024 o bankovní unii – výroční zpráva za rok 2023,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 xml:space="preserve">s ohledem na dokument zveřejněný Evropskou centrální bankou (ECB) dne 25. března 2024 s názvem „Feedback on </w:t>
      </w:r>
      <w:proofErr w:type="spellStart"/>
      <w:r w:rsidRPr="00DC7F57">
        <w:t>the</w:t>
      </w:r>
      <w:proofErr w:type="spellEnd"/>
      <w:r w:rsidRPr="00DC7F57">
        <w:t xml:space="preserve"> input </w:t>
      </w:r>
      <w:proofErr w:type="spellStart"/>
      <w:r w:rsidRPr="00DC7F57">
        <w:t>provided</w:t>
      </w:r>
      <w:proofErr w:type="spellEnd"/>
      <w:r w:rsidRPr="00DC7F57">
        <w:t xml:space="preserve"> by </w:t>
      </w:r>
      <w:proofErr w:type="spellStart"/>
      <w:r w:rsidRPr="00DC7F57">
        <w:t>the</w:t>
      </w:r>
      <w:proofErr w:type="spellEnd"/>
      <w:r w:rsidRPr="00DC7F57">
        <w:t xml:space="preserve"> </w:t>
      </w:r>
      <w:proofErr w:type="spellStart"/>
      <w:r w:rsidRPr="00DC7F57">
        <w:t>European</w:t>
      </w:r>
      <w:proofErr w:type="spellEnd"/>
      <w:r w:rsidRPr="00DC7F57">
        <w:t xml:space="preserve"> </w:t>
      </w:r>
      <w:proofErr w:type="spellStart"/>
      <w:r w:rsidRPr="00DC7F57">
        <w:t>Parliament</w:t>
      </w:r>
      <w:proofErr w:type="spellEnd"/>
      <w:r w:rsidRPr="00DC7F57">
        <w:t xml:space="preserve"> as part </w:t>
      </w:r>
      <w:proofErr w:type="spellStart"/>
      <w:r w:rsidRPr="00DC7F57">
        <w:t>of</w:t>
      </w:r>
      <w:proofErr w:type="spellEnd"/>
      <w:r w:rsidRPr="00DC7F57">
        <w:t xml:space="preserve"> </w:t>
      </w:r>
      <w:proofErr w:type="spellStart"/>
      <w:r w:rsidRPr="00DC7F57">
        <w:t>its</w:t>
      </w:r>
      <w:proofErr w:type="spellEnd"/>
      <w:r w:rsidRPr="00DC7F57">
        <w:t xml:space="preserve"> </w:t>
      </w:r>
      <w:proofErr w:type="spellStart"/>
      <w:r w:rsidRPr="00DC7F57">
        <w:t>resolution</w:t>
      </w:r>
      <w:proofErr w:type="spellEnd"/>
      <w:r w:rsidRPr="00DC7F57">
        <w:t xml:space="preserve"> on </w:t>
      </w:r>
      <w:proofErr w:type="spellStart"/>
      <w:r w:rsidRPr="00DC7F57">
        <w:t>Banking</w:t>
      </w:r>
      <w:proofErr w:type="spellEnd"/>
      <w:r w:rsidRPr="00DC7F57">
        <w:t xml:space="preserve"> Union 2023“ (Odpověď na podněty, které Evropský parlament vyjádřil ve svém usnesení o bankovní unii za rok 2023),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výroční zprávu ECB o činnosti dohledu za rok 2023, která byla zveřejněna v březnu 2024,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výroční zprávu Jednotného výboru pro řešení krizí (SRB) za rok 2023, která byla zveřejněna dne 28. června 2024,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přijetí směrnice o boji proti praní peněz</w:t>
      </w:r>
      <w:r w:rsidRPr="00DC7F57">
        <w:rPr>
          <w:rStyle w:val="FootnoteReference"/>
        </w:rPr>
        <w:footnoteReference w:id="2"/>
      </w:r>
      <w:r w:rsidRPr="00DC7F57">
        <w:t xml:space="preserve"> a nařízení o boji proti praní peněz a</w:t>
      </w:r>
      <w:r w:rsidRPr="00DC7F57">
        <w:rPr>
          <w:rStyle w:val="FootnoteReference"/>
        </w:rPr>
        <w:footnoteReference w:id="3"/>
      </w:r>
      <w:r w:rsidRPr="00DC7F57">
        <w:t>na zřízení Orgánu pro boj proti praní peněz (AMLA)</w:t>
      </w:r>
      <w:r w:rsidRPr="00DC7F57">
        <w:rPr>
          <w:rStyle w:val="FootnoteReference"/>
        </w:rPr>
        <w:footnoteReference w:id="4"/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lastRenderedPageBreak/>
        <w:t>–</w:t>
      </w:r>
      <w:r w:rsidRPr="00DC7F57">
        <w:tab/>
        <w:t xml:space="preserve">s ohledem na provádění standardů </w:t>
      </w:r>
      <w:proofErr w:type="spellStart"/>
      <w:r w:rsidRPr="00DC7F57">
        <w:t>Basel</w:t>
      </w:r>
      <w:proofErr w:type="spellEnd"/>
      <w:r w:rsidRPr="00DC7F57">
        <w:t xml:space="preserve"> III, zejména na přijetí změn směrnice o kapitálových požadavcích</w:t>
      </w:r>
      <w:r w:rsidRPr="00DC7F57">
        <w:rPr>
          <w:rStyle w:val="FootnoteReference"/>
        </w:rPr>
        <w:footnoteReference w:id="5"/>
      </w:r>
      <w:r w:rsidRPr="00DC7F57">
        <w:t xml:space="preserve"> a nařízení o kapitálových požadavcích</w:t>
      </w:r>
      <w:r w:rsidRPr="00DC7F57">
        <w:rPr>
          <w:rStyle w:val="FootnoteReference"/>
        </w:rPr>
        <w:footnoteReference w:id="6"/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přijetí nařízení Komise v přenesené pravomoci (EU) 2024/2795 ze dne 24. července 2024, kterým se mění nařízení Evropského parlamentu a Rady (EU) č. 575/2013, pokud jde o datum použitelnosti kapitálových požadavků k tržnímu riziku</w:t>
      </w:r>
      <w:r w:rsidRPr="00DC7F57">
        <w:rPr>
          <w:rStyle w:val="FootnoteReference"/>
        </w:rPr>
        <w:footnoteReference w:id="7"/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svůj postoj v prvním čtení ze dne 24. dubna 2024 k návrhu nařízení Evropského parlamentu a Rady, kterým se mění nařízení (EU) č. 806/2014, pokud jde o opatření včasného zásahu, podmínky řešení krize a financování opatření k řešení krize</w:t>
      </w:r>
      <w:r w:rsidRPr="00DC7F57">
        <w:rPr>
          <w:rStyle w:val="FootnoteReference"/>
        </w:rPr>
        <w:footnoteReference w:id="8"/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svůj postoj v prvním čtení ze dne 24. dubna 2024 k návrhu směrnice Evropského parlamentu a Rady, kterou se mění směrnice 2014/59/EU, pokud jde o opatření včasného zásahu, podmínky řešení krize a financování opatření k řešení krize</w:t>
      </w:r>
      <w:r w:rsidRPr="00DC7F57">
        <w:rPr>
          <w:rStyle w:val="FootnoteReference"/>
        </w:rPr>
        <w:footnoteReference w:id="9"/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svůj postoj v prvním čtení ze dne 24. dubna 2024 k návrhu směrnice Evropského parlamentu a Rady, kterou se mění směrnice 2014/49/EU, pokud jde o rozsah ochrany vkladů, využívání finančních prostředků systémů pojištění vkladů, přeshraniční spolupráci a transparentnost</w:t>
      </w:r>
      <w:r w:rsidRPr="00DC7F57">
        <w:rPr>
          <w:rStyle w:val="FootnoteReference"/>
        </w:rPr>
        <w:footnoteReference w:id="10"/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zprávu Hospodářského a měnového výboru ze dne 23. dubna 2024 o návrhu nařízení Evropského parlamentu a Rady, kterým se mění nařízení (EU) č. 806/2014 za účelem zřízení evropského systému pojištění vkladů,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návrh směrnice Evropského parlamentu a Rady o obsluhovatelích úvěrů, kupcích úvěrů a vymáhání kolaterálu, který předložila Komise dne 14. března 2018 (</w:t>
      </w:r>
      <w:hyperlink r:id="rId9" w:history="1">
        <w:proofErr w:type="gramStart"/>
        <w:r w:rsidRPr="00B14279">
          <w:t>COM(2018</w:t>
        </w:r>
        <w:proofErr w:type="gramEnd"/>
        <w:r w:rsidRPr="00B14279">
          <w:t>)0135</w:t>
        </w:r>
      </w:hyperlink>
      <w:r w:rsidRPr="00DC7F57">
        <w:t>),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zprávu pěti předsedů ze dne 22. června 2015 nazvanou „Dokončení evropské hospodářské a měnové unie“,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 xml:space="preserve">s ohledem na zprávu Enrica </w:t>
      </w:r>
      <w:proofErr w:type="spellStart"/>
      <w:r w:rsidRPr="00DC7F57">
        <w:t>Letta</w:t>
      </w:r>
      <w:proofErr w:type="spellEnd"/>
      <w:r w:rsidRPr="00DC7F57">
        <w:t xml:space="preserve"> ze dne 10. dubna 2024 nazvanou „Více než trh – rychlost, bezpečnost, solidarita: posílení jednotného trhu s cílem zajistit udržitelnou budoucnost a prosperitu pro všechny občany EU“,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 xml:space="preserve">s ohledem na zprávu Maria </w:t>
      </w:r>
      <w:proofErr w:type="spellStart"/>
      <w:r w:rsidRPr="00DC7F57">
        <w:t>Draghiho</w:t>
      </w:r>
      <w:proofErr w:type="spellEnd"/>
      <w:r w:rsidRPr="00DC7F57">
        <w:t xml:space="preserve"> ze dne 9. září 2024 nazvanou „Budoucnost evropské konkurenceschopnosti“,</w:t>
      </w:r>
    </w:p>
    <w:p w:rsidR="006C281F" w:rsidRPr="00DC7F57" w:rsidRDefault="006C281F" w:rsidP="006C281F">
      <w:pPr>
        <w:pStyle w:val="NormalHanging12a"/>
      </w:pPr>
      <w:r w:rsidRPr="00DC7F57">
        <w:lastRenderedPageBreak/>
        <w:t>–</w:t>
      </w:r>
      <w:r w:rsidRPr="00DC7F57">
        <w:tab/>
        <w:t>s ohledem na prohlášení Euroskupiny ze dne 11. března 2024 o budoucnosti unie kapitálových trhů a na prohlášení Euroskupiny ze dne 16. června 2022 o budoucnosti bankovní unie a na navazující opatření Euroskupiny ze dne 28. dubna 2023,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 xml:space="preserve">s ohledem na rámec Basilejského výboru pro bankovní dohled pro zveřejňování informací o expozicích bank vůči </w:t>
      </w:r>
      <w:proofErr w:type="spellStart"/>
      <w:r w:rsidRPr="00DC7F57">
        <w:t>kryptoaktivům</w:t>
      </w:r>
      <w:proofErr w:type="spellEnd"/>
      <w:r w:rsidRPr="00DC7F57">
        <w:t xml:space="preserve"> a na cílené změny jeho obezřetnostního standardu pro expozice bank vůči </w:t>
      </w:r>
      <w:proofErr w:type="spellStart"/>
      <w:r w:rsidRPr="00DC7F57">
        <w:t>kryptoaktivům</w:t>
      </w:r>
      <w:proofErr w:type="spellEnd"/>
      <w:r w:rsidRPr="00DC7F57">
        <w:t>, které byly obě zveřejněny dne 17. července 2024,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hlavní zásady pro účinný bankovní dohled Basilejského výboru pro bankovní dohled, které byly zveřejněny dne 25. dubna 2024,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zprávu o finanční stabilitě ECB z května 2024,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</w:r>
      <w:r w:rsidRPr="00DC7F57">
        <w:rPr>
          <w:snapToGrid/>
        </w:rPr>
        <w:t xml:space="preserve">s ohledem na dokument ECB z řady </w:t>
      </w:r>
      <w:proofErr w:type="spellStart"/>
      <w:r w:rsidRPr="00DC7F57">
        <w:rPr>
          <w:snapToGrid/>
        </w:rPr>
        <w:t>Occasional</w:t>
      </w:r>
      <w:proofErr w:type="spellEnd"/>
      <w:r w:rsidRPr="00DC7F57">
        <w:rPr>
          <w:snapToGrid/>
        </w:rPr>
        <w:t xml:space="preserve"> </w:t>
      </w:r>
      <w:proofErr w:type="spellStart"/>
      <w:r w:rsidRPr="00DC7F57">
        <w:rPr>
          <w:snapToGrid/>
        </w:rPr>
        <w:t>Paper</w:t>
      </w:r>
      <w:proofErr w:type="spellEnd"/>
      <w:r w:rsidRPr="00DC7F57">
        <w:rPr>
          <w:snapToGrid/>
        </w:rPr>
        <w:t xml:space="preserve"> </w:t>
      </w:r>
      <w:proofErr w:type="spellStart"/>
      <w:r w:rsidRPr="00DC7F57">
        <w:rPr>
          <w:snapToGrid/>
        </w:rPr>
        <w:t>Series</w:t>
      </w:r>
      <w:proofErr w:type="spellEnd"/>
      <w:r w:rsidRPr="00DC7F57">
        <w:rPr>
          <w:snapToGrid/>
        </w:rPr>
        <w:t xml:space="preserve"> č. 328 z roku 2023 nazvaný „</w:t>
      </w:r>
      <w:proofErr w:type="spellStart"/>
      <w:r w:rsidRPr="00DC7F57">
        <w:rPr>
          <w:snapToGrid/>
        </w:rPr>
        <w:t>The</w:t>
      </w:r>
      <w:proofErr w:type="spellEnd"/>
      <w:r w:rsidRPr="00DC7F57">
        <w:rPr>
          <w:snapToGrid/>
        </w:rPr>
        <w:t xml:space="preserve"> </w:t>
      </w:r>
      <w:proofErr w:type="spellStart"/>
      <w:r w:rsidRPr="00DC7F57">
        <w:rPr>
          <w:snapToGrid/>
        </w:rPr>
        <w:t>Road</w:t>
      </w:r>
      <w:proofErr w:type="spellEnd"/>
      <w:r w:rsidRPr="00DC7F57">
        <w:rPr>
          <w:snapToGrid/>
        </w:rPr>
        <w:t xml:space="preserve"> to Paris: stress </w:t>
      </w:r>
      <w:proofErr w:type="spellStart"/>
      <w:r w:rsidRPr="00DC7F57">
        <w:rPr>
          <w:snapToGrid/>
        </w:rPr>
        <w:t>testing</w:t>
      </w:r>
      <w:proofErr w:type="spellEnd"/>
      <w:r w:rsidRPr="00DC7F57">
        <w:rPr>
          <w:snapToGrid/>
        </w:rPr>
        <w:t xml:space="preserve"> </w:t>
      </w:r>
      <w:proofErr w:type="spellStart"/>
      <w:r w:rsidRPr="00DC7F57">
        <w:rPr>
          <w:snapToGrid/>
        </w:rPr>
        <w:t>the</w:t>
      </w:r>
      <w:proofErr w:type="spellEnd"/>
      <w:r w:rsidRPr="00DC7F57">
        <w:rPr>
          <w:snapToGrid/>
        </w:rPr>
        <w:t xml:space="preserve"> </w:t>
      </w:r>
      <w:proofErr w:type="spellStart"/>
      <w:r w:rsidRPr="00DC7F57">
        <w:rPr>
          <w:snapToGrid/>
        </w:rPr>
        <w:t>transition</w:t>
      </w:r>
      <w:proofErr w:type="spellEnd"/>
      <w:r w:rsidRPr="00DC7F57">
        <w:rPr>
          <w:snapToGrid/>
        </w:rPr>
        <w:t xml:space="preserve"> </w:t>
      </w:r>
      <w:proofErr w:type="spellStart"/>
      <w:r w:rsidRPr="00DC7F57">
        <w:rPr>
          <w:snapToGrid/>
        </w:rPr>
        <w:t>towards</w:t>
      </w:r>
      <w:proofErr w:type="spellEnd"/>
      <w:r w:rsidRPr="00DC7F57">
        <w:rPr>
          <w:snapToGrid/>
        </w:rPr>
        <w:t xml:space="preserve"> a </w:t>
      </w:r>
      <w:proofErr w:type="spellStart"/>
      <w:r w:rsidRPr="00DC7F57">
        <w:rPr>
          <w:snapToGrid/>
        </w:rPr>
        <w:t>net-zero</w:t>
      </w:r>
      <w:proofErr w:type="spellEnd"/>
      <w:r w:rsidRPr="00DC7F57">
        <w:rPr>
          <w:snapToGrid/>
        </w:rPr>
        <w:t xml:space="preserve"> </w:t>
      </w:r>
      <w:proofErr w:type="spellStart"/>
      <w:r w:rsidRPr="00DC7F57">
        <w:rPr>
          <w:snapToGrid/>
        </w:rPr>
        <w:t>economy</w:t>
      </w:r>
      <w:proofErr w:type="spellEnd"/>
      <w:r w:rsidRPr="00DC7F57">
        <w:rPr>
          <w:snapToGrid/>
        </w:rPr>
        <w:t>“ (</w:t>
      </w:r>
      <w:r w:rsidRPr="00DC7F57">
        <w:rPr>
          <w:iCs/>
          <w:snapToGrid/>
        </w:rPr>
        <w:t>Před pařížskou konferencí: zátěžové testování přechodu k hospodářství s nulovými čistými emisemi</w:t>
      </w:r>
      <w:r w:rsidRPr="00DC7F57">
        <w:rPr>
          <w:snapToGrid/>
        </w:rPr>
        <w:t>),</w:t>
      </w:r>
    </w:p>
    <w:p w:rsidR="006C281F" w:rsidRPr="00DC7F57" w:rsidRDefault="006C281F" w:rsidP="006C281F">
      <w:pPr>
        <w:pStyle w:val="NormalHanging12a"/>
        <w:rPr>
          <w:snapToGrid/>
          <w:szCs w:val="24"/>
        </w:rPr>
      </w:pPr>
      <w:r w:rsidRPr="00DC7F57">
        <w:t>–</w:t>
      </w:r>
      <w:r w:rsidRPr="00DC7F57">
        <w:tab/>
      </w:r>
      <w:r w:rsidRPr="00DC7F57">
        <w:rPr>
          <w:snapToGrid/>
        </w:rPr>
        <w:t>s ohledem na publikaci Rady pro finanční stabilitu ze dne 9. listopadu 2015 s názvem „</w:t>
      </w:r>
      <w:proofErr w:type="spellStart"/>
      <w:r w:rsidRPr="00DC7F57">
        <w:rPr>
          <w:snapToGrid/>
        </w:rPr>
        <w:t>Principles</w:t>
      </w:r>
      <w:proofErr w:type="spellEnd"/>
      <w:r w:rsidRPr="00DC7F57">
        <w:rPr>
          <w:snapToGrid/>
        </w:rPr>
        <w:t xml:space="preserve"> on </w:t>
      </w:r>
      <w:proofErr w:type="spellStart"/>
      <w:r w:rsidRPr="00DC7F57">
        <w:rPr>
          <w:snapToGrid/>
        </w:rPr>
        <w:t>Loss-absorbing</w:t>
      </w:r>
      <w:proofErr w:type="spellEnd"/>
      <w:r w:rsidRPr="00DC7F57">
        <w:rPr>
          <w:snapToGrid/>
        </w:rPr>
        <w:t xml:space="preserve"> and </w:t>
      </w:r>
      <w:proofErr w:type="spellStart"/>
      <w:r w:rsidRPr="00DC7F57">
        <w:rPr>
          <w:snapToGrid/>
        </w:rPr>
        <w:t>Recapitalisation</w:t>
      </w:r>
      <w:proofErr w:type="spellEnd"/>
      <w:r w:rsidRPr="00DC7F57">
        <w:rPr>
          <w:snapToGrid/>
        </w:rPr>
        <w:t xml:space="preserve"> </w:t>
      </w:r>
      <w:proofErr w:type="spellStart"/>
      <w:r w:rsidRPr="00DC7F57">
        <w:rPr>
          <w:snapToGrid/>
        </w:rPr>
        <w:t>Capacity</w:t>
      </w:r>
      <w:proofErr w:type="spellEnd"/>
      <w:r w:rsidRPr="00DC7F57">
        <w:rPr>
          <w:snapToGrid/>
        </w:rPr>
        <w:t xml:space="preserve"> </w:t>
      </w:r>
      <w:proofErr w:type="spellStart"/>
      <w:r w:rsidRPr="00DC7F57">
        <w:rPr>
          <w:snapToGrid/>
        </w:rPr>
        <w:t>of</w:t>
      </w:r>
      <w:proofErr w:type="spellEnd"/>
      <w:r w:rsidRPr="00DC7F57">
        <w:rPr>
          <w:snapToGrid/>
        </w:rPr>
        <w:t xml:space="preserve"> G-</w:t>
      </w:r>
      <w:proofErr w:type="spellStart"/>
      <w:r w:rsidRPr="00DC7F57">
        <w:rPr>
          <w:snapToGrid/>
        </w:rPr>
        <w:t>SIBs</w:t>
      </w:r>
      <w:proofErr w:type="spellEnd"/>
      <w:r w:rsidRPr="00DC7F57">
        <w:rPr>
          <w:snapToGrid/>
        </w:rPr>
        <w:t xml:space="preserve"> in </w:t>
      </w:r>
      <w:proofErr w:type="spellStart"/>
      <w:r w:rsidRPr="00DC7F57">
        <w:rPr>
          <w:snapToGrid/>
        </w:rPr>
        <w:t>Resolution</w:t>
      </w:r>
      <w:proofErr w:type="spellEnd"/>
      <w:r w:rsidRPr="00DC7F57">
        <w:rPr>
          <w:snapToGrid/>
        </w:rPr>
        <w:t>“ (</w:t>
      </w:r>
      <w:r w:rsidRPr="00DC7F57">
        <w:rPr>
          <w:iCs/>
          <w:snapToGrid/>
        </w:rPr>
        <w:t>Zásady týkající se schopnosti bank systémového významu absorbovat ztráty a rekapitalizovat při řešení krize</w:t>
      </w:r>
      <w:r w:rsidRPr="00DC7F57">
        <w:rPr>
          <w:snapToGrid/>
        </w:rPr>
        <w:t>),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</w:r>
      <w:r w:rsidRPr="00DC7F57">
        <w:rPr>
          <w:snapToGrid/>
        </w:rPr>
        <w:t>s ohledem na zprávu Rady pro finanční stabilitu ze dne 10. října 2023 nazvanou „Úpadky bank v roce 2023: Předběžné poznatky pro řešení“,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 xml:space="preserve">s ohledem na pracovní dokument </w:t>
      </w:r>
      <w:proofErr w:type="spellStart"/>
      <w:r w:rsidRPr="00DC7F57">
        <w:t>Petersonova</w:t>
      </w:r>
      <w:proofErr w:type="spellEnd"/>
      <w:r w:rsidRPr="00DC7F57">
        <w:t xml:space="preserve"> institutu pro mezinárodní ekonomiku č. 24–15 ze dne 25. června 2024 nazvaný „Evropská bankovní unie v deseti letech: nedokončené, avšak transformativní“</w:t>
      </w:r>
      <w:r w:rsidRPr="00DC7F57">
        <w:rPr>
          <w:rStyle w:val="FootnoteReference"/>
        </w:rPr>
        <w:footnoteReference w:id="11"/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priority jednotného mechanismu dohledu v oblasti dohledu na období 2024–2026 zveřejněné v prosinci 2023,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pololetní zprávu výboru SRB pro Euroskupinu ze dne 13. května 2024,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 xml:space="preserve">s ohledem na </w:t>
      </w:r>
      <w:proofErr w:type="spellStart"/>
      <w:r w:rsidRPr="00DC7F57">
        <w:t>celounijní</w:t>
      </w:r>
      <w:proofErr w:type="spellEnd"/>
      <w:r w:rsidRPr="00DC7F57">
        <w:t xml:space="preserve"> přezkum transparentnosti za rok 2023, jehož výsledek Evropský orgán pro bankovnictví (EBA) zveřejnil dne 28. července 2023,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zprávu Evropského účetního dvora ze dne 12. května 2023 nazvanou „Zvláštní zpráva 12/2023: Dohled EU nad úvěrovým rizikem bank – ECB vystupňovala své úsilí, avšak je zapotřebí dalších kroků, aby se zvýšila jistota, že je úvěrové riziko řádně řízeno a kryto“,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 xml:space="preserve">s ohledem na prohlášení předsedkyně Rady dohledu ECB Claudie </w:t>
      </w:r>
      <w:proofErr w:type="spellStart"/>
      <w:r w:rsidRPr="00DC7F57">
        <w:t>Buchové</w:t>
      </w:r>
      <w:proofErr w:type="spellEnd"/>
      <w:r w:rsidRPr="00DC7F57">
        <w:t xml:space="preserve"> na slyšeních pořádaných Hospodářským a měnovým výborem Parlamentu ve dnech 21. března 2024 a 2. září 2024,</w:t>
      </w:r>
    </w:p>
    <w:p w:rsidR="006C281F" w:rsidRPr="00DC7F57" w:rsidRDefault="006C281F" w:rsidP="006C281F">
      <w:pPr>
        <w:pStyle w:val="NormalHanging12a"/>
      </w:pPr>
      <w:r w:rsidRPr="00DC7F57">
        <w:lastRenderedPageBreak/>
        <w:t>–</w:t>
      </w:r>
      <w:r w:rsidRPr="00DC7F57">
        <w:tab/>
        <w:t xml:space="preserve">s ohledem na prohlášení předsedy Jednotného výboru pro řešení krizí </w:t>
      </w:r>
      <w:proofErr w:type="spellStart"/>
      <w:r w:rsidRPr="00DC7F57">
        <w:t>Dominiqua</w:t>
      </w:r>
      <w:proofErr w:type="spellEnd"/>
      <w:r w:rsidRPr="00DC7F57">
        <w:t xml:space="preserve"> </w:t>
      </w:r>
      <w:proofErr w:type="spellStart"/>
      <w:r w:rsidRPr="00DC7F57">
        <w:t>Laboureixe</w:t>
      </w:r>
      <w:proofErr w:type="spellEnd"/>
      <w:r w:rsidRPr="00DC7F57">
        <w:t xml:space="preserve"> na slyšeních pořádaných Hospodářským a měnovým výborem Parlamentu ve dnech 21. března 2024 a 23. září 2024,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</w:r>
      <w:r w:rsidRPr="00DC7F57">
        <w:rPr>
          <w:snapToGrid/>
        </w:rPr>
        <w:t>s ohledem na zprávy o posouzení rizik Evropského orgánu pro bankovnictví z července 2024 a prosince 2024,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své usnesení ze dne 14. března 2019 o genderové vyváženosti při navrhování kandidátů v oblasti hospodářských a měnových záležitostí EU</w:t>
      </w:r>
      <w:r w:rsidRPr="00DC7F57">
        <w:rPr>
          <w:rStyle w:val="FootnoteReference"/>
        </w:rPr>
        <w:footnoteReference w:id="12"/>
      </w:r>
      <w:r w:rsidRPr="00DC7F57">
        <w:t>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</w:r>
      <w:r w:rsidRPr="00DC7F57">
        <w:rPr>
          <w:snapToGrid/>
        </w:rPr>
        <w:t>s ohledem na své usnesení ze dne 25. března 2021 o posílení mezinárodní úlohy eura</w:t>
      </w:r>
      <w:r w:rsidRPr="00DC7F57">
        <w:rPr>
          <w:rStyle w:val="FootnoteReference"/>
          <w:snapToGrid/>
          <w:szCs w:val="24"/>
          <w:lang w:eastAsia="en-GB"/>
        </w:rPr>
        <w:footnoteReference w:id="13"/>
      </w:r>
      <w:r w:rsidRPr="00DC7F57">
        <w:rPr>
          <w:snapToGrid/>
        </w:rPr>
        <w:t>;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článek 55 jednacího řádu,</w:t>
      </w:r>
    </w:p>
    <w:p w:rsidR="006C281F" w:rsidRPr="00DC7F57" w:rsidRDefault="006C281F" w:rsidP="006C281F">
      <w:pPr>
        <w:pStyle w:val="NormalHanging12a"/>
      </w:pPr>
      <w:r w:rsidRPr="00DC7F57">
        <w:t>–</w:t>
      </w:r>
      <w:r w:rsidRPr="00DC7F57">
        <w:tab/>
        <w:t>s ohledem na zprávu Hospodářského a měnového výboru (A10-0044/2025),</w:t>
      </w:r>
    </w:p>
    <w:p w:rsidR="006C281F" w:rsidRPr="00DC7F57" w:rsidRDefault="006C281F" w:rsidP="006C281F">
      <w:pPr>
        <w:pStyle w:val="NormalHanging12a"/>
      </w:pPr>
      <w:r w:rsidRPr="00DC7F57">
        <w:t>A.</w:t>
      </w:r>
      <w:r w:rsidRPr="00DC7F57">
        <w:tab/>
        <w:t>vzhledem k tomu, že bankovní unie zahrnuje jednotný mechanismus dohledu, jednotný mechanismus pro řešení krizí a evropský systém pojištění vkladů, jenž stále neexistuje;</w:t>
      </w:r>
    </w:p>
    <w:p w:rsidR="006C281F" w:rsidRPr="00DC7F57" w:rsidRDefault="006C281F" w:rsidP="006C281F">
      <w:pPr>
        <w:pStyle w:val="NormalHanging12a"/>
      </w:pPr>
      <w:r w:rsidRPr="00DC7F57">
        <w:t xml:space="preserve">B. </w:t>
      </w:r>
      <w:r w:rsidRPr="00DC7F57">
        <w:tab/>
        <w:t>vzhledem k tomu, že hlavním cílem bankovní unie je zajistit stabilitu bankovního sektoru v Evropě a zabránit nutnosti zachraňovat banky ohrožené úpadkem z peněz daňových poplatníků;</w:t>
      </w:r>
    </w:p>
    <w:p w:rsidR="006C281F" w:rsidRPr="00DC7F57" w:rsidRDefault="006C281F" w:rsidP="006C281F">
      <w:pPr>
        <w:pStyle w:val="NormalHanging12a"/>
      </w:pPr>
      <w:r w:rsidRPr="00DC7F57">
        <w:t>C.</w:t>
      </w:r>
      <w:r w:rsidRPr="00DC7F57">
        <w:tab/>
        <w:t>vzhledem k tomu, že dokončená bankovní unie by znamenala pozitivní vývoj pro občany a hospodářství EU, neboť by zlepšila konkurenceschopnost a stabilitu bankovního sektoru, snížila systémové riziko, zlepšila nabídku a výběr pro spotřebitele a poskytla větší možnosti přeshraničního bankovnictví, které by zvýšily přístup domácností a podniků k financování a snížily náklady pro klienty bank, přičemž by zajišťovala, že k záchraně bankovního sektoru nebudou využívány veřejné prostředky; vzhledem k tomu, že riziko „</w:t>
      </w:r>
      <w:proofErr w:type="spellStart"/>
      <w:r w:rsidRPr="00DC7F57">
        <w:t>too</w:t>
      </w:r>
      <w:proofErr w:type="spellEnd"/>
      <w:r w:rsidRPr="00DC7F57">
        <w:t xml:space="preserve"> big to </w:t>
      </w:r>
      <w:proofErr w:type="spellStart"/>
      <w:r w:rsidRPr="00DC7F57">
        <w:t>fail</w:t>
      </w:r>
      <w:proofErr w:type="spellEnd"/>
      <w:r w:rsidRPr="00DC7F57">
        <w:t>“ dosud nebylo plně vyřešeno;</w:t>
      </w:r>
    </w:p>
    <w:p w:rsidR="006C281F" w:rsidRPr="00DC7F57" w:rsidRDefault="006C281F" w:rsidP="006C281F">
      <w:pPr>
        <w:pStyle w:val="NormalHanging12a"/>
      </w:pPr>
      <w:r w:rsidRPr="00DC7F57">
        <w:t xml:space="preserve">D. </w:t>
      </w:r>
      <w:r w:rsidRPr="00DC7F57">
        <w:tab/>
        <w:t>vzhledem k tomu, že dokončení reformy rámců EU pro řešení bankovních krizí a pojištění vkladů se zaměřením zejména na malé a střední banky má zásadní význam pro zajištění bezpečnosti, stability a odolnosti evropského bankovního sektoru; vzhledem k tomu, že úplná bankovní unie se skutečným evropským systémem pojištění vkladů je základní podmínkou pro zajištění důvěry občanů v evropské banky;</w:t>
      </w:r>
    </w:p>
    <w:p w:rsidR="006C281F" w:rsidRPr="00DC7F57" w:rsidRDefault="006C281F" w:rsidP="006C281F">
      <w:pPr>
        <w:pStyle w:val="NormalHanging12a"/>
      </w:pPr>
      <w:r w:rsidRPr="00DC7F57">
        <w:t>E.</w:t>
      </w:r>
      <w:r w:rsidRPr="00DC7F57">
        <w:tab/>
        <w:t>vzhledem k tomu, že roztříštěnost a nedostatečná přeshraniční konsolidace bankovního sektoru EU ovlivňuje jeho globální konkurenceschopnost; vzhledem k tomu, že se rozdíly v ziskovosti mezi bankami EU a USA prohloubily;</w:t>
      </w:r>
    </w:p>
    <w:p w:rsidR="006C281F" w:rsidRPr="00DC7F57" w:rsidRDefault="006C281F" w:rsidP="006C281F">
      <w:pPr>
        <w:pStyle w:val="NormalHanging12a"/>
      </w:pPr>
      <w:r w:rsidRPr="00DC7F57">
        <w:t>F.</w:t>
      </w:r>
      <w:r w:rsidRPr="00DC7F57">
        <w:tab/>
        <w:t>vzhledem k tomu, že silný a diverzifikovaný bankovní sektor je klíčem k zajištění hospodářského růstu, zvýšení možnosti vlastnit bydlení, podpory investic a tvorby pracovních míst, financování malých a středních podniků (MSP) a začínajících inovativních podniků a přechodu na zelenou a digitální ekonomiku;</w:t>
      </w:r>
    </w:p>
    <w:p w:rsidR="006C281F" w:rsidRPr="00DC7F57" w:rsidRDefault="006C281F" w:rsidP="006C281F">
      <w:pPr>
        <w:pStyle w:val="NormalHanging12a"/>
      </w:pPr>
      <w:r w:rsidRPr="00DC7F57">
        <w:t>G.</w:t>
      </w:r>
      <w:r w:rsidRPr="00DC7F57">
        <w:tab/>
        <w:t xml:space="preserve">vzhledem, k tomu, že přibližně 80 % externího financování evropských podniků pochází z bank, zatímco jen 20 % pochází z kapitálových trhů; vzhledem k tomu, že ve Spojených státech pochází pouze 30 % podnikových úvěrů od bank, zatímco je 70 % </w:t>
      </w:r>
      <w:r w:rsidRPr="00DC7F57">
        <w:lastRenderedPageBreak/>
        <w:t>financováno prostřednictvím kapitálových trhů, což zahrnuje emise podnikových dluhopisů nebo akcií;</w:t>
      </w:r>
    </w:p>
    <w:p w:rsidR="006C281F" w:rsidRPr="00DC7F57" w:rsidRDefault="006C281F" w:rsidP="006C281F">
      <w:pPr>
        <w:pStyle w:val="NormalHanging12a"/>
      </w:pPr>
      <w:r w:rsidRPr="00DC7F57">
        <w:t>H.</w:t>
      </w:r>
      <w:r w:rsidRPr="00DC7F57">
        <w:tab/>
        <w:t xml:space="preserve">vzhledem k tomu, že objem úvěrů se selháním ve výši 356,1 miliardy EUR zaznamenaný v roce 2024 ve 110 institucích pod dohledem oproti objemu úvěrů se selháním ve výši 988,9 miliardy EUR, jenž byl zaznamenán </w:t>
      </w:r>
      <w:proofErr w:type="gramStart"/>
      <w:r w:rsidRPr="00DC7F57">
        <w:t>ve 102</w:t>
      </w:r>
      <w:proofErr w:type="gramEnd"/>
      <w:r w:rsidRPr="00DC7F57">
        <w:t xml:space="preserve"> institucích pod dohledem ve druhém čtvrtletí roku 2015, odráží výraznou sestupnou trajektorii, kdy celkový objem úvěrů se selháním tedy dosahuje 36 % úrovně z roku 2015; vzhledem k tomu, že je třeba vyvíjet další úsilí;</w:t>
      </w:r>
    </w:p>
    <w:p w:rsidR="006C281F" w:rsidRPr="00DC7F57" w:rsidRDefault="006C281F" w:rsidP="006C281F">
      <w:pPr>
        <w:pStyle w:val="NormalHanging12a"/>
      </w:pPr>
      <w:r w:rsidRPr="00DC7F57">
        <w:t>I.</w:t>
      </w:r>
      <w:r w:rsidRPr="00DC7F57">
        <w:tab/>
        <w:t>vzhledem k tomu, že v dubnu 2024 přijal postoj k přezkumu rámce pro krizové řízení a pojištění vkladů;</w:t>
      </w:r>
    </w:p>
    <w:p w:rsidR="006C281F" w:rsidRPr="00DC7F57" w:rsidRDefault="006C281F" w:rsidP="006C281F">
      <w:pPr>
        <w:pStyle w:val="NormalHanging12a"/>
      </w:pPr>
      <w:r w:rsidRPr="00DC7F57">
        <w:t>J.</w:t>
      </w:r>
      <w:r w:rsidRPr="00DC7F57">
        <w:tab/>
        <w:t>vzhledem k tomu, že v dubnu 2024 přijal Hospodářský a měnový výbor zprávu o návrhu Komise na zřízení evropského systému pojištění vkladů;</w:t>
      </w:r>
    </w:p>
    <w:p w:rsidR="006C281F" w:rsidRPr="00DC7F57" w:rsidRDefault="006C281F" w:rsidP="006C281F">
      <w:pPr>
        <w:pStyle w:val="NormalHanging12a"/>
      </w:pPr>
      <w:r w:rsidRPr="00DC7F57">
        <w:t>K.</w:t>
      </w:r>
      <w:r w:rsidRPr="00DC7F57">
        <w:tab/>
        <w:t>vzhledem k tomu, že finanční instituce se stále více spoléhají na využívání informačních a komunikačních technologií (IKT); vzhledem k tomu, že digitalizace financí nabízí bankovnímu sektoru významné příležitosti a přinesla značný technologický pokrok v bankovním sektoru EU díky vyšší efektivitě poskytování bankovních služeb a většímu zájmu o inovace; vzhledem k tomu, že s sebou nese také výzvy, a to i pokud jde o ochranu osobních údajů, rizika poškození dobré pověsti, rizika praní peněz a obavy o ochranu spotřebitele; vzhledem k tomu, že bankovní sektor EU musí zvýšit svou kybernetickou odolnost, aby bylo zajištěno, že systémy IKT budou odolávat různým druhům hrozeb kybernetické bezpečnosti; vzhledem k tomu, že ECB v současné době zkoumá zavedení digitálního eura;</w:t>
      </w:r>
    </w:p>
    <w:p w:rsidR="006C281F" w:rsidRPr="00DC7F57" w:rsidRDefault="006C281F" w:rsidP="006C281F">
      <w:pPr>
        <w:pStyle w:val="NormalHanging12a"/>
      </w:pPr>
      <w:r w:rsidRPr="00DC7F57">
        <w:t>L.</w:t>
      </w:r>
      <w:r w:rsidRPr="00DC7F57">
        <w:tab/>
        <w:t>vzhledem k tomu, že banky EU odolaly dopadu ruské agrese; vzhledem k tomu, že hrají klíčovou úlohu při zajišťování průběžného uplatňování a dodržování sankcí, které EU uložila Rusku v reakci na invazi; vzhledem k tomu, že je zapotřebí další koordinace, aby se zabránilo obcházení sankcí;</w:t>
      </w:r>
    </w:p>
    <w:p w:rsidR="006C281F" w:rsidRPr="00DC7F57" w:rsidRDefault="006C281F" w:rsidP="006C281F">
      <w:pPr>
        <w:pStyle w:val="NormalHanging12a"/>
      </w:pPr>
      <w:r w:rsidRPr="00DC7F57">
        <w:t xml:space="preserve">M. </w:t>
      </w:r>
      <w:r w:rsidRPr="00DC7F57">
        <w:tab/>
        <w:t>vzhledem k tomu, že změna klimatu, zhoršování stavu životního prostředí a přechod na nízkouhlíkové hospodářství jsou faktory, které je třeba brát v úvahu při posuzování udržitelnosti rozvah bank jako zdroj rizika s potenciálním dopadem na investice ve všech regionech a odvětvích;</w:t>
      </w:r>
    </w:p>
    <w:p w:rsidR="006C281F" w:rsidRPr="00DC7F57" w:rsidRDefault="006C281F" w:rsidP="006C281F">
      <w:pPr>
        <w:pStyle w:val="Normal12a24b"/>
        <w:jc w:val="both"/>
      </w:pPr>
      <w:r w:rsidRPr="00DC7F57">
        <w:rPr>
          <w:rStyle w:val="BoldItalic"/>
        </w:rPr>
        <w:t>Obecné informace</w:t>
      </w:r>
    </w:p>
    <w:p w:rsidR="006C281F" w:rsidRPr="00DC7F57" w:rsidRDefault="006C281F" w:rsidP="006C281F">
      <w:pPr>
        <w:pStyle w:val="NormalHanging12a"/>
      </w:pPr>
      <w:r w:rsidRPr="00DC7F57">
        <w:t>1.</w:t>
      </w:r>
      <w:r w:rsidRPr="00DC7F57">
        <w:tab/>
        <w:t>bere na vědomí pokrok, jehož bylo za posledních 10 let dosaženo zavedením jednotného mechanismu dohledu a jednotného mechanismu pro řešení krizí; konstatuje, že bankovní unie nebude dokončena bez vytvoření jejího třetího pilíře, tedy evropského systému pojištění vkladů;</w:t>
      </w:r>
    </w:p>
    <w:p w:rsidR="006C281F" w:rsidRPr="00DC7F57" w:rsidRDefault="006C281F" w:rsidP="006C281F">
      <w:pPr>
        <w:pStyle w:val="NormalHanging12a"/>
      </w:pPr>
      <w:r w:rsidRPr="00DC7F57">
        <w:t>2.</w:t>
      </w:r>
      <w:r w:rsidRPr="00DC7F57">
        <w:tab/>
        <w:t xml:space="preserve">žádá Komisi, aby zajistila, že dokončení bankovní unie a unie kapitálových trhů bude i nadále klíčovou prioritou; zdůrazňuje, že oba projekty nabízejí domácnostem a malým a středním podnikům přístup k širšímu financování, snižují velkou závislost na bankovních úvěrech, aby podpořily investice a tvorbu pracovních míst, zvyšují finanční stabilitu, snižují dopad hospodářských útlumů, podporují konkurenceschopnost, poskytují dodatečné investiční příležitosti, financují přechod na zelenou a digitální ekonomiku a uvolňují růstový potenciál EU; konstatuje, že se od Komise žádá, aby </w:t>
      </w:r>
      <w:r w:rsidRPr="00DC7F57">
        <w:lastRenderedPageBreak/>
        <w:t>zohledňovala specifika různých bankovních modelů a zároveň zachovávala rovné podmínky;</w:t>
      </w:r>
    </w:p>
    <w:p w:rsidR="006C281F" w:rsidRPr="00DC7F57" w:rsidRDefault="006C281F" w:rsidP="006C281F">
      <w:pPr>
        <w:pStyle w:val="NormalHanging12a"/>
      </w:pPr>
      <w:r w:rsidRPr="00DC7F57">
        <w:t>3.</w:t>
      </w:r>
      <w:r w:rsidRPr="00DC7F57">
        <w:tab/>
        <w:t>bere na vě</w:t>
      </w:r>
      <w:r w:rsidR="00DC4C4A">
        <w:t>domí, že je nutné být připraven</w:t>
      </w:r>
      <w:r w:rsidRPr="00DC7F57">
        <w:t xml:space="preserve"> na epizody bankovního stresu, které by mohly potenciálně vést k bankovním panikám, jak tomu bylo v březnu 2023 v některých jurisdikcích mimo EU, a na potřebu zajistit stabilitu vkladů;</w:t>
      </w:r>
    </w:p>
    <w:p w:rsidR="006C281F" w:rsidRPr="00DC7F57" w:rsidRDefault="006C281F" w:rsidP="006C281F">
      <w:pPr>
        <w:pStyle w:val="NormalHanging12a"/>
      </w:pPr>
      <w:r w:rsidRPr="00DC7F57">
        <w:t>4</w:t>
      </w:r>
      <w:r w:rsidRPr="00DC7F57">
        <w:rPr>
          <w:b/>
          <w:i/>
        </w:rPr>
        <w:t>.</w:t>
      </w:r>
      <w:r w:rsidRPr="00DC7F57">
        <w:rPr>
          <w:b/>
          <w:i/>
        </w:rPr>
        <w:tab/>
      </w:r>
      <w:r w:rsidRPr="00DC7F57">
        <w:t xml:space="preserve">poukazuje na to, že kybernetická odolnost je klíčovým prvkem konkurenceschopnosti bankovního sektoru EU, zejména s ohledem na geopolitickou situaci a potřebu zachovat finanční stabilitu; </w:t>
      </w:r>
    </w:p>
    <w:p w:rsidR="006C281F" w:rsidRPr="00DC7F57" w:rsidRDefault="006C281F" w:rsidP="006C281F">
      <w:pPr>
        <w:pStyle w:val="NormalHanging12a"/>
      </w:pPr>
      <w:r w:rsidRPr="00DC7F57">
        <w:t>5.</w:t>
      </w:r>
      <w:r w:rsidRPr="00DC7F57">
        <w:tab/>
        <w:t>konstatuje, že integrovanější bankovní unie by pomohla zvýšit odolnost bankovního sektoru EU, zlepšit přístup k úvěrům a snížit náklady; konstatuje, že lepší přeshraniční integrace bankovních podniků by zvýšila potenciál pro soukromé sdílení rizik a zajistila diverzifikaci na bankovním trhu EU; poukazuje na to, že integrovanější bankovní trh nemusí být nutně totožný s konsolidovanějším bankovním trhem a že diverzifikovaný bankovní trh je prospěšný pro hospodářskou soutěž; zdůrazňuje, že plně rozvinutá bankovní unie umožní evropským bankám růst a dosáhnout lepšího postavení v mezinárodní konkurenci;</w:t>
      </w:r>
    </w:p>
    <w:p w:rsidR="006C281F" w:rsidRPr="00DC7F57" w:rsidRDefault="006C281F" w:rsidP="006C281F">
      <w:pPr>
        <w:pStyle w:val="NormalHanging12a"/>
      </w:pPr>
      <w:r w:rsidRPr="00DC7F57">
        <w:t>6.</w:t>
      </w:r>
      <w:r w:rsidRPr="00DC7F57">
        <w:tab/>
        <w:t>vyjadřuje politování nad tím, že schopnost bank v EU financovat významné investice je omezena nižší ziskovostí, která není dostatečná k zajištění jejich konkurenceschopnosti; konstatuje, že rozdíl ziskovosti ve srovnání s ostatními jurisdikcemi je způsoben jak strukturálními, tak regulačními faktory, a vyzývá k přezkumu s cílem zefektivnit regulační rámec; upozorňuje na to, že specifická povaha bankovního systému EU s velkým počtem menších bank vyžaduje přiměřená řešení, která by to zohledňovala a byla přizpůsobena jeho charakteristikám, aniž by ohrozila finanční stabilitu; je si i nadále vědom rizika „</w:t>
      </w:r>
      <w:proofErr w:type="spellStart"/>
      <w:r w:rsidRPr="00DC7F57">
        <w:t>too</w:t>
      </w:r>
      <w:proofErr w:type="spellEnd"/>
      <w:r w:rsidRPr="00DC7F57">
        <w:t xml:space="preserve"> big to </w:t>
      </w:r>
      <w:proofErr w:type="spellStart"/>
      <w:r w:rsidRPr="00DC7F57">
        <w:t>fail</w:t>
      </w:r>
      <w:proofErr w:type="spellEnd"/>
      <w:r w:rsidRPr="00DC7F57">
        <w:t>“;</w:t>
      </w:r>
    </w:p>
    <w:p w:rsidR="006C281F" w:rsidRPr="00DC7F57" w:rsidRDefault="006C281F" w:rsidP="006C281F">
      <w:pPr>
        <w:pStyle w:val="NormalHanging12a"/>
      </w:pPr>
      <w:r w:rsidRPr="00DC7F57">
        <w:t>7.</w:t>
      </w:r>
      <w:r w:rsidRPr="00DC7F57">
        <w:tab/>
        <w:t>vyzývá Komisi, aby posoudila potřebu vytvořit v rámci bankovní unie cílené rámce pro zlepšení přístupu malých a středních podniků a začínajících podniků k financování a uznala jejich úlohu jako páteře hospodářství EU;</w:t>
      </w:r>
    </w:p>
    <w:p w:rsidR="006C281F" w:rsidRPr="00DC7F57" w:rsidRDefault="006C281F" w:rsidP="006C281F">
      <w:pPr>
        <w:pStyle w:val="NormalHanging12a"/>
      </w:pPr>
      <w:r w:rsidRPr="00DC7F57">
        <w:t>8.</w:t>
      </w:r>
      <w:r w:rsidRPr="00DC7F57">
        <w:tab/>
        <w:t>lituje, že přeshraniční činnost bank v EU je stále poměrně omezená, zejména pokud jde o poskytování úvěrů; zastává proto názor, že je důležité dokončit bankovní unii, aby byl zachován volný pohyb kapitálu na plně integrovaném vnitřním trhu;</w:t>
      </w:r>
    </w:p>
    <w:p w:rsidR="006C281F" w:rsidRPr="00DC7F57" w:rsidRDefault="006C281F" w:rsidP="006C281F">
      <w:pPr>
        <w:pStyle w:val="NormalHanging12a"/>
      </w:pPr>
      <w:r w:rsidRPr="00DC7F57">
        <w:t>9.</w:t>
      </w:r>
      <w:r w:rsidRPr="00DC7F57">
        <w:tab/>
        <w:t>vyzývá banky EU, které stále působí v Rusku, aby ruský trh co nejdříve opustily; vyzývá orgány dohledu, aby zajistily, že tyto banky urychleně odejdou z ruského trhu;</w:t>
      </w:r>
    </w:p>
    <w:p w:rsidR="006C281F" w:rsidRPr="00DC7F57" w:rsidRDefault="006C281F" w:rsidP="006C281F">
      <w:pPr>
        <w:pStyle w:val="NormalHanging12a"/>
      </w:pPr>
      <w:r w:rsidRPr="00DC7F57">
        <w:t>10.</w:t>
      </w:r>
      <w:r w:rsidRPr="00DC7F57">
        <w:tab/>
        <w:t>vyzývá Komisi, aby dále prozkoumala, zda by vytvoření samostatné jurisdikce pro banky EU s významnými přeshraničními operacemi</w:t>
      </w:r>
      <w:r w:rsidRPr="00DC7F57">
        <w:rPr>
          <w:rStyle w:val="FootnoteReference"/>
        </w:rPr>
        <w:footnoteReference w:id="14"/>
      </w:r>
      <w:r w:rsidRPr="00DC7F57">
        <w:t xml:space="preserve"> mohlo pomoci k dokončení bankovní unie, nebo zda by se tím zvýšila roztříštěnost bankovního sektoru;</w:t>
      </w:r>
    </w:p>
    <w:p w:rsidR="006C281F" w:rsidRPr="00DC7F57" w:rsidRDefault="006C281F" w:rsidP="006C281F">
      <w:pPr>
        <w:pStyle w:val="NormalHanging12a"/>
      </w:pPr>
      <w:r w:rsidRPr="00DC7F57">
        <w:t>11.</w:t>
      </w:r>
      <w:r w:rsidRPr="00DC7F57">
        <w:tab/>
        <w:t xml:space="preserve">konstatuje, že by se mohla prozkoumat možnost zásadní revize </w:t>
      </w:r>
      <w:proofErr w:type="spellStart"/>
      <w:r w:rsidRPr="00DC7F57">
        <w:t>sekuritizačního</w:t>
      </w:r>
      <w:proofErr w:type="spellEnd"/>
      <w:r w:rsidRPr="00DC7F57">
        <w:t xml:space="preserve"> rámce s cílem posílit evropské trhy a zavedení evropských zajištěných dluhopisů jako nástroje pro financování s dvojitou ochranou pro malé a střední podniky pro dlouhodobé financování, přičemž je nutné řádně zohlednit rizika pro finanční stabilitu;</w:t>
      </w:r>
    </w:p>
    <w:p w:rsidR="006C281F" w:rsidRPr="00DC7F57" w:rsidRDefault="006C281F" w:rsidP="006C281F">
      <w:pPr>
        <w:pStyle w:val="NormalHanging12a"/>
      </w:pPr>
      <w:r w:rsidRPr="00DC7F57">
        <w:lastRenderedPageBreak/>
        <w:t>12.</w:t>
      </w:r>
      <w:r w:rsidRPr="00DC7F57">
        <w:tab/>
        <w:t>zdůrazňuje, že finanční gramotnost je v moderních ekonomikách zásadní, přispívá k odolnosti bankovních systémů v členských státech a podporuje přeshraniční finanční aktivity;</w:t>
      </w:r>
    </w:p>
    <w:p w:rsidR="006C281F" w:rsidRPr="00DC7F57" w:rsidRDefault="006C281F" w:rsidP="006C281F">
      <w:pPr>
        <w:pStyle w:val="NormalHanging12a"/>
        <w:rPr>
          <w:snapToGrid/>
        </w:rPr>
      </w:pPr>
      <w:r w:rsidRPr="00DC7F57">
        <w:t>13.</w:t>
      </w:r>
      <w:r w:rsidRPr="00DC7F57">
        <w:tab/>
        <w:t>zdůrazňuje, že vysoká úroveň ochrany spotřebitelů zvýší odolnost bankovní unie;</w:t>
      </w:r>
    </w:p>
    <w:p w:rsidR="006C281F" w:rsidRPr="00DC7F57" w:rsidRDefault="006C281F" w:rsidP="006C281F">
      <w:pPr>
        <w:pStyle w:val="NormalHanging12a"/>
      </w:pPr>
      <w:r w:rsidRPr="00DC7F57">
        <w:t>14.</w:t>
      </w:r>
      <w:r w:rsidRPr="00DC7F57">
        <w:tab/>
        <w:t>domnívá se, že Komise by se měla zaměřit na aspekty, které přispívají k dosažení cílů digitalizace, modernizace, zjednodušení, zefektivnění a zvýšení konkurenceschopnosti; trvá na tom, že právní jistota, bezpečnost, předvídatelnost a stabilita jsou nezbytné pro to, aby banky v EU mohly fungovat za příznivých podmínek;</w:t>
      </w:r>
    </w:p>
    <w:p w:rsidR="006C281F" w:rsidRPr="00DC7F57" w:rsidRDefault="006C281F" w:rsidP="006C281F">
      <w:pPr>
        <w:pStyle w:val="NormalHanging12a"/>
      </w:pPr>
      <w:r w:rsidRPr="00DC7F57">
        <w:t>15.</w:t>
      </w:r>
      <w:r w:rsidRPr="00DC7F57">
        <w:tab/>
        <w:t>konstatuje, že kromě tradičních úvěrů mohou být pro růst a konkurenceschopnost EU přínosné i různé zdroje financování, a uznává nízkou rizikovost řešení financování zajištěného aktivy;</w:t>
      </w:r>
    </w:p>
    <w:p w:rsidR="006C281F" w:rsidRPr="00DC7F57" w:rsidRDefault="006C281F" w:rsidP="006C281F">
      <w:pPr>
        <w:pStyle w:val="NormalHanging12a"/>
        <w:rPr>
          <w:b/>
          <w:snapToGrid/>
        </w:rPr>
      </w:pPr>
      <w:r w:rsidRPr="00DC7F57">
        <w:t>16.</w:t>
      </w:r>
      <w:r w:rsidRPr="00DC7F57">
        <w:rPr>
          <w:b/>
          <w:i/>
        </w:rPr>
        <w:tab/>
      </w:r>
      <w:r w:rsidRPr="00DC7F57">
        <w:t>bere na vědomí pokrok ECB v oblasti digitálního eura a dialog Parlamentu s ECB na toto téma; chápe stávající výhrady, například pokud jde o jeho fungování off-line, vzhledem k tomu, že transakce off-line snižují viditelnost a narušují prevenci finanční trestné činnosti; připomíná, že digitální euro by mělo doplňovat hotovost, a nikoli nahrazovat; domnívá se, že rozhodnutí, zda zavést, či nezavést digitální euro, je v konečném důsledku politickým rozhodnutím, které musí přijmout normotvůrci EU, a to vzhledem k potenciálně hlubokému dopadu tohoto rozhodnutí na širokou škálu oblastí EU, včetně soukromí, ochrany spotřebitele, finanční stability, finanční politiky a dalších oblastí, které přesahují přísně vymezený rámec měnové politiky;</w:t>
      </w:r>
    </w:p>
    <w:p w:rsidR="006C281F" w:rsidRPr="00DC7F57" w:rsidRDefault="006C281F" w:rsidP="006C281F">
      <w:pPr>
        <w:pStyle w:val="NormalHanging12a"/>
      </w:pPr>
      <w:r w:rsidRPr="00DC7F57">
        <w:t>17.</w:t>
      </w:r>
      <w:r w:rsidRPr="00DC7F57">
        <w:tab/>
        <w:t xml:space="preserve">lituje, že některé finanční instituce nezajišťují genderovou vyváženost, zejména ve svých řídících orgánech; zdůrazňuje, že vyvážené zastoupení žen a mužů v řídících orgánech a mezi zaměstnanci má jak společenské, tak hospodářské přínosy; vyzývá finanční instituce, aby pravidelně aktualizovaly své politiky rozmanitosti a začleňování a aby pomáhaly podporovat zdravou pracovní kulturu upřednostňující </w:t>
      </w:r>
      <w:proofErr w:type="spellStart"/>
      <w:r w:rsidRPr="00DC7F57">
        <w:t>inkluzivnost</w:t>
      </w:r>
      <w:proofErr w:type="spellEnd"/>
      <w:r w:rsidRPr="00DC7F57">
        <w:t>; vyzývá soukromé a veřejné subjekty, aby řešily nedostatečnou rozmanitost a genderovou vyváženost v řídících orgánech finančních institucí;</w:t>
      </w:r>
    </w:p>
    <w:p w:rsidR="006C281F" w:rsidRPr="00DC7F57" w:rsidRDefault="006C281F" w:rsidP="006C281F">
      <w:pPr>
        <w:pStyle w:val="Normal12a24b"/>
        <w:jc w:val="both"/>
      </w:pPr>
      <w:r w:rsidRPr="00DC7F57">
        <w:rPr>
          <w:rStyle w:val="BoldItalic"/>
        </w:rPr>
        <w:t>Dohled</w:t>
      </w:r>
    </w:p>
    <w:p w:rsidR="006C281F" w:rsidRDefault="006C281F" w:rsidP="006C281F">
      <w:pPr>
        <w:pStyle w:val="NormalHanging12a"/>
      </w:pPr>
      <w:r w:rsidRPr="00DC7F57">
        <w:t>18.</w:t>
      </w:r>
      <w:r w:rsidRPr="00DC7F57">
        <w:tab/>
        <w:t xml:space="preserve">vítá skutečnost, že </w:t>
      </w:r>
      <w:proofErr w:type="spellStart"/>
      <w:r w:rsidRPr="00DC7F57">
        <w:t>spolunormotvůrci</w:t>
      </w:r>
      <w:proofErr w:type="spellEnd"/>
      <w:r w:rsidRPr="00DC7F57">
        <w:t xml:space="preserve"> přijali nový bankovní balíček, kterým se v EU provádějí standardy rámce </w:t>
      </w:r>
      <w:proofErr w:type="spellStart"/>
      <w:r w:rsidRPr="00DC7F57">
        <w:t>Basel</w:t>
      </w:r>
      <w:proofErr w:type="spellEnd"/>
      <w:r w:rsidRPr="00DC7F57">
        <w:t xml:space="preserve"> III; bere na vědomí současné nejasnosti ohledně implementace standardů rámce </w:t>
      </w:r>
      <w:proofErr w:type="spellStart"/>
      <w:r w:rsidRPr="00DC7F57">
        <w:t>Basel</w:t>
      </w:r>
      <w:proofErr w:type="spellEnd"/>
      <w:r w:rsidRPr="00DC7F57">
        <w:t xml:space="preserve"> III v některých dalších jurisdikcích a potenciální riziko pro rovné podmínky na mezinárodní úrovni;</w:t>
      </w:r>
      <w:r w:rsidRPr="00DC7F57">
        <w:rPr>
          <w:b/>
          <w:i/>
        </w:rPr>
        <w:t xml:space="preserve"> </w:t>
      </w:r>
      <w:r w:rsidRPr="00DC7F57">
        <w:t xml:space="preserve">zdůrazňuje, že Komise by měla vyhodnotit, zda by cílené změny mohly pomoci zachovat mezinárodní konkurenceschopnost bank EU, aniž by byla oslabena jejich odolnost; připomíná, že v aktu v přenesené pravomoci o datu použitelnosti kapitálových požadavků k tržnímu riziku bylo datum použitelnosti nového rámce pro tržní rizika odloženo o jeden rok na 1. ledna 2026; vyzývá Komisi, aby posoudila, zda je třeba přezkoumat rozhodnutí o rovnocennosti přijatá s jurisdikcemi, které neuplatňují standardy rámce </w:t>
      </w:r>
      <w:proofErr w:type="spellStart"/>
      <w:r w:rsidRPr="00DC7F57">
        <w:t>Basel</w:t>
      </w:r>
      <w:proofErr w:type="spellEnd"/>
      <w:r w:rsidRPr="00DC7F57">
        <w:t xml:space="preserve"> III, aby byla zachována finanční stabilita finančního sektoru EU;</w:t>
      </w:r>
    </w:p>
    <w:p w:rsidR="0030305E" w:rsidRPr="0030305E" w:rsidRDefault="0030305E" w:rsidP="006C281F">
      <w:pPr>
        <w:pStyle w:val="NormalHanging12a"/>
      </w:pPr>
      <w:r w:rsidRPr="0030305E">
        <w:t>19</w:t>
      </w:r>
      <w:r w:rsidRPr="00F61546">
        <w:t>.</w:t>
      </w:r>
      <w:r w:rsidRPr="0030305E">
        <w:tab/>
      </w:r>
      <w:r w:rsidRPr="00F61546">
        <w:t xml:space="preserve">bere na vědomí rostoucí jev uzavírání bankovních poboček, který přispívá k riziku „desertifikace bank“ v některých regionech, což má obzvláště negativní dopad na zranitelné občany bez digitálního přístupu; zdůrazňuje zásadní úlohu, kterou hrají menší banky při zajišťování přístupu k základním bankovním službám, zejména ve </w:t>
      </w:r>
      <w:r w:rsidRPr="00F61546">
        <w:lastRenderedPageBreak/>
        <w:t>venkovských a odlehlých oblastech, čímž podporují domácnosti, malé a střední podniky a místní ekonomiku; konstatuje, že vysoké náklady na dohled a regulační zátěž mohou pro menší banky představovat značné problémy; zdůrazňuje, že je v bankovním dohledu třeba uplatňovat zásadu proporcionality a zajistit, aby byla intenzita regulace přizpůsobena velikosti, rizikovému profilu a obchodnímu modelu institucí, přičemž je třeba zohlednit zásadní územní úlohu menších bank a jejich specifické rysy.</w:t>
      </w:r>
    </w:p>
    <w:p w:rsidR="006C281F" w:rsidRPr="00DC7F57" w:rsidRDefault="0030305E" w:rsidP="006C281F">
      <w:pPr>
        <w:pStyle w:val="NormalHanging12a"/>
      </w:pPr>
      <w:r>
        <w:t>20</w:t>
      </w:r>
      <w:r w:rsidR="006C281F" w:rsidRPr="00DC7F57">
        <w:t>.</w:t>
      </w:r>
      <w:r w:rsidR="006C281F" w:rsidRPr="00DC7F57">
        <w:tab/>
        <w:t>připomíná, že bankovní balíček obsahuje vysoký počet mandátů pro Evropský orgán pro bankovnictví; vyzývá Evropský orgán pro bankovnictví, aby tyto mandáty respektoval;</w:t>
      </w:r>
    </w:p>
    <w:p w:rsidR="006C281F" w:rsidRPr="00DC7F57" w:rsidRDefault="006C281F" w:rsidP="006C281F">
      <w:pPr>
        <w:pStyle w:val="NormalHanging12a"/>
      </w:pPr>
      <w:r w:rsidRPr="00DC7F57">
        <w:t>2</w:t>
      </w:r>
      <w:r w:rsidR="0030305E">
        <w:t>1</w:t>
      </w:r>
      <w:r w:rsidRPr="00DC7F57">
        <w:t>.</w:t>
      </w:r>
      <w:r w:rsidRPr="00DC7F57">
        <w:tab/>
        <w:t xml:space="preserve">konstatuje, že i v rámci stávajícího regulačního rámce prokázal bankovní sektor během událostí na trhu v posledních letech svou odolnost a že průměrný poměr kmenového kapitálu </w:t>
      </w:r>
      <w:proofErr w:type="spellStart"/>
      <w:r w:rsidRPr="00DC7F57">
        <w:t>tier</w:t>
      </w:r>
      <w:proofErr w:type="spellEnd"/>
      <w:r w:rsidRPr="00DC7F57">
        <w:t xml:space="preserve"> 1 zůstal na vysoké úrovni, a to 15,81 %;</w:t>
      </w:r>
    </w:p>
    <w:p w:rsidR="006C281F" w:rsidRPr="00DC7F57" w:rsidRDefault="006C281F" w:rsidP="006C281F">
      <w:pPr>
        <w:pStyle w:val="NormalHanging12a"/>
      </w:pPr>
      <w:r w:rsidRPr="00DC7F57">
        <w:t>2</w:t>
      </w:r>
      <w:r w:rsidR="0030305E">
        <w:t>2</w:t>
      </w:r>
      <w:r w:rsidRPr="00DC7F57">
        <w:t>.</w:t>
      </w:r>
      <w:r w:rsidRPr="00DC7F57">
        <w:tab/>
        <w:t>konstatuje, že podíl úvěrů se selháním zůstal stabilní na úrovni 2,30 % a ukazatel krytí likvidity na úrovni 159,39 %;</w:t>
      </w:r>
    </w:p>
    <w:p w:rsidR="006C281F" w:rsidRPr="00DC7F57" w:rsidRDefault="006C281F" w:rsidP="006C281F">
      <w:pPr>
        <w:pStyle w:val="NormalHanging12a"/>
      </w:pPr>
      <w:r w:rsidRPr="00DC7F57">
        <w:t>2</w:t>
      </w:r>
      <w:r w:rsidR="0030305E">
        <w:t>3</w:t>
      </w:r>
      <w:r w:rsidRPr="00DC7F57">
        <w:t>.</w:t>
      </w:r>
      <w:r w:rsidRPr="00DC7F57">
        <w:tab/>
        <w:t>bere na vědomí různou míru expozice úvěrům se selháním a připomíná, že v některých členských státech se míra expozice pohybuje v řádu 1 % nebo je dokonce nižší, zatímco jiné členské státy mají úroveň expozice vyšší než 4 %; domnívá se, že úsilí o snížení expozice evropských bank vůči tomuto typu úvěrů by mělo pokračovat jako osvědčený postup v oblasti řízení rizik;</w:t>
      </w:r>
    </w:p>
    <w:p w:rsidR="006C281F" w:rsidRPr="00DC7F57" w:rsidRDefault="006C281F" w:rsidP="006C281F">
      <w:pPr>
        <w:pStyle w:val="NormalHanging12a"/>
      </w:pPr>
      <w:r w:rsidRPr="00DC7F57">
        <w:t>2</w:t>
      </w:r>
      <w:r w:rsidR="0030305E">
        <w:t>4</w:t>
      </w:r>
      <w:r w:rsidRPr="00DC7F57">
        <w:t>.</w:t>
      </w:r>
      <w:r w:rsidRPr="00DC7F57">
        <w:tab/>
        <w:t>zdůrazňuje skutečnost, že nepříznivé makroekonomické podmínky, geopolitické problémy a rychlý rozvoj služeb odložených plateb mohou vést ke zhoršení kvality aktiv a v budoucnu ovlivnit podíl úvěrů v selhání; zdůrazňuje proto význam obezřetného řízení rizik a vytvoření náležitých rezerv;</w:t>
      </w:r>
    </w:p>
    <w:p w:rsidR="006C281F" w:rsidRPr="00DC7F57" w:rsidRDefault="006C281F" w:rsidP="006C281F">
      <w:pPr>
        <w:pStyle w:val="NormalHanging12a"/>
      </w:pPr>
      <w:r w:rsidRPr="00DC7F57">
        <w:t>2</w:t>
      </w:r>
      <w:r w:rsidR="0030305E">
        <w:t>5</w:t>
      </w:r>
      <w:r w:rsidRPr="00DC7F57">
        <w:t>.</w:t>
      </w:r>
      <w:r w:rsidRPr="00DC7F57">
        <w:tab/>
        <w:t xml:space="preserve">konstatuje, že současná úroveň ziskovosti bankovního sektoru může být příležitostí ke zvýšení </w:t>
      </w:r>
      <w:proofErr w:type="spellStart"/>
      <w:r w:rsidRPr="00DC7F57">
        <w:t>makroobezřetnostních</w:t>
      </w:r>
      <w:proofErr w:type="spellEnd"/>
      <w:r w:rsidRPr="00DC7F57">
        <w:t xml:space="preserve"> rezerv a pomoci zachovat odolnost bankovního sektoru; vyzývá Komisi, aby tuto možnost dále prozkoumala a aby pečlivě vyhodnotila, jak revidovat </w:t>
      </w:r>
      <w:proofErr w:type="spellStart"/>
      <w:r w:rsidRPr="00DC7F57">
        <w:t>makroobezřetnostní</w:t>
      </w:r>
      <w:proofErr w:type="spellEnd"/>
      <w:r w:rsidRPr="00DC7F57">
        <w:t xml:space="preserve"> rámec, s přihlédnutím k možnému dopadu na kapitálové požadavky a s ohledem na rovné podmínky s ostatními jurisdikcemi;</w:t>
      </w:r>
    </w:p>
    <w:p w:rsidR="006C281F" w:rsidRPr="00DC7F57" w:rsidRDefault="006C281F" w:rsidP="006C281F">
      <w:pPr>
        <w:pStyle w:val="NormalHanging12a"/>
      </w:pPr>
      <w:r w:rsidRPr="00DC7F57">
        <w:t>2</w:t>
      </w:r>
      <w:r w:rsidR="0030305E">
        <w:t>6</w:t>
      </w:r>
      <w:r w:rsidRPr="00DC7F57">
        <w:t>.</w:t>
      </w:r>
      <w:r w:rsidRPr="00DC7F57">
        <w:rPr>
          <w:b/>
          <w:i/>
        </w:rPr>
        <w:tab/>
      </w:r>
      <w:r w:rsidRPr="00DC7F57">
        <w:t>konstatuje, že bankovní sektor má úlohu v podpoře přechodu na digitalizované a uhlíkově neutrální hospodářství, nasměrování finančních prostředků na obnovitelné zdroje energie a podpoře dosažení cílů Zelené dohody pro Evropu a právního rámce EU pro klima;</w:t>
      </w:r>
    </w:p>
    <w:p w:rsidR="006C281F" w:rsidRPr="00DC7F57" w:rsidRDefault="006C281F" w:rsidP="006C281F">
      <w:pPr>
        <w:pStyle w:val="NormalHanging12a"/>
      </w:pPr>
      <w:r w:rsidRPr="00DC7F57">
        <w:t>2</w:t>
      </w:r>
      <w:r w:rsidR="0030305E">
        <w:t>7</w:t>
      </w:r>
      <w:r w:rsidRPr="00DC7F57">
        <w:t>.</w:t>
      </w:r>
      <w:r w:rsidRPr="00DC7F57">
        <w:tab/>
        <w:t>bere na vědomí, že ECB ve svých postupech dohledu zohledňuje finanční rizika související s klimatem a přírodou a pečlivě sleduje rostoucí fyzická rizika a rizika transformace;</w:t>
      </w:r>
    </w:p>
    <w:p w:rsidR="006C281F" w:rsidRPr="00DC7F57" w:rsidRDefault="006C281F" w:rsidP="006C281F">
      <w:pPr>
        <w:pStyle w:val="NormalHanging12a"/>
      </w:pPr>
      <w:r w:rsidRPr="00DC7F57">
        <w:t>2</w:t>
      </w:r>
      <w:r w:rsidR="0030305E">
        <w:t>8</w:t>
      </w:r>
      <w:r w:rsidRPr="00DC7F57">
        <w:t>.</w:t>
      </w:r>
      <w:r w:rsidRPr="00DC7F57">
        <w:tab/>
        <w:t xml:space="preserve">vítá myšlenku navýšení rizikového kapitálu a uvolnění kapitálu k financování rychle rostoucích společností v EU; bere na vědomí závazek předsedkyně Komise von der </w:t>
      </w:r>
      <w:proofErr w:type="spellStart"/>
      <w:r w:rsidRPr="00DC7F57">
        <w:t>Leyenové</w:t>
      </w:r>
      <w:proofErr w:type="spellEnd"/>
      <w:r w:rsidRPr="00DC7F57">
        <w:t xml:space="preserve"> zavést opatření k absorpci rizik, která by komerčním bankám, investorům a rizikovému kapitálu usnadnila financování rychle rostoucích společností</w:t>
      </w:r>
      <w:r w:rsidRPr="00DC7F57">
        <w:rPr>
          <w:rStyle w:val="FootnoteReference"/>
        </w:rPr>
        <w:footnoteReference w:id="15"/>
      </w:r>
      <w:r w:rsidRPr="00DC7F57">
        <w:t xml:space="preserve">; konstatuje, že </w:t>
      </w:r>
      <w:r w:rsidRPr="00DC7F57">
        <w:lastRenderedPageBreak/>
        <w:t>to musí být provedeno způsobem, který nepředstavuje systémové riziko nebo morální hazard;</w:t>
      </w:r>
    </w:p>
    <w:p w:rsidR="006C281F" w:rsidRPr="00DC7F57" w:rsidRDefault="006C281F" w:rsidP="006C281F">
      <w:pPr>
        <w:pStyle w:val="NormalHanging12a"/>
      </w:pPr>
      <w:r w:rsidRPr="00DC7F57">
        <w:t>2</w:t>
      </w:r>
      <w:r w:rsidR="0030305E">
        <w:t>9</w:t>
      </w:r>
      <w:r w:rsidRPr="00DC7F57">
        <w:t>.</w:t>
      </w:r>
      <w:r w:rsidRPr="00DC7F57">
        <w:tab/>
        <w:t>vítá vytvoření nového orgánu pro boj proti praní peněz a financování terorismu, který umožní účinnější způsoby boje proti praní peněz a financování terorismu prostřednictvím přímého dohledu nad některými finančními subjekty a lepší spolupráce a toku informací mezi vnitrostátními orgány a lepší koordinaci mezi orgány pro vymáhání sankcí v členských státech s cílem pomoci odstranit nedostatky v provádění cílených sankcí;</w:t>
      </w:r>
    </w:p>
    <w:p w:rsidR="006C281F" w:rsidRPr="00DC7F57" w:rsidRDefault="0030305E" w:rsidP="006C281F">
      <w:pPr>
        <w:pStyle w:val="NormalHanging12a"/>
      </w:pPr>
      <w:r>
        <w:t>30</w:t>
      </w:r>
      <w:r w:rsidR="006C281F" w:rsidRPr="00DC7F57">
        <w:t>.</w:t>
      </w:r>
      <w:r w:rsidR="006C281F" w:rsidRPr="00DC7F57">
        <w:tab/>
        <w:t xml:space="preserve">zdůrazňuje, že je třeba zvýšit odolnost nebankovních finančních zprostředkovatelů, a to i vypracováním specifických nástrojů regulace a dohledu; připomíná, že tato opatření musí zaručovat bezpečnost systému a být v nejlepším zájmu zákazníka; vítá konzultaci Komise o </w:t>
      </w:r>
      <w:proofErr w:type="spellStart"/>
      <w:r w:rsidR="006C281F" w:rsidRPr="00DC7F57">
        <w:t>makroobezřetnostních</w:t>
      </w:r>
      <w:proofErr w:type="spellEnd"/>
      <w:r w:rsidR="006C281F" w:rsidRPr="00DC7F57">
        <w:t xml:space="preserve"> politikách pro nebankovní finanční zprostředkovatele; podporuje doporučení </w:t>
      </w:r>
      <w:proofErr w:type="spellStart"/>
      <w:r w:rsidR="006C281F" w:rsidRPr="00DC7F57">
        <w:t>Eurosystému</w:t>
      </w:r>
      <w:proofErr w:type="spellEnd"/>
      <w:r w:rsidR="006C281F" w:rsidRPr="00DC7F57">
        <w:t xml:space="preserve"> zavést zátěžové testy celého systému pro identifikaci a kvantifikaci rizik ohrožujících odolnost klíčových trhů; vyzývá Komisi, aby prošetřila, zda v souboru nástrojů dohledu existují nějaké mezery, včetně těch, které se týkají možných krizí likvidity a důsledků pro systémové riziko;</w:t>
      </w:r>
    </w:p>
    <w:p w:rsidR="006C281F" w:rsidRPr="00DC7F57" w:rsidRDefault="006C281F" w:rsidP="006C281F">
      <w:pPr>
        <w:pStyle w:val="NormalHanging12a"/>
      </w:pPr>
      <w:r w:rsidRPr="00DC7F57">
        <w:t>3</w:t>
      </w:r>
      <w:r w:rsidR="0030305E">
        <w:t>1</w:t>
      </w:r>
      <w:r w:rsidRPr="00DC7F57">
        <w:t>.</w:t>
      </w:r>
      <w:r w:rsidRPr="00DC7F57">
        <w:tab/>
        <w:t xml:space="preserve">konstatuje, že </w:t>
      </w:r>
      <w:proofErr w:type="spellStart"/>
      <w:r w:rsidRPr="00DC7F57">
        <w:t>kryptoaktiva</w:t>
      </w:r>
      <w:proofErr w:type="spellEnd"/>
      <w:r w:rsidRPr="00DC7F57">
        <w:t xml:space="preserve"> vytvářejí pro finanční systém nové výzvy a příležitosti, ale také pro něj představují rizika, což vyžaduje pozornost vnitrostátních orgánů dohledu, jednotného mechanismu dohledu a Evropské rady pro systémová rizika;</w:t>
      </w:r>
    </w:p>
    <w:p w:rsidR="006C281F" w:rsidRPr="00DC7F57" w:rsidRDefault="006C281F" w:rsidP="006C281F">
      <w:pPr>
        <w:pStyle w:val="Normal12a24b"/>
        <w:jc w:val="both"/>
      </w:pPr>
      <w:r w:rsidRPr="00DC7F57">
        <w:rPr>
          <w:rStyle w:val="BoldItalic"/>
        </w:rPr>
        <w:t>Řešení krizí</w:t>
      </w:r>
    </w:p>
    <w:p w:rsidR="006C281F" w:rsidRPr="00DC7F57" w:rsidRDefault="006C281F" w:rsidP="006C281F">
      <w:pPr>
        <w:pStyle w:val="NormalHanging12a"/>
      </w:pPr>
      <w:r w:rsidRPr="00DC7F57">
        <w:t>3</w:t>
      </w:r>
      <w:r w:rsidR="0030305E">
        <w:t>2</w:t>
      </w:r>
      <w:r w:rsidRPr="00DC7F57">
        <w:t>.</w:t>
      </w:r>
      <w:r w:rsidRPr="00DC7F57">
        <w:tab/>
        <w:t>připomíná, že postoj, jejž Parlament přijal v dubnu 2024 k rámci krizového řízení a pojištění vkladů, zajišťuje ve všech členských státech jednotnější přístup k uplatňování nástrojů k řešení problémů a ochrany vkladů s cílem posílit finanční stabilitu, ochranu daňových poplatníků a důvěru vkladatelů; konstatuje, že malé banky mají určitá specifika, která mohou vyžadovat přiměřený přístup; zdůrazňuje, že evropské a vnitrostátní příslušné orgány by měly mít k dispozici vhodné a dostatečné nástroje k tomu, aby mohly účinně reagovat na selhání bank a chránit finanční stabilitu, a že banky musí působit v účinném regulačním prostředí, které podporuje jejich rozvoj;</w:t>
      </w:r>
    </w:p>
    <w:p w:rsidR="006C281F" w:rsidRPr="00DC7F57" w:rsidRDefault="006C281F" w:rsidP="006C281F">
      <w:pPr>
        <w:pStyle w:val="NormalHanging12a"/>
      </w:pPr>
      <w:r w:rsidRPr="00DC7F57">
        <w:t>3</w:t>
      </w:r>
      <w:r w:rsidR="0030305E">
        <w:t>3</w:t>
      </w:r>
      <w:r w:rsidRPr="00DC7F57">
        <w:t>.</w:t>
      </w:r>
      <w:r w:rsidRPr="00DC7F57">
        <w:tab/>
        <w:t>zdůrazňuje, že je důležité zachovat primární odpovědnost akcionářů a věřitelů za ztráty v případě úpadku banky; zdůrazňuje, že je třeba se vyhýbat použití peněz daňových poplatníků, což je stále hlavním ponaučením z celosvětové finanční krize; zdůrazňuje, že rekapitalizace akcionářů a věřitelů z vnitřních zdrojů musí zůstat hlavním zdrojem financování pro řešení problémů předtím, než budou využity zdroje financované příslušným odvětvím;</w:t>
      </w:r>
    </w:p>
    <w:p w:rsidR="006C281F" w:rsidRPr="00DC7F57" w:rsidRDefault="006C281F" w:rsidP="006C281F">
      <w:pPr>
        <w:pStyle w:val="NormalHanging12a"/>
      </w:pPr>
      <w:r w:rsidRPr="00DC7F57">
        <w:t>3</w:t>
      </w:r>
      <w:r w:rsidR="0030305E">
        <w:t>4</w:t>
      </w:r>
      <w:r w:rsidRPr="00DC7F57">
        <w:t>.</w:t>
      </w:r>
      <w:r w:rsidRPr="00DC7F57">
        <w:tab/>
        <w:t>připomíná, že dostatečný minimální požadavek na kapitál a způsobilé závazky (MREL) má zásadní význam pro důvěryhodný rámec pro řešení krizí a pro zajištění toho, aby orgány příslušné k řešení krize měly dostatečnou flexibilitu k účinnému uplatňování strategií řešení problémů, jež jsou potřebné v konkrétní krizové situaci; zdůrazňuje, že tento minimální požadavek by měl být dostatečný k účinnému provedení jakékoli strategie řešení krize obsažené v plánu řešení krize banky; připomíná, že rámec pro řešení krizí by měl zabránit nepřiměřenému zvýšení kalibrace MREL a nepřiměřeným příspěvkům do Jednotného fondu pro řešení krizí;</w:t>
      </w:r>
    </w:p>
    <w:p w:rsidR="006C281F" w:rsidRPr="00DC7F57" w:rsidRDefault="006C281F" w:rsidP="006C281F">
      <w:pPr>
        <w:pStyle w:val="NormalHanging12a"/>
      </w:pPr>
      <w:r w:rsidRPr="00DC7F57">
        <w:lastRenderedPageBreak/>
        <w:t>3</w:t>
      </w:r>
      <w:r w:rsidR="0030305E">
        <w:t>5</w:t>
      </w:r>
      <w:r w:rsidRPr="00DC7F57">
        <w:t>.</w:t>
      </w:r>
      <w:r w:rsidRPr="00DC7F57">
        <w:tab/>
        <w:t>zdůrazňuje, že pokud jsou způsobilé závazky banky vydány investorům mimo EU, měly by být odpis nebo konverze těchto závazků s plnou jistotou vymahatelné, aby bylo zajištěno účinné uplatňování nástrojů k řešení krizí;</w:t>
      </w:r>
    </w:p>
    <w:p w:rsidR="006C281F" w:rsidRPr="00DC7F57" w:rsidRDefault="006C281F" w:rsidP="006C281F">
      <w:pPr>
        <w:pStyle w:val="NormalHanging12a"/>
      </w:pPr>
      <w:r w:rsidRPr="00DC7F57">
        <w:t>3</w:t>
      </w:r>
      <w:r w:rsidR="0030305E">
        <w:t>6</w:t>
      </w:r>
      <w:r w:rsidRPr="00DC7F57">
        <w:t>.</w:t>
      </w:r>
      <w:r w:rsidRPr="00DC7F57">
        <w:tab/>
        <w:t>konstatuje, že je třeba se při řešení problémů bank, a to i za účelem podpory likvidity, vyhýbat jakékoli závislosti na penězích daňových poplatníků, a současně respektovat fiskální a sociální odpovědnost a tržní disciplínu;</w:t>
      </w:r>
    </w:p>
    <w:p w:rsidR="006C281F" w:rsidRPr="00DC7F57" w:rsidRDefault="006C281F" w:rsidP="006C281F">
      <w:pPr>
        <w:pStyle w:val="NormalHanging12a"/>
      </w:pPr>
      <w:r w:rsidRPr="00DC7F57">
        <w:t>3</w:t>
      </w:r>
      <w:r w:rsidR="0030305E">
        <w:t>7</w:t>
      </w:r>
      <w:r w:rsidRPr="00DC7F57">
        <w:t>.</w:t>
      </w:r>
      <w:r w:rsidRPr="00DC7F57">
        <w:tab/>
        <w:t>připomíná, že banky musí i po provedení rozhodnutí o řešení krize nadále plnit své závazky a klíčové funkce;</w:t>
      </w:r>
    </w:p>
    <w:p w:rsidR="006C281F" w:rsidRPr="00DC7F57" w:rsidRDefault="006C281F" w:rsidP="006C281F">
      <w:pPr>
        <w:pStyle w:val="NormalHanging12a"/>
      </w:pPr>
      <w:r w:rsidRPr="00DC7F57">
        <w:t>3</w:t>
      </w:r>
      <w:r w:rsidR="0030305E">
        <w:t>8</w:t>
      </w:r>
      <w:r w:rsidRPr="00DC7F57">
        <w:t>.</w:t>
      </w:r>
      <w:r w:rsidRPr="00DC7F57">
        <w:tab/>
        <w:t>připomíná, že je důležité vyjasnit úlohu ECB jako poskytovatele likvidity při řešení krize, přičemž je třeba věnovat náležitou pozornost vhodným zárukám a mandátu ECB;</w:t>
      </w:r>
    </w:p>
    <w:p w:rsidR="006C281F" w:rsidRPr="00DC7F57" w:rsidRDefault="006C281F" w:rsidP="006C281F">
      <w:pPr>
        <w:pStyle w:val="NormalHanging12a"/>
      </w:pPr>
      <w:r w:rsidRPr="00DC7F57">
        <w:t>3</w:t>
      </w:r>
      <w:r w:rsidR="0030305E">
        <w:t>9</w:t>
      </w:r>
      <w:r w:rsidRPr="00DC7F57">
        <w:t>.</w:t>
      </w:r>
      <w:r w:rsidRPr="00DC7F57">
        <w:tab/>
        <w:t>zdůrazňuje, že výbor SRB oznámil, že posílí své schopnosti zahájit donucovací opatření k odstranění podstatných překážek řešitelnosti krize; vyzývá k tomu, aby byl na konci každého cyklu plánování řešení krizí zveřejněn anonymizovaný seznam zjištěných překážek způsobilosti k řešení krizí a opatření přijatých k jejich odstranění;</w:t>
      </w:r>
    </w:p>
    <w:p w:rsidR="006C281F" w:rsidRPr="00DC7F57" w:rsidRDefault="0030305E" w:rsidP="006C281F">
      <w:pPr>
        <w:pStyle w:val="NormalHanging12a"/>
      </w:pPr>
      <w:r>
        <w:t>40</w:t>
      </w:r>
      <w:r w:rsidR="006C281F" w:rsidRPr="00DC7F57">
        <w:t>.</w:t>
      </w:r>
      <w:r w:rsidR="006C281F" w:rsidRPr="00DC7F57">
        <w:tab/>
        <w:t>vítá strategický přezkum „Vize 2028 pro jednotný mechanismus pro řešení krizí“, který výbor SRB zahájil s cílem stanovit své dlouhodobé cíle, řešit nové výzvy a dále posílit spolupráci s vnitrostátními orgány příslušnými k řešení krize a dalšími zúčastněnými stranami; bere na vědomí zejména záměr výboru SRB identifikovat oblasti, v nichž lze udržitelnost dále začlenit do jeho každodenních činností a hlavní obchodní činnosti; zdůrazňuje, že při provádění nové strategie je třeba zajistit účinnost a nákladovou efektivitu;</w:t>
      </w:r>
    </w:p>
    <w:p w:rsidR="006C281F" w:rsidRPr="00DC7F57" w:rsidRDefault="006C281F" w:rsidP="006C281F">
      <w:pPr>
        <w:pStyle w:val="NormalHanging12a"/>
      </w:pPr>
      <w:r w:rsidRPr="00DC7F57">
        <w:t>4</w:t>
      </w:r>
      <w:r w:rsidR="0030305E">
        <w:t>1</w:t>
      </w:r>
      <w:r w:rsidRPr="00DC7F57">
        <w:t>.</w:t>
      </w:r>
      <w:r w:rsidRPr="00DC7F57">
        <w:tab/>
        <w:t>vítá plán výboru SRB racionalizovat roční cyklus plánování řešení krizí, aby se zajistilo, že bude stále účinnější a bude více zaměřen na testování způsobilosti bank k řešení krize a zprovoznění strategií řešení krizí;</w:t>
      </w:r>
    </w:p>
    <w:p w:rsidR="006C281F" w:rsidRPr="00DC7F57" w:rsidRDefault="006C281F" w:rsidP="006C281F">
      <w:pPr>
        <w:pStyle w:val="NormalHanging12a"/>
      </w:pPr>
      <w:r w:rsidRPr="00DC7F57">
        <w:t>4</w:t>
      </w:r>
      <w:r w:rsidR="0030305E">
        <w:t>2</w:t>
      </w:r>
      <w:r w:rsidRPr="00DC7F57">
        <w:t>.</w:t>
      </w:r>
      <w:r w:rsidRPr="00DC7F57">
        <w:tab/>
        <w:t>vítá skutečnost, že byl nyní vytvořen Jednotný fond pro řešení krizí; vyzývá k úplné ratifikaci dohody o změně smlouvy o zřízení evropského mechanismu stability všemi členskými státy, včetně zřízení společného fiskálního jištění pro Jednotný fond pro řešení krizí;</w:t>
      </w:r>
    </w:p>
    <w:p w:rsidR="006C281F" w:rsidRPr="00DC7F57" w:rsidRDefault="006C281F" w:rsidP="006C281F">
      <w:pPr>
        <w:pStyle w:val="NormalHanging12a"/>
      </w:pPr>
      <w:r w:rsidRPr="00DC7F57">
        <w:t>4</w:t>
      </w:r>
      <w:r w:rsidR="0030305E">
        <w:t>3</w:t>
      </w:r>
      <w:r w:rsidRPr="00DC7F57">
        <w:t>.</w:t>
      </w:r>
      <w:r w:rsidRPr="00DC7F57">
        <w:tab/>
        <w:t>zdůrazňuje, že je třeba vyvinout další úsilí k zajištění plné způsobilosti k řešení krize pro všechny banky spadající do oblasti působnosti řešení krize; připomíná, že dosažení způsobilosti k řešení krize nelze považovat za „pohyblivý cíl“, a vyzývá proto k větší standardizaci a harmonizaci posuzování způsobilosti k řešení krize; připomíná však důležitou úlohu, kterou při posuzování způsobilosti k řešení krize hrají vnitrostátní orgány příslušné k řešení krize;</w:t>
      </w:r>
    </w:p>
    <w:p w:rsidR="006C281F" w:rsidRPr="00DC7F57" w:rsidRDefault="006C281F" w:rsidP="006C281F">
      <w:pPr>
        <w:pStyle w:val="Normal12a24b"/>
        <w:jc w:val="both"/>
      </w:pPr>
      <w:r w:rsidRPr="00DC7F57">
        <w:rPr>
          <w:rStyle w:val="BoldItalic"/>
        </w:rPr>
        <w:t>Pojištění vkladů</w:t>
      </w:r>
    </w:p>
    <w:p w:rsidR="006C281F" w:rsidRPr="00DC7F57" w:rsidRDefault="006C281F" w:rsidP="006C281F">
      <w:pPr>
        <w:pStyle w:val="NormalHanging12a"/>
      </w:pPr>
      <w:r w:rsidRPr="00DC7F57">
        <w:t>4</w:t>
      </w:r>
      <w:r w:rsidR="0030305E">
        <w:t>4</w:t>
      </w:r>
      <w:r w:rsidRPr="00DC7F57">
        <w:t>.</w:t>
      </w:r>
      <w:r w:rsidRPr="00DC7F57">
        <w:tab/>
        <w:t>zdůrazňuje skutečnost, že návrh Komise na zřízení evropského systému pojištění vkladů byl zveřejněn již v roce 2015 a že se situace od té doby výrazně změnila;</w:t>
      </w:r>
    </w:p>
    <w:p w:rsidR="006C281F" w:rsidRPr="00DC7F57" w:rsidRDefault="006C281F" w:rsidP="006C281F">
      <w:pPr>
        <w:pStyle w:val="NormalHanging12a"/>
      </w:pPr>
      <w:r w:rsidRPr="00DC7F57">
        <w:t>4</w:t>
      </w:r>
      <w:r w:rsidR="0030305E">
        <w:t>5</w:t>
      </w:r>
      <w:r w:rsidRPr="00DC7F57">
        <w:t>.</w:t>
      </w:r>
      <w:r w:rsidRPr="00DC7F57">
        <w:tab/>
        <w:t xml:space="preserve">připomíná, že v dubnu 2024 byl přijat postoj Hospodářského a měnového výboru k evropskému systému pojištění vkladů; konstatuje, že tento postoj se odchyluje od </w:t>
      </w:r>
      <w:r w:rsidRPr="00DC7F57">
        <w:lastRenderedPageBreak/>
        <w:t>návrhu Komise z roku 2015 a zaujímá nový přístup; vyčkává na jednání o evropském systému pojištění vkladů a vybízí Radu, aby v těchto jednáních pokročila;</w:t>
      </w:r>
    </w:p>
    <w:p w:rsidR="006C281F" w:rsidRPr="00DC7F57" w:rsidRDefault="006C281F" w:rsidP="006C281F">
      <w:pPr>
        <w:pStyle w:val="NormalHanging12a"/>
      </w:pPr>
      <w:r w:rsidRPr="00DC7F57">
        <w:t>4</w:t>
      </w:r>
      <w:r w:rsidR="0030305E">
        <w:t>6</w:t>
      </w:r>
      <w:r w:rsidRPr="00DC7F57">
        <w:t>.</w:t>
      </w:r>
      <w:r w:rsidRPr="00DC7F57">
        <w:tab/>
        <w:t>konstatuje, že byly úspěšně zavedeny vnitrostátní systémy pojištění vkladů a v řadě případů prokázaly svou funkčnost; zdůrazňuje, že je třeba zohlednit některé zvláštní vnitrostátní charakteristiky a zachovat dobře fungující systémy pro menší banky, které již v některých členských státech existují, jako jsou institucionální systémy ochrany, a to tak, aby byly zajištěny rovné podmínky napříč bankovní unií;</w:t>
      </w:r>
    </w:p>
    <w:p w:rsidR="006C281F" w:rsidRPr="00DC7F57" w:rsidRDefault="006C281F" w:rsidP="006C281F">
      <w:pPr>
        <w:pStyle w:val="NormalCenter12a"/>
      </w:pPr>
      <w:r w:rsidRPr="00DC7F57">
        <w:t>°</w:t>
      </w:r>
    </w:p>
    <w:p w:rsidR="006C281F" w:rsidRPr="00DC7F57" w:rsidRDefault="006C281F" w:rsidP="006C281F">
      <w:pPr>
        <w:pStyle w:val="NormalCenter12a"/>
      </w:pPr>
      <w:r w:rsidRPr="00DC7F57">
        <w:t>°</w:t>
      </w:r>
      <w:r w:rsidRPr="00DC7F57">
        <w:tab/>
        <w:t>°</w:t>
      </w:r>
    </w:p>
    <w:p w:rsidR="00DC7F57" w:rsidRPr="00DC7F57" w:rsidRDefault="006C281F" w:rsidP="00DC7F57">
      <w:pPr>
        <w:pStyle w:val="NormalHanging12a"/>
      </w:pPr>
      <w:r w:rsidRPr="00DC7F57">
        <w:t>4</w:t>
      </w:r>
      <w:r w:rsidR="0030305E">
        <w:t>7</w:t>
      </w:r>
      <w:r w:rsidRPr="00DC7F57">
        <w:t>.</w:t>
      </w:r>
      <w:r w:rsidRPr="00DC7F57">
        <w:tab/>
        <w:t>pověřuje svou předsedkyni, aby předala toto usnesení Radě, Komisi, Evropské centrální bance, Jednotnému výboru pro řešení krizí a Evropskému orgánu pro bankovnictví.</w:t>
      </w:r>
    </w:p>
    <w:p w:rsidR="00E365E1" w:rsidRPr="00DC7F57" w:rsidRDefault="00E365E1" w:rsidP="00180FDA"/>
    <w:sectPr w:rsidR="00E365E1" w:rsidRPr="00DC7F57" w:rsidSect="00DC7F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FDA" w:rsidRPr="00DC7F57" w:rsidRDefault="00180FDA">
      <w:r w:rsidRPr="00DC7F57">
        <w:separator/>
      </w:r>
    </w:p>
  </w:endnote>
  <w:endnote w:type="continuationSeparator" w:id="0">
    <w:p w:rsidR="00180FDA" w:rsidRPr="00DC7F57" w:rsidRDefault="00180FDA">
      <w:r w:rsidRPr="00DC7F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7F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7F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7F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FDA" w:rsidRPr="00DC7F57" w:rsidRDefault="00180FDA">
      <w:r w:rsidRPr="00DC7F57">
        <w:separator/>
      </w:r>
    </w:p>
  </w:footnote>
  <w:footnote w:type="continuationSeparator" w:id="0">
    <w:p w:rsidR="00180FDA" w:rsidRPr="00DC7F57" w:rsidRDefault="00180FDA">
      <w:r w:rsidRPr="00DC7F57">
        <w:continuationSeparator/>
      </w:r>
    </w:p>
  </w:footnote>
  <w:footnote w:id="1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proofErr w:type="spellStart"/>
      <w:r w:rsidRPr="00DC7F57">
        <w:rPr>
          <w:sz w:val="24"/>
          <w:lang w:val="cs-CZ"/>
        </w:rPr>
        <w:t>Úř</w:t>
      </w:r>
      <w:proofErr w:type="spellEnd"/>
      <w:r w:rsidRPr="00DC7F57">
        <w:rPr>
          <w:sz w:val="24"/>
          <w:lang w:val="cs-CZ"/>
        </w:rPr>
        <w:t xml:space="preserve">. </w:t>
      </w:r>
      <w:proofErr w:type="spellStart"/>
      <w:proofErr w:type="gramStart"/>
      <w:r w:rsidRPr="00DC7F57">
        <w:rPr>
          <w:sz w:val="24"/>
          <w:lang w:val="cs-CZ"/>
        </w:rPr>
        <w:t>věst</w:t>
      </w:r>
      <w:proofErr w:type="spellEnd"/>
      <w:proofErr w:type="gramEnd"/>
      <w:r w:rsidRPr="00DC7F57">
        <w:rPr>
          <w:sz w:val="24"/>
          <w:lang w:val="cs-CZ"/>
        </w:rPr>
        <w:t xml:space="preserve">. C, C/2024/5706, </w:t>
      </w:r>
      <w:proofErr w:type="gramStart"/>
      <w:r w:rsidRPr="00DC7F57">
        <w:rPr>
          <w:sz w:val="24"/>
          <w:lang w:val="cs-CZ"/>
        </w:rPr>
        <w:t>17.10.2024</w:t>
      </w:r>
      <w:proofErr w:type="gramEnd"/>
      <w:r w:rsidRPr="00DC7F57">
        <w:rPr>
          <w:sz w:val="24"/>
          <w:lang w:val="cs-CZ"/>
        </w:rPr>
        <w:t xml:space="preserve">, ELI: </w:t>
      </w:r>
      <w:hyperlink r:id="rId1" w:history="1">
        <w:r w:rsidR="00DC4C4A" w:rsidRPr="00DC4C4A">
          <w:rPr>
            <w:rStyle w:val="Hyperlink"/>
            <w:sz w:val="24"/>
            <w:lang w:val="cs-CZ"/>
          </w:rPr>
          <w:t>http://data.europa.eu/eli/C/2024/5706/oj</w:t>
        </w:r>
      </w:hyperlink>
      <w:r w:rsidR="00DC4C4A" w:rsidRPr="00DC4C4A">
        <w:rPr>
          <w:sz w:val="24"/>
          <w:lang w:val="cs-CZ"/>
        </w:rPr>
        <w:t>.</w:t>
      </w:r>
    </w:p>
  </w:footnote>
  <w:footnote w:id="2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hyperlink r:id="rId2" w:history="1">
        <w:r w:rsidR="00FF0D7D" w:rsidRPr="00FF0D7D">
          <w:rPr>
            <w:sz w:val="24"/>
            <w:lang w:val="cs-CZ"/>
          </w:rPr>
          <w:t>Směrnice Evropského parlamentu a Rady (EU) 2024/1640 ze dne 31. května 2024 o mechanismech, které mají členské státy zavést za účelem předcházení využívání finančního systému k praní peněz nebo financování terorismu, o změně směrnice (EU) 2019/1937 a o změně a zrušení směrnice (EU) 2015/849</w:t>
        </w:r>
        <w:r w:rsidRPr="00DC4C4A">
          <w:rPr>
            <w:sz w:val="24"/>
            <w:lang w:val="cs-CZ"/>
          </w:rPr>
          <w:t xml:space="preserve"> (Úř. věst. L 1640, 19.6.2024, ELI:</w:t>
        </w:r>
      </w:hyperlink>
      <w:r w:rsidR="00DC4C4A">
        <w:rPr>
          <w:color w:val="0000FF"/>
          <w:sz w:val="24"/>
          <w:u w:val="single" w:color="0000FF"/>
          <w:lang w:val="cs-CZ"/>
        </w:rPr>
        <w:t xml:space="preserve"> </w:t>
      </w:r>
      <w:hyperlink r:id="rId3" w:history="1">
        <w:r w:rsidR="00DC4C4A" w:rsidRPr="00744D6F">
          <w:rPr>
            <w:rStyle w:val="Hyperlink"/>
            <w:sz w:val="24"/>
            <w:lang w:val="en-GB"/>
          </w:rPr>
          <w:t>http://data.europa.eu/eli/dir/2024/1640/oj</w:t>
        </w:r>
      </w:hyperlink>
      <w:r w:rsidR="00DC4C4A" w:rsidRPr="00744D6F">
        <w:rPr>
          <w:color w:val="000000" w:themeColor="text1"/>
          <w:sz w:val="24"/>
          <w:lang w:val="en-GB"/>
        </w:rPr>
        <w:t>).</w:t>
      </w:r>
      <w:r w:rsidR="00FF0D7D">
        <w:rPr>
          <w:color w:val="000000" w:themeColor="text1"/>
          <w:sz w:val="24"/>
          <w:lang w:val="en-GB"/>
        </w:rPr>
        <w:t xml:space="preserve"> </w:t>
      </w:r>
    </w:p>
  </w:footnote>
  <w:footnote w:id="3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r w:rsidR="00FF0D7D" w:rsidRPr="00FF0D7D">
        <w:rPr>
          <w:sz w:val="24"/>
          <w:lang w:val="cs-CZ"/>
        </w:rPr>
        <w:t>Nařízení Evropského parlamentu a Rady (EU) 2024/1624 ze dne 31. května 2024 o předcházení využívání finančního systému k praní peněz nebo financování terorism</w:t>
      </w:r>
      <w:r w:rsidR="00FF0D7D">
        <w:rPr>
          <w:sz w:val="24"/>
          <w:lang w:val="cs-CZ"/>
        </w:rPr>
        <w:t>u</w:t>
      </w:r>
      <w:r w:rsidRPr="00DC7F57">
        <w:rPr>
          <w:sz w:val="24"/>
          <w:lang w:val="cs-CZ"/>
        </w:rPr>
        <w:t xml:space="preserve"> (</w:t>
      </w:r>
      <w:proofErr w:type="spellStart"/>
      <w:r w:rsidRPr="00DC7F57">
        <w:rPr>
          <w:sz w:val="24"/>
          <w:lang w:val="cs-CZ"/>
        </w:rPr>
        <w:t>Úř</w:t>
      </w:r>
      <w:proofErr w:type="spellEnd"/>
      <w:r w:rsidRPr="00DC7F57">
        <w:rPr>
          <w:sz w:val="24"/>
          <w:lang w:val="cs-CZ"/>
        </w:rPr>
        <w:t>. </w:t>
      </w:r>
      <w:proofErr w:type="spellStart"/>
      <w:proofErr w:type="gramStart"/>
      <w:r w:rsidRPr="00DC7F57">
        <w:rPr>
          <w:sz w:val="24"/>
          <w:lang w:val="cs-CZ"/>
        </w:rPr>
        <w:t>věst</w:t>
      </w:r>
      <w:proofErr w:type="spellEnd"/>
      <w:proofErr w:type="gramEnd"/>
      <w:r w:rsidRPr="00DC7F57">
        <w:rPr>
          <w:sz w:val="24"/>
          <w:lang w:val="cs-CZ"/>
        </w:rPr>
        <w:t xml:space="preserve">. L 1624, </w:t>
      </w:r>
      <w:proofErr w:type="gramStart"/>
      <w:r w:rsidRPr="00DC7F57">
        <w:rPr>
          <w:sz w:val="24"/>
          <w:lang w:val="cs-CZ"/>
        </w:rPr>
        <w:t>19.6.2024</w:t>
      </w:r>
      <w:proofErr w:type="gramEnd"/>
      <w:r w:rsidRPr="00DC7F57">
        <w:rPr>
          <w:sz w:val="24"/>
          <w:lang w:val="cs-CZ"/>
        </w:rPr>
        <w:t>, ELI:</w:t>
      </w:r>
      <w:r w:rsidR="00DC4C4A">
        <w:rPr>
          <w:sz w:val="24"/>
          <w:lang w:val="cs-CZ"/>
        </w:rPr>
        <w:t xml:space="preserve"> </w:t>
      </w:r>
      <w:hyperlink r:id="rId4" w:history="1">
        <w:r w:rsidR="00DC4C4A" w:rsidRPr="0030305E">
          <w:rPr>
            <w:rStyle w:val="Hyperlink"/>
            <w:sz w:val="24"/>
            <w:lang w:val="fi-FI"/>
          </w:rPr>
          <w:t>http://data.europa.eu/eli/reg/2024/1624/oj</w:t>
        </w:r>
      </w:hyperlink>
      <w:r w:rsidR="00DC4C4A" w:rsidRPr="0030305E">
        <w:rPr>
          <w:sz w:val="24"/>
          <w:lang w:val="fi-FI"/>
        </w:rPr>
        <w:t>).</w:t>
      </w:r>
    </w:p>
  </w:footnote>
  <w:footnote w:id="4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hyperlink r:id="rId5" w:history="1">
        <w:r w:rsidR="00FF0D7D" w:rsidRPr="00FF0D7D">
          <w:rPr>
            <w:sz w:val="24"/>
            <w:lang w:val="cs-CZ"/>
          </w:rPr>
          <w:t>Nařízení Evropského parlamentu a Rady (EU) 2024/1620 ze dne 31. května 2024, kterým se zřizuje Orgán pro boj proti praní peněz a financování terorismu a mění nařízení (EU) č. 1093/2010, (EU) č. 1094/2010 a (EU) č. 1095/2010</w:t>
        </w:r>
        <w:r w:rsidRPr="00B14279">
          <w:rPr>
            <w:sz w:val="24"/>
            <w:lang w:val="cs-CZ"/>
          </w:rPr>
          <w:t xml:space="preserve"> (Úř. věst. L 1620, 19.6.2024, ELI:</w:t>
        </w:r>
      </w:hyperlink>
      <w:r w:rsidR="00DC4C4A">
        <w:rPr>
          <w:color w:val="0000FF"/>
          <w:sz w:val="24"/>
          <w:u w:val="single" w:color="0000FF"/>
          <w:lang w:val="cs-CZ"/>
        </w:rPr>
        <w:t xml:space="preserve"> </w:t>
      </w:r>
      <w:hyperlink r:id="rId6" w:history="1">
        <w:r w:rsidR="00DC4C4A" w:rsidRPr="0030305E">
          <w:rPr>
            <w:rStyle w:val="Hyperlink"/>
            <w:sz w:val="24"/>
            <w:u w:color="0000FF"/>
            <w:lang w:val="pt-PT"/>
          </w:rPr>
          <w:t>http://data.europa.eu/eli/reg/2024/1620/oj</w:t>
        </w:r>
      </w:hyperlink>
      <w:r w:rsidR="00DC4C4A" w:rsidRPr="0030305E">
        <w:rPr>
          <w:color w:val="000000" w:themeColor="text1"/>
          <w:sz w:val="24"/>
          <w:u w:color="0000FF"/>
          <w:lang w:val="pt-PT"/>
        </w:rPr>
        <w:t>).</w:t>
      </w:r>
    </w:p>
  </w:footnote>
  <w:footnote w:id="5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hyperlink r:id="rId7" w:history="1">
        <w:r w:rsidRPr="00DC7F57">
          <w:rPr>
            <w:sz w:val="24"/>
            <w:lang w:val="cs-CZ"/>
          </w:rPr>
          <w:t>Směrnice Evropského parlamentu a Rady (EU) 2024/1619 ze dne 31. května 2024, kterou se mění směrnice 2013/36/EU, pokud jde o pravomoci dohledu, sankce, pobočky ze třetích zemí a environment</w:t>
        </w:r>
        <w:r w:rsidR="00B14279">
          <w:rPr>
            <w:sz w:val="24"/>
            <w:lang w:val="cs-CZ"/>
          </w:rPr>
          <w:t>ální, sociální a správní rizika</w:t>
        </w:r>
        <w:r w:rsidRPr="00DC7F57">
          <w:rPr>
            <w:sz w:val="24"/>
            <w:lang w:val="cs-CZ"/>
          </w:rPr>
          <w:t xml:space="preserve"> (Úř. věst. L, 2024/1619, 19.6.2024,</w:t>
        </w:r>
        <w:r w:rsidRPr="00B14279">
          <w:rPr>
            <w:sz w:val="24"/>
            <w:lang w:val="cs-CZ"/>
          </w:rPr>
          <w:t xml:space="preserve"> ELI:</w:t>
        </w:r>
      </w:hyperlink>
      <w:hyperlink r:id="rId8" w:history="1">
        <w:r w:rsidRPr="00DC7F57">
          <w:rPr>
            <w:color w:val="0000FF"/>
            <w:sz w:val="24"/>
            <w:u w:val="single" w:color="0000FF"/>
            <w:lang w:val="cs-CZ"/>
          </w:rPr>
          <w:t> http://data.europa.eu/eli/dir/2024/1619/oj).</w:t>
        </w:r>
      </w:hyperlink>
    </w:p>
  </w:footnote>
  <w:footnote w:id="6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hyperlink r:id="rId9" w:history="1">
        <w:r w:rsidRPr="00B14279">
          <w:rPr>
            <w:sz w:val="24"/>
            <w:lang w:val="cs-CZ"/>
          </w:rPr>
          <w:t>Nařízení Evropského parlamentu a Rady (EU) 2024/1623 ze dne 31. května 2024, kterým se mění nařízení (EU) č. 575/2013, pokud jde o požadavky týkající se úvěrového rizika, rizika úvěrové úpravy v ocenění, operačního rizika, tržního rizika a minimální výstupní prahy (Úř. věst. L, 2024/1623, 19.6.2024, ELI:</w:t>
        </w:r>
      </w:hyperlink>
      <w:hyperlink r:id="rId10" w:history="1">
        <w:r w:rsidRPr="00DC7F57">
          <w:rPr>
            <w:color w:val="0000FF"/>
            <w:sz w:val="24"/>
            <w:u w:val="single" w:color="0000FF"/>
            <w:lang w:val="cs-CZ"/>
          </w:rPr>
          <w:t xml:space="preserve"> http://data.europa.eu/eli/reg/2024/1623/oj).</w:t>
        </w:r>
      </w:hyperlink>
    </w:p>
  </w:footnote>
  <w:footnote w:id="7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bookmarkStart w:id="7" w:name="_GoBack"/>
      <w:bookmarkEnd w:id="7"/>
      <w:r w:rsidR="000A0C9A">
        <w:rPr>
          <w:sz w:val="24"/>
          <w:lang w:val="cs-CZ"/>
        </w:rPr>
        <w:fldChar w:fldCharType="begin"/>
      </w:r>
      <w:r w:rsidR="000A0C9A">
        <w:rPr>
          <w:sz w:val="24"/>
          <w:lang w:val="cs-CZ"/>
        </w:rPr>
        <w:instrText xml:space="preserve"> HYPERLINK "</w:instrText>
      </w:r>
      <w:r w:rsidR="000A0C9A" w:rsidRPr="000A0C9A">
        <w:rPr>
          <w:sz w:val="24"/>
          <w:lang w:val="cs-CZ"/>
        </w:rPr>
        <w:instrText>Úř. věst. L, 2024/2795, 31.10.2024, ELI</w:instrText>
      </w:r>
      <w:r w:rsidR="000A0C9A" w:rsidRPr="000A0C9A">
        <w:rPr>
          <w:sz w:val="24"/>
          <w:u w:color="0000FF"/>
          <w:lang w:val="cs-CZ"/>
        </w:rPr>
        <w:instrText>:</w:instrText>
      </w:r>
      <w:r w:rsidR="000A0C9A">
        <w:rPr>
          <w:sz w:val="24"/>
          <w:lang w:val="cs-CZ"/>
        </w:rPr>
        <w:instrText xml:space="preserve">" </w:instrText>
      </w:r>
      <w:r w:rsidR="000A0C9A">
        <w:rPr>
          <w:sz w:val="24"/>
          <w:lang w:val="cs-CZ"/>
        </w:rPr>
        <w:fldChar w:fldCharType="separate"/>
      </w:r>
      <w:r w:rsidR="000A0C9A" w:rsidRPr="00C81E07">
        <w:rPr>
          <w:rStyle w:val="Hyperlink"/>
          <w:sz w:val="24"/>
          <w:lang w:val="cs-CZ"/>
        </w:rPr>
        <w:t>Úř. věst. L, 2024/2795, 31.10.2024, ELI</w:t>
      </w:r>
      <w:r w:rsidR="000A0C9A" w:rsidRPr="00C81E07">
        <w:rPr>
          <w:rStyle w:val="Hyperlink"/>
          <w:sz w:val="24"/>
          <w:u w:color="0000FF"/>
          <w:lang w:val="cs-CZ"/>
        </w:rPr>
        <w:t>:</w:t>
      </w:r>
      <w:r w:rsidR="000A0C9A">
        <w:rPr>
          <w:sz w:val="24"/>
          <w:lang w:val="cs-CZ"/>
        </w:rPr>
        <w:fldChar w:fldCharType="end"/>
      </w:r>
      <w:hyperlink r:id="rId11" w:history="1">
        <w:r w:rsidRPr="00DC7F57">
          <w:rPr>
            <w:color w:val="0000FF"/>
            <w:sz w:val="24"/>
            <w:u w:val="single" w:color="0000FF"/>
            <w:lang w:val="cs-CZ"/>
          </w:rPr>
          <w:t xml:space="preserve"> http://data.europa.eu/eli/reg_del/2024/2795/oj.</w:t>
        </w:r>
      </w:hyperlink>
    </w:p>
  </w:footnote>
  <w:footnote w:id="8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r w:rsidRPr="00DC7F57">
        <w:rPr>
          <w:sz w:val="24"/>
          <w:lang w:val="cs-CZ"/>
        </w:rPr>
        <w:t>Přijaté texty, P9_TA(2024)0326.</w:t>
      </w:r>
    </w:p>
  </w:footnote>
  <w:footnote w:id="9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r w:rsidRPr="00DC7F57">
        <w:rPr>
          <w:sz w:val="24"/>
          <w:lang w:val="cs-CZ"/>
        </w:rPr>
        <w:t>Přijaté texty, P9_TA(2024)0327.</w:t>
      </w:r>
    </w:p>
  </w:footnote>
  <w:footnote w:id="10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r w:rsidRPr="00DC7F57">
        <w:rPr>
          <w:sz w:val="24"/>
          <w:lang w:val="cs-CZ"/>
        </w:rPr>
        <w:t>Přijaté texty, P9_TA(2024)0328.</w:t>
      </w:r>
    </w:p>
  </w:footnote>
  <w:footnote w:id="11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proofErr w:type="spellStart"/>
      <w:r w:rsidRPr="00DC7F57">
        <w:rPr>
          <w:sz w:val="24"/>
          <w:lang w:val="cs-CZ"/>
        </w:rPr>
        <w:t>Véron</w:t>
      </w:r>
      <w:proofErr w:type="spellEnd"/>
      <w:r w:rsidRPr="00DC7F57">
        <w:rPr>
          <w:sz w:val="24"/>
          <w:lang w:val="cs-CZ"/>
        </w:rPr>
        <w:t>, N., ‘</w:t>
      </w:r>
      <w:proofErr w:type="spellStart"/>
      <w:r w:rsidRPr="00DC7F57">
        <w:rPr>
          <w:sz w:val="24"/>
          <w:lang w:val="cs-CZ"/>
        </w:rPr>
        <w:t>Europe’s</w:t>
      </w:r>
      <w:proofErr w:type="spellEnd"/>
      <w:r w:rsidRPr="00DC7F57">
        <w:rPr>
          <w:sz w:val="24"/>
          <w:lang w:val="cs-CZ"/>
        </w:rPr>
        <w:t xml:space="preserve"> </w:t>
      </w:r>
      <w:proofErr w:type="spellStart"/>
      <w:r w:rsidRPr="00DC7F57">
        <w:rPr>
          <w:sz w:val="24"/>
          <w:lang w:val="cs-CZ"/>
        </w:rPr>
        <w:t>banking</w:t>
      </w:r>
      <w:proofErr w:type="spellEnd"/>
      <w:r w:rsidRPr="00DC7F57">
        <w:rPr>
          <w:sz w:val="24"/>
          <w:lang w:val="cs-CZ"/>
        </w:rPr>
        <w:t xml:space="preserve"> union </w:t>
      </w:r>
      <w:proofErr w:type="spellStart"/>
      <w:r w:rsidRPr="00DC7F57">
        <w:rPr>
          <w:sz w:val="24"/>
          <w:lang w:val="cs-CZ"/>
        </w:rPr>
        <w:t>at</w:t>
      </w:r>
      <w:proofErr w:type="spellEnd"/>
      <w:r w:rsidRPr="00DC7F57">
        <w:rPr>
          <w:sz w:val="24"/>
          <w:lang w:val="cs-CZ"/>
        </w:rPr>
        <w:t xml:space="preserve"> ten: </w:t>
      </w:r>
      <w:proofErr w:type="spellStart"/>
      <w:r w:rsidRPr="00DC7F57">
        <w:rPr>
          <w:sz w:val="24"/>
          <w:lang w:val="cs-CZ"/>
        </w:rPr>
        <w:t>unfinished</w:t>
      </w:r>
      <w:proofErr w:type="spellEnd"/>
      <w:r w:rsidRPr="00DC7F57">
        <w:rPr>
          <w:sz w:val="24"/>
          <w:lang w:val="cs-CZ"/>
        </w:rPr>
        <w:t xml:space="preserve"> </w:t>
      </w:r>
      <w:proofErr w:type="spellStart"/>
      <w:r w:rsidRPr="00DC7F57">
        <w:rPr>
          <w:sz w:val="24"/>
          <w:lang w:val="cs-CZ"/>
        </w:rPr>
        <w:t>yet</w:t>
      </w:r>
      <w:proofErr w:type="spellEnd"/>
      <w:r w:rsidRPr="00DC7F57">
        <w:rPr>
          <w:sz w:val="24"/>
          <w:lang w:val="cs-CZ"/>
        </w:rPr>
        <w:t xml:space="preserve"> </w:t>
      </w:r>
      <w:proofErr w:type="spellStart"/>
      <w:r w:rsidRPr="00DC7F57">
        <w:rPr>
          <w:sz w:val="24"/>
          <w:lang w:val="cs-CZ"/>
        </w:rPr>
        <w:t>transformative</w:t>
      </w:r>
      <w:proofErr w:type="spellEnd"/>
      <w:r w:rsidRPr="00DC7F57">
        <w:rPr>
          <w:sz w:val="24"/>
          <w:lang w:val="cs-CZ"/>
        </w:rPr>
        <w:t xml:space="preserve">’, </w:t>
      </w:r>
      <w:proofErr w:type="spellStart"/>
      <w:r w:rsidRPr="00DC7F57">
        <w:rPr>
          <w:sz w:val="24"/>
          <w:lang w:val="cs-CZ"/>
        </w:rPr>
        <w:t>Peterson</w:t>
      </w:r>
      <w:proofErr w:type="spellEnd"/>
      <w:r w:rsidRPr="00DC7F57">
        <w:rPr>
          <w:sz w:val="24"/>
          <w:lang w:val="cs-CZ"/>
        </w:rPr>
        <w:t xml:space="preserve"> Institute </w:t>
      </w:r>
      <w:proofErr w:type="spellStart"/>
      <w:r w:rsidRPr="00DC7F57">
        <w:rPr>
          <w:sz w:val="24"/>
          <w:lang w:val="cs-CZ"/>
        </w:rPr>
        <w:t>for</w:t>
      </w:r>
      <w:proofErr w:type="spellEnd"/>
      <w:r w:rsidRPr="00DC7F57">
        <w:rPr>
          <w:sz w:val="24"/>
          <w:lang w:val="cs-CZ"/>
        </w:rPr>
        <w:t xml:space="preserve"> International </w:t>
      </w:r>
      <w:proofErr w:type="spellStart"/>
      <w:r w:rsidRPr="00DC7F57">
        <w:rPr>
          <w:sz w:val="24"/>
          <w:lang w:val="cs-CZ"/>
        </w:rPr>
        <w:t>Economics</w:t>
      </w:r>
      <w:proofErr w:type="spellEnd"/>
      <w:r w:rsidRPr="00DC7F57">
        <w:rPr>
          <w:sz w:val="24"/>
          <w:lang w:val="cs-CZ"/>
        </w:rPr>
        <w:t xml:space="preserve"> </w:t>
      </w:r>
      <w:proofErr w:type="spellStart"/>
      <w:r w:rsidRPr="00DC7F57">
        <w:rPr>
          <w:sz w:val="24"/>
          <w:lang w:val="cs-CZ"/>
        </w:rPr>
        <w:t>Working</w:t>
      </w:r>
      <w:proofErr w:type="spellEnd"/>
      <w:r w:rsidRPr="00DC7F57">
        <w:rPr>
          <w:sz w:val="24"/>
          <w:lang w:val="cs-CZ"/>
        </w:rPr>
        <w:t xml:space="preserve"> </w:t>
      </w:r>
      <w:proofErr w:type="spellStart"/>
      <w:r w:rsidRPr="00DC7F57">
        <w:rPr>
          <w:sz w:val="24"/>
          <w:lang w:val="cs-CZ"/>
        </w:rPr>
        <w:t>Paper</w:t>
      </w:r>
      <w:proofErr w:type="spellEnd"/>
      <w:r w:rsidRPr="00DC7F57">
        <w:rPr>
          <w:sz w:val="24"/>
          <w:lang w:val="cs-CZ"/>
        </w:rPr>
        <w:t xml:space="preserve"> č. 24-15, červen 2024.</w:t>
      </w:r>
    </w:p>
  </w:footnote>
  <w:footnote w:id="12">
    <w:p w:rsidR="006C281F" w:rsidRPr="00DC7F57" w:rsidRDefault="006C281F" w:rsidP="00DC7F57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DC7F57">
        <w:rPr>
          <w:rStyle w:val="FootnoteReference"/>
          <w:color w:val="000000" w:themeColor="text1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proofErr w:type="spellStart"/>
      <w:r w:rsidRPr="00DC7F57">
        <w:rPr>
          <w:sz w:val="24"/>
          <w:lang w:val="cs-CZ"/>
        </w:rPr>
        <w:t>Úř</w:t>
      </w:r>
      <w:proofErr w:type="spellEnd"/>
      <w:r w:rsidRPr="00DC7F57">
        <w:rPr>
          <w:sz w:val="24"/>
          <w:lang w:val="cs-CZ"/>
        </w:rPr>
        <w:t xml:space="preserve">. </w:t>
      </w:r>
      <w:proofErr w:type="spellStart"/>
      <w:proofErr w:type="gramStart"/>
      <w:r w:rsidRPr="00DC7F57">
        <w:rPr>
          <w:sz w:val="24"/>
          <w:lang w:val="cs-CZ"/>
        </w:rPr>
        <w:t>věst</w:t>
      </w:r>
      <w:proofErr w:type="spellEnd"/>
      <w:proofErr w:type="gramEnd"/>
      <w:r w:rsidRPr="00DC7F57">
        <w:rPr>
          <w:sz w:val="24"/>
          <w:lang w:val="cs-CZ"/>
        </w:rPr>
        <w:t xml:space="preserve">. C 23, </w:t>
      </w:r>
      <w:proofErr w:type="gramStart"/>
      <w:r w:rsidRPr="00DC7F57">
        <w:rPr>
          <w:sz w:val="24"/>
          <w:lang w:val="cs-CZ"/>
        </w:rPr>
        <w:t>21.1.2021</w:t>
      </w:r>
      <w:proofErr w:type="gramEnd"/>
      <w:r w:rsidRPr="00DC7F57">
        <w:rPr>
          <w:sz w:val="24"/>
          <w:lang w:val="cs-CZ"/>
        </w:rPr>
        <w:t>, s. 105.</w:t>
      </w:r>
    </w:p>
  </w:footnote>
  <w:footnote w:id="13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proofErr w:type="spellStart"/>
      <w:r w:rsidRPr="00DC7F57">
        <w:rPr>
          <w:sz w:val="24"/>
          <w:lang w:val="cs-CZ"/>
        </w:rPr>
        <w:t>Úř</w:t>
      </w:r>
      <w:proofErr w:type="spellEnd"/>
      <w:r w:rsidRPr="00DC7F57">
        <w:rPr>
          <w:sz w:val="24"/>
          <w:lang w:val="cs-CZ"/>
        </w:rPr>
        <w:t xml:space="preserve">. </w:t>
      </w:r>
      <w:proofErr w:type="spellStart"/>
      <w:proofErr w:type="gramStart"/>
      <w:r w:rsidRPr="00DC7F57">
        <w:rPr>
          <w:sz w:val="24"/>
          <w:lang w:val="cs-CZ"/>
        </w:rPr>
        <w:t>věst</w:t>
      </w:r>
      <w:proofErr w:type="spellEnd"/>
      <w:proofErr w:type="gramEnd"/>
      <w:r w:rsidRPr="00DC7F57">
        <w:rPr>
          <w:sz w:val="24"/>
          <w:lang w:val="cs-CZ"/>
        </w:rPr>
        <w:t xml:space="preserve">. C 494, </w:t>
      </w:r>
      <w:proofErr w:type="gramStart"/>
      <w:r w:rsidRPr="00DC7F57">
        <w:rPr>
          <w:sz w:val="24"/>
          <w:lang w:val="cs-CZ"/>
        </w:rPr>
        <w:t>8.12.2021</w:t>
      </w:r>
      <w:proofErr w:type="gramEnd"/>
      <w:r w:rsidRPr="00DC7F57">
        <w:rPr>
          <w:sz w:val="24"/>
          <w:lang w:val="cs-CZ"/>
        </w:rPr>
        <w:t>, s. 118.</w:t>
      </w:r>
    </w:p>
  </w:footnote>
  <w:footnote w:id="14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proofErr w:type="spellStart"/>
      <w:r w:rsidRPr="00DC7F57">
        <w:rPr>
          <w:sz w:val="24"/>
          <w:lang w:val="cs-CZ"/>
        </w:rPr>
        <w:t>Draghiho</w:t>
      </w:r>
      <w:proofErr w:type="spellEnd"/>
      <w:r w:rsidRPr="00DC7F57">
        <w:rPr>
          <w:sz w:val="24"/>
          <w:lang w:val="cs-CZ"/>
        </w:rPr>
        <w:t xml:space="preserve"> zpráva, s. 61.</w:t>
      </w:r>
    </w:p>
  </w:footnote>
  <w:footnote w:id="15">
    <w:p w:rsidR="006C281F" w:rsidRPr="00DC7F57" w:rsidRDefault="006C281F" w:rsidP="00DC7F57">
      <w:pPr>
        <w:pStyle w:val="FootnoteText"/>
        <w:ind w:left="567" w:hanging="567"/>
        <w:rPr>
          <w:sz w:val="24"/>
          <w:lang w:val="cs-CZ"/>
        </w:rPr>
      </w:pPr>
      <w:r w:rsidRPr="00DC7F57">
        <w:rPr>
          <w:rStyle w:val="FootnoteReference"/>
          <w:sz w:val="24"/>
          <w:lang w:val="cs-CZ"/>
        </w:rPr>
        <w:footnoteRef/>
      </w:r>
      <w:r w:rsidR="00DC7F57" w:rsidRPr="00DC7F57">
        <w:rPr>
          <w:sz w:val="24"/>
          <w:lang w:val="cs-CZ"/>
        </w:rPr>
        <w:t xml:space="preserve"> </w:t>
      </w:r>
      <w:r w:rsidR="00DC7F57" w:rsidRPr="00DC7F57">
        <w:rPr>
          <w:sz w:val="24"/>
          <w:lang w:val="cs-CZ"/>
        </w:rPr>
        <w:tab/>
      </w:r>
      <w:r w:rsidRPr="00DC7F57">
        <w:rPr>
          <w:sz w:val="24"/>
          <w:lang w:val="cs-CZ"/>
        </w:rPr>
        <w:t xml:space="preserve">Ursula von der </w:t>
      </w:r>
      <w:proofErr w:type="spellStart"/>
      <w:r w:rsidRPr="00DC7F57">
        <w:rPr>
          <w:sz w:val="24"/>
          <w:lang w:val="cs-CZ"/>
        </w:rPr>
        <w:t>Leyen</w:t>
      </w:r>
      <w:proofErr w:type="spellEnd"/>
      <w:r w:rsidRPr="00DC7F57">
        <w:rPr>
          <w:sz w:val="24"/>
          <w:lang w:val="cs-CZ"/>
        </w:rPr>
        <w:t>, Volba Evropy:</w:t>
      </w:r>
      <w:r w:rsidRPr="00DC7F57">
        <w:rPr>
          <w:i/>
          <w:sz w:val="24"/>
          <w:lang w:val="cs-CZ"/>
        </w:rPr>
        <w:t xml:space="preserve"> </w:t>
      </w:r>
      <w:r w:rsidRPr="00DC7F57">
        <w:rPr>
          <w:sz w:val="24"/>
          <w:lang w:val="cs-CZ"/>
        </w:rPr>
        <w:t xml:space="preserve">Politické směry pro příští Evropskou komisi 2024–2029, s. 11,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7F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7F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C7F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4/2025"/>
    <w:docVar w:name="dvlangue" w:val="CS"/>
    <w:docVar w:name="dvnumam" w:val="0"/>
    <w:docVar w:name="dvpe" w:val="765.133"/>
    <w:docVar w:name="dvrapporteur" w:val="Zpravodaj: "/>
    <w:docVar w:name="dvtitre" w:val="Usnesení Evropského parlamentu ze dne.... 2025 o bankovní unii – výroční zpráva za rok 2024(2024/2055(INI))"/>
  </w:docVars>
  <w:rsids>
    <w:rsidRoot w:val="00180FDA"/>
    <w:rsid w:val="00002272"/>
    <w:rsid w:val="00064002"/>
    <w:rsid w:val="000677B9"/>
    <w:rsid w:val="000831BA"/>
    <w:rsid w:val="000A0C9A"/>
    <w:rsid w:val="000A42CC"/>
    <w:rsid w:val="000E7DD9"/>
    <w:rsid w:val="0010095E"/>
    <w:rsid w:val="00125B37"/>
    <w:rsid w:val="00180FDA"/>
    <w:rsid w:val="00187494"/>
    <w:rsid w:val="001F32AE"/>
    <w:rsid w:val="002767FF"/>
    <w:rsid w:val="002B18FE"/>
    <w:rsid w:val="002B5493"/>
    <w:rsid w:val="0030305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7079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281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279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C4A"/>
    <w:rsid w:val="00DC7F5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546"/>
    <w:rsid w:val="00F74202"/>
    <w:rsid w:val="00F87713"/>
    <w:rsid w:val="00FB4360"/>
    <w:rsid w:val="00FD0C70"/>
    <w:rsid w:val="00FF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619A7"/>
  <w15:chartTrackingRefBased/>
  <w15:docId w15:val="{732861BC-6A9E-4ABF-AB44-1C1EBFBE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281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6C281F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6C281F"/>
    <w:pPr>
      <w:spacing w:after="240"/>
      <w:jc w:val="center"/>
    </w:pPr>
  </w:style>
  <w:style w:type="character" w:customStyle="1" w:styleId="BoldItalic">
    <w:name w:val="BoldItalic"/>
    <w:uiPriority w:val="1"/>
    <w:rsid w:val="006C281F"/>
    <w:rPr>
      <w:b/>
      <w:i/>
      <w:u w:val="none"/>
    </w:rPr>
  </w:style>
  <w:style w:type="character" w:customStyle="1" w:styleId="Italic">
    <w:name w:val="Italic"/>
    <w:uiPriority w:val="1"/>
    <w:rsid w:val="006C281F"/>
    <w:rPr>
      <w:i/>
    </w:rPr>
  </w:style>
  <w:style w:type="paragraph" w:customStyle="1" w:styleId="Normal12a24b">
    <w:name w:val="Normal12a24b"/>
    <w:basedOn w:val="Normal"/>
    <w:rsid w:val="006C281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6C281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030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305E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:52018PC0135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4/1619/oj" TargetMode="External"/><Relationship Id="rId3" Type="http://schemas.openxmlformats.org/officeDocument/2006/relationships/hyperlink" Target="http://data.europa.eu/eli/dir/2024/1640/oj" TargetMode="External"/><Relationship Id="rId7" Type="http://schemas.openxmlformats.org/officeDocument/2006/relationships/hyperlink" Target="http://data.europa.eu/eli/dir/2024/1619/oj" TargetMode="External"/><Relationship Id="rId2" Type="http://schemas.openxmlformats.org/officeDocument/2006/relationships/hyperlink" Target="http://data.europa.eu/eli/dir/2019/1937/oj" TargetMode="External"/><Relationship Id="rId1" Type="http://schemas.openxmlformats.org/officeDocument/2006/relationships/hyperlink" Target="http://data.europa.eu/eli/C/2024/5706/oj" TargetMode="External"/><Relationship Id="rId6" Type="http://schemas.openxmlformats.org/officeDocument/2006/relationships/hyperlink" Target="http://data.europa.eu/eli/reg/2024/1620/oj" TargetMode="External"/><Relationship Id="rId11" Type="http://schemas.openxmlformats.org/officeDocument/2006/relationships/hyperlink" Target="http://data.europa.eu/eli/reg_del/2024/2795/oj" TargetMode="External"/><Relationship Id="rId5" Type="http://schemas.openxmlformats.org/officeDocument/2006/relationships/hyperlink" Target="http://data.europa.eu/eli/reg/2010/1093/oj" TargetMode="External"/><Relationship Id="rId10" Type="http://schemas.openxmlformats.org/officeDocument/2006/relationships/hyperlink" Target="http://data.europa.eu/eli/reg/2024/1623/oj" TargetMode="External"/><Relationship Id="rId4" Type="http://schemas.openxmlformats.org/officeDocument/2006/relationships/hyperlink" Target="http://data.europa.eu/eli/reg/2024/1624/oj" TargetMode="External"/><Relationship Id="rId9" Type="http://schemas.openxmlformats.org/officeDocument/2006/relationships/hyperlink" Target="http://data.europa.eu/eli/reg/2024/162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F4465-B7FA-46E4-BC7C-FD6618B2A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3982</Words>
  <Characters>23503</Characters>
  <Application>Microsoft Office Word</Application>
  <DocSecurity>0</DocSecurity>
  <Lines>522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2025-06-11T13:16:00Z</dcterms:created>
  <dcterms:modified xsi:type="dcterms:W3CDTF">2025-06-11T13:16:00Z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A10-0044/2025</vt:lpwstr>
  </property>
  <property fmtid="{D5CDD505-2E9C-101B-9397-08002B2CF9AE}" pid="4" name="&lt;Type&gt;">
    <vt:lpwstr>RR</vt:lpwstr>
  </property>
</Properties>
</file>